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950442" w14:textId="77777777" w:rsidR="00C015E6" w:rsidRDefault="00C015E6" w:rsidP="00105859">
      <w:pPr>
        <w:spacing w:line="360" w:lineRule="auto"/>
        <w:jc w:val="center"/>
        <w:rPr>
          <w:rFonts w:ascii="Baskerville" w:hAnsi="Baskerville" w:cs="Baskerville"/>
          <w:b/>
          <w:sz w:val="28"/>
          <w:szCs w:val="28"/>
        </w:rPr>
      </w:pPr>
    </w:p>
    <w:p w14:paraId="40C7C43A" w14:textId="77B73CBB" w:rsidR="00A31AFF" w:rsidRPr="00105859" w:rsidRDefault="00A84ABF" w:rsidP="00105859">
      <w:pPr>
        <w:spacing w:line="360" w:lineRule="auto"/>
        <w:jc w:val="center"/>
        <w:rPr>
          <w:rFonts w:ascii="Baskerville" w:hAnsi="Baskerville" w:cs="Baskerville"/>
          <w:b/>
          <w:sz w:val="28"/>
          <w:szCs w:val="28"/>
        </w:rPr>
      </w:pPr>
      <w:r>
        <w:rPr>
          <w:rFonts w:ascii="Baskerville" w:hAnsi="Baskerville" w:cs="Baskerville"/>
          <w:b/>
          <w:sz w:val="28"/>
          <w:szCs w:val="28"/>
        </w:rPr>
        <w:t xml:space="preserve">Advances in epilepsy gene discovery </w:t>
      </w:r>
      <w:r w:rsidR="005B4677">
        <w:rPr>
          <w:rFonts w:ascii="Baskerville" w:hAnsi="Baskerville" w:cs="Baskerville"/>
          <w:b/>
          <w:sz w:val="28"/>
          <w:szCs w:val="28"/>
        </w:rPr>
        <w:t xml:space="preserve">and </w:t>
      </w:r>
      <w:r w:rsidR="009943F9" w:rsidRPr="00105859">
        <w:rPr>
          <w:rFonts w:ascii="Baskerville" w:hAnsi="Baskerville" w:cs="Baskerville"/>
          <w:b/>
          <w:sz w:val="28"/>
          <w:szCs w:val="28"/>
        </w:rPr>
        <w:t xml:space="preserve">implications for </w:t>
      </w:r>
      <w:r>
        <w:rPr>
          <w:rFonts w:ascii="Baskerville" w:hAnsi="Baskerville" w:cs="Baskerville"/>
          <w:b/>
          <w:sz w:val="28"/>
          <w:szCs w:val="28"/>
        </w:rPr>
        <w:t xml:space="preserve">epilepsy </w:t>
      </w:r>
      <w:r w:rsidR="009943F9" w:rsidRPr="00105859">
        <w:rPr>
          <w:rFonts w:ascii="Baskerville" w:hAnsi="Baskerville" w:cs="Baskerville"/>
          <w:b/>
          <w:sz w:val="28"/>
          <w:szCs w:val="28"/>
        </w:rPr>
        <w:t>diagnosis and treatment</w:t>
      </w:r>
      <w:r>
        <w:rPr>
          <w:rFonts w:ascii="Baskerville" w:hAnsi="Baskerville" w:cs="Baskerville"/>
          <w:b/>
          <w:sz w:val="28"/>
          <w:szCs w:val="28"/>
        </w:rPr>
        <w:t xml:space="preserve"> </w:t>
      </w:r>
    </w:p>
    <w:p w14:paraId="79E36BB4" w14:textId="77777777" w:rsidR="005B4677" w:rsidRDefault="005B4677" w:rsidP="00A77FA7">
      <w:pPr>
        <w:spacing w:line="360" w:lineRule="auto"/>
        <w:jc w:val="both"/>
        <w:rPr>
          <w:rFonts w:ascii="Baskerville" w:hAnsi="Baskerville" w:cs="Baskerville"/>
          <w:sz w:val="22"/>
          <w:szCs w:val="22"/>
        </w:rPr>
      </w:pPr>
    </w:p>
    <w:p w14:paraId="41EEBAF8" w14:textId="77777777" w:rsidR="00EA548B" w:rsidRDefault="00EA548B" w:rsidP="00A77FA7">
      <w:pPr>
        <w:spacing w:line="360" w:lineRule="auto"/>
        <w:jc w:val="both"/>
        <w:rPr>
          <w:rFonts w:ascii="Baskerville" w:hAnsi="Baskerville" w:cs="Baskerville"/>
          <w:sz w:val="22"/>
          <w:szCs w:val="22"/>
        </w:rPr>
      </w:pPr>
    </w:p>
    <w:p w14:paraId="7E879A80" w14:textId="77777777" w:rsidR="00EA548B" w:rsidRPr="00653918" w:rsidRDefault="00EA548B" w:rsidP="00A77FA7">
      <w:pPr>
        <w:spacing w:line="360" w:lineRule="auto"/>
        <w:jc w:val="both"/>
        <w:rPr>
          <w:rFonts w:ascii="Baskerville" w:hAnsi="Baskerville" w:cs="Baskerville"/>
          <w:sz w:val="22"/>
          <w:szCs w:val="22"/>
        </w:rPr>
      </w:pPr>
    </w:p>
    <w:p w14:paraId="443853E3" w14:textId="670147DC" w:rsidR="00105859" w:rsidRPr="00653918" w:rsidRDefault="002F0659" w:rsidP="00A77FA7">
      <w:pPr>
        <w:spacing w:line="360" w:lineRule="auto"/>
        <w:jc w:val="both"/>
        <w:rPr>
          <w:rFonts w:ascii="Baskerville" w:hAnsi="Baskerville" w:cs="Baskerville"/>
          <w:sz w:val="22"/>
          <w:szCs w:val="22"/>
        </w:rPr>
      </w:pPr>
      <w:r w:rsidRPr="00653918">
        <w:rPr>
          <w:rFonts w:ascii="Baskerville" w:hAnsi="Baskerville" w:cs="Baskerville"/>
          <w:sz w:val="22"/>
          <w:szCs w:val="22"/>
        </w:rPr>
        <w:t>Joseph D Symonds</w:t>
      </w:r>
      <w:r w:rsidRPr="00653918">
        <w:rPr>
          <w:rFonts w:ascii="Baskerville" w:hAnsi="Baskerville" w:cs="Baskerville"/>
          <w:sz w:val="22"/>
          <w:szCs w:val="22"/>
          <w:vertAlign w:val="superscript"/>
        </w:rPr>
        <w:t>1</w:t>
      </w:r>
      <w:r w:rsidR="0094660D">
        <w:rPr>
          <w:rFonts w:ascii="Baskerville" w:hAnsi="Baskerville" w:cs="Baskerville"/>
          <w:sz w:val="22"/>
          <w:szCs w:val="22"/>
          <w:vertAlign w:val="superscript"/>
        </w:rPr>
        <w:t>,2</w:t>
      </w:r>
      <w:r w:rsidRPr="00653918">
        <w:rPr>
          <w:rFonts w:ascii="Baskerville" w:hAnsi="Baskerville" w:cs="Baskerville"/>
          <w:sz w:val="22"/>
          <w:szCs w:val="22"/>
        </w:rPr>
        <w:t>, Sameer M Zuberi</w:t>
      </w:r>
      <w:r w:rsidRPr="00653918">
        <w:rPr>
          <w:rFonts w:ascii="Baskerville" w:hAnsi="Baskerville" w:cs="Baskerville"/>
          <w:sz w:val="22"/>
          <w:szCs w:val="22"/>
          <w:vertAlign w:val="superscript"/>
        </w:rPr>
        <w:t>1</w:t>
      </w:r>
      <w:r w:rsidR="0094660D">
        <w:rPr>
          <w:rFonts w:ascii="Baskerville" w:hAnsi="Baskerville" w:cs="Baskerville"/>
          <w:sz w:val="22"/>
          <w:szCs w:val="22"/>
          <w:vertAlign w:val="superscript"/>
        </w:rPr>
        <w:t>,2</w:t>
      </w:r>
      <w:r w:rsidRPr="00653918">
        <w:rPr>
          <w:rFonts w:ascii="Baskerville" w:hAnsi="Baskerville" w:cs="Baskerville"/>
          <w:sz w:val="22"/>
          <w:szCs w:val="22"/>
        </w:rPr>
        <w:t>, Michael R Johnson</w:t>
      </w:r>
      <w:r w:rsidR="0094660D">
        <w:rPr>
          <w:rFonts w:ascii="Baskerville" w:hAnsi="Baskerville" w:cs="Baskerville"/>
          <w:sz w:val="22"/>
          <w:szCs w:val="22"/>
          <w:vertAlign w:val="superscript"/>
        </w:rPr>
        <w:t>3</w:t>
      </w:r>
      <w:r w:rsidR="00FE3CAA">
        <w:rPr>
          <w:rFonts w:ascii="Baskerville" w:hAnsi="Baskerville" w:cs="Baskerville"/>
          <w:sz w:val="22"/>
          <w:szCs w:val="22"/>
          <w:vertAlign w:val="superscript"/>
        </w:rPr>
        <w:t>*</w:t>
      </w:r>
    </w:p>
    <w:p w14:paraId="3A05C189" w14:textId="77777777" w:rsidR="002F0659" w:rsidRDefault="002F0659" w:rsidP="00A77FA7">
      <w:pPr>
        <w:spacing w:line="360" w:lineRule="auto"/>
        <w:jc w:val="both"/>
        <w:rPr>
          <w:rFonts w:ascii="Baskerville" w:hAnsi="Baskerville" w:cs="Baskerville"/>
          <w:sz w:val="22"/>
          <w:szCs w:val="22"/>
        </w:rPr>
      </w:pPr>
    </w:p>
    <w:p w14:paraId="333F1B9C" w14:textId="77777777" w:rsidR="00EA548B" w:rsidRPr="00653918" w:rsidRDefault="00EA548B" w:rsidP="00A77FA7">
      <w:pPr>
        <w:spacing w:line="360" w:lineRule="auto"/>
        <w:jc w:val="both"/>
        <w:rPr>
          <w:rFonts w:ascii="Baskerville" w:hAnsi="Baskerville" w:cs="Baskerville"/>
          <w:sz w:val="22"/>
          <w:szCs w:val="22"/>
        </w:rPr>
      </w:pPr>
    </w:p>
    <w:p w14:paraId="3C89BA06" w14:textId="5784BFFD" w:rsidR="0001345F" w:rsidRDefault="0001345F" w:rsidP="00A77FA7">
      <w:pPr>
        <w:spacing w:line="360" w:lineRule="auto"/>
        <w:jc w:val="both"/>
        <w:rPr>
          <w:rFonts w:ascii="Baskerville" w:hAnsi="Baskerville" w:cs="Baskerville"/>
          <w:sz w:val="22"/>
          <w:szCs w:val="22"/>
        </w:rPr>
      </w:pPr>
      <w:r w:rsidRPr="00653918">
        <w:rPr>
          <w:rFonts w:ascii="Baskerville" w:hAnsi="Baskerville" w:cs="Baskerville"/>
          <w:sz w:val="22"/>
          <w:szCs w:val="22"/>
        </w:rPr>
        <w:t>1</w:t>
      </w:r>
      <w:r w:rsidR="000F51F4">
        <w:rPr>
          <w:rFonts w:ascii="Baskerville" w:hAnsi="Baskerville" w:cs="Baskerville"/>
          <w:sz w:val="22"/>
          <w:szCs w:val="22"/>
        </w:rPr>
        <w:t>.</w:t>
      </w:r>
      <w:r w:rsidRPr="00653918">
        <w:rPr>
          <w:rFonts w:ascii="Baskerville" w:hAnsi="Baskerville" w:cs="Baskerville"/>
          <w:sz w:val="22"/>
          <w:szCs w:val="22"/>
        </w:rPr>
        <w:t xml:space="preserve"> Paediatric Neurosciences Research Group, Fraser of Allander Neurosciences Unit, Royal Hospital for Children, Glasgow, United Kingdom </w:t>
      </w:r>
    </w:p>
    <w:p w14:paraId="3BA093BF" w14:textId="1B41CFFA" w:rsidR="0094660D" w:rsidRPr="00653918" w:rsidRDefault="0094660D" w:rsidP="00A77FA7">
      <w:pPr>
        <w:spacing w:line="360" w:lineRule="auto"/>
        <w:jc w:val="both"/>
        <w:rPr>
          <w:rFonts w:ascii="Baskerville" w:hAnsi="Baskerville" w:cs="Baskerville"/>
          <w:sz w:val="22"/>
          <w:szCs w:val="22"/>
        </w:rPr>
      </w:pPr>
      <w:r>
        <w:rPr>
          <w:rFonts w:ascii="Baskerville" w:hAnsi="Baskerville" w:cs="Baskerville"/>
          <w:sz w:val="22"/>
          <w:szCs w:val="22"/>
        </w:rPr>
        <w:t>2. School of Medicine, University of Glasgow, United Kingdom</w:t>
      </w:r>
    </w:p>
    <w:p w14:paraId="0AB23ADF" w14:textId="6A236CBB" w:rsidR="0001345F" w:rsidRPr="00653918" w:rsidRDefault="00D963C0" w:rsidP="00A77FA7">
      <w:pPr>
        <w:spacing w:line="360" w:lineRule="auto"/>
        <w:jc w:val="both"/>
        <w:rPr>
          <w:rFonts w:ascii="Baskerville" w:hAnsi="Baskerville" w:cs="Baskerville"/>
          <w:sz w:val="22"/>
          <w:szCs w:val="22"/>
        </w:rPr>
      </w:pPr>
      <w:r>
        <w:rPr>
          <w:rFonts w:ascii="Baskerville" w:hAnsi="Baskerville" w:cs="Baskerville"/>
          <w:sz w:val="22"/>
          <w:szCs w:val="22"/>
        </w:rPr>
        <w:t>3</w:t>
      </w:r>
      <w:r w:rsidR="000F51F4">
        <w:rPr>
          <w:rFonts w:ascii="Baskerville" w:hAnsi="Baskerville" w:cs="Baskerville"/>
          <w:sz w:val="22"/>
          <w:szCs w:val="22"/>
        </w:rPr>
        <w:t>.</w:t>
      </w:r>
      <w:r w:rsidR="0001345F" w:rsidRPr="00653918">
        <w:rPr>
          <w:rFonts w:ascii="Baskerville" w:hAnsi="Baskerville" w:cs="Baskerville"/>
          <w:sz w:val="22"/>
          <w:szCs w:val="22"/>
        </w:rPr>
        <w:t xml:space="preserve"> Division of Brain Sciences, Imperial College </w:t>
      </w:r>
      <w:r w:rsidR="000F51F4">
        <w:rPr>
          <w:rFonts w:ascii="Baskerville" w:hAnsi="Baskerville" w:cs="Baskerville"/>
          <w:sz w:val="22"/>
          <w:szCs w:val="22"/>
        </w:rPr>
        <w:t>London</w:t>
      </w:r>
      <w:r w:rsidR="0001345F" w:rsidRPr="00653918">
        <w:rPr>
          <w:rFonts w:ascii="Baskerville" w:hAnsi="Baskerville" w:cs="Baskerville"/>
          <w:sz w:val="22"/>
          <w:szCs w:val="22"/>
        </w:rPr>
        <w:t>, United Kingdom</w:t>
      </w:r>
    </w:p>
    <w:p w14:paraId="3FF6FE43" w14:textId="77777777" w:rsidR="00105859" w:rsidRDefault="00105859" w:rsidP="00A77FA7">
      <w:pPr>
        <w:spacing w:line="360" w:lineRule="auto"/>
        <w:jc w:val="both"/>
        <w:rPr>
          <w:rFonts w:ascii="Baskerville" w:hAnsi="Baskerville" w:cs="Baskerville"/>
          <w:sz w:val="22"/>
          <w:szCs w:val="22"/>
        </w:rPr>
      </w:pPr>
    </w:p>
    <w:p w14:paraId="254D451B" w14:textId="77777777" w:rsidR="00EA548B" w:rsidRDefault="00EA548B" w:rsidP="00A77FA7">
      <w:pPr>
        <w:spacing w:line="360" w:lineRule="auto"/>
        <w:jc w:val="both"/>
        <w:rPr>
          <w:rFonts w:ascii="Baskerville" w:hAnsi="Baskerville" w:cs="Baskerville"/>
          <w:sz w:val="22"/>
          <w:szCs w:val="22"/>
        </w:rPr>
      </w:pPr>
    </w:p>
    <w:p w14:paraId="2060F048" w14:textId="77777777" w:rsidR="00EA548B" w:rsidRPr="00FE3CAA" w:rsidRDefault="00EA548B" w:rsidP="00A77FA7">
      <w:pPr>
        <w:spacing w:line="360" w:lineRule="auto"/>
        <w:jc w:val="both"/>
        <w:rPr>
          <w:rFonts w:ascii="Baskerville" w:hAnsi="Baskerville" w:cs="Baskerville"/>
          <w:sz w:val="22"/>
          <w:szCs w:val="22"/>
        </w:rPr>
      </w:pPr>
    </w:p>
    <w:p w14:paraId="7A3AA140" w14:textId="6240FDB1" w:rsidR="007353FF" w:rsidRPr="00323EAE" w:rsidRDefault="00FE3CAA" w:rsidP="00A77FA7">
      <w:pPr>
        <w:spacing w:line="360" w:lineRule="auto"/>
        <w:rPr>
          <w:rFonts w:ascii="Baskerville" w:hAnsi="Baskerville" w:cs="Baskerville"/>
          <w:b/>
          <w:sz w:val="22"/>
          <w:szCs w:val="22"/>
        </w:rPr>
      </w:pPr>
      <w:r w:rsidRPr="00323EAE">
        <w:rPr>
          <w:rFonts w:ascii="Baskerville" w:hAnsi="Baskerville" w:cs="Baskerville"/>
          <w:b/>
          <w:sz w:val="22"/>
          <w:szCs w:val="22"/>
        </w:rPr>
        <w:t>*</w:t>
      </w:r>
      <w:r w:rsidR="007353FF" w:rsidRPr="00323EAE">
        <w:rPr>
          <w:rFonts w:ascii="Baskerville" w:hAnsi="Baskerville" w:cs="Baskerville"/>
          <w:b/>
          <w:sz w:val="22"/>
          <w:szCs w:val="22"/>
        </w:rPr>
        <w:t>Corresponding author</w:t>
      </w:r>
    </w:p>
    <w:p w14:paraId="2F454FD8" w14:textId="21886135" w:rsidR="00FE3CAA" w:rsidRPr="00323EAE" w:rsidRDefault="00FE3CAA" w:rsidP="00323EAE">
      <w:pPr>
        <w:jc w:val="both"/>
        <w:rPr>
          <w:rFonts w:ascii="Baskerville" w:hAnsi="Baskerville" w:cs="Baskerville"/>
          <w:sz w:val="22"/>
          <w:szCs w:val="22"/>
        </w:rPr>
      </w:pPr>
      <w:r w:rsidRPr="00323EAE">
        <w:rPr>
          <w:rFonts w:ascii="Baskerville" w:hAnsi="Baskerville" w:cs="Baskerville"/>
          <w:sz w:val="22"/>
          <w:szCs w:val="22"/>
        </w:rPr>
        <w:t xml:space="preserve">Professor Michael </w:t>
      </w:r>
      <w:r w:rsidR="006E504F">
        <w:rPr>
          <w:rFonts w:ascii="Baskerville" w:hAnsi="Baskerville" w:cs="Baskerville"/>
          <w:sz w:val="22"/>
          <w:szCs w:val="22"/>
        </w:rPr>
        <w:t xml:space="preserve">R </w:t>
      </w:r>
      <w:r w:rsidRPr="00323EAE">
        <w:rPr>
          <w:rFonts w:ascii="Baskerville" w:hAnsi="Baskerville" w:cs="Baskerville"/>
          <w:sz w:val="22"/>
          <w:szCs w:val="22"/>
        </w:rPr>
        <w:t>Johnson MD PhD</w:t>
      </w:r>
    </w:p>
    <w:p w14:paraId="1114E7CA" w14:textId="7149EBB3" w:rsidR="00FE3CAA" w:rsidRDefault="00FE3CAA" w:rsidP="00323EAE">
      <w:pPr>
        <w:jc w:val="both"/>
        <w:rPr>
          <w:rFonts w:ascii="Baskerville" w:hAnsi="Baskerville" w:cs="Baskerville"/>
          <w:sz w:val="22"/>
          <w:szCs w:val="22"/>
        </w:rPr>
      </w:pPr>
      <w:r>
        <w:rPr>
          <w:rFonts w:ascii="Baskerville" w:hAnsi="Baskerville" w:cs="Baskerville"/>
          <w:sz w:val="22"/>
          <w:szCs w:val="22"/>
        </w:rPr>
        <w:t>Division of Brain Sciences</w:t>
      </w:r>
    </w:p>
    <w:p w14:paraId="3E73888A" w14:textId="43CF650F" w:rsidR="00FE3CAA" w:rsidRDefault="00FE3CAA" w:rsidP="00323EAE">
      <w:pPr>
        <w:jc w:val="both"/>
        <w:rPr>
          <w:rFonts w:ascii="Baskerville" w:hAnsi="Baskerville" w:cs="Baskerville"/>
          <w:sz w:val="22"/>
          <w:szCs w:val="22"/>
        </w:rPr>
      </w:pPr>
      <w:r>
        <w:rPr>
          <w:rFonts w:ascii="Baskerville" w:hAnsi="Baskerville" w:cs="Baskerville"/>
          <w:sz w:val="22"/>
          <w:szCs w:val="22"/>
        </w:rPr>
        <w:t xml:space="preserve">Imperial College Faculty of Medicine </w:t>
      </w:r>
    </w:p>
    <w:p w14:paraId="32FB5DB4" w14:textId="77777777" w:rsidR="00FE3CAA" w:rsidRDefault="00FE3CAA" w:rsidP="00323EAE">
      <w:pPr>
        <w:jc w:val="both"/>
        <w:rPr>
          <w:rFonts w:ascii="Baskerville" w:hAnsi="Baskerville" w:cs="Baskerville"/>
          <w:sz w:val="22"/>
          <w:szCs w:val="22"/>
        </w:rPr>
      </w:pPr>
      <w:r>
        <w:rPr>
          <w:rFonts w:ascii="Baskerville" w:hAnsi="Baskerville" w:cs="Baskerville"/>
          <w:sz w:val="22"/>
          <w:szCs w:val="22"/>
        </w:rPr>
        <w:t xml:space="preserve">Room E419, Burlington Danes Building </w:t>
      </w:r>
    </w:p>
    <w:p w14:paraId="3B94BF38" w14:textId="3068154B" w:rsidR="00FE3CAA" w:rsidRDefault="00FE3CAA" w:rsidP="00323EAE">
      <w:pPr>
        <w:jc w:val="both"/>
        <w:rPr>
          <w:rFonts w:ascii="Baskerville" w:hAnsi="Baskerville" w:cs="Baskerville"/>
          <w:sz w:val="22"/>
          <w:szCs w:val="22"/>
        </w:rPr>
      </w:pPr>
      <w:r>
        <w:rPr>
          <w:rFonts w:ascii="Baskerville" w:hAnsi="Baskerville" w:cs="Baskerville"/>
          <w:sz w:val="22"/>
          <w:szCs w:val="22"/>
        </w:rPr>
        <w:t>Hammersmith Hospital Campus</w:t>
      </w:r>
    </w:p>
    <w:p w14:paraId="5B862769" w14:textId="77777777" w:rsidR="00FE3CAA" w:rsidRDefault="00FE3CAA" w:rsidP="00323EAE">
      <w:pPr>
        <w:jc w:val="both"/>
        <w:rPr>
          <w:rFonts w:ascii="Baskerville" w:hAnsi="Baskerville" w:cs="Baskerville"/>
          <w:sz w:val="22"/>
          <w:szCs w:val="22"/>
        </w:rPr>
      </w:pPr>
      <w:r>
        <w:rPr>
          <w:rFonts w:ascii="Baskerville" w:hAnsi="Baskerville" w:cs="Baskerville"/>
          <w:sz w:val="22"/>
          <w:szCs w:val="22"/>
        </w:rPr>
        <w:t>160 Du Cane Road</w:t>
      </w:r>
    </w:p>
    <w:p w14:paraId="2405B311" w14:textId="41369D79" w:rsidR="00FE3CAA" w:rsidRDefault="00FE3CAA" w:rsidP="00323EAE">
      <w:pPr>
        <w:jc w:val="both"/>
        <w:rPr>
          <w:rFonts w:ascii="Baskerville" w:hAnsi="Baskerville" w:cs="Baskerville"/>
          <w:sz w:val="22"/>
          <w:szCs w:val="22"/>
        </w:rPr>
      </w:pPr>
      <w:r>
        <w:rPr>
          <w:rFonts w:ascii="Baskerville" w:hAnsi="Baskerville" w:cs="Baskerville"/>
          <w:sz w:val="22"/>
          <w:szCs w:val="22"/>
        </w:rPr>
        <w:t>London W12 0NN</w:t>
      </w:r>
    </w:p>
    <w:p w14:paraId="09B35E55" w14:textId="37B814F0" w:rsidR="00FE3CAA" w:rsidRDefault="00FE3CAA" w:rsidP="00323EAE">
      <w:pPr>
        <w:jc w:val="both"/>
        <w:rPr>
          <w:rFonts w:ascii="Baskerville" w:hAnsi="Baskerville" w:cs="Baskerville"/>
          <w:sz w:val="22"/>
          <w:szCs w:val="22"/>
        </w:rPr>
      </w:pPr>
      <w:r>
        <w:rPr>
          <w:rFonts w:ascii="Baskerville" w:hAnsi="Baskerville" w:cs="Baskerville"/>
          <w:sz w:val="22"/>
          <w:szCs w:val="22"/>
        </w:rPr>
        <w:t>Tel: 0203 311 7508</w:t>
      </w:r>
    </w:p>
    <w:p w14:paraId="438AB7FA" w14:textId="6655ADD6" w:rsidR="00D320FD" w:rsidRPr="00FE3CAA" w:rsidRDefault="00FE3CAA" w:rsidP="00323EAE">
      <w:pPr>
        <w:jc w:val="both"/>
        <w:rPr>
          <w:rFonts w:ascii="Baskerville" w:hAnsi="Baskerville" w:cs="Baskerville"/>
          <w:sz w:val="22"/>
          <w:szCs w:val="22"/>
        </w:rPr>
      </w:pPr>
      <w:r>
        <w:rPr>
          <w:rFonts w:ascii="Baskerville" w:hAnsi="Baskerville" w:cs="Baskerville"/>
          <w:sz w:val="22"/>
          <w:szCs w:val="22"/>
        </w:rPr>
        <w:t xml:space="preserve">Email: </w:t>
      </w:r>
      <w:hyperlink r:id="rId7" w:history="1">
        <w:r w:rsidR="00D320FD" w:rsidRPr="00323EAE">
          <w:rPr>
            <w:rStyle w:val="Hyperlink"/>
            <w:rFonts w:ascii="Baskerville" w:hAnsi="Baskerville" w:cs="Baskerville"/>
            <w:sz w:val="22"/>
            <w:szCs w:val="22"/>
          </w:rPr>
          <w:t>m.johnson@imperial.ac.uk</w:t>
        </w:r>
      </w:hyperlink>
      <w:r w:rsidR="00D320FD" w:rsidRPr="00FE3CAA">
        <w:rPr>
          <w:rFonts w:ascii="Baskerville" w:hAnsi="Baskerville" w:cs="Baskerville"/>
          <w:sz w:val="22"/>
          <w:szCs w:val="22"/>
        </w:rPr>
        <w:t xml:space="preserve"> </w:t>
      </w:r>
    </w:p>
    <w:p w14:paraId="4DF12464" w14:textId="77777777" w:rsidR="0025109B" w:rsidRPr="0063378E" w:rsidRDefault="0025109B" w:rsidP="00A77FA7">
      <w:pPr>
        <w:spacing w:line="360" w:lineRule="auto"/>
        <w:jc w:val="both"/>
        <w:rPr>
          <w:rFonts w:ascii="Baskerville" w:hAnsi="Baskerville" w:cs="Baskerville"/>
          <w:sz w:val="22"/>
          <w:szCs w:val="22"/>
        </w:rPr>
      </w:pPr>
    </w:p>
    <w:p w14:paraId="48BDDE9D" w14:textId="77777777" w:rsidR="0061560F" w:rsidRDefault="0061560F" w:rsidP="00A77FA7">
      <w:pPr>
        <w:spacing w:line="360" w:lineRule="auto"/>
        <w:jc w:val="both"/>
        <w:rPr>
          <w:rFonts w:ascii="Baskerville" w:hAnsi="Baskerville" w:cs="Baskerville"/>
          <w:sz w:val="22"/>
          <w:szCs w:val="22"/>
        </w:rPr>
      </w:pPr>
    </w:p>
    <w:p w14:paraId="1A10E9EE" w14:textId="14AA8015" w:rsidR="00B82DA5" w:rsidRPr="00653918" w:rsidRDefault="00B82DA5" w:rsidP="00B82DA5">
      <w:pPr>
        <w:spacing w:line="360" w:lineRule="auto"/>
        <w:jc w:val="both"/>
        <w:rPr>
          <w:rFonts w:ascii="Baskerville" w:hAnsi="Baskerville" w:cs="Baskerville"/>
          <w:sz w:val="22"/>
          <w:szCs w:val="22"/>
        </w:rPr>
      </w:pPr>
      <w:r w:rsidRPr="004D3CF9">
        <w:rPr>
          <w:rFonts w:ascii="Baskerville" w:hAnsi="Baskerville" w:cs="Baskerville"/>
          <w:b/>
          <w:sz w:val="22"/>
          <w:szCs w:val="22"/>
        </w:rPr>
        <w:t>Word count</w:t>
      </w:r>
      <w:r w:rsidR="00FA3545">
        <w:rPr>
          <w:rFonts w:ascii="Baskerville" w:hAnsi="Baskerville" w:cs="Baskerville"/>
          <w:sz w:val="22"/>
          <w:szCs w:val="22"/>
        </w:rPr>
        <w:t>: 2,635</w:t>
      </w:r>
      <w:r>
        <w:rPr>
          <w:rFonts w:ascii="Baskerville" w:hAnsi="Baskerville" w:cs="Baskerville"/>
          <w:sz w:val="22"/>
          <w:szCs w:val="22"/>
        </w:rPr>
        <w:t xml:space="preserve"> words </w:t>
      </w:r>
    </w:p>
    <w:p w14:paraId="32232B2C" w14:textId="77777777" w:rsidR="00EA548B" w:rsidRDefault="00EA548B" w:rsidP="00A77FA7">
      <w:pPr>
        <w:spacing w:line="360" w:lineRule="auto"/>
        <w:jc w:val="both"/>
        <w:rPr>
          <w:rFonts w:ascii="Baskerville" w:hAnsi="Baskerville" w:cs="Baskerville"/>
          <w:sz w:val="22"/>
          <w:szCs w:val="22"/>
        </w:rPr>
      </w:pPr>
    </w:p>
    <w:p w14:paraId="0A3C0D61" w14:textId="77777777" w:rsidR="00EA548B" w:rsidRDefault="00EA548B" w:rsidP="00A77FA7">
      <w:pPr>
        <w:spacing w:line="360" w:lineRule="auto"/>
        <w:jc w:val="both"/>
        <w:rPr>
          <w:rFonts w:ascii="Baskerville" w:hAnsi="Baskerville" w:cs="Baskerville"/>
          <w:sz w:val="22"/>
          <w:szCs w:val="22"/>
        </w:rPr>
      </w:pPr>
    </w:p>
    <w:p w14:paraId="3CDA0646" w14:textId="77777777" w:rsidR="00EA548B" w:rsidRDefault="00EA548B" w:rsidP="00A77FA7">
      <w:pPr>
        <w:spacing w:line="360" w:lineRule="auto"/>
        <w:jc w:val="both"/>
        <w:rPr>
          <w:rFonts w:ascii="Baskerville" w:hAnsi="Baskerville" w:cs="Baskerville"/>
          <w:sz w:val="22"/>
          <w:szCs w:val="22"/>
        </w:rPr>
      </w:pPr>
    </w:p>
    <w:p w14:paraId="132F8293" w14:textId="77777777" w:rsidR="00EA548B" w:rsidRDefault="00EA548B" w:rsidP="00A77FA7">
      <w:pPr>
        <w:spacing w:line="360" w:lineRule="auto"/>
        <w:jc w:val="both"/>
        <w:rPr>
          <w:rFonts w:ascii="Baskerville" w:hAnsi="Baskerville" w:cs="Baskerville"/>
          <w:sz w:val="22"/>
          <w:szCs w:val="22"/>
        </w:rPr>
      </w:pPr>
    </w:p>
    <w:p w14:paraId="20B0FE65" w14:textId="77777777" w:rsidR="00EA548B" w:rsidRDefault="00EA548B" w:rsidP="00A77FA7">
      <w:pPr>
        <w:spacing w:line="360" w:lineRule="auto"/>
        <w:jc w:val="both"/>
        <w:rPr>
          <w:rFonts w:ascii="Baskerville" w:hAnsi="Baskerville" w:cs="Baskerville"/>
          <w:sz w:val="22"/>
          <w:szCs w:val="22"/>
        </w:rPr>
      </w:pPr>
    </w:p>
    <w:p w14:paraId="411C3CFC" w14:textId="77777777" w:rsidR="00EA548B" w:rsidRDefault="00EA548B" w:rsidP="00A77FA7">
      <w:pPr>
        <w:spacing w:line="360" w:lineRule="auto"/>
        <w:jc w:val="both"/>
        <w:rPr>
          <w:rFonts w:ascii="Baskerville" w:hAnsi="Baskerville" w:cs="Baskerville"/>
          <w:sz w:val="22"/>
          <w:szCs w:val="22"/>
        </w:rPr>
      </w:pPr>
    </w:p>
    <w:p w14:paraId="735C76A5" w14:textId="77777777" w:rsidR="00EA548B" w:rsidRDefault="00EA548B" w:rsidP="00A77FA7">
      <w:pPr>
        <w:spacing w:line="360" w:lineRule="auto"/>
        <w:jc w:val="both"/>
        <w:rPr>
          <w:rFonts w:ascii="Baskerville" w:hAnsi="Baskerville" w:cs="Baskerville"/>
          <w:sz w:val="22"/>
          <w:szCs w:val="22"/>
        </w:rPr>
      </w:pPr>
    </w:p>
    <w:p w14:paraId="3D4095BF" w14:textId="77777777" w:rsidR="00EA548B" w:rsidRDefault="00EA548B" w:rsidP="00A77FA7">
      <w:pPr>
        <w:spacing w:line="360" w:lineRule="auto"/>
        <w:jc w:val="both"/>
        <w:rPr>
          <w:rFonts w:ascii="Baskerville" w:hAnsi="Baskerville" w:cs="Baskerville"/>
          <w:sz w:val="22"/>
          <w:szCs w:val="22"/>
        </w:rPr>
      </w:pPr>
    </w:p>
    <w:p w14:paraId="71BD9953" w14:textId="77777777" w:rsidR="00EA548B" w:rsidRDefault="00EA548B" w:rsidP="00A77FA7">
      <w:pPr>
        <w:spacing w:line="360" w:lineRule="auto"/>
        <w:jc w:val="both"/>
        <w:rPr>
          <w:rFonts w:ascii="Baskerville" w:hAnsi="Baskerville" w:cs="Baskerville"/>
          <w:sz w:val="22"/>
          <w:szCs w:val="22"/>
        </w:rPr>
      </w:pPr>
    </w:p>
    <w:p w14:paraId="11AFF64C" w14:textId="77777777" w:rsidR="00EA548B" w:rsidRDefault="00EA548B" w:rsidP="00A77FA7">
      <w:pPr>
        <w:spacing w:line="360" w:lineRule="auto"/>
        <w:jc w:val="both"/>
        <w:rPr>
          <w:rFonts w:ascii="Baskerville" w:hAnsi="Baskerville" w:cs="Baskerville"/>
          <w:sz w:val="22"/>
          <w:szCs w:val="22"/>
        </w:rPr>
      </w:pPr>
    </w:p>
    <w:p w14:paraId="436D005D" w14:textId="5B1C6BA6" w:rsidR="00C90936" w:rsidRPr="00653918" w:rsidRDefault="00C90936" w:rsidP="00A77FA7">
      <w:pPr>
        <w:spacing w:line="360" w:lineRule="auto"/>
        <w:jc w:val="both"/>
        <w:rPr>
          <w:rFonts w:ascii="Baskerville" w:hAnsi="Baskerville" w:cs="Baskerville"/>
          <w:b/>
          <w:sz w:val="22"/>
          <w:szCs w:val="22"/>
        </w:rPr>
      </w:pPr>
      <w:r>
        <w:rPr>
          <w:rFonts w:ascii="Baskerville" w:hAnsi="Baskerville" w:cs="Baskerville"/>
          <w:b/>
          <w:sz w:val="22"/>
          <w:szCs w:val="22"/>
        </w:rPr>
        <w:lastRenderedPageBreak/>
        <w:t xml:space="preserve">ABSTRACT </w:t>
      </w:r>
    </w:p>
    <w:p w14:paraId="5138C6C0" w14:textId="77777777" w:rsidR="0063378E" w:rsidRPr="00323EAE" w:rsidRDefault="0063378E" w:rsidP="00A77FA7">
      <w:pPr>
        <w:spacing w:line="360" w:lineRule="auto"/>
        <w:jc w:val="both"/>
        <w:rPr>
          <w:rFonts w:ascii="Baskerville" w:hAnsi="Baskerville" w:cs="Baskerville"/>
          <w:b/>
          <w:sz w:val="22"/>
          <w:szCs w:val="22"/>
        </w:rPr>
      </w:pPr>
      <w:r w:rsidRPr="00323EAE">
        <w:rPr>
          <w:rFonts w:ascii="Baskerville" w:hAnsi="Baskerville" w:cs="Baskerville"/>
          <w:b/>
          <w:sz w:val="22"/>
          <w:szCs w:val="22"/>
        </w:rPr>
        <w:t>Purpose of review</w:t>
      </w:r>
    </w:p>
    <w:p w14:paraId="1C72E65A" w14:textId="0558D136" w:rsidR="00A1039E" w:rsidRDefault="008E4A19" w:rsidP="00A77FA7">
      <w:pPr>
        <w:spacing w:line="360" w:lineRule="auto"/>
        <w:jc w:val="both"/>
        <w:rPr>
          <w:rFonts w:ascii="Baskerville" w:hAnsi="Baskerville" w:cs="Baskerville"/>
          <w:sz w:val="22"/>
          <w:szCs w:val="22"/>
        </w:rPr>
      </w:pPr>
      <w:r w:rsidRPr="00653918">
        <w:rPr>
          <w:rFonts w:ascii="Baskerville" w:hAnsi="Baskerville" w:cs="Baskerville"/>
          <w:sz w:val="22"/>
          <w:szCs w:val="22"/>
        </w:rPr>
        <w:t xml:space="preserve">Epilepsy genetics is shifting from </w:t>
      </w:r>
      <w:r w:rsidR="00852109" w:rsidRPr="00653918">
        <w:rPr>
          <w:rFonts w:ascii="Baskerville" w:hAnsi="Baskerville" w:cs="Baskerville"/>
          <w:sz w:val="22"/>
          <w:szCs w:val="22"/>
        </w:rPr>
        <w:t>the</w:t>
      </w:r>
      <w:r w:rsidRPr="00653918">
        <w:rPr>
          <w:rFonts w:ascii="Baskerville" w:hAnsi="Baskerville" w:cs="Baskerville"/>
          <w:sz w:val="22"/>
          <w:szCs w:val="22"/>
        </w:rPr>
        <w:t xml:space="preserve"> academic pursuit of </w:t>
      </w:r>
      <w:r w:rsidR="009A4ECD" w:rsidRPr="00653918">
        <w:rPr>
          <w:rFonts w:ascii="Baskerville" w:hAnsi="Baskerville" w:cs="Baskerville"/>
          <w:sz w:val="22"/>
          <w:szCs w:val="22"/>
        </w:rPr>
        <w:t>gene discovery</w:t>
      </w:r>
      <w:r w:rsidRPr="00653918">
        <w:rPr>
          <w:rFonts w:ascii="Baskerville" w:hAnsi="Baskerville" w:cs="Baskerville"/>
          <w:sz w:val="22"/>
          <w:szCs w:val="22"/>
        </w:rPr>
        <w:t xml:space="preserve"> to a clinical discipline based on </w:t>
      </w:r>
      <w:r w:rsidR="00C16450">
        <w:rPr>
          <w:rFonts w:ascii="Baskerville" w:hAnsi="Baskerville" w:cs="Baskerville"/>
          <w:sz w:val="22"/>
          <w:szCs w:val="22"/>
        </w:rPr>
        <w:t>molecular</w:t>
      </w:r>
      <w:r w:rsidRPr="00653918">
        <w:rPr>
          <w:rFonts w:ascii="Baskerville" w:hAnsi="Baskerville" w:cs="Baskerville"/>
          <w:sz w:val="22"/>
          <w:szCs w:val="22"/>
        </w:rPr>
        <w:t xml:space="preserve"> diagnosis and stratified medicine. </w:t>
      </w:r>
      <w:r w:rsidR="00BC6905">
        <w:rPr>
          <w:rFonts w:ascii="Baskerville" w:hAnsi="Baskerville" w:cs="Baskerville"/>
          <w:sz w:val="22"/>
          <w:szCs w:val="22"/>
        </w:rPr>
        <w:t>W</w:t>
      </w:r>
      <w:r w:rsidRPr="00653918">
        <w:rPr>
          <w:rFonts w:ascii="Baskerville" w:hAnsi="Baskerville" w:cs="Baskerville"/>
          <w:sz w:val="22"/>
          <w:szCs w:val="22"/>
        </w:rPr>
        <w:t>e consider the latest dev</w:t>
      </w:r>
      <w:r w:rsidR="009A4ECD" w:rsidRPr="00653918">
        <w:rPr>
          <w:rFonts w:ascii="Baskerville" w:hAnsi="Baskerville" w:cs="Baskerville"/>
          <w:sz w:val="22"/>
          <w:szCs w:val="22"/>
        </w:rPr>
        <w:t>elopme</w:t>
      </w:r>
      <w:r w:rsidR="004F04D0" w:rsidRPr="00653918">
        <w:rPr>
          <w:rFonts w:ascii="Baskerville" w:hAnsi="Baskerville" w:cs="Baskerville"/>
          <w:sz w:val="22"/>
          <w:szCs w:val="22"/>
        </w:rPr>
        <w:t>nts in epilepsy genetics</w:t>
      </w:r>
      <w:r w:rsidR="00BC6905">
        <w:rPr>
          <w:rFonts w:ascii="Baskerville" w:hAnsi="Baskerville" w:cs="Baskerville"/>
          <w:sz w:val="22"/>
          <w:szCs w:val="22"/>
        </w:rPr>
        <w:t xml:space="preserve"> and </w:t>
      </w:r>
      <w:r w:rsidR="00CC1957">
        <w:rPr>
          <w:rFonts w:ascii="Baskerville" w:hAnsi="Baskerville" w:cs="Baskerville"/>
          <w:sz w:val="22"/>
          <w:szCs w:val="22"/>
        </w:rPr>
        <w:t>review</w:t>
      </w:r>
      <w:r w:rsidR="00A1039E">
        <w:rPr>
          <w:rFonts w:ascii="Baskerville" w:hAnsi="Baskerville" w:cs="Baskerville"/>
          <w:sz w:val="22"/>
          <w:szCs w:val="22"/>
        </w:rPr>
        <w:t xml:space="preserve"> </w:t>
      </w:r>
      <w:r w:rsidR="00ED5793" w:rsidRPr="00653918">
        <w:rPr>
          <w:rFonts w:ascii="Baskerville" w:hAnsi="Baskerville" w:cs="Baskerville"/>
          <w:sz w:val="22"/>
          <w:szCs w:val="22"/>
        </w:rPr>
        <w:t xml:space="preserve">how </w:t>
      </w:r>
      <w:r w:rsidR="009A4ECD" w:rsidRPr="00653918">
        <w:rPr>
          <w:rFonts w:ascii="Baskerville" w:hAnsi="Baskerville" w:cs="Baskerville"/>
          <w:sz w:val="22"/>
          <w:szCs w:val="22"/>
        </w:rPr>
        <w:t xml:space="preserve">gene discovery </w:t>
      </w:r>
      <w:r w:rsidR="00F565E4">
        <w:rPr>
          <w:rFonts w:ascii="Baskerville" w:hAnsi="Baskerville" w:cs="Baskerville"/>
          <w:sz w:val="22"/>
          <w:szCs w:val="22"/>
        </w:rPr>
        <w:t xml:space="preserve">in epilepsy </w:t>
      </w:r>
      <w:r w:rsidR="00F83153">
        <w:rPr>
          <w:rFonts w:ascii="Baskerville" w:hAnsi="Baskerville" w:cs="Baskerville"/>
          <w:sz w:val="22"/>
          <w:szCs w:val="22"/>
        </w:rPr>
        <w:t xml:space="preserve">is </w:t>
      </w:r>
      <w:r w:rsidR="00CC1957">
        <w:rPr>
          <w:rFonts w:ascii="Baskerville" w:hAnsi="Baskerville" w:cs="Baskerville"/>
          <w:sz w:val="22"/>
          <w:szCs w:val="22"/>
        </w:rPr>
        <w:t>influencing the clinical classification of epilepsy and</w:t>
      </w:r>
      <w:r w:rsidR="00F565E4">
        <w:rPr>
          <w:rFonts w:ascii="Baskerville" w:hAnsi="Baskerville" w:cs="Baskerville"/>
          <w:sz w:val="22"/>
          <w:szCs w:val="22"/>
        </w:rPr>
        <w:t xml:space="preserve"> informing new therapeuti</w:t>
      </w:r>
      <w:r w:rsidR="00CC1957">
        <w:rPr>
          <w:rFonts w:ascii="Baskerville" w:hAnsi="Baskerville" w:cs="Baskerville"/>
          <w:sz w:val="22"/>
          <w:szCs w:val="22"/>
        </w:rPr>
        <w:t>c approaches and drug discovery</w:t>
      </w:r>
      <w:r w:rsidR="006153B8" w:rsidRPr="00653918">
        <w:rPr>
          <w:rFonts w:ascii="Baskerville" w:hAnsi="Baskerville" w:cs="Baskerville"/>
          <w:sz w:val="22"/>
          <w:szCs w:val="22"/>
        </w:rPr>
        <w:t xml:space="preserve">. </w:t>
      </w:r>
    </w:p>
    <w:p w14:paraId="1AAFF02D" w14:textId="0125A803" w:rsidR="00A1039E" w:rsidRPr="00323EAE" w:rsidRDefault="00D32F8B" w:rsidP="00A77FA7">
      <w:pPr>
        <w:spacing w:line="360" w:lineRule="auto"/>
        <w:jc w:val="both"/>
        <w:rPr>
          <w:rFonts w:ascii="Baskerville" w:hAnsi="Baskerville" w:cs="Baskerville"/>
          <w:b/>
          <w:sz w:val="22"/>
          <w:szCs w:val="22"/>
        </w:rPr>
      </w:pPr>
      <w:r w:rsidRPr="00323EAE">
        <w:rPr>
          <w:rFonts w:ascii="Baskerville" w:hAnsi="Baskerville" w:cs="Baskerville"/>
          <w:b/>
          <w:sz w:val="22"/>
          <w:szCs w:val="22"/>
        </w:rPr>
        <w:t>Recent findings</w:t>
      </w:r>
    </w:p>
    <w:p w14:paraId="6A9DB201" w14:textId="05B3E67A" w:rsidR="00A1039E" w:rsidRDefault="00595E2F" w:rsidP="00A77FA7">
      <w:pPr>
        <w:spacing w:line="360" w:lineRule="auto"/>
        <w:jc w:val="both"/>
        <w:rPr>
          <w:rFonts w:ascii="Baskerville" w:hAnsi="Baskerville" w:cs="Baskerville"/>
          <w:sz w:val="22"/>
          <w:szCs w:val="22"/>
        </w:rPr>
      </w:pPr>
      <w:r>
        <w:rPr>
          <w:rFonts w:ascii="Baskerville" w:hAnsi="Baskerville" w:cs="Baskerville"/>
          <w:sz w:val="22"/>
          <w:szCs w:val="22"/>
        </w:rPr>
        <w:t>Recent studies highlighting the importance of mutation</w:t>
      </w:r>
      <w:r w:rsidR="00A2141E">
        <w:rPr>
          <w:rFonts w:ascii="Baskerville" w:hAnsi="Baskerville" w:cs="Baskerville"/>
          <w:sz w:val="22"/>
          <w:szCs w:val="22"/>
        </w:rPr>
        <w:t xml:space="preserve"> in GABA receptors, NMDA receptors, potassium channels, G-protein coupled recept</w:t>
      </w:r>
      <w:r w:rsidR="00200592">
        <w:rPr>
          <w:rFonts w:ascii="Baskerville" w:hAnsi="Baskerville" w:cs="Baskerville"/>
          <w:sz w:val="22"/>
          <w:szCs w:val="22"/>
        </w:rPr>
        <w:t>ors, mTOR pathway, and chromatin</w:t>
      </w:r>
      <w:r w:rsidR="00A2141E">
        <w:rPr>
          <w:rFonts w:ascii="Baskerville" w:hAnsi="Baskerville" w:cs="Baskerville"/>
          <w:sz w:val="22"/>
          <w:szCs w:val="22"/>
        </w:rPr>
        <w:t xml:space="preserve"> remodeling </w:t>
      </w:r>
      <w:r>
        <w:rPr>
          <w:rFonts w:ascii="Baskerville" w:hAnsi="Baskerville" w:cs="Baskerville"/>
          <w:sz w:val="22"/>
          <w:szCs w:val="22"/>
        </w:rPr>
        <w:t>are</w:t>
      </w:r>
      <w:r w:rsidR="00A2141E">
        <w:rPr>
          <w:rFonts w:ascii="Baskerville" w:hAnsi="Baskerville" w:cs="Baskerville"/>
          <w:sz w:val="22"/>
          <w:szCs w:val="22"/>
        </w:rPr>
        <w:t xml:space="preserve"> discussed. </w:t>
      </w:r>
      <w:r w:rsidR="007412E5">
        <w:rPr>
          <w:rFonts w:ascii="Baskerville" w:hAnsi="Baskerville" w:cs="Baskerville"/>
          <w:sz w:val="22"/>
          <w:szCs w:val="22"/>
        </w:rPr>
        <w:t xml:space="preserve">Examples of precision medicine </w:t>
      </w:r>
      <w:r w:rsidR="003815B5">
        <w:rPr>
          <w:rFonts w:ascii="Baskerville" w:hAnsi="Baskerville" w:cs="Baskerville"/>
          <w:sz w:val="22"/>
          <w:szCs w:val="22"/>
        </w:rPr>
        <w:t xml:space="preserve">in epilepsy </w:t>
      </w:r>
      <w:r w:rsidR="007412E5">
        <w:rPr>
          <w:rFonts w:ascii="Baskerville" w:hAnsi="Baskerville" w:cs="Baskerville"/>
          <w:sz w:val="22"/>
          <w:szCs w:val="22"/>
        </w:rPr>
        <w:t xml:space="preserve">targeting gain-of-function mutations in </w:t>
      </w:r>
      <w:r w:rsidR="007412E5" w:rsidRPr="007412E5">
        <w:rPr>
          <w:rFonts w:ascii="Baskerville" w:hAnsi="Baskerville" w:cs="Baskerville"/>
          <w:i/>
          <w:sz w:val="22"/>
          <w:szCs w:val="22"/>
        </w:rPr>
        <w:t>KCNT1</w:t>
      </w:r>
      <w:r w:rsidR="007412E5">
        <w:rPr>
          <w:rFonts w:ascii="Baskerville" w:hAnsi="Baskerville" w:cs="Baskerville"/>
          <w:sz w:val="22"/>
          <w:szCs w:val="22"/>
        </w:rPr>
        <w:t xml:space="preserve">, </w:t>
      </w:r>
      <w:r w:rsidR="007412E5" w:rsidRPr="007412E5">
        <w:rPr>
          <w:rFonts w:ascii="Baskerville" w:hAnsi="Baskerville" w:cs="Baskerville"/>
          <w:i/>
          <w:sz w:val="22"/>
          <w:szCs w:val="22"/>
        </w:rPr>
        <w:t>GRIN2A</w:t>
      </w:r>
      <w:r w:rsidR="007412E5">
        <w:rPr>
          <w:rFonts w:ascii="Baskerville" w:hAnsi="Baskerville" w:cs="Baskerville"/>
          <w:sz w:val="22"/>
          <w:szCs w:val="22"/>
        </w:rPr>
        <w:t xml:space="preserve">, </w:t>
      </w:r>
      <w:r w:rsidR="007412E5" w:rsidRPr="007412E5">
        <w:rPr>
          <w:rFonts w:ascii="Baskerville" w:hAnsi="Baskerville" w:cs="Baskerville"/>
          <w:i/>
          <w:sz w:val="22"/>
          <w:szCs w:val="22"/>
        </w:rPr>
        <w:t>GRIN2D</w:t>
      </w:r>
      <w:r w:rsidR="007412E5">
        <w:rPr>
          <w:rFonts w:ascii="Baskerville" w:hAnsi="Baskerville" w:cs="Baskerville"/>
          <w:sz w:val="22"/>
          <w:szCs w:val="22"/>
        </w:rPr>
        <w:t xml:space="preserve">, and </w:t>
      </w:r>
      <w:r w:rsidR="007412E5" w:rsidRPr="007412E5">
        <w:rPr>
          <w:rFonts w:ascii="Baskerville" w:hAnsi="Baskerville" w:cs="Baskerville"/>
          <w:i/>
          <w:sz w:val="22"/>
          <w:szCs w:val="22"/>
        </w:rPr>
        <w:t>SCN8A</w:t>
      </w:r>
      <w:r w:rsidR="007412E5">
        <w:rPr>
          <w:rFonts w:ascii="Baskerville" w:hAnsi="Baskerville" w:cs="Baskerville"/>
          <w:sz w:val="22"/>
          <w:szCs w:val="22"/>
        </w:rPr>
        <w:t xml:space="preserve"> are presented. </w:t>
      </w:r>
      <w:r w:rsidR="00BF35F0">
        <w:rPr>
          <w:rFonts w:ascii="Baskerville" w:hAnsi="Baskerville" w:cs="Baskerville"/>
          <w:sz w:val="22"/>
          <w:szCs w:val="22"/>
        </w:rPr>
        <w:t>Potential reasons for the</w:t>
      </w:r>
      <w:r w:rsidR="007412E5">
        <w:rPr>
          <w:rFonts w:ascii="Baskerville" w:hAnsi="Baskerville" w:cs="Baskerville"/>
          <w:sz w:val="22"/>
          <w:szCs w:val="22"/>
        </w:rPr>
        <w:t xml:space="preserve"> paucity of examples of precision medicine for loss-of-function mutations </w:t>
      </w:r>
      <w:r w:rsidR="00894653">
        <w:rPr>
          <w:rFonts w:ascii="Baskerville" w:hAnsi="Baskerville" w:cs="Baskerville"/>
          <w:sz w:val="22"/>
          <w:szCs w:val="22"/>
        </w:rPr>
        <w:t xml:space="preserve">or in </w:t>
      </w:r>
      <w:r w:rsidR="007412E5">
        <w:rPr>
          <w:rFonts w:ascii="Baskerville" w:hAnsi="Baskerville" w:cs="Baskerville"/>
          <w:sz w:val="22"/>
          <w:szCs w:val="22"/>
        </w:rPr>
        <w:t xml:space="preserve">non-ion channel epilepsy genes </w:t>
      </w:r>
      <w:r w:rsidR="00BF35F0">
        <w:rPr>
          <w:rFonts w:ascii="Baskerville" w:hAnsi="Baskerville" w:cs="Baskerville"/>
          <w:sz w:val="22"/>
          <w:szCs w:val="22"/>
        </w:rPr>
        <w:t>are</w:t>
      </w:r>
      <w:r w:rsidR="007412E5">
        <w:rPr>
          <w:rFonts w:ascii="Baskerville" w:hAnsi="Baskerville" w:cs="Baskerville"/>
          <w:sz w:val="22"/>
          <w:szCs w:val="22"/>
        </w:rPr>
        <w:t xml:space="preserve"> </w:t>
      </w:r>
      <w:r w:rsidR="00894653">
        <w:rPr>
          <w:rFonts w:ascii="Baskerville" w:hAnsi="Baskerville" w:cs="Baskerville"/>
          <w:sz w:val="22"/>
          <w:szCs w:val="22"/>
        </w:rPr>
        <w:t>explored</w:t>
      </w:r>
      <w:r w:rsidR="007412E5">
        <w:rPr>
          <w:rFonts w:ascii="Baskerville" w:hAnsi="Baskerville" w:cs="Baskerville"/>
          <w:sz w:val="22"/>
          <w:szCs w:val="22"/>
        </w:rPr>
        <w:t xml:space="preserve">. </w:t>
      </w:r>
      <w:r w:rsidR="00F565E4">
        <w:rPr>
          <w:rFonts w:ascii="Baskerville" w:hAnsi="Baskerville" w:cs="Baskerville"/>
          <w:sz w:val="22"/>
          <w:szCs w:val="22"/>
        </w:rPr>
        <w:t>We highlight how s</w:t>
      </w:r>
      <w:r w:rsidR="0028145D">
        <w:rPr>
          <w:rFonts w:ascii="Baskerville" w:hAnsi="Baskerville" w:cs="Baskerville"/>
          <w:sz w:val="22"/>
          <w:szCs w:val="22"/>
        </w:rPr>
        <w:t xml:space="preserve">ystems genetics and </w:t>
      </w:r>
      <w:r w:rsidR="00D96C08">
        <w:rPr>
          <w:rFonts w:ascii="Baskerville" w:hAnsi="Baskerville" w:cs="Baskerville"/>
          <w:sz w:val="22"/>
          <w:szCs w:val="22"/>
        </w:rPr>
        <w:t xml:space="preserve">gene network analyses </w:t>
      </w:r>
      <w:r w:rsidR="009F00DA">
        <w:rPr>
          <w:rFonts w:ascii="Baskerville" w:hAnsi="Baskerville" w:cs="Baskerville"/>
          <w:sz w:val="22"/>
          <w:szCs w:val="22"/>
        </w:rPr>
        <w:t xml:space="preserve">have </w:t>
      </w:r>
      <w:r w:rsidR="00982F5B">
        <w:rPr>
          <w:rFonts w:ascii="Baskerville" w:hAnsi="Baskerville" w:cs="Baskerville"/>
          <w:sz w:val="22"/>
          <w:szCs w:val="22"/>
        </w:rPr>
        <w:t>suggested</w:t>
      </w:r>
      <w:r w:rsidR="00D96C08">
        <w:rPr>
          <w:rFonts w:ascii="Baskerville" w:hAnsi="Baskerville" w:cs="Baskerville"/>
          <w:sz w:val="22"/>
          <w:szCs w:val="22"/>
        </w:rPr>
        <w:t xml:space="preserve"> </w:t>
      </w:r>
      <w:r w:rsidR="00982F5B">
        <w:rPr>
          <w:rFonts w:ascii="Baskerville" w:hAnsi="Baskerville" w:cs="Baskerville"/>
          <w:sz w:val="22"/>
          <w:szCs w:val="22"/>
        </w:rPr>
        <w:t>that pathways disrupted in</w:t>
      </w:r>
      <w:r w:rsidR="00370244">
        <w:rPr>
          <w:rFonts w:ascii="Baskerville" w:hAnsi="Baskerville" w:cs="Baskerville"/>
          <w:sz w:val="22"/>
          <w:szCs w:val="22"/>
        </w:rPr>
        <w:t xml:space="preserve"> </w:t>
      </w:r>
      <w:r w:rsidR="006B0743">
        <w:rPr>
          <w:rFonts w:ascii="Baskerville" w:hAnsi="Baskerville" w:cs="Baskerville"/>
          <w:sz w:val="22"/>
          <w:szCs w:val="22"/>
        </w:rPr>
        <w:t xml:space="preserve">epilepsy </w:t>
      </w:r>
      <w:r w:rsidR="00982F5B">
        <w:rPr>
          <w:rFonts w:ascii="Baskerville" w:hAnsi="Baskerville" w:cs="Baskerville"/>
          <w:sz w:val="22"/>
          <w:szCs w:val="22"/>
        </w:rPr>
        <w:t xml:space="preserve">overlap with those </w:t>
      </w:r>
      <w:r w:rsidR="00F565E4">
        <w:rPr>
          <w:rFonts w:ascii="Baskerville" w:hAnsi="Baskerville" w:cs="Baskerville"/>
          <w:sz w:val="22"/>
          <w:szCs w:val="22"/>
        </w:rPr>
        <w:t xml:space="preserve">of other </w:t>
      </w:r>
      <w:r w:rsidR="00D96C08">
        <w:rPr>
          <w:rFonts w:ascii="Baskerville" w:hAnsi="Baskerville" w:cs="Baskerville"/>
          <w:sz w:val="22"/>
          <w:szCs w:val="22"/>
        </w:rPr>
        <w:t xml:space="preserve">neurodevelopmental </w:t>
      </w:r>
      <w:r w:rsidR="006B0743">
        <w:rPr>
          <w:rFonts w:ascii="Baskerville" w:hAnsi="Baskerville" w:cs="Baskerville"/>
          <w:sz w:val="22"/>
          <w:szCs w:val="22"/>
        </w:rPr>
        <w:t xml:space="preserve">traits including </w:t>
      </w:r>
      <w:r w:rsidR="00370244">
        <w:rPr>
          <w:rFonts w:ascii="Baskerville" w:hAnsi="Baskerville" w:cs="Baskerville"/>
          <w:sz w:val="22"/>
          <w:szCs w:val="22"/>
        </w:rPr>
        <w:t xml:space="preserve">human </w:t>
      </w:r>
      <w:r w:rsidR="006B0743">
        <w:rPr>
          <w:rFonts w:ascii="Baskerville" w:hAnsi="Baskerville" w:cs="Baskerville"/>
          <w:sz w:val="22"/>
          <w:szCs w:val="22"/>
        </w:rPr>
        <w:t>cognition</w:t>
      </w:r>
      <w:r w:rsidR="00354232">
        <w:rPr>
          <w:rFonts w:ascii="Baskerville" w:hAnsi="Baskerville" w:cs="Baskerville"/>
          <w:sz w:val="22"/>
          <w:szCs w:val="22"/>
        </w:rPr>
        <w:t xml:space="preserve">. We </w:t>
      </w:r>
      <w:r w:rsidR="00F83153">
        <w:rPr>
          <w:rFonts w:ascii="Baskerville" w:hAnsi="Baskerville" w:cs="Baskerville"/>
          <w:sz w:val="22"/>
          <w:szCs w:val="22"/>
        </w:rPr>
        <w:t>review</w:t>
      </w:r>
      <w:r w:rsidR="00354232">
        <w:rPr>
          <w:rFonts w:ascii="Baskerville" w:hAnsi="Baskerville" w:cs="Baskerville"/>
          <w:sz w:val="22"/>
          <w:szCs w:val="22"/>
        </w:rPr>
        <w:t xml:space="preserve"> how n</w:t>
      </w:r>
      <w:r w:rsidR="00D23A82">
        <w:rPr>
          <w:rFonts w:ascii="Baskerville" w:hAnsi="Baskerville" w:cs="Baskerville"/>
          <w:sz w:val="22"/>
          <w:szCs w:val="22"/>
        </w:rPr>
        <w:t xml:space="preserve">etwork-based </w:t>
      </w:r>
      <w:r w:rsidR="00D96C08">
        <w:rPr>
          <w:rFonts w:ascii="Baskerville" w:hAnsi="Baskerville" w:cs="Baskerville"/>
          <w:sz w:val="22"/>
          <w:szCs w:val="22"/>
        </w:rPr>
        <w:t>computational approaches are now being applied to epilepsy</w:t>
      </w:r>
      <w:r w:rsidR="007412E5">
        <w:rPr>
          <w:rFonts w:ascii="Baskerville" w:hAnsi="Baskerville" w:cs="Baskerville"/>
          <w:sz w:val="22"/>
          <w:szCs w:val="22"/>
        </w:rPr>
        <w:t xml:space="preserve"> drug </w:t>
      </w:r>
      <w:r w:rsidR="00D96C08">
        <w:rPr>
          <w:rFonts w:ascii="Baskerville" w:hAnsi="Baskerville" w:cs="Baskerville"/>
          <w:sz w:val="22"/>
          <w:szCs w:val="22"/>
        </w:rPr>
        <w:t>discovery</w:t>
      </w:r>
      <w:r w:rsidR="007412E5">
        <w:rPr>
          <w:rFonts w:ascii="Baskerville" w:hAnsi="Baskerville" w:cs="Baskerville"/>
          <w:sz w:val="22"/>
          <w:szCs w:val="22"/>
        </w:rPr>
        <w:t xml:space="preserve">. </w:t>
      </w:r>
    </w:p>
    <w:p w14:paraId="1584DD7F" w14:textId="0E99822A" w:rsidR="00EA548B" w:rsidRPr="00EA548B" w:rsidRDefault="00EA548B" w:rsidP="00A77FA7">
      <w:pPr>
        <w:spacing w:line="360" w:lineRule="auto"/>
        <w:jc w:val="both"/>
        <w:rPr>
          <w:rFonts w:ascii="Baskerville" w:hAnsi="Baskerville" w:cs="Baskerville"/>
          <w:b/>
          <w:sz w:val="22"/>
          <w:szCs w:val="22"/>
        </w:rPr>
      </w:pPr>
      <w:r w:rsidRPr="00EA548B">
        <w:rPr>
          <w:rFonts w:ascii="Baskerville" w:hAnsi="Baskerville" w:cs="Baskerville"/>
          <w:b/>
          <w:sz w:val="22"/>
          <w:szCs w:val="22"/>
        </w:rPr>
        <w:t>Summary</w:t>
      </w:r>
    </w:p>
    <w:p w14:paraId="25321D44" w14:textId="5AAC3DDE" w:rsidR="00EA548B" w:rsidRDefault="00283811" w:rsidP="00A77FA7">
      <w:pPr>
        <w:spacing w:line="360" w:lineRule="auto"/>
        <w:jc w:val="both"/>
        <w:rPr>
          <w:rFonts w:ascii="Baskerville" w:hAnsi="Baskerville" w:cs="Baskerville"/>
          <w:sz w:val="22"/>
          <w:szCs w:val="22"/>
        </w:rPr>
      </w:pPr>
      <w:r>
        <w:rPr>
          <w:rFonts w:ascii="Baskerville" w:hAnsi="Baskerville" w:cs="Baskerville"/>
          <w:sz w:val="22"/>
          <w:szCs w:val="22"/>
        </w:rPr>
        <w:t xml:space="preserve">We are </w:t>
      </w:r>
      <w:r w:rsidR="0017729F">
        <w:rPr>
          <w:rFonts w:ascii="Baskerville" w:hAnsi="Baskerville" w:cs="Baskerville"/>
          <w:sz w:val="22"/>
          <w:szCs w:val="22"/>
        </w:rPr>
        <w:t xml:space="preserve">living </w:t>
      </w:r>
      <w:r>
        <w:rPr>
          <w:rFonts w:ascii="Baskerville" w:hAnsi="Baskerville" w:cs="Baskerville"/>
          <w:sz w:val="22"/>
          <w:szCs w:val="22"/>
        </w:rPr>
        <w:t xml:space="preserve">in an unparalleled </w:t>
      </w:r>
      <w:r w:rsidR="001E381F">
        <w:rPr>
          <w:rFonts w:ascii="Baskerville" w:hAnsi="Baskerville" w:cs="Baskerville"/>
          <w:sz w:val="22"/>
          <w:szCs w:val="22"/>
        </w:rPr>
        <w:t xml:space="preserve">era of </w:t>
      </w:r>
      <w:r w:rsidR="001B69E3">
        <w:rPr>
          <w:rFonts w:ascii="Baskerville" w:hAnsi="Baskerville" w:cs="Baskerville"/>
          <w:sz w:val="22"/>
          <w:szCs w:val="22"/>
        </w:rPr>
        <w:t xml:space="preserve">epilepsy </w:t>
      </w:r>
      <w:r>
        <w:rPr>
          <w:rFonts w:ascii="Baskerville" w:hAnsi="Baskerville" w:cs="Baskerville"/>
          <w:sz w:val="22"/>
          <w:szCs w:val="22"/>
        </w:rPr>
        <w:t xml:space="preserve">gene discovery. Advances in clinical care </w:t>
      </w:r>
      <w:r w:rsidR="002D3F3F">
        <w:rPr>
          <w:rFonts w:ascii="Baskerville" w:hAnsi="Baskerville" w:cs="Baskerville"/>
          <w:sz w:val="22"/>
          <w:szCs w:val="22"/>
        </w:rPr>
        <w:t xml:space="preserve">from this progress </w:t>
      </w:r>
      <w:r w:rsidR="0017729F">
        <w:rPr>
          <w:rFonts w:ascii="Baskerville" w:hAnsi="Baskerville" w:cs="Baskerville"/>
          <w:sz w:val="22"/>
          <w:szCs w:val="22"/>
        </w:rPr>
        <w:t>are</w:t>
      </w:r>
      <w:r>
        <w:rPr>
          <w:rFonts w:ascii="Baskerville" w:hAnsi="Baskerville" w:cs="Baskerville"/>
          <w:sz w:val="22"/>
          <w:szCs w:val="22"/>
        </w:rPr>
        <w:t xml:space="preserve"> already </w:t>
      </w:r>
      <w:r w:rsidR="00D663CF">
        <w:rPr>
          <w:rFonts w:ascii="Baskerville" w:hAnsi="Baskerville" w:cs="Baskerville"/>
          <w:sz w:val="22"/>
          <w:szCs w:val="22"/>
        </w:rPr>
        <w:t>materializing</w:t>
      </w:r>
      <w:r>
        <w:rPr>
          <w:rFonts w:ascii="Baskerville" w:hAnsi="Baskerville" w:cs="Baskerville"/>
          <w:sz w:val="22"/>
          <w:szCs w:val="22"/>
        </w:rPr>
        <w:t xml:space="preserve"> through improved clinical diagnosis</w:t>
      </w:r>
      <w:r w:rsidR="00F158B9">
        <w:rPr>
          <w:rFonts w:ascii="Baskerville" w:hAnsi="Baskerville" w:cs="Baskerville"/>
          <w:sz w:val="22"/>
          <w:szCs w:val="22"/>
        </w:rPr>
        <w:t xml:space="preserve"> and stratified medicine</w:t>
      </w:r>
      <w:r w:rsidR="00384446">
        <w:rPr>
          <w:rFonts w:ascii="Baskerville" w:hAnsi="Baskerville" w:cs="Baskerville"/>
          <w:sz w:val="22"/>
          <w:szCs w:val="22"/>
        </w:rPr>
        <w:t>. T</w:t>
      </w:r>
      <w:r w:rsidR="00E75DE0">
        <w:rPr>
          <w:rFonts w:ascii="Baskerville" w:hAnsi="Baskerville" w:cs="Baskerville"/>
          <w:sz w:val="22"/>
          <w:szCs w:val="22"/>
        </w:rPr>
        <w:t xml:space="preserve">he application of targeted drug </w:t>
      </w:r>
      <w:r w:rsidR="00D10BA8">
        <w:rPr>
          <w:rFonts w:ascii="Baskerville" w:hAnsi="Baskerville" w:cs="Baskerville"/>
          <w:sz w:val="22"/>
          <w:szCs w:val="22"/>
        </w:rPr>
        <w:t>repurposing</w:t>
      </w:r>
      <w:r w:rsidR="00E75DE0">
        <w:rPr>
          <w:rFonts w:ascii="Baskerville" w:hAnsi="Baskerville" w:cs="Baskerville"/>
          <w:sz w:val="22"/>
          <w:szCs w:val="22"/>
        </w:rPr>
        <w:t xml:space="preserve"> </w:t>
      </w:r>
      <w:r w:rsidR="00384446">
        <w:rPr>
          <w:rFonts w:ascii="Baskerville" w:hAnsi="Baskerville" w:cs="Baskerville"/>
          <w:sz w:val="22"/>
          <w:szCs w:val="22"/>
        </w:rPr>
        <w:t xml:space="preserve">based on single gene defects has shown promise for epilepsy arising from </w:t>
      </w:r>
      <w:r w:rsidR="003F54CF">
        <w:rPr>
          <w:rFonts w:ascii="Baskerville" w:hAnsi="Baskerville" w:cs="Baskerville"/>
          <w:sz w:val="22"/>
          <w:szCs w:val="22"/>
        </w:rPr>
        <w:t>gain-of-</w:t>
      </w:r>
      <w:r w:rsidR="00384446">
        <w:rPr>
          <w:rFonts w:ascii="Baskerville" w:hAnsi="Baskerville" w:cs="Baskerville"/>
          <w:sz w:val="22"/>
          <w:szCs w:val="22"/>
        </w:rPr>
        <w:t xml:space="preserve">function </w:t>
      </w:r>
      <w:r w:rsidR="00896A82">
        <w:rPr>
          <w:rFonts w:ascii="Baskerville" w:hAnsi="Baskerville" w:cs="Baskerville"/>
          <w:sz w:val="22"/>
          <w:szCs w:val="22"/>
        </w:rPr>
        <w:t>mutation</w:t>
      </w:r>
      <w:r w:rsidR="009850B8">
        <w:rPr>
          <w:rFonts w:ascii="Baskerville" w:hAnsi="Baskerville" w:cs="Baskerville"/>
          <w:sz w:val="22"/>
          <w:szCs w:val="22"/>
        </w:rPr>
        <w:t>s</w:t>
      </w:r>
      <w:r w:rsidR="00896A82">
        <w:rPr>
          <w:rFonts w:ascii="Baskerville" w:hAnsi="Baskerville" w:cs="Baskerville"/>
          <w:sz w:val="22"/>
          <w:szCs w:val="22"/>
        </w:rPr>
        <w:t xml:space="preserve"> in </w:t>
      </w:r>
      <w:r w:rsidR="00384446">
        <w:rPr>
          <w:rFonts w:ascii="Baskerville" w:hAnsi="Baskerville" w:cs="Baskerville"/>
          <w:sz w:val="22"/>
          <w:szCs w:val="22"/>
        </w:rPr>
        <w:t xml:space="preserve">ion-channel </w:t>
      </w:r>
      <w:r w:rsidR="00896A82">
        <w:rPr>
          <w:rFonts w:ascii="Baskerville" w:hAnsi="Baskerville" w:cs="Baskerville"/>
          <w:sz w:val="22"/>
          <w:szCs w:val="22"/>
        </w:rPr>
        <w:t>subunit genes</w:t>
      </w:r>
      <w:r w:rsidR="00384446">
        <w:rPr>
          <w:rFonts w:ascii="Baskerville" w:hAnsi="Baskerville" w:cs="Baskerville"/>
          <w:sz w:val="22"/>
          <w:szCs w:val="22"/>
        </w:rPr>
        <w:t xml:space="preserve">, but </w:t>
      </w:r>
      <w:r w:rsidR="00193674">
        <w:rPr>
          <w:rFonts w:ascii="Baskerville" w:hAnsi="Baskerville" w:cs="Baskerville"/>
          <w:sz w:val="22"/>
          <w:szCs w:val="22"/>
        </w:rPr>
        <w:t>important</w:t>
      </w:r>
      <w:r w:rsidR="00E75DE0">
        <w:rPr>
          <w:rFonts w:ascii="Baskerville" w:hAnsi="Baskerville" w:cs="Baskerville"/>
          <w:sz w:val="22"/>
          <w:szCs w:val="22"/>
        </w:rPr>
        <w:t xml:space="preserve"> </w:t>
      </w:r>
      <w:r w:rsidR="00896A82">
        <w:rPr>
          <w:rFonts w:ascii="Baskerville" w:hAnsi="Baskerville" w:cs="Baskerville"/>
          <w:sz w:val="22"/>
          <w:szCs w:val="22"/>
        </w:rPr>
        <w:t>barriers</w:t>
      </w:r>
      <w:r w:rsidR="00384446">
        <w:rPr>
          <w:rFonts w:ascii="Baskerville" w:hAnsi="Baskerville" w:cs="Baskerville"/>
          <w:sz w:val="22"/>
          <w:szCs w:val="22"/>
        </w:rPr>
        <w:t xml:space="preserve"> remain to translating these approaches to non-ion channel epilepsy genes and </w:t>
      </w:r>
      <w:r w:rsidR="003F54CF">
        <w:rPr>
          <w:rFonts w:ascii="Baskerville" w:hAnsi="Baskerville" w:cs="Baskerville"/>
          <w:sz w:val="22"/>
          <w:szCs w:val="22"/>
        </w:rPr>
        <w:t>loss-of-</w:t>
      </w:r>
      <w:r w:rsidR="00384446">
        <w:rPr>
          <w:rFonts w:ascii="Baskerville" w:hAnsi="Baskerville" w:cs="Baskerville"/>
          <w:sz w:val="22"/>
          <w:szCs w:val="22"/>
        </w:rPr>
        <w:t xml:space="preserve">function mutations. Gene network analysis offers </w:t>
      </w:r>
      <w:r w:rsidR="00EC77E8">
        <w:rPr>
          <w:rFonts w:ascii="Baskerville" w:hAnsi="Baskerville" w:cs="Baskerville"/>
          <w:sz w:val="22"/>
          <w:szCs w:val="22"/>
        </w:rPr>
        <w:t>opportunities</w:t>
      </w:r>
      <w:r w:rsidR="00384446">
        <w:rPr>
          <w:rFonts w:ascii="Baskerville" w:hAnsi="Baskerville" w:cs="Baskerville"/>
          <w:sz w:val="22"/>
          <w:szCs w:val="22"/>
        </w:rPr>
        <w:t xml:space="preserve"> to discover new pathways </w:t>
      </w:r>
      <w:r w:rsidR="003F54CF">
        <w:rPr>
          <w:rFonts w:ascii="Baskerville" w:hAnsi="Baskerville" w:cs="Baskerville"/>
          <w:sz w:val="22"/>
          <w:szCs w:val="22"/>
        </w:rPr>
        <w:t>for</w:t>
      </w:r>
      <w:r w:rsidR="00384446">
        <w:rPr>
          <w:rFonts w:ascii="Baskerville" w:hAnsi="Baskerville" w:cs="Baskerville"/>
          <w:sz w:val="22"/>
          <w:szCs w:val="22"/>
        </w:rPr>
        <w:t xml:space="preserve"> epilepsy</w:t>
      </w:r>
      <w:r w:rsidR="000D07E5">
        <w:rPr>
          <w:rFonts w:ascii="Baskerville" w:hAnsi="Baskerville" w:cs="Baskerville"/>
          <w:sz w:val="22"/>
          <w:szCs w:val="22"/>
        </w:rPr>
        <w:t xml:space="preserve">, to decipher </w:t>
      </w:r>
      <w:r w:rsidR="009850B8">
        <w:rPr>
          <w:rFonts w:ascii="Baskerville" w:hAnsi="Baskerville" w:cs="Baskerville"/>
          <w:sz w:val="22"/>
          <w:szCs w:val="22"/>
        </w:rPr>
        <w:t>epilepsy’s</w:t>
      </w:r>
      <w:r w:rsidR="000D07E5">
        <w:rPr>
          <w:rFonts w:ascii="Baskerville" w:hAnsi="Baskerville" w:cs="Baskerville"/>
          <w:sz w:val="22"/>
          <w:szCs w:val="22"/>
        </w:rPr>
        <w:t xml:space="preserve"> relationship </w:t>
      </w:r>
      <w:r w:rsidR="00351906">
        <w:rPr>
          <w:rFonts w:ascii="Baskerville" w:hAnsi="Baskerville" w:cs="Baskerville"/>
          <w:sz w:val="22"/>
          <w:szCs w:val="22"/>
        </w:rPr>
        <w:t>to</w:t>
      </w:r>
      <w:r w:rsidR="000D07E5">
        <w:rPr>
          <w:rFonts w:ascii="Baskerville" w:hAnsi="Baskerville" w:cs="Baskerville"/>
          <w:sz w:val="22"/>
          <w:szCs w:val="22"/>
        </w:rPr>
        <w:t xml:space="preserve"> other neurodevelopmental traits,</w:t>
      </w:r>
      <w:r w:rsidR="00384446">
        <w:rPr>
          <w:rFonts w:ascii="Baskerville" w:hAnsi="Baskerville" w:cs="Baskerville"/>
          <w:sz w:val="22"/>
          <w:szCs w:val="22"/>
        </w:rPr>
        <w:t xml:space="preserve"> and to frame a new </w:t>
      </w:r>
      <w:r w:rsidR="003F54CF">
        <w:rPr>
          <w:rFonts w:ascii="Baskerville" w:hAnsi="Baskerville" w:cs="Baskerville"/>
          <w:sz w:val="22"/>
          <w:szCs w:val="22"/>
        </w:rPr>
        <w:t>approach</w:t>
      </w:r>
      <w:r w:rsidR="00384446">
        <w:rPr>
          <w:rFonts w:ascii="Baskerville" w:hAnsi="Baskerville" w:cs="Baskerville"/>
          <w:sz w:val="22"/>
          <w:szCs w:val="22"/>
        </w:rPr>
        <w:t xml:space="preserve"> </w:t>
      </w:r>
      <w:r w:rsidR="003F54CF">
        <w:rPr>
          <w:rFonts w:ascii="Baskerville" w:hAnsi="Baskerville" w:cs="Baskerville"/>
          <w:sz w:val="22"/>
          <w:szCs w:val="22"/>
        </w:rPr>
        <w:t>to</w:t>
      </w:r>
      <w:r w:rsidR="00384446">
        <w:rPr>
          <w:rFonts w:ascii="Baskerville" w:hAnsi="Baskerville" w:cs="Baskerville"/>
          <w:sz w:val="22"/>
          <w:szCs w:val="22"/>
        </w:rPr>
        <w:t xml:space="preserve"> epilepsy drug discovery. </w:t>
      </w:r>
    </w:p>
    <w:p w14:paraId="1C60B20C" w14:textId="77777777" w:rsidR="00A53DEB" w:rsidRDefault="00A53DEB" w:rsidP="00A77FA7">
      <w:pPr>
        <w:spacing w:line="360" w:lineRule="auto"/>
        <w:jc w:val="both"/>
        <w:rPr>
          <w:rFonts w:ascii="Baskerville" w:hAnsi="Baskerville" w:cs="Baskerville"/>
          <w:sz w:val="22"/>
          <w:szCs w:val="22"/>
        </w:rPr>
      </w:pPr>
    </w:p>
    <w:p w14:paraId="6C1D35EC" w14:textId="1AC46412" w:rsidR="00A77FA7" w:rsidRPr="00CA5FD4" w:rsidRDefault="00F217C5" w:rsidP="00A77FA7">
      <w:pPr>
        <w:spacing w:line="360" w:lineRule="auto"/>
        <w:jc w:val="both"/>
        <w:rPr>
          <w:rFonts w:ascii="Baskerville" w:hAnsi="Baskerville" w:cs="Baskerville"/>
          <w:b/>
          <w:sz w:val="22"/>
          <w:szCs w:val="22"/>
        </w:rPr>
      </w:pPr>
      <w:r>
        <w:rPr>
          <w:rFonts w:ascii="Baskerville" w:hAnsi="Baskerville" w:cs="Baskerville"/>
          <w:b/>
          <w:sz w:val="22"/>
          <w:szCs w:val="22"/>
        </w:rPr>
        <w:t>KEY WORDS</w:t>
      </w:r>
    </w:p>
    <w:p w14:paraId="72781665" w14:textId="091B8BBC" w:rsidR="00CA5FD4" w:rsidRPr="00653918" w:rsidRDefault="008934F2" w:rsidP="00A77FA7">
      <w:pPr>
        <w:spacing w:line="360" w:lineRule="auto"/>
        <w:jc w:val="both"/>
        <w:rPr>
          <w:rFonts w:ascii="Baskerville" w:hAnsi="Baskerville" w:cs="Baskerville"/>
          <w:sz w:val="22"/>
          <w:szCs w:val="22"/>
        </w:rPr>
      </w:pPr>
      <w:r>
        <w:rPr>
          <w:rFonts w:ascii="Baskerville" w:hAnsi="Baskerville" w:cs="Baskerville"/>
          <w:sz w:val="22"/>
          <w:szCs w:val="22"/>
        </w:rPr>
        <w:t xml:space="preserve">Epilepsy, genetics, systems genetics, </w:t>
      </w:r>
      <w:r w:rsidR="001D0369">
        <w:rPr>
          <w:rFonts w:ascii="Baskerville" w:hAnsi="Baskerville" w:cs="Baskerville"/>
          <w:sz w:val="22"/>
          <w:szCs w:val="22"/>
        </w:rPr>
        <w:t xml:space="preserve">networks, </w:t>
      </w:r>
      <w:r w:rsidR="00097B05">
        <w:rPr>
          <w:rFonts w:ascii="Baskerville" w:hAnsi="Baskerville" w:cs="Baskerville"/>
          <w:sz w:val="22"/>
          <w:szCs w:val="22"/>
        </w:rPr>
        <w:t>next generation sequencing, precision medicine</w:t>
      </w:r>
      <w:r w:rsidR="00056522">
        <w:rPr>
          <w:rFonts w:ascii="Baskerville" w:hAnsi="Baskerville" w:cs="Baskerville"/>
          <w:sz w:val="22"/>
          <w:szCs w:val="22"/>
        </w:rPr>
        <w:t xml:space="preserve">, drug discovery. </w:t>
      </w:r>
      <w:r w:rsidR="00097B05">
        <w:rPr>
          <w:rFonts w:ascii="Baskerville" w:hAnsi="Baskerville" w:cs="Baskerville"/>
          <w:sz w:val="22"/>
          <w:szCs w:val="22"/>
        </w:rPr>
        <w:t xml:space="preserve"> </w:t>
      </w:r>
    </w:p>
    <w:p w14:paraId="37AA9A97" w14:textId="77777777" w:rsidR="00A77FA7" w:rsidRPr="00653918" w:rsidRDefault="00A77FA7" w:rsidP="00A77FA7">
      <w:pPr>
        <w:spacing w:line="360" w:lineRule="auto"/>
        <w:jc w:val="both"/>
        <w:rPr>
          <w:rFonts w:ascii="Baskerville" w:hAnsi="Baskerville" w:cs="Baskerville"/>
          <w:sz w:val="22"/>
          <w:szCs w:val="22"/>
        </w:rPr>
      </w:pPr>
    </w:p>
    <w:p w14:paraId="4B416986" w14:textId="74A8D23E" w:rsidR="00A77FA7" w:rsidRPr="00602FF1" w:rsidRDefault="00602FF1" w:rsidP="00A77FA7">
      <w:pPr>
        <w:spacing w:line="360" w:lineRule="auto"/>
        <w:jc w:val="both"/>
        <w:rPr>
          <w:rFonts w:ascii="Baskerville" w:hAnsi="Baskerville" w:cs="Baskerville"/>
          <w:b/>
          <w:sz w:val="22"/>
          <w:szCs w:val="22"/>
        </w:rPr>
      </w:pPr>
      <w:r>
        <w:rPr>
          <w:rFonts w:ascii="Baskerville" w:hAnsi="Baskerville" w:cs="Baskerville"/>
          <w:b/>
          <w:sz w:val="22"/>
          <w:szCs w:val="22"/>
        </w:rPr>
        <w:t>KEY POINTS</w:t>
      </w:r>
    </w:p>
    <w:p w14:paraId="72AA13DF" w14:textId="1F30E58B" w:rsidR="00602FF1" w:rsidRDefault="00602FF1" w:rsidP="00602FF1">
      <w:pPr>
        <w:pStyle w:val="ListParagraph"/>
        <w:numPr>
          <w:ilvl w:val="0"/>
          <w:numId w:val="2"/>
        </w:numPr>
        <w:spacing w:line="360" w:lineRule="auto"/>
        <w:jc w:val="both"/>
        <w:rPr>
          <w:rFonts w:ascii="Baskerville" w:hAnsi="Baskerville" w:cs="Baskerville"/>
          <w:sz w:val="22"/>
          <w:szCs w:val="22"/>
        </w:rPr>
      </w:pPr>
      <w:r w:rsidRPr="00602FF1">
        <w:rPr>
          <w:rFonts w:ascii="Baskerville" w:hAnsi="Baskerville" w:cs="Baskerville"/>
          <w:sz w:val="22"/>
          <w:szCs w:val="22"/>
        </w:rPr>
        <w:t xml:space="preserve">Next generation sequencing has </w:t>
      </w:r>
      <w:r w:rsidR="00E935DD">
        <w:rPr>
          <w:rFonts w:ascii="Baskerville" w:hAnsi="Baskerville" w:cs="Baskerville"/>
          <w:sz w:val="22"/>
          <w:szCs w:val="22"/>
        </w:rPr>
        <w:t>enabled</w:t>
      </w:r>
      <w:r w:rsidRPr="00602FF1">
        <w:rPr>
          <w:rFonts w:ascii="Baskerville" w:hAnsi="Baskerville" w:cs="Baskerville"/>
          <w:sz w:val="22"/>
          <w:szCs w:val="22"/>
        </w:rPr>
        <w:t xml:space="preserve"> rapid progress in gene discovery for epilepsy </w:t>
      </w:r>
      <w:r w:rsidR="00A11B04">
        <w:rPr>
          <w:rFonts w:ascii="Baskerville" w:hAnsi="Baskerville" w:cs="Baskerville"/>
          <w:sz w:val="22"/>
          <w:szCs w:val="22"/>
        </w:rPr>
        <w:t>and this has</w:t>
      </w:r>
      <w:r w:rsidRPr="00602FF1">
        <w:rPr>
          <w:rFonts w:ascii="Baskerville" w:hAnsi="Baskerville" w:cs="Baskerville"/>
          <w:sz w:val="22"/>
          <w:szCs w:val="22"/>
        </w:rPr>
        <w:t xml:space="preserve"> already led to material advances in clinical diagnosis</w:t>
      </w:r>
      <w:r w:rsidR="00C5405A">
        <w:rPr>
          <w:rFonts w:ascii="Baskerville" w:hAnsi="Baskerville" w:cs="Baskerville"/>
          <w:sz w:val="22"/>
          <w:szCs w:val="22"/>
        </w:rPr>
        <w:t xml:space="preserve"> and care</w:t>
      </w:r>
      <w:r w:rsidRPr="00602FF1">
        <w:rPr>
          <w:rFonts w:ascii="Baskerville" w:hAnsi="Baskerville" w:cs="Baskerville"/>
          <w:sz w:val="22"/>
          <w:szCs w:val="22"/>
        </w:rPr>
        <w:t xml:space="preserve">. </w:t>
      </w:r>
    </w:p>
    <w:p w14:paraId="64EAE9A2" w14:textId="2CB03C4B" w:rsidR="00602FF1" w:rsidRDefault="00B72B96" w:rsidP="00602FF1">
      <w:pPr>
        <w:pStyle w:val="ListParagraph"/>
        <w:numPr>
          <w:ilvl w:val="0"/>
          <w:numId w:val="2"/>
        </w:numPr>
        <w:spacing w:line="360" w:lineRule="auto"/>
        <w:jc w:val="both"/>
        <w:rPr>
          <w:rFonts w:ascii="Baskerville" w:hAnsi="Baskerville" w:cs="Baskerville"/>
          <w:sz w:val="22"/>
          <w:szCs w:val="22"/>
        </w:rPr>
      </w:pPr>
      <w:r>
        <w:rPr>
          <w:rFonts w:ascii="Baskerville" w:hAnsi="Baskerville" w:cs="Baskerville"/>
          <w:sz w:val="22"/>
          <w:szCs w:val="22"/>
        </w:rPr>
        <w:t xml:space="preserve">Epilepsy genetics has implications for the classification of epilepsy, which will evolve with time and requires an agreed framework of terminology. </w:t>
      </w:r>
      <w:r w:rsidR="005A3969">
        <w:rPr>
          <w:rFonts w:ascii="Baskerville" w:hAnsi="Baskerville" w:cs="Baskerville"/>
          <w:sz w:val="22"/>
          <w:szCs w:val="22"/>
        </w:rPr>
        <w:t xml:space="preserve">This includes a </w:t>
      </w:r>
      <w:r w:rsidR="005B1B9D">
        <w:rPr>
          <w:rFonts w:ascii="Baskerville" w:hAnsi="Baskerville" w:cs="Baskerville"/>
          <w:sz w:val="22"/>
          <w:szCs w:val="22"/>
        </w:rPr>
        <w:t xml:space="preserve">need </w:t>
      </w:r>
      <w:r w:rsidR="003743D8">
        <w:rPr>
          <w:rFonts w:ascii="Baskerville" w:hAnsi="Baskerville" w:cs="Baskerville"/>
          <w:sz w:val="22"/>
          <w:szCs w:val="22"/>
        </w:rPr>
        <w:t>to understand</w:t>
      </w:r>
      <w:r w:rsidR="005A3969">
        <w:rPr>
          <w:rFonts w:ascii="Baskerville" w:hAnsi="Baskerville" w:cs="Baskerville"/>
          <w:sz w:val="22"/>
          <w:szCs w:val="22"/>
        </w:rPr>
        <w:t xml:space="preserve"> </w:t>
      </w:r>
      <w:r w:rsidR="005B1B9D">
        <w:rPr>
          <w:rFonts w:ascii="Baskerville" w:hAnsi="Baskerville" w:cs="Baskerville"/>
          <w:sz w:val="22"/>
          <w:szCs w:val="22"/>
        </w:rPr>
        <w:t>the relationship between</w:t>
      </w:r>
      <w:r w:rsidR="005A3969">
        <w:rPr>
          <w:rFonts w:ascii="Baskerville" w:hAnsi="Baskerville" w:cs="Baskerville"/>
          <w:sz w:val="22"/>
          <w:szCs w:val="22"/>
        </w:rPr>
        <w:t xml:space="preserve"> the genetic </w:t>
      </w:r>
      <w:r w:rsidR="003743D8">
        <w:rPr>
          <w:rFonts w:ascii="Baskerville" w:hAnsi="Baskerville" w:cs="Baskerville"/>
          <w:sz w:val="22"/>
          <w:szCs w:val="22"/>
        </w:rPr>
        <w:t>underpinnings</w:t>
      </w:r>
      <w:r w:rsidR="005A3969">
        <w:rPr>
          <w:rFonts w:ascii="Baskerville" w:hAnsi="Baskerville" w:cs="Baskerville"/>
          <w:sz w:val="22"/>
          <w:szCs w:val="22"/>
        </w:rPr>
        <w:t xml:space="preserve"> of epilepsy and other neurodevelopmental diseases. </w:t>
      </w:r>
    </w:p>
    <w:p w14:paraId="515B2C75" w14:textId="4A808604" w:rsidR="00E1581D" w:rsidRPr="007465FB" w:rsidRDefault="00502205" w:rsidP="00E1581D">
      <w:pPr>
        <w:pStyle w:val="ListParagraph"/>
        <w:numPr>
          <w:ilvl w:val="0"/>
          <w:numId w:val="2"/>
        </w:numPr>
        <w:spacing w:line="360" w:lineRule="auto"/>
        <w:jc w:val="both"/>
        <w:rPr>
          <w:rFonts w:ascii="Baskerville" w:hAnsi="Baskerville" w:cs="Baskerville"/>
          <w:sz w:val="22"/>
          <w:szCs w:val="22"/>
        </w:rPr>
      </w:pPr>
      <w:r>
        <w:rPr>
          <w:rFonts w:ascii="Baskerville" w:hAnsi="Baskerville" w:cs="Baskerville"/>
          <w:sz w:val="22"/>
          <w:szCs w:val="22"/>
        </w:rPr>
        <w:lastRenderedPageBreak/>
        <w:t xml:space="preserve">There is optimism that drug therapy </w:t>
      </w:r>
      <w:r w:rsidR="00B42084">
        <w:rPr>
          <w:rFonts w:ascii="Baskerville" w:hAnsi="Baskerville" w:cs="Baskerville"/>
          <w:sz w:val="22"/>
          <w:szCs w:val="22"/>
        </w:rPr>
        <w:t xml:space="preserve">for epilepsy </w:t>
      </w:r>
      <w:r>
        <w:rPr>
          <w:rFonts w:ascii="Baskerville" w:hAnsi="Baskerville" w:cs="Baskerville"/>
          <w:sz w:val="22"/>
          <w:szCs w:val="22"/>
        </w:rPr>
        <w:t xml:space="preserve">can be targeted to the underlying </w:t>
      </w:r>
      <w:r w:rsidR="00983845">
        <w:rPr>
          <w:rFonts w:ascii="Baskerville" w:hAnsi="Baskerville" w:cs="Baskerville"/>
          <w:sz w:val="22"/>
          <w:szCs w:val="22"/>
        </w:rPr>
        <w:t>genetic etiology, but to date examples of precision medicine are</w:t>
      </w:r>
      <w:r w:rsidR="00C25425">
        <w:rPr>
          <w:rFonts w:ascii="Baskerville" w:hAnsi="Baskerville" w:cs="Baskerville"/>
          <w:sz w:val="22"/>
          <w:szCs w:val="22"/>
        </w:rPr>
        <w:t xml:space="preserve"> mostly</w:t>
      </w:r>
      <w:r w:rsidR="00983845">
        <w:rPr>
          <w:rFonts w:ascii="Baskerville" w:hAnsi="Baskerville" w:cs="Baskerville"/>
          <w:sz w:val="22"/>
          <w:szCs w:val="22"/>
        </w:rPr>
        <w:t xml:space="preserve"> in gain-of-function mutations in ion-channel </w:t>
      </w:r>
      <w:r w:rsidR="00C25425">
        <w:rPr>
          <w:rFonts w:ascii="Baskerville" w:hAnsi="Baskerville" w:cs="Baskerville"/>
          <w:sz w:val="22"/>
          <w:szCs w:val="22"/>
        </w:rPr>
        <w:t xml:space="preserve">genes. This highlights </w:t>
      </w:r>
      <w:r w:rsidR="00983845">
        <w:rPr>
          <w:rFonts w:ascii="Baskerville" w:hAnsi="Baskerville" w:cs="Baskerville"/>
          <w:sz w:val="22"/>
          <w:szCs w:val="22"/>
        </w:rPr>
        <w:t xml:space="preserve">a need </w:t>
      </w:r>
      <w:r w:rsidR="003943B5">
        <w:rPr>
          <w:rFonts w:ascii="Baskerville" w:hAnsi="Baskerville" w:cs="Baskerville"/>
          <w:sz w:val="22"/>
          <w:szCs w:val="22"/>
        </w:rPr>
        <w:t>to develop</w:t>
      </w:r>
      <w:r w:rsidR="00983845">
        <w:rPr>
          <w:rFonts w:ascii="Baskerville" w:hAnsi="Baskerville" w:cs="Baskerville"/>
          <w:sz w:val="22"/>
          <w:szCs w:val="22"/>
        </w:rPr>
        <w:t xml:space="preserve"> </w:t>
      </w:r>
      <w:r w:rsidR="008F6EC0">
        <w:rPr>
          <w:rFonts w:ascii="Baskerville" w:hAnsi="Baskerville" w:cs="Baskerville"/>
          <w:sz w:val="22"/>
          <w:szCs w:val="22"/>
        </w:rPr>
        <w:t xml:space="preserve">new </w:t>
      </w:r>
      <w:r w:rsidR="00983845">
        <w:rPr>
          <w:rFonts w:ascii="Baskerville" w:hAnsi="Baskerville" w:cs="Baskerville"/>
          <w:sz w:val="22"/>
          <w:szCs w:val="22"/>
        </w:rPr>
        <w:t xml:space="preserve">approaches </w:t>
      </w:r>
      <w:r w:rsidR="00C25425">
        <w:rPr>
          <w:rFonts w:ascii="Baskerville" w:hAnsi="Baskerville" w:cs="Baskerville"/>
          <w:sz w:val="22"/>
          <w:szCs w:val="22"/>
        </w:rPr>
        <w:t xml:space="preserve">to drug discovery in epilepsy </w:t>
      </w:r>
      <w:r w:rsidR="00983845">
        <w:rPr>
          <w:rFonts w:ascii="Baskerville" w:hAnsi="Baskerville" w:cs="Baskerville"/>
          <w:sz w:val="22"/>
          <w:szCs w:val="22"/>
        </w:rPr>
        <w:t>that address non-ion channel epilepsy genes a</w:t>
      </w:r>
      <w:r w:rsidR="003943B5">
        <w:rPr>
          <w:rFonts w:ascii="Baskerville" w:hAnsi="Baskerville" w:cs="Baskerville"/>
          <w:sz w:val="22"/>
          <w:szCs w:val="22"/>
        </w:rPr>
        <w:t xml:space="preserve">nd loss-of-function mutations. </w:t>
      </w:r>
    </w:p>
    <w:p w14:paraId="2D3B1CC7" w14:textId="77777777" w:rsidR="000969D9" w:rsidRDefault="000969D9" w:rsidP="00E1581D">
      <w:pPr>
        <w:spacing w:line="360" w:lineRule="auto"/>
        <w:jc w:val="both"/>
        <w:rPr>
          <w:rFonts w:ascii="Baskerville" w:hAnsi="Baskerville" w:cs="Baskerville"/>
          <w:sz w:val="22"/>
          <w:szCs w:val="22"/>
        </w:rPr>
      </w:pPr>
    </w:p>
    <w:p w14:paraId="70C921CA" w14:textId="77777777" w:rsidR="007465FB" w:rsidRPr="00E1581D" w:rsidRDefault="007465FB" w:rsidP="00E1581D">
      <w:pPr>
        <w:spacing w:line="360" w:lineRule="auto"/>
        <w:jc w:val="both"/>
        <w:rPr>
          <w:rFonts w:ascii="Baskerville" w:hAnsi="Baskerville" w:cs="Baskerville"/>
          <w:sz w:val="22"/>
          <w:szCs w:val="22"/>
        </w:rPr>
      </w:pPr>
    </w:p>
    <w:p w14:paraId="4D9DF32C" w14:textId="6448A126" w:rsidR="0024314E" w:rsidRPr="00653918" w:rsidRDefault="0024314E" w:rsidP="00A77FA7">
      <w:pPr>
        <w:spacing w:line="360" w:lineRule="auto"/>
        <w:jc w:val="both"/>
        <w:rPr>
          <w:rFonts w:ascii="Baskerville" w:hAnsi="Baskerville" w:cs="Baskerville"/>
          <w:b/>
          <w:sz w:val="22"/>
          <w:szCs w:val="22"/>
        </w:rPr>
      </w:pPr>
      <w:r w:rsidRPr="00653918">
        <w:rPr>
          <w:rFonts w:ascii="Baskerville" w:hAnsi="Baskerville" w:cs="Baskerville"/>
          <w:b/>
          <w:sz w:val="22"/>
          <w:szCs w:val="22"/>
        </w:rPr>
        <w:t>Introduction</w:t>
      </w:r>
    </w:p>
    <w:p w14:paraId="2E9A2B15" w14:textId="64415C4F" w:rsidR="000B3D67" w:rsidRPr="00653918" w:rsidRDefault="00D963C0" w:rsidP="00A77FA7">
      <w:pPr>
        <w:spacing w:line="360" w:lineRule="auto"/>
        <w:jc w:val="both"/>
        <w:rPr>
          <w:rFonts w:ascii="Baskerville" w:hAnsi="Baskerville" w:cs="Baskerville"/>
          <w:sz w:val="22"/>
          <w:szCs w:val="22"/>
        </w:rPr>
      </w:pPr>
      <w:r>
        <w:rPr>
          <w:rFonts w:ascii="Baskerville" w:hAnsi="Baskerville" w:cs="Baskerville"/>
          <w:sz w:val="22"/>
          <w:szCs w:val="22"/>
        </w:rPr>
        <w:t>Epilepsy genetics can be conceptualized</w:t>
      </w:r>
      <w:r w:rsidR="00A230DF">
        <w:rPr>
          <w:rFonts w:ascii="Baskerville" w:hAnsi="Baskerville" w:cs="Baskerville"/>
          <w:sz w:val="22"/>
          <w:szCs w:val="22"/>
        </w:rPr>
        <w:t xml:space="preserve"> under </w:t>
      </w:r>
      <w:r w:rsidR="005D17E1" w:rsidRPr="00653918">
        <w:rPr>
          <w:rFonts w:ascii="Baskerville" w:hAnsi="Baskerville" w:cs="Baskerville"/>
          <w:sz w:val="22"/>
          <w:szCs w:val="22"/>
        </w:rPr>
        <w:t xml:space="preserve">two </w:t>
      </w:r>
      <w:r>
        <w:rPr>
          <w:rFonts w:ascii="Baskerville" w:hAnsi="Baskerville" w:cs="Baskerville"/>
          <w:sz w:val="22"/>
          <w:szCs w:val="22"/>
        </w:rPr>
        <w:t xml:space="preserve">broad </w:t>
      </w:r>
      <w:r w:rsidR="00A230DF">
        <w:rPr>
          <w:rFonts w:ascii="Baskerville" w:hAnsi="Baskerville" w:cs="Baskerville"/>
          <w:sz w:val="22"/>
          <w:szCs w:val="22"/>
        </w:rPr>
        <w:t>headings</w:t>
      </w:r>
      <w:r w:rsidR="005D17E1" w:rsidRPr="00653918">
        <w:rPr>
          <w:rFonts w:ascii="Baskerville" w:hAnsi="Baskerville" w:cs="Baskerville"/>
          <w:sz w:val="22"/>
          <w:szCs w:val="22"/>
        </w:rPr>
        <w:t>:</w:t>
      </w:r>
      <w:r w:rsidR="0024314E" w:rsidRPr="00653918">
        <w:rPr>
          <w:rFonts w:ascii="Baskerville" w:hAnsi="Baskerville" w:cs="Baskerville"/>
          <w:sz w:val="22"/>
          <w:szCs w:val="22"/>
        </w:rPr>
        <w:t xml:space="preserve"> </w:t>
      </w:r>
      <w:r w:rsidR="00A230DF">
        <w:rPr>
          <w:rFonts w:ascii="Baskerville" w:hAnsi="Baskerville" w:cs="Baskerville"/>
          <w:sz w:val="22"/>
          <w:szCs w:val="22"/>
        </w:rPr>
        <w:t>monogenic epilepsy</w:t>
      </w:r>
      <w:r w:rsidR="0024314E" w:rsidRPr="00653918">
        <w:rPr>
          <w:rFonts w:ascii="Baskerville" w:hAnsi="Baskerville" w:cs="Baskerville"/>
          <w:sz w:val="22"/>
          <w:szCs w:val="22"/>
        </w:rPr>
        <w:t xml:space="preserve"> in which a single </w:t>
      </w:r>
      <w:r w:rsidR="000D24C7" w:rsidRPr="00653918">
        <w:rPr>
          <w:rFonts w:ascii="Baskerville" w:hAnsi="Baskerville" w:cs="Baskerville"/>
          <w:sz w:val="22"/>
          <w:szCs w:val="22"/>
        </w:rPr>
        <w:t>variant of large effect is</w:t>
      </w:r>
      <w:r w:rsidR="0024314E" w:rsidRPr="00653918">
        <w:rPr>
          <w:rFonts w:ascii="Baskerville" w:hAnsi="Baskerville" w:cs="Baskerville"/>
          <w:sz w:val="22"/>
          <w:szCs w:val="22"/>
        </w:rPr>
        <w:t xml:space="preserve"> considered causative, and </w:t>
      </w:r>
      <w:r w:rsidR="00A230DF">
        <w:rPr>
          <w:rFonts w:ascii="Baskerville" w:hAnsi="Baskerville" w:cs="Baskerville"/>
          <w:sz w:val="22"/>
          <w:szCs w:val="22"/>
        </w:rPr>
        <w:t>complex genetic epilepsy</w:t>
      </w:r>
      <w:r w:rsidR="0024314E" w:rsidRPr="00653918">
        <w:rPr>
          <w:rFonts w:ascii="Baskerville" w:hAnsi="Baskerville" w:cs="Baskerville"/>
          <w:sz w:val="22"/>
          <w:szCs w:val="22"/>
        </w:rPr>
        <w:t xml:space="preserve">, </w:t>
      </w:r>
      <w:r w:rsidR="000D24C7" w:rsidRPr="00653918">
        <w:rPr>
          <w:rFonts w:ascii="Baskerville" w:hAnsi="Baskerville" w:cs="Baskerville"/>
          <w:sz w:val="22"/>
          <w:szCs w:val="22"/>
        </w:rPr>
        <w:t>where</w:t>
      </w:r>
      <w:r w:rsidR="005D17E1" w:rsidRPr="00653918">
        <w:rPr>
          <w:rFonts w:ascii="Baskerville" w:hAnsi="Baskerville" w:cs="Baskerville"/>
          <w:sz w:val="22"/>
          <w:szCs w:val="22"/>
        </w:rPr>
        <w:t xml:space="preserve"> </w:t>
      </w:r>
      <w:r w:rsidR="0024314E" w:rsidRPr="00653918">
        <w:rPr>
          <w:rFonts w:ascii="Baskerville" w:hAnsi="Baskerville" w:cs="Baskerville"/>
          <w:sz w:val="22"/>
          <w:szCs w:val="22"/>
        </w:rPr>
        <w:t xml:space="preserve">a </w:t>
      </w:r>
      <w:r w:rsidR="00111A6D">
        <w:rPr>
          <w:rFonts w:ascii="Baskerville" w:hAnsi="Baskerville" w:cs="Baskerville"/>
          <w:sz w:val="22"/>
          <w:szCs w:val="22"/>
        </w:rPr>
        <w:t xml:space="preserve">presumed </w:t>
      </w:r>
      <w:r w:rsidR="0024314E" w:rsidRPr="00653918">
        <w:rPr>
          <w:rFonts w:ascii="Baskerville" w:hAnsi="Baskerville" w:cs="Baskerville"/>
          <w:sz w:val="22"/>
          <w:szCs w:val="22"/>
        </w:rPr>
        <w:t>combinatorial effect of m</w:t>
      </w:r>
      <w:r w:rsidR="00924AFD" w:rsidRPr="00653918">
        <w:rPr>
          <w:rFonts w:ascii="Baskerville" w:hAnsi="Baskerville" w:cs="Baskerville"/>
          <w:sz w:val="22"/>
          <w:szCs w:val="22"/>
        </w:rPr>
        <w:t>ultiple susceptibility variants</w:t>
      </w:r>
      <w:r w:rsidR="005D17E1" w:rsidRPr="00653918">
        <w:rPr>
          <w:rFonts w:ascii="Baskerville" w:hAnsi="Baskerville" w:cs="Baskerville"/>
          <w:sz w:val="22"/>
          <w:szCs w:val="22"/>
        </w:rPr>
        <w:t xml:space="preserve"> </w:t>
      </w:r>
      <w:r w:rsidR="000D24C7" w:rsidRPr="00653918">
        <w:rPr>
          <w:rFonts w:ascii="Baskerville" w:hAnsi="Baskerville" w:cs="Baskerville"/>
          <w:sz w:val="22"/>
          <w:szCs w:val="22"/>
        </w:rPr>
        <w:t>is thought to underlie the disease</w:t>
      </w:r>
      <w:r w:rsidR="0024314E" w:rsidRPr="00653918">
        <w:rPr>
          <w:rFonts w:ascii="Baskerville" w:hAnsi="Baskerville" w:cs="Baskerville"/>
          <w:sz w:val="22"/>
          <w:szCs w:val="22"/>
        </w:rPr>
        <w:t xml:space="preserve">. </w:t>
      </w:r>
      <w:r w:rsidR="009C3792" w:rsidRPr="00653918">
        <w:rPr>
          <w:rFonts w:ascii="Baskerville" w:hAnsi="Baskerville" w:cs="Baskerville"/>
          <w:sz w:val="22"/>
          <w:szCs w:val="22"/>
        </w:rPr>
        <w:t xml:space="preserve">Whilst advances in next generation sequencing (NGS) have led to substantial progress in the discovery of genes for monogenic epilepsy, </w:t>
      </w:r>
      <w:r w:rsidR="0024314E" w:rsidRPr="00653918">
        <w:rPr>
          <w:rFonts w:ascii="Baskerville" w:hAnsi="Baskerville" w:cs="Baskerville"/>
          <w:sz w:val="22"/>
          <w:szCs w:val="22"/>
        </w:rPr>
        <w:t xml:space="preserve">attempts to identify variants that confer susceptibility to </w:t>
      </w:r>
      <w:r w:rsidR="009C3792" w:rsidRPr="00653918">
        <w:rPr>
          <w:rFonts w:ascii="Baskerville" w:hAnsi="Baskerville" w:cs="Baskerville"/>
          <w:sz w:val="22"/>
          <w:szCs w:val="22"/>
        </w:rPr>
        <w:t>complex epilepsy</w:t>
      </w:r>
      <w:r w:rsidR="0024314E" w:rsidRPr="00653918">
        <w:rPr>
          <w:rFonts w:ascii="Baskerville" w:hAnsi="Baskerville" w:cs="Baskerville"/>
          <w:sz w:val="22"/>
          <w:szCs w:val="22"/>
        </w:rPr>
        <w:t xml:space="preserve"> </w:t>
      </w:r>
      <w:r w:rsidR="009C3792" w:rsidRPr="00653918">
        <w:rPr>
          <w:rFonts w:ascii="Baskerville" w:hAnsi="Baskerville" w:cs="Baskerville"/>
          <w:sz w:val="22"/>
          <w:szCs w:val="22"/>
        </w:rPr>
        <w:t>using genome wide a</w:t>
      </w:r>
      <w:r w:rsidR="0024314E" w:rsidRPr="00653918">
        <w:rPr>
          <w:rFonts w:ascii="Baskerville" w:hAnsi="Baskerville" w:cs="Baskerville"/>
          <w:sz w:val="22"/>
          <w:szCs w:val="22"/>
        </w:rPr>
        <w:t xml:space="preserve">ssociation </w:t>
      </w:r>
      <w:r w:rsidR="009C3792" w:rsidRPr="00653918">
        <w:rPr>
          <w:rFonts w:ascii="Baskerville" w:hAnsi="Baskerville" w:cs="Baskerville"/>
          <w:sz w:val="22"/>
          <w:szCs w:val="22"/>
        </w:rPr>
        <w:t>study</w:t>
      </w:r>
      <w:r w:rsidR="0024314E" w:rsidRPr="00653918">
        <w:rPr>
          <w:rFonts w:ascii="Baskerville" w:hAnsi="Baskerville" w:cs="Baskerville"/>
          <w:sz w:val="22"/>
          <w:szCs w:val="22"/>
        </w:rPr>
        <w:t xml:space="preserve"> (GWAS) have identified few contributory variants</w:t>
      </w:r>
      <w:r w:rsidR="00344E41" w:rsidRPr="00653918">
        <w:rPr>
          <w:rFonts w:ascii="Baskerville" w:hAnsi="Baskerville" w:cs="Baskerville"/>
          <w:sz w:val="22"/>
          <w:szCs w:val="22"/>
        </w:rPr>
        <w:fldChar w:fldCharType="begin" w:fldLock="1"/>
      </w:r>
      <w:r w:rsidR="00A07EC6">
        <w:rPr>
          <w:rFonts w:ascii="Baskerville" w:hAnsi="Baskerville" w:cs="Baskerville"/>
          <w:sz w:val="22"/>
          <w:szCs w:val="22"/>
        </w:rPr>
        <w:instrText>ADDIN CSL_CITATION { "citationItems" : [ { "id" : "ITEM-1", "itemData" : { "DOI" : "10.1016/S1474-4422(14)70171-1", "ISSN" : "1474-4465", "PMID" : "25087078", "abstract" : "BACKGROUND: The epilepsies are a clinically heterogeneous group of neurological disorders. Despite strong evidence for heritability, genome-wide association studies have had little success in identification of risk loci associated with epilepsy, probably because of relatively small sample sizes and insufficient power. We aimed to identify risk loci through meta-analyses of genome-wide association studies for all epilepsy and the two largest clinical subtypes (genetic generalised epilepsy and focal epilepsy). METHODS: We combined genome-wide association data from 12 cohorts of individuals with epilepsy and controls from population-based datasets. Controls were ethnically matched with cases. We phenotyped individuals with epilepsy into categories of genetic generalised epilepsy, focal epilepsy, or unclassified epilepsy. After standardised filtering for quality control and imputation to account for different genotyping platforms across sites, investigators at each site conducted a linear mixed-model association analysis for each dataset. Combining summary statistics, we conducted fixed-effects meta-analyses of all epilepsy, focal epilepsy, and genetic generalised epilepsy. We set the genome-wide significance threshold at p&lt;1\u00b766 \u00d7 10(-8). FINDINGS: We included 8696 cases and 26 157 controls in our analysis. Meta-analysis of the all-epilepsy cohort identified loci at 2q24.3 (p=8\u00b771 \u00d7 10(-10)), implicating SCN1A, and at 4p15.1 (p=5\u00b744 \u00d7 10(-9)), harbouring PCDH7, which encodes a protocadherin molecule not previously implicated in epilepsy. For the cohort of genetic generalised epilepsy, we noted a single signal at 2p16.1 (p=9\u00b799 \u00d7 10(-9)), implicating VRK2 or FANCL. No single nucleotide polymorphism achieved genome-wide significance for focal epilepsy. INTERPRETATION: This meta-analysis describes a new locus not previously implicated in epilepsy and provides further evidence about the genetic architecture of these disorders, with the ultimate aim of assisting in disease classification and prognosis. The data suggest that specific loci can act pleiotropically raising risk for epilepsy broadly, or can have effects limited to a specific epilepsy subtype. Future genetic analyses might benefit from both lumping (ie, grouping of epilepsy types together) or splitting (ie, analysis of specific clinical subtypes). FUNDING: International League Against Epilepsy and multiple governmental and philanthropic agencies.", "author" : [ { "dropping-particle" : "", "family" : "International League Against Epilepsy Consortium on Complex Epilepsies", "given" : "", "non-dropping-particle" : "", "parse-names" : false, "suffix" : "" } ], "container-title" : "Lancet neurology", "id" : "ITEM-1", "issue" : "9", "issued" : { "date-parts" : [ [ "2014", "7", "30" ] ] }, "page" : "893-903", "publisher" : "International League Against Epilepsy Consortium on Complex Epilepsies. Open Access article distributed under the terms of CC BY", "title" : "Genetic determinants of common epilepsies: a meta-analysis of genome-wide association studies.", "type" : "article-journal", "volume" : "13" }, "uris" : [ "http://www.mendeley.com/documents/?uuid=a3431b76-21ee-4fcd-8e2c-318a93cb26dc" ] } ], "mendeley" : { "formattedCitation" : "[1]", "manualFormatting" : "[1]", "plainTextFormattedCitation" : "[1]", "previouslyFormattedCitation" : "[1]" }, "properties" : { "noteIndex" : 0 }, "schema" : "https://github.com/citation-style-language/schema/raw/master/csl-citation.json" }</w:instrText>
      </w:r>
      <w:r w:rsidR="00344E41" w:rsidRPr="00653918">
        <w:rPr>
          <w:rFonts w:ascii="Baskerville" w:hAnsi="Baskerville" w:cs="Baskerville"/>
          <w:sz w:val="22"/>
          <w:szCs w:val="22"/>
        </w:rPr>
        <w:fldChar w:fldCharType="separate"/>
      </w:r>
      <w:r w:rsidR="005431EC" w:rsidRPr="005431EC">
        <w:rPr>
          <w:rFonts w:ascii="Baskerville" w:hAnsi="Baskerville" w:cs="Baskerville"/>
          <w:noProof/>
          <w:sz w:val="22"/>
          <w:szCs w:val="22"/>
        </w:rPr>
        <w:t>[1]</w:t>
      </w:r>
      <w:r w:rsidR="00344E41" w:rsidRPr="00653918">
        <w:rPr>
          <w:rFonts w:ascii="Baskerville" w:hAnsi="Baskerville" w:cs="Baskerville"/>
          <w:sz w:val="22"/>
          <w:szCs w:val="22"/>
        </w:rPr>
        <w:fldChar w:fldCharType="end"/>
      </w:r>
      <w:r w:rsidR="0024314E" w:rsidRPr="00653918">
        <w:rPr>
          <w:rFonts w:ascii="Baskerville" w:hAnsi="Baskerville" w:cs="Baskerville"/>
          <w:sz w:val="22"/>
          <w:szCs w:val="22"/>
        </w:rPr>
        <w:t>,</w:t>
      </w:r>
      <w:r w:rsidR="00344E41" w:rsidRPr="00653918">
        <w:rPr>
          <w:rFonts w:ascii="Baskerville" w:hAnsi="Baskerville" w:cs="Baskerville"/>
          <w:sz w:val="22"/>
          <w:szCs w:val="22"/>
        </w:rPr>
        <w:t xml:space="preserve"> most likely because of the </w:t>
      </w:r>
      <w:r w:rsidR="0024314E" w:rsidRPr="00653918">
        <w:rPr>
          <w:rFonts w:ascii="Baskerville" w:hAnsi="Baskerville" w:cs="Baskerville"/>
          <w:sz w:val="22"/>
          <w:szCs w:val="22"/>
        </w:rPr>
        <w:t>small sample size</w:t>
      </w:r>
      <w:r w:rsidR="00005ADC" w:rsidRPr="00653918">
        <w:rPr>
          <w:rFonts w:ascii="Baskerville" w:hAnsi="Baskerville" w:cs="Baskerville"/>
          <w:sz w:val="22"/>
          <w:szCs w:val="22"/>
        </w:rPr>
        <w:t>s</w:t>
      </w:r>
      <w:r w:rsidR="0024314E" w:rsidRPr="00653918">
        <w:rPr>
          <w:rFonts w:ascii="Baskerville" w:hAnsi="Baskerville" w:cs="Baskerville"/>
          <w:sz w:val="22"/>
          <w:szCs w:val="22"/>
        </w:rPr>
        <w:t xml:space="preserve"> of </w:t>
      </w:r>
      <w:r w:rsidR="00355A7A" w:rsidRPr="00653918">
        <w:rPr>
          <w:rFonts w:ascii="Baskerville" w:hAnsi="Baskerville" w:cs="Baskerville"/>
          <w:sz w:val="22"/>
          <w:szCs w:val="22"/>
        </w:rPr>
        <w:t xml:space="preserve">the </w:t>
      </w:r>
      <w:r w:rsidR="00561768">
        <w:rPr>
          <w:rFonts w:ascii="Baskerville" w:hAnsi="Baskerville" w:cs="Baskerville"/>
          <w:sz w:val="22"/>
          <w:szCs w:val="22"/>
        </w:rPr>
        <w:t xml:space="preserve">epilepsy </w:t>
      </w:r>
      <w:r w:rsidR="0024314E" w:rsidRPr="00653918">
        <w:rPr>
          <w:rFonts w:ascii="Baskerville" w:hAnsi="Baskerville" w:cs="Baskerville"/>
          <w:sz w:val="22"/>
          <w:szCs w:val="22"/>
        </w:rPr>
        <w:t xml:space="preserve">GWAS </w:t>
      </w:r>
      <w:r w:rsidR="00561768">
        <w:rPr>
          <w:rFonts w:ascii="Baskerville" w:hAnsi="Baskerville" w:cs="Baskerville"/>
          <w:sz w:val="22"/>
          <w:szCs w:val="22"/>
        </w:rPr>
        <w:t>to date</w:t>
      </w:r>
      <w:r w:rsidR="003976AE" w:rsidRPr="00653918">
        <w:rPr>
          <w:rFonts w:ascii="Baskerville" w:hAnsi="Baskerville" w:cs="Baskerville"/>
          <w:sz w:val="22"/>
          <w:szCs w:val="22"/>
        </w:rPr>
        <w:fldChar w:fldCharType="begin" w:fldLock="1"/>
      </w:r>
      <w:r w:rsidR="00A07EC6">
        <w:rPr>
          <w:rFonts w:ascii="Baskerville" w:hAnsi="Baskerville" w:cs="Baskerville"/>
          <w:sz w:val="22"/>
          <w:szCs w:val="22"/>
        </w:rPr>
        <w:instrText>ADDIN CSL_CITATION { "citationItems" : [ { "id" : "ITEM-1", "itemData" : { "DOI" : "10.1093/brain/awu206", "ISSN" : "1460-2156", "PMID" : "25063994", "abstract" : "Epilepsy is a disease with substantial missing heritability; despite its high genetic component, genetic association studies have had limited success detecting common variants which influence susceptibility. In this paper, we reassess the role of common variants on epilepsy using extensions of heritability analysis. Our data set consists of 1258 UK patients with epilepsy, of which 958 have focal epilepsy, and 5129 population control subjects, with genotypes recorded for over 4 million common single nucleotide polymorphisms. Firstly, we show that on the liability scale, common variants collectively explain at least 26% (standard deviation 5%) of phenotypic variation for all epilepsy and 27% (standard deviation 5%) for focal epilepsy. Secondly we provide a new method for estimating the number of causal variants for complex traits; when applied to epilepsy, our most optimistic estimate suggests that at least 400 variants influence disease susceptibility, with potentially many thousands. Thirdly, we use bivariate analysis to assess how similar the genetic architecture of focal epilepsy is to that of non-focal epilepsy; we demonstrate both significant differences (P = 0.004) and significant similarities (P = 0.01) between the two subtypes, indicating that although the clinical definition of focal epilepsy does identify a genetically distinct epilepsy subtype, there is also scope to improve the classification of epilepsy by incorporating genotypic information. Lastly, we investigate the potential value in using genetic data to diagnose epilepsy following a single epileptic seizure; we find that a prediction model explaining 10% of phenotypic variation could have clinical utility for deciding which single-seizure individuals are likely to benefit from immediate anti-epileptic drug therapy.", "author" : [ { "dropping-particle" : "", "family" : "Speed", "given" : "Doug", "non-dropping-particle" : "", "parse-names" : false, "suffix" : "" }, { "dropping-particle" : "", "family" : "O'Brien", "given" : "Terence J", "non-dropping-particle" : "", "parse-names" : false, "suffix" : "" }, { "dropping-particle" : "", "family" : "Palotie", "given" : "Aarno", "non-dropping-particle" : "", "parse-names" : false, "suffix" : "" }, { "dropping-particle" : "", "family" : "Shkura", "given" : "Kirill", "non-dropping-particle" : "", "parse-names" : false, "suffix" : "" }, { "dropping-particle" : "", "family" : "Marson", "given" : "Anthony G", "non-dropping-particle" : "", "parse-names" : false, "suffix" : "" }, { "dropping-particle" : "", "family" : "Balding", "given" : "David J", "non-dropping-particle" : "", "parse-names" : false, "suffix" : "" }, { "dropping-particle" : "", "family" : "Johnson", "given" : "Michael R", "non-dropping-particle" : "", "parse-names" : false, "suffix" : "" } ], "container-title" : "Brain : a journal of neurology", "id" : "ITEM-1", "issued" : { "date-parts" : [ [ "2014", "7", "26" ] ] }, "title" : "Describing the genetic architecture of epilepsy through heritability analysis.", "type" : "article-journal" }, "uris" : [ "http://www.mendeley.com/documents/?uuid=52a4d004-26f4-4a61-8b38-82813ce8fb45" ] } ], "mendeley" : { "formattedCitation" : "[2]", "manualFormatting" : "[2]", "plainTextFormattedCitation" : "[2]", "previouslyFormattedCitation" : "[2]" }, "properties" : { "noteIndex" : 0 }, "schema" : "https://github.com/citation-style-language/schema/raw/master/csl-citation.json" }</w:instrText>
      </w:r>
      <w:r w:rsidR="003976AE" w:rsidRPr="00653918">
        <w:rPr>
          <w:rFonts w:ascii="Baskerville" w:hAnsi="Baskerville" w:cs="Baskerville"/>
          <w:sz w:val="22"/>
          <w:szCs w:val="22"/>
        </w:rPr>
        <w:fldChar w:fldCharType="separate"/>
      </w:r>
      <w:r w:rsidR="005431EC" w:rsidRPr="005431EC">
        <w:rPr>
          <w:rFonts w:ascii="Baskerville" w:hAnsi="Baskerville" w:cs="Baskerville"/>
          <w:noProof/>
          <w:sz w:val="22"/>
          <w:szCs w:val="22"/>
        </w:rPr>
        <w:t>[2]</w:t>
      </w:r>
      <w:r w:rsidR="003976AE" w:rsidRPr="00653918">
        <w:rPr>
          <w:rFonts w:ascii="Baskerville" w:hAnsi="Baskerville" w:cs="Baskerville"/>
          <w:sz w:val="22"/>
          <w:szCs w:val="22"/>
        </w:rPr>
        <w:fldChar w:fldCharType="end"/>
      </w:r>
      <w:r w:rsidR="0024314E" w:rsidRPr="00653918">
        <w:rPr>
          <w:rFonts w:ascii="Baskerville" w:hAnsi="Baskerville" w:cs="Baskerville"/>
          <w:sz w:val="22"/>
          <w:szCs w:val="22"/>
        </w:rPr>
        <w:t xml:space="preserve">. </w:t>
      </w:r>
      <w:r w:rsidR="00D94CC6" w:rsidRPr="00653918">
        <w:rPr>
          <w:rFonts w:ascii="Baskerville" w:hAnsi="Baskerville" w:cs="Baskerville"/>
          <w:sz w:val="22"/>
          <w:szCs w:val="22"/>
        </w:rPr>
        <w:t>In contrast</w:t>
      </w:r>
      <w:r w:rsidR="00561768">
        <w:rPr>
          <w:rFonts w:ascii="Baskerville" w:hAnsi="Baskerville" w:cs="Baskerville"/>
          <w:sz w:val="22"/>
          <w:szCs w:val="22"/>
        </w:rPr>
        <w:t xml:space="preserve"> to </w:t>
      </w:r>
      <w:r w:rsidR="00430F50">
        <w:rPr>
          <w:rFonts w:ascii="Baskerville" w:hAnsi="Baskerville" w:cs="Baskerville"/>
          <w:sz w:val="22"/>
          <w:szCs w:val="22"/>
        </w:rPr>
        <w:t xml:space="preserve">the </w:t>
      </w:r>
      <w:r w:rsidR="00561768">
        <w:rPr>
          <w:rFonts w:ascii="Baskerville" w:hAnsi="Baskerville" w:cs="Baskerville"/>
          <w:sz w:val="22"/>
          <w:szCs w:val="22"/>
        </w:rPr>
        <w:t>current state of the art for epilepsy GWAS</w:t>
      </w:r>
      <w:r w:rsidR="00D94CC6" w:rsidRPr="00653918">
        <w:rPr>
          <w:rFonts w:ascii="Baskerville" w:hAnsi="Baskerville" w:cs="Baskerville"/>
          <w:sz w:val="22"/>
          <w:szCs w:val="22"/>
        </w:rPr>
        <w:t xml:space="preserve">, </w:t>
      </w:r>
      <w:r w:rsidR="00561768">
        <w:rPr>
          <w:rFonts w:ascii="Baskerville" w:hAnsi="Baskerville" w:cs="Baskerville"/>
          <w:sz w:val="22"/>
          <w:szCs w:val="22"/>
        </w:rPr>
        <w:t>NGS-enabled</w:t>
      </w:r>
      <w:r w:rsidR="00561768" w:rsidRPr="00653918">
        <w:rPr>
          <w:rFonts w:ascii="Baskerville" w:hAnsi="Baskerville" w:cs="Baskerville"/>
          <w:sz w:val="22"/>
          <w:szCs w:val="22"/>
        </w:rPr>
        <w:t xml:space="preserve"> </w:t>
      </w:r>
      <w:r w:rsidR="0014097C" w:rsidRPr="00653918">
        <w:rPr>
          <w:rFonts w:ascii="Baskerville" w:hAnsi="Baskerville" w:cs="Baskerville"/>
          <w:sz w:val="22"/>
          <w:szCs w:val="22"/>
        </w:rPr>
        <w:t xml:space="preserve">discovery of </w:t>
      </w:r>
      <w:r w:rsidR="0024314E" w:rsidRPr="00653918">
        <w:rPr>
          <w:rFonts w:ascii="Baskerville" w:hAnsi="Baskerville" w:cs="Baskerville"/>
          <w:sz w:val="22"/>
          <w:szCs w:val="22"/>
        </w:rPr>
        <w:t>t</w:t>
      </w:r>
      <w:r w:rsidR="00597E88" w:rsidRPr="00653918">
        <w:rPr>
          <w:rFonts w:ascii="Baskerville" w:hAnsi="Baskerville" w:cs="Baskerville"/>
          <w:sz w:val="22"/>
          <w:szCs w:val="22"/>
        </w:rPr>
        <w:t xml:space="preserve">he importance </w:t>
      </w:r>
      <w:r w:rsidR="0024314E" w:rsidRPr="00653918">
        <w:rPr>
          <w:rFonts w:ascii="Baskerville" w:hAnsi="Baskerville" w:cs="Baskerville"/>
          <w:sz w:val="22"/>
          <w:szCs w:val="22"/>
        </w:rPr>
        <w:t xml:space="preserve">of </w:t>
      </w:r>
      <w:r w:rsidR="0024314E" w:rsidRPr="00653918">
        <w:rPr>
          <w:rFonts w:ascii="Baskerville" w:hAnsi="Baskerville" w:cs="Baskerville"/>
          <w:i/>
          <w:sz w:val="22"/>
          <w:szCs w:val="22"/>
        </w:rPr>
        <w:t>de novo</w:t>
      </w:r>
      <w:r w:rsidR="00D94CC6" w:rsidRPr="00653918">
        <w:rPr>
          <w:rFonts w:ascii="Baskerville" w:hAnsi="Baskerville" w:cs="Baskerville"/>
          <w:sz w:val="22"/>
          <w:szCs w:val="22"/>
        </w:rPr>
        <w:t xml:space="preserve"> mutation</w:t>
      </w:r>
      <w:r w:rsidR="00597E88" w:rsidRPr="00653918">
        <w:rPr>
          <w:rFonts w:ascii="Baskerville" w:hAnsi="Baskerville" w:cs="Baskerville"/>
          <w:sz w:val="22"/>
          <w:szCs w:val="22"/>
        </w:rPr>
        <w:t xml:space="preserve"> in </w:t>
      </w:r>
      <w:r w:rsidR="00060BAE">
        <w:rPr>
          <w:rFonts w:ascii="Baskerville" w:hAnsi="Baskerville" w:cs="Baskerville"/>
          <w:sz w:val="22"/>
          <w:szCs w:val="22"/>
        </w:rPr>
        <w:t>epileptic encepha</w:t>
      </w:r>
      <w:r w:rsidR="003E0ED6" w:rsidRPr="00653918">
        <w:rPr>
          <w:rFonts w:ascii="Baskerville" w:hAnsi="Baskerville" w:cs="Baskerville"/>
          <w:sz w:val="22"/>
          <w:szCs w:val="22"/>
        </w:rPr>
        <w:t>l</w:t>
      </w:r>
      <w:r w:rsidR="00060BAE">
        <w:rPr>
          <w:rFonts w:ascii="Baskerville" w:hAnsi="Baskerville" w:cs="Baskerville"/>
          <w:sz w:val="22"/>
          <w:szCs w:val="22"/>
        </w:rPr>
        <w:t>o</w:t>
      </w:r>
      <w:r w:rsidR="003E0ED6" w:rsidRPr="00653918">
        <w:rPr>
          <w:rFonts w:ascii="Baskerville" w:hAnsi="Baskerville" w:cs="Baskerville"/>
          <w:sz w:val="22"/>
          <w:szCs w:val="22"/>
        </w:rPr>
        <w:t>pathy</w:t>
      </w:r>
      <w:r w:rsidR="00597E88" w:rsidRPr="00653918">
        <w:rPr>
          <w:rFonts w:ascii="Baskerville" w:hAnsi="Baskerville" w:cs="Baskerville"/>
          <w:sz w:val="22"/>
          <w:szCs w:val="22"/>
        </w:rPr>
        <w:fldChar w:fldCharType="begin" w:fldLock="1"/>
      </w:r>
      <w:r w:rsidR="00A07EC6">
        <w:rPr>
          <w:rFonts w:ascii="Baskerville" w:hAnsi="Baskerville" w:cs="Baskerville"/>
          <w:sz w:val="22"/>
          <w:szCs w:val="22"/>
        </w:rPr>
        <w:instrText>ADDIN CSL_CITATION { "citationItems" : [ { "id" : "ITEM-1", "itemData" : { "DOI" : "10.1038/nature12439", "ISSN" : "1476-4687", "PMID" : "23934111", "abstract" : "Epileptic encephalopathies are a devastating group of severe childhood epilepsy disorders for which the cause is often unknown. Here we report a screen for de novo mutations in patients with two classical epileptic encephalopathies: infantile spasms (n = 149) and Lennox-Gastaut syndrome (n = 115). We sequenced the exomes of 264 probands, and their parents, and confirmed 329 de novo mutations. A likelihood analysis showed a significant excess of de novo mutations in the \u223c4,000 genes that are the most intolerant to functional genetic variation in the human population (P = 2.9\u2009\u00d7\u200910(-3)). Among these are GABRB3, with de novo mutations in four patients, and ALG13, with the same de novo mutation in two patients; both genes show clear statistical evidence of association with epileptic encephalopathy. Given the relevant site-specific mutation rates, the probabilities of these outcomes occurring by chance are P = 4.1\u2009\u00d7\u200910(-10) and P = 7.8\u2009\u00d7\u200910(-12), respectively. Other genes with de novo mutations in this cohort include CACNA1A, CHD2, FLNA, GABRA1, GRIN1, GRIN2B, HNRNPU, IQSEC2, MTOR and NEDD4L. Finally, we show that the de novo mutations observed are enriched in specific gene sets including genes regulated by the fragile X protein (P\u2009&lt;\u200910(-8)), as has been reported previously for autism spectrum disorders.", "author" : [ { "dropping-particle" : "", "family" : "Allen", "given" : "Andrew S", "non-dropping-particle" : "", "parse-names" : false, "suffix" : "" }, { "dropping-particle" : "", "family" : "Berkovic", "given" : "Samuel F", "non-dropping-particle" : "", "parse-names" : false, "suffix" : "" }, { "dropping-particle" : "", "family" : "Cossette", "given" : "Patrick", "non-dropping-particle" : "", "parse-names" : false, "suffix" : "" }, { "dropping-particle" : "", "family" : "Delanty", "given" : "Norman", "non-dropping-particle" : "", "parse-names" : false, "suffix" : "" }, { "dropping-particle" : "", "family" : "Dlugos", "given" : "Dennis", "non-dropping-particle" : "", "parse-names" : false, "suffix" : "" }, { "dropping-particle" : "", "family" : "Eichler", "given" : "Evan E", "non-dropping-particle" : "", "parse-names" : false, "suffix" : "" }, { "dropping-particle" : "", "family" : "Epstein", "given" : "Michael P", "non-dropping-particle" : "", "parse-names" : false, "suffix" : "" }, { "dropping-particle" : "", "family" : "Glauser", "given" : "Tracy", "non-dropping-particle" : "", "parse-names" : false, "suffix" : "" }, { "dropping-particle" : "", "family" : "Goldstein", "given" : "David B", "non-dropping-particle" : "", "parse-names" : false, "suffix" : "" }, { "dropping-particle" : "", "family" : "Han", "given" : "Yujun", "non-dropping-particle" : "", "parse-names" : false, "suffix" : "" }, { "dropping-particle" : "", "family" : "Heinzen", "given" : "Erin L", "non-dropping-particle" : "", "parse-names" : false, "suffix" : "" }, { "dropping-particle" : "", "family" : "Hitomi", "given" : "Yuki", "non-dropping-particle" : "", "parse-names" : false, "suffix" : "" }, { "dropping-particle" : "", "family" : "Howell", "given" : "Katherine B", "non-dropping-particle" : "", "parse-names" : false, "suffix" : "" }, { "dropping-particle" : "", "family" : "Johnson", "given" : "Michael R", "non-dropping-particle" : "", "parse-names" : false, "suffix" : "" }, { "dropping-particle" : "", "family" : "Kuzniecky", "given" : "Ruben", "non-dropping-particle" : "", "parse-names" : false, "suffix" : "" }, { "dropping-particle" : "", "family" : "Lowenstein", "given" : "Daniel H", "non-dropping-particle" : "", "parse-names" : false, "suffix" : "" }, { "dropping-particle" : "", "family" : "Lu", "given" : "Yi-Fan", "non-dropping-particle" : "", "parse-names" : false, "suffix" : "" }, { "dropping-particle" : "", "family" : "Madou", "given" : "Maura R Z", "non-dropping-particle" : "", "parse-names" : false, "suffix" : "" }, { "dropping-particle" : "", "family" : "Marson", "given" : "Anthony G", "non-dropping-particle" : "", "parse-names" : false, "suffix" : "" }, { "dropping-particle" : "", "family" : "Mefford", "given" : "Heather C", "non-dropping-particle" : "", "parse-names" : false, "suffix" : "" }, { "dropping-particle" : "", "family" : "Esmaeeli Nieh", "given" : "Sahar", "non-dropping-particle" : "", "parse-names" : false, "suffix" : "" }, { "dropping-particle" : "", "family" : "O'Brien", "given" : "Terence J", "non-dropping-particle" : "", "parse-names" : false, "suffix" : "" }, { "dropping-particle" : "", "family" : "Ottman", "given" : "Ruth", "non-dropping-particle" : "", "parse-names" : false, "suffix" : "" }, { "dropping-particle" : "", "family" : "Petrovski", "given" : "Slav\u00e9", "non-dropping-particle" : "", "parse-names" : false, "suffix" : "" }, { "dropping-particle" : "", "family" : "Poduri", "given" : "Annapurna", "non-dropping-particle" : "", "parse-names" : false, "suffix" : "" }, { "dropping-particle" : "", "family" : "Ruzzo", "given" : "Elizabeth K", "non-dropping-particle" : "", "parse-names" : false, "suffix" : "" }, { "dropping-particle" : "", "family" : "Scheffer", "given" : "Ingrid E", "non-dropping-particle" : "", "parse-names" : false, "suffix" : "" }, { "dropping-particle" : "", "family" : "Sherr", "given" : "Elliott H", "non-dropping-particle" : "", "parse-names" : false, "suffix" : "" }, { "dropping-particle" : "", "family" : "Yuskaitis", "given" : "Christopher J", "non-dropping-particle" : "", "parse-names" : false, "suffix" : "" }, { "dropping-particle" : "", "family" : "Abou-Khalil", "given" : "Bassel", "non-dropping-particle" : "", "parse-names" : false, "suffix" : "" }, { "dropping-particle" : "", "family" : "Alldredge", "given" : "Brian K", "non-dropping-particle" : "", "parse-names" : false, "suffix" : "" }, { "dropping-particle" : "", "family" : "Bautista", "given" : "Jocelyn F", "non-dropping-particle" : "", "parse-names" : false, "suffix" : "" }, { "dropping-particle" : "", "family" : "Boro", "given" : "Alex", "non-dropping-particle" : "", "parse-names" : false, "suffix" : "" }, { "dropping-particle" : "", "family" : "Cascino", "given" : "Gregory D", "non-dropping-particle" : "", "parse-names" : false, "suffix" : "" }, { "dropping-particle" : "", "family" : "Consalvo", "given" : "Damian", "non-dropping-particle" : "", "parse-names" : false, "suffix" : "" }, { "dropping-particle" : "", "family" : "Crumrine", "given" : "Patricia", "non-dropping-particle" : "", "parse-names" : false, "suffix" : "" }, { "dropping-particle" : "", "family" : "Devinsky", "given" : "Orrin", "non-dropping-particle" : "", "parse-names" : false, "suffix" : "" }, { "dropping-particle" : "", "family" : "Fiol", "given" : "Miguel", "non-dropping-particle" : "", "parse-names" : false, "suffix" : "" }, { "dropping-particle" : "", "family" : "Fountain", "given" : "Nathan B", "non-dropping-particle" : "", "parse-names" : false, "suffix" : "" }, { "dropping-particle" : "", "family" : "French", "given" : "Jacqueline", "non-dropping-particle" : "", "parse-names" : false, "suffix" : "" }, { "dropping-particle" : "", "family" : "Friedman", "given" : "Daniel", "non-dropping-particle" : "", "parse-names" : false, "suffix" : "" }, { "dropping-particle" : "", "family" : "Geller", "given" : "Eric B", "non-dropping-particle" : "", "parse-names" : false, "suffix" : "" }, { "dropping-particle" : "", "family" : "Glynn", "given" : "Simon", "non-dropping-particle" : "", "parse-names" : false, "suffix" : "" }, { "dropping-particle" : "", "family" : "Haut", "given" : "Sheryl R", "non-dropping-particle" : "", "parse-names" : false, "suffix" : "" }, { "dropping-particle" : "", "family" : "Hayward", "given" : "Jean", "non-dropping-particle" : "", "parse-names" : false, "suffix" : "" }, { "dropping-particle" : "", "family" : "Helmers", "given" : "Sandra L", "non-dropping-particle" : "", "parse-names" : false, "suffix" : "" }, { "dropping-particle" : "", "family" : "Joshi", "given" : "Sucheta", "non-dropping-particle" : "", "parse-names" : false, "suffix" : "" }, { "dropping-particle" : "", "family" : "Kanner", "given" : "Andres", "non-dropping-particle" : "", "parse-names" : false, "suffix" : "" }, { "dropping-particle" : "", "family" : "Kirsch", "given" : "Heidi E", "non-dropping-particle" : "", "parse-names" : false, "suffix" : "" }, { "dropping-particle" : "", "family" : "Knowlton", "given" : "Robert C", "non-dropping-particle" : "", "parse-names" : false, "suffix" : "" }, { "dropping-particle" : "", "family" : "Kossoff", "given" : "Eric H", "non-dropping-particle" : "", "parse-names" : false, "suffix" : "" }, { "dropping-particle" : "", "family" : "Kuperman", "given" : "Rachel", "non-dropping-particle" : "", "parse-names" : false, "suffix" : "" }, { "dropping-particle" : "", "family" : "McGuire", "given" : "Shannon M", "non-dropping-particle" : "", "parse-names" : false, "suffix" : "" }, { "dropping-particle" : "V", "family" : "Motika", "given" : "Paul", "non-dropping-particle" : "", "parse-names" : false, "suffix" : "" }, { "dropping-particle" : "", "family" : "Novotny", "given" : "Edward J", "non-dropping-particle" : "", "parse-names" : false, "suffix" : "" }, { "dropping-particle" : "", "family" : "Paolicchi", "given" : "Juliann M", "non-dropping-particle" : "", "parse-names" : false, "suffix" : "" }, { "dropping-particle" : "", "family" : "Parent", "given" : "Jack M", "non-dropping-particle" : "", "parse-names" : false, "suffix" : "" }, { "dropping-particle" : "", "family" : "Park", "given" : "Kristen", "non-dropping-particle" : "", "parse-names" : false, "suffix" : "" }, { "dropping-particle" : "", "family" : "Shellhaas", "given" : "Ren\u00e9e a", "non-dropping-particle" : "", "parse-names" : false, "suffix" : "" }, { "dropping-particle" : "", "family" : "Shih", "given" : "Jerry J", "non-dropping-particle" : "", "parse-names" : false, "suffix" : "" }, { "dropping-particle" : "", "family" : "Singh", "given" : "Rani", "non-dropping-particle" : "", "parse-names" : false, "suffix" : "" }, { "dropping-particle" : "", "family" : "Sirven", "given" : "Joseph", "non-dropping-particle" : "", "parse-names" : false, "suffix" : "" }, { "dropping-particle" : "", "family" : "Smith", "given" : "Michael C", "non-dropping-particle" : "", "parse-names" : false, "suffix" : "" }, { "dropping-particle" : "", "family" : "Sullivan", "given" : "Joseph", "non-dropping-particle" : "", "parse-names" : false, "suffix" : "" }, { "dropping-particle" : "", "family" : "Lin Thio", "given" : "Liu", "non-dropping-particle" : "", "parse-names" : false, "suffix" : "" }, { "dropping-particle" : "", "family" : "Venkat", "given" : "Anu", "non-dropping-particle" : "", "parse-names" : false, "suffix" : "" }, { "dropping-particle" : "", "family" : "Vining", "given" : "Eileen P G", "non-dropping-particle" : "", "parse-names" : false, "suffix" : "" }, { "dropping-particle" : "", "family" : "Allmen", "given" : "Gretchen K", "non-dropping-particle" : "Von", "parse-names" : false, "suffix" : "" }, { "dropping-particle" : "", "family" : "Weisenberg", "given" : "Judith L", "non-dropping-particle" : "", "parse-names" : false, "suffix" : "" }, { "dropping-particle" : "", "family" : "Widdess-Walsh", "given" : "Peter", "non-dropping-particle" : "", "parse-names" : false, "suffix" : "" }, { "dropping-particle" : "", "family" : "Winawer", "given" : "Melodie R", "non-dropping-particle" : "", "parse-names" : false, "suffix" : "" } ], "container-title" : "Nature", "id" : "ITEM-1", "issue" : "7466", "issued" : { "date-parts" : [ [ "2013", "9", "12" ] ] }, "page" : "217-21", "publisher" : "Nature Publishing Group", "title" : "De novo mutations in epileptic encephalopathies.", "type" : "article-journal", "volume" : "501" }, "uris" : [ "http://www.mendeley.com/documents/?uuid=b01ed983-ddbe-4245-8e20-fc8f851646e5" ] } ], "mendeley" : { "formattedCitation" : "[3]", "manualFormatting" : "[3]", "plainTextFormattedCitation" : "[3]", "previouslyFormattedCitation" : "[3]" }, "properties" : { "noteIndex" : 0 }, "schema" : "https://github.com/citation-style-language/schema/raw/master/csl-citation.json" }</w:instrText>
      </w:r>
      <w:r w:rsidR="00597E88" w:rsidRPr="00653918">
        <w:rPr>
          <w:rFonts w:ascii="Baskerville" w:hAnsi="Baskerville" w:cs="Baskerville"/>
          <w:sz w:val="22"/>
          <w:szCs w:val="22"/>
        </w:rPr>
        <w:fldChar w:fldCharType="separate"/>
      </w:r>
      <w:r w:rsidR="005431EC" w:rsidRPr="005431EC">
        <w:rPr>
          <w:rFonts w:ascii="Baskerville" w:hAnsi="Baskerville" w:cs="Baskerville"/>
          <w:noProof/>
          <w:sz w:val="22"/>
          <w:szCs w:val="22"/>
        </w:rPr>
        <w:t>[3]</w:t>
      </w:r>
      <w:r w:rsidR="00597E88" w:rsidRPr="00653918">
        <w:rPr>
          <w:rFonts w:ascii="Baskerville" w:hAnsi="Baskerville" w:cs="Baskerville"/>
          <w:sz w:val="22"/>
          <w:szCs w:val="22"/>
        </w:rPr>
        <w:fldChar w:fldCharType="end"/>
      </w:r>
      <w:r w:rsidR="00597E88" w:rsidRPr="00653918">
        <w:rPr>
          <w:rFonts w:ascii="Baskerville" w:hAnsi="Baskerville" w:cs="Baskerville"/>
          <w:sz w:val="22"/>
          <w:szCs w:val="22"/>
          <w:vertAlign w:val="superscript"/>
        </w:rPr>
        <w:t>,</w:t>
      </w:r>
      <w:r w:rsidR="00597E88" w:rsidRPr="00653918">
        <w:rPr>
          <w:rFonts w:ascii="Baskerville" w:hAnsi="Baskerville" w:cs="Baskerville"/>
          <w:sz w:val="22"/>
          <w:szCs w:val="22"/>
        </w:rPr>
        <w:fldChar w:fldCharType="begin" w:fldLock="1"/>
      </w:r>
      <w:r w:rsidR="00E07552">
        <w:rPr>
          <w:rFonts w:ascii="Baskerville" w:hAnsi="Baskerville" w:cs="Baskerville"/>
          <w:sz w:val="22"/>
          <w:szCs w:val="22"/>
        </w:rPr>
        <w:instrText>ADDIN CSL_CITATION { "citationItems" : [ { "id" : "ITEM-1", "itemData" : { "DOI" : "10.1016/j.ajhg.2014.08.013", "ISSN" : "00029297", "author" : [ { "dropping-particle" : "", "family" : "Consortium", "given" : "Euroepinomics-res", "non-dropping-particle" : "", "parse-names" : false, "suffix" : "" }, { "dropping-particle" : "", "family" : "Phenome", "given" : "Epilepsy", "non-dropping-particle" : "", "parse-names" : false, "suffix" : "" }, { "dropping-particle" : "", "family" : "Project", "given" : "Genome", "non-dropping-particle" : "", "parse-names" : false, "suffix" : "" }, { "dropping-particle" : "", "family" : "Consortium", "given" : "Epik", "non-dropping-particle" : "", "parse-names" : false, "suffix" : "" } ], "container-title" : "The American Journal of Human Genetics", "id" : "ITEM-1", "issued" : { "date-parts" : [ [ "2014", "9" ] ] }, "page" : "360-370", "title" : "De Novo Mutations in Synaptic Transmission Genes Including DNM1 Cause Epileptic Encephalopathies", "type" : "article-journal" }, "uris" : [ "http://www.mendeley.com/documents/?uuid=6192dcc9-ee53-4d07-b332-ddd492b3dcf1" ] } ], "mendeley" : { "formattedCitation" : "[4]", "plainTextFormattedCitation" : "[4]", "previouslyFormattedCitation" : "[4]" }, "properties" : { "noteIndex" : 0 }, "schema" : "https://github.com/citation-style-language/schema/raw/master/csl-citation.json" }</w:instrText>
      </w:r>
      <w:r w:rsidR="00597E88" w:rsidRPr="00653918">
        <w:rPr>
          <w:rFonts w:ascii="Baskerville" w:hAnsi="Baskerville" w:cs="Baskerville"/>
          <w:sz w:val="22"/>
          <w:szCs w:val="22"/>
        </w:rPr>
        <w:fldChar w:fldCharType="separate"/>
      </w:r>
      <w:r w:rsidR="005431EC" w:rsidRPr="005431EC">
        <w:rPr>
          <w:rFonts w:ascii="Baskerville" w:hAnsi="Baskerville" w:cs="Baskerville"/>
          <w:noProof/>
          <w:sz w:val="22"/>
          <w:szCs w:val="22"/>
        </w:rPr>
        <w:t>[4]</w:t>
      </w:r>
      <w:r w:rsidR="00597E88" w:rsidRPr="00653918">
        <w:rPr>
          <w:rFonts w:ascii="Baskerville" w:hAnsi="Baskerville" w:cs="Baskerville"/>
          <w:sz w:val="22"/>
          <w:szCs w:val="22"/>
        </w:rPr>
        <w:fldChar w:fldCharType="end"/>
      </w:r>
      <w:r w:rsidR="00597E88" w:rsidRPr="00653918">
        <w:rPr>
          <w:rFonts w:ascii="Baskerville" w:hAnsi="Baskerville" w:cs="Baskerville"/>
          <w:sz w:val="22"/>
          <w:szCs w:val="22"/>
          <w:vertAlign w:val="superscript"/>
        </w:rPr>
        <w:t>,</w:t>
      </w:r>
      <w:r w:rsidR="00597E88" w:rsidRPr="00653918">
        <w:rPr>
          <w:rFonts w:ascii="Baskerville" w:hAnsi="Baskerville" w:cs="Baskerville"/>
          <w:sz w:val="22"/>
          <w:szCs w:val="22"/>
        </w:rPr>
        <w:fldChar w:fldCharType="begin" w:fldLock="1"/>
      </w:r>
      <w:r w:rsidR="00E07552">
        <w:rPr>
          <w:rFonts w:ascii="Baskerville" w:hAnsi="Baskerville" w:cs="Baskerville"/>
          <w:sz w:val="22"/>
          <w:szCs w:val="22"/>
        </w:rPr>
        <w:instrText>ADDIN CSL_CITATION { "citationItems" : [ { "id" : "ITEM-1", "itemData" : { "DOI" : "10.1016/j.ajhg.2016.06.003", "ISSN" : "00029297", "author" : [ { "dropping-particle" : "", "family" : "Consortium", "given" : "Epik", "non-dropping-particle" : "", "parse-names" : false, "suffix" : "" } ], "container-title" : "The American Journal of Human Genetics", "id" : "ITEM-1", "issued" : { "date-parts" : [ [ "2016" ] ] }, "page" : "287-298", "title" : "De Novo Mutations in SLC1A2 and CACNA1A Are Important Causes of Epileptic Encephalopathies", "type" : "article-journal" }, "uris" : [ "http://www.mendeley.com/documents/?uuid=7ac3f135-9ee4-4828-a4f1-a61656a429ed" ] } ], "mendeley" : { "formattedCitation" : "[5]", "plainTextFormattedCitation" : "[5]", "previouslyFormattedCitation" : "[5]" }, "properties" : { "noteIndex" : 0 }, "schema" : "https://github.com/citation-style-language/schema/raw/master/csl-citation.json" }</w:instrText>
      </w:r>
      <w:r w:rsidR="00597E88" w:rsidRPr="00653918">
        <w:rPr>
          <w:rFonts w:ascii="Baskerville" w:hAnsi="Baskerville" w:cs="Baskerville"/>
          <w:sz w:val="22"/>
          <w:szCs w:val="22"/>
        </w:rPr>
        <w:fldChar w:fldCharType="separate"/>
      </w:r>
      <w:r w:rsidR="005431EC" w:rsidRPr="005431EC">
        <w:rPr>
          <w:rFonts w:ascii="Baskerville" w:hAnsi="Baskerville" w:cs="Baskerville"/>
          <w:noProof/>
          <w:sz w:val="22"/>
          <w:szCs w:val="22"/>
        </w:rPr>
        <w:t>[5]</w:t>
      </w:r>
      <w:r w:rsidR="00597E88" w:rsidRPr="00653918">
        <w:rPr>
          <w:rFonts w:ascii="Baskerville" w:hAnsi="Baskerville" w:cs="Baskerville"/>
          <w:sz w:val="22"/>
          <w:szCs w:val="22"/>
        </w:rPr>
        <w:fldChar w:fldCharType="end"/>
      </w:r>
      <w:r w:rsidR="008020EB">
        <w:rPr>
          <w:rFonts w:ascii="Baskerville" w:hAnsi="Baskerville" w:cs="Baskerville"/>
          <w:sz w:val="22"/>
          <w:szCs w:val="22"/>
        </w:rPr>
        <w:t>*</w:t>
      </w:r>
      <w:r w:rsidR="00597E88" w:rsidRPr="00653918">
        <w:rPr>
          <w:rFonts w:ascii="Baskerville" w:hAnsi="Baskerville" w:cs="Baskerville"/>
          <w:sz w:val="22"/>
          <w:szCs w:val="22"/>
        </w:rPr>
        <w:t xml:space="preserve">, </w:t>
      </w:r>
      <w:r w:rsidR="00D94CC6" w:rsidRPr="00653918">
        <w:rPr>
          <w:rFonts w:ascii="Baskerville" w:hAnsi="Baskerville" w:cs="Baskerville"/>
          <w:sz w:val="22"/>
          <w:szCs w:val="22"/>
        </w:rPr>
        <w:t>and</w:t>
      </w:r>
      <w:r w:rsidR="00597E88" w:rsidRPr="00653918">
        <w:rPr>
          <w:rFonts w:ascii="Baskerville" w:hAnsi="Baskerville" w:cs="Baskerville"/>
          <w:sz w:val="22"/>
          <w:szCs w:val="22"/>
        </w:rPr>
        <w:t xml:space="preserve"> neurodevelopmental disease </w:t>
      </w:r>
      <w:r w:rsidR="005D06F9">
        <w:rPr>
          <w:rFonts w:ascii="Baskerville" w:hAnsi="Baskerville" w:cs="Baskerville"/>
          <w:sz w:val="22"/>
          <w:szCs w:val="22"/>
        </w:rPr>
        <w:t xml:space="preserve">more </w:t>
      </w:r>
      <w:r w:rsidR="00597E88" w:rsidRPr="00653918">
        <w:rPr>
          <w:rFonts w:ascii="Baskerville" w:hAnsi="Baskerville" w:cs="Baskerville"/>
          <w:sz w:val="22"/>
          <w:szCs w:val="22"/>
        </w:rPr>
        <w:t>generally</w:t>
      </w:r>
      <w:r w:rsidR="00DE0EFA" w:rsidRPr="00653918">
        <w:rPr>
          <w:rFonts w:ascii="Baskerville" w:hAnsi="Baskerville" w:cs="Baskerville"/>
          <w:sz w:val="22"/>
          <w:szCs w:val="22"/>
        </w:rPr>
        <w:fldChar w:fldCharType="begin" w:fldLock="1"/>
      </w:r>
      <w:r w:rsidR="00F813F5">
        <w:rPr>
          <w:rFonts w:ascii="Baskerville" w:hAnsi="Baskerville" w:cs="Baskerville"/>
          <w:sz w:val="22"/>
          <w:szCs w:val="22"/>
        </w:rPr>
        <w:instrText>ADDIN CSL_CITATION { "citationItems" : [ { "id" : "ITEM-1", "itemData" : { "DOI" : "10.1038/nature13908", "ISSN" : "0028-0836", "PMID" : "25363768", "author" : [ { "dropping-particle" : "", "family" : "Iossifov", "given" : "Ivan", "non-dropping-particle" : "", "parse-names" : false, "suffix" : "" }, { "dropping-particle" : "", "family" : "O\u2019Roak", "given" : "Brian J.", "non-dropping-particle" : "", "parse-names" : false, "suffix" : "" }, { "dropping-particle" : "", "family" : "Sanders", "given" : "Stephan J.", "non-dropping-particle" : "", "parse-names" : false, "suffix" : "" }, { "dropping-particle" : "", "family" : "Ronemus", "given" : "Michael", "non-dropping-particle" : "", "parse-names" : false, "suffix" : "" }, { "dropping-particle" : "", "family" : "Krumm", "given" : "Niklas", "non-dropping-particle" : "", "parse-names" : false, "suffix" : "" }, { "dropping-particle" : "", "family" : "Levy", "given" : "Dan", "non-dropping-particle" : "", "parse-names" : false, "suffix" : "" }, { "dropping-particle" : "", "family" : "Stessman", "given" : "Holly a.", "non-dropping-particle" : "", "parse-names" : false, "suffix" : "" }, { "dropping-particle" : "", "family" : "Witherspoon", "given" : "Kali T.", "non-dropping-particle" : "", "parse-names" : false, "suffix" : "" }, { "dropping-particle" : "", "family" : "Vives", "given" : "Laura", "non-dropping-particle" : "", "parse-names" : false, "suffix" : "" }, { "dropping-particle" : "", "family" : "Patterson", "given" : "Karynne E.", "non-dropping-particle" : "", "parse-names" : false, "suffix" : "" }, { "dropping-particle" : "", "family" : "Smith", "given" : "Joshua D.", "non-dropping-particle" : "", "parse-names" : false, "suffix" : "" }, { "dropping-particle" : "", "family" : "Paeper", "given" : "Bryan", "non-dropping-particle" : "", "parse-names" : false, "suffix" : "" }, { "dropping-particle" : "", "family" : "Nickerson", "given" : "Deborah a.", "non-dropping-particle" : "", "parse-names" : false, "suffix" : "" }, { "dropping-particle" : "", "family" : "Dea", "given" : "Jeanselle", "non-dropping-particle" : "", "parse-names" : false, "suffix" : "" }, { "dropping-particle" : "", "family" : "Dong", "given" : "Shan", "non-dropping-particle" : "", "parse-names" : false, "suffix" : "" }, { "dropping-particle" : "", "family" : "Gonzalez", "given" : "Luis E.", "non-dropping-particle" : "", "parse-names" : false, "suffix" : "" }, { "dropping-particle" : "", "family" : "Mandell", "given" : "Jeffrey D.", "non-dropping-particle" : "", "parse-names" : false, "suffix" : "" }, { "dropping-particle" : "", "family" : "Mane", "given" : "Shrikant M.", "non-dropping-particle" : "", "parse-names" : false, "suffix" : "" }, { "dropping-particle" : "", "family" : "Murtha", "given" : "Michael T.", "non-dropping-particle" : "", "parse-names" : false, "suffix" : "" }, { "dropping-particle" : "", "family" : "Sullivan", "given" : "Catherine a.", "non-dropping-particle" : "", "parse-names" : false, "suffix" : "" }, { "dropping-particle" : "", "family" : "Walker", "given" : "Michael F.", "non-dropping-particle" : "", "parse-names" : false, "suffix" : "" }, { "dropping-particle" : "", "family" : "Waqar", "given" : "Zainulabedin", "non-dropping-particle" : "", "parse-names" : false, "suffix" : "" }, { "dropping-particle" : "", "family" : "Wei", "given" : "Liping", "non-dropping-particle" : "", "parse-names" : false, "suffix" : "" }, { "dropping-particle" : "", "family" : "Willsey", "given" : "a. Jeremy", "non-dropping-particle" : "", "parse-names" : false, "suffix" : "" }, { "dropping-particle" : "", "family" : "Yamrom", "given" : "Boris", "non-dropping-particle" : "", "parse-names" : false, "suffix" : "" }, { "dropping-particle" : "", "family" : "Lee", "given" : "Yoon-ha", "non-dropping-particle" : "", "parse-names" : false, "suffix" : "" }, { "dropping-particle" : "", "family" : "Grabowska", "given" : "Ewa", "non-dropping-particle" : "", "parse-names" : false, "suffix" : "" }, { "dropping-particle" : "", "family" : "Dalkic", "given" : "Ertugrul", "non-dropping-particle" : "", "parse-names" : false, "suffix" : "" }, { "dropping-particle" : "", "family" : "Wang", "given" : "Zihua", "non-dropping-particle" : "", "parse-names" : false, "suffix" : "" }, { "dropping-particle" : "", "family" : "Marks", "given" : "Steven", "non-dropping-particle" : "", "parse-names" : false, "suffix" : "" }, { "dropping-particle" : "", "family" : "Andrews", "given" : "Peter", "non-dropping-particle" : "", "parse-names" : false, "suffix" : "" }, { "dropping-particle" : "", "family" : "Leotta", "given" : "Anthony", "non-dropping-particle" : "", "parse-names" : false, "suffix" : "" }, { "dropping-particle" : "", "family" : "Kendall", "given" : "Jude", "non-dropping-particle" : "", "parse-names" : false, "suffix" : "" }, { "dropping-particle" : "", "family" : "Hakker", "given" : "Inessa", "non-dropping-particle" : "", "parse-names" : false, "suffix" : "" }, { "dropping-particle" : "", "family" : "Rosenbaum", "given" : "Julie", "non-dropping-particle" : "", "parse-names" : false, "suffix" : "" }, { "dropping-particle" : "", "family" : "Ma", "given" : "Beicong", "non-dropping-particle" : "", "parse-names" : false, "suffix" : "" }, { "dropping-particle" : "", "family" : "Rodgers", "given" : "Linda", "non-dropping-particle" : "", "parse-names" : false, "suffix" : "" }, { "dropping-particle" : "", "family" : "Troge", "given" : "Jennifer", "non-dropping-particle" : "", "parse-names" : false, "suffix" : "" }, { "dropping-particle" : "", "family" : "Narzisi", "given" : "Giuseppe", "non-dropping-particle" : "", "parse-names" : false, "suffix" : "" }, { "dropping-particle" : "", "family" : "Yoon", "given" : "Seungtai", "non-dropping-particle" : "", "parse-names" : false, "suffix" : "" }, { "dropping-particle" : "", "family" : "Schatz", "given" : "Michael C.", "non-dropping-particle" : "", "parse-names" : false, "suffix" : "" }, { "dropping-particle" : "", "family" : "Ye", "given" : "Kenny", "non-dropping-particle" : "", "parse-names" : false, "suffix" : "" }, { "dropping-particle" : "", "family" : "McCombie", "given" : "W. Richard", "non-dropping-particle" : "", "parse-names" : false, "suffix" : "" }, { "dropping-particle" : "", "family" : "Shendure", "given" : "Jay", "non-dropping-particle" : "", "parse-names" : false, "suffix" : "" }, { "dropping-particle" : "", "family" : "Eichler", "given" : "Evan E.", "non-dropping-particle" : "", "parse-names" : false, "suffix" : "" }, { "dropping-particle" : "", "family" : "State", "given" : "Matthew W.", "non-dropping-particle" : "", "parse-names" : false, "suffix" : "" }, { "dropping-particle" : "", "family" : "Wigler", "given" : "Michael", "non-dropping-particle" : "", "parse-names" : false, "suffix" : "" } ], "container-title" : "Nature", "id" : "ITEM-1", "issue" : "7526", "issued" : { "date-parts" : [ [ "2014" ] ] }, "page" : "216-221", "publisher" : "Nature Publishing Group", "title" : "The contribution of de novo coding mutations to autism spectrum disorder", "type" : "article-journal", "volume" : "515" }, "uris" : [ "http://www.mendeley.com/documents/?uuid=20c7c725-d02e-43f6-8171-078d9db9b765" ] } ], "mendeley" : { "formattedCitation" : "[6]", "manualFormatting" : "[6]", "plainTextFormattedCitation" : "[6]", "previouslyFormattedCitation" : "[6]" }, "properties" : { "noteIndex" : 0 }, "schema" : "https://github.com/citation-style-language/schema/raw/master/csl-citation.json" }</w:instrText>
      </w:r>
      <w:r w:rsidR="00DE0EFA" w:rsidRPr="00653918">
        <w:rPr>
          <w:rFonts w:ascii="Baskerville" w:hAnsi="Baskerville" w:cs="Baskerville"/>
          <w:sz w:val="22"/>
          <w:szCs w:val="22"/>
        </w:rPr>
        <w:fldChar w:fldCharType="separate"/>
      </w:r>
      <w:r w:rsidR="005431EC" w:rsidRPr="005431EC">
        <w:rPr>
          <w:rFonts w:ascii="Baskerville" w:hAnsi="Baskerville" w:cs="Baskerville"/>
          <w:noProof/>
          <w:sz w:val="22"/>
          <w:szCs w:val="22"/>
        </w:rPr>
        <w:t>[6]</w:t>
      </w:r>
      <w:r w:rsidR="00DE0EFA" w:rsidRPr="00653918">
        <w:rPr>
          <w:rFonts w:ascii="Baskerville" w:hAnsi="Baskerville" w:cs="Baskerville"/>
          <w:sz w:val="22"/>
          <w:szCs w:val="22"/>
        </w:rPr>
        <w:fldChar w:fldCharType="end"/>
      </w:r>
      <w:r w:rsidR="00061CB9">
        <w:rPr>
          <w:rFonts w:ascii="Baskerville" w:hAnsi="Baskerville" w:cs="Baskerville"/>
          <w:sz w:val="22"/>
          <w:szCs w:val="22"/>
        </w:rPr>
        <w:t>,</w:t>
      </w:r>
      <w:r w:rsidR="00561768">
        <w:rPr>
          <w:rFonts w:ascii="Baskerville" w:hAnsi="Baskerville" w:cs="Baskerville"/>
          <w:sz w:val="22"/>
          <w:szCs w:val="22"/>
        </w:rPr>
        <w:t xml:space="preserve"> </w:t>
      </w:r>
      <w:r w:rsidR="008D39D5" w:rsidRPr="00653918">
        <w:rPr>
          <w:rFonts w:ascii="Baskerville" w:hAnsi="Baskerville" w:cs="Baskerville"/>
          <w:sz w:val="22"/>
          <w:szCs w:val="22"/>
        </w:rPr>
        <w:t>represents a fundamental scientific advance</w:t>
      </w:r>
      <w:r w:rsidR="00597E88" w:rsidRPr="00653918">
        <w:rPr>
          <w:rFonts w:ascii="Baskerville" w:hAnsi="Baskerville" w:cs="Baskerville"/>
          <w:sz w:val="22"/>
          <w:szCs w:val="22"/>
        </w:rPr>
        <w:t xml:space="preserve">. </w:t>
      </w:r>
      <w:r w:rsidR="00770A74">
        <w:rPr>
          <w:rFonts w:ascii="Baskerville" w:hAnsi="Baskerville" w:cs="Baskerville"/>
          <w:sz w:val="22"/>
          <w:szCs w:val="22"/>
        </w:rPr>
        <w:t>NGS</w:t>
      </w:r>
      <w:r w:rsidR="003D7BF3">
        <w:rPr>
          <w:rFonts w:ascii="Baskerville" w:hAnsi="Baskerville" w:cs="Baskerville"/>
          <w:sz w:val="22"/>
          <w:szCs w:val="22"/>
        </w:rPr>
        <w:t xml:space="preserve"> studies have revealed how mutation</w:t>
      </w:r>
      <w:r w:rsidR="00770A74">
        <w:rPr>
          <w:rFonts w:ascii="Baskerville" w:hAnsi="Baskerville" w:cs="Baskerville"/>
          <w:sz w:val="22"/>
          <w:szCs w:val="22"/>
        </w:rPr>
        <w:t>s</w:t>
      </w:r>
      <w:r w:rsidR="003D7BF3">
        <w:rPr>
          <w:rFonts w:ascii="Baskerville" w:hAnsi="Baskerville" w:cs="Baskerville"/>
          <w:sz w:val="22"/>
          <w:szCs w:val="22"/>
        </w:rPr>
        <w:t xml:space="preserve"> in the same gene can give rise to a spectrum of epilepsy phenotypes </w:t>
      </w:r>
      <w:r w:rsidR="00801526">
        <w:rPr>
          <w:rFonts w:ascii="Baskerville" w:hAnsi="Baskerville" w:cs="Baskerville"/>
          <w:sz w:val="22"/>
          <w:szCs w:val="22"/>
        </w:rPr>
        <w:t>(</w:t>
      </w:r>
      <w:r w:rsidR="00925EEA">
        <w:rPr>
          <w:rFonts w:ascii="Baskerville" w:hAnsi="Baskerville" w:cs="Baskerville"/>
          <w:sz w:val="22"/>
          <w:szCs w:val="22"/>
        </w:rPr>
        <w:t>or</w:t>
      </w:r>
      <w:r w:rsidR="003D7BF3">
        <w:rPr>
          <w:rFonts w:ascii="Baskerville" w:hAnsi="Baskerville" w:cs="Baskerville"/>
          <w:sz w:val="22"/>
          <w:szCs w:val="22"/>
        </w:rPr>
        <w:t xml:space="preserve"> even different forms of neurodevelopmental disease</w:t>
      </w:r>
      <w:r w:rsidR="00801526">
        <w:rPr>
          <w:rFonts w:ascii="Baskerville" w:hAnsi="Baskerville" w:cs="Baskerville"/>
          <w:sz w:val="22"/>
          <w:szCs w:val="22"/>
        </w:rPr>
        <w:t>)</w:t>
      </w:r>
      <w:r w:rsidR="003D7BF3">
        <w:rPr>
          <w:rFonts w:ascii="Baskerville" w:hAnsi="Baskerville" w:cs="Baskerville"/>
          <w:sz w:val="22"/>
          <w:szCs w:val="22"/>
        </w:rPr>
        <w:t xml:space="preserve">, </w:t>
      </w:r>
      <w:r w:rsidR="00925EEA">
        <w:rPr>
          <w:rFonts w:ascii="Baskerville" w:hAnsi="Baskerville" w:cs="Baskerville"/>
          <w:sz w:val="22"/>
          <w:szCs w:val="22"/>
        </w:rPr>
        <w:t>and</w:t>
      </w:r>
      <w:r w:rsidR="003D7BF3">
        <w:rPr>
          <w:rFonts w:ascii="Baskerville" w:hAnsi="Baskerville" w:cs="Baskerville"/>
          <w:sz w:val="22"/>
          <w:szCs w:val="22"/>
        </w:rPr>
        <w:t xml:space="preserve"> </w:t>
      </w:r>
      <w:r w:rsidR="00430F50">
        <w:rPr>
          <w:rFonts w:ascii="Baskerville" w:hAnsi="Baskerville" w:cs="Baskerville"/>
          <w:sz w:val="22"/>
          <w:szCs w:val="22"/>
        </w:rPr>
        <w:t xml:space="preserve">have </w:t>
      </w:r>
      <w:r w:rsidR="003D7BF3">
        <w:rPr>
          <w:rFonts w:ascii="Baskerville" w:hAnsi="Baskerville" w:cs="Baskerville"/>
          <w:sz w:val="22"/>
          <w:szCs w:val="22"/>
        </w:rPr>
        <w:t>highlighted the genetic heterogen</w:t>
      </w:r>
      <w:r w:rsidR="00286D99">
        <w:rPr>
          <w:rFonts w:ascii="Baskerville" w:hAnsi="Baskerville" w:cs="Baskerville"/>
          <w:sz w:val="22"/>
          <w:szCs w:val="22"/>
        </w:rPr>
        <w:t xml:space="preserve">eity underlying </w:t>
      </w:r>
      <w:r w:rsidR="00925EEA">
        <w:rPr>
          <w:rFonts w:ascii="Baskerville" w:hAnsi="Baskerville" w:cs="Baskerville"/>
          <w:sz w:val="22"/>
          <w:szCs w:val="22"/>
        </w:rPr>
        <w:t xml:space="preserve">some </w:t>
      </w:r>
      <w:r w:rsidR="00286D99">
        <w:rPr>
          <w:rFonts w:ascii="Baskerville" w:hAnsi="Baskerville" w:cs="Baskerville"/>
          <w:sz w:val="22"/>
          <w:szCs w:val="22"/>
        </w:rPr>
        <w:t>relatively well-</w:t>
      </w:r>
      <w:r w:rsidR="003D7BF3">
        <w:rPr>
          <w:rFonts w:ascii="Baskerville" w:hAnsi="Baskerville" w:cs="Baskerville"/>
          <w:sz w:val="22"/>
          <w:szCs w:val="22"/>
        </w:rPr>
        <w:t>defined epilepsy phenotypes</w:t>
      </w:r>
      <w:r w:rsidR="003F76BF">
        <w:rPr>
          <w:rFonts w:ascii="Baskerville" w:hAnsi="Baskerville" w:cs="Baskerville"/>
          <w:sz w:val="22"/>
          <w:szCs w:val="22"/>
        </w:rPr>
        <w:fldChar w:fldCharType="begin" w:fldLock="1"/>
      </w:r>
      <w:r w:rsidR="00880237">
        <w:rPr>
          <w:rFonts w:ascii="Baskerville" w:hAnsi="Baskerville" w:cs="Baskerville"/>
          <w:sz w:val="22"/>
          <w:szCs w:val="22"/>
        </w:rPr>
        <w:instrText>ADDIN CSL_CITATION { "citationItems" : [ { "id" : "ITEM-1", "itemData" : { "DOI" : "10.1038/nn.3713", "ISSN" : "1546-1726", "PMID" : "24866043", "abstract" : "Recent human genetic studies have consistently shown that mutations in the same gene or same genomic region can increase the risk of a broad range of complex neuropsychiatric disorders. Despite the steadily increasing number of examples of such nonspecific effects on risk, the underlying biological causes remain mysterious. Here we investigate the phenomenon of such nonspecific risk by identifying Mendelian disease genes that are associated with multiple diseases and explore what is known about the underlying mechanisms in these more 'simple' examples. Our analyses make clear that there are a variety of mechanisms at work, emphasizing how challenging it will be to elucidate the causes of nonspecific risk in complex disease. Ultimately, we conclude that functional approaches will be critical for explaining the causes of nonspecific risk factors discovered by human genetic studies of neuropsychiatric disorders.", "author" : [ { "dropping-particle" : "", "family" : "Zhu", "given" : "Xiaolin", "non-dropping-particle" : "", "parse-names" : false, "suffix" : "" }, { "dropping-particle" : "", "family" : "Need", "given" : "Anna C", "non-dropping-particle" : "", "parse-names" : false, "suffix" : "" }, { "dropping-particle" : "", "family" : "Petrovski", "given" : "Slav\u00e9", "non-dropping-particle" : "", "parse-names" : false, "suffix" : "" }, { "dropping-particle" : "", "family" : "Goldstein", "given" : "David B", "non-dropping-particle" : "", "parse-names" : false, "suffix" : "" } ], "container-title" : "Nature neuroscience", "id" : "ITEM-1", "issue" : "6", "issued" : { "date-parts" : [ [ "2014", "6" ] ] }, "page" : "773-81", "publisher" : "Nature Publishing Group", "title" : "One gene, many neuropsychiatric disorders: lessons from Mendelian diseases.", "type" : "article-journal", "volume" : "17" }, "uris" : [ "http://www.mendeley.com/documents/?uuid=92144819-128a-49a9-9d0d-989e6ce45f57" ] } ], "mendeley" : { "formattedCitation" : "[7]", "plainTextFormattedCitation" : "[7]", "previouslyFormattedCitation" : "[7]" }, "properties" : { "noteIndex" : 0 }, "schema" : "https://github.com/citation-style-language/schema/raw/master/csl-citation.json" }</w:instrText>
      </w:r>
      <w:r w:rsidR="003F76BF">
        <w:rPr>
          <w:rFonts w:ascii="Baskerville" w:hAnsi="Baskerville" w:cs="Baskerville"/>
          <w:sz w:val="22"/>
          <w:szCs w:val="22"/>
        </w:rPr>
        <w:fldChar w:fldCharType="separate"/>
      </w:r>
      <w:r w:rsidR="003F76BF" w:rsidRPr="003F76BF">
        <w:rPr>
          <w:rFonts w:ascii="Baskerville" w:hAnsi="Baskerville" w:cs="Baskerville"/>
          <w:noProof/>
          <w:sz w:val="22"/>
          <w:szCs w:val="22"/>
        </w:rPr>
        <w:t>[7]</w:t>
      </w:r>
      <w:r w:rsidR="003F76BF">
        <w:rPr>
          <w:rFonts w:ascii="Baskerville" w:hAnsi="Baskerville" w:cs="Baskerville"/>
          <w:sz w:val="22"/>
          <w:szCs w:val="22"/>
        </w:rPr>
        <w:fldChar w:fldCharType="end"/>
      </w:r>
      <w:r w:rsidR="003D7BF3">
        <w:rPr>
          <w:rFonts w:ascii="Baskerville" w:hAnsi="Baskerville" w:cs="Baskerville"/>
          <w:sz w:val="22"/>
          <w:szCs w:val="22"/>
        </w:rPr>
        <w:t xml:space="preserve">. </w:t>
      </w:r>
      <w:r w:rsidR="00ED7D0E">
        <w:rPr>
          <w:rFonts w:ascii="Baskerville" w:hAnsi="Baskerville" w:cs="Baskerville"/>
          <w:sz w:val="22"/>
          <w:szCs w:val="22"/>
        </w:rPr>
        <w:t>As analysis of e</w:t>
      </w:r>
      <w:r w:rsidR="00816F57" w:rsidRPr="00653918">
        <w:rPr>
          <w:rFonts w:ascii="Baskerville" w:hAnsi="Baskerville" w:cs="Baskerville"/>
          <w:sz w:val="22"/>
          <w:szCs w:val="22"/>
        </w:rPr>
        <w:t>pilepsy gene</w:t>
      </w:r>
      <w:r w:rsidR="006838BF">
        <w:rPr>
          <w:rFonts w:ascii="Baskerville" w:hAnsi="Baskerville" w:cs="Baskerville"/>
          <w:sz w:val="22"/>
          <w:szCs w:val="22"/>
        </w:rPr>
        <w:t xml:space="preserve"> panels</w:t>
      </w:r>
      <w:r w:rsidR="00ED7D0E" w:rsidRPr="00653918">
        <w:rPr>
          <w:rFonts w:ascii="Baskerville" w:hAnsi="Baskerville" w:cs="Baskerville"/>
          <w:sz w:val="22"/>
          <w:szCs w:val="22"/>
        </w:rPr>
        <w:fldChar w:fldCharType="begin" w:fldLock="1"/>
      </w:r>
      <w:r w:rsidR="00ED7D0E">
        <w:rPr>
          <w:rFonts w:ascii="Baskerville" w:hAnsi="Baskerville" w:cs="Baskerville"/>
          <w:sz w:val="22"/>
          <w:szCs w:val="22"/>
        </w:rPr>
        <w:instrText>ADDIN CSL_CITATION { "citationItems" : [ { "id" : "ITEM-1", "itemData" : { "DOI" : "10.1136/jmedgenet-2015-103263", "ISSN" : "0022-2593", "author" : [ { "dropping-particle" : "", "family" : "Trump", "given" : "Natalie", "non-dropping-particle" : "", "parse-names" : false, "suffix" : "" }, { "dropping-particle" : "", "family" : "McTague", "given" : "Amy", "non-dropping-particle" : "", "parse-names" : false, "suffix" : "" }, { "dropping-particle" : "", "family" : "Brittain", "given" : "Helen", "non-dropping-particle" : "", "parse-names" : false, "suffix" : "" }, { "dropping-particle" : "", "family" : "Papandreou", "given" : "Apostolos", "non-dropping-particle" : "", "parse-names" : false, "suffix" : "" }, { "dropping-particle" : "", "family" : "Meyer", "given" : "Esther", "non-dropping-particle" : "", "parse-names" : false, "suffix" : "" }, { "dropping-particle" : "", "family" : "Ngoh", "given" : "Adeline", "non-dropping-particle" : "", "parse-names" : false, "suffix" : "" }, { "dropping-particle" : "", "family" : "Palmer", "given" : "Rodger", "non-dropping-particle" : "", "parse-names" : false, "suffix" : "" }, { "dropping-particle" : "", "family" : "Morrogh", "given" : "Deborah", "non-dropping-particle" : "", "parse-names" : false, "suffix" : "" }, { "dropping-particle" : "", "family" : "Boustred", "given" : "Christopher", "non-dropping-particle" : "", "parse-names" : false, "suffix" : "" }, { "dropping-particle" : "", "family" : "Hurst", "given" : "Jane A", "non-dropping-particle" : "", "parse-names" : false, "suffix" : "" }, { "dropping-particle" : "", "family" : "Jenkins", "given" : "Lucy", "non-dropping-particle" : "", "parse-names" : false, "suffix" : "" }, { "dropping-particle" : "", "family" : "Kurian", "given" : "Manju A", "non-dropping-particle" : "", "parse-names" : false, "suffix" : "" }, { "dropping-particle" : "", "family" : "Scott", "given" : "Richard H", "non-dropping-particle" : "", "parse-names" : false, "suffix" : "" } ], "container-title" : "Journal of Medical Genetics", "id" : "ITEM-1", "issued" : { "date-parts" : [ [ "2016" ] ] }, "page" : "jmedgenet-2015-103263", "title" : "Improving diagnosis and broadening the phenotypes in early-onset seizure and severe developmental delay disorders through gene panel analysis", "type" : "article-journal" }, "uris" : [ "http://www.mendeley.com/documents/?uuid=990f8337-bdaf-468b-9797-15d49fcd8ba3" ] } ], "mendeley" : { "formattedCitation" : "[8]", "plainTextFormattedCitation" : "[8]", "previouslyFormattedCitation" : "[8]" }, "properties" : { "noteIndex" : 0 }, "schema" : "https://github.com/citation-style-language/schema/raw/master/csl-citation.json" }</w:instrText>
      </w:r>
      <w:r w:rsidR="00ED7D0E" w:rsidRPr="00653918">
        <w:rPr>
          <w:rFonts w:ascii="Baskerville" w:hAnsi="Baskerville" w:cs="Baskerville"/>
          <w:sz w:val="22"/>
          <w:szCs w:val="22"/>
        </w:rPr>
        <w:fldChar w:fldCharType="separate"/>
      </w:r>
      <w:r w:rsidR="00ED7D0E" w:rsidRPr="003F76BF">
        <w:rPr>
          <w:rFonts w:ascii="Baskerville" w:hAnsi="Baskerville" w:cs="Baskerville"/>
          <w:noProof/>
          <w:sz w:val="22"/>
          <w:szCs w:val="22"/>
        </w:rPr>
        <w:t>[8]</w:t>
      </w:r>
      <w:r w:rsidR="00ED7D0E" w:rsidRPr="00653918">
        <w:rPr>
          <w:rFonts w:ascii="Baskerville" w:hAnsi="Baskerville" w:cs="Baskerville"/>
          <w:sz w:val="22"/>
          <w:szCs w:val="22"/>
        </w:rPr>
        <w:fldChar w:fldCharType="end"/>
      </w:r>
      <w:r w:rsidR="00ED7D0E">
        <w:rPr>
          <w:rFonts w:ascii="Baskerville" w:hAnsi="Baskerville" w:cs="Baskerville"/>
          <w:sz w:val="22"/>
          <w:szCs w:val="22"/>
        </w:rPr>
        <w:t>*</w:t>
      </w:r>
      <w:r w:rsidR="0057450B">
        <w:rPr>
          <w:rFonts w:ascii="Baskerville" w:hAnsi="Baskerville" w:cs="Baskerville"/>
          <w:sz w:val="22"/>
          <w:szCs w:val="22"/>
        </w:rPr>
        <w:t xml:space="preserve"> </w:t>
      </w:r>
      <w:r w:rsidR="00ED7D0E">
        <w:rPr>
          <w:rFonts w:ascii="Baskerville" w:hAnsi="Baskerville" w:cs="Baskerville"/>
          <w:sz w:val="22"/>
          <w:szCs w:val="22"/>
        </w:rPr>
        <w:t xml:space="preserve">and clinical whole exome sequencing </w:t>
      </w:r>
      <w:r w:rsidR="0099604F">
        <w:rPr>
          <w:rFonts w:ascii="Baskerville" w:hAnsi="Baskerville" w:cs="Baskerville"/>
          <w:sz w:val="22"/>
          <w:szCs w:val="22"/>
        </w:rPr>
        <w:t xml:space="preserve">(WES) </w:t>
      </w:r>
      <w:r w:rsidR="00ED7D0E">
        <w:rPr>
          <w:rFonts w:ascii="Baskerville" w:hAnsi="Baskerville" w:cs="Baskerville"/>
          <w:sz w:val="22"/>
          <w:szCs w:val="22"/>
        </w:rPr>
        <w:t>becomes</w:t>
      </w:r>
      <w:r w:rsidR="00816F57" w:rsidRPr="00653918">
        <w:rPr>
          <w:rFonts w:ascii="Baskerville" w:hAnsi="Baskerville" w:cs="Baskerville"/>
          <w:sz w:val="22"/>
          <w:szCs w:val="22"/>
        </w:rPr>
        <w:t xml:space="preserve"> mainstream</w:t>
      </w:r>
      <w:r w:rsidR="00C249DD" w:rsidRPr="00653918">
        <w:rPr>
          <w:rFonts w:ascii="Baskerville" w:hAnsi="Baskerville" w:cs="Baskerville"/>
          <w:sz w:val="22"/>
          <w:szCs w:val="22"/>
        </w:rPr>
        <w:t xml:space="preserve">, </w:t>
      </w:r>
      <w:r w:rsidR="00ED7D0E">
        <w:rPr>
          <w:rFonts w:ascii="Baskerville" w:hAnsi="Baskerville" w:cs="Baskerville"/>
          <w:sz w:val="22"/>
          <w:szCs w:val="22"/>
        </w:rPr>
        <w:t xml:space="preserve">the diagnostic approach </w:t>
      </w:r>
      <w:r w:rsidR="00914EC9">
        <w:rPr>
          <w:rFonts w:ascii="Baskerville" w:hAnsi="Baskerville" w:cs="Baskerville"/>
          <w:sz w:val="22"/>
          <w:szCs w:val="22"/>
        </w:rPr>
        <w:t>in epilepsy genetics</w:t>
      </w:r>
      <w:r w:rsidR="00203441">
        <w:rPr>
          <w:rFonts w:ascii="Baskerville" w:hAnsi="Baskerville" w:cs="Baskerville"/>
          <w:sz w:val="22"/>
          <w:szCs w:val="22"/>
        </w:rPr>
        <w:t xml:space="preserve"> </w:t>
      </w:r>
      <w:r w:rsidR="00914EC9">
        <w:rPr>
          <w:rFonts w:ascii="Baskerville" w:hAnsi="Baskerville" w:cs="Baskerville"/>
          <w:sz w:val="22"/>
          <w:szCs w:val="22"/>
        </w:rPr>
        <w:t xml:space="preserve">is increasing </w:t>
      </w:r>
      <w:r w:rsidR="00890651">
        <w:rPr>
          <w:rFonts w:ascii="Baskerville" w:hAnsi="Baskerville" w:cs="Baskerville"/>
          <w:sz w:val="22"/>
          <w:szCs w:val="22"/>
        </w:rPr>
        <w:t>one that moves</w:t>
      </w:r>
      <w:r w:rsidR="00914EC9">
        <w:rPr>
          <w:rFonts w:ascii="Baskerville" w:hAnsi="Baskerville" w:cs="Baskerville"/>
          <w:sz w:val="22"/>
          <w:szCs w:val="22"/>
        </w:rPr>
        <w:t xml:space="preserve"> from genotype to phenotype</w:t>
      </w:r>
      <w:r w:rsidR="00C249DD" w:rsidRPr="00653918">
        <w:rPr>
          <w:rFonts w:ascii="Baskerville" w:hAnsi="Baskerville" w:cs="Baskerville"/>
          <w:sz w:val="22"/>
          <w:szCs w:val="22"/>
        </w:rPr>
        <w:t>.</w:t>
      </w:r>
      <w:r w:rsidR="00816F57" w:rsidRPr="00653918">
        <w:rPr>
          <w:rFonts w:ascii="Baskerville" w:hAnsi="Baskerville" w:cs="Baskerville"/>
          <w:sz w:val="22"/>
          <w:szCs w:val="22"/>
        </w:rPr>
        <w:t xml:space="preserve"> </w:t>
      </w:r>
      <w:r w:rsidR="000B3D67" w:rsidRPr="00653918">
        <w:rPr>
          <w:rFonts w:ascii="Baskerville" w:hAnsi="Baskerville" w:cs="Baskerville"/>
          <w:sz w:val="22"/>
          <w:szCs w:val="22"/>
        </w:rPr>
        <w:t xml:space="preserve">In this review, we consider </w:t>
      </w:r>
      <w:r w:rsidR="005D703F" w:rsidRPr="00653918">
        <w:rPr>
          <w:rFonts w:ascii="Baskerville" w:hAnsi="Baskerville" w:cs="Baskerville"/>
          <w:sz w:val="22"/>
          <w:szCs w:val="22"/>
        </w:rPr>
        <w:t xml:space="preserve">the </w:t>
      </w:r>
      <w:r w:rsidR="000B3D67" w:rsidRPr="00653918">
        <w:rPr>
          <w:rFonts w:ascii="Baskerville" w:hAnsi="Baskerville" w:cs="Baskerville"/>
          <w:sz w:val="22"/>
          <w:szCs w:val="22"/>
        </w:rPr>
        <w:t xml:space="preserve">recent advances </w:t>
      </w:r>
      <w:r w:rsidR="00032D5F">
        <w:rPr>
          <w:rFonts w:ascii="Baskerville" w:hAnsi="Baskerville" w:cs="Baskerville"/>
          <w:sz w:val="22"/>
          <w:szCs w:val="22"/>
        </w:rPr>
        <w:t>in epilepsy genetics</w:t>
      </w:r>
      <w:r w:rsidR="005D703F" w:rsidRPr="00653918">
        <w:rPr>
          <w:rFonts w:ascii="Baskerville" w:hAnsi="Baskerville" w:cs="Baskerville"/>
          <w:sz w:val="22"/>
          <w:szCs w:val="22"/>
        </w:rPr>
        <w:t xml:space="preserve"> and in</w:t>
      </w:r>
      <w:r w:rsidR="005219EC">
        <w:rPr>
          <w:rFonts w:ascii="Baskerville" w:hAnsi="Baskerville" w:cs="Baskerville"/>
          <w:sz w:val="22"/>
          <w:szCs w:val="22"/>
        </w:rPr>
        <w:t xml:space="preserve"> particular</w:t>
      </w:r>
      <w:r w:rsidR="002A604D" w:rsidRPr="00653918">
        <w:rPr>
          <w:rFonts w:ascii="Baskerville" w:hAnsi="Baskerville" w:cs="Baskerville"/>
          <w:sz w:val="22"/>
          <w:szCs w:val="22"/>
        </w:rPr>
        <w:t xml:space="preserve"> </w:t>
      </w:r>
      <w:r w:rsidR="00340321" w:rsidRPr="00653918">
        <w:rPr>
          <w:rFonts w:ascii="Baskerville" w:hAnsi="Baskerville" w:cs="Baskerville"/>
          <w:sz w:val="22"/>
          <w:szCs w:val="22"/>
        </w:rPr>
        <w:t>how these</w:t>
      </w:r>
      <w:r w:rsidR="000B3D67" w:rsidRPr="00653918">
        <w:rPr>
          <w:rFonts w:ascii="Baskerville" w:hAnsi="Baskerville" w:cs="Baskerville"/>
          <w:sz w:val="22"/>
          <w:szCs w:val="22"/>
        </w:rPr>
        <w:t xml:space="preserve"> discoveries </w:t>
      </w:r>
      <w:r w:rsidR="002007E5">
        <w:rPr>
          <w:rFonts w:ascii="Baskerville" w:hAnsi="Baskerville" w:cs="Baskerville"/>
          <w:sz w:val="22"/>
          <w:szCs w:val="22"/>
        </w:rPr>
        <w:t xml:space="preserve">are changing the conceptual boundaries between epilepsy phenotypes </w:t>
      </w:r>
      <w:r w:rsidR="00E72527">
        <w:rPr>
          <w:rFonts w:ascii="Baskerville" w:hAnsi="Baskerville" w:cs="Baskerville"/>
          <w:sz w:val="22"/>
          <w:szCs w:val="22"/>
        </w:rPr>
        <w:t xml:space="preserve">and </w:t>
      </w:r>
      <w:r w:rsidR="002007E5">
        <w:rPr>
          <w:rFonts w:ascii="Baskerville" w:hAnsi="Baskerville" w:cs="Baskerville"/>
          <w:sz w:val="22"/>
          <w:szCs w:val="22"/>
        </w:rPr>
        <w:t>the</w:t>
      </w:r>
      <w:r w:rsidR="000B3D67" w:rsidRPr="00653918">
        <w:rPr>
          <w:rFonts w:ascii="Baskerville" w:hAnsi="Baskerville" w:cs="Baskerville"/>
          <w:sz w:val="22"/>
          <w:szCs w:val="22"/>
        </w:rPr>
        <w:t xml:space="preserve"> prospects for precision medicine </w:t>
      </w:r>
      <w:r w:rsidR="006C70CB">
        <w:rPr>
          <w:rFonts w:ascii="Baskerville" w:hAnsi="Baskerville" w:cs="Baskerville"/>
          <w:sz w:val="22"/>
          <w:szCs w:val="22"/>
        </w:rPr>
        <w:t>and new drug discovery</w:t>
      </w:r>
      <w:r w:rsidR="002007E5">
        <w:rPr>
          <w:rFonts w:ascii="Baskerville" w:hAnsi="Baskerville" w:cs="Baskerville"/>
          <w:sz w:val="22"/>
          <w:szCs w:val="22"/>
        </w:rPr>
        <w:t xml:space="preserve"> based on epilepsy gene discovery</w:t>
      </w:r>
      <w:r w:rsidR="00340321" w:rsidRPr="00653918">
        <w:rPr>
          <w:rFonts w:ascii="Baskerville" w:hAnsi="Baskerville" w:cs="Baskerville"/>
          <w:sz w:val="22"/>
          <w:szCs w:val="22"/>
        </w:rPr>
        <w:t xml:space="preserve">. </w:t>
      </w:r>
    </w:p>
    <w:p w14:paraId="3F86AB1D" w14:textId="77777777" w:rsidR="0024314E" w:rsidRPr="00653918" w:rsidRDefault="0024314E" w:rsidP="000B3D67">
      <w:pPr>
        <w:spacing w:line="360" w:lineRule="auto"/>
        <w:jc w:val="both"/>
        <w:rPr>
          <w:rFonts w:ascii="Baskerville" w:hAnsi="Baskerville" w:cs="Baskerville"/>
          <w:b/>
          <w:sz w:val="22"/>
          <w:szCs w:val="22"/>
        </w:rPr>
      </w:pPr>
    </w:p>
    <w:p w14:paraId="07E597A2" w14:textId="49A6B7F9" w:rsidR="001F40D2" w:rsidRPr="00B614F6" w:rsidRDefault="00B07F42" w:rsidP="000B3D67">
      <w:pPr>
        <w:spacing w:line="360" w:lineRule="auto"/>
        <w:jc w:val="both"/>
        <w:rPr>
          <w:rFonts w:ascii="Baskerville" w:hAnsi="Baskerville" w:cs="Baskerville"/>
          <w:b/>
          <w:sz w:val="22"/>
          <w:szCs w:val="22"/>
        </w:rPr>
      </w:pPr>
      <w:r w:rsidRPr="00653918">
        <w:rPr>
          <w:rFonts w:ascii="Baskerville" w:hAnsi="Baskerville" w:cs="Baskerville"/>
          <w:b/>
          <w:sz w:val="22"/>
          <w:szCs w:val="22"/>
        </w:rPr>
        <w:t xml:space="preserve">Recent advances in monogenic epilepsy </w:t>
      </w:r>
    </w:p>
    <w:p w14:paraId="58A17082" w14:textId="2AA750E9" w:rsidR="004E5CF4" w:rsidRPr="00323EAE" w:rsidRDefault="004E5CF4" w:rsidP="000B3D67">
      <w:pPr>
        <w:spacing w:line="360" w:lineRule="auto"/>
        <w:jc w:val="both"/>
        <w:rPr>
          <w:rFonts w:ascii="Baskerville" w:hAnsi="Baskerville" w:cs="Baskerville"/>
          <w:sz w:val="22"/>
          <w:szCs w:val="22"/>
        </w:rPr>
      </w:pPr>
      <w:r>
        <w:rPr>
          <w:rFonts w:ascii="Baskerville" w:hAnsi="Baskerville" w:cs="Baskerville"/>
          <w:sz w:val="22"/>
          <w:szCs w:val="22"/>
        </w:rPr>
        <w:t xml:space="preserve">Below we consider the latest advances in gene discovery for monogenic epilepsy. </w:t>
      </w:r>
    </w:p>
    <w:p w14:paraId="44660883" w14:textId="77777777" w:rsidR="004E5CF4" w:rsidRDefault="004E5CF4" w:rsidP="000B3D67">
      <w:pPr>
        <w:spacing w:line="360" w:lineRule="auto"/>
        <w:jc w:val="both"/>
        <w:rPr>
          <w:rFonts w:ascii="Baskerville" w:hAnsi="Baskerville" w:cs="Baskerville"/>
          <w:i/>
          <w:sz w:val="22"/>
          <w:szCs w:val="22"/>
        </w:rPr>
      </w:pPr>
    </w:p>
    <w:p w14:paraId="17A37B1C" w14:textId="4C125F03" w:rsidR="00A47804" w:rsidRPr="00653918" w:rsidRDefault="00D62A03" w:rsidP="00A47804">
      <w:pPr>
        <w:spacing w:line="360" w:lineRule="auto"/>
        <w:jc w:val="both"/>
        <w:rPr>
          <w:rFonts w:ascii="Baskerville" w:hAnsi="Baskerville" w:cs="Baskerville"/>
          <w:sz w:val="22"/>
          <w:szCs w:val="22"/>
        </w:rPr>
      </w:pPr>
      <w:r w:rsidRPr="00653918">
        <w:rPr>
          <w:rFonts w:ascii="Baskerville" w:hAnsi="Baskerville" w:cs="Baskerville"/>
          <w:sz w:val="22"/>
          <w:szCs w:val="22"/>
        </w:rPr>
        <w:t>The</w:t>
      </w:r>
      <w:r w:rsidR="00A47804" w:rsidRPr="00653918">
        <w:rPr>
          <w:rFonts w:ascii="Baskerville" w:hAnsi="Baskerville" w:cs="Baskerville"/>
          <w:sz w:val="22"/>
          <w:szCs w:val="22"/>
        </w:rPr>
        <w:t xml:space="preserve"> extent of phenotypic variability associated with </w:t>
      </w:r>
      <w:r w:rsidRPr="00653918">
        <w:rPr>
          <w:rFonts w:ascii="Baskerville" w:hAnsi="Baskerville" w:cs="Baskerville"/>
          <w:sz w:val="22"/>
          <w:szCs w:val="22"/>
        </w:rPr>
        <w:t>GABA receptor mutations is becoming apparent, w</w:t>
      </w:r>
      <w:r w:rsidR="00060BAE">
        <w:rPr>
          <w:rFonts w:ascii="Baskerville" w:hAnsi="Baskerville" w:cs="Baskerville"/>
          <w:sz w:val="22"/>
          <w:szCs w:val="22"/>
        </w:rPr>
        <w:t>ith</w:t>
      </w:r>
      <w:r w:rsidR="00A47804" w:rsidRPr="00653918">
        <w:rPr>
          <w:rFonts w:ascii="Baskerville" w:hAnsi="Baskerville" w:cs="Baskerville"/>
          <w:sz w:val="22"/>
          <w:szCs w:val="22"/>
        </w:rPr>
        <w:t xml:space="preserve"> </w:t>
      </w:r>
      <w:r w:rsidR="00A47804" w:rsidRPr="00653918">
        <w:rPr>
          <w:rFonts w:ascii="Baskerville" w:hAnsi="Baskerville" w:cs="Baskerville"/>
          <w:i/>
          <w:sz w:val="22"/>
          <w:szCs w:val="22"/>
        </w:rPr>
        <w:t>GABRA1</w:t>
      </w:r>
      <w:r w:rsidR="00A47804" w:rsidRPr="00653918">
        <w:rPr>
          <w:rFonts w:ascii="Baskerville" w:hAnsi="Baskerville" w:cs="Baskerville"/>
          <w:sz w:val="22"/>
          <w:szCs w:val="22"/>
        </w:rPr>
        <w:t xml:space="preserve"> mutations originally </w:t>
      </w:r>
      <w:r w:rsidR="00060BAE">
        <w:rPr>
          <w:rFonts w:ascii="Baskerville" w:hAnsi="Baskerville" w:cs="Baskerville"/>
          <w:sz w:val="22"/>
          <w:szCs w:val="22"/>
        </w:rPr>
        <w:t>reported</w:t>
      </w:r>
      <w:r w:rsidR="00060BAE" w:rsidRPr="00653918">
        <w:rPr>
          <w:rFonts w:ascii="Baskerville" w:hAnsi="Baskerville" w:cs="Baskerville"/>
          <w:sz w:val="22"/>
          <w:szCs w:val="22"/>
        </w:rPr>
        <w:t xml:space="preserve"> </w:t>
      </w:r>
      <w:r w:rsidR="00A47804" w:rsidRPr="00653918">
        <w:rPr>
          <w:rFonts w:ascii="Baskerville" w:hAnsi="Baskerville" w:cs="Baskerville"/>
          <w:sz w:val="22"/>
          <w:szCs w:val="22"/>
        </w:rPr>
        <w:t>in a family with dominantly inherited J</w:t>
      </w:r>
      <w:r w:rsidR="000C178B" w:rsidRPr="00653918">
        <w:rPr>
          <w:rFonts w:ascii="Baskerville" w:hAnsi="Baskerville" w:cs="Baskerville"/>
          <w:sz w:val="22"/>
          <w:szCs w:val="22"/>
        </w:rPr>
        <w:t>uvenile Myoclonic Epilepsy</w:t>
      </w:r>
      <w:r w:rsidR="00A47804" w:rsidRPr="00653918">
        <w:rPr>
          <w:rFonts w:ascii="Baskerville" w:hAnsi="Baskerville" w:cs="Baskerville"/>
          <w:sz w:val="22"/>
          <w:szCs w:val="22"/>
        </w:rPr>
        <w:t xml:space="preserve"> </w:t>
      </w:r>
      <w:r w:rsidRPr="00653918">
        <w:rPr>
          <w:rFonts w:ascii="Baskerville" w:hAnsi="Baskerville" w:cs="Baskerville"/>
          <w:sz w:val="22"/>
          <w:szCs w:val="22"/>
        </w:rPr>
        <w:t>now</w:t>
      </w:r>
      <w:r w:rsidR="00A47804" w:rsidRPr="00653918">
        <w:rPr>
          <w:rFonts w:ascii="Baskerville" w:hAnsi="Baskerville" w:cs="Baskerville"/>
          <w:sz w:val="22"/>
          <w:szCs w:val="22"/>
        </w:rPr>
        <w:t xml:space="preserve"> </w:t>
      </w:r>
      <w:r w:rsidR="004E68DB">
        <w:rPr>
          <w:rFonts w:ascii="Baskerville" w:hAnsi="Baskerville" w:cs="Baskerville"/>
          <w:sz w:val="22"/>
          <w:szCs w:val="22"/>
        </w:rPr>
        <w:t xml:space="preserve">also </w:t>
      </w:r>
      <w:r w:rsidRPr="00653918">
        <w:rPr>
          <w:rFonts w:ascii="Baskerville" w:hAnsi="Baskerville" w:cs="Baskerville"/>
          <w:sz w:val="22"/>
          <w:szCs w:val="22"/>
        </w:rPr>
        <w:t>described</w:t>
      </w:r>
      <w:r w:rsidR="00A47804" w:rsidRPr="00653918">
        <w:rPr>
          <w:rFonts w:ascii="Baskerville" w:hAnsi="Baskerville" w:cs="Baskerville"/>
          <w:sz w:val="22"/>
          <w:szCs w:val="22"/>
        </w:rPr>
        <w:t xml:space="preserve"> in severe infantile onset epileptic encephalopathies</w:t>
      </w:r>
      <w:r w:rsidR="00A47804" w:rsidRPr="00653918">
        <w:rPr>
          <w:rFonts w:ascii="Baskerville" w:hAnsi="Baskerville" w:cs="Baskerville"/>
          <w:sz w:val="22"/>
          <w:szCs w:val="22"/>
        </w:rPr>
        <w:fldChar w:fldCharType="begin" w:fldLock="1"/>
      </w:r>
      <w:r w:rsidR="00880237">
        <w:rPr>
          <w:rFonts w:ascii="Baskerville" w:hAnsi="Baskerville" w:cs="Baskerville"/>
          <w:sz w:val="22"/>
          <w:szCs w:val="22"/>
        </w:rPr>
        <w:instrText>ADDIN CSL_CITATION { "citationItems" : [ { "id" : "ITEM-1", "itemData" : { "DOI" : "10.1212/WNL.0000000000003087", "ISBN" : "0000000000", "ISSN" : "1526-632X", "PMID" : "27521439", "abstract" : "OBJECTIVE To delineate phenotypic heterogeneity, we describe the clinical features of a cohort of patients with GABRA1 gene mutations. METHODS Patients with GABRA1 mutations were ascertained through an international collaboration. Clinical, EEG, and genetic data were collected. Functional analysis of 4 selected mutations was performed using the Xenopus laevis oocyte expression system. RESULTS The study included 16 novel probands and 3 additional family members with a disease-causing mutation in the GABRA1 gene. The phenotypic spectrum varied from unspecified epilepsy (1), juvenile myoclonic epilepsy (2), photosensitive idiopathic generalized epilepsy (1), and generalized epilepsy with febrile seizures plus (1) to severe epileptic encephalopathies (11). In the epileptic encephalopathy group, the patients had seizures beginning between the first day of life and 15 months, with a mean of 7 months. Predominant seizure types in all patients were tonic-clonic in 9 participants (56%) and myoclonic seizures in 5 (31%). EEG showed a generalized photoparoxysmal response in 6 patients (37%). Four selected mutations studied functionally revealed a loss of function, without a clear genotype-phenotype correlation. CONCLUSIONS GABRA1 mutations make a significant contribution to the genetic etiology of both benign and severe epilepsy syndromes. Myoclonic and tonic-clonic seizures with pathologic response to photic stimulation are common and shared features in both mild and severe phenotypes.", "author" : [ { "dropping-particle" : "", "family" : "Johannesen", "given" : "Katrine", "non-dropping-particle" : "", "parse-names" : false, "suffix" : "" }, { "dropping-particle" : "", "family" : "Marini", "given" : "Carla", "non-dropping-particle" : "", "parse-names" : false, "suffix" : "" }, { "dropping-particle" : "", "family" : "Pfeffer", "given" : "Siona", "non-dropping-particle" : "", "parse-names" : false, "suffix" : "" }, { "dropping-particle" : "", "family" : "M\u00f8ller", "given" : "Rikke S", "non-dropping-particle" : "", "parse-names" : false, "suffix" : "" }, { "dropping-particle" : "", "family" : "Dorn", "given" : "Thomas", "non-dropping-particle" : "", "parse-names" : false, "suffix" : "" }, { "dropping-particle" : "", "family" : "Niturad", "given" : "Christina", "non-dropping-particle" : "", "parse-names" : false, "suffix" : "" }, { "dropping-particle" : "", "family" : "Gardella", "given" : "Elena", "non-dropping-particle" : "", "parse-names" : false, "suffix" : "" }, { "dropping-particle" : "", "family" : "Weber", "given" : "Yvonne", "non-dropping-particle" : "", "parse-names" : false, "suffix" : "" }, { "dropping-particle" : "", "family" : "S\u00f8nderg\u00e5rd", "given" : "Marianne", "non-dropping-particle" : "", "parse-names" : false, "suffix" : "" }, { "dropping-particle" : "", "family" : "Hjalgrim", "given" : "Helle", "non-dropping-particle" : "", "parse-names" : false, "suffix" : "" }, { "dropping-particle" : "", "family" : "Nikanorova", "given" : "Mariana", "non-dropping-particle" : "", "parse-names" : false, "suffix" : "" }, { "dropping-particle" : "", "family" : "Becker", "given" : "Felicitas", "non-dropping-particle" : "", "parse-names" : false, "suffix" : "" }, { "dropping-particle" : "", "family" : "Larsen", "given" : "Line H G", "non-dropping-particle" : "", "parse-names" : false, "suffix" : "" }, { "dropping-particle" : "", "family" : "Dahl", "given" : "Hans A", "non-dropping-particle" : "", "parse-names" : false, "suffix" : "" }, { "dropping-particle" : "", "family" : "Maier", "given" : "Oliver", "non-dropping-particle" : "", "parse-names" : false, "suffix" : "" }, { "dropping-particle" : "", "family" : "Mei", "given" : "Davide", "non-dropping-particle" : "", "parse-names" : false, "suffix" : "" }, { "dropping-particle" : "", "family" : "Biskup", "given" : "Saskia", "non-dropping-particle" : "", "parse-names" : false, "suffix" : "" }, { "dropping-particle" : "", "family" : "Klein", "given" : "Karl M", "non-dropping-particle" : "", "parse-names" : false, "suffix" : "" }, { "dropping-particle" : "", "family" : "Reif", "given" : "Philipp S", "non-dropping-particle" : "", "parse-names" : false, "suffix" : "" }, { "dropping-particle" : "", "family" : "Rosenow", "given" : "Felix", "non-dropping-particle" : "", "parse-names" : false, "suffix" : "" }, { "dropping-particle" : "", "family" : "Elias", "given" : "Abdallah F", "non-dropping-particle" : "", "parse-names" : false, "suffix" : "" }, { "dropping-particle" : "", "family" : "Hudson", "given" : "Cindy", "non-dropping-particle" : "", "parse-names" : false, "suffix" : "" }, { "dropping-particle" : "", "family" : "Helbig", "given" : "Katherine L", "non-dropping-particle" : "", "parse-names" : false, "suffix" : "" }, { "dropping-particle" : "", "family" : "Schubert-Bast", "given" : "Susanne", "non-dropping-particle" : "", "parse-names" : false, "suffix" : "" }, { "dropping-particle" : "", "family" : "Scordo", "given" : "Maria R", "non-dropping-particle" : "", "parse-names" : false, "suffix" : "" }, { "dropping-particle" : "", "family" : "Craiu", "given" : "Dana", "non-dropping-particle" : "", "parse-names" : false, "suffix" : "" }, { "dropping-particle" : "", "family" : "Dj\u00e9mi\u00e9", "given" : "Tania", "non-dropping-particle" : "", "parse-names" : false, "suffix" : "" }, { "dropping-particle" : "", "family" : "Hoffman-Zacharska", "given" : "Dorota", "non-dropping-particle" : "", "parse-names" : false, "suffix" : "" }, { "dropping-particle" : "", "family" : "Caglayan", "given" : "Hande", "non-dropping-particle" : "", "parse-names" : false, "suffix" : "" }, { "dropping-particle" : "", "family" : "Helbig", "given" : "Ingo", "non-dropping-particle" : "", "parse-names" : false, "suffix" : "" }, { "dropping-particle" : "", "family" : "Serratosa", "given" : "Jose", "non-dropping-particle" : "", "parse-names" : false, "suffix" : "" }, { "dropping-particle" : "", "family" : "Striano", "given" : "Pasquale", "non-dropping-particle" : "", "parse-names" : false, "suffix" : "" }, { "dropping-particle" : "", "family" : "Jonghe", "given" : "Peter", "non-dropping-particle" : "De", "parse-names" : false, "suffix" : "" }, { "dropping-particle" : "", "family" : "Weckhuysen", "given" : "Sarah", "non-dropping-particle" : "", "parse-names" : false, "suffix" : "" }, { "dropping-particle" : "", "family" : "Suls", "given" : "Arvid", "non-dropping-particle" : "", "parse-names" : false, "suffix" : "" }, { "dropping-particle" : "", "family" : "Muru", "given" : "Kai", "non-dropping-particle" : "", "parse-names" : false, "suffix" : "" }, { "dropping-particle" : "", "family" : "Talvik", "given" : "Inga", "non-dropping-particle" : "", "parse-names" : false, "suffix" : "" }, { "dropping-particle" : "", "family" : "Talvik", "given" : "Tiina", "non-dropping-particle" : "", "parse-names" : false, "suffix" : "" }, { "dropping-particle" : "", "family" : "Muhle", "given" : "Hiltrud", "non-dropping-particle" : "", "parse-names" : false, "suffix" : "" }, { "dropping-particle" : "", "family" : "Borggraefe", "given" : "Ingo", "non-dropping-particle" : "", "parse-names" : false, "suffix" : "" }, { "dropping-particle" : "", "family" : "Rost", "given" : "Imma", "non-dropping-particle" : "", "parse-names" : false, "suffix" : "" }, { "dropping-particle" : "", "family" : "Guerrini", "given" : "Renzo", "non-dropping-particle" : "", "parse-names" : false, "suffix" : "" }, { "dropping-particle" : "", "family" : "Lerche", "given" : "Holger", "non-dropping-particle" : "", "parse-names" : false, "suffix" : "" }, { "dropping-particle" : "", "family" : "Lemke", "given" : "Johannes R", "non-dropping-particle" : "", "parse-names" : false, "suffix" : "" }, { "dropping-particle" : "", "family" : "Rubboli", "given" : "Guido", "non-dropping-particle" : "", "parse-names" : false, "suffix" : "" }, { "dropping-particle" : "", "family" : "Maljevic", "given" : "Snezana", "non-dropping-particle" : "", "parse-names" : false, "suffix" : "" } ], "container-title" : "Neurology", "id" : "ITEM-1", "issued" : { "date-parts" : [ [ "2016" ] ] }, "title" : "Phenotypic spectrum of GABRA1: From generalized epilepsies to severe epileptic encephalopathies.", "type" : "article-journal" }, "uris" : [ "http://www.mendeley.com/documents/?uuid=72045feb-0388-4b40-9815-76d35373338d" ] } ], "mendeley" : { "formattedCitation" : "[9]", "plainTextFormattedCitation" : "[9]", "previouslyFormattedCitation" : "[9]" }, "properties" : { "noteIndex" : 0 }, "schema" : "https://github.com/citation-style-language/schema/raw/master/csl-citation.json" }</w:instrText>
      </w:r>
      <w:r w:rsidR="00A47804" w:rsidRPr="00653918">
        <w:rPr>
          <w:rFonts w:ascii="Baskerville" w:hAnsi="Baskerville" w:cs="Baskerville"/>
          <w:sz w:val="22"/>
          <w:szCs w:val="22"/>
        </w:rPr>
        <w:fldChar w:fldCharType="separate"/>
      </w:r>
      <w:r w:rsidR="003F76BF" w:rsidRPr="003F76BF">
        <w:rPr>
          <w:rFonts w:ascii="Baskerville" w:hAnsi="Baskerville" w:cs="Baskerville"/>
          <w:noProof/>
          <w:sz w:val="22"/>
          <w:szCs w:val="22"/>
        </w:rPr>
        <w:t>[9]</w:t>
      </w:r>
      <w:r w:rsidR="00A47804" w:rsidRPr="00653918">
        <w:rPr>
          <w:rFonts w:ascii="Baskerville" w:hAnsi="Baskerville" w:cs="Baskerville"/>
          <w:sz w:val="22"/>
          <w:szCs w:val="22"/>
        </w:rPr>
        <w:fldChar w:fldCharType="end"/>
      </w:r>
      <w:r w:rsidR="000B18DE">
        <w:rPr>
          <w:rFonts w:ascii="Baskerville" w:hAnsi="Baskerville" w:cs="Baskerville"/>
          <w:sz w:val="22"/>
          <w:szCs w:val="22"/>
        </w:rPr>
        <w:t>*</w:t>
      </w:r>
      <w:r w:rsidR="00A47804" w:rsidRPr="00653918">
        <w:rPr>
          <w:rFonts w:ascii="Baskerville" w:hAnsi="Baskerville" w:cs="Baskerville"/>
          <w:sz w:val="22"/>
          <w:szCs w:val="22"/>
          <w:vertAlign w:val="superscript"/>
        </w:rPr>
        <w:t>,</w:t>
      </w:r>
      <w:r w:rsidR="00A47804" w:rsidRPr="00653918">
        <w:rPr>
          <w:rFonts w:ascii="Baskerville" w:hAnsi="Baskerville" w:cs="Baskerville"/>
          <w:sz w:val="22"/>
          <w:szCs w:val="22"/>
        </w:rPr>
        <w:fldChar w:fldCharType="begin" w:fldLock="1"/>
      </w:r>
      <w:r w:rsidR="00880237">
        <w:rPr>
          <w:rFonts w:ascii="Baskerville" w:hAnsi="Baskerville" w:cs="Baskerville"/>
          <w:sz w:val="22"/>
          <w:szCs w:val="22"/>
        </w:rPr>
        <w:instrText>ADDIN CSL_CITATION { "citationItems" : [ { "id" : "ITEM-1", "itemData" : { "DOI" : "10.1111/epi.13344", "ISBN" : "1528-1167 (Electronic)\r0013-9580 (Linking)", "ISSN" : "15281167", "PMID" : "26918889", "abstract" : "OBJECTIVE GABRA1 mutations have been identified in patients with familial juvenile myoclonic epilepsy, sporadic childhood absence epilepsy, and idiopathic familial generalized epilepsy. In addition, de novo GABRA1 mutations were recently reported in a patient with infantile spasms and four patients with Dravet syndrome. Those reports suggest that GABRA1 mutations are associated with infantile epilepsy including early onset epileptic encephalopathies. In this study, we searched for GABRA1 mutations in patients with infantile epilepsy to investigate the phenotypic spectrum of GABRA1 mutations. METHODS In total, 526 and 145 patients with infantile epilepsy were analyzed by whole-exome sequencing and GABRA1-targeted resequencing, respectively. RESULTS We identified five de novo missense GABRA1 mutations in six unrelated patients. A p.R112Q mutation in the long extracellular N-terminus was identified in a patient with infantile epilepsy; p.P260L, p.M263T, and p.M263I in transmembrane spanning domain 1 (TM1) were identified in three unrelated patients with West syndrome and a patient with Ohtahara syndrome, respectively; and p.V287L in TM2 was identified in a patient with unclassified early onset epileptic encephalopathy. Four of these mutations have not been observed previously. SIGNIFICANCE Our study suggests that de novo GABRA1 mutations can cause early onset epileptic encephalopathies, including Ohtahara syndrome and West syndrome.", "author" : [ { "dropping-particle" : "", "family" : "Kodera", "given" : "Hirofumi", "non-dropping-particle" : "", "parse-names" : false, "suffix" : "" }, { "dropping-particle" : "", "family" : "Ohba", "given" : "Chihiro", "non-dropping-particle" : "", "parse-names" : false, "suffix" : "" }, { "dropping-particle" : "", "family" : "Kato", "given" : "Mitsuhiro", "non-dropping-particle" : "", "parse-names" : false, "suffix" : "" }, { "dropping-particle" : "", "family" : "Maeda", "given" : "Toshiyuki", "non-dropping-particle" : "", "parse-names" : false, "suffix" : "" }, { "dropping-particle" : "", "family" : "Araki", "given" : "Kaoru", "non-dropping-particle" : "", "parse-names" : false, "suffix" : "" }, { "dropping-particle" : "", "family" : "Tajima", "given" : "Daisuke", "non-dropping-particle" : "", "parse-names" : false, "suffix" : "" }, { "dropping-particle" : "", "family" : "Matsuo", "given" : "Muneaki", "non-dropping-particle" : "", "parse-names" : false, "suffix" : "" }, { "dropping-particle" : "", "family" : "Hino-Fukuyo", "given" : "Naomi", "non-dropping-particle" : "", "parse-names" : false, "suffix" : "" }, { "dropping-particle" : "", "family" : "Kohashi", "given" : "Kosuke", "non-dropping-particle" : "", "parse-names" : false, "suffix" : "" }, { "dropping-particle" : "", "family" : "Ishiyama", "given" : "Akihiko", "non-dropping-particle" : "", "parse-names" : false, "suffix" : "" }, { "dropping-particle" : "", "family" : "Takeshita", "given" : "Saoko", "non-dropping-particle" : "", "parse-names" : false, "suffix" : "" }, { "dropping-particle" : "", "family" : "Motoi", "given" : "Hirotaka", "non-dropping-particle" : "", "parse-names" : false, "suffix" : "" }, { "dropping-particle" : "", "family" : "Kitamura", "given" : "Taro", "non-dropping-particle" : "", "parse-names" : false, "suffix" : "" }, { "dropping-particle" : "", "family" : "Kikuchi", "given" : "Atsuo", "non-dropping-particle" : "", "parse-names" : false, "suffix" : "" }, { "dropping-particle" : "", "family" : "Tsurusaki", "given" : "Yoshinori", "non-dropping-particle" : "", "parse-names" : false, "suffix" : "" }, { "dropping-particle" : "", "family" : "Nakashima", "given" : "Mitsuko", "non-dropping-particle" : "", "parse-names" : false, "suffix" : "" }, { "dropping-particle" : "", "family" : "Miyake", "given" : "Noriko", "non-dropping-particle" : "", "parse-names" : false, "suffix" : "" }, { "dropping-particle" : "", "family" : "Sasaki", "given" : "Masayuki", "non-dropping-particle" : "", "parse-names" : false, "suffix" : "" }, { "dropping-particle" : "", "family" : "Kure", "given" : "Shigeo", "non-dropping-particle" : "", "parse-names" : false, "suffix" : "" }, { "dropping-particle" : "", "family" : "Haginoya", "given" : "Kazuhiro", "non-dropping-particle" : "", "parse-names" : false, "suffix" : "" }, { "dropping-particle" : "", "family" : "Saitsu", "given" : "Hirotomo", "non-dropping-particle" : "", "parse-names" : false, "suffix" : "" }, { "dropping-particle" : "", "family" : "Matsumoto", "given" : "Naomichi", "non-dropping-particle" : "", "parse-names" : false, "suffix" : "" } ], "container-title" : "Epilepsia", "id" : "ITEM-1", "issue" : "4", "issued" : { "date-parts" : [ [ "2016" ] ] }, "page" : "566-573", "title" : "De novo GABRA1 mutations in Ohtahara and West syndromes", "type" : "article-journal", "volume" : "57" }, "uris" : [ "http://www.mendeley.com/documents/?uuid=e73c583d-6b6d-40bf-b2d6-4e0e65a468ec" ] } ], "mendeley" : { "formattedCitation" : "[10]", "plainTextFormattedCitation" : "[10]", "previouslyFormattedCitation" : "[10]" }, "properties" : { "noteIndex" : 0 }, "schema" : "https://github.com/citation-style-language/schema/raw/master/csl-citation.json" }</w:instrText>
      </w:r>
      <w:r w:rsidR="00A47804" w:rsidRPr="00653918">
        <w:rPr>
          <w:rFonts w:ascii="Baskerville" w:hAnsi="Baskerville" w:cs="Baskerville"/>
          <w:sz w:val="22"/>
          <w:szCs w:val="22"/>
        </w:rPr>
        <w:fldChar w:fldCharType="separate"/>
      </w:r>
      <w:r w:rsidR="003F76BF" w:rsidRPr="003F76BF">
        <w:rPr>
          <w:rFonts w:ascii="Baskerville" w:hAnsi="Baskerville" w:cs="Baskerville"/>
          <w:noProof/>
          <w:sz w:val="22"/>
          <w:szCs w:val="22"/>
        </w:rPr>
        <w:t>[10]</w:t>
      </w:r>
      <w:r w:rsidR="00A47804" w:rsidRPr="00653918">
        <w:rPr>
          <w:rFonts w:ascii="Baskerville" w:hAnsi="Baskerville" w:cs="Baskerville"/>
          <w:sz w:val="22"/>
          <w:szCs w:val="22"/>
        </w:rPr>
        <w:fldChar w:fldCharType="end"/>
      </w:r>
      <w:r w:rsidR="000B18DE">
        <w:rPr>
          <w:rFonts w:ascii="Baskerville" w:hAnsi="Baskerville" w:cs="Baskerville"/>
          <w:sz w:val="22"/>
          <w:szCs w:val="22"/>
        </w:rPr>
        <w:t>*</w:t>
      </w:r>
      <w:r w:rsidR="00EB5C83" w:rsidRPr="00653918">
        <w:rPr>
          <w:rFonts w:ascii="Baskerville" w:hAnsi="Baskerville" w:cs="Baskerville"/>
          <w:sz w:val="22"/>
          <w:szCs w:val="22"/>
        </w:rPr>
        <w:t xml:space="preserve">. </w:t>
      </w:r>
      <w:r w:rsidR="00A47804" w:rsidRPr="00653918">
        <w:rPr>
          <w:rFonts w:ascii="Baskerville" w:hAnsi="Baskerville" w:cs="Baskerville"/>
          <w:i/>
          <w:sz w:val="22"/>
          <w:szCs w:val="22"/>
        </w:rPr>
        <w:t>GABRB3</w:t>
      </w:r>
      <w:r w:rsidR="00A47804" w:rsidRPr="00653918">
        <w:rPr>
          <w:rFonts w:ascii="Baskerville" w:hAnsi="Baskerville" w:cs="Baskerville"/>
          <w:sz w:val="22"/>
          <w:szCs w:val="22"/>
        </w:rPr>
        <w:t xml:space="preserve"> mutations, first </w:t>
      </w:r>
      <w:r w:rsidR="00EB5C83" w:rsidRPr="00653918">
        <w:rPr>
          <w:rFonts w:ascii="Baskerville" w:hAnsi="Baskerville" w:cs="Baskerville"/>
          <w:sz w:val="22"/>
          <w:szCs w:val="22"/>
        </w:rPr>
        <w:t>observed</w:t>
      </w:r>
      <w:r w:rsidR="00A47804" w:rsidRPr="00653918">
        <w:rPr>
          <w:rFonts w:ascii="Baskerville" w:hAnsi="Baskerville" w:cs="Baskerville"/>
          <w:sz w:val="22"/>
          <w:szCs w:val="22"/>
        </w:rPr>
        <w:t xml:space="preserve"> in families with </w:t>
      </w:r>
      <w:r w:rsidR="00EB5C83" w:rsidRPr="00653918">
        <w:rPr>
          <w:rFonts w:ascii="Baskerville" w:hAnsi="Baskerville" w:cs="Baskerville"/>
          <w:sz w:val="22"/>
          <w:szCs w:val="22"/>
        </w:rPr>
        <w:t>Childhood Absence Epilepsy</w:t>
      </w:r>
      <w:r w:rsidR="00A47804" w:rsidRPr="00653918">
        <w:rPr>
          <w:rFonts w:ascii="Baskerville" w:hAnsi="Baskerville" w:cs="Baskerville"/>
          <w:sz w:val="22"/>
          <w:szCs w:val="22"/>
        </w:rPr>
        <w:t xml:space="preserve">, </w:t>
      </w:r>
      <w:r w:rsidR="000969C6">
        <w:rPr>
          <w:rFonts w:ascii="Baskerville" w:hAnsi="Baskerville" w:cs="Baskerville"/>
          <w:sz w:val="22"/>
          <w:szCs w:val="22"/>
        </w:rPr>
        <w:t>are now also</w:t>
      </w:r>
      <w:r w:rsidR="00A47804" w:rsidRPr="00653918">
        <w:rPr>
          <w:rFonts w:ascii="Baskerville" w:hAnsi="Baskerville" w:cs="Baskerville"/>
          <w:sz w:val="22"/>
          <w:szCs w:val="22"/>
        </w:rPr>
        <w:t xml:space="preserve"> found </w:t>
      </w:r>
      <w:r w:rsidR="00EB5C83" w:rsidRPr="00653918">
        <w:rPr>
          <w:rFonts w:ascii="Baskerville" w:hAnsi="Baskerville" w:cs="Baskerville"/>
          <w:sz w:val="22"/>
          <w:szCs w:val="22"/>
        </w:rPr>
        <w:t>in epileptic encephalopathy</w:t>
      </w:r>
      <w:r w:rsidR="003E04BF" w:rsidRPr="00653918">
        <w:rPr>
          <w:rFonts w:ascii="Baskerville" w:hAnsi="Baskerville" w:cs="Baskerville"/>
          <w:sz w:val="22"/>
          <w:szCs w:val="22"/>
        </w:rPr>
        <w:fldChar w:fldCharType="begin" w:fldLock="1"/>
      </w:r>
      <w:r w:rsidR="00880237">
        <w:rPr>
          <w:rFonts w:ascii="Baskerville" w:hAnsi="Baskerville" w:cs="Baskerville"/>
          <w:sz w:val="22"/>
          <w:szCs w:val="22"/>
        </w:rPr>
        <w:instrText>ADDIN CSL_CITATION { "citationItems" : [ { "id" : "ITEM-1", "itemData" : { "DOI" : "10.1016/j.ajhg.2016.06.003", "ISSN" : "00029297", "author" : [ { "dropping-particle" : "", "family" : "Consortium", "given" : "Epik", "non-dropping-particle" : "", "parse-names" : false, "suffix" : "" } ], "container-title" : "The American Journal of Human Genetics", "id" : "ITEM-1", "issued" : { "date-parts" : [ [ "2016" ] ] }, "page" : "287-298", "title" : "De Novo Mutations in SLC1A2 and CACNA1A Are Important Causes of Epileptic Encephalopathies", "type" : "article-journal" }, "uris" : [ "http://www.mendeley.com/documents/?uuid=7ac3f135-9ee4-4828-a4f1-a61656a429ed" ] }, { "id" : "ITEM-2", "itemData" : { "DOI" : "10.1002/ana.24631", "ISSN" : "1531-8249", "PMID" : "26950270", "abstract" : "OBJECTIVE The Epi4K consortium recently identified four de novo mutations in the \u03b3-aminobutyric acid type A (GABAA ) receptor \u03b23 subunit gene GABRB3 and one in the \u03b21 subunit gene GABRB1 in children with epileptic encephalopathies (EEs) Lennox-Gastaut syndrome (LGS) or infantile spasms (IS). Since the etiology of EEs is often unknown, we determined the impact of GABRB mutations on GABAA receptor function and biogenesis. METHODS GABAA receptor \u03b11 and \u03b32L subunits were co-expressed with wild-type and/or mutant \u03b23 or \u03b21 subunits in HEK 293T cells. Currents were measured using whole cell and single channel patch clamp techniques. Surface and total expression levels were measured using flow cytometry. Potential structural perturbations in mutant GABAA receptors were explored using structural modeling. RESULTS LGS-associated GABRB3(D120N, E180G, Y302C) mutations located at \u03b2+ subunit interfaces reduced whole cell currents by decreasing single channel open probability without loss of surface receptors. In contrast, IS-associated GABRB3(N110D) and GABRB1(F246S) mutations at \u03b2- subunit interfaces produced minor changes in whole cell current peak amplitude but altered current deactivation by decreasing or increasing single channel burst duration, respectively. GABRB3(E180G) and GABRB1(F246S) mutations also produced spontaneous channel openings. INTERPRETATION All five de novo GABRB mutations impaired GABAA receptor function by rearranging conserved structural domains, supporting their role in EEs. The primary effect of LGS-associated mutations was reduced GABA-evoked peak current amplitudes while the major impact of IS-associated mutations was on current kinetic properties. Despite lack of association with epilepsy syndromes, our results suggest GABRB1 as a candidate human epilepsy gene. This article is protected by copyright. All rights reserved.", "author" : [ { "dropping-particle" : "", "family" : "Janve", "given" : "Vaishali S", "non-dropping-particle" : "", "parse-names" : false, "suffix" : "" }, { "dropping-particle" : "", "family" : "Hernandez", "given" : "Ciria C", "non-dropping-particle" : "", "parse-names" : false, "suffix" : "" }, { "dropping-particle" : "", "family" : "Verdier", "given" : "Kelienne M", "non-dropping-particle" : "", "parse-names" : false, "suffix" : "" }, { "dropping-particle" : "", "family" : "Hu", "given" : "Ningning", "non-dropping-particle" : "", "parse-names" : false, "suffix" : "" }, { "dropping-particle" : "", "family" : "Macdonald", "given" : "Robert L", "non-dropping-particle" : "", "parse-names" : false, "suffix" : "" } ], "container-title" : "Annals of neurology", "id" : "ITEM-2", "issue" : "5", "issued" : { "date-parts" : [ [ "2016" ] ] }, "page" : "806-825", "title" : "Epileptic encephalopathy de novo GABRB mutations impair GABAA receptor function.", "type" : "article-journal", "volume" : "79" }, "uris" : [ "http://www.mendeley.com/documents/?uuid=35f97377-fbc9-4044-85ca-52984b16bcb4" ] }, { "id" : "ITEM-3", "itemData" : { "DOI" : "10.1111/dmcn.12976", "ISSN" : "14698749", "PMID" : "26645412", "abstract" : "The gamma-aminobutyric acid type A receptor beta3 gene (GABRB3) encodes the beta3-subunit of the gamma-aminobutyric acid type A (GABAA ) receptor, which mediates inhibitory signalling within the central nervous system. Recently, GABRB3 mutations have been identified in a few patients with infantile spasms and Lennox-Gastaut syndrome. We report the clinical and electrographic features of a novel case of GABRB3-related early-onset epileptic encephalopathy. Our patient presented with neonatal hypotonia and feeding difficulties, then developed pharmacoresistant epileptic encephalopathy, characterized by multiple seizure types from 3 months of age. Electroencephalography demonstrated ictal generalized and interictal multifocal epileptiform abnormalities. Using a SureSelectXT custom multiple gene panel covering 48 early infantile epileptic encephalopathy/developmental delay genes, a novel de novo GABRB3 heterozygous missense mutation, c.860C&gt;T (p.Thr287Ile), was identified and confirmed on Sanger sequencing. GABRB3 is an emerging cause of early-onset epilepsy. Novel genetic technologies, such as whole-exome/genome sequencing and multiple gene panels, will undoubtedly identify further cases, allowing more detailed electroclinical delineation of the GABRB3-related genotypic and phenotypic spectra.", "author" : [ { "dropping-particle" : "", "family" : "Papandreou", "given" : "Apostolos", "non-dropping-particle" : "", "parse-names" : false, "suffix" : "" }, { "dropping-particle" : "", "family" : "Mctague", "given" : "Amy", "non-dropping-particle" : "", "parse-names" : false, "suffix" : "" }, { "dropping-particle" : "", "family" : "Trump", "given" : "Natalie", "non-dropping-particle" : "", "parse-names" : false, "suffix" : "" }, { "dropping-particle" : "", "family" : "Ambegaonkar", "given" : "Gautam", "non-dropping-particle" : "", "parse-names" : false, "suffix" : "" }, { "dropping-particle" : "", "family" : "Ngoh", "given" : "Adeline", "non-dropping-particle" : "", "parse-names" : false, "suffix" : "" }, { "dropping-particle" : "", "family" : "Meyer", "given" : "Esther", "non-dropping-particle" : "", "parse-names" : false, "suffix" : "" }, { "dropping-particle" : "", "family" : "Scott", "given" : "Richard H.", "non-dropping-particle" : "", "parse-names" : false, "suffix" : "" }, { "dropping-particle" : "", "family" : "Kurian", "given" : "Manju A.", "non-dropping-particle" : "", "parse-names" : false, "suffix" : "" } ], "container-title" : "Developmental Medicine and Child Neurology", "id" : "ITEM-3", "issue" : "4", "issued" : { "date-parts" : [ [ "2016" ] ] }, "page" : "416-420", "title" : "GABRB3 mutations: A new and emerging cause of early infantile epileptic encephalopathy", "type" : "article-journal", "volume" : "58" }, "uris" : [ "http://www.mendeley.com/documents/?uuid=48045def-5dd4-484c-a9c6-bebd17f03eb5" ] } ], "mendeley" : { "formattedCitation" : "[5,11,12]", "plainTextFormattedCitation" : "[5,11,12]", "previouslyFormattedCitation" : "[5,11,12]" }, "properties" : { "noteIndex" : 0 }, "schema" : "https://github.com/citation-style-language/schema/raw/master/csl-citation.json" }</w:instrText>
      </w:r>
      <w:r w:rsidR="003E04BF" w:rsidRPr="00653918">
        <w:rPr>
          <w:rFonts w:ascii="Baskerville" w:hAnsi="Baskerville" w:cs="Baskerville"/>
          <w:sz w:val="22"/>
          <w:szCs w:val="22"/>
        </w:rPr>
        <w:fldChar w:fldCharType="separate"/>
      </w:r>
      <w:r w:rsidR="003F76BF" w:rsidRPr="003F76BF">
        <w:rPr>
          <w:rFonts w:ascii="Baskerville" w:hAnsi="Baskerville" w:cs="Baskerville"/>
          <w:noProof/>
          <w:sz w:val="22"/>
          <w:szCs w:val="22"/>
        </w:rPr>
        <w:t>[5,11,12]</w:t>
      </w:r>
      <w:r w:rsidR="003E04BF" w:rsidRPr="00653918">
        <w:rPr>
          <w:rFonts w:ascii="Baskerville" w:hAnsi="Baskerville" w:cs="Baskerville"/>
          <w:sz w:val="22"/>
          <w:szCs w:val="22"/>
        </w:rPr>
        <w:fldChar w:fldCharType="end"/>
      </w:r>
      <w:r w:rsidR="00C21AAF">
        <w:rPr>
          <w:rFonts w:ascii="Baskerville" w:hAnsi="Baskerville" w:cs="Baskerville"/>
          <w:sz w:val="22"/>
          <w:szCs w:val="22"/>
        </w:rPr>
        <w:t>*</w:t>
      </w:r>
      <w:r w:rsidR="00A47804" w:rsidRPr="00653918">
        <w:rPr>
          <w:rFonts w:ascii="Baskerville" w:hAnsi="Baskerville" w:cs="Baskerville"/>
          <w:sz w:val="22"/>
          <w:szCs w:val="22"/>
        </w:rPr>
        <w:t xml:space="preserve">, and a new </w:t>
      </w:r>
      <w:r w:rsidR="00A47804" w:rsidRPr="00653918">
        <w:rPr>
          <w:rFonts w:ascii="Baskerville" w:hAnsi="Baskerville" w:cs="Baskerville"/>
          <w:sz w:val="22"/>
          <w:szCs w:val="22"/>
        </w:rPr>
        <w:lastRenderedPageBreak/>
        <w:t xml:space="preserve">entity, </w:t>
      </w:r>
      <w:r w:rsidR="00A47804" w:rsidRPr="00653918">
        <w:rPr>
          <w:rFonts w:ascii="Baskerville" w:hAnsi="Baskerville" w:cs="Baskerville"/>
          <w:i/>
          <w:sz w:val="22"/>
          <w:szCs w:val="22"/>
        </w:rPr>
        <w:t>GABRB1</w:t>
      </w:r>
      <w:r w:rsidR="00A47804" w:rsidRPr="00653918">
        <w:rPr>
          <w:rFonts w:ascii="Baskerville" w:hAnsi="Baskerville" w:cs="Baskerville"/>
          <w:sz w:val="22"/>
          <w:szCs w:val="22"/>
        </w:rPr>
        <w:t xml:space="preserve"> encephalopathy, presenting with epileptic seizures and developmental regression in infancy has been described</w:t>
      </w:r>
      <w:r w:rsidR="00AA01CD" w:rsidRPr="00653918">
        <w:rPr>
          <w:rFonts w:ascii="Baskerville" w:hAnsi="Baskerville" w:cs="Baskerville"/>
          <w:sz w:val="22"/>
          <w:szCs w:val="22"/>
        </w:rPr>
        <w:fldChar w:fldCharType="begin" w:fldLock="1"/>
      </w:r>
      <w:r w:rsidR="00880237">
        <w:rPr>
          <w:rFonts w:ascii="Baskerville" w:hAnsi="Baskerville" w:cs="Baskerville"/>
          <w:sz w:val="22"/>
          <w:szCs w:val="22"/>
        </w:rPr>
        <w:instrText>ADDIN CSL_CITATION { "citationItems" : [ { "id" : "ITEM-1", "itemData" : { "DOI" : "10.1002/ana.24631", "ISSN" : "1531-8249", "PMID" : "26950270", "abstract" : "OBJECTIVE The Epi4K consortium recently identified four de novo mutations in the \u03b3-aminobutyric acid type A (GABAA ) receptor \u03b23 subunit gene GABRB3 and one in the \u03b21 subunit gene GABRB1 in children with epileptic encephalopathies (EEs) Lennox-Gastaut syndrome (LGS) or infantile spasms (IS). Since the etiology of EEs is often unknown, we determined the impact of GABRB mutations on GABAA receptor function and biogenesis. METHODS GABAA receptor \u03b11 and \u03b32L subunits were co-expressed with wild-type and/or mutant \u03b23 or \u03b21 subunits in HEK 293T cells. Currents were measured using whole cell and single channel patch clamp techniques. Surface and total expression levels were measured using flow cytometry. Potential structural perturbations in mutant GABAA receptors were explored using structural modeling. RESULTS LGS-associated GABRB3(D120N, E180G, Y302C) mutations located at \u03b2+ subunit interfaces reduced whole cell currents by decreasing single channel open probability without loss of surface receptors. In contrast, IS-associated GABRB3(N110D) and GABRB1(F246S) mutations at \u03b2- subunit interfaces produced minor changes in whole cell current peak amplitude but altered current deactivation by decreasing or increasing single channel burst duration, respectively. GABRB3(E180G) and GABRB1(F246S) mutations also produced spontaneous channel openings. INTERPRETATION All five de novo GABRB mutations impaired GABAA receptor function by rearranging conserved structural domains, supporting their role in EEs. The primary effect of LGS-associated mutations was reduced GABA-evoked peak current amplitudes while the major impact of IS-associated mutations was on current kinetic properties. Despite lack of association with epilepsy syndromes, our results suggest GABRB1 as a candidate human epilepsy gene. This article is protected by copyright. All rights reserved.", "author" : [ { "dropping-particle" : "", "family" : "Janve", "given" : "Vaishali S", "non-dropping-particle" : "", "parse-names" : false, "suffix" : "" }, { "dropping-particle" : "", "family" : "Hernandez", "given" : "Ciria C", "non-dropping-particle" : "", "parse-names" : false, "suffix" : "" }, { "dropping-particle" : "", "family" : "Verdier", "given" : "Kelienne M", "non-dropping-particle" : "", "parse-names" : false, "suffix" : "" }, { "dropping-particle" : "", "family" : "Hu", "given" : "Ningning", "non-dropping-particle" : "", "parse-names" : false, "suffix" : "" }, { "dropping-particle" : "", "family" : "Macdonald", "given" : "Robert L", "non-dropping-particle" : "", "parse-names" : false, "suffix" : "" } ], "container-title" : "Annals of neurology", "id" : "ITEM-1", "issue" : "5", "issued" : { "date-parts" : [ [ "2016" ] ] }, "page" : "806-825", "title" : "Epileptic encephalopathy de novo GABRB mutations impair GABAA receptor function.", "type" : "article-journal", "volume" : "79" }, "uris" : [ "http://www.mendeley.com/documents/?uuid=35f97377-fbc9-4044-85ca-52984b16bcb4" ] }, { "id" : "ITEM-2", "itemData" : { "DOI" : "10.1002/ana.24699", "ISSN" : "1531-8249", "PMID" : "27273810", "author" : [ { "dropping-particle" : "", "family" : "Lien", "given" : "Espen", "non-dropping-particle" : "", "parse-names" : false, "suffix" : "" }, { "dropping-particle" : "", "family" : "V\u00e5tevik", "given" : "Anne Karine", "non-dropping-particle" : "", "parse-names" : false, "suffix" : "" }, { "dropping-particle" : "", "family" : "\u00d8stern", "given" : "Rune", "non-dropping-particle" : "", "parse-names" : false, "suffix" : "" }, { "dropping-particle" : "", "family" : "Haukanes", "given" : "Bj\u00f8rn Ivar", "non-dropping-particle" : "", "parse-names" : false, "suffix" : "" }, { "dropping-particle" : "", "family" : "Houge", "given" : "Gunnar", "non-dropping-particle" : "", "parse-names" : false, "suffix" : "" } ], "container-title" : "Annals of neurology", "id" : "ITEM-2", "issue" : "2", "issued" : { "date-parts" : [ [ "2016", "8" ] ] }, "page" : "311-2", "title" : "A second patient with a De Novo GABRB1 mutation and epileptic encephalopathy.", "type" : "article-journal", "volume" : "80" }, "uris" : [ "http://www.mendeley.com/documents/?uuid=01a91eda-5a29-4102-b42d-ded178f56573" ] } ], "mendeley" : { "formattedCitation" : "[11,13]", "plainTextFormattedCitation" : "[11,13]", "previouslyFormattedCitation" : "[11,13]" }, "properties" : { "noteIndex" : 0 }, "schema" : "https://github.com/citation-style-language/schema/raw/master/csl-citation.json" }</w:instrText>
      </w:r>
      <w:r w:rsidR="00AA01CD" w:rsidRPr="00653918">
        <w:rPr>
          <w:rFonts w:ascii="Baskerville" w:hAnsi="Baskerville" w:cs="Baskerville"/>
          <w:sz w:val="22"/>
          <w:szCs w:val="22"/>
        </w:rPr>
        <w:fldChar w:fldCharType="separate"/>
      </w:r>
      <w:r w:rsidR="003F76BF" w:rsidRPr="003F76BF">
        <w:rPr>
          <w:rFonts w:ascii="Baskerville" w:hAnsi="Baskerville" w:cs="Baskerville"/>
          <w:noProof/>
          <w:sz w:val="22"/>
          <w:szCs w:val="22"/>
        </w:rPr>
        <w:t>[11,13]</w:t>
      </w:r>
      <w:r w:rsidR="00AA01CD" w:rsidRPr="00653918">
        <w:rPr>
          <w:rFonts w:ascii="Baskerville" w:hAnsi="Baskerville" w:cs="Baskerville"/>
          <w:sz w:val="22"/>
          <w:szCs w:val="22"/>
        </w:rPr>
        <w:fldChar w:fldCharType="end"/>
      </w:r>
      <w:r w:rsidR="00C21AAF">
        <w:rPr>
          <w:rFonts w:ascii="Baskerville" w:hAnsi="Baskerville" w:cs="Baskerville"/>
          <w:sz w:val="22"/>
          <w:szCs w:val="22"/>
        </w:rPr>
        <w:t>*</w:t>
      </w:r>
      <w:r w:rsidR="00A47804" w:rsidRPr="00653918">
        <w:rPr>
          <w:rFonts w:ascii="Baskerville" w:hAnsi="Baskerville" w:cs="Baskerville"/>
          <w:sz w:val="22"/>
          <w:szCs w:val="22"/>
        </w:rPr>
        <w:t>.</w:t>
      </w:r>
    </w:p>
    <w:p w14:paraId="2DCDB61A" w14:textId="77777777" w:rsidR="008407DD" w:rsidRPr="00653918" w:rsidRDefault="008407DD" w:rsidP="000B3D67">
      <w:pPr>
        <w:spacing w:line="360" w:lineRule="auto"/>
        <w:jc w:val="both"/>
        <w:rPr>
          <w:rFonts w:ascii="Baskerville" w:hAnsi="Baskerville" w:cs="Baskerville"/>
          <w:b/>
          <w:sz w:val="22"/>
          <w:szCs w:val="22"/>
        </w:rPr>
      </w:pPr>
    </w:p>
    <w:p w14:paraId="10F9EB25" w14:textId="6DAF2FD3" w:rsidR="001F40D2" w:rsidRPr="00653918" w:rsidRDefault="000235DA" w:rsidP="000B3D67">
      <w:pPr>
        <w:spacing w:line="360" w:lineRule="auto"/>
        <w:jc w:val="both"/>
        <w:rPr>
          <w:rFonts w:ascii="Baskerville" w:hAnsi="Baskerville" w:cs="Baskerville"/>
          <w:b/>
          <w:sz w:val="22"/>
          <w:szCs w:val="22"/>
        </w:rPr>
      </w:pPr>
      <w:r w:rsidRPr="00653918">
        <w:rPr>
          <w:rFonts w:ascii="Baskerville" w:hAnsi="Baskerville" w:cs="Baskerville"/>
          <w:sz w:val="22"/>
          <w:szCs w:val="22"/>
        </w:rPr>
        <w:t xml:space="preserve">Mutations in the NMDA receptor subunit </w:t>
      </w:r>
      <w:r w:rsidRPr="00653918">
        <w:rPr>
          <w:rFonts w:ascii="Baskerville" w:hAnsi="Baskerville" w:cs="Baskerville"/>
          <w:i/>
          <w:sz w:val="22"/>
          <w:szCs w:val="22"/>
        </w:rPr>
        <w:t>GRIN2A</w:t>
      </w:r>
      <w:r w:rsidRPr="00653918">
        <w:rPr>
          <w:rFonts w:ascii="Baskerville" w:hAnsi="Baskerville" w:cs="Baskerville"/>
          <w:sz w:val="22"/>
          <w:szCs w:val="22"/>
        </w:rPr>
        <w:t xml:space="preserve"> </w:t>
      </w:r>
      <w:r w:rsidR="005A03AA">
        <w:rPr>
          <w:rFonts w:ascii="Baskerville" w:hAnsi="Baskerville" w:cs="Baskerville"/>
          <w:sz w:val="22"/>
          <w:szCs w:val="22"/>
        </w:rPr>
        <w:t xml:space="preserve">and </w:t>
      </w:r>
      <w:r w:rsidR="005A03AA">
        <w:rPr>
          <w:rFonts w:ascii="Baskerville" w:hAnsi="Baskerville" w:cs="Baskerville"/>
          <w:i/>
          <w:sz w:val="22"/>
          <w:szCs w:val="22"/>
        </w:rPr>
        <w:t xml:space="preserve">GRIN2B </w:t>
      </w:r>
      <w:r w:rsidRPr="00653918">
        <w:rPr>
          <w:rFonts w:ascii="Baskerville" w:hAnsi="Baskerville" w:cs="Baskerville"/>
          <w:sz w:val="22"/>
          <w:szCs w:val="22"/>
        </w:rPr>
        <w:t>are an important cause of neurodevelopmental epilepsy including epilepsy-aphasia spectrum disorders and idiopathic focal epilepsy with rolandic spikes</w:t>
      </w:r>
      <w:r w:rsidR="00816FF5">
        <w:rPr>
          <w:rFonts w:ascii="Baskerville" w:hAnsi="Baskerville" w:cs="Baskerville"/>
          <w:sz w:val="22"/>
          <w:szCs w:val="22"/>
        </w:rPr>
        <w:fldChar w:fldCharType="begin" w:fldLock="1"/>
      </w:r>
      <w:r w:rsidR="00880237">
        <w:rPr>
          <w:rFonts w:ascii="Baskerville" w:hAnsi="Baskerville" w:cs="Baskerville"/>
          <w:sz w:val="22"/>
          <w:szCs w:val="22"/>
        </w:rPr>
        <w:instrText>ADDIN CSL_CITATION { "citationItems" : [ { "id" : "ITEM-1", "itemData" : { "DOI" : "10.1038/ng.677", "ISBN" : "1546-1718 (Electronic) 1061-4036 (Linking)", "ISSN" : "1061-4036", "PMID" : "20890276", "abstract" : "N-methyl-D-aspartate (NMDA) receptors mediate excitatory neurotransmission in the mammalian brain. Two glycine-binding NR1 subunits and two glutamate-binding NR2 subunits each form highly Ca(2)(+)-permeable cation channels which are blocked by extracellular Mg(2)(+) in a voltage-dependent manner. Either GRIN2B or GRIN2A, encoding the NMDA receptor subunits NR2B and NR2A, was found to be disrupted by chromosome translocation breakpoints in individuals with mental retardation and/or epilepsy. Sequencing of GRIN2B in 468 individuals with mental retardation revealed four de novo mutations: a frameshift, a missense and two splice-site mutations. In another cohort of 127 individuals with idiopathic epilepsy and/or mental retardation, we discovered a GRIN2A nonsense mutation in a three-generation family. In a girl with early-onset epileptic encephalopathy, we identified the de novo GRIN2A mutation c.1845C&gt;A predicting the amino acid substitution p.N615K. Analysis of NR1-NR2A(N615K) (NR2A subunit with the p.N615K alteration) receptor currents revealed a loss of the Mg(2)(+) block and a decrease in Ca(2)(+) permeability. Our findings suggest that disturbances in the neuronal electrophysiological balance during development result in variable neurological phenotypes depending on which NR2 subunit of NMDA receptors is affected.", "author" : [ { "dropping-particle" : "", "family" : "Endele", "given" : "S", "non-dropping-particle" : "", "parse-names" : false, "suffix" : "" }, { "dropping-particle" : "", "family" : "Rosenberger", "given" : "G", "non-dropping-particle" : "", "parse-names" : false, "suffix" : "" }, { "dropping-particle" : "", "family" : "Geider", "given" : "K", "non-dropping-particle" : "", "parse-names" : false, "suffix" : "" }, { "dropping-particle" : "", "family" : "Popp", "given" : "B", "non-dropping-particle" : "", "parse-names" : false, "suffix" : "" }, { "dropping-particle" : "", "family" : "Tamer", "given" : "C", "non-dropping-particle" : "", "parse-names" : false, "suffix" : "" }, { "dropping-particle" : "", "family" : "Stefanova", "given" : "I", "non-dropping-particle" : "", "parse-names" : false, "suffix" : "" }, { "dropping-particle" : "", "family" : "Milh", "given" : "M", "non-dropping-particle" : "", "parse-names" : false, "suffix" : "" }, { "dropping-particle" : "", "family" : "Kortum", "given" : "F", "non-dropping-particle" : "", "parse-names" : false, "suffix" : "" }, { "dropping-particle" : "", "family" : "Fritsch", "given" : "A", "non-dropping-particle" : "", "parse-names" : false, "suffix" : "" }, { "dropping-particle" : "", "family" : "Pientka", "given" : "F K", "non-dropping-particle" : "", "parse-names" : false, "suffix" : "" }, { "dropping-particle" : "", "family" : "Hellenbroich", "given" : "Y", "non-dropping-particle" : "", "parse-names" : false, "suffix" : "" }, { "dropping-particle" : "", "family" : "Kalscheuer", "given" : "V M", "non-dropping-particle" : "", "parse-names" : false, "suffix" : "" }, { "dropping-particle" : "", "family" : "Kohlhase", "given" : "J", "non-dropping-particle" : "", "parse-names" : false, "suffix" : "" }, { "dropping-particle" : "", "family" : "Moog", "given" : "U", "non-dropping-particle" : "", "parse-names" : false, "suffix" : "" }, { "dropping-particle" : "", "family" : "Rappold", "given" : "G", "non-dropping-particle" : "", "parse-names" : false, "suffix" : "" }, { "dropping-particle" : "", "family" : "Rauch", "given" : "A", "non-dropping-particle" : "", "parse-names" : false, "suffix" : "" }, { "dropping-particle" : "", "family" : "Ropers", "given" : "H H", "non-dropping-particle" : "", "parse-names" : false, "suffix" : "" }, { "dropping-particle" : "", "family" : "Spiczak", "given" : "S", "non-dropping-particle" : "von", "parse-names" : false, "suffix" : "" }, { "dropping-particle" : "", "family" : "Tonnies", "given" : "H", "non-dropping-particle" : "", "parse-names" : false, "suffix" : "" }, { "dropping-particle" : "", "family" : "Villeneuve", "given" : "N", "non-dropping-particle" : "", "parse-names" : false, "suffix" : "" }, { "dropping-particle" : "", "family" : "Villard", "given" : "L", "non-dropping-particle" : "", "parse-names" : false, "suffix" : "" }, { "dropping-particle" : "", "family" : "Zabel", "given" : "B", "non-dropping-particle" : "", "parse-names" : false, "suffix" : "" }, { "dropping-particle" : "", "family" : "Zenker", "given" : "M", "non-dropping-particle" : "", "parse-names" : false, "suffix" : "" }, { "dropping-particle" : "", "family" : "Laube", "given" : "B", "non-dropping-particle" : "", "parse-names" : false, "suffix" : "" }, { "dropping-particle" : "", "family" : "Reis", "given" : "A", "non-dropping-particle" : "", "parse-names" : false, "suffix" : "" }, { "dropping-particle" : "", "family" : "Wieczorek", "given" : "D", "non-dropping-particle" : "", "parse-names" : false, "suffix" : "" }, { "dropping-particle" : "", "family" : "Maldergem", "given" : "L", "non-dropping-particle" : "Van", "parse-names" : false, "suffix" : "" }, { "dropping-particle" : "", "family" : "Kutsche", "given" : "K", "non-dropping-particle" : "", "parse-names" : false, "suffix" : "" } ], "container-title" : "Nat Genet", "id" : "ITEM-1", "issue" : "11", "issued" : { "date-parts" : [ [ "2010" ] ] }, "page" : "1021-1026", "title" : "Mutations in GRIN2A and GRIN2B encoding regulatory subunits of NMDA receptors cause variable neurodevelopmental phenotypes", "type" : "article-journal", "volume" : "42" }, "uris" : [ "http://www.mendeley.com/documents/?uuid=ec7d9e2e-cfbd-4f36-ad10-452e1e1ff0ed" ] } ], "mendeley" : { "formattedCitation" : "[14]", "plainTextFormattedCitation" : "[14]", "previouslyFormattedCitation" : "[14]" }, "properties" : { "noteIndex" : 0 }, "schema" : "https://github.com/citation-style-language/schema/raw/master/csl-citation.json" }</w:instrText>
      </w:r>
      <w:r w:rsidR="00816FF5">
        <w:rPr>
          <w:rFonts w:ascii="Baskerville" w:hAnsi="Baskerville" w:cs="Baskerville"/>
          <w:sz w:val="22"/>
          <w:szCs w:val="22"/>
        </w:rPr>
        <w:fldChar w:fldCharType="separate"/>
      </w:r>
      <w:r w:rsidR="003F76BF" w:rsidRPr="003F76BF">
        <w:rPr>
          <w:rFonts w:ascii="Baskerville" w:hAnsi="Baskerville" w:cs="Baskerville"/>
          <w:noProof/>
          <w:sz w:val="22"/>
          <w:szCs w:val="22"/>
        </w:rPr>
        <w:t>[14]</w:t>
      </w:r>
      <w:r w:rsidR="00816FF5">
        <w:rPr>
          <w:rFonts w:ascii="Baskerville" w:hAnsi="Baskerville" w:cs="Baskerville"/>
          <w:sz w:val="22"/>
          <w:szCs w:val="22"/>
        </w:rPr>
        <w:fldChar w:fldCharType="end"/>
      </w:r>
      <w:r w:rsidR="00816FF5" w:rsidRPr="009305D4">
        <w:rPr>
          <w:rFonts w:ascii="Baskerville" w:hAnsi="Baskerville" w:cs="Baskerville"/>
          <w:sz w:val="22"/>
          <w:szCs w:val="22"/>
          <w:vertAlign w:val="superscript"/>
        </w:rPr>
        <w:t>,</w:t>
      </w:r>
      <w:r w:rsidR="00816FF5" w:rsidRPr="00653918">
        <w:rPr>
          <w:rFonts w:ascii="Baskerville" w:hAnsi="Baskerville" w:cs="Baskerville"/>
          <w:sz w:val="22"/>
          <w:szCs w:val="22"/>
        </w:rPr>
        <w:fldChar w:fldCharType="begin" w:fldLock="1"/>
      </w:r>
      <w:r w:rsidR="00880237">
        <w:rPr>
          <w:rFonts w:ascii="Baskerville" w:hAnsi="Baskerville" w:cs="Baskerville"/>
          <w:sz w:val="22"/>
          <w:szCs w:val="22"/>
        </w:rPr>
        <w:instrText>ADDIN CSL_CITATION { "citationItems" : [ { "id" : "ITEM-1", "itemData" : { "DOI" : "10.1038/ng.2727", "ISBN" : "1546-1718 (Electronic) 1061-4036 (Linking)", "ISSN" : "1546-1718", "PMID" : "23933818", "abstract" : "Epilepsy-aphasia syndromes (EAS) are a group of rare, severe epileptic encephalopathies of unknown etiology with a characteristic electroencephalogram (EEG) pattern and developmental regression particularly affecting language. Rare pathogenic deletions that include GRIN2A have been implicated in neurodevelopmental disorders. We sought to delineate the pathogenic role of GRIN2A in 519 probands with epileptic encephalopathies with diverse epilepsy syndromes. We identified four probands with GRIN2A variants that segregated with the disorder in their families. Notably, all four families presented with EAS, accounting for 9% of epilepsy-aphasia cases. We did not detect pathogenic variants in GRIN2A in other epileptic encephalopathies (n = 475) nor in probands with benign childhood epilepsy with centrotemporal spikes (n = 81). We report the first monogenic cause, to our knowledge, for EAS. GRIN2A mutations are restricted to this group of cases, which has important ramifications for diagnostic testing and treatment and provides new insights into the pathogenesis of this debilitating group of conditions.", "author" : [ { "dropping-particle" : "", "family" : "Carvill", "given" : "Gemma L", "non-dropping-particle" : "", "parse-names" : false, "suffix" : "" }, { "dropping-particle" : "", "family" : "Regan", "given" : "Brigid M", "non-dropping-particle" : "", "parse-names" : false, "suffix" : "" }, { "dropping-particle" : "", "family" : "Yendle", "given" : "Simone C", "non-dropping-particle" : "", "parse-names" : false, "suffix" : "" }, { "dropping-particle" : "", "family" : "O'Roak", "given" : "Brian J", "non-dropping-particle" : "", "parse-names" : false, "suffix" : "" }, { "dropping-particle" : "", "family" : "Lozovaya", "given" : "Natalia", "non-dropping-particle" : "", "parse-names" : false, "suffix" : "" }, { "dropping-particle" : "", "family" : "Bruneau", "given" : "Nadine", "non-dropping-particle" : "", "parse-names" : false, "suffix" : "" }, { "dropping-particle" : "", "family" : "Burnashev", "given" : "Nail", "non-dropping-particle" : "", "parse-names" : false, "suffix" : "" }, { "dropping-particle" : "", "family" : "Khan", "given" : "Adiba", "non-dropping-particle" : "", "parse-names" : false, "suffix" : "" }, { "dropping-particle" : "", "family" : "Cook", "given" : "Joseph", "non-dropping-particle" : "", "parse-names" : false, "suffix" : "" }, { "dropping-particle" : "", "family" : "Geraghty", "given" : "Eileen", "non-dropping-particle" : "", "parse-names" : false, "suffix" : "" }, { "dropping-particle" : "", "family" : "Sadleir", "given" : "Lynette G", "non-dropping-particle" : "", "parse-names" : false, "suffix" : "" }, { "dropping-particle" : "", "family" : "Turner", "given" : "Samantha J", "non-dropping-particle" : "", "parse-names" : false, "suffix" : "" }, { "dropping-particle" : "", "family" : "Tsai", "given" : "Meng-Han", "non-dropping-particle" : "", "parse-names" : false, "suffix" : "" }, { "dropping-particle" : "", "family" : "Webster", "given" : "Richard", "non-dropping-particle" : "", "parse-names" : false, "suffix" : "" }, { "dropping-particle" : "", "family" : "Ouvrier", "given" : "Robert", "non-dropping-particle" : "", "parse-names" : false, "suffix" : "" }, { "dropping-particle" : "", "family" : "Damiano", "given" : "John A", "non-dropping-particle" : "", "parse-names" : false, "suffix" : "" }, { "dropping-particle" : "", "family" : "Berkovic", "given" : "Samuel F", "non-dropping-particle" : "", "parse-names" : false, "suffix" : "" }, { "dropping-particle" : "", "family" : "Shendure", "given" : "Jay", "non-dropping-particle" : "", "parse-names" : false, "suffix" : "" }, { "dropping-particle" : "", "family" : "Hildebrand", "given" : "Michael S", "non-dropping-particle" : "", "parse-names" : false, "suffix" : "" }, { "dropping-particle" : "", "family" : "Szepetowski", "given" : "Pierre", "non-dropping-particle" : "", "parse-names" : false, "suffix" : "" }, { "dropping-particle" : "", "family" : "Scheffer", "given" : "Ingrid E", "non-dropping-particle" : "", "parse-names" : false, "suffix" : "" }, { "dropping-particle" : "", "family" : "Mefford", "given" : "Heather C", "non-dropping-particle" : "", "parse-names" : false, "suffix" : "" } ], "container-title" : "Nature genetics", "id" : "ITEM-1", "issue" : "9", "issued" : { "date-parts" : [ [ "2013" ] ] }, "page" : "1073-1076", "title" : "GRIN2A mutations cause epilepsy-aphasia spectrum disorders.", "type" : "article-journal", "volume" : "45" }, "uris" : [ "http://www.mendeley.com/documents/?uuid=875f2bc9-b6c7-4f77-987b-c3fa67a48ef6" ] } ], "mendeley" : { "formattedCitation" : "[15]", "plainTextFormattedCitation" : "[15]", "previouslyFormattedCitation" : "[15]" }, "properties" : { "noteIndex" : 0 }, "schema" : "https://github.com/citation-style-language/schema/raw/master/csl-citation.json" }</w:instrText>
      </w:r>
      <w:r w:rsidR="00816FF5" w:rsidRPr="00653918">
        <w:rPr>
          <w:rFonts w:ascii="Baskerville" w:hAnsi="Baskerville" w:cs="Baskerville"/>
          <w:sz w:val="22"/>
          <w:szCs w:val="22"/>
        </w:rPr>
        <w:fldChar w:fldCharType="separate"/>
      </w:r>
      <w:r w:rsidR="003F76BF" w:rsidRPr="003F76BF">
        <w:rPr>
          <w:rFonts w:ascii="Baskerville" w:hAnsi="Baskerville" w:cs="Baskerville"/>
          <w:noProof/>
          <w:sz w:val="22"/>
          <w:szCs w:val="22"/>
        </w:rPr>
        <w:t>[15]</w:t>
      </w:r>
      <w:r w:rsidR="00816FF5" w:rsidRPr="00653918">
        <w:rPr>
          <w:rFonts w:ascii="Baskerville" w:hAnsi="Baskerville" w:cs="Baskerville"/>
          <w:sz w:val="22"/>
          <w:szCs w:val="22"/>
        </w:rPr>
        <w:fldChar w:fldCharType="end"/>
      </w:r>
      <w:r w:rsidR="00816FF5" w:rsidRPr="00653918">
        <w:rPr>
          <w:rFonts w:ascii="Baskerville" w:hAnsi="Baskerville" w:cs="Baskerville"/>
          <w:sz w:val="22"/>
          <w:szCs w:val="22"/>
          <w:vertAlign w:val="superscript"/>
        </w:rPr>
        <w:t>,</w:t>
      </w:r>
      <w:r w:rsidR="00816FF5" w:rsidRPr="00653918">
        <w:rPr>
          <w:rFonts w:ascii="Baskerville" w:hAnsi="Baskerville" w:cs="Baskerville"/>
          <w:sz w:val="22"/>
          <w:szCs w:val="22"/>
        </w:rPr>
        <w:fldChar w:fldCharType="begin" w:fldLock="1"/>
      </w:r>
      <w:r w:rsidR="00880237">
        <w:rPr>
          <w:rFonts w:ascii="Baskerville" w:hAnsi="Baskerville" w:cs="Baskerville"/>
          <w:sz w:val="22"/>
          <w:szCs w:val="22"/>
        </w:rPr>
        <w:instrText>ADDIN CSL_CITATION { "citationItems" : [ { "id" : "ITEM-1", "itemData" : { "DOI" : "10.1038/ng.2726", "ISBN" : "1546-1718 (Electronic)\\r1061-4036 (Linking)", "ISSN" : "1546-1718", "PMID" : "23933820", "abstract" : "Epileptic encephalopathies are severe brain disorders with the epileptic component contributing to the worsening of cognitive and behavioral manifestations. Acquired epileptic aphasia (Landau-Kleffner syndrome, LKS) and continuous spike and waves during slow-wave sleep syndrome (CSWSS) represent rare and closely related childhood focal epileptic encephalopathies of unknown etiology. They show electroclinical overlap with rolandic epilepsy (the most frequent childhood focal epilepsy) and can be viewed as different clinical expressions of a single pathological entity situated at the crossroads of epileptic, speech, language, cognitive and behavioral disorders. Here we demonstrate that about 20% of cases of LKS, CSWSS and electroclinically atypical rolandic epilepsy often associated with speech impairment can have a genetic origin sustained by de novo or inherited mutations in the GRIN2A gene (encoding the N-methyl-D-aspartate (NMDA) glutamate receptor \u03b12 subunit, GluN2A). The identification of GRIN2A as a major gene for these epileptic encephalopathies provides crucial insights into the underlying pathophysiology.", "author" : [ { "dropping-particle" : "", "family" : "Lesca", "given" : "Gaetan", "non-dropping-particle" : "", "parse-names" : false, "suffix" : "" }, { "dropping-particle" : "", "family" : "Rudolf", "given" : "Gabrielle", "non-dropping-particle" : "", "parse-names" : false, "suffix" : "" }, { "dropping-particle" : "", "family" : "Bruneau", "given" : "Nadine", "non-dropping-particle" : "", "parse-names" : false, "suffix" : "" }, { "dropping-particle" : "", "family" : "Lozovaya", "given" : "Natalia", "non-dropping-particle" : "", "parse-names" : false, "suffix" : "" }, { "dropping-particle" : "", "family" : "Labalme", "given" : "Audrey", "non-dropping-particle" : "", "parse-names" : false, "suffix" : "" }, { "dropping-particle" : "", "family" : "Boutry-Kryza", "given" : "Nadia", "non-dropping-particle" : "", "parse-names" : false, "suffix" : "" }, { "dropping-particle" : "", "family" : "Salmi", "given" : "Manal", "non-dropping-particle" : "", "parse-names" : false, "suffix" : "" }, { "dropping-particle" : "", "family" : "Tsintsadze", "given" : "Timur", "non-dropping-particle" : "", "parse-names" : false, "suffix" : "" }, { "dropping-particle" : "", "family" : "Addis", "given" : "Laura", "non-dropping-particle" : "", "parse-names" : false, "suffix" : "" }, { "dropping-particle" : "", "family" : "Motte", "given" : "Jacques", "non-dropping-particle" : "", "parse-names" : false, "suffix" : "" }, { "dropping-particle" : "", "family" : "Wright", "given" : "Sukhvir", "non-dropping-particle" : "", "parse-names" : false, "suffix" : "" }, { "dropping-particle" : "", "family" : "Tsintsadze", "given" : "Vera", "non-dropping-particle" : "", "parse-names" : false, "suffix" : "" }, { "dropping-particle" : "", "family" : "Michel", "given" : "Anne", "non-dropping-particle" : "", "parse-names" : false, "suffix" : "" }, { "dropping-particle" : "", "family" : "Doummar", "given" : "Diane", "non-dropping-particle" : "", "parse-names" : false, "suffix" : "" }, { "dropping-particle" : "", "family" : "Lascelles", "given" : "Karine", "non-dropping-particle" : "", "parse-names" : false, "suffix" : "" }, { "dropping-particle" : "", "family" : "Strug", "given" : "Lisa", "non-dropping-particle" : "", "parse-names" : false, "suffix" : "" }, { "dropping-particle" : "", "family" : "Waters", "given" : "Patrick", "non-dropping-particle" : "", "parse-names" : false, "suffix" : "" }, { "dropping-particle" : "", "family" : "Bellescize", "given" : "Julitta", "non-dropping-particle" : "de", "parse-names" : false, "suffix" : "" }, { "dropping-particle" : "", "family" : "Vrielynck", "given" : "Pascal", "non-dropping-particle" : "", "parse-names" : false, "suffix" : "" }, { "dropping-particle" : "", "family" : "Saint Martin", "given" : "Anne", "non-dropping-particle" : "de", "parse-names" : false, "suffix" : "" }, { "dropping-particle" : "", "family" : "Ville", "given" : "Dorothee", "non-dropping-particle" : "", "parse-names" : false, "suffix" : "" }, { "dropping-particle" : "", "family" : "Ryvlin", "given" : "Philippe", "non-dropping-particle" : "", "parse-names" : false, "suffix" : "" }, { "dropping-particle" : "", "family" : "Arzimanoglou", "given" : "Alexis", "non-dropping-particle" : "", "parse-names" : false, "suffix" : "" }, { "dropping-particle" : "", "family" : "Hirsch", "given" : "Edouard", "non-dropping-particle" : "", "parse-names" : false, "suffix" : "" }, { "dropping-particle" : "", "family" : "Vincent", "given" : "Angela", "non-dropping-particle" : "", "parse-names" : false, "suffix" : "" }, { "dropping-particle" : "", "family" : "Pal", "given" : "Deb", "non-dropping-particle" : "", "parse-names" : false, "suffix" : "" }, { "dropping-particle" : "", "family" : "Burnashev", "given" : "Nail", "non-dropping-particle" : "", "parse-names" : false, "suffix" : "" }, { "dropping-particle" : "", "family" : "Sanlaville", "given" : "Damien", "non-dropping-particle" : "", "parse-names" : false, "suffix" : "" }, { "dropping-particle" : "", "family" : "Szepetowski", "given" : "Pierre", "non-dropping-particle" : "", "parse-names" : false, "suffix" : "" } ], "container-title" : "Nature genetics", "id" : "ITEM-1", "issue" : "9", "issued" : { "date-parts" : [ [ "2013" ] ] }, "page" : "1061-6", "title" : "GRIN2A mutations in acquired epileptic aphasia and related childhood focal epilepsies and encephalopathies with speech and language dysfunction.", "type" : "article-journal", "volume" : "45" }, "uris" : [ "http://www.mendeley.com/documents/?uuid=13c8c71d-86ea-4ec5-afd2-34efaed58c33" ] } ], "mendeley" : { "formattedCitation" : "[16]", "plainTextFormattedCitation" : "[16]", "previouslyFormattedCitation" : "[16]" }, "properties" : { "noteIndex" : 0 }, "schema" : "https://github.com/citation-style-language/schema/raw/master/csl-citation.json" }</w:instrText>
      </w:r>
      <w:r w:rsidR="00816FF5" w:rsidRPr="00653918">
        <w:rPr>
          <w:rFonts w:ascii="Baskerville" w:hAnsi="Baskerville" w:cs="Baskerville"/>
          <w:sz w:val="22"/>
          <w:szCs w:val="22"/>
        </w:rPr>
        <w:fldChar w:fldCharType="separate"/>
      </w:r>
      <w:r w:rsidR="003F76BF" w:rsidRPr="003F76BF">
        <w:rPr>
          <w:rFonts w:ascii="Baskerville" w:hAnsi="Baskerville" w:cs="Baskerville"/>
          <w:noProof/>
          <w:sz w:val="22"/>
          <w:szCs w:val="22"/>
        </w:rPr>
        <w:t>[16]</w:t>
      </w:r>
      <w:r w:rsidR="00816FF5" w:rsidRPr="00653918">
        <w:rPr>
          <w:rFonts w:ascii="Baskerville" w:hAnsi="Baskerville" w:cs="Baskerville"/>
          <w:sz w:val="22"/>
          <w:szCs w:val="22"/>
        </w:rPr>
        <w:fldChar w:fldCharType="end"/>
      </w:r>
      <w:r w:rsidRPr="00653918">
        <w:rPr>
          <w:rFonts w:ascii="Baskerville" w:hAnsi="Baskerville" w:cs="Baskerville"/>
          <w:sz w:val="22"/>
          <w:szCs w:val="22"/>
        </w:rPr>
        <w:t>.</w:t>
      </w:r>
      <w:r w:rsidRPr="00653918">
        <w:rPr>
          <w:rFonts w:ascii="Baskerville" w:hAnsi="Baskerville" w:cs="Baskerville"/>
          <w:b/>
          <w:sz w:val="22"/>
          <w:szCs w:val="22"/>
        </w:rPr>
        <w:t xml:space="preserve"> </w:t>
      </w:r>
      <w:r w:rsidR="001F40D2" w:rsidRPr="00653918">
        <w:rPr>
          <w:rFonts w:ascii="Baskerville" w:hAnsi="Baskerville" w:cs="Baskerville"/>
          <w:i/>
          <w:sz w:val="22"/>
          <w:szCs w:val="22"/>
        </w:rPr>
        <w:t>GRIN1</w:t>
      </w:r>
      <w:r w:rsidR="001F40D2" w:rsidRPr="00653918">
        <w:rPr>
          <w:rFonts w:ascii="Baskerville" w:hAnsi="Baskerville" w:cs="Baskerville"/>
          <w:sz w:val="22"/>
          <w:szCs w:val="22"/>
        </w:rPr>
        <w:t xml:space="preserve"> mutations </w:t>
      </w:r>
      <w:r w:rsidRPr="00653918">
        <w:rPr>
          <w:rFonts w:ascii="Baskerville" w:hAnsi="Baskerville" w:cs="Baskerville"/>
          <w:sz w:val="22"/>
          <w:szCs w:val="22"/>
        </w:rPr>
        <w:t xml:space="preserve">have been found </w:t>
      </w:r>
      <w:r w:rsidR="003D11B2" w:rsidRPr="00653918">
        <w:rPr>
          <w:rFonts w:ascii="Baskerville" w:hAnsi="Baskerville" w:cs="Baskerville"/>
          <w:sz w:val="22"/>
          <w:szCs w:val="22"/>
        </w:rPr>
        <w:t>to cause</w:t>
      </w:r>
      <w:r w:rsidR="001F40D2" w:rsidRPr="00653918">
        <w:rPr>
          <w:rFonts w:ascii="Baskerville" w:hAnsi="Baskerville" w:cs="Baskerville"/>
          <w:sz w:val="22"/>
          <w:szCs w:val="22"/>
        </w:rPr>
        <w:t xml:space="preserve"> </w:t>
      </w:r>
      <w:r w:rsidR="003D11B2" w:rsidRPr="00653918">
        <w:rPr>
          <w:rFonts w:ascii="Baskerville" w:hAnsi="Baskerville" w:cs="Baskerville"/>
          <w:sz w:val="22"/>
          <w:szCs w:val="22"/>
        </w:rPr>
        <w:t xml:space="preserve">epilepsy with </w:t>
      </w:r>
      <w:r w:rsidR="00683CC3" w:rsidRPr="00653918">
        <w:rPr>
          <w:rFonts w:ascii="Baskerville" w:hAnsi="Baskerville" w:cs="Baskerville"/>
          <w:sz w:val="22"/>
          <w:szCs w:val="22"/>
        </w:rPr>
        <w:t>profound developmental delay associated with</w:t>
      </w:r>
      <w:r w:rsidR="001F40D2" w:rsidRPr="00653918">
        <w:rPr>
          <w:rFonts w:ascii="Baskerville" w:hAnsi="Baskerville" w:cs="Baskerville"/>
          <w:sz w:val="22"/>
          <w:szCs w:val="22"/>
        </w:rPr>
        <w:t xml:space="preserve"> </w:t>
      </w:r>
      <w:r w:rsidR="003D11B2" w:rsidRPr="00653918">
        <w:rPr>
          <w:rFonts w:ascii="Baskerville" w:hAnsi="Baskerville" w:cs="Baskerville"/>
          <w:sz w:val="22"/>
          <w:szCs w:val="22"/>
        </w:rPr>
        <w:t>a hyperkinetic movement disorder and infantile hypotonia</w:t>
      </w:r>
      <w:r w:rsidR="003D11B2" w:rsidRPr="00653918">
        <w:rPr>
          <w:rFonts w:ascii="Baskerville" w:hAnsi="Baskerville" w:cs="Baskerville"/>
          <w:sz w:val="22"/>
          <w:szCs w:val="22"/>
        </w:rPr>
        <w:fldChar w:fldCharType="begin" w:fldLock="1"/>
      </w:r>
      <w:r w:rsidR="00880237">
        <w:rPr>
          <w:rFonts w:ascii="Baskerville" w:hAnsi="Baskerville" w:cs="Baskerville"/>
          <w:sz w:val="22"/>
          <w:szCs w:val="22"/>
        </w:rPr>
        <w:instrText>ADDIN CSL_CITATION { "citationItems" : [ { "id" : "ITEM-1", "itemData" : { "DOI" : "10.1212/WNL.0000000000002740", "ISBN" : "0000000000", "ISSN" : "1526632X", "PMID" : "27164704", "author" : [ { "dropping-particle" : "", "family" : "Lemke", "given" : "Johannes R.", "non-dropping-particle" : "", "parse-names" : false, "suffix" : "" }, { "dropping-particle" : "", "family" : "Geider", "given" : "Kirsten", "non-dropping-particle" : "", "parse-names" : false, "suffix" : "" }, { "dropping-particle" : "", "family" : "Helbig", "given" : "Katherine L.", "non-dropping-particle" : "", "parse-names" : false, "suffix" : "" }, { "dropping-particle" : "", "family" : "Heyne", "given" : "Henrike O.", "non-dropping-particle" : "", "parse-names" : false, "suffix" : "" }, { "dropping-particle" : "", "family" : "Sch\u00fctz", "given" : "Hannah", "non-dropping-particle" : "", "parse-names" : false, "suffix" : "" }, { "dropping-particle" : "", "family" : "Hentschel", "given" : "Julia", "non-dropping-particle" : "", "parse-names" : false, "suffix" : "" }, { "dropping-particle" : "", "family" : "Courage", "given" : "Carolina", "non-dropping-particle" : "", "parse-names" : false, "suffix" : "" }, { "dropping-particle" : "", "family" : "Depienne", "given" : "Christel", "non-dropping-particle" : "", "parse-names" : false, "suffix" : "" }, { "dropping-particle" : "", "family" : "Nava", "given" : "Caroline", "non-dropping-particle" : "", "parse-names" : false, "suffix" : "" }, { "dropping-particle" : "", "family" : "Heron", "given" : "Delphine", "non-dropping-particle" : "", "parse-names" : false, "suffix" : "" }, { "dropping-particle" : "", "family" : "M\u00f8ller", "given" : "Rikke S.", "non-dropping-particle" : "", "parse-names" : false, "suffix" : "" }, { "dropping-particle" : "", "family" : "Hjalgrim", "given" : "Helle", "non-dropping-particle" : "", "parse-names" : false, "suffix" : "" }, { "dropping-particle" : "", "family" : "Lal", "given" : "Dennis", "non-dropping-particle" : "", "parse-names" : false, "suffix" : "" }, { "dropping-particle" : "", "family" : "Neubauer", "given" : "Bernd A.", "non-dropping-particle" : "", "parse-names" : false, "suffix" : "" }, { "dropping-particle" : "", "family" : "N\u00fcrnberg", "given" : "Peter", "non-dropping-particle" : "", "parse-names" : false, "suffix" : "" }, { "dropping-particle" : "", "family" : "Thiele", "given" : "Holger", "non-dropping-particle" : "", "parse-names" : false, "suffix" : "" }, { "dropping-particle" : "", "family" : "Kurlemann", "given" : "Gerhard", "non-dropping-particle" : "", "parse-names" : false, "suffix" : "" }, { "dropping-particle" : "", "family" : "Arnold", "given" : "Georgianne L.", "non-dropping-particle" : "", "parse-names" : false, "suffix" : "" }, { "dropping-particle" : "", "family" : "Bhambhani", "given" : "Vikas", "non-dropping-particle" : "", "parse-names" : false, "suffix" : "" }, { "dropping-particle" : "", "family" : "Bartholdi", "given" : "Deborah", "non-dropping-particle" : "", "parse-names" : false, "suffix" : "" }, { "dropping-particle" : "", "family" : "Pedurupillay", "given" : "Christeen Ramane J", "non-dropping-particle" : "", "parse-names" : false, "suffix" : "" }, { "dropping-particle" : "", "family" : "Misceo", "given" : "Doriana", "non-dropping-particle" : "", "parse-names" : false, "suffix" : "" }, { "dropping-particle" : "", "family" : "Frengen", "given" : "Eirik", "non-dropping-particle" : "", "parse-names" : false, "suffix" : "" }, { "dropping-particle" : "", "family" : "Str\u00f8mme", "given" : "Petter", "non-dropping-particle" : "", "parse-names" : false, "suffix" : "" }, { "dropping-particle" : "", "family" : "Dlugos", "given" : "Dennis J.", "non-dropping-particle" : "", "parse-names" : false, "suffix" : "" }, { "dropping-particle" : "", "family" : "Doherty", "given" : "Emily S.", "non-dropping-particle" : "", "parse-names" : false, "suffix" : "" }, { "dropping-particle" : "", "family" : "Bijlsma", "given" : "Emilia K.", "non-dropping-particle" : "", "parse-names" : false, "suffix" : "" }, { "dropping-particle" : "", "family" : "Ruivenkamp", "given" : "Claudia A.", "non-dropping-particle" : "", "parse-names" : false, "suffix" : "" }, { "dropping-particle" : "V", "family" : "Hoffer", "given" : "Mariette J", "non-dropping-particle" : "", "parse-names" : false, "suffix" : "" }, { "dropping-particle" : "", "family" : "Goldstein", "given" : "Amy", "non-dropping-particle" : "", "parse-names" : false, "suffix" : "" }, { "dropping-particle" : "", "family" : "Rajan", "given" : "Deepa S.", "non-dropping-particle" : "", "parse-names" : false, "suffix" : "" }, { "dropping-particle" : "", "family" : "Narayanan", "given" : "Vinodh", "non-dropping-particle" : "", "parse-names" : false, "suffix" : "" }, { "dropping-particle" : "", "family" : "Ramsey", "given" : "Keri", "non-dropping-particle" : "", "parse-names" : false, "suffix" : "" }, { "dropping-particle" : "", "family" : "Belnap", "given" : "Newell", "non-dropping-particle" : "", "parse-names" : false, "suffix" : "" }, { "dropping-particle" : "", "family" : "Schrauwen", "given" : "Isabelle", "non-dropping-particle" : "", "parse-names" : false, "suffix" : "" }, { "dropping-particle" : "", "family" : "Richholt", "given" : "Ryan", "non-dropping-particle" : "", "parse-names" : false, "suffix" : "" }, { "dropping-particle" : "", "family" : "Koeleman", "given" : "Bobby P C", "non-dropping-particle" : "", "parse-names" : false, "suffix" : "" }, { "dropping-particle" : "", "family" : "S\u00e1", "given" : "Joaquim", "non-dropping-particle" : "", "parse-names" : false, "suffix" : "" }, { "dropping-particle" : "", "family" : "Mendonc\u0105", "given" : "Carla", "non-dropping-particle" : "", "parse-names" : false, "suffix" : "" }, { "dropping-particle" : "De", "family" : "Kovel", "given" : "Carolien G F", "non-dropping-particle" : "", "parse-names" : false, "suffix" : "" }, { "dropping-particle" : "", "family" : "Weckhuysen", "given" : "Sarah", "non-dropping-particle" : "", "parse-names" : false, "suffix" : "" }, { "dropping-particle" : "", "family" : "Hardies", "given" : "Katia", "non-dropping-particle" : "", "parse-names" : false, "suffix" : "" }, { "dropping-particle" : "De", "family" : "Jonghe", "given" : "Peter", "non-dropping-particle" : "", "parse-names" : false, "suffix" : "" }, { "dropping-particle" : "De", "family" : "Meirleir", "given" : "Linda", "non-dropping-particle" : "", "parse-names" : false, "suffix" : "" }, { "dropping-particle" : "", "family" : "Milh", "given" : "Mathieu", "non-dropping-particle" : "", "parse-names" : false, "suffix" : "" }, { "dropping-particle" : "", "family" : "Badens", "given" : "Catherine", "non-dropping-particle" : "", "parse-names" : false, "suffix" : "" }, { "dropping-particle" : "", "family" : "Lebrun", "given" : "Marine", "non-dropping-particle" : "", "parse-names" : false, "suffix" : "" }, { "dropping-particle" : "", "family" : "Busa", "given" : "Tiffany", "non-dropping-particle" : "", "parse-names" : false, "suffix" : "" }, { "dropping-particle" : "", "family" : "Francannet", "given" : "Christine", "non-dropping-particle" : "", "parse-names" : false, "suffix" : "" }, { "dropping-particle" : "", "family" : "Piton", "given" : "Am\u00e9lie", "non-dropping-particle" : "", "parse-names" : false, "suffix" : "" }, { "dropping-particle" : "", "family" : "Riesch", "given" : "Erik", "non-dropping-particle" : "", "parse-names" : false, "suffix" : "" }, { "dropping-particle" : "", "family" : "Biskup", "given" : "Saskia", "non-dropping-particle" : "", "parse-names" : false, "suffix" : "" }, { "dropping-particle" : "", "family" : "Vogt", "given" : "Heinrich", "non-dropping-particle" : "", "parse-names" : false, "suffix" : "" }, { "dropping-particle" : "", "family" : "Dorn", "given" : "Thomas", "non-dropping-particle" : "", "parse-names" : false, "suffix" : "" }, { "dropping-particle" : "", "family" : "Helbig", "given" : "Ingo", "non-dropping-particle" : "", "parse-names" : false, "suffix" : "" }, { "dropping-particle" : "", "family" : "Michaud", "given" : "Jacques L.", "non-dropping-particle" : "", "parse-names" : false, "suffix" : "" }, { "dropping-particle" : "", "family" : "Laube", "given" : "Bodo", "non-dropping-particle" : "", "parse-names" : false, "suffix" : "" }, { "dropping-particle" : "", "family" : "Syrbe", "given" : "Steffen", "non-dropping-particle" : "", "parse-names" : false, "suffix" : "" } ], "container-title" : "Neurology", "id" : "ITEM-1", "issue" : "23", "issued" : { "date-parts" : [ [ "2016" ] ] }, "page" : "2171-2178", "title" : "Delineating the GRIN1 phenotypic spectrum: A distinct genetic NMDA receptor encephalopathy", "type" : "article-journal", "volume" : "86" }, "uris" : [ "http://www.mendeley.com/documents/?uuid=09189d63-7ed7-4d6d-8d8f-4b325d947737" ] } ], "mendeley" : { "formattedCitation" : "[17]", "plainTextFormattedCitation" : "[17]", "previouslyFormattedCitation" : "[17]" }, "properties" : { "noteIndex" : 0 }, "schema" : "https://github.com/citation-style-language/schema/raw/master/csl-citation.json" }</w:instrText>
      </w:r>
      <w:r w:rsidR="003D11B2" w:rsidRPr="00653918">
        <w:rPr>
          <w:rFonts w:ascii="Baskerville" w:hAnsi="Baskerville" w:cs="Baskerville"/>
          <w:sz w:val="22"/>
          <w:szCs w:val="22"/>
        </w:rPr>
        <w:fldChar w:fldCharType="separate"/>
      </w:r>
      <w:r w:rsidR="003F76BF" w:rsidRPr="003F76BF">
        <w:rPr>
          <w:rFonts w:ascii="Baskerville" w:hAnsi="Baskerville" w:cs="Baskerville"/>
          <w:noProof/>
          <w:sz w:val="22"/>
          <w:szCs w:val="22"/>
        </w:rPr>
        <w:t>[17]</w:t>
      </w:r>
      <w:r w:rsidR="003D11B2" w:rsidRPr="00653918">
        <w:rPr>
          <w:rFonts w:ascii="Baskerville" w:hAnsi="Baskerville" w:cs="Baskerville"/>
          <w:sz w:val="22"/>
          <w:szCs w:val="22"/>
        </w:rPr>
        <w:fldChar w:fldCharType="end"/>
      </w:r>
      <w:r w:rsidR="00C21AAF">
        <w:rPr>
          <w:rFonts w:ascii="Baskerville" w:hAnsi="Baskerville" w:cs="Baskerville"/>
          <w:sz w:val="22"/>
          <w:szCs w:val="22"/>
        </w:rPr>
        <w:t>*</w:t>
      </w:r>
      <w:r w:rsidR="003D11B2" w:rsidRPr="00653918">
        <w:rPr>
          <w:rFonts w:ascii="Baskerville" w:hAnsi="Baskerville" w:cs="Baskerville"/>
          <w:sz w:val="22"/>
          <w:szCs w:val="22"/>
        </w:rPr>
        <w:t>, and mutations in</w:t>
      </w:r>
      <w:r w:rsidR="001F40D2" w:rsidRPr="00653918">
        <w:rPr>
          <w:rFonts w:ascii="Baskerville" w:hAnsi="Baskerville" w:cs="Baskerville"/>
          <w:sz w:val="22"/>
          <w:szCs w:val="22"/>
        </w:rPr>
        <w:t xml:space="preserve"> </w:t>
      </w:r>
      <w:r w:rsidR="003D11B2" w:rsidRPr="00653918">
        <w:rPr>
          <w:rFonts w:ascii="Baskerville" w:hAnsi="Baskerville" w:cs="Baskerville"/>
          <w:i/>
          <w:sz w:val="22"/>
          <w:szCs w:val="22"/>
        </w:rPr>
        <w:t>GRIN2D</w:t>
      </w:r>
      <w:r w:rsidR="003D11B2" w:rsidRPr="00653918">
        <w:rPr>
          <w:rFonts w:ascii="Baskerville" w:hAnsi="Baskerville" w:cs="Baskerville"/>
          <w:sz w:val="22"/>
          <w:szCs w:val="22"/>
        </w:rPr>
        <w:t xml:space="preserve"> are </w:t>
      </w:r>
      <w:r w:rsidR="001F40D2" w:rsidRPr="00653918">
        <w:rPr>
          <w:rFonts w:ascii="Baskerville" w:hAnsi="Baskerville" w:cs="Baskerville"/>
          <w:sz w:val="22"/>
          <w:szCs w:val="22"/>
        </w:rPr>
        <w:t xml:space="preserve">present </w:t>
      </w:r>
      <w:r w:rsidR="003D11B2" w:rsidRPr="00653918">
        <w:rPr>
          <w:rFonts w:ascii="Baskerville" w:hAnsi="Baskerville" w:cs="Baskerville"/>
          <w:sz w:val="22"/>
          <w:szCs w:val="22"/>
        </w:rPr>
        <w:t>in some patients with severe</w:t>
      </w:r>
      <w:r w:rsidR="001F40D2" w:rsidRPr="00653918">
        <w:rPr>
          <w:rFonts w:ascii="Baskerville" w:hAnsi="Baskerville" w:cs="Baskerville"/>
          <w:sz w:val="22"/>
          <w:szCs w:val="22"/>
        </w:rPr>
        <w:t xml:space="preserve"> infantile-onset </w:t>
      </w:r>
      <w:r w:rsidR="003D11B2" w:rsidRPr="00653918">
        <w:rPr>
          <w:rFonts w:ascii="Baskerville" w:hAnsi="Baskerville" w:cs="Baskerville"/>
          <w:sz w:val="22"/>
          <w:szCs w:val="22"/>
        </w:rPr>
        <w:t>epilepsy</w:t>
      </w:r>
      <w:r w:rsidR="00FA55AD" w:rsidRPr="00653918">
        <w:rPr>
          <w:rFonts w:ascii="Baskerville" w:hAnsi="Baskerville" w:cs="Baskerville"/>
          <w:sz w:val="22"/>
          <w:szCs w:val="22"/>
        </w:rPr>
        <w:fldChar w:fldCharType="begin" w:fldLock="1"/>
      </w:r>
      <w:r w:rsidR="00880237">
        <w:rPr>
          <w:rFonts w:ascii="Baskerville" w:hAnsi="Baskerville" w:cs="Baskerville"/>
          <w:sz w:val="22"/>
          <w:szCs w:val="22"/>
        </w:rPr>
        <w:instrText>ADDIN CSL_CITATION { "citationItems" : [ { "id" : "ITEM-1", "itemData" : { "DOI" : "10.1016/j.ajhg.2016.07.013", "ISBN" : "1537-6605 (Electronic)\r0002-9297 (Linking)", "ISSN" : "00029297", "PMID" : "27616483", "author" : [ { "dropping-particle" : "", "family" : "Li", "given" : "Dong", "non-dropping-particle" : "", "parse-names" : false, "suffix" : "" }, { "dropping-particle" : "", "family" : "Yuan", "given" : "Hongjie", "non-dropping-particle" : "", "parse-names" : false, "suffix" : "" }, { "dropping-particle" : "", "family" : "Ortiz-Gonzalez", "given" : "Xilma\u00a0R.", "non-dropping-particle" : "", "parse-names" : false, "suffix" : "" }, { "dropping-particle" : "", "family" : "Marsh", "given" : "Eric\u00a0D.", "non-dropping-particle" : "", "parse-names" : false, "suffix" : "" }, { "dropping-particle" : "", "family" : "Tian", "given" : "Lifeng", "non-dropping-particle" : "", "parse-names" : false, "suffix" : "" }, { "dropping-particle" : "", "family" : "McCormick", "given" : "Elizabeth\u00a0M.", "non-dropping-particle" : "", "parse-names" : false, "suffix" : "" }, { "dropping-particle" : "", "family" : "Kosobucki", "given" : "Gabrielle\u00a0J.", "non-dropping-particle" : "", "parse-names" : false, "suffix" : "" }, { "dropping-particle" : "", "family" : "Chen", "given" : "Wenjuan", "non-dropping-particle" : "", "parse-names" : false, "suffix" : "" }, { "dropping-particle" : "", "family" : "Schulien", "given" : "Anthony\u00a0J.", "non-dropping-particle" : "", "parse-names" : false, "suffix" : "" }, { "dropping-particle" : "", "family" : "Chiavacci", "given" : "Rosetta", "non-dropping-particle" : "", "parse-names" : false, "suffix" : "" }, { "dropping-particle" : "", "family" : "Tankovic", "given" : "Anel", "non-dropping-particle" : "", "parse-names" : false, "suffix" : "" }, { "dropping-particle" : "", "family" : "Naase", "given" : "Claudia", "non-dropping-particle" : "", "parse-names" : false, "suffix" : "" }, { "dropping-particle" : "", "family" : "Brueckner", "given" : "Frieder", "non-dropping-particle" : "", "parse-names" : false, "suffix" : "" }, { "dropping-particle" : "", "family" : "von\u00a0St\u00fclpnagel-Steinbeis", "given" : "Celina", "non-dropping-particle" : "", "parse-names" : false, "suffix" : "" }, { "dropping-particle" : "", "family" : "Hu", "given" : "Chun", "non-dropping-particle" : "", "parse-names" : false, "suffix" : "" }, { "dropping-particle" : "", "family" : "Kusumoto", "given" : "Hirofumi", "non-dropping-particle" : "", "parse-names" : false, "suffix" : "" }, { "dropping-particle" : "", "family" : "Hedrich", "given" : "Ulrike\u00a0B.S.", "non-dropping-particle" : "", "parse-names" : false, "suffix" : "" }, { "dropping-particle" : "", "family" : "Elsen", "given" : "Gina", "non-dropping-particle" : "", "parse-names" : false, "suffix" : "" }, { "dropping-particle" : "", "family" : "H\u00f6rtnagel", "given" : "Konstanze", "non-dropping-particle" : "", "parse-names" : false, "suffix" : "" }, { "dropping-particle" : "", "family" : "Aizenman", "given" : "Elias", "non-dropping-particle" : "", "parse-names" : false, "suffix" : "" }, { "dropping-particle" : "", "family" : "Lemke", "given" : "Johannes\u00a0R.", "non-dropping-particle" : "", "parse-names" : false, "suffix" : "" }, { "dropping-particle" : "", "family" : "Hakonarson", "given" : "Hakon", "non-dropping-particle" : "", "parse-names" : false, "suffix" : "" }, { "dropping-particle" : "", "family" : "Traynelis", "given" : "Stephen\u00a0F.", "non-dropping-particle" : "", "parse-names" : false, "suffix" : "" }, { "dropping-particle" : "", "family" : "Falk", "given" : "Marni\u00a0J.", "non-dropping-particle" : "", "parse-names" : false, "suffix" : "" } ], "container-title" : "The American Journal of Human Genetics", "id" : "ITEM-1", "issued" : { "date-parts" : [ [ "2016" ] ] }, "page" : "1-15", "title" : "GRIN2D Recurrent De Novo Dominant Mutation Causes a Severe Epileptic Encephalopathy Treatable with NMDA Receptor Channel Blockers", "type" : "article-journal" }, "uris" : [ "http://www.mendeley.com/documents/?uuid=b5735dc6-fc95-47f0-8e98-7c618893e4ba" ] } ], "mendeley" : { "formattedCitation" : "[18]", "plainTextFormattedCitation" : "[18]", "previouslyFormattedCitation" : "[18]" }, "properties" : { "noteIndex" : 0 }, "schema" : "https://github.com/citation-style-language/schema/raw/master/csl-citation.json" }</w:instrText>
      </w:r>
      <w:r w:rsidR="00FA55AD" w:rsidRPr="00653918">
        <w:rPr>
          <w:rFonts w:ascii="Baskerville" w:hAnsi="Baskerville" w:cs="Baskerville"/>
          <w:sz w:val="22"/>
          <w:szCs w:val="22"/>
        </w:rPr>
        <w:fldChar w:fldCharType="separate"/>
      </w:r>
      <w:r w:rsidR="003F76BF" w:rsidRPr="003F76BF">
        <w:rPr>
          <w:rFonts w:ascii="Baskerville" w:hAnsi="Baskerville" w:cs="Baskerville"/>
          <w:noProof/>
          <w:sz w:val="22"/>
          <w:szCs w:val="22"/>
        </w:rPr>
        <w:t>[18]</w:t>
      </w:r>
      <w:r w:rsidR="00FA55AD" w:rsidRPr="00653918">
        <w:rPr>
          <w:rFonts w:ascii="Baskerville" w:hAnsi="Baskerville" w:cs="Baskerville"/>
          <w:sz w:val="22"/>
          <w:szCs w:val="22"/>
        </w:rPr>
        <w:fldChar w:fldCharType="end"/>
      </w:r>
      <w:r w:rsidR="00C21AAF">
        <w:rPr>
          <w:rFonts w:ascii="Baskerville" w:hAnsi="Baskerville" w:cs="Baskerville"/>
          <w:sz w:val="22"/>
          <w:szCs w:val="22"/>
        </w:rPr>
        <w:t>*</w:t>
      </w:r>
      <w:r w:rsidR="003D11B2" w:rsidRPr="00653918">
        <w:rPr>
          <w:rFonts w:ascii="Baskerville" w:hAnsi="Baskerville" w:cs="Baskerville"/>
          <w:sz w:val="22"/>
          <w:szCs w:val="22"/>
        </w:rPr>
        <w:t xml:space="preserve">. </w:t>
      </w:r>
    </w:p>
    <w:p w14:paraId="66BA9ED1" w14:textId="77777777" w:rsidR="008407DD" w:rsidRPr="00653918" w:rsidRDefault="008407DD" w:rsidP="000B3D67">
      <w:pPr>
        <w:spacing w:line="360" w:lineRule="auto"/>
        <w:jc w:val="both"/>
        <w:rPr>
          <w:rFonts w:ascii="Baskerville" w:hAnsi="Baskerville" w:cs="Baskerville"/>
          <w:b/>
          <w:sz w:val="22"/>
          <w:szCs w:val="22"/>
        </w:rPr>
      </w:pPr>
    </w:p>
    <w:p w14:paraId="4ACC7B9E" w14:textId="5DF99234" w:rsidR="001263E0" w:rsidRDefault="00C33CEA" w:rsidP="00387C6F">
      <w:pPr>
        <w:spacing w:line="360" w:lineRule="auto"/>
        <w:jc w:val="both"/>
        <w:rPr>
          <w:rFonts w:ascii="Baskerville" w:hAnsi="Baskerville" w:cs="Baskerville"/>
          <w:sz w:val="22"/>
          <w:szCs w:val="22"/>
        </w:rPr>
      </w:pPr>
      <w:r w:rsidRPr="00653918">
        <w:rPr>
          <w:rFonts w:ascii="Baskerville" w:hAnsi="Baskerville" w:cs="Baskerville"/>
          <w:sz w:val="22"/>
          <w:szCs w:val="22"/>
        </w:rPr>
        <w:t>One of</w:t>
      </w:r>
      <w:r w:rsidR="00514731" w:rsidRPr="00653918">
        <w:rPr>
          <w:rFonts w:ascii="Baskerville" w:hAnsi="Baskerville" w:cs="Baskerville"/>
          <w:sz w:val="22"/>
          <w:szCs w:val="22"/>
        </w:rPr>
        <w:t xml:space="preserve"> </w:t>
      </w:r>
      <w:r w:rsidR="00387C6F" w:rsidRPr="00653918">
        <w:rPr>
          <w:rFonts w:ascii="Baskerville" w:hAnsi="Baskerville" w:cs="Baskerville"/>
          <w:sz w:val="22"/>
          <w:szCs w:val="22"/>
        </w:rPr>
        <w:t xml:space="preserve">the most discussed </w:t>
      </w:r>
      <w:r w:rsidRPr="00653918">
        <w:rPr>
          <w:rFonts w:ascii="Baskerville" w:hAnsi="Baskerville" w:cs="Baskerville"/>
          <w:sz w:val="22"/>
          <w:szCs w:val="22"/>
        </w:rPr>
        <w:t xml:space="preserve">epilepsy genes </w:t>
      </w:r>
      <w:r w:rsidR="00387C6F" w:rsidRPr="00653918">
        <w:rPr>
          <w:rFonts w:ascii="Baskerville" w:hAnsi="Baskerville" w:cs="Baskerville"/>
          <w:sz w:val="22"/>
          <w:szCs w:val="22"/>
        </w:rPr>
        <w:t xml:space="preserve">of the past 12 months is </w:t>
      </w:r>
      <w:r w:rsidR="00387C6F" w:rsidRPr="00653918">
        <w:rPr>
          <w:rFonts w:ascii="Baskerville" w:hAnsi="Baskerville" w:cs="Baskerville"/>
          <w:i/>
          <w:sz w:val="22"/>
          <w:szCs w:val="22"/>
        </w:rPr>
        <w:t>KCNA2</w:t>
      </w:r>
      <w:r w:rsidR="00387C6F" w:rsidRPr="00653918">
        <w:rPr>
          <w:rFonts w:ascii="Baskerville" w:hAnsi="Baskerville" w:cs="Baskerville"/>
          <w:sz w:val="22"/>
          <w:szCs w:val="22"/>
        </w:rPr>
        <w:t xml:space="preserve">. </w:t>
      </w:r>
      <w:r w:rsidR="000D77A4" w:rsidRPr="000D77A4">
        <w:rPr>
          <w:rFonts w:ascii="Baskerville" w:hAnsi="Baskerville" w:cs="Baskerville"/>
          <w:i/>
          <w:sz w:val="22"/>
          <w:szCs w:val="22"/>
        </w:rPr>
        <w:t>De novo</w:t>
      </w:r>
      <w:r w:rsidR="000D77A4">
        <w:rPr>
          <w:rFonts w:ascii="Baskerville" w:hAnsi="Baskerville" w:cs="Baskerville"/>
          <w:sz w:val="22"/>
          <w:szCs w:val="22"/>
        </w:rPr>
        <w:t xml:space="preserve"> mutations</w:t>
      </w:r>
      <w:r w:rsidR="00387C6F" w:rsidRPr="00653918">
        <w:rPr>
          <w:rFonts w:ascii="Baskerville" w:hAnsi="Baskerville" w:cs="Baskerville"/>
          <w:sz w:val="22"/>
          <w:szCs w:val="22"/>
        </w:rPr>
        <w:t xml:space="preserve"> in this gene have been found in severe childhood-onset epilepsy</w:t>
      </w:r>
      <w:r w:rsidR="00387C6F" w:rsidRPr="00653918">
        <w:rPr>
          <w:rFonts w:ascii="Baskerville" w:hAnsi="Baskerville" w:cs="Baskerville"/>
          <w:sz w:val="22"/>
          <w:szCs w:val="22"/>
        </w:rPr>
        <w:fldChar w:fldCharType="begin" w:fldLock="1"/>
      </w:r>
      <w:r w:rsidR="00880237">
        <w:rPr>
          <w:rFonts w:ascii="Baskerville" w:hAnsi="Baskerville" w:cs="Baskerville"/>
          <w:sz w:val="22"/>
          <w:szCs w:val="22"/>
        </w:rPr>
        <w:instrText>ADDIN CSL_CITATION { "citationItems" : [ { "id" : "ITEM-1", "itemData" : { "DOI" : "10.1038/ng.3239", "ISBN" : "4970712980", "ISSN" : "1061-4036", "PMID" : "25751627", "abstract" : "Epileptic encephalopathies are a phenotypically and genetically heterogeneous group of severe epilepsies accompanied by intellectual disability and other neurodevelopmental features. Using next-generation sequencing, we identified four different de novo mutations in KCNA2, encoding the potassium channel KV1.2, in six isolated patients with epileptic encephalopathy (one mutation recurred three times independently). Four individuals presented with febrile and multiple afebrile, often focal seizure types, multifocal epileptiform discharges strongly activated by sleep, mild to moderate intellectual disability, delayed speech development and sometimes ataxia. Functional studies of the two mutations associated with this phenotype showed almost complete loss of function with a dominant-negative effect. Two further individuals presented with a different and more severe epileptic encephalopathy phenotype. They carried mutations inducing a drastic gain-of-function effect leading to permanently open channels. These results establish KCNA2 as a new gene involved in human neurodevelopmental disorders through two different mechanisms, predicting either hyperexcitability or electrical silencing of KV1.2-expressing neurons.", "author" : [ { "dropping-particle" : "", "family" : "Syrbe", "given" : "Steffen", "non-dropping-particle" : "", "parse-names" : false, "suffix" : "" }, { "dropping-particle" : "", "family" : "Hedrich", "given" : "Ulrike B S", "non-dropping-particle" : "", "parse-names" : false, "suffix" : "" }, { "dropping-particle" : "", "family" : "Riesch", "given" : "Erik", "non-dropping-particle" : "", "parse-names" : false, "suffix" : "" }, { "dropping-particle" : "", "family" : "Dj\u00e9mi\u00e9", "given" : "Tania", "non-dropping-particle" : "", "parse-names" : false, "suffix" : "" }, { "dropping-particle" : "", "family" : "M\u00fcller", "given" : "Stephan", "non-dropping-particle" : "", "parse-names" : false, "suffix" : "" }, { "dropping-particle" : "", "family" : "M\u00f8ller", "given" : "Rikke S", "non-dropping-particle" : "", "parse-names" : false, "suffix" : "" }, { "dropping-particle" : "", "family" : "Maher", "given" : "Bridget", "non-dropping-particle" : "", "parse-names" : false, "suffix" : "" }, { "dropping-particle" : "", "family" : "Hernandez-Hernandez", "given" : "Laura", "non-dropping-particle" : "", "parse-names" : false, "suffix" : "" }, { "dropping-particle" : "", "family" : "Synofzik", "given" : "Matthis", "non-dropping-particle" : "", "parse-names" : false, "suffix" : "" }, { "dropping-particle" : "", "family" : "Caglayan", "given" : "Hande S", "non-dropping-particle" : "", "parse-names" : false, "suffix" : "" }, { "dropping-particle" : "", "family" : "Arslan", "given" : "Mutluay", "non-dropping-particle" : "", "parse-names" : false, "suffix" : "" }, { "dropping-particle" : "", "family" : "Serratosa", "given" : "Jos\u00e9 M", "non-dropping-particle" : "", "parse-names" : false, "suffix" : "" }, { "dropping-particle" : "", "family" : "Nothnagel", "given" : "Michael", "non-dropping-particle" : "", "parse-names" : false, "suffix" : "" }, { "dropping-particle" : "", "family" : "May", "given" : "Patrick", "non-dropping-particle" : "", "parse-names" : false, "suffix" : "" }, { "dropping-particle" : "", "family" : "Krause", "given" : "Roland", "non-dropping-particle" : "", "parse-names" : false, "suffix" : "" }, { "dropping-particle" : "", "family" : "L\u00f6ffler", "given" : "Heidrun", "non-dropping-particle" : "", "parse-names" : false, "suffix" : "" }, { "dropping-particle" : "", "family" : "Detert", "given" : "Katja", "non-dropping-particle" : "", "parse-names" : false, "suffix" : "" }, { "dropping-particle" : "", "family" : "Dorn", "given" : "Thomas", "non-dropping-particle" : "", "parse-names" : false, "suffix" : "" }, { "dropping-particle" : "", "family" : "Vogt", "given" : "Heinrich", "non-dropping-particle" : "", "parse-names" : false, "suffix" : "" }, { "dropping-particle" : "", "family" : "Kr\u00e4mer", "given" : "G\u00fcnter", "non-dropping-particle" : "", "parse-names" : false, "suffix" : "" }, { "dropping-particle" : "", "family" : "Sch\u00f6ls", "given" : "Ludger", "non-dropping-particle" : "", "parse-names" : false, "suffix" : "" }, { "dropping-particle" : "", "family" : "Mullis", "given" : "Primus E", "non-dropping-particle" : "", "parse-names" : false, "suffix" : "" }, { "dropping-particle" : "", "family" : "Linnankivi", "given" : "Tarja", "non-dropping-particle" : "", "parse-names" : false, "suffix" : "" }, { "dropping-particle" : "", "family" : "Lehesjoki", "given" : "Anna-Elina", "non-dropping-particle" : "", "parse-names" : false, "suffix" : "" }, { "dropping-particle" : "", "family" : "Sterbova", "given" : "Katalin", "non-dropping-particle" : "", "parse-names" : false, "suffix" : "" }, { "dropping-particle" : "", "family" : "Craiu", "given" : "Dana C", "non-dropping-particle" : "", "parse-names" : false, "suffix" : "" }, { "dropping-particle" : "", "family" : "Hoffman-Zacharska", "given" : "Dorota", "non-dropping-particle" : "", "parse-names" : false, "suffix" : "" }, { "dropping-particle" : "", "family" : "Korff", "given" : "Christian M", "non-dropping-particle" : "", "parse-names" : false, "suffix" : "" }, { "dropping-particle" : "", "family" : "Weber", "given" : "Yvonne G", "non-dropping-particle" : "", "parse-names" : false, "suffix" : "" }, { "dropping-particle" : "", "family" : "Steinlin", "given" : "Maja", "non-dropping-particle" : "", "parse-names" : false, "suffix" : "" }, { "dropping-particle" : "", "family" : "Gallati", "given" : "Sabina", "non-dropping-particle" : "", "parse-names" : false, "suffix" : "" }, { "dropping-particle" : "", "family" : "Bertsche", "given" : "Astrid", "non-dropping-particle" : "", "parse-names" : false, "suffix" : "" }, { "dropping-particle" : "", "family" : "Bernhard", "given" : "Matthias K", "non-dropping-particle" : "", "parse-names" : false, "suffix" : "" }, { "dropping-particle" : "", "family" : "Merkenschlager", "given" : "Andreas", "non-dropping-particle" : "", "parse-names" : false, "suffix" : "" }, { "dropping-particle" : "", "family" : "Kiess", "given" : "Wieland", "non-dropping-particle" : "", "parse-names" : false, "suffix" : "" }, { "dropping-particle" : "", "family" : "Balling", "given" : "Rudi", "non-dropping-particle" : "", "parse-names" : false, "suffix" : "" }, { "dropping-particle" : "", "family" : "Barisic", "given" : "Nina", "non-dropping-particle" : "", "parse-names" : false, "suffix" : "" }, { "dropping-particle" : "", "family" : "Baulac", "given" : "St\u00e9phanie", "non-dropping-particle" : "", "parse-names" : false, "suffix" : "" }, { "dropping-particle" : "", "family" : "Jonghe", "given" : "Peter", "non-dropping-particle" : "De", "parse-names" : false, "suffix" : "" }, { "dropping-particle" : "", "family" : "Depienne", "given" : "Christel", "non-dropping-particle" : "", "parse-names" : false, "suffix" : "" }, { "dropping-particle" : "", "family" : "Gormley", "given" : "Padhraig", "non-dropping-particle" : "", "parse-names" : false, "suffix" : "" }, { "dropping-particle" : "", "family" : "Guerrini", "given" : "Renzo", "non-dropping-particle" : "", "parse-names" : false, "suffix" : "" }, { "dropping-particle" : "", "family" : "Helbig", "given" : "Ingo", "non-dropping-particle" : "", "parse-names" : false, "suffix" : "" }, { "dropping-particle" : "", "family" : "Hjalgrim", "given" : "Helle", "non-dropping-particle" : "", "parse-names" : false, "suffix" : "" }, { "dropping-particle" : "", "family" : "J\u00e4hn", "given" : "Johanna", "non-dropping-particle" : "", "parse-names" : false, "suffix" : "" }, { "dropping-particle" : "", "family" : "Klein", "given" : "Karl Martin", "non-dropping-particle" : "", "parse-names" : false, "suffix" : "" }, { "dropping-particle" : "", "family" : "Koeleman", "given" : "Bobby P C", "non-dropping-particle" : "", "parse-names" : false, "suffix" : "" }, { "dropping-particle" : "", "family" : "Komarek", "given" : "Vladimir", "non-dropping-particle" : "", "parse-names" : false, "suffix" : "" }, { "dropping-particle" : "", "family" : "LeGuern", "given" : "Eric", "non-dropping-particle" : "", "parse-names" : false, "suffix" : "" }, { "dropping-particle" : "", "family" : "Lemke", "given" : "Johannes R", "non-dropping-particle" : "", "parse-names" : false, "suffix" : "" }, { "dropping-particle" : "", "family" : "Lerche", "given" : "Holger", "non-dropping-particle" : "", "parse-names" : false, "suffix" : "" }, { "dropping-particle" : "", "family" : "Marini", "given" : "Carla", "non-dropping-particle" : "", "parse-names" : false, "suffix" : "" }, { "dropping-particle" : "", "family" : "Muhle", "given" : "Hiltrud", "non-dropping-particle" : "", "parse-names" : false, "suffix" : "" }, { "dropping-particle" : "", "family" : "Palotie", "given" : "Aarno", "non-dropping-particle" : "", "parse-names" : false, "suffix" : "" }, { "dropping-particle" : "", "family" : "Pal", "given" : "Deb", "non-dropping-particle" : "", "parse-names" : false, "suffix" : "" }, { "dropping-particle" : "", "family" : "Rosenow", "given" : "Felix", "non-dropping-particle" : "", "parse-names" : false, "suffix" : "" }, { "dropping-particle" : "", "family" : "Selmer", "given" : "Kaja", "non-dropping-particle" : "", "parse-names" : false, "suffix" : "" }, { "dropping-particle" : "", "family" : "Sisodiya", "given" : "Sanjay M", "non-dropping-particle" : "", "parse-names" : false, "suffix" : "" }, { "dropping-particle" : "", "family" : "Stephani", "given" : "Ulrich", "non-dropping-particle" : "", "parse-names" : false, "suffix" : "" }, { "dropping-particle" : "", "family" : "Striano", "given" : "Pasquale", "non-dropping-particle" : "", "parse-names" : false, "suffix" : "" }, { "dropping-particle" : "", "family" : "Suls", "given" : "Arvid", "non-dropping-particle" : "", "parse-names" : false, "suffix" : "" }, { "dropping-particle" : "", "family" : "Talvik", "given" : "Tiina", "non-dropping-particle" : "", "parse-names" : false, "suffix" : "" }, { "dropping-particle" : "", "family" : "Spiczak", "given" : "Sarah", "non-dropping-particle" : "von", "parse-names" : false, "suffix" : "" }, { "dropping-particle" : "", "family" : "G Weber", "given" : "Yvonne", "non-dropping-particle" : "", "parse-names" : false, "suffix" : "" }, { "dropping-particle" : "", "family" : "Weckhuysen", "given" : "Sarah", "non-dropping-particle" : "", "parse-names" : false, "suffix" : "" }, { "dropping-particle" : "", "family" : "Zara", "given" : "Federico", "non-dropping-particle" : "", "parse-names" : false, "suffix" : "" }, { "dropping-particle" : "", "family" : "Gonzalez", "given" : "Michael", "non-dropping-particle" : "", "parse-names" : false, "suffix" : "" }, { "dropping-particle" : "", "family" : "Z\u00fcchner", "given" : "Stephan", "non-dropping-particle" : "", "parse-names" : false, "suffix" : "" }, { "dropping-particle" : "", "family" : "Biskup", "given" : "Saskia", "non-dropping-particle" : "", "parse-names" : false, "suffix" : "" }, { "dropping-particle" : "", "family" : "Wolff", "given" : "Markus", "non-dropping-particle" : "", "parse-names" : false, "suffix" : "" }, { "dropping-particle" : "", "family" : "Maljevic", "given" : "Snezana", "non-dropping-particle" : "", "parse-names" : false, "suffix" : "" }, { "dropping-particle" : "", "family" : "Sch\u00fcle", "given" : "Rebecca", "non-dropping-particle" : "", "parse-names" : false, "suffix" : "" } ], "container-title" : "Nature Genetics", "id" : "ITEM-1", "issue" : "4", "issued" : { "date-parts" : [ [ "2015" ] ] }, "page" : "393-399", "title" : "De novo loss- or gain-of-function mutations in KCNA2 cause epileptic encephalopathy", "type" : "article-journal", "volume" : "47" }, "uris" : [ "http://www.mendeley.com/documents/?uuid=59ead23e-96e6-4d40-b539-b2234cc333e4" ] }, { "id" : "ITEM-2", "itemData" : { "DOI" : "10.1111/cge.12784", "ISSN" : "1399-0004", "PMID" : "27062609", "abstract" : "Several genes have been implicated in Rett syndrome in its typical and variant forms. We applied next-generation sequencing to evaluate for mutations in known or new candidate genes in patients with variant forms of Rett or Rett-like phenotypes of unknown molecular aetiology. In the first step, we used NGS with a custom panel including MECP2, CDKL5, FOXG1, MEF2C and IQSEC2. In addition to a FOXG1 mutation in a patient with all core features of the congenital variant of RTT, we identified a missense (p.Ser240Thr) in CDKL5 in a patient who appeared to be seizure free. This missense was maternally inherited with opposite allele expression ratios in the proband and her mother. In the asymptomatic mother, the mutated copy of the CDKL5 gene was inactivated in 90% of blood cells. We also identified a premature stop codon (p.Arg926*) in IQSEC2 in a patient with a Rett-like phenotype. Finally, exome sequencing enabled us to characterize a heterozygous de novo missense (p.Val408Ala) in KCNA2 encoding the potassium channel Kv 1.2 in a girl with infantile-onset seizures variant of RTT. Our study expands the genetic heterogeneity of RTT and RTT-like phenotypes. Moreover, we report the first familial case of CDKL5-related disease.", "author" : [ { "dropping-particle" : "", "family" : "Allou", "given" : "L", "non-dropping-particle" : "", "parse-names" : false, "suffix" : "" }, { "dropping-particle" : "", "family" : "Julia", "given" : "S", "non-dropping-particle" : "", "parse-names" : false, "suffix" : "" }, { "dropping-particle" : "", "family" : "Amsallem", "given" : "D", "non-dropping-particle" : "", "parse-names" : false, "suffix" : "" }, { "dropping-particle" : "", "family" : "Chehadeh", "given" : "S", "non-dropping-particle" : "El", "parse-names" : false, "suffix" : "" }, { "dropping-particle" : "", "family" : "Lambert", "given" : "L", "non-dropping-particle" : "", "parse-names" : false, "suffix" : "" }, { "dropping-particle" : "", "family" : "Thevenon", "given" : "J", "non-dropping-particle" : "", "parse-names" : false, "suffix" : "" }, { "dropping-particle" : "", "family" : "Duffourd", "given" : "Y", "non-dropping-particle" : "", "parse-names" : false, "suffix" : "" }, { "dropping-particle" : "", "family" : "Saunier", "given" : "A", "non-dropping-particle" : "", "parse-names" : false, "suffix" : "" }, { "dropping-particle" : "", "family" : "Bouquet", "given" : "P", "non-dropping-particle" : "", "parse-names" : false, "suffix" : "" }, { "dropping-particle" : "", "family" : "Pere", "given" : "S", "non-dropping-particle" : "", "parse-names" : false, "suffix" : "" }, { "dropping-particle" : "", "family" : "Mousta\u00efne", "given" : "A", "non-dropping-particle" : "", "parse-names" : false, "suffix" : "" }, { "dropping-particle" : "", "family" : "Ruaud", "given" : "L", "non-dropping-particle" : "", "parse-names" : false, "suffix" : "" }, { "dropping-particle" : "", "family" : "Roth", "given" : "V", "non-dropping-particle" : "", "parse-names" : false, "suffix" : "" }, { "dropping-particle" : "", "family" : "Jonveaux", "given" : "P", "non-dropping-particle" : "", "parse-names" : false, "suffix" : "" }, { "dropping-particle" : "", "family" : "Philippe", "given" : "C", "non-dropping-particle" : "", "parse-names" : false, "suffix" : "" } ], "container-title" : "Clinical genetics", "id" : "ITEM-2", "issued" : { "date-parts" : [ [ "2016", "4", "7" ] ] }, "title" : "Rett-like phenotypes: expanding the genetic heterogeneity to the KCNA2 gene and first familial case of CDKL5-related disease.", "type" : "article-journal" }, "uris" : [ "http://www.mendeley.com/documents/?uuid=d1001a5d-e232-496c-977c-a2888bb3cb60" ] } ], "mendeley" : { "formattedCitation" : "[19,20]", "plainTextFormattedCitation" : "[19,20]", "previouslyFormattedCitation" : "[19,20]" }, "properties" : { "noteIndex" : 0 }, "schema" : "https://github.com/citation-style-language/schema/raw/master/csl-citation.json" }</w:instrText>
      </w:r>
      <w:r w:rsidR="00387C6F" w:rsidRPr="00653918">
        <w:rPr>
          <w:rFonts w:ascii="Baskerville" w:hAnsi="Baskerville" w:cs="Baskerville"/>
          <w:sz w:val="22"/>
          <w:szCs w:val="22"/>
        </w:rPr>
        <w:fldChar w:fldCharType="separate"/>
      </w:r>
      <w:r w:rsidR="003F76BF" w:rsidRPr="003F76BF">
        <w:rPr>
          <w:rFonts w:ascii="Baskerville" w:hAnsi="Baskerville" w:cs="Baskerville"/>
          <w:noProof/>
          <w:sz w:val="22"/>
          <w:szCs w:val="22"/>
        </w:rPr>
        <w:t>[19,20]</w:t>
      </w:r>
      <w:r w:rsidR="00387C6F" w:rsidRPr="00653918">
        <w:rPr>
          <w:rFonts w:ascii="Baskerville" w:hAnsi="Baskerville" w:cs="Baskerville"/>
          <w:sz w:val="22"/>
          <w:szCs w:val="22"/>
        </w:rPr>
        <w:fldChar w:fldCharType="end"/>
      </w:r>
      <w:r w:rsidR="00C21AAF">
        <w:rPr>
          <w:rFonts w:ascii="Baskerville" w:hAnsi="Baskerville" w:cs="Baskerville"/>
          <w:sz w:val="22"/>
          <w:szCs w:val="22"/>
        </w:rPr>
        <w:t>*</w:t>
      </w:r>
      <w:r w:rsidR="00387C6F" w:rsidRPr="00653918">
        <w:rPr>
          <w:rFonts w:ascii="Baskerville" w:hAnsi="Baskerville" w:cs="Baskerville"/>
          <w:sz w:val="22"/>
          <w:szCs w:val="22"/>
        </w:rPr>
        <w:t xml:space="preserve">, </w:t>
      </w:r>
      <w:r w:rsidR="00585FFB">
        <w:rPr>
          <w:rFonts w:ascii="Baskerville" w:hAnsi="Baskerville" w:cs="Baskerville"/>
          <w:sz w:val="22"/>
          <w:szCs w:val="22"/>
        </w:rPr>
        <w:t>but</w:t>
      </w:r>
      <w:r w:rsidR="00B65773">
        <w:rPr>
          <w:rFonts w:ascii="Baskerville" w:hAnsi="Baskerville" w:cs="Baskerville"/>
          <w:sz w:val="22"/>
          <w:szCs w:val="22"/>
        </w:rPr>
        <w:t xml:space="preserve"> also </w:t>
      </w:r>
      <w:r w:rsidR="00387C6F" w:rsidRPr="00653918">
        <w:rPr>
          <w:rFonts w:ascii="Baskerville" w:hAnsi="Baskerville" w:cs="Baskerville"/>
          <w:sz w:val="22"/>
          <w:szCs w:val="22"/>
        </w:rPr>
        <w:t>in a</w:t>
      </w:r>
      <w:r w:rsidR="001263E0">
        <w:rPr>
          <w:rFonts w:ascii="Baskerville" w:hAnsi="Baskerville" w:cs="Baskerville"/>
          <w:sz w:val="22"/>
          <w:szCs w:val="22"/>
        </w:rPr>
        <w:t>n autosomal dominant</w:t>
      </w:r>
      <w:r w:rsidR="00387C6F" w:rsidRPr="00653918">
        <w:rPr>
          <w:rFonts w:ascii="Baskerville" w:hAnsi="Baskerville" w:cs="Baskerville"/>
          <w:sz w:val="22"/>
          <w:szCs w:val="22"/>
        </w:rPr>
        <w:t xml:space="preserve"> family with </w:t>
      </w:r>
      <w:r w:rsidR="001263E0">
        <w:rPr>
          <w:rFonts w:ascii="Baskerville" w:hAnsi="Baskerville" w:cs="Baskerville"/>
          <w:sz w:val="22"/>
          <w:szCs w:val="22"/>
        </w:rPr>
        <w:t xml:space="preserve">the predominant phenotype of infantile-onset </w:t>
      </w:r>
      <w:r w:rsidR="00AB037B">
        <w:rPr>
          <w:rFonts w:ascii="Baskerville" w:hAnsi="Baskerville" w:cs="Baskerville"/>
          <w:sz w:val="22"/>
          <w:szCs w:val="22"/>
        </w:rPr>
        <w:t>pharmacoresponsive epilepsy</w:t>
      </w:r>
      <w:r w:rsidR="001263E0">
        <w:rPr>
          <w:rFonts w:ascii="Baskerville" w:hAnsi="Baskerville" w:cs="Baskerville"/>
          <w:sz w:val="22"/>
          <w:szCs w:val="22"/>
        </w:rPr>
        <w:t xml:space="preserve"> in the setting of normal intellect and episodic ataxia</w:t>
      </w:r>
      <w:r w:rsidR="00817343" w:rsidRPr="00653918">
        <w:rPr>
          <w:rFonts w:ascii="Baskerville" w:hAnsi="Baskerville" w:cs="Baskerville"/>
          <w:sz w:val="22"/>
          <w:szCs w:val="22"/>
        </w:rPr>
        <w:fldChar w:fldCharType="begin" w:fldLock="1"/>
      </w:r>
      <w:r w:rsidR="00880237">
        <w:rPr>
          <w:rFonts w:ascii="Baskerville" w:hAnsi="Baskerville" w:cs="Baskerville"/>
          <w:sz w:val="22"/>
          <w:szCs w:val="22"/>
        </w:rPr>
        <w:instrText>ADDIN CSL_CITATION { "citationItems" : [ { "id" : "ITEM-1", "itemData" : { "DOI" : "10.1212/WNL.0000000000003309", "ISBN" : "0000000000", "ISSN" : "1526-632X", "PMID" : "27733563", "author" : [ { "dropping-particle" : "", "family" : "Corbett", "given" : "Mark A", "non-dropping-particle" : "", "parse-names" : false, "suffix" : "" }, { "dropping-particle" : "", "family" : "Bellows", "given" : "Susannah T", "non-dropping-particle" : "", "parse-names" : false, "suffix" : "" }, { "dropping-particle" : "", "family" : "Li", "given" : "Melody", "non-dropping-particle" : "", "parse-names" : false, "suffix" : "" }, { "dropping-particle" : "", "family" : "Carroll", "given" : "Ren\u00e9e", "non-dropping-particle" : "", "parse-names" : false, "suffix" : "" }, { "dropping-particle" : "", "family" : "Micallef", "given" : "Silvana", "non-dropping-particle" : "", "parse-names" : false, "suffix" : "" }, { "dropping-particle" : "", "family" : "Carvill", "given" : "Gemma L", "non-dropping-particle" : "", "parse-names" : false, "suffix" : "" }, { "dropping-particle" : "", "family" : "Myers", "given" : "Candace T", "non-dropping-particle" : "", "parse-names" : false, "suffix" : "" }, { "dropping-particle" : "", "family" : "Howell", "given" : "Katherine B", "non-dropping-particle" : "", "parse-names" : false, "suffix" : "" }, { "dropping-particle" : "V", "family" : "Gazina", "given" : "Elena", "non-dropping-particle" : "", "parse-names" : false, "suffix" : "" }, { "dropping-particle" : "", "family" : "Mefford", "given" : "Heather C", "non-dropping-particle" : "", "parse-names" : false, "suffix" : "" }, { "dropping-particle" : "", "family" : "Bahlo", "given" : "Melanie", "non-dropping-particle" : "", "parse-names" : false, "suffix" : "" }, { "dropping-particle" : "", "family" : "Petrou", "given" : "Steven", "non-dropping-particle" : "", "parse-names" : false, "suffix" : "" }, { "dropping-particle" : "", "family" : "Scheffer", "given" : "Ingrid E", "non-dropping-particle" : "", "parse-names" : false, "suffix" : "" } ], "id" : "ITEM-1", "issued" : { "date-parts" : [ [ "2016" ] ] }, "title" : "Dominant KCNA2 mutation causes episodic ataxia and pharmacoresponsive epilepsy", "type" : "article-journal" }, "uris" : [ "http://www.mendeley.com/documents/?uuid=5bdb52d5-275e-46da-a02f-ef4ce66c8b70" ] } ], "mendeley" : { "formattedCitation" : "[21]", "plainTextFormattedCitation" : "[21]", "previouslyFormattedCitation" : "[21]" }, "properties" : { "noteIndex" : 0 }, "schema" : "https://github.com/citation-style-language/schema/raw/master/csl-citation.json" }</w:instrText>
      </w:r>
      <w:r w:rsidR="00817343" w:rsidRPr="00653918">
        <w:rPr>
          <w:rFonts w:ascii="Baskerville" w:hAnsi="Baskerville" w:cs="Baskerville"/>
          <w:sz w:val="22"/>
          <w:szCs w:val="22"/>
        </w:rPr>
        <w:fldChar w:fldCharType="separate"/>
      </w:r>
      <w:r w:rsidR="003F76BF" w:rsidRPr="003F76BF">
        <w:rPr>
          <w:rFonts w:ascii="Baskerville" w:hAnsi="Baskerville" w:cs="Baskerville"/>
          <w:noProof/>
          <w:sz w:val="22"/>
          <w:szCs w:val="22"/>
        </w:rPr>
        <w:t>[21]</w:t>
      </w:r>
      <w:r w:rsidR="00817343" w:rsidRPr="00653918">
        <w:rPr>
          <w:rFonts w:ascii="Baskerville" w:hAnsi="Baskerville" w:cs="Baskerville"/>
          <w:sz w:val="22"/>
          <w:szCs w:val="22"/>
        </w:rPr>
        <w:fldChar w:fldCharType="end"/>
      </w:r>
      <w:r w:rsidR="00C21AAF">
        <w:rPr>
          <w:rFonts w:ascii="Baskerville" w:hAnsi="Baskerville" w:cs="Baskerville"/>
          <w:sz w:val="22"/>
          <w:szCs w:val="22"/>
        </w:rPr>
        <w:t>*</w:t>
      </w:r>
      <w:r w:rsidR="00387C6F" w:rsidRPr="00653918">
        <w:rPr>
          <w:rFonts w:ascii="Baskerville" w:hAnsi="Baskerville" w:cs="Baskerville"/>
          <w:sz w:val="22"/>
          <w:szCs w:val="22"/>
        </w:rPr>
        <w:t xml:space="preserve">. </w:t>
      </w:r>
      <w:r w:rsidR="009F5BDF">
        <w:rPr>
          <w:rFonts w:ascii="Baskerville" w:hAnsi="Baskerville" w:cs="Baskerville"/>
          <w:sz w:val="22"/>
          <w:szCs w:val="22"/>
        </w:rPr>
        <w:t xml:space="preserve">Along with </w:t>
      </w:r>
      <w:r w:rsidR="009F5BDF" w:rsidRPr="009F5BDF">
        <w:rPr>
          <w:rFonts w:ascii="Baskerville" w:hAnsi="Baskerville" w:cs="Baskerville"/>
          <w:i/>
          <w:sz w:val="22"/>
          <w:szCs w:val="22"/>
        </w:rPr>
        <w:t>SCN1A</w:t>
      </w:r>
      <w:r w:rsidR="009F5BDF">
        <w:rPr>
          <w:rFonts w:ascii="Baskerville" w:hAnsi="Baskerville" w:cs="Baskerville"/>
          <w:sz w:val="22"/>
          <w:szCs w:val="22"/>
        </w:rPr>
        <w:t xml:space="preserve"> and </w:t>
      </w:r>
      <w:r w:rsidR="009F5BDF" w:rsidRPr="009F5BDF">
        <w:rPr>
          <w:rFonts w:ascii="Baskerville" w:hAnsi="Baskerville" w:cs="Baskerville"/>
          <w:i/>
          <w:sz w:val="22"/>
          <w:szCs w:val="22"/>
        </w:rPr>
        <w:t>SCN2A</w:t>
      </w:r>
      <w:r w:rsidR="009F5BDF">
        <w:rPr>
          <w:rFonts w:ascii="Baskerville" w:hAnsi="Baskerville" w:cs="Baskerville"/>
          <w:sz w:val="22"/>
          <w:szCs w:val="22"/>
        </w:rPr>
        <w:t>-related epilepsy, this observation highlights how mutations in the same gene can give rise to a spectrum of epilepsy severity, from severe childhood ep</w:t>
      </w:r>
      <w:r w:rsidR="00283ABB">
        <w:rPr>
          <w:rFonts w:ascii="Baskerville" w:hAnsi="Baskerville" w:cs="Baskerville"/>
          <w:sz w:val="22"/>
          <w:szCs w:val="22"/>
        </w:rPr>
        <w:t>ilepsy with developmental delay</w:t>
      </w:r>
      <w:r w:rsidR="009F5BDF">
        <w:rPr>
          <w:rFonts w:ascii="Baskerville" w:hAnsi="Baskerville" w:cs="Baskerville"/>
          <w:sz w:val="22"/>
          <w:szCs w:val="22"/>
        </w:rPr>
        <w:t xml:space="preserve"> to pharmacoresponsive self-limiting epilepsy. </w:t>
      </w:r>
      <w:r w:rsidR="008E14EA">
        <w:rPr>
          <w:rFonts w:ascii="Baskerville" w:hAnsi="Baskerville" w:cs="Baskerville"/>
          <w:sz w:val="22"/>
          <w:szCs w:val="22"/>
        </w:rPr>
        <w:t>The m</w:t>
      </w:r>
      <w:r w:rsidR="001C482C">
        <w:rPr>
          <w:rFonts w:ascii="Baskerville" w:hAnsi="Baskerville" w:cs="Baskerville"/>
          <w:sz w:val="22"/>
          <w:szCs w:val="22"/>
        </w:rPr>
        <w:t xml:space="preserve">echanistic explanations for </w:t>
      </w:r>
      <w:r w:rsidR="008E14EA">
        <w:rPr>
          <w:rFonts w:ascii="Baskerville" w:hAnsi="Baskerville" w:cs="Baskerville"/>
          <w:sz w:val="22"/>
          <w:szCs w:val="22"/>
        </w:rPr>
        <w:t>such</w:t>
      </w:r>
      <w:r w:rsidR="001C482C">
        <w:rPr>
          <w:rFonts w:ascii="Baskerville" w:hAnsi="Baskerville" w:cs="Baskerville"/>
          <w:sz w:val="22"/>
          <w:szCs w:val="22"/>
        </w:rPr>
        <w:t xml:space="preserve"> phenotypic diversity are unknown</w:t>
      </w:r>
      <w:r w:rsidR="002A0424">
        <w:rPr>
          <w:rFonts w:ascii="Baskerville" w:hAnsi="Baskerville" w:cs="Baskerville"/>
          <w:sz w:val="22"/>
          <w:szCs w:val="22"/>
        </w:rPr>
        <w:t xml:space="preserve">, although in the case of </w:t>
      </w:r>
      <w:r w:rsidR="002A0424" w:rsidRPr="00261EF5">
        <w:rPr>
          <w:rFonts w:ascii="Baskerville" w:hAnsi="Baskerville" w:cs="Baskerville"/>
          <w:i/>
          <w:sz w:val="22"/>
          <w:szCs w:val="22"/>
        </w:rPr>
        <w:t>KCNA2</w:t>
      </w:r>
      <w:r w:rsidR="002A0424">
        <w:rPr>
          <w:rFonts w:ascii="Baskerville" w:hAnsi="Baskerville" w:cs="Baskerville"/>
          <w:sz w:val="22"/>
          <w:szCs w:val="22"/>
        </w:rPr>
        <w:t xml:space="preserve"> it has been observed that gain-of-function and loss-of-functions appear to cause distinct epilepsy phenotypes</w:t>
      </w:r>
      <w:r w:rsidR="00261EF5" w:rsidRPr="00653918">
        <w:rPr>
          <w:rFonts w:ascii="Baskerville" w:hAnsi="Baskerville" w:cs="Baskerville"/>
          <w:sz w:val="22"/>
          <w:szCs w:val="22"/>
        </w:rPr>
        <w:fldChar w:fldCharType="begin" w:fldLock="1"/>
      </w:r>
      <w:r w:rsidR="00261EF5">
        <w:rPr>
          <w:rFonts w:ascii="Baskerville" w:hAnsi="Baskerville" w:cs="Baskerville"/>
          <w:sz w:val="22"/>
          <w:szCs w:val="22"/>
        </w:rPr>
        <w:instrText>ADDIN CSL_CITATION { "citationItems" : [ { "id" : "ITEM-1", "itemData" : { "DOI" : "10.1038/ng.3239", "ISBN" : "4970712980", "ISSN" : "1061-4036", "PMID" : "25751627", "abstract" : "Epileptic encephalopathies are a phenotypically and genetically heterogeneous group of severe epilepsies accompanied by intellectual disability and other neurodevelopmental features. Using next-generation sequencing, we identified four different de novo mutations in KCNA2, encoding the potassium channel KV1.2, in six isolated patients with epileptic encephalopathy (one mutation recurred three times independently). Four individuals presented with febrile and multiple afebrile, often focal seizure types, multifocal epileptiform discharges strongly activated by sleep, mild to moderate intellectual disability, delayed speech development and sometimes ataxia. Functional studies of the two mutations associated with this phenotype showed almost complete loss of function with a dominant-negative effect. Two further individuals presented with a different and more severe epileptic encephalopathy phenotype. They carried mutations inducing a drastic gain-of-function effect leading to permanently open channels. These results establish KCNA2 as a new gene involved in human neurodevelopmental disorders through two different mechanisms, predicting either hyperexcitability or electrical silencing of KV1.2-expressing neurons.", "author" : [ { "dropping-particle" : "", "family" : "Syrbe", "given" : "Steffen", "non-dropping-particle" : "", "parse-names" : false, "suffix" : "" }, { "dropping-particle" : "", "family" : "Hedrich", "given" : "Ulrike B S", "non-dropping-particle" : "", "parse-names" : false, "suffix" : "" }, { "dropping-particle" : "", "family" : "Riesch", "given" : "Erik", "non-dropping-particle" : "", "parse-names" : false, "suffix" : "" }, { "dropping-particle" : "", "family" : "Dj\u00e9mi\u00e9", "given" : "Tania", "non-dropping-particle" : "", "parse-names" : false, "suffix" : "" }, { "dropping-particle" : "", "family" : "M\u00fcller", "given" : "Stephan", "non-dropping-particle" : "", "parse-names" : false, "suffix" : "" }, { "dropping-particle" : "", "family" : "M\u00f8ller", "given" : "Rikke S", "non-dropping-particle" : "", "parse-names" : false, "suffix" : "" }, { "dropping-particle" : "", "family" : "Maher", "given" : "Bridget", "non-dropping-particle" : "", "parse-names" : false, "suffix" : "" }, { "dropping-particle" : "", "family" : "Hernandez-Hernandez", "given" : "Laura", "non-dropping-particle" : "", "parse-names" : false, "suffix" : "" }, { "dropping-particle" : "", "family" : "Synofzik", "given" : "Matthis", "non-dropping-particle" : "", "parse-names" : false, "suffix" : "" }, { "dropping-particle" : "", "family" : "Caglayan", "given" : "Hande S", "non-dropping-particle" : "", "parse-names" : false, "suffix" : "" }, { "dropping-particle" : "", "family" : "Arslan", "given" : "Mutluay", "non-dropping-particle" : "", "parse-names" : false, "suffix" : "" }, { "dropping-particle" : "", "family" : "Serratosa", "given" : "Jos\u00e9 M", "non-dropping-particle" : "", "parse-names" : false, "suffix" : "" }, { "dropping-particle" : "", "family" : "Nothnagel", "given" : "Michael", "non-dropping-particle" : "", "parse-names" : false, "suffix" : "" }, { "dropping-particle" : "", "family" : "May", "given" : "Patrick", "non-dropping-particle" : "", "parse-names" : false, "suffix" : "" }, { "dropping-particle" : "", "family" : "Krause", "given" : "Roland", "non-dropping-particle" : "", "parse-names" : false, "suffix" : "" }, { "dropping-particle" : "", "family" : "L\u00f6ffler", "given" : "Heidrun", "non-dropping-particle" : "", "parse-names" : false, "suffix" : "" }, { "dropping-particle" : "", "family" : "Detert", "given" : "Katja", "non-dropping-particle" : "", "parse-names" : false, "suffix" : "" }, { "dropping-particle" : "", "family" : "Dorn", "given" : "Thomas", "non-dropping-particle" : "", "parse-names" : false, "suffix" : "" }, { "dropping-particle" : "", "family" : "Vogt", "given" : "Heinrich", "non-dropping-particle" : "", "parse-names" : false, "suffix" : "" }, { "dropping-particle" : "", "family" : "Kr\u00e4mer", "given" : "G\u00fcnter", "non-dropping-particle" : "", "parse-names" : false, "suffix" : "" }, { "dropping-particle" : "", "family" : "Sch\u00f6ls", "given" : "Ludger", "non-dropping-particle" : "", "parse-names" : false, "suffix" : "" }, { "dropping-particle" : "", "family" : "Mullis", "given" : "Primus E", "non-dropping-particle" : "", "parse-names" : false, "suffix" : "" }, { "dropping-particle" : "", "family" : "Linnankivi", "given" : "Tarja", "non-dropping-particle" : "", "parse-names" : false, "suffix" : "" }, { "dropping-particle" : "", "family" : "Lehesjoki", "given" : "Anna-Elina", "non-dropping-particle" : "", "parse-names" : false, "suffix" : "" }, { "dropping-particle" : "", "family" : "Sterbova", "given" : "Katalin", "non-dropping-particle" : "", "parse-names" : false, "suffix" : "" }, { "dropping-particle" : "", "family" : "Craiu", "given" : "Dana C", "non-dropping-particle" : "", "parse-names" : false, "suffix" : "" }, { "dropping-particle" : "", "family" : "Hoffman-Zacharska", "given" : "Dorota", "non-dropping-particle" : "", "parse-names" : false, "suffix" : "" }, { "dropping-particle" : "", "family" : "Korff", "given" : "Christian M", "non-dropping-particle" : "", "parse-names" : false, "suffix" : "" }, { "dropping-particle" : "", "family" : "Weber", "given" : "Yvonne G", "non-dropping-particle" : "", "parse-names" : false, "suffix" : "" }, { "dropping-particle" : "", "family" : "Steinlin", "given" : "Maja", "non-dropping-particle" : "", "parse-names" : false, "suffix" : "" }, { "dropping-particle" : "", "family" : "Gallati", "given" : "Sabina", "non-dropping-particle" : "", "parse-names" : false, "suffix" : "" }, { "dropping-particle" : "", "family" : "Bertsche", "given" : "Astrid", "non-dropping-particle" : "", "parse-names" : false, "suffix" : "" }, { "dropping-particle" : "", "family" : "Bernhard", "given" : "Matthias K", "non-dropping-particle" : "", "parse-names" : false, "suffix" : "" }, { "dropping-particle" : "", "family" : "Merkenschlager", "given" : "Andreas", "non-dropping-particle" : "", "parse-names" : false, "suffix" : "" }, { "dropping-particle" : "", "family" : "Kiess", "given" : "Wieland", "non-dropping-particle" : "", "parse-names" : false, "suffix" : "" }, { "dropping-particle" : "", "family" : "Balling", "given" : "Rudi", "non-dropping-particle" : "", "parse-names" : false, "suffix" : "" }, { "dropping-particle" : "", "family" : "Barisic", "given" : "Nina", "non-dropping-particle" : "", "parse-names" : false, "suffix" : "" }, { "dropping-particle" : "", "family" : "Baulac", "given" : "St\u00e9phanie", "non-dropping-particle" : "", "parse-names" : false, "suffix" : "" }, { "dropping-particle" : "", "family" : "Jonghe", "given" : "Peter", "non-dropping-particle" : "De", "parse-names" : false, "suffix" : "" }, { "dropping-particle" : "", "family" : "Depienne", "given" : "Christel", "non-dropping-particle" : "", "parse-names" : false, "suffix" : "" }, { "dropping-particle" : "", "family" : "Gormley", "given" : "Padhraig", "non-dropping-particle" : "", "parse-names" : false, "suffix" : "" }, { "dropping-particle" : "", "family" : "Guerrini", "given" : "Renzo", "non-dropping-particle" : "", "parse-names" : false, "suffix" : "" }, { "dropping-particle" : "", "family" : "Helbig", "given" : "Ingo", "non-dropping-particle" : "", "parse-names" : false, "suffix" : "" }, { "dropping-particle" : "", "family" : "Hjalgrim", "given" : "Helle", "non-dropping-particle" : "", "parse-names" : false, "suffix" : "" }, { "dropping-particle" : "", "family" : "J\u00e4hn", "given" : "Johanna", "non-dropping-particle" : "", "parse-names" : false, "suffix" : "" }, { "dropping-particle" : "", "family" : "Klein", "given" : "Karl Martin", "non-dropping-particle" : "", "parse-names" : false, "suffix" : "" }, { "dropping-particle" : "", "family" : "Koeleman", "given" : "Bobby P C", "non-dropping-particle" : "", "parse-names" : false, "suffix" : "" }, { "dropping-particle" : "", "family" : "Komarek", "given" : "Vladimir", "non-dropping-particle" : "", "parse-names" : false, "suffix" : "" }, { "dropping-particle" : "", "family" : "LeGuern", "given" : "Eric", "non-dropping-particle" : "", "parse-names" : false, "suffix" : "" }, { "dropping-particle" : "", "family" : "Lemke", "given" : "Johannes R", "non-dropping-particle" : "", "parse-names" : false, "suffix" : "" }, { "dropping-particle" : "", "family" : "Lerche", "given" : "Holger", "non-dropping-particle" : "", "parse-names" : false, "suffix" : "" }, { "dropping-particle" : "", "family" : "Marini", "given" : "Carla", "non-dropping-particle" : "", "parse-names" : false, "suffix" : "" }, { "dropping-particle" : "", "family" : "Muhle", "given" : "Hiltrud", "non-dropping-particle" : "", "parse-names" : false, "suffix" : "" }, { "dropping-particle" : "", "family" : "Palotie", "given" : "Aarno", "non-dropping-particle" : "", "parse-names" : false, "suffix" : "" }, { "dropping-particle" : "", "family" : "Pal", "given" : "Deb", "non-dropping-particle" : "", "parse-names" : false, "suffix" : "" }, { "dropping-particle" : "", "family" : "Rosenow", "given" : "Felix", "non-dropping-particle" : "", "parse-names" : false, "suffix" : "" }, { "dropping-particle" : "", "family" : "Selmer", "given" : "Kaja", "non-dropping-particle" : "", "parse-names" : false, "suffix" : "" }, { "dropping-particle" : "", "family" : "Sisodiya", "given" : "Sanjay M", "non-dropping-particle" : "", "parse-names" : false, "suffix" : "" }, { "dropping-particle" : "", "family" : "Stephani", "given" : "Ulrich", "non-dropping-particle" : "", "parse-names" : false, "suffix" : "" }, { "dropping-particle" : "", "family" : "Striano", "given" : "Pasquale", "non-dropping-particle" : "", "parse-names" : false, "suffix" : "" }, { "dropping-particle" : "", "family" : "Suls", "given" : "Arvid", "non-dropping-particle" : "", "parse-names" : false, "suffix" : "" }, { "dropping-particle" : "", "family" : "Talvik", "given" : "Tiina", "non-dropping-particle" : "", "parse-names" : false, "suffix" : "" }, { "dropping-particle" : "", "family" : "Spiczak", "given" : "Sarah", "non-dropping-particle" : "von", "parse-names" : false, "suffix" : "" }, { "dropping-particle" : "", "family" : "G Weber", "given" : "Yvonne", "non-dropping-particle" : "", "parse-names" : false, "suffix" : "" }, { "dropping-particle" : "", "family" : "Weckhuysen", "given" : "Sarah", "non-dropping-particle" : "", "parse-names" : false, "suffix" : "" }, { "dropping-particle" : "", "family" : "Zara", "given" : "Federico", "non-dropping-particle" : "", "parse-names" : false, "suffix" : "" }, { "dropping-particle" : "", "family" : "Gonzalez", "given" : "Michael", "non-dropping-particle" : "", "parse-names" : false, "suffix" : "" }, { "dropping-particle" : "", "family" : "Z\u00fcchner", "given" : "Stephan", "non-dropping-particle" : "", "parse-names" : false, "suffix" : "" }, { "dropping-particle" : "", "family" : "Biskup", "given" : "Saskia", "non-dropping-particle" : "", "parse-names" : false, "suffix" : "" }, { "dropping-particle" : "", "family" : "Wolff", "given" : "Markus", "non-dropping-particle" : "", "parse-names" : false, "suffix" : "" }, { "dropping-particle" : "", "family" : "Maljevic", "given" : "Snezana", "non-dropping-particle" : "", "parse-names" : false, "suffix" : "" }, { "dropping-particle" : "", "family" : "Sch\u00fcle", "given" : "Rebecca", "non-dropping-particle" : "", "parse-names" : false, "suffix" : "" } ], "container-title" : "Nature Genetics", "id" : "ITEM-1", "issue" : "4", "issued" : { "date-parts" : [ [ "2015" ] ] }, "page" : "393-399", "title" : "De novo loss- or gain-of-function mutations in KCNA2 cause epileptic encephalopathy", "type" : "article-journal", "volume" : "47" }, "uris" : [ "http://www.mendeley.com/documents/?uuid=59ead23e-96e6-4d40-b539-b2234cc333e4" ] }, { "id" : "ITEM-2", "itemData" : { "DOI" : "10.1111/cge.12784", "ISSN" : "1399-0004", "PMID" : "27062609", "abstract" : "Several genes have been implicated in Rett syndrome in its typical and variant forms. We applied next-generation sequencing to evaluate for mutations in known or new candidate genes in patients with variant forms of Rett or Rett-like phenotypes of unknown molecular aetiology. In the first step, we used NGS with a custom panel including MECP2, CDKL5, FOXG1, MEF2C and IQSEC2. In addition to a FOXG1 mutation in a patient with all core features of the congenital variant of RTT, we identified a missense (p.Ser240Thr) in CDKL5 in a patient who appeared to be seizure free. This missense was maternally inherited with opposite allele expression ratios in the proband and her mother. In the asymptomatic mother, the mutated copy of the CDKL5 gene was inactivated in 90% of blood cells. We also identified a premature stop codon (p.Arg926*) in IQSEC2 in a patient with a Rett-like phenotype. Finally, exome sequencing enabled us to characterize a heterozygous de novo missense (p.Val408Ala) in KCNA2 encoding the potassium channel Kv 1.2 in a girl with infantile-onset seizures variant of RTT. Our study expands the genetic heterogeneity of RTT and RTT-like phenotypes. Moreover, we report the first familial case of CDKL5-related disease.", "author" : [ { "dropping-particle" : "", "family" : "Allou", "given" : "L", "non-dropping-particle" : "", "parse-names" : false, "suffix" : "" }, { "dropping-particle" : "", "family" : "Julia", "given" : "S", "non-dropping-particle" : "", "parse-names" : false, "suffix" : "" }, { "dropping-particle" : "", "family" : "Amsallem", "given" : "D", "non-dropping-particle" : "", "parse-names" : false, "suffix" : "" }, { "dropping-particle" : "", "family" : "Chehadeh", "given" : "S", "non-dropping-particle" : "El", "parse-names" : false, "suffix" : "" }, { "dropping-particle" : "", "family" : "Lambert", "given" : "L", "non-dropping-particle" : "", "parse-names" : false, "suffix" : "" }, { "dropping-particle" : "", "family" : "Thevenon", "given" : "J", "non-dropping-particle" : "", "parse-names" : false, "suffix" : "" }, { "dropping-particle" : "", "family" : "Duffourd", "given" : "Y", "non-dropping-particle" : "", "parse-names" : false, "suffix" : "" }, { "dropping-particle" : "", "family" : "Saunier", "given" : "A", "non-dropping-particle" : "", "parse-names" : false, "suffix" : "" }, { "dropping-particle" : "", "family" : "Bouquet", "given" : "P", "non-dropping-particle" : "", "parse-names" : false, "suffix" : "" }, { "dropping-particle" : "", "family" : "Pere", "given" : "S", "non-dropping-particle" : "", "parse-names" : false, "suffix" : "" }, { "dropping-particle" : "", "family" : "Mousta\u00efne", "given" : "A", "non-dropping-particle" : "", "parse-names" : false, "suffix" : "" }, { "dropping-particle" : "", "family" : "Ruaud", "given" : "L", "non-dropping-particle" : "", "parse-names" : false, "suffix" : "" }, { "dropping-particle" : "", "family" : "Roth", "given" : "V", "non-dropping-particle" : "", "parse-names" : false, "suffix" : "" }, { "dropping-particle" : "", "family" : "Jonveaux", "given" : "P", "non-dropping-particle" : "", "parse-names" : false, "suffix" : "" }, { "dropping-particle" : "", "family" : "Philippe", "given" : "C", "non-dropping-particle" : "", "parse-names" : false, "suffix" : "" } ], "container-title" : "Clinical genetics", "id" : "ITEM-2", "issued" : { "date-parts" : [ [ "2016", "4", "7" ] ] }, "title" : "Rett-like phenotypes: expanding the genetic heterogeneity to the KCNA2 gene and first familial case of CDKL5-related disease.", "type" : "article-journal" }, "uris" : [ "http://www.mendeley.com/documents/?uuid=d1001a5d-e232-496c-977c-a2888bb3cb60" ] } ], "mendeley" : { "formattedCitation" : "[19,20]", "plainTextFormattedCitation" : "[19,20]", "previouslyFormattedCitation" : "[19,20]" }, "properties" : { "noteIndex" : 0 }, "schema" : "https://github.com/citation-style-language/schema/raw/master/csl-citation.json" }</w:instrText>
      </w:r>
      <w:r w:rsidR="00261EF5" w:rsidRPr="00653918">
        <w:rPr>
          <w:rFonts w:ascii="Baskerville" w:hAnsi="Baskerville" w:cs="Baskerville"/>
          <w:sz w:val="22"/>
          <w:szCs w:val="22"/>
        </w:rPr>
        <w:fldChar w:fldCharType="separate"/>
      </w:r>
      <w:r w:rsidR="00261EF5">
        <w:rPr>
          <w:rFonts w:ascii="Baskerville" w:hAnsi="Baskerville" w:cs="Baskerville"/>
          <w:noProof/>
          <w:sz w:val="22"/>
          <w:szCs w:val="22"/>
        </w:rPr>
        <w:t>[</w:t>
      </w:r>
      <w:r w:rsidR="00261EF5" w:rsidRPr="003F76BF">
        <w:rPr>
          <w:rFonts w:ascii="Baskerville" w:hAnsi="Baskerville" w:cs="Baskerville"/>
          <w:noProof/>
          <w:sz w:val="22"/>
          <w:szCs w:val="22"/>
        </w:rPr>
        <w:t>20]</w:t>
      </w:r>
      <w:r w:rsidR="00261EF5" w:rsidRPr="00653918">
        <w:rPr>
          <w:rFonts w:ascii="Baskerville" w:hAnsi="Baskerville" w:cs="Baskerville"/>
          <w:sz w:val="22"/>
          <w:szCs w:val="22"/>
        </w:rPr>
        <w:fldChar w:fldCharType="end"/>
      </w:r>
      <w:r w:rsidR="00261EF5">
        <w:rPr>
          <w:rFonts w:ascii="Baskerville" w:hAnsi="Baskerville" w:cs="Baskerville"/>
          <w:sz w:val="22"/>
          <w:szCs w:val="22"/>
        </w:rPr>
        <w:t>*</w:t>
      </w:r>
      <w:r w:rsidR="00F73FC2">
        <w:rPr>
          <w:rFonts w:ascii="Baskerville" w:hAnsi="Baskerville" w:cs="Baskerville"/>
          <w:sz w:val="22"/>
          <w:szCs w:val="22"/>
        </w:rPr>
        <w:t xml:space="preserve">. </w:t>
      </w:r>
    </w:p>
    <w:p w14:paraId="5A2AEF0C" w14:textId="77777777" w:rsidR="001263E0" w:rsidRDefault="001263E0" w:rsidP="00387C6F">
      <w:pPr>
        <w:spacing w:line="360" w:lineRule="auto"/>
        <w:jc w:val="both"/>
        <w:rPr>
          <w:rFonts w:ascii="Baskerville" w:hAnsi="Baskerville" w:cs="Baskerville"/>
          <w:sz w:val="22"/>
          <w:szCs w:val="22"/>
        </w:rPr>
      </w:pPr>
    </w:p>
    <w:p w14:paraId="7AAD3AEB" w14:textId="72FA9F1B" w:rsidR="00387C6F" w:rsidRPr="00653918" w:rsidRDefault="00387C6F" w:rsidP="00387C6F">
      <w:pPr>
        <w:spacing w:line="360" w:lineRule="auto"/>
        <w:jc w:val="both"/>
        <w:rPr>
          <w:rFonts w:ascii="Baskerville" w:hAnsi="Baskerville" w:cs="Baskerville"/>
          <w:sz w:val="22"/>
          <w:szCs w:val="22"/>
        </w:rPr>
      </w:pPr>
      <w:r w:rsidRPr="00653918">
        <w:rPr>
          <w:rFonts w:ascii="Baskerville" w:hAnsi="Baskerville" w:cs="Baskerville"/>
          <w:sz w:val="22"/>
          <w:szCs w:val="22"/>
        </w:rPr>
        <w:t xml:space="preserve">The phenotypic spectrum of </w:t>
      </w:r>
      <w:r w:rsidR="00891479">
        <w:rPr>
          <w:rFonts w:ascii="Baskerville" w:hAnsi="Baskerville" w:cs="Baskerville"/>
          <w:sz w:val="22"/>
          <w:szCs w:val="22"/>
        </w:rPr>
        <w:t xml:space="preserve">another potassium channel subunit gene </w:t>
      </w:r>
      <w:r w:rsidRPr="00653918">
        <w:rPr>
          <w:rFonts w:ascii="Baskerville" w:hAnsi="Baskerville" w:cs="Baskerville"/>
          <w:i/>
          <w:sz w:val="22"/>
          <w:szCs w:val="22"/>
        </w:rPr>
        <w:t>KCNT1</w:t>
      </w:r>
      <w:r w:rsidR="00891479">
        <w:rPr>
          <w:rFonts w:ascii="Baskerville" w:hAnsi="Baskerville" w:cs="Baskerville"/>
          <w:sz w:val="22"/>
          <w:szCs w:val="22"/>
        </w:rPr>
        <w:t xml:space="preserve">, has also recently expanded, </w:t>
      </w:r>
      <w:r w:rsidR="009864E3" w:rsidRPr="00653918">
        <w:rPr>
          <w:rFonts w:ascii="Baskerville" w:hAnsi="Baskerville" w:cs="Baskerville"/>
          <w:sz w:val="22"/>
          <w:szCs w:val="22"/>
        </w:rPr>
        <w:t>from</w:t>
      </w:r>
      <w:r w:rsidRPr="00653918">
        <w:rPr>
          <w:rFonts w:ascii="Baskerville" w:hAnsi="Baskerville" w:cs="Baskerville"/>
          <w:sz w:val="22"/>
          <w:szCs w:val="22"/>
        </w:rPr>
        <w:t xml:space="preserve"> Epilepsy of Infancy with Migrating Focal Seizures (EIMFS) to include West syndrome and Early Onset Epileptic Encephalopathy (EOEE)</w:t>
      </w:r>
      <w:r w:rsidR="00415EF9">
        <w:rPr>
          <w:rFonts w:ascii="Baskerville" w:hAnsi="Baskerville" w:cs="Baskerville"/>
          <w:sz w:val="22"/>
          <w:szCs w:val="22"/>
        </w:rPr>
        <w:fldChar w:fldCharType="begin" w:fldLock="1"/>
      </w:r>
      <w:r w:rsidR="00880237">
        <w:rPr>
          <w:rFonts w:ascii="Baskerville" w:hAnsi="Baskerville" w:cs="Baskerville"/>
          <w:sz w:val="22"/>
          <w:szCs w:val="22"/>
        </w:rPr>
        <w:instrText>ADDIN CSL_CITATION { "citationItems" : [ { "id" : "ITEM-1", "itemData" : { "DOI" : "10.1111/epi.13072", "ISBN" : "1528-1167 (Electronic)\r0013-9580 (Linking)", "ISSN" : "15281167", "PMID" : "26140313", "abstract" : "KCNT1 mutations have been found in epilepsy of infancy with migrating focal seizures (EIMFS; also known as migrating partial seizures in infancy), autosomal dominant nocturnal frontal lobe epilepsy, and other types of early onset epileptic encephalopathies (EOEEs). We performed KCNT1-targeted next-generation sequencing (207 samples) and/or whole-exome sequencing (229 samples) in a total of 362 patients with Ohtahara syndrome, West syndrome, EIMFS, or unclassified EOEEs. We identified nine heterozygous KCNT1 mutations in 11 patients: nine of 18 EIMFS cases (50%) in whom migrating foci were observed, one of 180 West syndrome cases (0.56%), and one of 66 unclassified EOEE cases (1.52%). KCNT1 mutations occurred de novo in 10 patients, and one was transmitted from the patient's mother who carried a somatic mosaic mutation. The mutations accumulated in transmembrane segment 5 (2/9, 22.2%) and regulators of K(+) conductance domains (7/9, 77.8%). Five of nine mutations were recurrent. Onset ages ranged from the neonatal period (&lt;1 month) in five patients (5/11, 45.5%) to 1-4 months in six patients (6/11, 54.5%). A generalized attenuation of background activity on electroencephalography was seen in six patients (6/11, 54.5%). Our study demonstrates that the phenotypic spectrum of de novo KCNT1 mutations is largely restricted to EIMFS.", "author" : [ { "dropping-particle" : "", "family" : "Ohba", "given" : "Chihiro", "non-dropping-particle" : "", "parse-names" : false, "suffix" : "" }, { "dropping-particle" : "", "family" : "Kato", "given" : "Mitsuhiro", "non-dropping-particle" : "", "parse-names" : false, "suffix" : "" }, { "dropping-particle" : "", "family" : "Takahashi", "given" : "Nobuya", "non-dropping-particle" : "", "parse-names" : false, "suffix" : "" }, { "dropping-particle" : "", "family" : "Osaka", "given" : "Hitoshi", "non-dropping-particle" : "", "parse-names" : false, "suffix" : "" }, { "dropping-particle" : "", "family" : "Shiihara", "given" : "Takashi", "non-dropping-particle" : "", "parse-names" : false, "suffix" : "" }, { "dropping-particle" : "", "family" : "Tohyama", "given" : "Jun", "non-dropping-particle" : "", "parse-names" : false, "suffix" : "" }, { "dropping-particle" : "", "family" : "Nabatame", "given" : "Shin", "non-dropping-particle" : "", "parse-names" : false, "suffix" : "" }, { "dropping-particle" : "", "family" : "Azuma", "given" : "Junji", "non-dropping-particle" : "", "parse-names" : false, "suffix" : "" }, { "dropping-particle" : "", "family" : "Fujii", "given" : "Yuji", "non-dropping-particle" : "", "parse-names" : false, "suffix" : "" }, { "dropping-particle" : "", "family" : "Hara", "given" : "Munetsugu", "non-dropping-particle" : "", "parse-names" : false, "suffix" : "" }, { "dropping-particle" : "", "family" : "Tsurusawa", "given" : "Reimi", "non-dropping-particle" : "", "parse-names" : false, "suffix" : "" }, { "dropping-particle" : "", "family" : "Inoue", "given" : "Takahito", "non-dropping-particle" : "", "parse-names" : false, "suffix" : "" }, { "dropping-particle" : "", "family" : "Ogata", "given" : "Reina", "non-dropping-particle" : "", "parse-names" : false, "suffix" : "" }, { "dropping-particle" : "", "family" : "Watanabe", "given" : "Yoriko", "non-dropping-particle" : "", "parse-names" : false, "suffix" : "" }, { "dropping-particle" : "", "family" : "Togashi", "given" : "Noriko", "non-dropping-particle" : "", "parse-names" : false, "suffix" : "" }, { "dropping-particle" : "", "family" : "Kodera", "given" : "Hirofumi", "non-dropping-particle" : "", "parse-names" : false, "suffix" : "" }, { "dropping-particle" : "", "family" : "Nakashima", "given" : "Mitsuko", "non-dropping-particle" : "", "parse-names" : false, "suffix" : "" }, { "dropping-particle" : "", "family" : "Tsurusaki", "given" : "Yoshinori", "non-dropping-particle" : "", "parse-names" : false, "suffix" : "" }, { "dropping-particle" : "", "family" : "Miyake", "given" : "Noriko", "non-dropping-particle" : "", "parse-names" : false, "suffix" : "" }, { "dropping-particle" : "", "family" : "Tanaka", "given" : "Fumiaki", "non-dropping-particle" : "", "parse-names" : false, "suffix" : "" }, { "dropping-particle" : "", "family" : "Saitsu", "given" : "Hirotomo", "non-dropping-particle" : "", "parse-names" : false, "suffix" : "" }, { "dropping-particle" : "", "family" : "Matsumoto", "given" : "Naomichi", "non-dropping-particle" : "", "parse-names" : false, "suffix" : "" } ], "container-title" : "Epilepsia", "id" : "ITEM-1", "issue" : "9", "issued" : { "date-parts" : [ [ "2015" ] ] }, "page" : "e121-e128", "title" : "De novo KCNT1 mutations in early-onset epileptic encephalopathy", "type" : "article-journal", "volume" : "56" }, "uris" : [ "http://www.mendeley.com/documents/?uuid=e4f7aebb-6953-4002-9ca4-12ee263fcb9f" ] } ], "mendeley" : { "formattedCitation" : "[22]", "plainTextFormattedCitation" : "[22]", "previouslyFormattedCitation" : "[22]" }, "properties" : { "noteIndex" : 0 }, "schema" : "https://github.com/citation-style-language/schema/raw/master/csl-citation.json" }</w:instrText>
      </w:r>
      <w:r w:rsidR="00415EF9">
        <w:rPr>
          <w:rFonts w:ascii="Baskerville" w:hAnsi="Baskerville" w:cs="Baskerville"/>
          <w:sz w:val="22"/>
          <w:szCs w:val="22"/>
        </w:rPr>
        <w:fldChar w:fldCharType="separate"/>
      </w:r>
      <w:r w:rsidR="003F76BF" w:rsidRPr="003F76BF">
        <w:rPr>
          <w:rFonts w:ascii="Baskerville" w:hAnsi="Baskerville" w:cs="Baskerville"/>
          <w:noProof/>
          <w:sz w:val="22"/>
          <w:szCs w:val="22"/>
        </w:rPr>
        <w:t>[22]</w:t>
      </w:r>
      <w:r w:rsidR="00415EF9">
        <w:rPr>
          <w:rFonts w:ascii="Baskerville" w:hAnsi="Baskerville" w:cs="Baskerville"/>
          <w:sz w:val="22"/>
          <w:szCs w:val="22"/>
        </w:rPr>
        <w:fldChar w:fldCharType="end"/>
      </w:r>
      <w:r w:rsidR="00C21AAF">
        <w:rPr>
          <w:rFonts w:ascii="Baskerville" w:hAnsi="Baskerville" w:cs="Baskerville"/>
          <w:sz w:val="22"/>
          <w:szCs w:val="22"/>
        </w:rPr>
        <w:t>*</w:t>
      </w:r>
      <w:r w:rsidR="00415EF9">
        <w:rPr>
          <w:rFonts w:ascii="Baskerville" w:hAnsi="Baskerville" w:cs="Baskerville"/>
          <w:sz w:val="22"/>
          <w:szCs w:val="22"/>
        </w:rPr>
        <w:t>.</w:t>
      </w:r>
      <w:r w:rsidR="00891479">
        <w:rPr>
          <w:rFonts w:ascii="Baskerville" w:hAnsi="Baskerville" w:cs="Baskerville"/>
          <w:sz w:val="22"/>
          <w:szCs w:val="22"/>
        </w:rPr>
        <w:t xml:space="preserve"> </w:t>
      </w:r>
    </w:p>
    <w:p w14:paraId="5C3681AE" w14:textId="77777777" w:rsidR="008407DD" w:rsidRPr="00653918" w:rsidRDefault="008407DD" w:rsidP="000B3D67">
      <w:pPr>
        <w:spacing w:line="360" w:lineRule="auto"/>
        <w:jc w:val="both"/>
        <w:rPr>
          <w:rFonts w:ascii="Baskerville" w:hAnsi="Baskerville" w:cs="Baskerville"/>
          <w:b/>
          <w:sz w:val="22"/>
          <w:szCs w:val="22"/>
        </w:rPr>
      </w:pPr>
    </w:p>
    <w:p w14:paraId="13B57832" w14:textId="4F036BF4" w:rsidR="002E73AF" w:rsidRPr="00653918" w:rsidRDefault="002E73AF" w:rsidP="002E73AF">
      <w:pPr>
        <w:spacing w:line="360" w:lineRule="auto"/>
        <w:jc w:val="both"/>
        <w:rPr>
          <w:rFonts w:ascii="Baskerville" w:hAnsi="Baskerville" w:cs="Baskerville"/>
          <w:sz w:val="22"/>
          <w:szCs w:val="22"/>
        </w:rPr>
      </w:pPr>
      <w:r w:rsidRPr="00653918">
        <w:rPr>
          <w:rFonts w:ascii="Baskerville" w:hAnsi="Baskerville" w:cs="Baskerville"/>
          <w:sz w:val="22"/>
          <w:szCs w:val="22"/>
        </w:rPr>
        <w:t xml:space="preserve">Mutations </w:t>
      </w:r>
      <w:r w:rsidR="005E4C0B" w:rsidRPr="00653918">
        <w:rPr>
          <w:rFonts w:ascii="Baskerville" w:hAnsi="Baskerville" w:cs="Baskerville"/>
          <w:sz w:val="22"/>
          <w:szCs w:val="22"/>
        </w:rPr>
        <w:t xml:space="preserve">in </w:t>
      </w:r>
      <w:r w:rsidRPr="00653918">
        <w:rPr>
          <w:rFonts w:ascii="Baskerville" w:hAnsi="Baskerville" w:cs="Baskerville"/>
          <w:i/>
          <w:sz w:val="22"/>
          <w:szCs w:val="22"/>
        </w:rPr>
        <w:t>GNAO1</w:t>
      </w:r>
      <w:r w:rsidRPr="00653918">
        <w:rPr>
          <w:rFonts w:ascii="Baskerville" w:hAnsi="Baskerville" w:cs="Baskerville"/>
          <w:sz w:val="22"/>
          <w:szCs w:val="22"/>
        </w:rPr>
        <w:t>, encoding the Gαo G-protein subunit were first described in 4 patients with early onset epileptic encephalopathy</w:t>
      </w:r>
      <w:r w:rsidRPr="00653918">
        <w:rPr>
          <w:rFonts w:ascii="Baskerville" w:hAnsi="Baskerville" w:cs="Baskerville"/>
          <w:sz w:val="22"/>
          <w:szCs w:val="22"/>
        </w:rPr>
        <w:fldChar w:fldCharType="begin" w:fldLock="1"/>
      </w:r>
      <w:r w:rsidR="00880237">
        <w:rPr>
          <w:rFonts w:ascii="Baskerville" w:hAnsi="Baskerville" w:cs="Baskerville"/>
          <w:sz w:val="22"/>
          <w:szCs w:val="22"/>
        </w:rPr>
        <w:instrText>ADDIN CSL_CITATION { "citationItems" : [ { "id" : "ITEM-1", "itemData" : { "DOI" : "10.1016/j.ajhg.2013.07.014", "ISBN" : "0002-9297", "ISSN" : "00029297", "PMID" : "23993195", "abstract" : "Heterotrimeric G proteins, composed of ??, ??, and ?? subunits, can transduce a variety of signals from seven-transmembrane-type receptors to intracellular effectors. By whole-exome sequencing and subsequent mutation screening, we identified de novo heterozygous mutations in GNAO1, which encodes a G??o subunit of heterotrimeric G proteins, in four individuals with epileptic encephalopathy. Two of the affected individuals also showed involuntary movements. Somatic mosaicism (approximately 35% to 50% of cells, distributed across multiple cell types, harbored the mutation) was shown in one individual. By mapping the mutation onto three-dimensional models of the G?? subunit in three different complexed states, we found that the three mutants (c.521A&gt;G [p.Asp174Gly], c.836T&gt;A [p.Ile279Asn], and c.572-592del [p.Thr191-Phe197del]) are predicted to destabilize the G?? subunit fold. A fourth mutant (c.607G&gt;A), in which the Gly203 residue located within the highly conserved switch II region is substituted to Arg, is predicted to impair GTP binding and/or activation of downstream effectors, although the p.Gly203Arg substitution might not interfere with G?? binding to G-protein-coupled receptors. Transient-expression experiments suggested that localization to the plasma membrane was variably impaired in the three putatively destabilized mutants. Electrophysiological analysis showed that G??o-mediated inhibition of calcium currents by norepinephrine tended to be lower in three of the four G??o mutants. These data suggest that aberrant G??o signaling can cause multiple neurodevelopmental phenotypes, including epileptic encephalopathy and involuntary movements. ?? 2013 The American Society of Human Genetics.", "author" : [ { "dropping-particle" : "", "family" : "Nakamura", "given" : "Kazuyuki", "non-dropping-particle" : "", "parse-names" : false, "suffix" : "" }, { "dropping-particle" : "", "family" : "Kodera", "given" : "Hirofumi", "non-dropping-particle" : "", "parse-names" : false, "suffix" : "" }, { "dropping-particle" : "", "family" : "Akita", "given" : "Tenpei", "non-dropping-particle" : "", "parse-names" : false, "suffix" : "" }, { "dropping-particle" : "", "family" : "Shiina", "given" : "Masaaki", "non-dropping-particle" : "", "parse-names" : false, "suffix" : "" }, { "dropping-particle" : "", "family" : "Kato", "given" : "Mitsuhiro", "non-dropping-particle" : "", "parse-names" : false, "suffix" : "" }, { "dropping-particle" : "", "family" : "Hoshino", "given" : "Hideki", "non-dropping-particle" : "", "parse-names" : false, "suffix" : "" }, { "dropping-particle" : "", "family" : "Terashima", "given" : "Hiroshi", "non-dropping-particle" : "", "parse-names" : false, "suffix" : "" }, { "dropping-particle" : "", "family" : "Osaka", "given" : "Hitoshi", "non-dropping-particle" : "", "parse-names" : false, "suffix" : "" }, { "dropping-particle" : "", "family" : "Nakamura", "given" : "Shinichi", "non-dropping-particle" : "", "parse-names" : false, "suffix" : "" }, { "dropping-particle" : "", "family" : "Tohyama", "given" : "Jun", "non-dropping-particle" : "", "parse-names" : false, "suffix" : "" }, { "dropping-particle" : "", "family" : "Kumada", "given" : "Tatsuro", "non-dropping-particle" : "", "parse-names" : false, "suffix" : "" }, { "dropping-particle" : "", "family" : "Furukawa", "given" : "Tomonori", "non-dropping-particle" : "", "parse-names" : false, "suffix" : "" }, { "dropping-particle" : "", "family" : "Iwata", "given" : "Satomi", "non-dropping-particle" : "", "parse-names" : false, "suffix" : "" }, { "dropping-particle" : "", "family" : "Shiihara", "given" : "Takashi", "non-dropping-particle" : "", "parse-names" : false, "suffix" : "" }, { "dropping-particle" : "", "family" : "Kubota", "given" : "Masaya", "non-dropping-particle" : "", "parse-names" : false, "suffix" : "" }, { "dropping-particle" : "", "family" : "Miyatake", "given" : "Satoko", "non-dropping-particle" : "", "parse-names" : false, "suffix" : "" }, { "dropping-particle" : "", "family" : "Koshimizu", "given" : "Eriko", "non-dropping-particle" : "", "parse-names" : false, "suffix" : "" }, { "dropping-particle" : "", "family" : "Nishiyama", "given" : "Kiyomi", "non-dropping-particle" : "", "parse-names" : false, "suffix" : "" }, { "dropping-particle" : "", "family" : "Nakashima", "given" : "Mitsuko", "non-dropping-particle" : "", "parse-names" : false, "suffix" : "" }, { "dropping-particle" : "", "family" : "Tsurusaki", "given" : "Yoshinori", "non-dropping-particle" : "", "parse-names" : false, "suffix" : "" }, { "dropping-particle" : "", "family" : "Miyake", "given" : "Noriko", "non-dropping-particle" : "", "parse-names" : false, "suffix" : "" }, { "dropping-particle" : "", "family" : "Hayasaka", "given" : "Kiyoshi", "non-dropping-particle" : "", "parse-names" : false, "suffix" : "" }, { "dropping-particle" : "", "family" : "Ogata", "given" : "Kazuhiro", "non-dropping-particle" : "", "parse-names" : false, "suffix" : "" }, { "dropping-particle" : "", "family" : "Fukuda", "given" : "Atsuo", "non-dropping-particle" : "", "parse-names" : false, "suffix" : "" }, { "dropping-particle" : "", "family" : "Matsumoto", "given" : "Naomichi", "non-dropping-particle" : "", "parse-names" : false, "suffix" : "" }, { "dropping-particle" : "", "family" : "Saitsu", "given" : "Hirotomo", "non-dropping-particle" : "", "parse-names" : false, "suffix" : "" } ], "container-title" : "American Journal of Human Genetics", "id" : "ITEM-1", "issue" : "3", "issued" : { "date-parts" : [ [ "2013" ] ] }, "page" : "496-505", "title" : "De novo mutations in GNAO1, encoding a g??o subunit of heterotrimeric g proteins, cause epileptic encephalopathy", "type" : "article-journal", "volume" : "93" }, "uris" : [ "http://www.mendeley.com/documents/?uuid=34541ac2-889a-4661-946c-7fdf8316eebd" ] } ], "mendeley" : { "formattedCitation" : "[23]", "plainTextFormattedCitation" : "[23]", "previouslyFormattedCitation" : "[23]" }, "properties" : { "noteIndex" : 0 }, "schema" : "https://github.com/citation-style-language/schema/raw/master/csl-citation.json" }</w:instrText>
      </w:r>
      <w:r w:rsidRPr="00653918">
        <w:rPr>
          <w:rFonts w:ascii="Baskerville" w:hAnsi="Baskerville" w:cs="Baskerville"/>
          <w:sz w:val="22"/>
          <w:szCs w:val="22"/>
        </w:rPr>
        <w:fldChar w:fldCharType="separate"/>
      </w:r>
      <w:r w:rsidR="003F76BF" w:rsidRPr="003F76BF">
        <w:rPr>
          <w:rFonts w:ascii="Baskerville" w:hAnsi="Baskerville" w:cs="Baskerville"/>
          <w:noProof/>
          <w:sz w:val="22"/>
          <w:szCs w:val="22"/>
        </w:rPr>
        <w:t>[23]</w:t>
      </w:r>
      <w:r w:rsidRPr="00653918">
        <w:rPr>
          <w:rFonts w:ascii="Baskerville" w:hAnsi="Baskerville" w:cs="Baskerville"/>
          <w:sz w:val="22"/>
          <w:szCs w:val="22"/>
        </w:rPr>
        <w:fldChar w:fldCharType="end"/>
      </w:r>
      <w:r w:rsidRPr="00653918">
        <w:rPr>
          <w:rFonts w:ascii="Baskerville" w:hAnsi="Baskerville" w:cs="Baskerville"/>
          <w:sz w:val="22"/>
          <w:szCs w:val="22"/>
        </w:rPr>
        <w:t xml:space="preserve">. </w:t>
      </w:r>
      <w:r w:rsidR="00AE4EE4">
        <w:rPr>
          <w:rFonts w:ascii="Baskerville" w:hAnsi="Baskerville" w:cs="Baskerville"/>
          <w:sz w:val="22"/>
          <w:szCs w:val="22"/>
        </w:rPr>
        <w:t>The phenotypic</w:t>
      </w:r>
      <w:r w:rsidRPr="00653918">
        <w:rPr>
          <w:rFonts w:ascii="Baskerville" w:hAnsi="Baskerville" w:cs="Baskerville"/>
          <w:sz w:val="22"/>
          <w:szCs w:val="22"/>
        </w:rPr>
        <w:t xml:space="preserve"> spectrum of this disorder has </w:t>
      </w:r>
      <w:r w:rsidR="00AE4EE4">
        <w:rPr>
          <w:rFonts w:ascii="Baskerville" w:hAnsi="Baskerville" w:cs="Baskerville"/>
          <w:sz w:val="22"/>
          <w:szCs w:val="22"/>
        </w:rPr>
        <w:t xml:space="preserve">also </w:t>
      </w:r>
      <w:r w:rsidRPr="00653918">
        <w:rPr>
          <w:rFonts w:ascii="Baskerville" w:hAnsi="Baskerville" w:cs="Baskerville"/>
          <w:sz w:val="22"/>
          <w:szCs w:val="22"/>
        </w:rPr>
        <w:t xml:space="preserve">broadened to </w:t>
      </w:r>
      <w:r w:rsidR="00AE4EE4">
        <w:rPr>
          <w:rFonts w:ascii="Baskerville" w:hAnsi="Baskerville" w:cs="Baskerville"/>
          <w:sz w:val="22"/>
          <w:szCs w:val="22"/>
        </w:rPr>
        <w:t xml:space="preserve">now </w:t>
      </w:r>
      <w:r w:rsidRPr="00653918">
        <w:rPr>
          <w:rFonts w:ascii="Baskerville" w:hAnsi="Baskerville" w:cs="Baskerville"/>
          <w:sz w:val="22"/>
          <w:szCs w:val="22"/>
        </w:rPr>
        <w:t>include cases with clear developmental delay prior to childhood onset of epilepsy</w:t>
      </w:r>
      <w:r w:rsidR="005E4C0B" w:rsidRPr="00653918">
        <w:rPr>
          <w:rFonts w:ascii="Baskerville" w:hAnsi="Baskerville" w:cs="Baskerville"/>
          <w:sz w:val="22"/>
          <w:szCs w:val="22"/>
        </w:rPr>
        <w:fldChar w:fldCharType="begin" w:fldLock="1"/>
      </w:r>
      <w:r w:rsidR="00880237">
        <w:rPr>
          <w:rFonts w:ascii="Baskerville" w:hAnsi="Baskerville" w:cs="Baskerville"/>
          <w:sz w:val="22"/>
          <w:szCs w:val="22"/>
        </w:rPr>
        <w:instrText>ADDIN CSL_CITATION { "citationItems" : [ { "id" : "ITEM-1", "itemData" : { "DOI" : "10.1038/ejhg.2015.92", "ISSN" : "1476-5438", "PMID" : "25966631", "abstract" : "De novo GNAO1 variants have been found in four patients including three patients with Ohtahara syndrome and one patient with childhood epilepsy. In addition, two patients showed involuntary movements, suggesting that GNAO1 variants can cause various neurological phenotypes. Here we report an additional four patients with de novo missense GNAO1 variants, one of which was identical to that of the previously reported. All the three novel variants were predicted to impair G\u03b1o function by structural evaluation. Two patients showed early-onset epileptic encephalopathy, presenting with migrating or multifocal partial seizures in their clinical course, but the remaining two patients showed no or a few seizures. All the four patients showed severe intellectual disability, motor developmental delay, and involuntary movements. Progressive cerebral atrophy and thin corpus callosum were common features in brain images. Our study demonstrated that GNAO1 variants can cause involuntary movements and severe developmental delay with/without seizures, including various types of early-onset epileptic encephalopathy.", "author" : [ { "dropping-particle" : "", "family" : "Saitsu", "given" : "Hirotomo", "non-dropping-particle" : "", "parse-names" : false, "suffix" : "" }, { "dropping-particle" : "", "family" : "Fukai", "given" : "Ryoko", "non-dropping-particle" : "", "parse-names" : false, "suffix" : "" }, { "dropping-particle" : "", "family" : "Ben-Zeev", "given" : "Bruria", "non-dropping-particle" : "", "parse-names" : false, "suffix" : "" }, { "dropping-particle" : "", "family" : "Sakai", "given" : "Yasunari", "non-dropping-particle" : "", "parse-names" : false, "suffix" : "" }, { "dropping-particle" : "", "family" : "Mimaki", "given" : "Masakazu", "non-dropping-particle" : "", "parse-names" : false, "suffix" : "" }, { "dropping-particle" : "", "family" : "Okamoto", "given" : "Nobuhiko", "non-dropping-particle" : "", "parse-names" : false, "suffix" : "" }, { "dropping-particle" : "", "family" : "Suzuki", "given" : "Yasuhiro", "non-dropping-particle" : "", "parse-names" : false, "suffix" : "" }, { "dropping-particle" : "", "family" : "Monden", "given" : "Yukifumi", "non-dropping-particle" : "", "parse-names" : false, "suffix" : "" }, { "dropping-particle" : "", "family" : "Saito", "given" : "Hiroshi", "non-dropping-particle" : "", "parse-names" : false, "suffix" : "" }, { "dropping-particle" : "", "family" : "Tziperman", "given" : "Barak", "non-dropping-particle" : "", "parse-names" : false, "suffix" : "" }, { "dropping-particle" : "", "family" : "Torio", "given" : "Michiko", "non-dropping-particle" : "", "parse-names" : false, "suffix" : "" }, { "dropping-particle" : "", "family" : "Akamine", "given" : "Satoshi", "non-dropping-particle" : "", "parse-names" : false, "suffix" : "" }, { "dropping-particle" : "", "family" : "Takahashi", "given" : "Nagahisa", "non-dropping-particle" : "", "parse-names" : false, "suffix" : "" }, { "dropping-particle" : "", "family" : "Osaka", "given" : "Hitoshi", "non-dropping-particle" : "", "parse-names" : false, "suffix" : "" }, { "dropping-particle" : "", "family" : "Yamagata", "given" : "Takanori", "non-dropping-particle" : "", "parse-names" : false, "suffix" : "" }, { "dropping-particle" : "", "family" : "Nakamura", "given" : "Kazuyuki", "non-dropping-particle" : "", "parse-names" : false, "suffix" : "" }, { "dropping-particle" : "", "family" : "Tsurusaki", "given" : "Yoshinori", "non-dropping-particle" : "", "parse-names" : false, "suffix" : "" }, { "dropping-particle" : "", "family" : "Nakashima", "given" : "Mitsuko", "non-dropping-particle" : "", "parse-names" : false, "suffix" : "" }, { "dropping-particle" : "", "family" : "Miyake", "given" : "Noriko", "non-dropping-particle" : "", "parse-names" : false, "suffix" : "" }, { "dropping-particle" : "", "family" : "Shiina", "given" : "Masaaki", "non-dropping-particle" : "", "parse-names" : false, "suffix" : "" }, { "dropping-particle" : "", "family" : "Ogata", "given" : "Kazuhiro", "non-dropping-particle" : "", "parse-names" : false, "suffix" : "" }, { "dropping-particle" : "", "family" : "Matsumoto", "given" : "Naomichi", "non-dropping-particle" : "", "parse-names" : false, "suffix" : "" } ], "container-title" : "European journal of human genetics : EJHG", "id" : "ITEM-1", "issue" : "1", "issued" : { "date-parts" : [ [ "2016" ] ] }, "page" : "129-34", "title" : "Phenotypic spectrum of GNAO1 variants: epileptic encephalopathy to involuntary movements with severe developmental delay.", "type" : "article-journal", "volume" : "24" }, "uris" : [ "http://www.mendeley.com/documents/?uuid=abafc8e6-e304-4b4c-81a6-68c942696852" ] } ], "mendeley" : { "formattedCitation" : "[24]", "plainTextFormattedCitation" : "[24]", "previouslyFormattedCitation" : "[24]" }, "properties" : { "noteIndex" : 0 }, "schema" : "https://github.com/citation-style-language/schema/raw/master/csl-citation.json" }</w:instrText>
      </w:r>
      <w:r w:rsidR="005E4C0B" w:rsidRPr="00653918">
        <w:rPr>
          <w:rFonts w:ascii="Baskerville" w:hAnsi="Baskerville" w:cs="Baskerville"/>
          <w:sz w:val="22"/>
          <w:szCs w:val="22"/>
        </w:rPr>
        <w:fldChar w:fldCharType="separate"/>
      </w:r>
      <w:r w:rsidR="003F76BF" w:rsidRPr="003F76BF">
        <w:rPr>
          <w:rFonts w:ascii="Baskerville" w:hAnsi="Baskerville" w:cs="Baskerville"/>
          <w:noProof/>
          <w:sz w:val="22"/>
          <w:szCs w:val="22"/>
        </w:rPr>
        <w:t>[24]</w:t>
      </w:r>
      <w:r w:rsidR="005E4C0B" w:rsidRPr="00653918">
        <w:rPr>
          <w:rFonts w:ascii="Baskerville" w:hAnsi="Baskerville" w:cs="Baskerville"/>
          <w:sz w:val="22"/>
          <w:szCs w:val="22"/>
        </w:rPr>
        <w:fldChar w:fldCharType="end"/>
      </w:r>
      <w:r w:rsidR="0065123A">
        <w:rPr>
          <w:rFonts w:ascii="Baskerville" w:hAnsi="Baskerville" w:cs="Baskerville"/>
          <w:sz w:val="22"/>
          <w:szCs w:val="22"/>
        </w:rPr>
        <w:t>*</w:t>
      </w:r>
      <w:r w:rsidRPr="00653918">
        <w:rPr>
          <w:rFonts w:ascii="Baskerville" w:hAnsi="Baskerville" w:cs="Baskerville"/>
          <w:sz w:val="22"/>
          <w:szCs w:val="22"/>
        </w:rPr>
        <w:t xml:space="preserve">. The majority of these cases demonstrate a dyskinetic movement disorder which may </w:t>
      </w:r>
      <w:r w:rsidR="005E4C0B" w:rsidRPr="00653918">
        <w:rPr>
          <w:rFonts w:ascii="Baskerville" w:hAnsi="Baskerville" w:cs="Baskerville"/>
          <w:sz w:val="22"/>
          <w:szCs w:val="22"/>
        </w:rPr>
        <w:t xml:space="preserve">have </w:t>
      </w:r>
      <w:r w:rsidRPr="00653918">
        <w:rPr>
          <w:rFonts w:ascii="Baskerville" w:hAnsi="Baskerville" w:cs="Baskerville"/>
          <w:sz w:val="22"/>
          <w:szCs w:val="22"/>
        </w:rPr>
        <w:t>onset at any age between infancy and late childhood</w:t>
      </w:r>
      <w:r w:rsidR="005E4C0B" w:rsidRPr="00653918">
        <w:rPr>
          <w:rFonts w:ascii="Baskerville" w:hAnsi="Baskerville" w:cs="Baskerville"/>
          <w:sz w:val="22"/>
          <w:szCs w:val="22"/>
        </w:rPr>
        <w:fldChar w:fldCharType="begin" w:fldLock="1"/>
      </w:r>
      <w:r w:rsidR="00880237">
        <w:rPr>
          <w:rFonts w:ascii="Baskerville" w:hAnsi="Baskerville" w:cs="Baskerville"/>
          <w:sz w:val="22"/>
          <w:szCs w:val="22"/>
        </w:rPr>
        <w:instrText>ADDIN CSL_CITATION { "citationItems" : [ { "id" : "ITEM-1", "itemData" : { "DOI" : "10.1016/j.pediatrneurol.2016.02.018", "ISSN" : "18735150", "PMID" : "27068059", "abstract" : "Objectives Mutations in GNAO1 have been described in 11 patients to date. Although most of these individuals had epileptic encephalopathy, four patients had a severe movement disorder as the prominent feature. We describe the largest series of patients with de novo GNAO1 mutations who have severe chorea, developmental delay, and hypotonia in the absence of epilepsy. Methods Six patients with recurrent missense mutations in GNAO1 as detected by whole exome sequencing were identified at three institutions. We describe the presentation, clinical course, and response to treatment of these patients. Results All six patients exhibited global developmental delay and hypotonia from infancy. Chorea developed by age four years in all but one patient, who developed chorea at 14 years. Treatments with neuroleptics and tetrabenazine were most effective in the baseline management of chorea. The chorea became gradually progressive and marked by episodes of severe, refractory ballismus requiring intensive care unit admissions in four of six patients. Exacerbations indirectly led to the death of two patients. Conclusions Patients with GNAO1 mutations can present with a severe, progressive movement disorder in the absence of epilepsy. Exacerbations may be refractory to treatment and can result in life-threatening secondary complications. Early and aggressive treatment of these exacerbations with direct admission to intensive care units for treatment with anesthetic drips may prevent some secondary complications. However the chorea and ballismus can be refractory to maximum medical therapy.", "author" : [ { "dropping-particle" : "", "family" : "Ananth", "given" : "Amitha L.", "non-dropping-particle" : "", "parse-names" : false, "suffix" : "" }, { "dropping-particle" : "", "family" : "Robichaux-Viehoever", "given" : "Amy", "non-dropping-particle" : "", "parse-names" : false, "suffix" : "" }, { "dropping-particle" : "", "family" : "Kim", "given" : "Young Min", "non-dropping-particle" : "", "parse-names" : false, "suffix" : "" }, { "dropping-particle" : "", "family" : "Hanson-Kahn", "given" : "Andrea", "non-dropping-particle" : "", "parse-names" : false, "suffix" : "" }, { "dropping-particle" : "", "family" : "Cox", "given" : "Rachel", "non-dropping-particle" : "", "parse-names" : false, "suffix" : "" }, { "dropping-particle" : "", "family" : "Enns", "given" : "Gregory M.", "non-dropping-particle" : "", "parse-names" : false, "suffix" : "" }, { "dropping-particle" : "", "family" : "Strober", "given" : "Jonathan", "non-dropping-particle" : "", "parse-names" : false, "suffix" : "" }, { "dropping-particle" : "", "family" : "Willing", "given" : "Marcia", "non-dropping-particle" : "", "parse-names" : false, "suffix" : "" }, { "dropping-particle" : "", "family" : "Schlaggar", "given" : "Bradley L.", "non-dropping-particle" : "", "parse-names" : false, "suffix" : "" }, { "dropping-particle" : "", "family" : "Wu", "given" : "Yvonne W.", "non-dropping-particle" : "", "parse-names" : false, "suffix" : "" }, { "dropping-particle" : "", "family" : "Bernstein", "given" : "Jonathan A.", "non-dropping-particle" : "", "parse-names" : false, "suffix" : "" } ], "container-title" : "Pediatric Neurology", "id" : "ITEM-1", "issued" : { "date-parts" : [ [ "2016" ] ] }, "page" : "81-84", "title" : "Clinical Course of Six Children with GNAO1 Mutations Causing a Severe and Distinctive Movement Disorder", "type" : "article-journal", "volume" : "59" }, "uris" : [ "http://www.mendeley.com/documents/?uuid=1d51f7cd-9087-458e-8b22-f4441f4c32a4" ] } ], "mendeley" : { "formattedCitation" : "[25]", "plainTextFormattedCitation" : "[25]", "previouslyFormattedCitation" : "[25]" }, "properties" : { "noteIndex" : 0 }, "schema" : "https://github.com/citation-style-language/schema/raw/master/csl-citation.json" }</w:instrText>
      </w:r>
      <w:r w:rsidR="005E4C0B" w:rsidRPr="00653918">
        <w:rPr>
          <w:rFonts w:ascii="Baskerville" w:hAnsi="Baskerville" w:cs="Baskerville"/>
          <w:sz w:val="22"/>
          <w:szCs w:val="22"/>
        </w:rPr>
        <w:fldChar w:fldCharType="separate"/>
      </w:r>
      <w:r w:rsidR="003F76BF" w:rsidRPr="003F76BF">
        <w:rPr>
          <w:rFonts w:ascii="Baskerville" w:hAnsi="Baskerville" w:cs="Baskerville"/>
          <w:noProof/>
          <w:sz w:val="22"/>
          <w:szCs w:val="22"/>
        </w:rPr>
        <w:t>[25]</w:t>
      </w:r>
      <w:r w:rsidR="005E4C0B" w:rsidRPr="00653918">
        <w:rPr>
          <w:rFonts w:ascii="Baskerville" w:hAnsi="Baskerville" w:cs="Baskerville"/>
          <w:sz w:val="22"/>
          <w:szCs w:val="22"/>
        </w:rPr>
        <w:fldChar w:fldCharType="end"/>
      </w:r>
      <w:r w:rsidR="0065123A">
        <w:rPr>
          <w:rFonts w:ascii="Baskerville" w:hAnsi="Baskerville" w:cs="Baskerville"/>
          <w:sz w:val="22"/>
          <w:szCs w:val="22"/>
        </w:rPr>
        <w:t>*</w:t>
      </w:r>
      <w:r w:rsidRPr="00653918">
        <w:rPr>
          <w:rFonts w:ascii="Baskerville" w:hAnsi="Baskerville" w:cs="Baskerville"/>
          <w:sz w:val="22"/>
          <w:szCs w:val="22"/>
        </w:rPr>
        <w:t xml:space="preserve">. A second G-protein receptor subunit </w:t>
      </w:r>
      <w:r w:rsidR="007A4979" w:rsidRPr="00653918">
        <w:rPr>
          <w:rFonts w:ascii="Baskerville" w:hAnsi="Baskerville" w:cs="Baskerville"/>
          <w:sz w:val="22"/>
          <w:szCs w:val="22"/>
        </w:rPr>
        <w:t xml:space="preserve">gene </w:t>
      </w:r>
      <w:r w:rsidR="007A4979" w:rsidRPr="00653918">
        <w:rPr>
          <w:rFonts w:ascii="Baskerville" w:hAnsi="Baskerville" w:cs="Baskerville"/>
          <w:i/>
          <w:sz w:val="22"/>
          <w:szCs w:val="22"/>
        </w:rPr>
        <w:t>GNB1</w:t>
      </w:r>
      <w:r w:rsidR="007A4979" w:rsidRPr="00653918">
        <w:rPr>
          <w:rFonts w:ascii="Baskerville" w:hAnsi="Baskerville" w:cs="Baskerville"/>
          <w:sz w:val="22"/>
          <w:szCs w:val="22"/>
        </w:rPr>
        <w:t xml:space="preserve"> </w:t>
      </w:r>
      <w:r w:rsidRPr="00653918">
        <w:rPr>
          <w:rFonts w:ascii="Baskerville" w:hAnsi="Baskerville" w:cs="Baskerville"/>
          <w:sz w:val="22"/>
          <w:szCs w:val="22"/>
        </w:rPr>
        <w:t xml:space="preserve">has also been implicated in epilepsy, </w:t>
      </w:r>
      <w:r w:rsidR="007A4979" w:rsidRPr="00653918">
        <w:rPr>
          <w:rFonts w:ascii="Baskerville" w:hAnsi="Baskerville" w:cs="Baskerville"/>
          <w:sz w:val="22"/>
          <w:szCs w:val="22"/>
        </w:rPr>
        <w:t xml:space="preserve">with patients manifesting </w:t>
      </w:r>
      <w:r w:rsidR="00C06BAE" w:rsidRPr="00653918">
        <w:rPr>
          <w:rFonts w:ascii="Baskerville" w:hAnsi="Baskerville" w:cs="Baskerville"/>
          <w:sz w:val="22"/>
          <w:szCs w:val="22"/>
        </w:rPr>
        <w:t>a</w:t>
      </w:r>
      <w:r w:rsidRPr="00653918">
        <w:rPr>
          <w:rFonts w:ascii="Baskerville" w:hAnsi="Baskerville" w:cs="Baskerville"/>
          <w:sz w:val="22"/>
          <w:szCs w:val="22"/>
        </w:rPr>
        <w:t xml:space="preserve"> wide varie</w:t>
      </w:r>
      <w:r w:rsidR="00B90C50" w:rsidRPr="00653918">
        <w:rPr>
          <w:rFonts w:ascii="Baskerville" w:hAnsi="Baskerville" w:cs="Baskerville"/>
          <w:sz w:val="22"/>
          <w:szCs w:val="22"/>
        </w:rPr>
        <w:t xml:space="preserve">ty of seizure </w:t>
      </w:r>
      <w:r w:rsidR="007A4979" w:rsidRPr="00653918">
        <w:rPr>
          <w:rFonts w:ascii="Baskerville" w:hAnsi="Baskerville" w:cs="Baskerville"/>
          <w:sz w:val="22"/>
          <w:szCs w:val="22"/>
        </w:rPr>
        <w:t>types</w:t>
      </w:r>
      <w:r w:rsidR="007A4979" w:rsidRPr="00653918">
        <w:rPr>
          <w:rFonts w:ascii="Baskerville" w:hAnsi="Baskerville" w:cs="Baskerville"/>
          <w:sz w:val="22"/>
          <w:szCs w:val="22"/>
        </w:rPr>
        <w:fldChar w:fldCharType="begin" w:fldLock="1"/>
      </w:r>
      <w:r w:rsidR="00880237">
        <w:rPr>
          <w:rFonts w:ascii="Baskerville" w:hAnsi="Baskerville" w:cs="Baskerville"/>
          <w:sz w:val="22"/>
          <w:szCs w:val="22"/>
        </w:rPr>
        <w:instrText>ADDIN CSL_CITATION { "citationItems" : [ { "id" : "ITEM-1", "itemData" : { "DOI" : "10.1016/j.ajhg.2016.03.011", "ISBN" : "00029297", "ISSN" : "15376605", "PMID" : "27108799", "abstract" : "Whole-exome sequencing of 13 individuals with developmental delay commonly accompanied by abnormal muscle tone and seizures identified de novo missense mutations enriched within a sub-region of GNB1, a gene encoding the guanine nucleotide-binding protein subunit beta-1, G\u03b2. These 13 individuals were identified among a base of 5,855 individuals recruited for various undiagnosed genetic disorders. The probability of observing 13 or more de novo mutations by chance among 5,855 individuals is very low (p = 7.1 \u00d7 10-21), implicating GNB1 as a genome-wide-significant disease-associated gene. The majority of these 13 mutations affect known G\u03b2 binding sites, which suggests that a likely disease mechanism is through the disruption of the protein interface required for G\u03b1-G\u03b2\u03b3 interaction (resulting in a constitutively active G\u03b2\u03b3) or through the disruption of residues relevant for interaction between G\u03b2\u03b3 and certain downstream effectors (resulting in reduced interaction with the effectors). Strikingly, 8 of the 13 individuals recruited here for a neurodevelopmental disorder have a germline de novo GNB1 mutation that overlaps a set of five recurrent somatic tumor mutations for which recent functional studies demonstrated a gain-of-function effect due to constitutive activation of G protein downstream signaling cascades for some of the affected residues.", "author" : [ { "dropping-particle" : "", "family" : "Petrovski", "given" : "Slav\u00e9", "non-dropping-particle" : "", "parse-names" : false, "suffix" : "" }, { "dropping-particle" : "", "family" : "K\u00fcry", "given" : "S\u00e9bastien", "non-dropping-particle" : "", "parse-names" : false, "suffix" : "" }, { "dropping-particle" : "", "family" : "Myers", "given" : "Candace T.", "non-dropping-particle" : "", "parse-names" : false, "suffix" : "" }, { "dropping-particle" : "", "family" : "Anyane-Yeboa", "given" : "Kwame", "non-dropping-particle" : "", "parse-names" : false, "suffix" : "" }, { "dropping-particle" : "", "family" : "Cogn\u00e9", "given" : "Benjamin", "non-dropping-particle" : "", "parse-names" : false, "suffix" : "" }, { "dropping-particle" : "", "family" : "Bialer", "given" : "Martin", "non-dropping-particle" : "", "parse-names" : false, "suffix" : "" }, { "dropping-particle" : "", "family" : "Xia", "given" : "Fan", "non-dropping-particle" : "", "parse-names" : false, "suffix" : "" }, { "dropping-particle" : "", "family" : "Hemati", "given" : "Parisa", "non-dropping-particle" : "", "parse-names" : false, "suffix" : "" }, { "dropping-particle" : "", "family" : "Riviello", "given" : "James", "non-dropping-particle" : "", "parse-names" : false, "suffix" : "" }, { "dropping-particle" : "", "family" : "Mehaffey", "given" : "Michele", "non-dropping-particle" : "", "parse-names" : false, "suffix" : "" }, { "dropping-particle" : "", "family" : "Besnard", "given" : "Thomas", "non-dropping-particle" : "", "parse-names" : false, "suffix" : "" }, { "dropping-particle" : "", "family" : "Becraft", "given" : "Emily", "non-dropping-particle" : "", "parse-names" : false, "suffix" : "" }, { "dropping-particle" : "", "family" : "Wadley", "given" : "Alexandrea", "non-dropping-particle" : "", "parse-names" : false, "suffix" : "" }, { "dropping-particle" : "", "family" : "Politi", "given" : "Anya Revah", "non-dropping-particle" : "", "parse-names" : false, "suffix" : "" }, { "dropping-particle" : "", "family" : "Colombo", "given" : "Sophie", "non-dropping-particle" : "", "parse-names" : false, "suffix" : "" }, { "dropping-particle" : "", "family" : "Zhu", "given" : "Xiaolin", "non-dropping-particle" : "", "parse-names" : false, "suffix" : "" }, { "dropping-particle" : "", "family" : "Ren", "given" : "Zhong", "non-dropping-particle" : "", "parse-names" : false, "suffix" : "" }, { "dropping-particle" : "", "family" : "Andrews", "given" : "Ian", "non-dropping-particle" : "", "parse-names" : false, "suffix" : "" }, { "dropping-particle" : "", "family" : "Dudding-Byth", "given" : "Tracy", "non-dropping-particle" : "", "parse-names" : false, "suffix" : "" }, { "dropping-particle" : "", "family" : "Schneider", "given" : "Amy L.", "non-dropping-particle" : "", "parse-names" : false, "suffix" : "" }, { "dropping-particle" : "", "family" : "Wallace", "given" : "Geoffrey", "non-dropping-particle" : "", "parse-names" : false, "suffix" : "" }, { "dropping-particle" : "", "family" : "Rosen", "given" : "Aaron B I", "non-dropping-particle" : "", "parse-names" : false, "suffix" : "" }, { "dropping-particle" : "", "family" : "Schelley", "given" : "Susan", "non-dropping-particle" : "", "parse-names" : false, "suffix" : "" }, { "dropping-particle" : "", "family" : "Enns", "given" : "Gregory M.", "non-dropping-particle" : "", "parse-names" : false, "suffix" : "" }, { "dropping-particle" : "", "family" : "Corre", "given" : "Pierre", "non-dropping-particle" : "", "parse-names" : false, "suffix" : "" }, { "dropping-particle" : "", "family" : "Dalton", "given" : "Joline", "non-dropping-particle" : "", "parse-names" : false, "suffix" : "" }, { "dropping-particle" : "", "family" : "Mercier", "given" : "Sandra", "non-dropping-particle" : "", "parse-names" : false, "suffix" : "" }, { "dropping-particle" : "", "family" : "Latypova", "given" : "X\u00e9nia", "non-dropping-particle" : "", "parse-names" : false, "suffix" : "" }, { "dropping-particle" : "", "family" : "Schmitt", "given" : "S\u00e9bastien", "non-dropping-particle" : "", "parse-names" : false, "suffix" : "" }, { "dropping-particle" : "", "family" : "Guzman", "given" : "Edwin", "non-dropping-particle" : "", "parse-names" : false, "suffix" : "" }, { "dropping-particle" : "", "family" : "Moore", "given" : "Christine", "non-dropping-particle" : "", "parse-names" : false, "suffix" : "" }, { "dropping-particle" : "", "family" : "Bier", "given" : "Louise", "non-dropping-particle" : "", "parse-names" : false, "suffix" : "" }, { "dropping-particle" : "", "family" : "Heinzen", "given" : "Erin L.", "non-dropping-particle" : "", "parse-names" : false, "suffix" : "" }, { "dropping-particle" : "", "family" : "Karachunski", "given" : "Peter", "non-dropping-particle" : "", "parse-names" : false, "suffix" : "" }, { "dropping-particle" : "", "family" : "Shur", "given" : "Natasha", "non-dropping-particle" : "", "parse-names" : false, "suffix" : "" }, { "dropping-particle" : "", "family" : "Grebe", "given" : "Theresa", "non-dropping-particle" : "", "parse-names" : false, "suffix" : "" }, { "dropping-particle" : "", "family" : "Basinger", "given" : "Alice", "non-dropping-particle" : "", "parse-names" : false, "suffix" : "" }, { "dropping-particle" : "", "family" : "Nguyen", "given" : "Joanne M.", "non-dropping-particle" : "", "parse-names" : false, "suffix" : "" }, { "dropping-particle" : "", "family" : "B\u00e9zieau", "given" : "St\u00e9phane", "non-dropping-particle" : "", "parse-names" : false, "suffix" : "" }, { "dropping-particle" : "", "family" : "Wierenga", "given" : "Klaas", "non-dropping-particle" : "", "parse-names" : false, "suffix" : "" }, { "dropping-particle" : "", "family" : "Bernstein", "given" : "Jonathan A.", "non-dropping-particle" : "", "parse-names" : false, "suffix" : "" }, { "dropping-particle" : "", "family" : "Scheffer", "given" : "Ingrid E.", "non-dropping-particle" : "", "parse-names" : false, "suffix" : "" }, { "dropping-particle" : "", "family" : "Rosenfeld", "given" : "Jill A.", "non-dropping-particle" : "", "parse-names" : false, "suffix" : "" }, { "dropping-particle" : "", "family" : "Mefford", "given" : "Heather C.", "non-dropping-particle" : "", "parse-names" : false, "suffix" : "" }, { "dropping-particle" : "", "family" : "Isidor", "given" : "Bertrand", "non-dropping-particle" : "", "parse-names" : false, "suffix" : "" }, { "dropping-particle" : "", "family" : "Goldstein", "given" : "David B.", "non-dropping-particle" : "", "parse-names" : false, "suffix" : "" } ], "container-title" : "American Journal of Human Genetics", "id" : "ITEM-1", "issue" : "5", "issued" : { "date-parts" : [ [ "2016" ] ] }, "page" : "1001-1010", "title" : "Germline de Novo Mutations in GNB1 Cause Severe Neurodevelopmental Disability, Hypotonia, and Seizures", "type" : "article-journal", "volume" : "98" }, "uris" : [ "http://www.mendeley.com/documents/?uuid=0291ccd1-cacf-44cc-9604-ae214ecf6fcd" ] } ], "mendeley" : { "formattedCitation" : "[26]", "plainTextFormattedCitation" : "[26]", "previouslyFormattedCitation" : "[26]" }, "properties" : { "noteIndex" : 0 }, "schema" : "https://github.com/citation-style-language/schema/raw/master/csl-citation.json" }</w:instrText>
      </w:r>
      <w:r w:rsidR="007A4979" w:rsidRPr="00653918">
        <w:rPr>
          <w:rFonts w:ascii="Baskerville" w:hAnsi="Baskerville" w:cs="Baskerville"/>
          <w:sz w:val="22"/>
          <w:szCs w:val="22"/>
        </w:rPr>
        <w:fldChar w:fldCharType="separate"/>
      </w:r>
      <w:r w:rsidR="003F76BF" w:rsidRPr="003F76BF">
        <w:rPr>
          <w:rFonts w:ascii="Baskerville" w:hAnsi="Baskerville" w:cs="Baskerville"/>
          <w:noProof/>
          <w:sz w:val="22"/>
          <w:szCs w:val="22"/>
        </w:rPr>
        <w:t>[26]</w:t>
      </w:r>
      <w:r w:rsidR="007A4979" w:rsidRPr="00653918">
        <w:rPr>
          <w:rFonts w:ascii="Baskerville" w:hAnsi="Baskerville" w:cs="Baskerville"/>
          <w:sz w:val="22"/>
          <w:szCs w:val="22"/>
        </w:rPr>
        <w:fldChar w:fldCharType="end"/>
      </w:r>
      <w:r w:rsidR="0065123A">
        <w:rPr>
          <w:rFonts w:ascii="Baskerville" w:hAnsi="Baskerville" w:cs="Baskerville"/>
          <w:sz w:val="22"/>
          <w:szCs w:val="22"/>
        </w:rPr>
        <w:t>*</w:t>
      </w:r>
      <w:r w:rsidRPr="00653918">
        <w:rPr>
          <w:rFonts w:ascii="Baskerville" w:hAnsi="Baskerville" w:cs="Baskerville"/>
          <w:sz w:val="22"/>
          <w:szCs w:val="22"/>
        </w:rPr>
        <w:t>.</w:t>
      </w:r>
      <w:r w:rsidR="00EE4BF6" w:rsidRPr="00653918">
        <w:rPr>
          <w:rFonts w:ascii="Baskerville" w:hAnsi="Baskerville" w:cs="Baskerville"/>
          <w:sz w:val="22"/>
          <w:szCs w:val="22"/>
        </w:rPr>
        <w:t xml:space="preserve"> </w:t>
      </w:r>
    </w:p>
    <w:p w14:paraId="0A22C1ED" w14:textId="77777777" w:rsidR="00786395" w:rsidRPr="00653918" w:rsidRDefault="00786395" w:rsidP="000B3D67">
      <w:pPr>
        <w:spacing w:line="360" w:lineRule="auto"/>
        <w:jc w:val="both"/>
        <w:rPr>
          <w:rFonts w:ascii="Baskerville" w:hAnsi="Baskerville" w:cs="Baskerville"/>
          <w:b/>
          <w:sz w:val="22"/>
          <w:szCs w:val="22"/>
        </w:rPr>
      </w:pPr>
    </w:p>
    <w:p w14:paraId="42188BBF" w14:textId="05664F1A" w:rsidR="00786395" w:rsidRPr="00653918" w:rsidRDefault="00D675C6" w:rsidP="00D675C6">
      <w:pPr>
        <w:spacing w:line="360" w:lineRule="auto"/>
        <w:jc w:val="both"/>
        <w:rPr>
          <w:rFonts w:ascii="Baskerville" w:hAnsi="Baskerville" w:cs="Baskerville"/>
          <w:sz w:val="22"/>
          <w:szCs w:val="22"/>
        </w:rPr>
      </w:pPr>
      <w:r w:rsidRPr="00653918">
        <w:rPr>
          <w:rFonts w:ascii="Baskerville" w:hAnsi="Baskerville" w:cs="Baskerville"/>
          <w:sz w:val="22"/>
          <w:szCs w:val="22"/>
        </w:rPr>
        <w:t xml:space="preserve">The Gap Activity Towards Rags (GATOR) complex is involved in </w:t>
      </w:r>
      <w:r w:rsidR="0079558C" w:rsidRPr="00653918">
        <w:rPr>
          <w:rFonts w:ascii="Baskerville" w:hAnsi="Baskerville" w:cs="Baskerville"/>
          <w:sz w:val="22"/>
          <w:szCs w:val="22"/>
        </w:rPr>
        <w:t xml:space="preserve">the </w:t>
      </w:r>
      <w:r w:rsidRPr="00653918">
        <w:rPr>
          <w:rFonts w:ascii="Baskerville" w:hAnsi="Baskerville" w:cs="Baskerville"/>
          <w:sz w:val="22"/>
          <w:szCs w:val="22"/>
        </w:rPr>
        <w:t xml:space="preserve">inhibition of the Mammalian Target of Rapamycin (mTOR) complex, which plays </w:t>
      </w:r>
      <w:r w:rsidR="0001357B">
        <w:rPr>
          <w:rFonts w:ascii="Baskerville" w:hAnsi="Baskerville" w:cs="Baskerville"/>
          <w:sz w:val="22"/>
          <w:szCs w:val="22"/>
        </w:rPr>
        <w:t>an essential role</w:t>
      </w:r>
      <w:r w:rsidRPr="00653918">
        <w:rPr>
          <w:rFonts w:ascii="Baskerville" w:hAnsi="Baskerville" w:cs="Baskerville"/>
          <w:sz w:val="22"/>
          <w:szCs w:val="22"/>
        </w:rPr>
        <w:t xml:space="preserve"> in </w:t>
      </w:r>
      <w:r w:rsidR="0001357B">
        <w:rPr>
          <w:rFonts w:ascii="Baskerville" w:hAnsi="Baskerville" w:cs="Baskerville"/>
          <w:sz w:val="22"/>
          <w:szCs w:val="22"/>
        </w:rPr>
        <w:t xml:space="preserve">regulating </w:t>
      </w:r>
      <w:r w:rsidRPr="00653918">
        <w:rPr>
          <w:rFonts w:ascii="Baskerville" w:hAnsi="Baskerville" w:cs="Baskerville"/>
          <w:sz w:val="22"/>
          <w:szCs w:val="22"/>
        </w:rPr>
        <w:t xml:space="preserve">cell growth and proliferation. Three GATOR complex genes </w:t>
      </w:r>
      <w:r w:rsidR="00F22FCB" w:rsidRPr="00653918">
        <w:rPr>
          <w:rFonts w:ascii="Baskerville" w:hAnsi="Baskerville" w:cs="Baskerville"/>
          <w:sz w:val="22"/>
          <w:szCs w:val="22"/>
        </w:rPr>
        <w:t>(</w:t>
      </w:r>
      <w:r w:rsidR="00F22FCB" w:rsidRPr="00653918">
        <w:rPr>
          <w:rFonts w:ascii="Baskerville" w:hAnsi="Baskerville" w:cs="Baskerville"/>
          <w:i/>
          <w:sz w:val="22"/>
          <w:szCs w:val="22"/>
        </w:rPr>
        <w:t>DEPDC5</w:t>
      </w:r>
      <w:r w:rsidR="00F22FCB" w:rsidRPr="00653918">
        <w:rPr>
          <w:rFonts w:ascii="Baskerville" w:hAnsi="Baskerville" w:cs="Baskerville"/>
          <w:sz w:val="22"/>
          <w:szCs w:val="22"/>
        </w:rPr>
        <w:t xml:space="preserve">, </w:t>
      </w:r>
      <w:r w:rsidR="00F22FCB" w:rsidRPr="00653918">
        <w:rPr>
          <w:rFonts w:ascii="Baskerville" w:hAnsi="Baskerville" w:cs="Baskerville"/>
          <w:i/>
          <w:sz w:val="22"/>
          <w:szCs w:val="22"/>
        </w:rPr>
        <w:t>NPRL2</w:t>
      </w:r>
      <w:r w:rsidR="00F22FCB" w:rsidRPr="00653918">
        <w:rPr>
          <w:rFonts w:ascii="Baskerville" w:hAnsi="Baskerville" w:cs="Baskerville"/>
          <w:sz w:val="22"/>
          <w:szCs w:val="22"/>
        </w:rPr>
        <w:t xml:space="preserve">, </w:t>
      </w:r>
      <w:r w:rsidR="00F22FCB" w:rsidRPr="00653918">
        <w:rPr>
          <w:rFonts w:ascii="Baskerville" w:hAnsi="Baskerville" w:cs="Baskerville"/>
          <w:i/>
          <w:sz w:val="22"/>
          <w:szCs w:val="22"/>
        </w:rPr>
        <w:t>NPRL3</w:t>
      </w:r>
      <w:r w:rsidR="00F22FCB" w:rsidRPr="00653918">
        <w:rPr>
          <w:rFonts w:ascii="Baskerville" w:hAnsi="Baskerville" w:cs="Baskerville"/>
          <w:sz w:val="22"/>
          <w:szCs w:val="22"/>
        </w:rPr>
        <w:t xml:space="preserve">) </w:t>
      </w:r>
      <w:r w:rsidRPr="00653918">
        <w:rPr>
          <w:rFonts w:ascii="Baskerville" w:hAnsi="Baskerville" w:cs="Baskerville"/>
          <w:sz w:val="22"/>
          <w:szCs w:val="22"/>
        </w:rPr>
        <w:t>have been associat</w:t>
      </w:r>
      <w:r w:rsidR="00F22FCB" w:rsidRPr="00653918">
        <w:rPr>
          <w:rFonts w:ascii="Baskerville" w:hAnsi="Baskerville" w:cs="Baskerville"/>
          <w:sz w:val="22"/>
          <w:szCs w:val="22"/>
        </w:rPr>
        <w:t>ed with familial focal epilepsy</w:t>
      </w:r>
      <w:r w:rsidRPr="00653918">
        <w:rPr>
          <w:rFonts w:ascii="Baskerville" w:hAnsi="Baskerville" w:cs="Baskerville"/>
          <w:sz w:val="22"/>
          <w:szCs w:val="22"/>
        </w:rPr>
        <w:t xml:space="preserve"> with or without focal cortical </w:t>
      </w:r>
      <w:r w:rsidRPr="00653918">
        <w:rPr>
          <w:rFonts w:ascii="Baskerville" w:hAnsi="Baskerville" w:cs="Baskerville"/>
          <w:sz w:val="22"/>
          <w:szCs w:val="22"/>
        </w:rPr>
        <w:lastRenderedPageBreak/>
        <w:t>dysplasia</w:t>
      </w:r>
      <w:r w:rsidR="00FF1A73" w:rsidRPr="00653918">
        <w:rPr>
          <w:rFonts w:ascii="Baskerville" w:hAnsi="Baskerville" w:cs="Baskerville"/>
          <w:sz w:val="22"/>
          <w:szCs w:val="22"/>
        </w:rPr>
        <w:fldChar w:fldCharType="begin" w:fldLock="1"/>
      </w:r>
      <w:r w:rsidR="00880237">
        <w:rPr>
          <w:rFonts w:ascii="Baskerville" w:hAnsi="Baskerville" w:cs="Baskerville"/>
          <w:sz w:val="22"/>
          <w:szCs w:val="22"/>
        </w:rPr>
        <w:instrText>ADDIN CSL_CITATION { "citationItems" : [ { "id" : "ITEM-1", "itemData" : { "DOI" : "10.1136/jmedgenet-2016-103883", "ISSN" : "0022-2593", "PMID" : "27208208", "abstract" : "The mammalian or mechanistic target of rapamycin (mTOR) signalling pathway has multiple roles in regulating physiology of the whole body and, particularly, the brain. Deregulation of mTOR signalling has been associated to various neurological conditions, including epilepsy. Mutations in genes encoding components of Gap Activity TOward Rags 1 (GATOR1) (DEPDC5, NPRL2 and NPRL3), a complex involved in the inhibition of the mTOR complex 1 (mTORC1), have been recently implicated in the pathogenesis of a wide spectrum of focal epilepsies (FEs), both lesional and non-lesional. The involvement of DEPDC5, NPRL2 and NRPL3 in about 10% of FEs is in contrast to the concept that specific seizure semiology points to the main involvement of a distinct brain area. The hypothesised pathogenic mechanism underlying epilepsy is the loss of the inhibitory function of GATOR1 towards mTORC1. The identification of the correct therapeutic strategy in patients with FE is challenging, especially in those with refractory epilepsy and/or malformations of cortical development (MCDs). In such cases, surgical excision of the epileptogenic zone is a curative option, although the long-term outcome is still undefined. The GATOR1/mTOR signalling represents a promising therapeutic target in FEs due to mutations in mTOR pathway genes, as in tuberous sclerosis complex, another MCD-associated epilepsy caused by mTOR signalling hyperactivation.", "author" : [ { "dropping-particle" : "", "family" : "Baldassari", "given" : "Sara", "non-dropping-particle" : "", "parse-names" : false, "suffix" : "" }, { "dropping-particle" : "", "family" : "Licchetta", "given" : "Laura", "non-dropping-particle" : "", "parse-names" : false, "suffix" : "" }, { "dropping-particle" : "", "family" : "Tinuper", "given" : "Paolo", "non-dropping-particle" : "", "parse-names" : false, "suffix" : "" }, { "dropping-particle" : "", "family" : "Bisulli", "given" : "Francesca", "non-dropping-particle" : "", "parse-names" : false, "suffix" : "" }, { "dropping-particle" : "", "family" : "Pippucci", "given" : "Tommaso", "non-dropping-particle" : "", "parse-names" : false, "suffix" : "" } ], "container-title" : "Journal of Medical Genetics", "id" : "ITEM-1", "issued" : { "date-parts" : [ [ "2016" ] ] }, "page" : "jmedgenet-2016-103883", "title" : "GATOR1 complex: the common genetic actor in focal epilepsies", "type" : "article-journal" }, "uris" : [ "http://www.mendeley.com/documents/?uuid=d606f3c8-c684-4484-967f-52fa9e93f991" ] }, { "id" : "ITEM-2", "itemData" : { "DOI" : "10.1002/ana.24547", "ISBN" : "2200822340", "ISSN" : "15318249", "PMID" : "24151254", "abstract" : "Hypothesis: Three surgical approaches, cochleostomy (C), round window (RW), and extended round window (ERW) and two electrodes types, lateral wall (LW) and perimodiolar (PM), account for the vast majority of cochlear implantations. The goal of this study was to analyze the relationship between surgical approach and electrode type with final intracochlear position of the electrode array and subsequent hearing outcomes. Study Design: Comparative longitudinal study. Methods: One hundred postlingually implanted adult patients were enrolled in the study. From the post-operative scan, intracochlear electrode location was determined by using rigid registration, transformed back to the pre-operative CT. Likelihood ratio chi-square statistics were used to evaluate for differences in electrode placement with respect to surgical approach (C, RW, ERW) and type of electrode (LW, PM). Results: Electrode placement completely within the ST was more common for LW than PM designs (89% vs 58%, p &lt; 0.001). RW and ERW approaches were associated with lower rates of electrode placement outside the ST than for the cochleostomy approach (9%, 16% and 63%, respectively, p &lt; 0.001). This pattern held true regardless of whether the implant was LW or PM. When examining electrode placement and hearing outcome, those with electrode residing completely within the ST had better CNC word scores than patients with any number of electrodes located outside the ST (p=0.045). Conclusion: These data suggest that RW and ERW approaches and LW electrodes are associated with an increased likelihood of successful ST placement. Furthermore, electrode position entirely within the ST confers superior audiological outcomes", "author" : [ { "dropping-particle" : "", "family" : "Ricos", "given" : "Michael G.", "non-dropping-particle" : "", "parse-names" : false, "suffix" : "" }, { "dropping-particle" : "", "family" : "Hodgson", "given" : "Bree L.", "non-dropping-particle" : "", "parse-names" : false, "suffix" : "" }, { "dropping-particle" : "", "family" : "Pippucci", "given" : "Tommaso", "non-dropping-particle" : "", "parse-names" : false, "suffix" : "" }, { "dropping-particle" : "", "family" : "Saidin", "given" : "Akzam", "non-dropping-particle" : "", "parse-names" : false, "suffix" : "" }, { "dropping-particle" : "", "family" : "Ong", "given" : "Yeh Sze", "non-dropping-particle" : "", "parse-names" : false, "suffix" : "" }, { "dropping-particle" : "", "family" : "Heron", "given" : "Sarah E.", "non-dropping-particle" : "", "parse-names" : false, "suffix" : "" }, { "dropping-particle" : "", "family" : "Licchetta", "given" : "Laura", "non-dropping-particle" : "", "parse-names" : false, "suffix" : "" }, { "dropping-particle" : "", "family" : "Bisulli", "given" : "Francesca", "non-dropping-particle" : "", "parse-names" : false, "suffix" : "" }, { "dropping-particle" : "", "family" : "Bayly", "given" : "Marta A.", "non-dropping-particle" : "", "parse-names" : false, "suffix" : "" }, { "dropping-particle" : "", "family" : "Hughes", "given" : "James", "non-dropping-particle" : "", "parse-names" : false, "suffix" : "" }, { "dropping-particle" : "", "family" : "Baldassari", "given" : "Sara", "non-dropping-particle" : "", "parse-names" : false, "suffix" : "" }, { "dropping-particle" : "", "family" : "Palombo", "given" : "Flavia", "non-dropping-particle" : "", "parse-names" : false, "suffix" : "" }, { "dropping-particle" : "", "family" : "Santucci", "given" : "Margherita", "non-dropping-particle" : "", "parse-names" : false, "suffix" : "" }, { "dropping-particle" : "", "family" : "Meletti", "given" : "Stefano", "non-dropping-particle" : "", "parse-names" : false, "suffix" : "" }, { "dropping-particle" : "", "family" : "Berkovic", "given" : "Samuel F.", "non-dropping-particle" : "", "parse-names" : false, "suffix" : "" }, { "dropping-particle" : "", "family" : "Rubboli", "given" : "Guido", "non-dropping-particle" : "", "parse-names" : false, "suffix" : "" }, { "dropping-particle" : "", "family" : "Thomas", "given" : "Paul Q.", "non-dropping-particle" : "", "parse-names" : false, "suffix" : "" }, { "dropping-particle" : "", "family" : "Scheffer", "given" : "Ingrid E.", "non-dropping-particle" : "", "parse-names" : false, "suffix" : "" }, { "dropping-particle" : "", "family" : "Tinuper", "given" : "Paolo", "non-dropping-particle" : "", "parse-names" : false, "suffix" : "" }, { "dropping-particle" : "", "family" : "Geoghegan", "given" : "Joel", "non-dropping-particle" : "", "parse-names" : false, "suffix" : "" }, { "dropping-particle" : "", "family" : "Schreiber", "given" : "Andreas W.", "non-dropping-particle" : "", "parse-names" : false, "suffix" : "" }, { "dropping-particle" : "", "family" : "Dibbens", "given" : "Leanne M.", "non-dropping-particle" : "", "parse-names" : false, "suffix" : "" } ], "container-title" : "Annals of Neurology", "id" : "ITEM-2", "issue" : "1", "issued" : { "date-parts" : [ [ "2016" ] ] }, "page" : "120-131", "title" : "Mutations in the mammalian target of rapamycin pathway regulators NPRL2 and NPRL3 cause focal epilepsy", "type" : "article-journal", "volume" : "79" }, "uris" : [ "http://www.mendeley.com/documents/?uuid=d55f7646-c4bc-4d36-939d-ff2e56b0dd50" ] }, { "id" : "ITEM-3", "itemData" : { "DOI" : "10.1111/epi.13391", "ISBN" : "1528-1167 (Electronic)\\r0013-9580 (Linking)", "ISSN" : "15281167", "PMID" : "27173016", "abstract" : "OBJECTIVE The discovery of mutations in DEPDC5 in familial focal epilepsies has introduced a novel pathomechanism to a field so far dominated by ion channelopathies. DEPDC5 is part of a complex named GAP activity toward RAGs (GATOR) complex 1 (GATOR1), together with the proteins NPRL2 and NPRL3, and acts to inhibit the mechanistic target of rapamycin (mTOR) complex 1 (mTORC1) pathway. GATOR1 is in turn inhibited by the GATOR2 complex. The mTORC1 pathway is a major signaling cascade regulating cell growth, proliferation, and migration. We aimed to study the contribution of GATOR complex genes to the etiology of focal epilepsies and to describe the associated phenotypical spectrum. METHODS We performed targeted sequencing of the genes encoding the components of the GATOR1 (DEPDC5, NPRL2, and NPRL3) and GATOR2 (MIOS, SEC13, SEH1L, WDR24, and WDR59) complex in 93 European probands with focal epilepsy with or without focal cortical dysplasia. Phospho-S6 immunoreactivity was used as evidence of mTORC1 pathway activation in resected brain tissue of patients carrying pathogenic variants. RESULTS We identified four pathogenic variants in DEPDC5, two in NPRL2, and one in NPRL3. We showed hyperactivation of the mTORC1 pathway in brain tissue from patients with NPRL2 and NPRL3 mutations. Collectively, inactivating mutations in GATOR1 complex genes explained 11% of cases of focal epilepsy, whereas no pathogenic mutations were found in GATOR2 complex genes. GATOR1-related focal epilepsies differ clinically from focal epilepsies due to mutations in ion channel genes by their association with focal cortical dysplasia and seizures emerging from variable foci, and might confer an increased risk of sudden unexplained death in epilepsy (SUDEP). SIGNIFICANCE GATOR1 complex gene mutations leading to mTORC1 pathway upregulation is an important cause of focal epilepsy with cortical malformations and represents a potential target for novel therapeutic approaches.", "author" : [ { "dropping-particle" : "", "family" : "Weckhuysen", "given" : "Sarah", "non-dropping-particle" : "", "parse-names" : false, "suffix" : "" }, { "dropping-particle" : "", "family" : "Marsan", "given" : "Elise", "non-dropping-particle" : "", "parse-names" : false, "suffix" : "" }, { "dropping-particle" : "", "family" : "Lambrecq", "given" : "Virginie", "non-dropping-particle" : "", "parse-names" : false, "suffix" : "" }, { "dropping-particle" : "", "family" : "Marchal", "given" : "C??cile", "non-dropping-particle" : "", "parse-names" : false, "suffix" : "" }, { "dropping-particle" : "", "family" : "Morin-Brureau", "given" : "M??lanie", "non-dropping-particle" : "", "parse-names" : false, "suffix" : "" }, { "dropping-particle" : "", "family" : "An-Gourfinkel", "given" : "Isabelle", "non-dropping-particle" : "", "parse-names" : false, "suffix" : "" }, { "dropping-particle" : "", "family" : "Baulac", "given" : "Michel", "non-dropping-particle" : "", "parse-names" : false, "suffix" : "" }, { "dropping-particle" : "", "family" : "Fohlen", "given" : "Martine", "non-dropping-particle" : "", "parse-names" : false, "suffix" : "" }, { "dropping-particle" : "", "family" : "Kallay Zetchi", "given" : "Christine", "non-dropping-particle" : "", "parse-names" : false, "suffix" : "" }, { "dropping-particle" : "", "family" : "Seeck", "given" : "Margitta", "non-dropping-particle" : "", "parse-names" : false, "suffix" : "" }, { "dropping-particle" : "", "family" : "La Grange", "given" : "Pierre", "non-dropping-particle" : "De", "parse-names" : false, "suffix" : "" }, { "dropping-particle" : "", "family" : "Dermaut", "given" : "Bart", "non-dropping-particle" : "", "parse-names" : false, "suffix" : "" }, { "dropping-particle" : "", "family" : "Meurs", "given" : "Alfred", "non-dropping-particle" : "", "parse-names" : false, "suffix" : "" }, { "dropping-particle" : "", "family" : "Thomas", "given" : "Pierre", "non-dropping-particle" : "", "parse-names" : false, "suffix" : "" }, { "dropping-particle" : "", "family" : "Chassoux", "given" : "Francine", "non-dropping-particle" : "", "parse-names" : false, "suffix" : "" }, { "dropping-particle" : "", "family" : "Leguern", "given" : "Eric", "non-dropping-particle" : "", "parse-names" : false, "suffix" : "" }, { "dropping-particle" : "", "family" : "Picard", "given" : "Fabienne", "non-dropping-particle" : "", "parse-names" : false, "suffix" : "" }, { "dropping-particle" : "", "family" : "Baulac", "given" : "St??phanie", "non-dropping-particle" : "", "parse-names" : false, "suffix" : "" } ], "container-title" : "Epilepsia", "id" : "ITEM-3", "issue" : "6", "issued" : { "date-parts" : [ [ "2016" ] ] }, "page" : "994-1003", "title" : "Involvement of GATOR complex genes in familial focal epilepsies and focal cortical dysplasia", "type" : "article-journal", "volume" : "57" }, "uris" : [ "http://www.mendeley.com/documents/?uuid=cfb269b7-af76-4237-98ad-81ce6cf2e600" ] }, { "id" : "ITEM-4", "itemData" : { "DOI" : "10.1002/ana.24502", "ISBN" : "1531-8249 (Electronic)\\r0364-5134 (Linking)", "ISSN" : "1531-8249", "PMID" : "26285051", "abstract" : "We describe first cousin sibling pairs with focal epilepsy, one of each pair having focal cortical dysplasia (FCD) IIa. Linkage analysis and whole-exome sequencing identified a heterozygous germline frameshift mutation in the gene encoding nitrogen permease regulator-like 3 (NPRL3). NPRL3 is a component of GATOR1, a negative regulator of the mTORC1 signaling pathway. Immunostaining of resected brain tissue demonstrated mTOR activation. Screening of 52 unrelated individuals with FCD identified two additional patients with FCDIIa and germline NPRL3 mutations. Similar to DEPDC5, NPRL3 mutations may be considered as causal variants in patients with FCD or MRI-negative focal epilepsy. This article is protected by copyright. All rights reserved.", "author" : [ { "dropping-particle" : "", "family" : "Sim", "given" : "Joe C", "non-dropping-particle" : "", "parse-names" : false, "suffix" : "" }, { "dropping-particle" : "", "family" : "Scerri", "given" : "Thomas", "non-dropping-particle" : "", "parse-names" : false, "suffix" : "" }, { "dropping-particle" : "", "family" : "Fanjul-Fern\u00e1ndez", "given" : "Miriam", "non-dropping-particle" : "", "parse-names" : false, "suffix" : "" }, { "dropping-particle" : "", "family" : "Riseley", "given" : "Jessica R", "non-dropping-particle" : "", "parse-names" : false, "suffix" : "" }, { "dropping-particle" : "", "family" : "Gillies", "given" : "Greta", "non-dropping-particle" : "", "parse-names" : false, "suffix" : "" }, { "dropping-particle" : "", "family" : "Pope", "given" : "Kate", "non-dropping-particle" : "", "parse-names" : false, "suffix" : "" }, { "dropping-particle" : "", "family" : "Roozendaal", "given" : "Hanna", "non-dropping-particle" : "van", "parse-names" : false, "suffix" : "" }, { "dropping-particle" : "", "family" : "Heng", "given" : "Julian I", "non-dropping-particle" : "", "parse-names" : false, "suffix" : "" }, { "dropping-particle" : "", "family" : "Mandelstam", "given" : "Simone A", "non-dropping-particle" : "", "parse-names" : false, "suffix" : "" }, { "dropping-particle" : "", "family" : "McGillivray", "given" : "George", "non-dropping-particle" : "", "parse-names" : false, "suffix" : "" }, { "dropping-particle" : "", "family" : "MacGregor", "given" : "Duncan", "non-dropping-particle" : "", "parse-names" : false, "suffix" : "" }, { "dropping-particle" : "", "family" : "Kannan", "given" : "Lakshminarayanan", "non-dropping-particle" : "", "parse-names" : false, "suffix" : "" }, { "dropping-particle" : "", "family" : "Maixner", "given" : "Wirginia", "non-dropping-particle" : "", "parse-names" : false, "suffix" : "" }, { "dropping-particle" : "", "family" : "Harvey", "given" : "A Simon", "non-dropping-particle" : "", "parse-names" : false, "suffix" : "" }, { "dropping-particle" : "", "family" : "Amor", "given" : "David J", "non-dropping-particle" : "", "parse-names" : false, "suffix" : "" }, { "dropping-particle" : "", "family" : "Delatycki", "given" : "Martin B", "non-dropping-particle" : "", "parse-names" : false, "suffix" : "" }, { "dropping-particle" : "", "family" : "Crino", "given" : "Peter B", "non-dropping-particle" : "", "parse-names" : false, "suffix" : "" }, { "dropping-particle" : "", "family" : "Bahlo", "given" : "Melanie", "non-dropping-particle" : "", "parse-names" : false, "suffix" : "" }, { "dropping-particle" : "", "family" : "Lockhart", "given" : "Paul J", "non-dropping-particle" : "", "parse-names" : false, "suffix" : "" }, { "dropping-particle" : "", "family" : "Leventer", "given" : "Richard J", "non-dropping-particle" : "", "parse-names" : false, "suffix" : "" } ], "container-title" : "Annals of neurology", "id" : "ITEM-4", "issued" : { "date-parts" : [ [ "2015" ] ] }, "page" : "1-6", "title" : "Familial cortical dysplasia caused by mutation in the mTOR regulator NPRL3", "type" : "article-journal" }, "uris" : [ "http://www.mendeley.com/documents/?uuid=58755e67-9c8b-48bc-81f3-837ce2a01faf" ] } ], "mendeley" : { "formattedCitation" : "[27\u201330]", "plainTextFormattedCitation" : "[27\u201330]", "previouslyFormattedCitation" : "[27\u201330]" }, "properties" : { "noteIndex" : 0 }, "schema" : "https://github.com/citation-style-language/schema/raw/master/csl-citation.json" }</w:instrText>
      </w:r>
      <w:r w:rsidR="00FF1A73" w:rsidRPr="00653918">
        <w:rPr>
          <w:rFonts w:ascii="Baskerville" w:hAnsi="Baskerville" w:cs="Baskerville"/>
          <w:sz w:val="22"/>
          <w:szCs w:val="22"/>
        </w:rPr>
        <w:fldChar w:fldCharType="separate"/>
      </w:r>
      <w:r w:rsidR="003F76BF" w:rsidRPr="003F76BF">
        <w:rPr>
          <w:rFonts w:ascii="Baskerville" w:hAnsi="Baskerville" w:cs="Baskerville"/>
          <w:noProof/>
          <w:sz w:val="22"/>
          <w:szCs w:val="22"/>
        </w:rPr>
        <w:t>[27–30]</w:t>
      </w:r>
      <w:r w:rsidR="00FF1A73" w:rsidRPr="00653918">
        <w:rPr>
          <w:rFonts w:ascii="Baskerville" w:hAnsi="Baskerville" w:cs="Baskerville"/>
          <w:sz w:val="22"/>
          <w:szCs w:val="22"/>
        </w:rPr>
        <w:fldChar w:fldCharType="end"/>
      </w:r>
      <w:r w:rsidR="00312E96">
        <w:rPr>
          <w:rFonts w:ascii="Baskerville" w:hAnsi="Baskerville" w:cs="Baskerville"/>
          <w:sz w:val="22"/>
          <w:szCs w:val="22"/>
        </w:rPr>
        <w:t>*</w:t>
      </w:r>
      <w:r w:rsidR="00F22FCB" w:rsidRPr="00653918">
        <w:rPr>
          <w:rFonts w:ascii="Baskerville" w:hAnsi="Baskerville" w:cs="Baskerville"/>
          <w:sz w:val="22"/>
          <w:szCs w:val="22"/>
        </w:rPr>
        <w:t>,</w:t>
      </w:r>
      <w:r w:rsidRPr="00653918">
        <w:rPr>
          <w:rFonts w:ascii="Baskerville" w:hAnsi="Baskerville" w:cs="Baskerville"/>
          <w:sz w:val="22"/>
          <w:szCs w:val="22"/>
        </w:rPr>
        <w:t xml:space="preserve"> and mutations in a fourth mTOR regulator gene</w:t>
      </w:r>
      <w:r w:rsidR="00F22FCB" w:rsidRPr="00653918">
        <w:rPr>
          <w:rFonts w:ascii="Baskerville" w:hAnsi="Baskerville" w:cs="Baskerville"/>
          <w:sz w:val="22"/>
          <w:szCs w:val="22"/>
        </w:rPr>
        <w:t>,</w:t>
      </w:r>
      <w:r w:rsidRPr="00653918">
        <w:rPr>
          <w:rFonts w:ascii="Baskerville" w:hAnsi="Baskerville" w:cs="Baskerville"/>
          <w:sz w:val="22"/>
          <w:szCs w:val="22"/>
        </w:rPr>
        <w:t xml:space="preserve"> </w:t>
      </w:r>
      <w:r w:rsidRPr="00653918">
        <w:rPr>
          <w:rFonts w:ascii="Baskerville" w:hAnsi="Baskerville" w:cs="Baskerville"/>
          <w:i/>
          <w:sz w:val="22"/>
          <w:szCs w:val="22"/>
        </w:rPr>
        <w:t>NEDD4L</w:t>
      </w:r>
      <w:r w:rsidR="00F22FCB" w:rsidRPr="00653918">
        <w:rPr>
          <w:rFonts w:ascii="Baskerville" w:hAnsi="Baskerville" w:cs="Baskerville"/>
          <w:sz w:val="22"/>
          <w:szCs w:val="22"/>
        </w:rPr>
        <w:t xml:space="preserve">, </w:t>
      </w:r>
      <w:r w:rsidRPr="00653918">
        <w:rPr>
          <w:rFonts w:ascii="Baskerville" w:hAnsi="Baskerville" w:cs="Baskerville"/>
          <w:sz w:val="22"/>
          <w:szCs w:val="22"/>
        </w:rPr>
        <w:t>have been found to cause epilepsy and periventricular nodular heterotopia</w:t>
      </w:r>
      <w:r w:rsidR="00FF1A73" w:rsidRPr="00653918">
        <w:rPr>
          <w:rFonts w:ascii="Baskerville" w:hAnsi="Baskerville" w:cs="Baskerville"/>
          <w:sz w:val="22"/>
          <w:szCs w:val="22"/>
        </w:rPr>
        <w:fldChar w:fldCharType="begin" w:fldLock="1"/>
      </w:r>
      <w:r w:rsidR="00880237">
        <w:rPr>
          <w:rFonts w:ascii="Baskerville" w:hAnsi="Baskerville" w:cs="Baskerville"/>
          <w:sz w:val="22"/>
          <w:szCs w:val="22"/>
        </w:rPr>
        <w:instrText>ADDIN CSL_CITATION { "citationItems" : [ { "id" : "ITEM-1", "itemData" : { "ISSN" : "1061-4036", "abstract" : "Neurodevelopmental disorders with periventricular nodular heterotopia (PNH) are etiologically heterogeneous, and their genetic causes remain in many cases unknown. Here we show that missense mutations in NEDD4L mapping to the HECT domain of the encoded E3 ubiquitin ligase lead to PNH associated with toe syndactyly, cleft palate and neurodevelopmental delay. Cellular and expression data showed sensitivity of PNH-associated mutants to proteasome degradation. Moreover, an in utero electroporation approach showed that PNH-related mutants and excess wild-type NEDD4L affect neurogenesis, neuronal positioning and terminal translocation. Further investigations, including rapamycin-based experiments, found differential deregulation of pathways involved. Excess wild-type NEDD4L leads to disruption of Dab1 and mTORC1 pathways, while PNH-related mutations are associated with deregulation of mTORC1 and AKT activities. Altogether, these data provide insights into the critical role of NEDD4L in the regulation of mTOR pathways and their contributions in cortical development.", "author" : [ { "dropping-particle" : "", "family" : "Broix", "given" : "Loic", "non-dropping-particle" : "", "parse-names" : false, "suffix" : "" }, { "dropping-particle" : "", "family" : "Jagline", "given" : "Helene", "non-dropping-particle" : "", "parse-names" : false, "suffix" : "" }, { "dropping-particle" : "", "family" : "L Ivanova", "given" : "Ekaterina", "non-dropping-particle" : "", "parse-names" : false, "suffix" : "" }, { "dropping-particle" : "", "family" : "Schmucker", "given" : "Stephane", "non-dropping-particle" : "", "parse-names" : false, "suffix" : "" }, { "dropping-particle" : "", "family" : "Drouot", "given" : "Nathalie", "non-dropping-particle" : "", "parse-names" : false, "suffix" : "" }, { "dropping-particle" : "", "family" : "Clayton-Smith", "given" : "Jill", "non-dropping-particle" : "", "parse-names" : false, "suffix" : "" }, { "dropping-particle" : "", "family" : "Pagnamenta", "given" : "Alistair T", "non-dropping-particle" : "", "parse-names" : false, "suffix" : "" }, { "dropping-particle" : "", "family" : "Metcalfe", "given" : "Kay A", "non-dropping-particle" : "", "parse-names" : false, "suffix" : "" }, { "dropping-particle" : "", "family" : "Isidor", "given" : "Bertrand", "non-dropping-particle" : "", "parse-names" : false, "suffix" : "" }, { "dropping-particle" : "", "family" : "Louvier", "given" : "Ulrike Walther", "non-dropping-particle" : "", "parse-names" : false, "suffix" : "" }, { "dropping-particle" : "", "family" : "Poduri", "given" : "Annapurna", "non-dropping-particle" : "", "parse-names" : false, "suffix" : "" }, { "dropping-particle" : "", "family" : "Taylor", "given" : "Jenny C", "non-dropping-particle" : "", "parse-names" : false, "suffix" : "" }, { "dropping-particle" : "", "family" : "Tilly", "given" : "Peggy", "non-dropping-particle" : "", "parse-names" : false, "suffix" : "" }, { "dropping-particle" : "", "family" : "Poirier", "given" : "Karine", "non-dropping-particle" : "", "parse-names" : false, "suffix" : "" }, { "dropping-particle" : "", "family" : "Saillour", "given" : "Yoann", "non-dropping-particle" : "", "parse-names" : false, "suffix" : "" }, { "dropping-particle" : "", "family" : "Lebrun", "given" : "Nicolas", "non-dropping-particle" : "", "parse-names" : false, "suffix" : "" }, { "dropping-particle" : "", "family" : "Stemmelen", "given" : "Tristan", "non-dropping-particle" : "", "parse-names" : false, "suffix" : "" }, { "dropping-particle" : "", "family" : "Rudolf", "given" : "Gabrielle", "non-dropping-particle" : "", "parse-names" : false, "suffix" : "" }, { "dropping-particle" : "", "family" : "Muraca", "given" : "Giuseppe", "non-dropping-particle" : "", "parse-names" : false, "suffix" : "" }, { "dropping-particle" : "", "family" : "Saintpierre", "given" : "Benjamin", "non-dropping-particle" : "", "parse-names" : false, "suffix" : "" }, { "dropping-particle" : "", "family" : "Elmorjani", "given" : "Adrienne", "non-dropping-particle" : "", "parse-names" : false, "suffix" : "" }, { "dropping-particle" : "", "family" : "study", "given" : "Deciphering Developmental Disorders", "non-dropping-particle" : "", "parse-names" : false, "suffix" : "" }, { "dropping-particle" : "", "family" : "Moise", "given" : "Martin", "non-dropping-particle" : "", "parse-names" : false, "suffix" : "" }, { "dropping-particle" : "", "family" : "Weirauch", "given" : "Nathalie Bednarek", "non-dropping-particle" : "", "parse-names" : false, "suffix" : "" }, { "dropping-particle" : "", "family" : "Guerrini", "given" : "Renzo", "non-dropping-particle" : "", "parse-names" : false, "suffix" : "" }, { "dropping-particle" : "", "family" : "Boland", "given" : "Anne", "non-dropping-particle" : "", "parse-names" : false, "suffix" : "" }, { "dropping-particle" : "", "family" : "Olaso", "given" : "Robert", "non-dropping-particle" : "", "parse-names" : false, "suffix" : "" }, { "dropping-particle" : "", "family" : "Masson", "given" : "Cecile", "non-dropping-particle" : "", "parse-names" : false, "suffix" : "" }, { "dropping-particle" : "", "family" : "Tripathy", "given" : "Ratna", "non-dropping-particle" : "", "parse-names" : false, "suffix" : "" }, { "dropping-particle" : "", "family" : "Keays", "given" : "David", "non-dropping-particle" : "", "parse-names" : false, "suffix" : "" }, { "dropping-particle" : "", "family" : "Beldjord", "given" : "Cherif", "non-dropping-particle" : "", "parse-names" : false, "suffix" : "" }, { "dropping-particle" : "", "family" : "Nguyen", "given" : "Laurent", "non-dropping-particle" : "", "parse-names" : false, "suffix" : "" }, { "dropping-particle" : "", "family" : "Godin", "given" : "Juliette", "non-dropping-particle" : "", "parse-names" : false, "suffix" : "" }, { "dropping-particle" : "", "family" : "Kini", "given" : "Usha", "non-dropping-particle" : "", "parse-names" : false, "suffix" : "" }, { "dropping-particle" : "", "family" : "Nischke", "given" : "Patrick", "non-dropping-particle" : "", "parse-names" : false, "suffix" : "" }, { "dropping-particle" : "", "family" : "Deleuze", "given" : "Jean-Francois", "non-dropping-particle" : "", "parse-names" : false, "suffix" : "" }, { "dropping-particle" : "", "family" : "Bahi-Buisson", "given" : "Nadia", "non-dropping-particle" : "", "parse-names" : false, "suffix" : "" }, { "dropping-particle" : "", "family" : "Sumara", "given" : "Izabela", "non-dropping-particle" : "", "parse-names" : false, "suffix" : "" }, { "dropping-particle" : "", "family" : "Hinckelmann", "given" : "Maria-Victoria", "non-dropping-particle" : "", "parse-names" : false, "suffix" : "" }, { "dropping-particle" : "", "family" : "Chelly", "given" : "Jamel", "non-dropping-particle" : "", "parse-names" : false, "suffix" : "" } ], "container-title" : "Nat Genet", "id" : "ITEM-1", "issue" : "11", "issued" : { "date-parts" : [ [ "2016", "11" ] ] }, "page" : "1349-1358", "publisher" : "Nature Publishing Group, a division of Macmillan Publishers Limited. All Rights Reserved.", "title" : "Mutations in the HECT domain of NEDD4L lead to AKT-mTOR pathway deregulation and cause periventricular nodular heterotopia", "type" : "article-journal", "volume" : "48" }, "uris" : [ "http://www.mendeley.com/documents/?uuid=92093ece-11e3-40f4-8861-90551551f642" ] } ], "mendeley" : { "formattedCitation" : "[31]", "plainTextFormattedCitation" : "[31]", "previouslyFormattedCitation" : "[31]" }, "properties" : { "noteIndex" : 0 }, "schema" : "https://github.com/citation-style-language/schema/raw/master/csl-citation.json" }</w:instrText>
      </w:r>
      <w:r w:rsidR="00FF1A73" w:rsidRPr="00653918">
        <w:rPr>
          <w:rFonts w:ascii="Baskerville" w:hAnsi="Baskerville" w:cs="Baskerville"/>
          <w:sz w:val="22"/>
          <w:szCs w:val="22"/>
        </w:rPr>
        <w:fldChar w:fldCharType="separate"/>
      </w:r>
      <w:r w:rsidR="003F76BF" w:rsidRPr="003F76BF">
        <w:rPr>
          <w:rFonts w:ascii="Baskerville" w:hAnsi="Baskerville" w:cs="Baskerville"/>
          <w:noProof/>
          <w:sz w:val="22"/>
          <w:szCs w:val="22"/>
        </w:rPr>
        <w:t>[31]</w:t>
      </w:r>
      <w:r w:rsidR="00FF1A73" w:rsidRPr="00653918">
        <w:rPr>
          <w:rFonts w:ascii="Baskerville" w:hAnsi="Baskerville" w:cs="Baskerville"/>
          <w:sz w:val="22"/>
          <w:szCs w:val="22"/>
        </w:rPr>
        <w:fldChar w:fldCharType="end"/>
      </w:r>
      <w:r w:rsidR="00312E96">
        <w:rPr>
          <w:rFonts w:ascii="Baskerville" w:hAnsi="Baskerville" w:cs="Baskerville"/>
          <w:sz w:val="22"/>
          <w:szCs w:val="22"/>
        </w:rPr>
        <w:t>*</w:t>
      </w:r>
      <w:r w:rsidRPr="00653918">
        <w:rPr>
          <w:rFonts w:ascii="Baskerville" w:hAnsi="Baskerville" w:cs="Baskerville"/>
          <w:sz w:val="22"/>
          <w:szCs w:val="22"/>
        </w:rPr>
        <w:t>.</w:t>
      </w:r>
      <w:r w:rsidR="0079558C" w:rsidRPr="00653918">
        <w:rPr>
          <w:rFonts w:ascii="Baskerville" w:hAnsi="Baskerville" w:cs="Baskerville"/>
          <w:sz w:val="22"/>
          <w:szCs w:val="22"/>
        </w:rPr>
        <w:t xml:space="preserve"> </w:t>
      </w:r>
      <w:r w:rsidRPr="00653918">
        <w:rPr>
          <w:rFonts w:ascii="Baskerville" w:hAnsi="Baskerville" w:cs="Baskerville"/>
          <w:sz w:val="22"/>
          <w:szCs w:val="22"/>
        </w:rPr>
        <w:t xml:space="preserve">The </w:t>
      </w:r>
      <w:r w:rsidR="004D5647" w:rsidRPr="00653918">
        <w:rPr>
          <w:rFonts w:ascii="Baskerville" w:hAnsi="Baskerville" w:cs="Baskerville"/>
          <w:sz w:val="22"/>
          <w:szCs w:val="22"/>
        </w:rPr>
        <w:t>importance</w:t>
      </w:r>
      <w:r w:rsidRPr="00653918">
        <w:rPr>
          <w:rFonts w:ascii="Baskerville" w:hAnsi="Baskerville" w:cs="Baskerville"/>
          <w:sz w:val="22"/>
          <w:szCs w:val="22"/>
        </w:rPr>
        <w:t xml:space="preserve"> o</w:t>
      </w:r>
      <w:r w:rsidR="009620BC">
        <w:rPr>
          <w:rFonts w:ascii="Baskerville" w:hAnsi="Baskerville" w:cs="Baskerville"/>
          <w:sz w:val="22"/>
          <w:szCs w:val="22"/>
        </w:rPr>
        <w:t>f somatic mTOR pathway mutation</w:t>
      </w:r>
      <w:r w:rsidRPr="00653918">
        <w:rPr>
          <w:rFonts w:ascii="Baskerville" w:hAnsi="Baskerville" w:cs="Baskerville"/>
          <w:sz w:val="22"/>
          <w:szCs w:val="22"/>
        </w:rPr>
        <w:t xml:space="preserve"> </w:t>
      </w:r>
      <w:r w:rsidR="004D5647" w:rsidRPr="00653918">
        <w:rPr>
          <w:rFonts w:ascii="Baskerville" w:hAnsi="Baskerville" w:cs="Baskerville"/>
          <w:sz w:val="22"/>
          <w:szCs w:val="22"/>
        </w:rPr>
        <w:t xml:space="preserve">in </w:t>
      </w:r>
      <w:r w:rsidR="00BA6671" w:rsidRPr="00653918">
        <w:rPr>
          <w:rFonts w:ascii="Baskerville" w:hAnsi="Baskerville" w:cs="Baskerville"/>
          <w:sz w:val="22"/>
          <w:szCs w:val="22"/>
        </w:rPr>
        <w:t>focal cortical dysplasia</w:t>
      </w:r>
      <w:r w:rsidRPr="00653918">
        <w:rPr>
          <w:rFonts w:ascii="Baskerville" w:hAnsi="Baskerville" w:cs="Baskerville"/>
          <w:sz w:val="22"/>
          <w:szCs w:val="22"/>
        </w:rPr>
        <w:t xml:space="preserve"> </w:t>
      </w:r>
      <w:r w:rsidR="009D78C4">
        <w:rPr>
          <w:rFonts w:ascii="Baskerville" w:hAnsi="Baskerville" w:cs="Baskerville"/>
          <w:sz w:val="22"/>
          <w:szCs w:val="22"/>
        </w:rPr>
        <w:t xml:space="preserve">has also become </w:t>
      </w:r>
      <w:r w:rsidR="00620EE3">
        <w:rPr>
          <w:rFonts w:ascii="Baskerville" w:hAnsi="Baskerville" w:cs="Baskerville"/>
          <w:sz w:val="22"/>
          <w:szCs w:val="22"/>
        </w:rPr>
        <w:t xml:space="preserve">increasingly </w:t>
      </w:r>
      <w:r w:rsidR="009D78C4">
        <w:rPr>
          <w:rFonts w:ascii="Baskerville" w:hAnsi="Baskerville" w:cs="Baskerville"/>
          <w:sz w:val="22"/>
          <w:szCs w:val="22"/>
        </w:rPr>
        <w:t>apparent</w:t>
      </w:r>
      <w:r w:rsidR="00BA6671" w:rsidRPr="00653918">
        <w:rPr>
          <w:rFonts w:ascii="Baskerville" w:hAnsi="Baskerville" w:cs="Baskerville"/>
          <w:sz w:val="22"/>
          <w:szCs w:val="22"/>
        </w:rPr>
        <w:t xml:space="preserve"> with</w:t>
      </w:r>
      <w:r w:rsidR="004D5647" w:rsidRPr="00653918">
        <w:rPr>
          <w:rFonts w:ascii="Baskerville" w:hAnsi="Baskerville" w:cs="Baskerville"/>
          <w:sz w:val="22"/>
          <w:szCs w:val="22"/>
        </w:rPr>
        <w:t xml:space="preserve"> </w:t>
      </w:r>
      <w:r w:rsidR="009D78C4">
        <w:rPr>
          <w:rFonts w:ascii="Baskerville" w:hAnsi="Baskerville" w:cs="Baskerville"/>
          <w:sz w:val="22"/>
          <w:szCs w:val="22"/>
        </w:rPr>
        <w:t xml:space="preserve">deep sequencing </w:t>
      </w:r>
      <w:r w:rsidR="005536F9" w:rsidRPr="00653918">
        <w:rPr>
          <w:rFonts w:ascii="Baskerville" w:hAnsi="Baskerville" w:cs="Baskerville"/>
          <w:sz w:val="22"/>
          <w:szCs w:val="22"/>
        </w:rPr>
        <w:t xml:space="preserve">of </w:t>
      </w:r>
      <w:r w:rsidRPr="00653918">
        <w:rPr>
          <w:rFonts w:ascii="Baskerville" w:hAnsi="Baskerville" w:cs="Baskerville"/>
          <w:sz w:val="22"/>
          <w:szCs w:val="22"/>
        </w:rPr>
        <w:t xml:space="preserve">paired blood/brain </w:t>
      </w:r>
      <w:r w:rsidR="009D78C4">
        <w:rPr>
          <w:rFonts w:ascii="Baskerville" w:hAnsi="Baskerville" w:cs="Baskerville"/>
          <w:sz w:val="22"/>
          <w:szCs w:val="22"/>
        </w:rPr>
        <w:t>DNA</w:t>
      </w:r>
      <w:r w:rsidR="00F3024F">
        <w:rPr>
          <w:rFonts w:ascii="Baskerville" w:hAnsi="Baskerville" w:cs="Baskerville"/>
          <w:sz w:val="22"/>
          <w:szCs w:val="22"/>
        </w:rPr>
        <w:fldChar w:fldCharType="begin" w:fldLock="1"/>
      </w:r>
      <w:r w:rsidR="00F3024F">
        <w:rPr>
          <w:rFonts w:ascii="Baskerville" w:hAnsi="Baskerville" w:cs="Baskerville"/>
          <w:sz w:val="22"/>
          <w:szCs w:val="22"/>
        </w:rPr>
        <w:instrText>ADDIN CSL_CITATION { "citationItems" : [ { "id" : "ITEM-1", "itemData" : { "DOI" : "10.1002/ana.24444", "ISBN" : "0364-5134", "ISSN" : "15318249", "PMID" : "26018084", "abstract" : "OBJECTIVE: Focal cortical dysplasia (FCD) type IIb is a cortical malformation characterized by cortical architectural abnormalities, dysmorphic neurons, and balloon cells. It has been suggested that FCDs are caused by somatic mutations in cells in the developing brain. Here, we explore the possible involvement of somatic mutations in FCD type IIb.\\n\\nMETHODS: We collected a total of 24 blood-brain paired samples with FCD, including 13 individuals with FCD type IIb, 5 with type IIa, and 6 with type I. We performed whole-exome sequencing using paired samples from 9 of the FCD type IIb subjects. Somatic MTOR mutations were identified and further investigated using all 24 paired samples by deep sequencing of the entire gene's coding region. Somatic MTOR mutations were confirmed by droplet digital polymerase chain reaction. The effect of MTOR mutations on mammalian target of rapamycin (mTOR) kinase signaling was evaluated by immunohistochemistry and Western blotting analyses of brain samples and by in vitro transfection experiments.\\n\\nRESULTS: We identified four lesion-specific somatic MTOR mutations in 6 of 13 (46%) individuals with FCD type IIb showing mutant allele rates of 1.11% to 9.31%. Functional analyses showed that phosphorylation of ribosomal protein S6 in FCD type IIb brain tissues with MTOR mutations was clearly elevated, compared to control samples. Transfection of any of the four MTOR mutants into HEK293T cells led to elevated phosphorylation of 4EBP, the direct target of mTOR kinase.\\n\\nINTERPRETATION: We found low-prevalence somatic mutations in MTOR in FCD type IIb, indicating that activating somatic mutations in MTOR cause FCD type IIb. Ann Neurol 2015;78:375-386.", "author" : [ { "dropping-particle" : "", "family" : "Nakashima", "given" : "Mitsuko", "non-dropping-particle" : "", "parse-names" : false, "suffix" : "" }, { "dropping-particle" : "", "family" : "Saitsu", "given" : "Hirotomo", "non-dropping-particle" : "", "parse-names" : false, "suffix" : "" }, { "dropping-particle" : "", "family" : "Takei", "given" : "Nobuyuki", "non-dropping-particle" : "", "parse-names" : false, "suffix" : "" }, { "dropping-particle" : "", "family" : "Tohyama", "given" : "Jun", "non-dropping-particle" : "", "parse-names" : false, "suffix" : "" }, { "dropping-particle" : "", "family" : "Kato", "given" : "Mitsuhiro", "non-dropping-particle" : "", "parse-names" : false, "suffix" : "" }, { "dropping-particle" : "", "family" : "Kitaura", "given" : "Hiroki", "non-dropping-particle" : "", "parse-names" : false, "suffix" : "" }, { "dropping-particle" : "", "family" : "Shiina", "given" : "Masaaki", "non-dropping-particle" : "", "parse-names" : false, "suffix" : "" }, { "dropping-particle" : "", "family" : "Shirozu", "given" : "Hiroshi", "non-dropping-particle" : "", "parse-names" : false, "suffix" : "" }, { "dropping-particle" : "", "family" : "Masuda", "given" : "Hiroshi", "non-dropping-particle" : "", "parse-names" : false, "suffix" : "" }, { "dropping-particle" : "", "family" : "Watanabe", "given" : "Keisuke", "non-dropping-particle" : "", "parse-names" : false, "suffix" : "" }, { "dropping-particle" : "", "family" : "Ohba", "given" : "Chihiro", "non-dropping-particle" : "", "parse-names" : false, "suffix" : "" }, { "dropping-particle" : "", "family" : "Tsurusaki", "given" : "Yoshinori", "non-dropping-particle" : "", "parse-names" : false, "suffix" : "" }, { "dropping-particle" : "", "family" : "Miyake", "given" : "Noriko", "non-dropping-particle" : "", "parse-names" : false, "suffix" : "" }, { "dropping-particle" : "", "family" : "Zheng", "given" : "Yingjun", "non-dropping-particle" : "", "parse-names" : false, "suffix" : "" }, { "dropping-particle" : "", "family" : "Sato", "given" : "Tatsuhiro", "non-dropping-particle" : "", "parse-names" : false, "suffix" : "" }, { "dropping-particle" : "", "family" : "Takebayashi", "given" : "Hirohide", "non-dropping-particle" : "", "parse-names" : false, "suffix" : "" }, { "dropping-particle" : "", "family" : "Ogata", "given" : "Kazuhiro", "non-dropping-particle" : "", "parse-names" : false, "suffix" : "" }, { "dropping-particle" : "", "family" : "Kameyama", "given" : "Shigeki", "non-dropping-particle" : "", "parse-names" : false, "suffix" : "" }, { "dropping-particle" : "", "family" : "Kakita", "given" : "Akiyoshi", "non-dropping-particle" : "", "parse-names" : false, "suffix" : "" }, { "dropping-particle" : "", "family" : "Matsumoto", "given" : "Naomichi", "non-dropping-particle" : "", "parse-names" : false, "suffix" : "" } ], "container-title" : "Annals of Neurology", "id" : "ITEM-1", "issue" : "3", "issued" : { "date-parts" : [ [ "2015" ] ] }, "page" : "375-386", "title" : "Somatic Mutations in the MTOR gene cause focal cortical dysplasia type IIb", "type" : "article-journal", "volume" : "78" }, "uris" : [ "http://www.mendeley.com/documents/?uuid=ac1054e6-b8f2-45bc-9c4d-a0ad4d6995d7" ] } ], "mendeley" : { "formattedCitation" : "[32]", "plainTextFormattedCitation" : "[32]" }, "properties" : { "noteIndex" : 0 }, "schema" : "https://github.com/citation-style-language/schema/raw/master/csl-citation.json" }</w:instrText>
      </w:r>
      <w:r w:rsidR="00F3024F">
        <w:rPr>
          <w:rFonts w:ascii="Baskerville" w:hAnsi="Baskerville" w:cs="Baskerville"/>
          <w:sz w:val="22"/>
          <w:szCs w:val="22"/>
        </w:rPr>
        <w:fldChar w:fldCharType="separate"/>
      </w:r>
      <w:r w:rsidR="00F3024F" w:rsidRPr="00F3024F">
        <w:rPr>
          <w:rFonts w:ascii="Baskerville" w:hAnsi="Baskerville" w:cs="Baskerville"/>
          <w:noProof/>
          <w:sz w:val="22"/>
          <w:szCs w:val="22"/>
        </w:rPr>
        <w:t>[32]</w:t>
      </w:r>
      <w:r w:rsidR="00F3024F">
        <w:rPr>
          <w:rFonts w:ascii="Baskerville" w:hAnsi="Baskerville" w:cs="Baskerville"/>
          <w:sz w:val="22"/>
          <w:szCs w:val="22"/>
        </w:rPr>
        <w:fldChar w:fldCharType="end"/>
      </w:r>
      <w:r w:rsidR="00480169">
        <w:rPr>
          <w:rFonts w:ascii="Baskerville" w:hAnsi="Baskerville" w:cs="Baskerville"/>
          <w:sz w:val="22"/>
          <w:szCs w:val="22"/>
        </w:rPr>
        <w:fldChar w:fldCharType="begin" w:fldLock="1"/>
      </w:r>
      <w:r w:rsidR="00F3024F">
        <w:rPr>
          <w:rFonts w:ascii="Baskerville" w:hAnsi="Baskerville" w:cs="Baskerville"/>
          <w:sz w:val="22"/>
          <w:szCs w:val="22"/>
        </w:rPr>
        <w:instrText>ADDIN CSL_CITATION { "citationItems" : [ { "id" : "ITEM-1", "itemData" : { "DOI" : "10.1038/nm.3824", "ISBN" : "1546-170X (Electronic)\\r1078-8956 (Linking)", "ISSN" : "1546-170X", "PMID" : "25799227", "abstract" : "Focal cortical dysplasia type II (FCDII) is a sporadic developmental malformation of the cerebral cortex characterized by dysmorphic neurons, dyslamination and medically refractory epilepsy. It has been hypothesized that FCD is caused by somatic mutations in affected regions. Here, we used deep whole-exome sequencing (read depth, 412-668\u00d7) validated by site-specific amplicon sequencing (100-347,499\u00d7) in paired brain-blood DNA from four subjects with FCDII and uncovered a de novo brain somatic mutation, mechanistic target of rapamycin (MTOR) c.7280T&gt;C (p.Leu2427Pro) in two subjects. Deep sequencing of the MTOR gene in an additional 73 subjects with FCDII using hybrid capture and PCR amplicon sequencing identified eight different somatic missense mutations found in multiple brain tissue samples of ten subjects. The identified mutations accounted for 15.6% of all subjects with FCDII studied (12 of 77). The identified mutations induced the hyperactivation of mTOR kinase. Focal cortical expression of mutant MTOR by in utero electroporation in mice was sufficient to disrupt neuronal migration and cause spontaneous seizures and cytomegalic neurons. Inhibition of mTOR with rapamycin suppressed cytomegalic neurons and epileptic seizures. This study provides, to our knowledge, the first evidence that brain somatic activating mutations in MTOR cause FCD and identifies mTOR as a treatment target for intractable epilepsy in FCD.", "author" : [ { "dropping-particle" : "", "family" : "Lim", "given" : "Jae Seok", "non-dropping-particle" : "", "parse-names" : false, "suffix" : "" }, { "dropping-particle" : "", "family" : "Kim", "given" : "Woo-il", "non-dropping-particle" : "", "parse-names" : false, "suffix" : "" }, { "dropping-particle" : "", "family" : "Kang", "given" : "Hoon-Chul", "non-dropping-particle" : "", "parse-names" : false, "suffix" : "" }, { "dropping-particle" : "", "family" : "Kim", "given" : "Se Hoon", "non-dropping-particle" : "", "parse-names" : false, "suffix" : "" }, { "dropping-particle" : "", "family" : "Park", "given" : "Ah Hyung", "non-dropping-particle" : "", "parse-names" : false, "suffix" : "" }, { "dropping-particle" : "", "family" : "Park", "given" : "Eun Kyung", "non-dropping-particle" : "", "parse-names" : false, "suffix" : "" }, { "dropping-particle" : "", "family" : "Cho", "given" : "Young-Wook", "non-dropping-particle" : "", "parse-names" : false, "suffix" : "" }, { "dropping-particle" : "", "family" : "Kim", "given" : "Sangwoo", "non-dropping-particle" : "", "parse-names" : false, "suffix" : "" }, { "dropping-particle" : "", "family" : "Kim", "given" : "Ho Min", "non-dropping-particle" : "", "parse-names" : false, "suffix" : "" }, { "dropping-particle" : "", "family" : "Kim", "given" : "Jeong A", "non-dropping-particle" : "", "parse-names" : false, "suffix" : "" }, { "dropping-particle" : "", "family" : "Kim", "given" : "Junho", "non-dropping-particle" : "", "parse-names" : false, "suffix" : "" }, { "dropping-particle" : "", "family" : "Rhee", "given" : "Hwanseok", "non-dropping-particle" : "", "parse-names" : false, "suffix" : "" }, { "dropping-particle" : "", "family" : "Kang", "given" : "Seok-Gu", "non-dropping-particle" : "", "parse-names" : false, "suffix" : "" }, { "dropping-particle" : "", "family" : "Kim", "given" : "Heung Dong", "non-dropping-particle" : "", "parse-names" : false, "suffix" : "" }, { "dropping-particle" : "", "family" : "Kim", "given" : "Daesoo", "non-dropping-particle" : "", "parse-names" : false, "suffix" : "" }, { "dropping-particle" : "", "family" : "Kim", "given" : "Dong-Seok", "non-dropping-particle" : "", "parse-names" : false, "suffix" : "" }, { "dropping-particle" : "", "family" : "Lee", "given" : "Jeong Ho", "non-dropping-particle" : "", "parse-names" : false, "suffix" : "" } ], "container-title" : "Nature medicine", "id" : "ITEM-1", "issue" : "4", "issued" : { "date-parts" : [ [ "2015" ] ] }, "page" : "395-400", "title" : "Brain somatic mutations in MTOR cause focal cortical dysplasia type II leading to intractable epilepsy.", "type" : "article-journal", "volume" : "21" }, "uris" : [ "http://www.mendeley.com/documents/?uuid=56b8e07b-0489-41f0-8ae8-b5101e38bc28" ] } ], "mendeley" : { "formattedCitation" : "[33]", "plainTextFormattedCitation" : "[33]", "previouslyFormattedCitation" : "[32]" }, "properties" : { "noteIndex" : 0 }, "schema" : "https://github.com/citation-style-language/schema/raw/master/csl-citation.json" }</w:instrText>
      </w:r>
      <w:r w:rsidR="00480169">
        <w:rPr>
          <w:rFonts w:ascii="Baskerville" w:hAnsi="Baskerville" w:cs="Baskerville"/>
          <w:sz w:val="22"/>
          <w:szCs w:val="22"/>
        </w:rPr>
        <w:fldChar w:fldCharType="separate"/>
      </w:r>
      <w:r w:rsidR="00F3024F" w:rsidRPr="00F3024F">
        <w:rPr>
          <w:rFonts w:ascii="Baskerville" w:hAnsi="Baskerville" w:cs="Baskerville"/>
          <w:noProof/>
          <w:sz w:val="22"/>
          <w:szCs w:val="22"/>
        </w:rPr>
        <w:t>[33]</w:t>
      </w:r>
      <w:r w:rsidR="00480169">
        <w:rPr>
          <w:rFonts w:ascii="Baskerville" w:hAnsi="Baskerville" w:cs="Baskerville"/>
          <w:sz w:val="22"/>
          <w:szCs w:val="22"/>
        </w:rPr>
        <w:fldChar w:fldCharType="end"/>
      </w:r>
      <w:r w:rsidR="00312E96">
        <w:rPr>
          <w:rFonts w:ascii="Baskerville" w:hAnsi="Baskerville" w:cs="Baskerville"/>
          <w:sz w:val="22"/>
          <w:szCs w:val="22"/>
        </w:rPr>
        <w:t>*</w:t>
      </w:r>
      <w:r w:rsidRPr="00653918">
        <w:rPr>
          <w:rFonts w:ascii="Baskerville" w:hAnsi="Baskerville" w:cs="Baskerville"/>
          <w:sz w:val="22"/>
          <w:szCs w:val="22"/>
        </w:rPr>
        <w:t xml:space="preserve">. </w:t>
      </w:r>
    </w:p>
    <w:p w14:paraId="42B5E8A4" w14:textId="77777777" w:rsidR="00786395" w:rsidRPr="00653918" w:rsidRDefault="00786395" w:rsidP="000B3D67">
      <w:pPr>
        <w:spacing w:line="360" w:lineRule="auto"/>
        <w:jc w:val="both"/>
        <w:rPr>
          <w:rFonts w:ascii="Baskerville" w:hAnsi="Baskerville" w:cs="Baskerville"/>
          <w:b/>
          <w:sz w:val="22"/>
          <w:szCs w:val="22"/>
        </w:rPr>
      </w:pPr>
    </w:p>
    <w:p w14:paraId="4B073B28" w14:textId="70D5FA88" w:rsidR="00786395" w:rsidRPr="00653918" w:rsidRDefault="007C04A7" w:rsidP="00B260D7">
      <w:pPr>
        <w:spacing w:line="360" w:lineRule="auto"/>
        <w:jc w:val="both"/>
        <w:rPr>
          <w:rFonts w:ascii="Baskerville" w:hAnsi="Baskerville" w:cs="Baskerville"/>
          <w:sz w:val="22"/>
          <w:szCs w:val="22"/>
        </w:rPr>
      </w:pPr>
      <w:r>
        <w:rPr>
          <w:rFonts w:ascii="Baskerville" w:hAnsi="Baskerville" w:cs="Baskerville"/>
          <w:sz w:val="22"/>
          <w:szCs w:val="22"/>
        </w:rPr>
        <w:t>Another</w:t>
      </w:r>
      <w:r w:rsidR="00B260D7" w:rsidRPr="00653918">
        <w:rPr>
          <w:rFonts w:ascii="Baskerville" w:hAnsi="Baskerville" w:cs="Baskerville"/>
          <w:sz w:val="22"/>
          <w:szCs w:val="22"/>
        </w:rPr>
        <w:t xml:space="preserve"> fascinating development has been the association </w:t>
      </w:r>
      <w:r w:rsidR="0026381E" w:rsidRPr="00653918">
        <w:rPr>
          <w:rFonts w:ascii="Baskerville" w:hAnsi="Baskerville" w:cs="Baskerville"/>
          <w:sz w:val="22"/>
          <w:szCs w:val="22"/>
        </w:rPr>
        <w:t>of</w:t>
      </w:r>
      <w:r w:rsidR="00B260D7" w:rsidRPr="00653918">
        <w:rPr>
          <w:rFonts w:ascii="Baskerville" w:hAnsi="Baskerville" w:cs="Baskerville"/>
          <w:sz w:val="22"/>
          <w:szCs w:val="22"/>
        </w:rPr>
        <w:t xml:space="preserve"> genes </w:t>
      </w:r>
      <w:r w:rsidR="0026381E" w:rsidRPr="00653918">
        <w:rPr>
          <w:rFonts w:ascii="Baskerville" w:hAnsi="Baskerville" w:cs="Baskerville"/>
          <w:sz w:val="22"/>
          <w:szCs w:val="22"/>
        </w:rPr>
        <w:t>involved</w:t>
      </w:r>
      <w:r w:rsidR="00B260D7" w:rsidRPr="00653918">
        <w:rPr>
          <w:rFonts w:ascii="Baskerville" w:hAnsi="Baskerville" w:cs="Baskerville"/>
          <w:sz w:val="22"/>
          <w:szCs w:val="22"/>
        </w:rPr>
        <w:t xml:space="preserve"> in transcriptional regulation through chromatin </w:t>
      </w:r>
      <w:r w:rsidR="0026381E" w:rsidRPr="00653918">
        <w:rPr>
          <w:rFonts w:ascii="Baskerville" w:hAnsi="Baskerville" w:cs="Baskerville"/>
          <w:sz w:val="22"/>
          <w:szCs w:val="22"/>
        </w:rPr>
        <w:t>remodeling with epilepsy. E</w:t>
      </w:r>
      <w:r w:rsidR="00B260D7" w:rsidRPr="00653918">
        <w:rPr>
          <w:rFonts w:ascii="Baskerville" w:hAnsi="Baskerville" w:cs="Baskerville"/>
          <w:sz w:val="22"/>
          <w:szCs w:val="22"/>
        </w:rPr>
        <w:t xml:space="preserve">xamples include </w:t>
      </w:r>
      <w:r w:rsidR="00B260D7" w:rsidRPr="00653918">
        <w:rPr>
          <w:rFonts w:ascii="Baskerville" w:hAnsi="Baskerville" w:cs="Baskerville"/>
          <w:i/>
          <w:sz w:val="22"/>
          <w:szCs w:val="22"/>
        </w:rPr>
        <w:t>CHD2</w:t>
      </w:r>
      <w:r w:rsidR="00B260D7" w:rsidRPr="00653918">
        <w:rPr>
          <w:rFonts w:ascii="Baskerville" w:hAnsi="Baskerville" w:cs="Baskerville"/>
          <w:sz w:val="22"/>
          <w:szCs w:val="22"/>
        </w:rPr>
        <w:t xml:space="preserve">, </w:t>
      </w:r>
      <w:r w:rsidR="00101446" w:rsidRPr="00653918">
        <w:rPr>
          <w:rFonts w:ascii="Baskerville" w:hAnsi="Baskerville" w:cs="Baskerville"/>
          <w:sz w:val="22"/>
          <w:szCs w:val="22"/>
        </w:rPr>
        <w:t xml:space="preserve">associated with myoclonic encephalopathy and </w:t>
      </w:r>
      <w:r w:rsidR="00B260D7" w:rsidRPr="00653918">
        <w:rPr>
          <w:rFonts w:ascii="Baskerville" w:hAnsi="Baskerville" w:cs="Baskerville"/>
          <w:sz w:val="22"/>
          <w:szCs w:val="22"/>
        </w:rPr>
        <w:t>photosensitivity</w:t>
      </w:r>
      <w:r w:rsidR="00101446" w:rsidRPr="00653918">
        <w:rPr>
          <w:rFonts w:ascii="Baskerville" w:hAnsi="Baskerville" w:cs="Baskerville"/>
          <w:sz w:val="22"/>
          <w:szCs w:val="22"/>
        </w:rPr>
        <w:fldChar w:fldCharType="begin" w:fldLock="1"/>
      </w:r>
      <w:r w:rsidR="00F3024F">
        <w:rPr>
          <w:rFonts w:ascii="Baskerville" w:hAnsi="Baskerville" w:cs="Baskerville"/>
          <w:sz w:val="22"/>
          <w:szCs w:val="22"/>
        </w:rPr>
        <w:instrText>ADDIN CSL_CITATION { "citationItems" : [ { "id" : "ITEM-1", "itemData" : { "DOI" : "10.1212/WNL.0000000000001305", "ISBN" : "0028-3878", "ISSN" : "1526632X", "PMID" : "25672921", "abstract" : "Objective: To delineate the phenotype of early childhood epileptic encephalopathy due to de novo mutations of CHD2, which encodes the chromodomain helicase DNA binding protein 2. Methods: We analyzed the medical history, MRI, and video-EEG recordings of 9 individuals with de novo CHD2 mutations and one with a de novo 15q26 deletion encompassing CHD2. Results: Seizures began at a mean of 26 months (12-42) with myoclonic seizures in all 10 cases. Seven exhibited exquisite clinical photosensitivity; 6 self-induced with the television. Absence seizures occurred in 9 patients including typical (4), atypical (2), and absence seizures with eyelid myoclonias (4). Generalized tonic-clonic seizures occurred in 9 of 10 cases with a mean onset of 5.8 years. Convulsive and nonconvulsive status epilepticus were later features (6/10, mean onset 9 years). Tonic (40%) and atonic (30%) seizures also occurred. In 3 cases, an unusual seizure type, the atonic-myoclonic-absence was captured on video. A phenotypic spectrum was identified with 7 cases having moderate to severe intellectual disability and refractory seizures including tonic attacks. Their mean age at onset was 23 months. Three cases had a later age at onset (34 months) with relative preservation of intellect and an initial response to antiepileptic medication. Conclusion: The phenotypic spectrum of CHD2 encephalopathy has distinctive features of myoclonic epilepsy, marked clinical photosensitivity, atonic-myoclonic-absence, and intellectual disability ranging from mild to severe. Recognition of this genetic entity will permit earlier diagnosis and enable the development of targeted therapies. \u00a9 2015 American Academy of Neurology.", "author" : [ { "dropping-particle" : "", "family" : "Thomas", "given" : "Rhys H.", "non-dropping-particle" : "", "parse-names" : false, "suffix" : "" }, { "dropping-particle" : "", "family" : "Zhang", "given" : "Lin Mei", "non-dropping-particle" : "", "parse-names" : false, "suffix" : "" }, { "dropping-particle" : "", "family" : "Carvill", "given" : "Gemma L.", "non-dropping-particle" : "", "parse-names" : false, "suffix" : "" }, { "dropping-particle" : "", "family" : "Archer", "given" : "John S.", "non-dropping-particle" : "", "parse-names" : false, "suffix" : "" }, { "dropping-particle" : "", "family" : "Heavin", "given" : "Sin\u00e9ad B.", "non-dropping-particle" : "", "parse-names" : false, "suffix" : "" }, { "dropping-particle" : "", "family" : "Mandelstam", "given" : "Simone A.", "non-dropping-particle" : "", "parse-names" : false, "suffix" : "" }, { "dropping-particle" : "", "family" : "Craiu", "given" : "Dana", "non-dropping-particle" : "", "parse-names" : false, "suffix" : "" }, { "dropping-particle" : "", "family" : "Berkovic", "given" : "Samuel F.", "non-dropping-particle" : "", "parse-names" : false, "suffix" : "" }, { "dropping-particle" : "", "family" : "Gill", "given" : "Deepak S.", "non-dropping-particle" : "", "parse-names" : false, "suffix" : "" }, { "dropping-particle" : "", "family" : "Mefford", "given" : "Heather C.", "non-dropping-particle" : "", "parse-names" : false, "suffix" : "" }, { "dropping-particle" : "", "family" : "Scheffer", "given" : "Ingrid E.", "non-dropping-particle" : "", "parse-names" : false, "suffix" : "" } ], "container-title" : "Neurology", "id" : "ITEM-1", "issue" : "9", "issued" : { "date-parts" : [ [ "2015" ] ] }, "page" : "951-958", "title" : "CHD2 myoclonic encephalopathy is frequently associated with self-induced seizures", "type" : "article-journal", "volume" : "84" }, "uris" : [ "http://www.mendeley.com/documents/?uuid=aed85277-d22e-4870-bb7f-3050ce92f22e" ] }, { "id" : "ITEM-2", "itemData" : { "DOI" : "10.1093/brain/awv052", "ISBN" : "00068950 (ISSN)", "ISSN" : "14602156", "PMID" : "25783594", "abstract" : "Photosensitivity is a heritable abnormal cortical response to flickering light, manifesting as particular electroencephalographic changes, with or without seizures. Photosensitivity is prominent in a very rare epileptic encephalopathy due to de novo CHD2 mutations, but is also seen in epileptic encephalopathies due to other gene mutations. We determined whether CHD2 variation underlies photosensitivity in common epilepsies, specific photosensitive epilepsies and individuals with photosensitivity without seizures. We studied 580 individuals with epilepsy and either photosensitive seizures or abnormal photoparoxysmal response on electroencephalography, or both, and 55 individuals with photoparoxysmal response but no seizures. We compared CHD2 sequence data to publicly available data from 34 427 individuals, not enriched for epilepsy. We investigated the role of unique variants seen only once in the entire data set. We sought CHD2 variants in 238 exomes from familial genetic generalized epilepsies, and in other public exome data sets. We identified 11 unique variants in the 580 individuals with photosensitive epilepsies and 128 unique variants in the 34 427 controls: unique CHD2 variation is over-represented in cases overall (P = 2\u00b717 \u00d7 10(-5)). Among epilepsy syndromes, there was over-representation of unique CHD2 variants (3/36 cases) in the archetypal photosensitive epilepsy syndrome, eyelid myoclonia with absences (P = 3\u00b750 \u00d7 10(-4)). CHD2 variation was not over-represented in photoparoxysmal response without seizures. Zebrafish larvae with chd2 knockdown were tested for photosensitivity. Chd2 knockdown markedly enhanced mild innate zebrafish larval photosensitivity. CHD2 mutation is the first identified cause of the archetypal generalized photosensitive epilepsy syndrome, eyelid myoclonia with absences. Unique CHD2 variants are also associated with photosensitivity in common epilepsies. CHD2 does not encode an ion channel, opening new avenues for research into human cortical excitability.", "author" : [ { "dropping-particle" : "", "family" : "Galizia", "given" : "Elizabeth C.", "non-dropping-particle" : "", "parse-names" : false, "suffix" : "" }, { "dropping-particle" : "", "family" : "Myers", "given" : "Candace T.", "non-dropping-particle" : "", "parse-names" : false, "suffix" : "" }, { "dropping-particle" : "", "family" : "Leu", "given" : "Costin", "non-dropping-particle" : "", "parse-names" : false, "suffix" : "" }, { "dropping-particle" : "", "family" : "Kovel", "given" : "Carolien G F", "non-dropping-particle" : "de", "parse-names" : false, "suffix" : "" }, { "dropping-particle" : "", "family" : "Afrikanova", "given" : "Tatiana", "non-dropping-particle" : "", "parse-names" : false, "suffix" : "" }, { "dropping-particle" : "", "family" : "Cordero-Maldonado", "given" : "Maria L orena", "non-dropping-particle" : "", "parse-names" : false, "suffix" : "" }, { "dropping-particle" : "", "family" : "Martins", "given" : "Teresa G.", "non-dropping-particle" : "", "parse-names" : false, "suffix" : "" }, { "dropping-particle" : "", "family" : "Jacmin", "given" : "Maxime", "non-dropping-particle" : "", "parse-names" : false, "suffix" : "" }, { "dropping-particle" : "", "family" : "Drury", "given" : "Suzanne", "non-dropping-particle" : "", "parse-names" : false, "suffix" : "" }, { "dropping-particle" : "", "family" : "Krishna Chinthapalli", "given" : "V.", "non-dropping-particle" : "", "parse-names" : false, "suffix" : "" }, { "dropping-particle" : "", "family" : "Muhle", "given" : "Hiltrud", "non-dropping-particle" : "", "parse-names" : false, "suffix" : "" }, { "dropping-particle" : "", "family" : "Pendziwiat", "given" : "Manuela", "non-dropping-particle" : "", "parse-names" : false, "suffix" : "" }, { "dropping-particle" : "", "family" : "Sander", "given" : "Thomas", "non-dropping-particle" : "", "parse-names" : false, "suffix" : "" }, { "dropping-particle" : "", "family" : "Ruppert", "given" : "Ann Kathrin", "non-dropping-particle" : "", "parse-names" : false, "suffix" : "" }, { "dropping-particle" : "", "family" : "M\u00f8ller", "given" : "Rikke S.", "non-dropping-particle" : "", "parse-names" : false, "suffix" : "" }, { "dropping-particle" : "", "family" : "Thiele", "given" : "Holger", "non-dropping-particle" : "", "parse-names" : false, "suffix" : "" }, { "dropping-particle" : "", "family" : "Krause", "given" : "Roland", "non-dropping-particle" : "", "parse-names" : false, "suffix" : "" }, { "dropping-particle" : "", "family" : "Schubert", "given" : "Julian", "non-dropping-particle" : "", "parse-names" : false, "suffix" : "" }, { "dropping-particle" : "", "family" : "Lehesjoki", "given" : "Anna Elina", "non-dropping-particle" : "", "parse-names" : false, "suffix" : "" }, { "dropping-particle" : "", "family" : "N\u00fcrnberg", "given" : "Peter", "non-dropping-particle" : "", "parse-names" : false, "suffix" : "" }, { "dropping-particle" : "", "family" : "Lerche", "given" : "Holger", "non-dropping-particle" : "", "parse-names" : false, "suffix" : "" }, { "dropping-particle" : "", "family" : "Palotie", "given" : "Aarno", "non-dropping-particle" : "", "parse-names" : false, "suffix" : "" }, { "dropping-particle" : "", "family" : "Coppola", "given" : "Antonietta", "non-dropping-particle" : "", "parse-names" : false, "suffix" : "" }, { "dropping-particle" : "", "family" : "Striano", "given" : "Salvatore", "non-dropping-particle" : "", "parse-names" : false, "suffix" : "" }, { "dropping-particle" : "el", "family" : "Gaudio", "given" : "Luigi D", "non-dropping-particle" : "", "parse-names" : false, "suffix" : "" }, { "dropping-particle" : "", "family" : "Boustred", "given" : "Christopher", "non-dropping-particle" : "", "parse-names" : false, "suffix" : "" }, { "dropping-particle" : "", "family" : "Schneider", "given" : "Amy L.", "non-dropping-particle" : "", "parse-names" : false, "suffix" : "" }, { "dropping-particle" : "", "family" : "Lench", "given" : "Nicholas", "non-dropping-particle" : "", "parse-names" : false, "suffix" : "" }, { "dropping-particle" : "", "family" : "Jocic-Jakubi", "given" : "Bosanka", "non-dropping-particle" : "", "parse-names" : false, "suffix" : "" }, { "dropping-particle" : "", "family" : "Covanis", "given" : "Athanasios", "non-dropping-particle" : "", "parse-names" : false, "suffix" : "" }, { "dropping-particle" : "", "family" : "Capovilla", "given" : "Giuseppe", "non-dropping-particle" : "", "parse-names" : false, "suffix" : "" }, { "dropping-particle" : "", "family" : "Veggiotti", "given" : "Pierangelo", "non-dropping-particle" : "", "parse-names" : false, "suffix" : "" }, { "dropping-particle" : "", "family" : "Piccioli", "given" : "Marta", "non-dropping-particle" : "", "parse-names" : false, "suffix" : "" }, { "dropping-particle" : "", "family" : "Parisi", "given" : "Pasquale", "non-dropping-particle" : "", "parse-names" : false, "suffix" : "" }, { "dropping-particle" : "", "family" : "Cantonetti", "given" : "Laura", "non-dropping-particle" : "", "parse-names" : false, "suffix" : "" }, { "dropping-particle" : "", "family" : "Sadleir", "given" : "Lynette G.", "non-dropping-particle" : "", "parse-names" : false, "suffix" : "" }, { "dropping-particle" : "", "family" : "Mullen", "given" : "Saul A.", "non-dropping-particle" : "", "parse-names" : false, "suffix" : "" }, { "dropping-particle" : "", "family" : "Berkovic", "given" : "Samuel F.", "non-dropping-particle" : "", "parse-names" : false, "suffix" : "" }, { "dropping-particle" : "", "family" : "Stephani", "given" : "Ulrich", "non-dropping-particle" : "", "parse-names" : false, "suffix" : "" }, { "dropping-particle" : "", "family" : "Helbig", "given" : "Ingo", "non-dropping-particle" : "", "parse-names" : false, "suffix" : "" }, { "dropping-particle" : "", "family" : "Crawford", "given" : "Alexander D.", "non-dropping-particle" : "", "parse-names" : false, "suffix" : "" }, { "dropping-particle" : "V.", "family" : "Esguerra", "given" : "Camila", "non-dropping-particle" : "", "parse-names" : false, "suffix" : "" }, { "dropping-particle" : "", "family" : "Kasteleijn-Nolst Trenit\u00e9", "given" : "Dorothee G A", "non-dropping-particle" : "", "parse-names" : false, "suffix" : "" }, { "dropping-particle" : "", "family" : "Koeleman", "given" : "Bobby P C", "non-dropping-particle" : "", "parse-names" : false, "suffix" : "" }, { "dropping-particle" : "", "family" : "Mefford", "given" : "Heather C.", "non-dropping-particle" : "", "parse-names" : false, "suffix" : "" }, { "dropping-particle" : "", "family" : "Scheffer", "given" : "Ingrid E.", "non-dropping-particle" : "", "parse-names" : false, "suffix" : "" }, { "dropping-particle" : "", "family" : "Sisodiya", "given" : "Sanjay M.", "non-dropping-particle" : "", "parse-names" : false, "suffix" : "" } ], "container-title" : "Brain : a journal of neurology", "id" : "ITEM-2", "issued" : { "date-parts" : [ [ "2015" ] ] }, "page" : "1198-1207", "title" : "CHD2 variants are a risk factor for photosensitivity in epilepsy", "type" : "article-journal", "volume" : "138" }, "uris" : [ "http://www.mendeley.com/documents/?uuid=e07aaf80-6fe5-4a19-b80e-718297dd1392" ] } ], "mendeley" : { "formattedCitation" : "[34,35]", "plainTextFormattedCitation" : "[34,35]", "previouslyFormattedCitation" : "[33,34]" }, "properties" : { "noteIndex" : 0 }, "schema" : "https://github.com/citation-style-language/schema/raw/master/csl-citation.json" }</w:instrText>
      </w:r>
      <w:r w:rsidR="00101446" w:rsidRPr="00653918">
        <w:rPr>
          <w:rFonts w:ascii="Baskerville" w:hAnsi="Baskerville" w:cs="Baskerville"/>
          <w:sz w:val="22"/>
          <w:szCs w:val="22"/>
        </w:rPr>
        <w:fldChar w:fldCharType="separate"/>
      </w:r>
      <w:r w:rsidR="00F3024F" w:rsidRPr="00F3024F">
        <w:rPr>
          <w:rFonts w:ascii="Baskerville" w:hAnsi="Baskerville" w:cs="Baskerville"/>
          <w:noProof/>
          <w:sz w:val="22"/>
          <w:szCs w:val="22"/>
        </w:rPr>
        <w:t>[34,35]</w:t>
      </w:r>
      <w:r w:rsidR="00101446" w:rsidRPr="00653918">
        <w:rPr>
          <w:rFonts w:ascii="Baskerville" w:hAnsi="Baskerville" w:cs="Baskerville"/>
          <w:sz w:val="22"/>
          <w:szCs w:val="22"/>
        </w:rPr>
        <w:fldChar w:fldCharType="end"/>
      </w:r>
      <w:r w:rsidR="00312E96">
        <w:rPr>
          <w:rFonts w:ascii="Baskerville" w:hAnsi="Baskerville" w:cs="Baskerville"/>
          <w:sz w:val="22"/>
          <w:szCs w:val="22"/>
        </w:rPr>
        <w:t>*</w:t>
      </w:r>
      <w:r w:rsidR="00B260D7" w:rsidRPr="00653918">
        <w:rPr>
          <w:rFonts w:ascii="Baskerville" w:hAnsi="Baskerville" w:cs="Baskerville"/>
          <w:sz w:val="22"/>
          <w:szCs w:val="22"/>
        </w:rPr>
        <w:t xml:space="preserve">, </w:t>
      </w:r>
      <w:r w:rsidR="00B260D7" w:rsidRPr="00653918">
        <w:rPr>
          <w:rFonts w:ascii="Baskerville" w:hAnsi="Baskerville" w:cs="Baskerville"/>
          <w:i/>
          <w:sz w:val="22"/>
          <w:szCs w:val="22"/>
        </w:rPr>
        <w:t>SMARCA2</w:t>
      </w:r>
      <w:r w:rsidR="00B260D7" w:rsidRPr="00653918">
        <w:rPr>
          <w:rFonts w:ascii="Baskerville" w:hAnsi="Baskerville" w:cs="Baskerville"/>
          <w:sz w:val="22"/>
          <w:szCs w:val="22"/>
        </w:rPr>
        <w:t xml:space="preserve"> associated with </w:t>
      </w:r>
      <w:r w:rsidR="006E49B5" w:rsidRPr="00653918">
        <w:rPr>
          <w:rFonts w:ascii="Baskerville" w:hAnsi="Baskerville" w:cs="Baskerville"/>
          <w:noProof/>
          <w:sz w:val="22"/>
          <w:szCs w:val="22"/>
        </w:rPr>
        <w:t>Nicolaides–Baraitser Syndrome and Myoclonic Astatic Epilepsy</w:t>
      </w:r>
      <w:r w:rsidR="006E49B5" w:rsidRPr="00653918">
        <w:rPr>
          <w:rFonts w:ascii="Baskerville" w:hAnsi="Baskerville" w:cs="Baskerville"/>
          <w:noProof/>
          <w:sz w:val="22"/>
          <w:szCs w:val="22"/>
        </w:rPr>
        <w:fldChar w:fldCharType="begin" w:fldLock="1"/>
      </w:r>
      <w:r w:rsidR="00F3024F">
        <w:rPr>
          <w:rFonts w:ascii="Baskerville" w:hAnsi="Baskerville" w:cs="Baskerville"/>
          <w:noProof/>
          <w:sz w:val="22"/>
          <w:szCs w:val="22"/>
        </w:rPr>
        <w:instrText>ADDIN CSL_CITATION { "citationItems" : [ { "id" : "ITEM-1", "itemData" : { "DOI" : "10.1002/ajmg.a.37935", "ISSN" : "1552-4833", "PMID" : "27665729", "abstract" : "We report a de novo SMARCA2 missense mutation discovered on exome sequencing in a patient with myoclonic astatic epilepsy, leading to reassessment and identification of Nicolaides-Baraitser syndrome. This de novo SMARCA2 missense mutation c.3721C&gt;G, p.Gln1241Glu is the only reported mutation on exon 26 outside the ATPase domain of SMARCA2 to be associated with Nicolaides-Baraitser syndrome and adds to chromatin remodeling as a pathway for epileptogenesis. \u00a9 2016 The Authors. American Journal of Medical Genetics Part A published by Wiley Periodicals, Inc.", "author" : [ { "dropping-particle" : "", "family" : "Tang", "given" : "S", "non-dropping-particle" : "", "parse-names" : false, "suffix" : "" }, { "dropping-particle" : "", "family" : "Hughes", "given" : "E", "non-dropping-particle" : "", "parse-names" : false, "suffix" : "" }, { "dropping-particle" : "", "family" : "Lascelles", "given" : "K", "non-dropping-particle" : "", "parse-names" : false, "suffix" : "" }, { "dropping-particle" : "", "family" : "Simpson", "given" : "M A", "non-dropping-particle" : "", "parse-names" : false, "suffix" : "" }, { "dropping-particle" : "", "family" : "Pal", "given" : "D K", "non-dropping-particle" : "", "parse-names" : false, "suffix" : "" } ], "container-title" : "American journal of medical genetics. Part A", "id" : "ITEM-1", "issued" : { "date-parts" : [ [ "2016", "9", "26" ] ] }, "title" : "New SMARCA2 mutation in a patient with Nicolaides-Baraitser syndrome and myoclonic astatic epilepsy.", "type" : "article-journal" }, "uris" : [ "http://www.mendeley.com/documents/?uuid=f7ff959b-4b53-4c91-a326-f7706697132f" ] } ], "mendeley" : { "formattedCitation" : "[36]", "plainTextFormattedCitation" : "[36]", "previouslyFormattedCitation" : "[35]" }, "properties" : { "noteIndex" : 0 }, "schema" : "https://github.com/citation-style-language/schema/raw/master/csl-citation.json" }</w:instrText>
      </w:r>
      <w:r w:rsidR="006E49B5" w:rsidRPr="00653918">
        <w:rPr>
          <w:rFonts w:ascii="Baskerville" w:hAnsi="Baskerville" w:cs="Baskerville"/>
          <w:noProof/>
          <w:sz w:val="22"/>
          <w:szCs w:val="22"/>
        </w:rPr>
        <w:fldChar w:fldCharType="separate"/>
      </w:r>
      <w:r w:rsidR="00F3024F" w:rsidRPr="00F3024F">
        <w:rPr>
          <w:rFonts w:ascii="Baskerville" w:hAnsi="Baskerville" w:cs="Baskerville"/>
          <w:noProof/>
          <w:sz w:val="22"/>
          <w:szCs w:val="22"/>
        </w:rPr>
        <w:t>[36]</w:t>
      </w:r>
      <w:r w:rsidR="006E49B5" w:rsidRPr="00653918">
        <w:rPr>
          <w:rFonts w:ascii="Baskerville" w:hAnsi="Baskerville" w:cs="Baskerville"/>
          <w:noProof/>
          <w:sz w:val="22"/>
          <w:szCs w:val="22"/>
        </w:rPr>
        <w:fldChar w:fldCharType="end"/>
      </w:r>
      <w:r w:rsidR="00312E96">
        <w:rPr>
          <w:rFonts w:ascii="Baskerville" w:hAnsi="Baskerville" w:cs="Baskerville"/>
          <w:noProof/>
          <w:sz w:val="22"/>
          <w:szCs w:val="22"/>
        </w:rPr>
        <w:t>*</w:t>
      </w:r>
      <w:r w:rsidR="006E49B5" w:rsidRPr="00653918">
        <w:rPr>
          <w:rFonts w:ascii="Baskerville" w:hAnsi="Baskerville" w:cs="Baskerville"/>
          <w:noProof/>
          <w:sz w:val="22"/>
          <w:szCs w:val="22"/>
        </w:rPr>
        <w:t>,</w:t>
      </w:r>
      <w:r w:rsidR="00B260D7" w:rsidRPr="00653918">
        <w:rPr>
          <w:rFonts w:ascii="Baskerville" w:hAnsi="Baskerville" w:cs="Baskerville"/>
          <w:sz w:val="22"/>
          <w:szCs w:val="22"/>
        </w:rPr>
        <w:t xml:space="preserve"> and </w:t>
      </w:r>
      <w:r w:rsidR="00B260D7" w:rsidRPr="00653918">
        <w:rPr>
          <w:rFonts w:ascii="Baskerville" w:hAnsi="Baskerville" w:cs="Baskerville"/>
          <w:i/>
          <w:sz w:val="22"/>
          <w:szCs w:val="22"/>
        </w:rPr>
        <w:t>SMC1A</w:t>
      </w:r>
      <w:r w:rsidR="00B260D7" w:rsidRPr="00653918">
        <w:rPr>
          <w:rFonts w:ascii="Baskerville" w:hAnsi="Baskerville" w:cs="Baskerville"/>
          <w:sz w:val="22"/>
          <w:szCs w:val="22"/>
        </w:rPr>
        <w:t xml:space="preserve">, </w:t>
      </w:r>
      <w:r w:rsidR="00615768" w:rsidRPr="00653918">
        <w:rPr>
          <w:rFonts w:ascii="Baskerville" w:hAnsi="Baskerville" w:cs="Baskerville"/>
          <w:sz w:val="22"/>
          <w:szCs w:val="22"/>
        </w:rPr>
        <w:t>associated with</w:t>
      </w:r>
      <w:r w:rsidR="00B260D7" w:rsidRPr="00653918">
        <w:rPr>
          <w:rFonts w:ascii="Baskerville" w:hAnsi="Baskerville" w:cs="Baskerville"/>
          <w:sz w:val="22"/>
          <w:szCs w:val="22"/>
        </w:rPr>
        <w:t xml:space="preserve"> a severe epilepsy with cluster</w:t>
      </w:r>
      <w:r w:rsidR="008E05A7" w:rsidRPr="00653918">
        <w:rPr>
          <w:rFonts w:ascii="Baskerville" w:hAnsi="Baskerville" w:cs="Baskerville"/>
          <w:sz w:val="22"/>
          <w:szCs w:val="22"/>
        </w:rPr>
        <w:t>s of</w:t>
      </w:r>
      <w:r w:rsidR="00B260D7" w:rsidRPr="00653918">
        <w:rPr>
          <w:rFonts w:ascii="Baskerville" w:hAnsi="Baskerville" w:cs="Baskerville"/>
          <w:sz w:val="22"/>
          <w:szCs w:val="22"/>
        </w:rPr>
        <w:t xml:space="preserve"> seizures in females</w:t>
      </w:r>
      <w:r w:rsidR="00E04D56" w:rsidRPr="00653918">
        <w:rPr>
          <w:rFonts w:ascii="Baskerville" w:hAnsi="Baskerville" w:cs="Baskerville"/>
          <w:sz w:val="22"/>
          <w:szCs w:val="22"/>
        </w:rPr>
        <w:fldChar w:fldCharType="begin" w:fldLock="1"/>
      </w:r>
      <w:r w:rsidR="00F3024F">
        <w:rPr>
          <w:rFonts w:ascii="Baskerville" w:hAnsi="Baskerville" w:cs="Baskerville"/>
          <w:sz w:val="22"/>
          <w:szCs w:val="22"/>
        </w:rPr>
        <w:instrText>ADDIN CSL_CITATION { "citationItems" : [ { "id" : "ITEM-1", "itemData" : { "DOI" : "10.1016/j.ejmg.2015.09.007", "ISSN" : "18780849", "PMID" : "26386245", "abstract" : "Cornelia de Lange syndrome (CdLS) is a rare dominantly inherited genetic multisystem developmental condition with considerable phenotypic and allelic heterogeneity. Missense and in-frame deletions within the SMC1A gene can be associated with epilepsy and milder craniofacial features. We report two females who presented with developmental delay and developed isolated medically refractory seizures with unrevealing initial laboratory, imaging and genetic evaluations. Whole exome sequencing (WES) analyses were performed and were instrumental in uncovering the genetic etiology for their conditions. WES identified two novel de novo heterozygous frameshift mutations in the SMC1A gene [c.2853_2856delTCAG (p.Ser951Argfs*12) and c.3549_3552dupGGCC (p.Ile1185Glyfs*23)]. We also observed marked skewing of X-inactivation in one patient. The individual with the p.Ser951Argfs*12 mutation represents an extreme on the CdLS phenotypic spectrum, with prominent neurological involvement of severe developmental delay and refractory epilepsy, with mild craniofacial features. Both individuals eventually had incomplete clinical responses to therapy with valproic acid. We review previous reports of SMC1A mutations with epilepsy. SMC1A should be included in clinical gene panels for early infantile and early childhood epileptic encephalopathy.", "author" : [ { "dropping-particle" : "", "family" : "Goldstein", "given" : "Jessica H R", "non-dropping-particle" : "", "parse-names" : false, "suffix" : "" }, { "dropping-particle" : "", "family" : "Tim-aroon", "given" : "Thipwimol", "non-dropping-particle" : "", "parse-names" : false, "suffix" : "" }, { "dropping-particle" : "", "family" : "Shieh", "given" : "Joseph", "non-dropping-particle" : "", "parse-names" : false, "suffix" : "" }, { "dropping-particle" : "", "family" : "Merrill", "given" : "Michelle", "non-dropping-particle" : "", "parse-names" : false, "suffix" : "" }, { "dropping-particle" : "", "family" : "Deeb", "given" : "Kristin K.", "non-dropping-particle" : "", "parse-names" : false, "suffix" : "" }, { "dropping-particle" : "", "family" : "Zhang", "given" : "Shulin", "non-dropping-particle" : "", "parse-names" : false, "suffix" : "" }, { "dropping-particle" : "", "family" : "Bass", "given" : "Nancy E.", "non-dropping-particle" : "", "parse-names" : false, "suffix" : "" }, { "dropping-particle" : "", "family" : "Bedoyan", "given" : "Jirair K.", "non-dropping-particle" : "", "parse-names" : false, "suffix" : "" } ], "container-title" : "European Journal of Medical Genetics", "id" : "ITEM-1", "issue" : "10", "issued" : { "date-parts" : [ [ "2015" ] ] }, "page" : "562-568", "title" : "Novel SMC1A frameshift mutations in children with developmental delay and epilepsy", "type" : "article-journal", "volume" : "58" }, "uris" : [ "http://www.mendeley.com/documents/?uuid=d939776e-c14c-4258-bd25-bd349229c8e6" ] }, { "id" : "ITEM-2", "itemData" : { "DOI" : "10.1002/ajmg.a.37364", "ISSN" : "1552-4833", "PMID" : "26358754", "abstract" : "We report on the clinical and molecular characterization of a female patient with early-onset epileptic encephalopathy, who was found to carry a de novo novel splice site mutation in SMC1A. This girl shared some morphologic and anthropometric traits described in patients with clinical diagnosis of Cornelia de Lange syndrome and with SMC1A mutation but also has severe encephalopathy with early-onset epilepsy. In addition, she had midline hand stereotypies and scoliosis leading to the misdiagnosis of a Rett overlap syndrome. Molecular studies found a novel de novo splice site mutation (c.1911\u2009+\u20091G\u2009&gt;\u2009T) in SMC1A. This novel splice mutation was associated with an aberrantly processed mRNA that included intron 11 of the gene. Moreover, quantitative approach by RT-PCR showed a severe reduction of the SMC1A transcript suggesting that this aberrant transcript may be unstable and degraded. Taken together, our data suggest that the phenotype may be due to a loss-of-function of SMC1A in this patient. Our findings suggest that loss-of-function mutations of SMC1A may be associated with early-onset encephalopathy with epilepsy. \u00a9 2015 Wiley Periodicals, Inc.", "author" : [ { "dropping-particle" : "", "family" : "Lebrun", "given" : "Nicolas", "non-dropping-particle" : "", "parse-names" : false, "suffix" : "" }, { "dropping-particle" : "", "family" : "Lebon", "given" : "S\u00e9bastien", "non-dropping-particle" : "", "parse-names" : false, "suffix" : "" }, { "dropping-particle" : "", "family" : "Jeannet", "given" : "Pierre-Yves", "non-dropping-particle" : "", "parse-names" : false, "suffix" : "" }, { "dropping-particle" : "", "family" : "Jacquemont", "given" : "S\u00e9bastien", "non-dropping-particle" : "", "parse-names" : false, "suffix" : "" }, { "dropping-particle" : "", "family" : "Billuart", "given" : "Pierre", "non-dropping-particle" : "", "parse-names" : false, "suffix" : "" }, { "dropping-particle" : "", "family" : "Bienvenu", "given" : "Thierry", "non-dropping-particle" : "", "parse-names" : false, "suffix" : "" } ], "container-title" : "American journal of medical genetics. Part A", "id" : "ITEM-2", "issued" : { "date-parts" : [ [ "2015" ] ] }, "title" : "Early-onset encephalopathy with epilepsy associated with a novel splice site mutation in SMC1A.", "type" : "article-journal" }, "uris" : [ "http://www.mendeley.com/documents/?uuid=f09ba504-ef6f-4d22-a364-8661e2f7ea86" ] }, { "id" : "ITEM-3", "itemData" : { "DOI" : "10.1111/cge.12729", "ISSN" : "1399-0004", "PMID" : "26752331", "abstract" : "De novo missense mutations and in-frame coding deletions in the X-linked gene SMC1A (structural maintenance of chromosomes 1A), encoding part of the cohesin complex, are known to cause Cornelia de Lange syndrome in both males and females. For a long time, loss-of-function (LoF) mutations in SMC1A were considered incompatible with life, as such mutations had not been reported in neither male nor female patients. However, recently, the authors and others reported LoF mutations in females with intellectual disability (ID) and epilepsy. Here we present the detailed phenotype of two females with de novo LoF mutations in SMC1A, including a de novo mutation of single base deletion [c.2364del, p.(Asn788Lysfs*10)], predicted to result in a frameshift, and a de novo deletion of exon 16, resulting in an out-of-frame mRNA splice product [p.(Leu808Argfs*6)]. By combining our patients with the other recently reported females carrying SMC1A LoF mutations, we ascertained a phenotypic spectrum of (severe) ID, therapy-resistant epilepsy, absence/delay of speech, hypotonia and small hands and feet. Our data show the existence of a novel phenotypic entity - distinct from CdLS - and caused by de novo SMC1A LoF mutations.", "author" : [ { "dropping-particle" : "", "family" : "Jansen", "given" : "S", "non-dropping-particle" : "", "parse-names" : false, "suffix" : "" }, { "dropping-particle" : "", "family" : "Kleefstra", "given" : "T", "non-dropping-particle" : "", "parse-names" : false, "suffix" : "" }, { "dropping-particle" : "", "family" : "Willemsen", "given" : "M H", "non-dropping-particle" : "", "parse-names" : false, "suffix" : "" }, { "dropping-particle" : "", "family" : "Vries", "given" : "P", "non-dropping-particle" : "de", "parse-names" : false, "suffix" : "" }, { "dropping-particle" : "", "family" : "Pfundt", "given" : "R", "non-dropping-particle" : "", "parse-names" : false, "suffix" : "" }, { "dropping-particle" : "", "family" : "Hehir-Kwa", "given" : "J Y", "non-dropping-particle" : "", "parse-names" : false, "suffix" : "" }, { "dropping-particle" : "", "family" : "Gilissen", "given" : "C", "non-dropping-particle" : "", "parse-names" : false, "suffix" : "" }, { "dropping-particle" : "", "family" : "Veltman", "given" : "J A", "non-dropping-particle" : "", "parse-names" : false, "suffix" : "" }, { "dropping-particle" : "", "family" : "Vries", "given" : "B B A", "non-dropping-particle" : "de", "parse-names" : false, "suffix" : "" }, { "dropping-particle" : "", "family" : "Vissers", "given" : "L E L M", "non-dropping-particle" : "", "parse-names" : false, "suffix" : "" } ], "container-title" : "Clinical genetics", "id" : "ITEM-3", "issue" : "5", "issued" : { "date-parts" : [ [ "2016", "11" ] ] }, "page" : "413-419", "title" : "De novo loss-of-function mutations in X-linked SMC1A cause severe ID and therapy-resistant epilepsy in females: expanding the phenotypic spectrum.", "type" : "article-journal", "volume" : "90" }, "uris" : [ "http://www.mendeley.com/documents/?uuid=f4e8820e-6901-4cce-a445-31064570a9c1" ] } ], "mendeley" : { "formattedCitation" : "[37\u201339]", "plainTextFormattedCitation" : "[37\u201339]", "previouslyFormattedCitation" : "[36\u201338]" }, "properties" : { "noteIndex" : 0 }, "schema" : "https://github.com/citation-style-language/schema/raw/master/csl-citation.json" }</w:instrText>
      </w:r>
      <w:r w:rsidR="00E04D56" w:rsidRPr="00653918">
        <w:rPr>
          <w:rFonts w:ascii="Baskerville" w:hAnsi="Baskerville" w:cs="Baskerville"/>
          <w:sz w:val="22"/>
          <w:szCs w:val="22"/>
        </w:rPr>
        <w:fldChar w:fldCharType="separate"/>
      </w:r>
      <w:r w:rsidR="00F3024F" w:rsidRPr="00F3024F">
        <w:rPr>
          <w:rFonts w:ascii="Baskerville" w:hAnsi="Baskerville" w:cs="Baskerville"/>
          <w:noProof/>
          <w:sz w:val="22"/>
          <w:szCs w:val="22"/>
        </w:rPr>
        <w:t>[37–39]</w:t>
      </w:r>
      <w:r w:rsidR="00E04D56" w:rsidRPr="00653918">
        <w:rPr>
          <w:rFonts w:ascii="Baskerville" w:hAnsi="Baskerville" w:cs="Baskerville"/>
          <w:sz w:val="22"/>
          <w:szCs w:val="22"/>
        </w:rPr>
        <w:fldChar w:fldCharType="end"/>
      </w:r>
      <w:r w:rsidR="00312E96">
        <w:rPr>
          <w:rFonts w:ascii="Baskerville" w:hAnsi="Baskerville" w:cs="Baskerville"/>
          <w:sz w:val="22"/>
          <w:szCs w:val="22"/>
        </w:rPr>
        <w:t>*</w:t>
      </w:r>
      <w:r w:rsidR="00B260D7" w:rsidRPr="00653918">
        <w:rPr>
          <w:rFonts w:ascii="Baskerville" w:hAnsi="Baskerville" w:cs="Baskerville"/>
          <w:sz w:val="22"/>
          <w:szCs w:val="22"/>
        </w:rPr>
        <w:t>.</w:t>
      </w:r>
      <w:r w:rsidR="00B233F4" w:rsidRPr="00653918">
        <w:rPr>
          <w:rFonts w:ascii="Baskerville" w:hAnsi="Baskerville" w:cs="Baskerville"/>
          <w:sz w:val="22"/>
          <w:szCs w:val="22"/>
        </w:rPr>
        <w:t xml:space="preserve"> </w:t>
      </w:r>
      <w:r w:rsidR="00B260D7" w:rsidRPr="00653918">
        <w:rPr>
          <w:rFonts w:ascii="Baskerville" w:hAnsi="Baskerville" w:cs="Baskerville"/>
          <w:sz w:val="22"/>
          <w:szCs w:val="22"/>
        </w:rPr>
        <w:t>It is perhaps surprising that genes involved in chromatin remodeling have been associated with su</w:t>
      </w:r>
      <w:r w:rsidR="00B233F4" w:rsidRPr="00653918">
        <w:rPr>
          <w:rFonts w:ascii="Baskerville" w:hAnsi="Baskerville" w:cs="Baskerville"/>
          <w:sz w:val="22"/>
          <w:szCs w:val="22"/>
        </w:rPr>
        <w:t>ch apparently well-delineated</w:t>
      </w:r>
      <w:r w:rsidR="00B260D7" w:rsidRPr="00653918">
        <w:rPr>
          <w:rFonts w:ascii="Baskerville" w:hAnsi="Baskerville" w:cs="Baskerville"/>
          <w:sz w:val="22"/>
          <w:szCs w:val="22"/>
        </w:rPr>
        <w:t xml:space="preserve"> </w:t>
      </w:r>
      <w:r w:rsidR="008E05A7" w:rsidRPr="00653918">
        <w:rPr>
          <w:rFonts w:ascii="Baskerville" w:hAnsi="Baskerville" w:cs="Baskerville"/>
          <w:sz w:val="22"/>
          <w:szCs w:val="22"/>
        </w:rPr>
        <w:t xml:space="preserve">clinical </w:t>
      </w:r>
      <w:r w:rsidR="00B260D7" w:rsidRPr="00653918">
        <w:rPr>
          <w:rFonts w:ascii="Baskerville" w:hAnsi="Baskerville" w:cs="Baskerville"/>
          <w:sz w:val="22"/>
          <w:szCs w:val="22"/>
        </w:rPr>
        <w:t>syndromes</w:t>
      </w:r>
      <w:r w:rsidR="00DE2A19">
        <w:rPr>
          <w:rFonts w:ascii="Baskerville" w:hAnsi="Baskerville" w:cs="Baskerville"/>
          <w:sz w:val="22"/>
          <w:szCs w:val="22"/>
        </w:rPr>
        <w:t xml:space="preserve"> as i</w:t>
      </w:r>
      <w:r w:rsidR="00B260D7" w:rsidRPr="00653918">
        <w:rPr>
          <w:rFonts w:ascii="Baskerville" w:hAnsi="Baskerville" w:cs="Baskerville"/>
          <w:sz w:val="22"/>
          <w:szCs w:val="22"/>
        </w:rPr>
        <w:t>ntuitively</w:t>
      </w:r>
      <w:r w:rsidR="008E05A7" w:rsidRPr="00653918">
        <w:rPr>
          <w:rFonts w:ascii="Baskerville" w:hAnsi="Baskerville" w:cs="Baskerville"/>
          <w:sz w:val="22"/>
          <w:szCs w:val="22"/>
        </w:rPr>
        <w:t>,</w:t>
      </w:r>
      <w:r w:rsidR="00B260D7" w:rsidRPr="00653918">
        <w:rPr>
          <w:rFonts w:ascii="Baskerville" w:hAnsi="Baskerville" w:cs="Baskerville"/>
          <w:sz w:val="22"/>
          <w:szCs w:val="22"/>
        </w:rPr>
        <w:t xml:space="preserve"> one </w:t>
      </w:r>
      <w:r w:rsidR="008E05A7" w:rsidRPr="00653918">
        <w:rPr>
          <w:rFonts w:ascii="Baskerville" w:hAnsi="Baskerville" w:cs="Baskerville"/>
          <w:sz w:val="22"/>
          <w:szCs w:val="22"/>
        </w:rPr>
        <w:t>might</w:t>
      </w:r>
      <w:r w:rsidR="00B260D7" w:rsidRPr="00653918">
        <w:rPr>
          <w:rFonts w:ascii="Baskerville" w:hAnsi="Baskerville" w:cs="Baskerville"/>
          <w:sz w:val="22"/>
          <w:szCs w:val="22"/>
        </w:rPr>
        <w:t xml:space="preserve"> expect a large number of downstream genes to be disrupte</w:t>
      </w:r>
      <w:r w:rsidR="00B57BFF" w:rsidRPr="00653918">
        <w:rPr>
          <w:rFonts w:ascii="Baskerville" w:hAnsi="Baskerville" w:cs="Baskerville"/>
          <w:sz w:val="22"/>
          <w:szCs w:val="22"/>
        </w:rPr>
        <w:t xml:space="preserve">d </w:t>
      </w:r>
      <w:r w:rsidR="00B260D7" w:rsidRPr="00653918">
        <w:rPr>
          <w:rFonts w:ascii="Baskerville" w:hAnsi="Baskerville" w:cs="Baskerville"/>
          <w:sz w:val="22"/>
          <w:szCs w:val="22"/>
        </w:rPr>
        <w:t xml:space="preserve">and therefore the phenotypes to be </w:t>
      </w:r>
      <w:r w:rsidR="00B57BFF" w:rsidRPr="00653918">
        <w:rPr>
          <w:rFonts w:ascii="Baskerville" w:hAnsi="Baskerville" w:cs="Baskerville"/>
          <w:sz w:val="22"/>
          <w:szCs w:val="22"/>
        </w:rPr>
        <w:t xml:space="preserve">broad and </w:t>
      </w:r>
      <w:r w:rsidR="00B260D7" w:rsidRPr="00653918">
        <w:rPr>
          <w:rFonts w:ascii="Baskerville" w:hAnsi="Baskerville" w:cs="Baskerville"/>
          <w:sz w:val="22"/>
          <w:szCs w:val="22"/>
        </w:rPr>
        <w:t>variable</w:t>
      </w:r>
      <w:r w:rsidR="00615768" w:rsidRPr="00653918">
        <w:rPr>
          <w:rFonts w:ascii="Baskerville" w:hAnsi="Baskerville" w:cs="Baskerville"/>
          <w:sz w:val="22"/>
          <w:szCs w:val="22"/>
        </w:rPr>
        <w:t>. I</w:t>
      </w:r>
      <w:r w:rsidR="00B260D7" w:rsidRPr="00653918">
        <w:rPr>
          <w:rFonts w:ascii="Baskerville" w:hAnsi="Baskerville" w:cs="Baskerville"/>
          <w:sz w:val="22"/>
          <w:szCs w:val="22"/>
        </w:rPr>
        <w:t>n fact, chromatin remodeling genes appear to be highly selective in the genes that they regulate</w:t>
      </w:r>
      <w:r w:rsidR="0094145D" w:rsidRPr="00653918">
        <w:rPr>
          <w:rFonts w:ascii="Baskerville" w:hAnsi="Baskerville" w:cs="Baskerville"/>
          <w:sz w:val="22"/>
          <w:szCs w:val="22"/>
        </w:rPr>
        <w:fldChar w:fldCharType="begin" w:fldLock="1"/>
      </w:r>
      <w:r w:rsidR="00F3024F">
        <w:rPr>
          <w:rFonts w:ascii="Baskerville" w:hAnsi="Baskerville" w:cs="Baskerville"/>
          <w:sz w:val="22"/>
          <w:szCs w:val="22"/>
        </w:rPr>
        <w:instrText>ADDIN CSL_CITATION { "citationItems" : [ { "id" : "ITEM-1", "itemData" : { "DOI" : "10.1074/jbc.M114.609156", "ISBN" : "1083-351X (Electronic)\r0021-9258 (Linking)", "ISSN" : "1083351X", "PMID" : "25384982", "abstract" : "Chromodomain helicase DNA-binding protein 2 (CHD2) is an ATPase and a member of the SNF2-like family of helicase-related enzymes. Although deletions of CHD2 have been linked to developmental defects in mice and epileptic disorders in humans, little is known about its biochemical and cellular activities. In this study, we investigate the ATP-dependent activity of CHD2 and show that CHD2 catalyzes the assembly of chromatin into periodic arrays. We also show that the N-terminal region of CHD2, which contains tandem chromodomains, serves an auto-inhibitory role in both the DNA-binding and ATPase activities of CHD2. While loss of the N-terminal region leads to enhanced chromatin-stimulated ATPase activity, the N-terminal region is required for ATP-dependent chromatin remodeling by CHD2. In contrast, the C-terminal region, which contains a putative DNA-binding domain, selectively senses double-stranded DNA of at least 40 base pairs in length and enhances the ATPase and chromatin remodeling activities of CHD2. Our study shows that the accessory domains of CHD2 play central roles in both regulating the ATPase domain and conferring selectivity to chromatin substrates.", "author" : [ { "dropping-particle" : "", "family" : "Liu", "given" : "Jessica C.", "non-dropping-particle" : "", "parse-names" : false, "suffix" : "" }, { "dropping-particle" : "", "family" : "Ferreira", "given" : "Catarina G.", "non-dropping-particle" : "", "parse-names" : false, "suffix" : "" }, { "dropping-particle" : "", "family" : "Yusufzai", "given" : "Timur", "non-dropping-particle" : "", "parse-names" : false, "suffix" : "" } ], "container-title" : "Journal of Biological Chemistry", "id" : "ITEM-1", "issue" : "1", "issued" : { "date-parts" : [ [ "2015" ] ] }, "page" : "25-34", "title" : "Human CHD2 is a chromatin assembly ATPase regulated by its chromo- And DNA-binding domains", "type" : "article-journal", "volume" : "290" }, "uris" : [ "http://www.mendeley.com/documents/?uuid=8e0a36d4-138b-407a-ad2e-ec74428780e1" ] } ], "mendeley" : { "formattedCitation" : "[40]", "plainTextFormattedCitation" : "[40]", "previouslyFormattedCitation" : "[39]" }, "properties" : { "noteIndex" : 0 }, "schema" : "https://github.com/citation-style-language/schema/raw/master/csl-citation.json" }</w:instrText>
      </w:r>
      <w:r w:rsidR="0094145D" w:rsidRPr="00653918">
        <w:rPr>
          <w:rFonts w:ascii="Baskerville" w:hAnsi="Baskerville" w:cs="Baskerville"/>
          <w:sz w:val="22"/>
          <w:szCs w:val="22"/>
        </w:rPr>
        <w:fldChar w:fldCharType="separate"/>
      </w:r>
      <w:r w:rsidR="00F3024F" w:rsidRPr="00F3024F">
        <w:rPr>
          <w:rFonts w:ascii="Baskerville" w:hAnsi="Baskerville" w:cs="Baskerville"/>
          <w:noProof/>
          <w:sz w:val="22"/>
          <w:szCs w:val="22"/>
        </w:rPr>
        <w:t>[40]</w:t>
      </w:r>
      <w:r w:rsidR="0094145D" w:rsidRPr="00653918">
        <w:rPr>
          <w:rFonts w:ascii="Baskerville" w:hAnsi="Baskerville" w:cs="Baskerville"/>
          <w:sz w:val="22"/>
          <w:szCs w:val="22"/>
        </w:rPr>
        <w:fldChar w:fldCharType="end"/>
      </w:r>
      <w:r w:rsidR="00312E96">
        <w:rPr>
          <w:rFonts w:ascii="Baskerville" w:hAnsi="Baskerville" w:cs="Baskerville"/>
          <w:sz w:val="22"/>
          <w:szCs w:val="22"/>
        </w:rPr>
        <w:t>*</w:t>
      </w:r>
      <w:r w:rsidR="00B260D7" w:rsidRPr="00653918">
        <w:rPr>
          <w:rFonts w:ascii="Baskerville" w:hAnsi="Baskerville" w:cs="Baskerville"/>
          <w:sz w:val="22"/>
          <w:szCs w:val="22"/>
        </w:rPr>
        <w:t xml:space="preserve">. </w:t>
      </w:r>
    </w:p>
    <w:p w14:paraId="4B3879C9" w14:textId="77777777" w:rsidR="00CA2363" w:rsidRDefault="00CA2363" w:rsidP="00A07468">
      <w:pPr>
        <w:spacing w:line="360" w:lineRule="auto"/>
        <w:jc w:val="both"/>
        <w:rPr>
          <w:rFonts w:ascii="Baskerville" w:hAnsi="Baskerville" w:cs="Baskerville"/>
          <w:i/>
          <w:sz w:val="22"/>
          <w:szCs w:val="22"/>
        </w:rPr>
      </w:pPr>
    </w:p>
    <w:p w14:paraId="3E5E35AF" w14:textId="68A4831A" w:rsidR="00DB29DD" w:rsidRPr="00653918" w:rsidRDefault="009755DE" w:rsidP="00A07468">
      <w:pPr>
        <w:spacing w:line="360" w:lineRule="auto"/>
        <w:jc w:val="both"/>
        <w:rPr>
          <w:rFonts w:ascii="Baskerville" w:hAnsi="Baskerville" w:cs="Baskerville"/>
          <w:sz w:val="22"/>
          <w:szCs w:val="22"/>
        </w:rPr>
      </w:pPr>
      <w:r w:rsidRPr="00653918">
        <w:rPr>
          <w:rFonts w:ascii="Baskerville" w:hAnsi="Baskerville" w:cs="Baskerville"/>
          <w:sz w:val="22"/>
          <w:szCs w:val="22"/>
        </w:rPr>
        <w:t>As well as facilitating the discovery of new epilepsy genes, the</w:t>
      </w:r>
      <w:r w:rsidR="005A07CF" w:rsidRPr="00653918">
        <w:rPr>
          <w:rFonts w:ascii="Baskerville" w:hAnsi="Baskerville" w:cs="Baskerville"/>
          <w:sz w:val="22"/>
          <w:szCs w:val="22"/>
        </w:rPr>
        <w:t xml:space="preserve"> </w:t>
      </w:r>
      <w:r w:rsidRPr="00653918">
        <w:rPr>
          <w:rFonts w:ascii="Baskerville" w:hAnsi="Baskerville" w:cs="Baskerville"/>
          <w:sz w:val="22"/>
          <w:szCs w:val="22"/>
        </w:rPr>
        <w:t>ability</w:t>
      </w:r>
      <w:r w:rsidR="005A07CF" w:rsidRPr="00653918">
        <w:rPr>
          <w:rFonts w:ascii="Baskerville" w:hAnsi="Baskerville" w:cs="Baskerville"/>
          <w:sz w:val="22"/>
          <w:szCs w:val="22"/>
        </w:rPr>
        <w:t xml:space="preserve"> of </w:t>
      </w:r>
      <w:r w:rsidR="00185752" w:rsidRPr="00653918">
        <w:rPr>
          <w:rFonts w:ascii="Baskerville" w:hAnsi="Baskerville" w:cs="Baskerville"/>
          <w:sz w:val="22"/>
          <w:szCs w:val="22"/>
        </w:rPr>
        <w:t>NGS</w:t>
      </w:r>
      <w:r w:rsidR="005A07CF" w:rsidRPr="00653918">
        <w:rPr>
          <w:rFonts w:ascii="Baskerville" w:hAnsi="Baskerville" w:cs="Baskerville"/>
          <w:sz w:val="22"/>
          <w:szCs w:val="22"/>
        </w:rPr>
        <w:t xml:space="preserve"> to screen f</w:t>
      </w:r>
      <w:r w:rsidR="00F1551C">
        <w:rPr>
          <w:rFonts w:ascii="Baskerville" w:hAnsi="Baskerville" w:cs="Baskerville"/>
          <w:sz w:val="22"/>
          <w:szCs w:val="22"/>
        </w:rPr>
        <w:t>or genetic variants in multiple</w:t>
      </w:r>
      <w:r w:rsidR="005A07CF" w:rsidRPr="00653918">
        <w:rPr>
          <w:rFonts w:ascii="Baskerville" w:hAnsi="Baskerville" w:cs="Baskerville"/>
          <w:sz w:val="22"/>
          <w:szCs w:val="22"/>
        </w:rPr>
        <w:t xml:space="preserve"> genes in parallel </w:t>
      </w:r>
      <w:r w:rsidRPr="00653918">
        <w:rPr>
          <w:rFonts w:ascii="Baskerville" w:hAnsi="Baskerville" w:cs="Baskerville"/>
          <w:sz w:val="22"/>
          <w:szCs w:val="22"/>
        </w:rPr>
        <w:t>has</w:t>
      </w:r>
      <w:r w:rsidR="008D6F3E" w:rsidRPr="00653918">
        <w:rPr>
          <w:rFonts w:ascii="Baskerville" w:hAnsi="Baskerville" w:cs="Baskerville"/>
          <w:sz w:val="22"/>
          <w:szCs w:val="22"/>
        </w:rPr>
        <w:t xml:space="preserve"> </w:t>
      </w:r>
      <w:r w:rsidR="005A7E5F" w:rsidRPr="00653918">
        <w:rPr>
          <w:rFonts w:ascii="Baskerville" w:hAnsi="Baskerville" w:cs="Baskerville"/>
          <w:sz w:val="22"/>
          <w:szCs w:val="22"/>
        </w:rPr>
        <w:t xml:space="preserve">revealed </w:t>
      </w:r>
      <w:r w:rsidR="005A07CF" w:rsidRPr="00653918">
        <w:rPr>
          <w:rFonts w:ascii="Baskerville" w:hAnsi="Baskerville" w:cs="Baskerville"/>
          <w:sz w:val="22"/>
          <w:szCs w:val="22"/>
        </w:rPr>
        <w:t xml:space="preserve">the </w:t>
      </w:r>
      <w:r w:rsidR="00185752" w:rsidRPr="00653918">
        <w:rPr>
          <w:rFonts w:ascii="Baskerville" w:hAnsi="Baskerville" w:cs="Baskerville"/>
          <w:sz w:val="22"/>
          <w:szCs w:val="22"/>
        </w:rPr>
        <w:t>potential for</w:t>
      </w:r>
      <w:r w:rsidR="005A07CF" w:rsidRPr="00653918">
        <w:rPr>
          <w:rFonts w:ascii="Baskerville" w:hAnsi="Baskerville" w:cs="Baskerville"/>
          <w:sz w:val="22"/>
          <w:szCs w:val="22"/>
        </w:rPr>
        <w:t xml:space="preserve"> </w:t>
      </w:r>
      <w:r w:rsidR="00BA312B">
        <w:rPr>
          <w:rFonts w:ascii="Baskerville" w:hAnsi="Baskerville" w:cs="Baskerville"/>
          <w:sz w:val="22"/>
          <w:szCs w:val="22"/>
        </w:rPr>
        <w:t xml:space="preserve">so-called </w:t>
      </w:r>
      <w:r w:rsidR="005A07CF" w:rsidRPr="00653918">
        <w:rPr>
          <w:rFonts w:ascii="Baskerville" w:hAnsi="Baskerville" w:cs="Baskerville"/>
          <w:sz w:val="22"/>
          <w:szCs w:val="22"/>
        </w:rPr>
        <w:t xml:space="preserve">“blended phenotypes” – patients whose disorder </w:t>
      </w:r>
      <w:r w:rsidR="00185752" w:rsidRPr="00653918">
        <w:rPr>
          <w:rFonts w:ascii="Baskerville" w:hAnsi="Baskerville" w:cs="Baskerville"/>
          <w:sz w:val="22"/>
          <w:szCs w:val="22"/>
        </w:rPr>
        <w:t>might be</w:t>
      </w:r>
      <w:r w:rsidR="005A07CF" w:rsidRPr="00653918">
        <w:rPr>
          <w:rFonts w:ascii="Baskerville" w:hAnsi="Baskerville" w:cs="Baskerville"/>
          <w:sz w:val="22"/>
          <w:szCs w:val="22"/>
        </w:rPr>
        <w:t xml:space="preserve"> explained by more than one large effect genetic </w:t>
      </w:r>
      <w:r w:rsidR="00185752" w:rsidRPr="00653918">
        <w:rPr>
          <w:rFonts w:ascii="Baskerville" w:hAnsi="Baskerville" w:cs="Baskerville"/>
          <w:sz w:val="22"/>
          <w:szCs w:val="22"/>
        </w:rPr>
        <w:t>variant</w:t>
      </w:r>
      <w:r w:rsidR="005A07CF" w:rsidRPr="00653918">
        <w:rPr>
          <w:rFonts w:ascii="Baskerville" w:hAnsi="Baskerville" w:cs="Baskerville"/>
          <w:sz w:val="22"/>
          <w:szCs w:val="22"/>
        </w:rPr>
        <w:t xml:space="preserve">. Recently published cases of blended phenotypes in epilepsy include dominantly </w:t>
      </w:r>
      <w:r w:rsidR="000D1D2E" w:rsidRPr="00653918">
        <w:rPr>
          <w:rFonts w:ascii="Baskerville" w:hAnsi="Baskerville" w:cs="Baskerville"/>
          <w:sz w:val="22"/>
          <w:szCs w:val="22"/>
        </w:rPr>
        <w:t>co-</w:t>
      </w:r>
      <w:r w:rsidR="005A07CF" w:rsidRPr="00653918">
        <w:rPr>
          <w:rFonts w:ascii="Baskerville" w:hAnsi="Baskerville" w:cs="Baskerville"/>
          <w:sz w:val="22"/>
          <w:szCs w:val="22"/>
        </w:rPr>
        <w:t xml:space="preserve">inherited </w:t>
      </w:r>
      <w:r w:rsidR="005A07CF" w:rsidRPr="00653918">
        <w:rPr>
          <w:rFonts w:ascii="Baskerville" w:hAnsi="Baskerville" w:cs="Baskerville"/>
          <w:i/>
          <w:sz w:val="22"/>
          <w:szCs w:val="22"/>
        </w:rPr>
        <w:t>SLC20A2</w:t>
      </w:r>
      <w:r w:rsidR="005A07CF" w:rsidRPr="00653918">
        <w:rPr>
          <w:rFonts w:ascii="Baskerville" w:hAnsi="Baskerville" w:cs="Baskerville"/>
          <w:sz w:val="22"/>
          <w:szCs w:val="22"/>
        </w:rPr>
        <w:t xml:space="preserve"> and </w:t>
      </w:r>
      <w:r w:rsidR="005A07CF" w:rsidRPr="00653918">
        <w:rPr>
          <w:rFonts w:ascii="Baskerville" w:hAnsi="Baskerville" w:cs="Baskerville"/>
          <w:i/>
          <w:sz w:val="22"/>
          <w:szCs w:val="22"/>
        </w:rPr>
        <w:t>CHRNB2</w:t>
      </w:r>
      <w:r w:rsidR="005A07CF" w:rsidRPr="00653918">
        <w:rPr>
          <w:rFonts w:ascii="Baskerville" w:hAnsi="Baskerville" w:cs="Baskerville"/>
          <w:sz w:val="22"/>
          <w:szCs w:val="22"/>
        </w:rPr>
        <w:t xml:space="preserve"> mutations </w:t>
      </w:r>
      <w:r w:rsidR="00BA312B">
        <w:rPr>
          <w:rFonts w:ascii="Baskerville" w:hAnsi="Baskerville" w:cs="Baskerville"/>
          <w:sz w:val="22"/>
          <w:szCs w:val="22"/>
        </w:rPr>
        <w:t>associated with</w:t>
      </w:r>
      <w:r w:rsidR="00410712">
        <w:rPr>
          <w:rFonts w:ascii="Baskerville" w:hAnsi="Baskerville" w:cs="Baskerville"/>
          <w:sz w:val="22"/>
          <w:szCs w:val="22"/>
        </w:rPr>
        <w:t xml:space="preserve"> familial generaliz</w:t>
      </w:r>
      <w:r w:rsidR="005A07CF" w:rsidRPr="00653918">
        <w:rPr>
          <w:rFonts w:ascii="Baskerville" w:hAnsi="Baskerville" w:cs="Baskerville"/>
          <w:sz w:val="22"/>
          <w:szCs w:val="22"/>
        </w:rPr>
        <w:t>ed epilepsy with basal ganglia calcifications</w:t>
      </w:r>
      <w:r w:rsidR="00FD67D2" w:rsidRPr="00653918">
        <w:rPr>
          <w:rFonts w:ascii="Baskerville" w:hAnsi="Baskerville" w:cs="Baskerville"/>
          <w:sz w:val="22"/>
          <w:szCs w:val="22"/>
        </w:rPr>
        <w:fldChar w:fldCharType="begin" w:fldLock="1"/>
      </w:r>
      <w:r w:rsidR="00F3024F">
        <w:rPr>
          <w:rFonts w:ascii="Baskerville" w:hAnsi="Baskerville" w:cs="Baskerville"/>
          <w:sz w:val="22"/>
          <w:szCs w:val="22"/>
        </w:rPr>
        <w:instrText>ADDIN CSL_CITATION { "citationItems" : [ { "id" : "ITEM-1", "itemData" : { "DOI" : "10.1016/j.ejmg.2015.10.005", "ISSN" : "18780849", "PMID" : "26475232", "abstract" : "Background: The genetic understanding of primary familial brain calcification (PFBC) has increased considerably in recent years due to the finding of causal genes like SLC20A2, PDGFRB and PDGFB. The phenotype of PFBC is complex and has as of yet been poorly delineated. The most common clinical presentations include movement disorders, cognitive symptoms and psychiatric conditions. We report a family including two sisters with brain calcifications due to a variant in SLC20A2 and generalized tonicclonic seizures as the principal phenotypic trait. Methods: The affected siblings underwent whole exome sequencing and candidate variants and cosegregation in the family were validated by Sanger sequencing. Results: Both siblings and their asymptomatic father were heterozygous for a variant in SLC20A2. The siblings also had a variant in CHRNB2, a known epilepsy gene associated with autosomal dominant frontal lobe epilepsy, which they had inherited from the mother. Conclusions: To our knowledge, the reported siblings represent the third and fourth subjects with confirmed SLC20A2 variants exhibiting epilepsy as a phenotypic trait. Our findings support seizures as part of the phenotypic spectrum of SLC20A2-related PFBC. However, the present phenotype may also result from additional genetic influence, such as the identified missense variant in CHRNB2.", "author" : [ { "dropping-particle" : "", "family" : "Fjaer", "given" : "Roar", "non-dropping-particle" : "", "parse-names" : false, "suffix" : "" }, { "dropping-particle" : "", "family" : "Brodtkorb", "given" : "Eylert", "non-dropping-particle" : "", "parse-names" : false, "suffix" : "" }, { "dropping-particle" : "", "family" : "\u00d8ye", "given" : "Ane Marte", "non-dropping-particle" : "", "parse-names" : false, "suffix" : "" }, { "dropping-particle" : "", "family" : "Sheng", "given" : "Ying", "non-dropping-particle" : "", "parse-names" : false, "suffix" : "" }, { "dropping-particle" : "", "family" : "Vigeland", "given" : "Magnus Dehli", "non-dropping-particle" : "", "parse-names" : false, "suffix" : "" }, { "dropping-particle" : "", "family" : "Kvistad", "given" : "Kjell Arne", "non-dropping-particle" : "", "parse-names" : false, "suffix" : "" }, { "dropping-particle" : "", "family" : "Backe", "given" : "Paul Hoff", "non-dropping-particle" : "", "parse-names" : false, "suffix" : "" }, { "dropping-particle" : "", "family" : "Selmer", "given" : "Kaja Kristine", "non-dropping-particle" : "", "parse-names" : false, "suffix" : "" } ], "container-title" : "European Journal of Medical Genetics", "id" : "ITEM-1", "issue" : "11", "issued" : { "date-parts" : [ [ "2015" ] ] }, "page" : "624-628", "title" : "Generalized epilepsy in a family with basal ganglia calcifications and mutations in SLC20A2 and CHRNB2", "type" : "article-journal", "volume" : "58" }, "uris" : [ "http://www.mendeley.com/documents/?uuid=97471fc0-9eaa-4fa0-970d-a71c1edaba8b" ] } ], "mendeley" : { "formattedCitation" : "[41]", "plainTextFormattedCitation" : "[41]", "previouslyFormattedCitation" : "[40]" }, "properties" : { "noteIndex" : 0 }, "schema" : "https://github.com/citation-style-language/schema/raw/master/csl-citation.json" }</w:instrText>
      </w:r>
      <w:r w:rsidR="00FD67D2" w:rsidRPr="00653918">
        <w:rPr>
          <w:rFonts w:ascii="Baskerville" w:hAnsi="Baskerville" w:cs="Baskerville"/>
          <w:sz w:val="22"/>
          <w:szCs w:val="22"/>
        </w:rPr>
        <w:fldChar w:fldCharType="separate"/>
      </w:r>
      <w:r w:rsidR="00F3024F" w:rsidRPr="00F3024F">
        <w:rPr>
          <w:rFonts w:ascii="Baskerville" w:hAnsi="Baskerville" w:cs="Baskerville"/>
          <w:noProof/>
          <w:sz w:val="22"/>
          <w:szCs w:val="22"/>
        </w:rPr>
        <w:t>[41]</w:t>
      </w:r>
      <w:r w:rsidR="00FD67D2" w:rsidRPr="00653918">
        <w:rPr>
          <w:rFonts w:ascii="Baskerville" w:hAnsi="Baskerville" w:cs="Baskerville"/>
          <w:sz w:val="22"/>
          <w:szCs w:val="22"/>
        </w:rPr>
        <w:fldChar w:fldCharType="end"/>
      </w:r>
      <w:r w:rsidR="00B910A8">
        <w:rPr>
          <w:rFonts w:ascii="Baskerville" w:hAnsi="Baskerville" w:cs="Baskerville"/>
          <w:sz w:val="22"/>
          <w:szCs w:val="22"/>
        </w:rPr>
        <w:t>*</w:t>
      </w:r>
      <w:r w:rsidR="005A07CF" w:rsidRPr="00653918">
        <w:rPr>
          <w:rFonts w:ascii="Baskerville" w:hAnsi="Baskerville" w:cs="Baskerville"/>
          <w:sz w:val="22"/>
          <w:szCs w:val="22"/>
        </w:rPr>
        <w:t xml:space="preserve">; a </w:t>
      </w:r>
      <w:r w:rsidR="005A07CF" w:rsidRPr="00653918">
        <w:rPr>
          <w:rFonts w:ascii="Baskerville" w:hAnsi="Baskerville" w:cs="Baskerville"/>
          <w:i/>
          <w:sz w:val="22"/>
          <w:szCs w:val="22"/>
        </w:rPr>
        <w:t>de novo</w:t>
      </w:r>
      <w:r w:rsidR="005A07CF" w:rsidRPr="00653918">
        <w:rPr>
          <w:rFonts w:ascii="Baskerville" w:hAnsi="Baskerville" w:cs="Baskerville"/>
          <w:sz w:val="22"/>
          <w:szCs w:val="22"/>
        </w:rPr>
        <w:t xml:space="preserve"> </w:t>
      </w:r>
      <w:r w:rsidR="005A07CF" w:rsidRPr="00653918">
        <w:rPr>
          <w:rFonts w:ascii="Baskerville" w:hAnsi="Baskerville" w:cs="Baskerville"/>
          <w:i/>
          <w:sz w:val="22"/>
          <w:szCs w:val="22"/>
        </w:rPr>
        <w:t>GNAO1</w:t>
      </w:r>
      <w:r w:rsidR="005A07CF" w:rsidRPr="00653918">
        <w:rPr>
          <w:rFonts w:ascii="Baskerville" w:hAnsi="Baskerville" w:cs="Baskerville"/>
          <w:sz w:val="22"/>
          <w:szCs w:val="22"/>
        </w:rPr>
        <w:t xml:space="preserve"> mutation combined with a </w:t>
      </w:r>
      <w:r w:rsidR="005A07CF" w:rsidRPr="00653918">
        <w:rPr>
          <w:rFonts w:ascii="Baskerville" w:hAnsi="Baskerville" w:cs="Baskerville"/>
          <w:i/>
          <w:sz w:val="22"/>
          <w:szCs w:val="22"/>
        </w:rPr>
        <w:t>de novo HESX1</w:t>
      </w:r>
      <w:r w:rsidR="005A07CF" w:rsidRPr="00653918">
        <w:rPr>
          <w:rFonts w:ascii="Baskerville" w:hAnsi="Baskerville" w:cs="Baskerville"/>
          <w:sz w:val="22"/>
          <w:szCs w:val="22"/>
        </w:rPr>
        <w:t xml:space="preserve"> mutation </w:t>
      </w:r>
      <w:r w:rsidR="00BA312B">
        <w:rPr>
          <w:rFonts w:ascii="Baskerville" w:hAnsi="Baskerville" w:cs="Baskerville"/>
          <w:sz w:val="22"/>
          <w:szCs w:val="22"/>
        </w:rPr>
        <w:t>associated with</w:t>
      </w:r>
      <w:r w:rsidR="005A07CF" w:rsidRPr="00653918">
        <w:rPr>
          <w:rFonts w:ascii="Baskerville" w:hAnsi="Baskerville" w:cs="Baskerville"/>
          <w:sz w:val="22"/>
          <w:szCs w:val="22"/>
        </w:rPr>
        <w:t xml:space="preserve"> progressive encephalopathy with edema, hypsarrhythmia and optic atrophy (PEHO) syndrome</w:t>
      </w:r>
      <w:r w:rsidR="00325430" w:rsidRPr="00653918">
        <w:rPr>
          <w:rFonts w:ascii="Baskerville" w:hAnsi="Baskerville" w:cs="Baskerville"/>
          <w:sz w:val="22"/>
          <w:szCs w:val="22"/>
        </w:rPr>
        <w:fldChar w:fldCharType="begin" w:fldLock="1"/>
      </w:r>
      <w:r w:rsidR="00F3024F">
        <w:rPr>
          <w:rFonts w:ascii="Baskerville" w:hAnsi="Baskerville" w:cs="Baskerville"/>
          <w:sz w:val="22"/>
          <w:szCs w:val="22"/>
        </w:rPr>
        <w:instrText>ADDIN CSL_CITATION { "citationItems" : [ { "id" : "ITEM-1", "itemData" : { "DOI" : "10.1016/j.pediatrneurol.2016.03.011", "ISSN" : "18735150", "abstract" : "Background Progressive encephalopathy with edema, hypsarrhythmia and optic atrophy (PEHO) syndrome is a distinct neurodevelopmental disorder. Patients without optic nerve atrophy and brain imaging abnormalities but fulfilling other PEHO criteria are often described as a PEHO-like syndrome. The molecular bases of both clinically defined conditions remain unknown in spite of the widespread application of genome analyses in both clinic and research. Methods We enrolled two patients with a prior diagnosis of PEHO and two individuals with PEHO-like syndrome. All four individuals subsequently underwent whole-exome sequencing and comprehensive genomic analysis. Results We identified disease-causing mutations in known genes associated with neurodevelopmental disorders including GNAO1 and CDKL5 in two of four individuals. One patient with PEHO syndrome and a de novo GNAO1 mutation was found to have an additional de novo mutation in HESX1 that is associated with optic atrophy. Conclusions We hypothesize that PEHO and PEHO-like syndrome may represent a severe end of the spectrum of the early-onset encephalopathies and, in some instances, its complex phenotype may result from an aggregated effect of mutations at two loci.", "author" : [ { "dropping-particle" : "", "family" : "Gawlinski", "given" : "Pawel", "non-dropping-particle" : "", "parse-names" : false, "suffix" : "" }, { "dropping-particle" : "", "family" : "Posmyk", "given" : "Renata", "non-dropping-particle" : "", "parse-names" : false, "suffix" : "" }, { "dropping-particle" : "", "family" : "Gambin", "given" : "Tomasz", "non-dropping-particle" : "", "parse-names" : false, "suffix" : "" }, { "dropping-particle" : "", "family" : "Sielicka", "given" : "Danuta", "non-dropping-particle" : "", "parse-names" : false, "suffix" : "" }, { "dropping-particle" : "", "family" : "Chorazy", "given" : "Monika", "non-dropping-particle" : "", "parse-names" : false, "suffix" : "" }, { "dropping-particle" : "", "family" : "Nowakowska", "given" : "Beata", "non-dropping-particle" : "", "parse-names" : false, "suffix" : "" }, { "dropping-particle" : "", "family" : "Jhangiani", "given" : "Shalini N.", "non-dropping-particle" : "", "parse-names" : false, "suffix" : "" }, { "dropping-particle" : "", "family" : "Muzny", "given" : "Donna M.", "non-dropping-particle" : "", "parse-names" : false, "suffix" : "" }, { "dropping-particle" : "", "family" : "Bekiesinska-Figatowska", "given" : "Monika", "non-dropping-particle" : "", "parse-names" : false, "suffix" : "" }, { "dropping-particle" : "", "family" : "Bal", "given" : "Jerzy", "non-dropping-particle" : "", "parse-names" : false, "suffix" : "" }, { "dropping-particle" : "", "family" : "Boerwinkle", "given" : "Eric", "non-dropping-particle" : "", "parse-names" : false, "suffix" : "" }, { "dropping-particle" : "", "family" : "Gibbs", "given" : "Richard A.", "non-dropping-particle" : "", "parse-names" : false, "suffix" : "" }, { "dropping-particle" : "", "family" : "Lupski", "given" : "James R.", "non-dropping-particle" : "", "parse-names" : false, "suffix" : "" }, { "dropping-particle" : "", "family" : "Wiszniewski", "given" : "Wojciech", "non-dropping-particle" : "", "parse-names" : false, "suffix" : "" } ], "container-title" : "Pediatric Neurology", "id" : "ITEM-1", "issued" : { "date-parts" : [ [ "2016" ] ] }, "page" : "83-87", "title" : "PEHO syndrome may represent phenotypic expansion at the severe end of the early-onset encephalopathies", "type" : "article-journal", "volume" : "60" }, "uris" : [ "http://www.mendeley.com/documents/?uuid=8fe25923-0545-414e-910f-a0eaaab620d5" ] } ], "mendeley" : { "formattedCitation" : "[42]", "plainTextFormattedCitation" : "[42]", "previouslyFormattedCitation" : "[41]" }, "properties" : { "noteIndex" : 0 }, "schema" : "https://github.com/citation-style-language/schema/raw/master/csl-citation.json" }</w:instrText>
      </w:r>
      <w:r w:rsidR="00325430" w:rsidRPr="00653918">
        <w:rPr>
          <w:rFonts w:ascii="Baskerville" w:hAnsi="Baskerville" w:cs="Baskerville"/>
          <w:sz w:val="22"/>
          <w:szCs w:val="22"/>
        </w:rPr>
        <w:fldChar w:fldCharType="separate"/>
      </w:r>
      <w:r w:rsidR="00F3024F" w:rsidRPr="00F3024F">
        <w:rPr>
          <w:rFonts w:ascii="Baskerville" w:hAnsi="Baskerville" w:cs="Baskerville"/>
          <w:noProof/>
          <w:sz w:val="22"/>
          <w:szCs w:val="22"/>
        </w:rPr>
        <w:t>[42]</w:t>
      </w:r>
      <w:r w:rsidR="00325430" w:rsidRPr="00653918">
        <w:rPr>
          <w:rFonts w:ascii="Baskerville" w:hAnsi="Baskerville" w:cs="Baskerville"/>
          <w:sz w:val="22"/>
          <w:szCs w:val="22"/>
        </w:rPr>
        <w:fldChar w:fldCharType="end"/>
      </w:r>
      <w:r w:rsidR="00B910A8">
        <w:rPr>
          <w:rFonts w:ascii="Baskerville" w:hAnsi="Baskerville" w:cs="Baskerville"/>
          <w:sz w:val="22"/>
          <w:szCs w:val="22"/>
        </w:rPr>
        <w:t>*</w:t>
      </w:r>
      <w:r w:rsidR="005A07CF" w:rsidRPr="00653918">
        <w:rPr>
          <w:rFonts w:ascii="Baskerville" w:hAnsi="Baskerville" w:cs="Baskerville"/>
          <w:sz w:val="22"/>
          <w:szCs w:val="22"/>
        </w:rPr>
        <w:t xml:space="preserve">; </w:t>
      </w:r>
      <w:r w:rsidR="005A07CF" w:rsidRPr="00653918">
        <w:rPr>
          <w:rFonts w:ascii="Baskerville" w:hAnsi="Baskerville" w:cs="Baskerville"/>
          <w:i/>
          <w:sz w:val="22"/>
          <w:szCs w:val="22"/>
        </w:rPr>
        <w:t>de novo</w:t>
      </w:r>
      <w:r w:rsidR="005A07CF" w:rsidRPr="00653918">
        <w:rPr>
          <w:rFonts w:ascii="Baskerville" w:hAnsi="Baskerville" w:cs="Baskerville"/>
          <w:sz w:val="22"/>
          <w:szCs w:val="22"/>
        </w:rPr>
        <w:t xml:space="preserve"> deletion of </w:t>
      </w:r>
      <w:r w:rsidR="005A07CF" w:rsidRPr="00653918">
        <w:rPr>
          <w:rFonts w:ascii="Baskerville" w:hAnsi="Baskerville" w:cs="Baskerville"/>
          <w:i/>
          <w:sz w:val="22"/>
          <w:szCs w:val="22"/>
        </w:rPr>
        <w:t>MEF2C</w:t>
      </w:r>
      <w:r w:rsidR="00A94B25" w:rsidRPr="00653918">
        <w:rPr>
          <w:rFonts w:ascii="Baskerville" w:hAnsi="Baskerville" w:cs="Baskerville"/>
          <w:sz w:val="22"/>
          <w:szCs w:val="22"/>
        </w:rPr>
        <w:t xml:space="preserve"> </w:t>
      </w:r>
      <w:r w:rsidR="005A07CF" w:rsidRPr="00653918">
        <w:rPr>
          <w:rFonts w:ascii="Baskerville" w:hAnsi="Baskerville" w:cs="Baskerville"/>
          <w:sz w:val="22"/>
          <w:szCs w:val="22"/>
        </w:rPr>
        <w:t xml:space="preserve">with an inherited </w:t>
      </w:r>
      <w:r w:rsidR="005A07CF" w:rsidRPr="00653918">
        <w:rPr>
          <w:rFonts w:ascii="Baskerville" w:hAnsi="Baskerville" w:cs="Baskerville"/>
          <w:i/>
          <w:sz w:val="22"/>
          <w:szCs w:val="22"/>
        </w:rPr>
        <w:t>SCN1A</w:t>
      </w:r>
      <w:r w:rsidR="005A07CF" w:rsidRPr="00653918">
        <w:rPr>
          <w:rFonts w:ascii="Baskerville" w:hAnsi="Baskerville" w:cs="Baskerville"/>
          <w:sz w:val="22"/>
          <w:szCs w:val="22"/>
        </w:rPr>
        <w:t xml:space="preserve"> variant </w:t>
      </w:r>
      <w:r w:rsidR="00BA312B">
        <w:rPr>
          <w:rFonts w:ascii="Baskerville" w:hAnsi="Baskerville" w:cs="Baskerville"/>
          <w:sz w:val="22"/>
          <w:szCs w:val="22"/>
        </w:rPr>
        <w:t>associated with</w:t>
      </w:r>
      <w:r w:rsidR="005A07CF" w:rsidRPr="00653918">
        <w:rPr>
          <w:rFonts w:ascii="Baskerville" w:hAnsi="Baskerville" w:cs="Baskerville"/>
          <w:sz w:val="22"/>
          <w:szCs w:val="22"/>
        </w:rPr>
        <w:t xml:space="preserve"> drug-resistant childhood-onset epilepsy</w:t>
      </w:r>
      <w:r w:rsidR="00D43AC2" w:rsidRPr="00653918">
        <w:rPr>
          <w:rFonts w:ascii="Baskerville" w:hAnsi="Baskerville" w:cs="Baskerville"/>
          <w:sz w:val="22"/>
          <w:szCs w:val="22"/>
        </w:rPr>
        <w:fldChar w:fldCharType="begin" w:fldLock="1"/>
      </w:r>
      <w:r w:rsidR="00F3024F">
        <w:rPr>
          <w:rFonts w:ascii="Baskerville" w:hAnsi="Baskerville" w:cs="Baskerville"/>
          <w:sz w:val="22"/>
          <w:szCs w:val="22"/>
        </w:rPr>
        <w:instrText>ADDIN CSL_CITATION { "citationItems" : [ { "id" : "ITEM-1", "itemData" : { "DOI" : "10.1016/j.ejmg.2016.05.017", "ISSN" : "18780849", "abstract" : "Introduction: MEF2C haploinsufficiency syndrome is characterized by severe intellectual disability, epilepsy, stereotypic movements, minor dysmorphisms and brain abnormalities. We report the case of a patient with a new MEF2C mutation, comparing his clinical and imaging features to those previously reported in the literature. Case report: A 10 year-old boy first came to pediatric neurology clinic at the age of 11 months because of severe psychomotor delay, without regression. He presented generalized hypotonia, poor eye contact, hand-mouth stereotypies, strabismus and minor facial dimorphisms. Epileptic seizures started at 26 months of age and were refractory. Brain MRI showed a slight increase in periventricular white matter signal and globally enlarged CSF spaces. Molecular analysis revealed a de novo, pathogenic and causative MEF2C mutation. Discussion: MEF2C haploinsufficiency syndrome was recently recognized as a neurodevelopmental disorder. Severe intellectual disability with inability to speak and epilepsy are universal features in patients with MEF2C mutations, although mild cognitive and speech disorders have been reported to occur in patients with duplications. Epilepsy might be absent in patients with partial deletions. Abnormal movement patterns are very common in patients with MEF2C haploinsufficiency. Delayed myelination seems to be more commonly observed in patients with MEF2C mutations, while malformations of cortical development were only reported in patients with microdeletions. Although MEF2C haploinsufficiency prevalence is yet to be determined, it should be considered in the differential diagnosis of patients with severe intellectual disability and Rett-like features.", "author" : [ { "dropping-particle" : "", "family" : "Rocha", "given" : "Helena", "non-dropping-particle" : "", "parse-names" : false, "suffix" : "" }, { "dropping-particle" : "", "family" : "Sampaio", "given" : "Mafalda", "non-dropping-particle" : "", "parse-names" : false, "suffix" : "" }, { "dropping-particle" : "", "family" : "Rocha", "given" : "Ruben", "non-dropping-particle" : "", "parse-names" : false, "suffix" : "" }, { "dropping-particle" : "", "family" : "Fernandes", "given" : "Susana", "non-dropping-particle" : "", "parse-names" : false, "suffix" : "" }, { "dropping-particle" : "", "family" : "Le\u00e3o", "given" : "Miguel", "non-dropping-particle" : "", "parse-names" : false, "suffix" : "" } ], "container-title" : "European Journal of Medical Genetics", "id" : "ITEM-1", "issued" : { "date-parts" : [ [ "2015" ] ] }, "title" : "MEF2C haploinsufficiency syndrome: Report of a new MEF2C mutation and review", "type" : "article-newspaper" }, "uris" : [ "http://www.mendeley.com/documents/?uuid=63aec73a-5caa-43a5-a95d-f9002bc3828a" ] } ], "mendeley" : { "formattedCitation" : "[43]", "plainTextFormattedCitation" : "[43]", "previouslyFormattedCitation" : "[42]" }, "properties" : { "noteIndex" : 0 }, "schema" : "https://github.com/citation-style-language/schema/raw/master/csl-citation.json" }</w:instrText>
      </w:r>
      <w:r w:rsidR="00D43AC2" w:rsidRPr="00653918">
        <w:rPr>
          <w:rFonts w:ascii="Baskerville" w:hAnsi="Baskerville" w:cs="Baskerville"/>
          <w:sz w:val="22"/>
          <w:szCs w:val="22"/>
        </w:rPr>
        <w:fldChar w:fldCharType="separate"/>
      </w:r>
      <w:r w:rsidR="00F3024F" w:rsidRPr="00F3024F">
        <w:rPr>
          <w:rFonts w:ascii="Baskerville" w:hAnsi="Baskerville" w:cs="Baskerville"/>
          <w:noProof/>
          <w:sz w:val="22"/>
          <w:szCs w:val="22"/>
        </w:rPr>
        <w:t>[43]</w:t>
      </w:r>
      <w:r w:rsidR="00D43AC2" w:rsidRPr="00653918">
        <w:rPr>
          <w:rFonts w:ascii="Baskerville" w:hAnsi="Baskerville" w:cs="Baskerville"/>
          <w:sz w:val="22"/>
          <w:szCs w:val="22"/>
        </w:rPr>
        <w:fldChar w:fldCharType="end"/>
      </w:r>
      <w:r w:rsidR="00B910A8">
        <w:rPr>
          <w:rFonts w:ascii="Baskerville" w:hAnsi="Baskerville" w:cs="Baskerville"/>
          <w:sz w:val="22"/>
          <w:szCs w:val="22"/>
        </w:rPr>
        <w:t>*</w:t>
      </w:r>
      <w:r w:rsidR="005A07CF" w:rsidRPr="00653918">
        <w:rPr>
          <w:rFonts w:ascii="Baskerville" w:hAnsi="Baskerville" w:cs="Baskerville"/>
          <w:sz w:val="22"/>
          <w:szCs w:val="22"/>
        </w:rPr>
        <w:t xml:space="preserve">; and a patient with 7q11.23 deletion (Williams syndrome) </w:t>
      </w:r>
      <w:r w:rsidR="005419F7">
        <w:rPr>
          <w:rFonts w:ascii="Baskerville" w:hAnsi="Baskerville" w:cs="Baskerville"/>
          <w:sz w:val="22"/>
          <w:szCs w:val="22"/>
        </w:rPr>
        <w:t>plus</w:t>
      </w:r>
      <w:r w:rsidR="005419F7" w:rsidRPr="00653918">
        <w:rPr>
          <w:rFonts w:ascii="Baskerville" w:hAnsi="Baskerville" w:cs="Baskerville"/>
          <w:sz w:val="22"/>
          <w:szCs w:val="22"/>
        </w:rPr>
        <w:t xml:space="preserve"> </w:t>
      </w:r>
      <w:r w:rsidR="005A07CF" w:rsidRPr="00653918">
        <w:rPr>
          <w:rFonts w:ascii="Baskerville" w:hAnsi="Baskerville" w:cs="Baskerville"/>
          <w:sz w:val="22"/>
          <w:szCs w:val="22"/>
        </w:rPr>
        <w:t xml:space="preserve">a </w:t>
      </w:r>
      <w:r w:rsidR="005A07CF" w:rsidRPr="00653918">
        <w:rPr>
          <w:rFonts w:ascii="Baskerville" w:hAnsi="Baskerville" w:cs="Baskerville"/>
          <w:i/>
          <w:sz w:val="22"/>
          <w:szCs w:val="22"/>
        </w:rPr>
        <w:t>de novo GABRA1</w:t>
      </w:r>
      <w:r w:rsidR="000D1D2E" w:rsidRPr="00653918">
        <w:rPr>
          <w:rFonts w:ascii="Baskerville" w:hAnsi="Baskerville" w:cs="Baskerville"/>
          <w:sz w:val="22"/>
          <w:szCs w:val="22"/>
        </w:rPr>
        <w:t xml:space="preserve"> variant</w:t>
      </w:r>
      <w:r w:rsidR="005A07CF" w:rsidRPr="00653918">
        <w:rPr>
          <w:rFonts w:ascii="Baskerville" w:hAnsi="Baskerville" w:cs="Baskerville"/>
          <w:sz w:val="22"/>
          <w:szCs w:val="22"/>
        </w:rPr>
        <w:t xml:space="preserve"> presenting with a severe drug-resistant epilepsy</w:t>
      </w:r>
      <w:r w:rsidR="00616D34" w:rsidRPr="00653918">
        <w:rPr>
          <w:rFonts w:ascii="Baskerville" w:hAnsi="Baskerville" w:cs="Baskerville"/>
          <w:sz w:val="22"/>
          <w:szCs w:val="22"/>
        </w:rPr>
        <w:fldChar w:fldCharType="begin" w:fldLock="1"/>
      </w:r>
      <w:r w:rsidR="00F3024F">
        <w:rPr>
          <w:rFonts w:ascii="Baskerville" w:hAnsi="Baskerville" w:cs="Baskerville"/>
          <w:sz w:val="22"/>
          <w:szCs w:val="22"/>
        </w:rPr>
        <w:instrText>ADDIN CSL_CITATION { "citationItems" : [ { "id" : "ITEM-1", "itemData" : { "DOI" : "10.1016/j.ejmg.2016.09.002", "ISSN" : "17697212", "author" : [ { "dropping-particle" : "", "family" : "Popp", "given" : "Bernt", "non-dropping-particle" : "", "parse-names" : false, "suffix" : "" }, { "dropping-particle" : "", "family" : "Trollmann", "given" : "Regina", "non-dropping-particle" : "", "parse-names" : false, "suffix" : "" }, { "dropping-particle" : "", "family" : "B\u00fcttner", "given" : "Christian", "non-dropping-particle" : "", "parse-names" : false, "suffix" : "" }, { "dropping-particle" : "", "family" : "Caliebe", "given" : "Almuth", "non-dropping-particle" : "", "parse-names" : false, "suffix" : "" }, { "dropping-particle" : "", "family" : "Thiel", "given" : "Christian T.", "non-dropping-particle" : "", "parse-names" : false, "suffix" : "" }, { "dropping-particle" : "", "family" : "H\u00fcffmeier", "given" : "Ulrike", "non-dropping-particle" : "", "parse-names" : false, "suffix" : "" }, { "dropping-particle" : "", "family" : "Reis", "given" : "Andr\u00e9", "non-dropping-particle" : "", "parse-names" : false, "suffix" : "" }, { "dropping-particle" : "", "family" : "Zweier", "given" : "Christiane", "non-dropping-particle" : "", "parse-names" : false, "suffix" : "" } ], "container-title" : "European Journal of Medical Genetics", "id" : "ITEM-1", "issue" : "10", "issued" : { "date-parts" : [ [ "2016" ] ] }, "page" : "549-553", "title" : "Do the exome: A case of Williams-Beuren syndrome with severe epilepsy due to a truncating de novo variant in GABRA1", "type" : "article-journal", "volume" : "59" }, "uris" : [ "http://www.mendeley.com/documents/?uuid=407c9531-8baa-4b72-b422-e6aaaf53c2d5" ] } ], "mendeley" : { "formattedCitation" : "[44]", "plainTextFormattedCitation" : "[44]", "previouslyFormattedCitation" : "[43]" }, "properties" : { "noteIndex" : 0 }, "schema" : "https://github.com/citation-style-language/schema/raw/master/csl-citation.json" }</w:instrText>
      </w:r>
      <w:r w:rsidR="00616D34" w:rsidRPr="00653918">
        <w:rPr>
          <w:rFonts w:ascii="Baskerville" w:hAnsi="Baskerville" w:cs="Baskerville"/>
          <w:sz w:val="22"/>
          <w:szCs w:val="22"/>
        </w:rPr>
        <w:fldChar w:fldCharType="separate"/>
      </w:r>
      <w:r w:rsidR="00F3024F" w:rsidRPr="00F3024F">
        <w:rPr>
          <w:rFonts w:ascii="Baskerville" w:hAnsi="Baskerville" w:cs="Baskerville"/>
          <w:noProof/>
          <w:sz w:val="22"/>
          <w:szCs w:val="22"/>
        </w:rPr>
        <w:t>[44]</w:t>
      </w:r>
      <w:r w:rsidR="00616D34" w:rsidRPr="00653918">
        <w:rPr>
          <w:rFonts w:ascii="Baskerville" w:hAnsi="Baskerville" w:cs="Baskerville"/>
          <w:sz w:val="22"/>
          <w:szCs w:val="22"/>
        </w:rPr>
        <w:fldChar w:fldCharType="end"/>
      </w:r>
      <w:r w:rsidR="00B910A8">
        <w:rPr>
          <w:rFonts w:ascii="Baskerville" w:hAnsi="Baskerville" w:cs="Baskerville"/>
          <w:sz w:val="22"/>
          <w:szCs w:val="22"/>
        </w:rPr>
        <w:t>*</w:t>
      </w:r>
      <w:r w:rsidR="005A07CF" w:rsidRPr="00653918">
        <w:rPr>
          <w:rFonts w:ascii="Baskerville" w:hAnsi="Baskerville" w:cs="Baskerville"/>
          <w:sz w:val="22"/>
          <w:szCs w:val="22"/>
        </w:rPr>
        <w:t>.</w:t>
      </w:r>
      <w:r w:rsidR="000D1D2E" w:rsidRPr="00653918">
        <w:rPr>
          <w:rFonts w:ascii="Baskerville" w:hAnsi="Baskerville" w:cs="Baskerville"/>
          <w:sz w:val="22"/>
          <w:szCs w:val="22"/>
        </w:rPr>
        <w:t xml:space="preserve"> Whether </w:t>
      </w:r>
      <w:r w:rsidR="00874C26">
        <w:rPr>
          <w:rFonts w:ascii="Baskerville" w:hAnsi="Baskerville" w:cs="Baskerville"/>
          <w:sz w:val="22"/>
          <w:szCs w:val="22"/>
        </w:rPr>
        <w:t xml:space="preserve">some </w:t>
      </w:r>
      <w:r w:rsidR="000D1D2E" w:rsidRPr="00653918">
        <w:rPr>
          <w:rFonts w:ascii="Baskerville" w:hAnsi="Baskerville" w:cs="Baskerville"/>
          <w:sz w:val="22"/>
          <w:szCs w:val="22"/>
        </w:rPr>
        <w:t>p</w:t>
      </w:r>
      <w:r w:rsidR="005A07CF" w:rsidRPr="00653918">
        <w:rPr>
          <w:rFonts w:ascii="Baskerville" w:hAnsi="Baskerville" w:cs="Baskerville"/>
          <w:sz w:val="22"/>
          <w:szCs w:val="22"/>
        </w:rPr>
        <w:t>atients with sudden unexp</w:t>
      </w:r>
      <w:r w:rsidR="000D1D2E" w:rsidRPr="00653918">
        <w:rPr>
          <w:rFonts w:ascii="Baskerville" w:hAnsi="Baskerville" w:cs="Baskerville"/>
          <w:sz w:val="22"/>
          <w:szCs w:val="22"/>
        </w:rPr>
        <w:t xml:space="preserve">ected death in epilepsy (SUDEP), who have been found to harbor an </w:t>
      </w:r>
      <w:r w:rsidR="005A07CF" w:rsidRPr="00653918">
        <w:rPr>
          <w:rFonts w:ascii="Baskerville" w:hAnsi="Baskerville" w:cs="Baskerville"/>
          <w:sz w:val="22"/>
          <w:szCs w:val="22"/>
        </w:rPr>
        <w:t xml:space="preserve">increased burden of </w:t>
      </w:r>
      <w:r w:rsidR="005A07CF" w:rsidRPr="00653918">
        <w:rPr>
          <w:rFonts w:ascii="Baskerville" w:hAnsi="Baskerville" w:cs="Baskerville"/>
          <w:i/>
          <w:sz w:val="22"/>
          <w:szCs w:val="22"/>
        </w:rPr>
        <w:t>de novo</w:t>
      </w:r>
      <w:r w:rsidR="005A07CF" w:rsidRPr="00653918">
        <w:rPr>
          <w:rFonts w:ascii="Baskerville" w:hAnsi="Baskerville" w:cs="Baskerville"/>
          <w:sz w:val="22"/>
          <w:szCs w:val="22"/>
        </w:rPr>
        <w:t xml:space="preserve"> mutations</w:t>
      </w:r>
      <w:r w:rsidR="00874C26">
        <w:rPr>
          <w:rFonts w:ascii="Baskerville" w:hAnsi="Baskerville" w:cs="Baskerville"/>
          <w:sz w:val="22"/>
          <w:szCs w:val="22"/>
        </w:rPr>
        <w:t xml:space="preserve"> at a population level</w:t>
      </w:r>
      <w:r w:rsidR="005A07CF" w:rsidRPr="00653918">
        <w:rPr>
          <w:rFonts w:ascii="Baskerville" w:hAnsi="Baskerville" w:cs="Baskerville"/>
          <w:sz w:val="22"/>
          <w:szCs w:val="22"/>
        </w:rPr>
        <w:t xml:space="preserve">, </w:t>
      </w:r>
      <w:r w:rsidR="000D1D2E" w:rsidRPr="00653918">
        <w:rPr>
          <w:rFonts w:ascii="Baskerville" w:hAnsi="Baskerville" w:cs="Baskerville"/>
          <w:sz w:val="22"/>
          <w:szCs w:val="22"/>
        </w:rPr>
        <w:t xml:space="preserve">represent </w:t>
      </w:r>
      <w:r w:rsidR="00E11F86">
        <w:rPr>
          <w:rFonts w:ascii="Baskerville" w:hAnsi="Baskerville" w:cs="Baskerville"/>
          <w:sz w:val="22"/>
          <w:szCs w:val="22"/>
        </w:rPr>
        <w:t xml:space="preserve">a multi-allelic severe </w:t>
      </w:r>
      <w:r w:rsidR="00BA312B">
        <w:rPr>
          <w:rFonts w:ascii="Baskerville" w:hAnsi="Baskerville" w:cs="Baskerville"/>
          <w:sz w:val="22"/>
          <w:szCs w:val="22"/>
        </w:rPr>
        <w:t xml:space="preserve">epilepsy </w:t>
      </w:r>
      <w:r w:rsidR="00E11F86">
        <w:rPr>
          <w:rFonts w:ascii="Baskerville" w:hAnsi="Baskerville" w:cs="Baskerville"/>
          <w:sz w:val="22"/>
          <w:szCs w:val="22"/>
        </w:rPr>
        <w:t>phenotype</w:t>
      </w:r>
      <w:r w:rsidR="000D1D2E" w:rsidRPr="00653918">
        <w:rPr>
          <w:rFonts w:ascii="Baskerville" w:hAnsi="Baskerville" w:cs="Baskerville"/>
          <w:sz w:val="22"/>
          <w:szCs w:val="22"/>
        </w:rPr>
        <w:t xml:space="preserve"> </w:t>
      </w:r>
      <w:r w:rsidR="00B2411A">
        <w:rPr>
          <w:rFonts w:ascii="Baskerville" w:hAnsi="Baskerville" w:cs="Baskerville"/>
          <w:sz w:val="22"/>
          <w:szCs w:val="22"/>
        </w:rPr>
        <w:t>remains to be determined</w:t>
      </w:r>
      <w:r w:rsidR="009F1EBC" w:rsidRPr="00653918">
        <w:rPr>
          <w:rFonts w:ascii="Baskerville" w:hAnsi="Baskerville" w:cs="Baskerville"/>
          <w:sz w:val="22"/>
          <w:szCs w:val="22"/>
        </w:rPr>
        <w:fldChar w:fldCharType="begin" w:fldLock="1"/>
      </w:r>
      <w:r w:rsidR="00F3024F">
        <w:rPr>
          <w:rFonts w:ascii="Baskerville" w:hAnsi="Baskerville" w:cs="Baskerville"/>
          <w:sz w:val="22"/>
          <w:szCs w:val="22"/>
        </w:rPr>
        <w:instrText>ADDIN CSL_CITATION { "citationItems" : [ { "id" : "ITEM-1", "itemData" : { "DOI" : "10.1016/j.ebiom.2015.07.005", "ISSN" : "23523964", "author" : [ { "dropping-particle" : "", "family" : "Leu", "given" : "Costin", "non-dropping-particle" : "", "parse-names" : false, "suffix" : "" }, { "dropping-particle" : "", "family" : "Balestrini", "given" : "Simona", "non-dropping-particle" : "", "parse-names" : false, "suffix" : "" }, { "dropping-particle" : "", "family" : "Maher", "given" : "Bridget", "non-dropping-particle" : "", "parse-names" : false, "suffix" : "" }, { "dropping-particle" : "", "family" : "Hern\u00e1ndez-Hern\u00e1ndez", "given" : "Laura", "non-dropping-particle" : "", "parse-names" : false, "suffix" : "" }, { "dropping-particle" : "", "family" : "Gormley", "given" : "Padhraig", "non-dropping-particle" : "", "parse-names" : false, "suffix" : "" }, { "dropping-particle" : "", "family" : "H\u00e4m\u00e4l\u00e4inen", "given" : "Eija", "non-dropping-particle" : "", "parse-names" : false, "suffix" : "" }, { "dropping-particle" : "", "family" : "Heggeli", "given" : "Kristin", "non-dropping-particle" : "", "parse-names" : false, "suffix" : "" }, { "dropping-particle" : "", "family" : "Schoeler", "given" : "Natasha", "non-dropping-particle" : "", "parse-names" : false, "suffix" : "" }, { "dropping-particle" : "", "family" : "Novy", "given" : "Jan", "non-dropping-particle" : "", "parse-names" : false, "suffix" : "" }, { "dropping-particle" : "", "family" : "Willis", "given" : "Joseph", "non-dropping-particle" : "", "parse-names" : false, "suffix" : "" }, { "dropping-particle" : "", "family" : "Plagnol", "given" : "Vincent", "non-dropping-particle" : "", "parse-names" : false, "suffix" : "" }, { "dropping-particle" : "", "family" : "Ellis", "given" : "Rachael", "non-dropping-particle" : "", "parse-names" : false, "suffix" : "" }, { "dropping-particle" : "", "family" : "Reavey", "given" : "Eleanor", "non-dropping-particle" : "", "parse-names" : false, "suffix" : "" }, { "dropping-particle" : "", "family" : "O'Regan", "given" : "Mary", "non-dropping-particle" : "", "parse-names" : false, "suffix" : "" }, { "dropping-particle" : "", "family" : "Pickrell", "given" : "William O.", "non-dropping-particle" : "", "parse-names" : false, "suffix" : "" }, { "dropping-particle" : "", "family" : "Thomas", "given" : "Rhys H.", "non-dropping-particle" : "", "parse-names" : false, "suffix" : "" }, { "dropping-particle" : "", "family" : "Chung", "given" : "Seo-Kyung", "non-dropping-particle" : "", "parse-names" : false, "suffix" : "" }, { "dropping-particle" : "", "family" : "Delanty", "given" : "Norman", "non-dropping-particle" : "", "parse-names" : false, "suffix" : "" }, { "dropping-particle" : "", "family" : "McMahon", "given" : "Jacinta M.", "non-dropping-particle" : "", "parse-names" : false, "suffix" : "" }, { "dropping-particle" : "", "family" : "Malone", "given" : "Stephen", "non-dropping-particle" : "", "parse-names" : false, "suffix" : "" }, { "dropping-particle" : "", "family" : "Sadleir", "given" : "Lynette G.", "non-dropping-particle" : "", "parse-names" : false, "suffix" : "" }, { "dropping-particle" : "", "family" : "Berkovic", "given" : "Samuel F.", "non-dropping-particle" : "", "parse-names" : false, "suffix" : "" }, { "dropping-particle" : "", "family" : "Nashef", "given" : "Lina", "non-dropping-particle" : "", "parse-names" : false, "suffix" : "" }, { "dropping-particle" : "", "family" : "Zuberi", "given" : "Sameer M.", "non-dropping-particle" : "", "parse-names" : false, "suffix" : "" }, { "dropping-particle" : "", "family" : "Rees", "given" : "Mark I.", "non-dropping-particle" : "", "parse-names" : false, "suffix" : "" }, { "dropping-particle" : "", "family" : "Cavalleri", "given" : "Gianpiero L.", "non-dropping-particle" : "", "parse-names" : false, "suffix" : "" }, { "dropping-particle" : "", "family" : "Sander", "given" : "Josemir W.", "non-dropping-particle" : "", "parse-names" : false, "suffix" : "" }, { "dropping-particle" : "", "family" : "Hughes", "given" : "Elaine", "non-dropping-particle" : "", "parse-names" : false, "suffix" : "" }, { "dropping-particle" : "", "family" : "Helen Cross", "given" : "J.", "non-dropping-particle" : "", "parse-names" : false, "suffix" : "" }, { "dropping-particle" : "", "family" : "Scheffer", "given" : "Ingrid E.", "non-dropping-particle" : "", "parse-names" : false, "suffix" : "" }, { "dropping-particle" : "", "family" : "Palotie", "given" : "Aarno", "non-dropping-particle" : "", "parse-names" : false, "suffix" : "" }, { "dropping-particle" : "", "family" : "Sisodiya", "given" : "Sanjay M.", "non-dropping-particle" : "", "parse-names" : false, "suffix" : "" } ], "container-title" : "EBioMedicine", "id" : "ITEM-1", "issued" : { "date-parts" : [ [ "2015" ] ] }, "page" : "1-8", "publisher" : "Elsevier B.V.", "title" : "Genome-wide Polygenic Burden of Rare Deleterious Variants in Sudden Unexpected Death in Epilepsy", "type" : "article-journal" }, "uris" : [ "http://www.mendeley.com/documents/?uuid=6aab5ac4-3d43-4535-aa47-8c5f2d0e6f49" ] } ], "mendeley" : { "formattedCitation" : "[45]", "manualFormatting" : "[43]", "plainTextFormattedCitation" : "[45]", "previouslyFormattedCitation" : "[44]" }, "properties" : { "noteIndex" : 0 }, "schema" : "https://github.com/citation-style-language/schema/raw/master/csl-citation.json" }</w:instrText>
      </w:r>
      <w:r w:rsidR="009F1EBC" w:rsidRPr="00653918">
        <w:rPr>
          <w:rFonts w:ascii="Baskerville" w:hAnsi="Baskerville" w:cs="Baskerville"/>
          <w:sz w:val="22"/>
          <w:szCs w:val="22"/>
        </w:rPr>
        <w:fldChar w:fldCharType="separate"/>
      </w:r>
      <w:r w:rsidR="005431EC" w:rsidRPr="005431EC">
        <w:rPr>
          <w:rFonts w:ascii="Baskerville" w:hAnsi="Baskerville" w:cs="Baskerville"/>
          <w:noProof/>
          <w:sz w:val="22"/>
          <w:szCs w:val="22"/>
        </w:rPr>
        <w:t>[43]</w:t>
      </w:r>
      <w:r w:rsidR="009F1EBC" w:rsidRPr="00653918">
        <w:rPr>
          <w:rFonts w:ascii="Baskerville" w:hAnsi="Baskerville" w:cs="Baskerville"/>
          <w:sz w:val="22"/>
          <w:szCs w:val="22"/>
        </w:rPr>
        <w:fldChar w:fldCharType="end"/>
      </w:r>
      <w:r w:rsidR="00B910A8">
        <w:rPr>
          <w:rFonts w:ascii="Baskerville" w:hAnsi="Baskerville" w:cs="Baskerville"/>
          <w:sz w:val="22"/>
          <w:szCs w:val="22"/>
        </w:rPr>
        <w:t>*</w:t>
      </w:r>
      <w:r w:rsidR="005A07CF" w:rsidRPr="00653918">
        <w:rPr>
          <w:rFonts w:ascii="Baskerville" w:hAnsi="Baskerville" w:cs="Baskerville"/>
          <w:sz w:val="22"/>
          <w:szCs w:val="22"/>
        </w:rPr>
        <w:t>.</w:t>
      </w:r>
      <w:r w:rsidR="00FB3442" w:rsidRPr="00653918">
        <w:rPr>
          <w:rFonts w:ascii="Baskerville" w:hAnsi="Baskerville" w:cs="Baskerville"/>
          <w:sz w:val="22"/>
          <w:szCs w:val="22"/>
        </w:rPr>
        <w:t xml:space="preserve"> </w:t>
      </w:r>
    </w:p>
    <w:p w14:paraId="1FB956D5" w14:textId="77777777" w:rsidR="00C16B5A" w:rsidRPr="00653918" w:rsidRDefault="00C16B5A" w:rsidP="00A07468">
      <w:pPr>
        <w:spacing w:line="360" w:lineRule="auto"/>
        <w:jc w:val="both"/>
        <w:rPr>
          <w:rFonts w:ascii="Baskerville" w:hAnsi="Baskerville" w:cs="Baskerville"/>
          <w:sz w:val="22"/>
          <w:szCs w:val="22"/>
        </w:rPr>
      </w:pPr>
    </w:p>
    <w:p w14:paraId="2FA7355F" w14:textId="77777777" w:rsidR="000D1D2E" w:rsidRPr="00653918" w:rsidRDefault="000D1D2E" w:rsidP="00A07468">
      <w:pPr>
        <w:spacing w:line="360" w:lineRule="auto"/>
        <w:jc w:val="both"/>
        <w:rPr>
          <w:rFonts w:ascii="Baskerville" w:hAnsi="Baskerville" w:cs="Baskerville"/>
          <w:b/>
          <w:sz w:val="22"/>
          <w:szCs w:val="22"/>
        </w:rPr>
      </w:pPr>
    </w:p>
    <w:p w14:paraId="5F40A0AA" w14:textId="1BB1150E" w:rsidR="00A07468" w:rsidRPr="00653918" w:rsidRDefault="00C34F3C" w:rsidP="00A07468">
      <w:pPr>
        <w:spacing w:line="360" w:lineRule="auto"/>
        <w:jc w:val="both"/>
        <w:rPr>
          <w:rFonts w:ascii="Baskerville" w:hAnsi="Baskerville" w:cs="Baskerville"/>
          <w:b/>
          <w:sz w:val="22"/>
          <w:szCs w:val="22"/>
        </w:rPr>
      </w:pPr>
      <w:r w:rsidRPr="00653918">
        <w:rPr>
          <w:rFonts w:ascii="Baskerville" w:hAnsi="Baskerville" w:cs="Baskerville"/>
          <w:b/>
          <w:sz w:val="22"/>
          <w:szCs w:val="22"/>
        </w:rPr>
        <w:t>Gene di</w:t>
      </w:r>
      <w:r w:rsidR="00406ADF">
        <w:rPr>
          <w:rFonts w:ascii="Baskerville" w:hAnsi="Baskerville" w:cs="Baskerville"/>
          <w:b/>
          <w:sz w:val="22"/>
          <w:szCs w:val="22"/>
        </w:rPr>
        <w:t>scovery and the ILAE Classifica</w:t>
      </w:r>
      <w:r w:rsidRPr="00653918">
        <w:rPr>
          <w:rFonts w:ascii="Baskerville" w:hAnsi="Baskerville" w:cs="Baskerville"/>
          <w:b/>
          <w:sz w:val="22"/>
          <w:szCs w:val="22"/>
        </w:rPr>
        <w:t xml:space="preserve">tion </w:t>
      </w:r>
    </w:p>
    <w:p w14:paraId="6BBB0A02" w14:textId="085C0D26" w:rsidR="00A07468" w:rsidRPr="00653918" w:rsidRDefault="00A07468" w:rsidP="00A07468">
      <w:pPr>
        <w:spacing w:line="360" w:lineRule="auto"/>
        <w:jc w:val="both"/>
        <w:rPr>
          <w:rFonts w:ascii="Baskerville" w:hAnsi="Baskerville" w:cs="Baskerville"/>
          <w:sz w:val="22"/>
          <w:szCs w:val="22"/>
        </w:rPr>
      </w:pPr>
      <w:r w:rsidRPr="00653918">
        <w:rPr>
          <w:rFonts w:ascii="Baskerville" w:hAnsi="Baskerville" w:cs="Baskerville"/>
          <w:sz w:val="22"/>
          <w:szCs w:val="22"/>
        </w:rPr>
        <w:t>The last ratified International League Against Epilepsy (ILAE) Classification of the Epilepsies was in 1989</w:t>
      </w:r>
      <w:r w:rsidR="00F92440" w:rsidRPr="00653918">
        <w:rPr>
          <w:rFonts w:ascii="Baskerville" w:hAnsi="Baskerville" w:cs="Baskerville"/>
          <w:sz w:val="22"/>
          <w:szCs w:val="22"/>
        </w:rPr>
        <w:fldChar w:fldCharType="begin" w:fldLock="1"/>
      </w:r>
      <w:r w:rsidR="00F3024F">
        <w:rPr>
          <w:rFonts w:ascii="Baskerville" w:hAnsi="Baskerville" w:cs="Baskerville"/>
          <w:sz w:val="22"/>
          <w:szCs w:val="22"/>
        </w:rPr>
        <w:instrText>ADDIN CSL_CITATION { "citationItems" : [ { "id" : "ITEM-1", "itemData" : { "DOI" : "10.1111/j.1528-1167.2010.02522.x", "ISBN" : "1528-1167 (Electronic)\\n0013-9580 (Linking)", "ISSN" : "00139580", "PMID" : "20196795", "abstract" : "The International League Against Epilepsy (ILAE) Commission on Classification and Terminology has revised concepts, terminology, and approaches for classifying seizures and forms of epilepsy. Generalized and focal are redefined for seizures as occurring in and rapidly engaging bilaterally distributed networks (generalized) and within networks limited to one hemisphere and either discretely localized or more widely distributed (focal). Classification of generalized seizures is simplified. No natural classification for focal seizures exists; focal seizures should be described according to their manifestations (e.g., dyscognitive, focal motor). The concepts of generalized and focal do not apply to electroclinical syndromes. Genetic, structural-metabolic, and unknown represent modified concepts to replace idiopathic, symptomatic, and cryptogenic. Not all epilepsies are recognized as electroclinical syndromes. Organization of forms of epilepsy is first by specificity: electroclinical syndromes, nonsyndromic epilepsies with structural-metabolic causes, and epilepsies of unknown cause. Further organization within these divisions can be accomplished in a flexible manner depending on purpose. Natural classes (e.g., specific underlying cause, age at onset, associated seizure type), or pragmatic groupings (e.g., epileptic encephalopathies, self-limited electroclinical syndromes) may serve as the basis for organizing knowledge about recognized forms of epilepsy and facilitate identification of new forms.", "author" : [ { "dropping-particle" : "", "family" : "Berg", "given" : "Anne T.", "non-dropping-particle" : "", "parse-names" : false, "suffix" : "" }, { "dropping-particle" : "", "family" : "Berkovic", "given" : "Samuel F.", "non-dropping-particle" : "", "parse-names" : false, "suffix" : "" }, { "dropping-particle" : "", "family" : "Brodie", "given" : "Martin J.", "non-dropping-particle" : "", "parse-names" : false, "suffix" : "" }, { "dropping-particle" : "", "family" : "Buchhalter", "given" : "Jeffrey", "non-dropping-particle" : "", "parse-names" : false, "suffix" : "" }, { "dropping-particle" : "", "family" : "Cross", "given" : "J. Helen", "non-dropping-particle" : "", "parse-names" : false, "suffix" : "" }, { "dropping-particle" : "", "family" : "Emde Boas", "given" : "Walter", "non-dropping-particle" : "Van", "parse-names" : false, "suffix" : "" }, { "dropping-particle" : "", "family" : "Engel", "given" : "Jerome", "non-dropping-particle" : "", "parse-names" : false, "suffix" : "" }, { "dropping-particle" : "", "family" : "French", "given" : "Jacqueline", "non-dropping-particle" : "", "parse-names" : false, "suffix" : "" }, { "dropping-particle" : "", "family" : "Glauser", "given" : "Tracy A.", "non-dropping-particle" : "", "parse-names" : false, "suffix" : "" }, { "dropping-particle" : "", "family" : "Mathern", "given" : "Gary W.", "non-dropping-particle" : "", "parse-names" : false, "suffix" : "" }, { "dropping-particle" : "", "family" : "Mosh??", "given" : "Solomon L.", "non-dropping-particle" : "", "parse-names" : false, "suffix" : "" }, { "dropping-particle" : "", "family" : "Nordli", "given" : "Douglas", "non-dropping-particle" : "", "parse-names" : false, "suffix" : "" }, { "dropping-particle" : "", "family" : "Plouin", "given" : "Perrine", "non-dropping-particle" : "", "parse-names" : false, "suffix" : "" }, { "dropping-particle" : "", "family" : "Scheffer", "given" : "Ingrid E.", "non-dropping-particle" : "", "parse-names" : false, "suffix" : "" } ], "container-title" : "Epilepsia", "id" : "ITEM-1", "issue" : "4", "issued" : { "date-parts" : [ [ "2010" ] ] }, "page" : "676-685", "title" : "Revised terminology and concepts for organization of seizures and epilepsies: Report of the ILAE Commission on Classification and Terminology, 2005-2009", "type" : "article-journal", "volume" : "51" }, "uris" : [ "http://www.mendeley.com/documents/?uuid=1bb52974-370f-45ca-a478-5bd52e7ceb14" ] } ], "mendeley" : { "formattedCitation" : "[46]", "plainTextFormattedCitation" : "[46]", "previouslyFormattedCitation" : "[45]" }, "properties" : { "noteIndex" : 0 }, "schema" : "https://github.com/citation-style-language/schema/raw/master/csl-citation.json" }</w:instrText>
      </w:r>
      <w:r w:rsidR="00F92440" w:rsidRPr="00653918">
        <w:rPr>
          <w:rFonts w:ascii="Baskerville" w:hAnsi="Baskerville" w:cs="Baskerville"/>
          <w:sz w:val="22"/>
          <w:szCs w:val="22"/>
        </w:rPr>
        <w:fldChar w:fldCharType="separate"/>
      </w:r>
      <w:r w:rsidR="00F3024F" w:rsidRPr="00F3024F">
        <w:rPr>
          <w:rFonts w:ascii="Baskerville" w:hAnsi="Baskerville" w:cs="Baskerville"/>
          <w:noProof/>
          <w:sz w:val="22"/>
          <w:szCs w:val="22"/>
        </w:rPr>
        <w:t>[46]</w:t>
      </w:r>
      <w:r w:rsidR="00F92440" w:rsidRPr="00653918">
        <w:rPr>
          <w:rFonts w:ascii="Baskerville" w:hAnsi="Baskerville" w:cs="Baskerville"/>
          <w:sz w:val="22"/>
          <w:szCs w:val="22"/>
        </w:rPr>
        <w:fldChar w:fldCharType="end"/>
      </w:r>
      <w:r w:rsidRPr="00653918">
        <w:rPr>
          <w:rFonts w:ascii="Baskerville" w:hAnsi="Baskerville" w:cs="Baskerville"/>
          <w:sz w:val="22"/>
          <w:szCs w:val="22"/>
        </w:rPr>
        <w:t xml:space="preserve">. Development of an updated classification for primarily clinical purposes, which acknowledges the scientific advances in our understanding of the etiologies of the epilepsies, has involved a wide engagement with the epilepsy community over a period of seven years. This long iterative process has included publication of proposals for classification </w:t>
      </w:r>
      <w:r w:rsidRPr="00653918">
        <w:rPr>
          <w:rFonts w:ascii="Baskerville" w:hAnsi="Baskerville" w:cs="Baskerville"/>
          <w:sz w:val="22"/>
          <w:szCs w:val="22"/>
        </w:rPr>
        <w:lastRenderedPageBreak/>
        <w:t>from the ILAE Commission for Classification and Terminology alongside commentary papers and online feedback</w:t>
      </w:r>
      <w:r w:rsidR="00F92440" w:rsidRPr="00653918">
        <w:rPr>
          <w:rFonts w:ascii="Baskerville" w:hAnsi="Baskerville" w:cs="Baskerville"/>
          <w:sz w:val="22"/>
          <w:szCs w:val="22"/>
        </w:rPr>
        <w:fldChar w:fldCharType="begin" w:fldLock="1"/>
      </w:r>
      <w:r w:rsidR="00F3024F">
        <w:rPr>
          <w:rFonts w:ascii="Baskerville" w:hAnsi="Baskerville" w:cs="Baskerville"/>
          <w:sz w:val="22"/>
          <w:szCs w:val="22"/>
        </w:rPr>
        <w:instrText>ADDIN CSL_CITATION { "citationItems" : [ { "id" : "ITEM-1", "itemData" : { "DOI" : "10.1002/epi4.5", "ISSN" : "24709239", "author" : [ { "dropping-particle" : "", "family" : "Scheffer", "given" : "Ingrid E", "non-dropping-particle" : "", "parse-names" : false, "suffix" : "" }, { "dropping-particle" : "", "family" : "French", "given" : "Jacqueline", "non-dropping-particle" : "", "parse-names" : false, "suffix" : "" }, { "dropping-particle" : "", "family" : "Hirsch", "given" : "Edouard", "non-dropping-particle" : "", "parse-names" : false, "suffix" : "" }, { "dropping-particle" : "", "family" : "Jain", "given" : "Satish", "non-dropping-particle" : "", "parse-names" : false, "suffix" : "" }, { "dropping-particle" : "", "family" : "Mathern", "given" : "Gary W.", "non-dropping-particle" : "", "parse-names" : false, "suffix" : "" }, { "dropping-particle" : "", "family" : "Mosh\u00e9", "given" : "Solomon L", "non-dropping-particle" : "", "parse-names" : false, "suffix" : "" }, { "dropping-particle" : "", "family" : "Perucca", "given" : "Emilio", "non-dropping-particle" : "", "parse-names" : false, "suffix" : "" }, { "dropping-particle" : "", "family" : "Tomson", "given" : "Torbjorn", "non-dropping-particle" : "", "parse-names" : false, "suffix" : "" }, { "dropping-particle" : "", "family" : "Wiebe", "given" : "Samuel", "non-dropping-particle" : "", "parse-names" : false, "suffix" : "" }, { "dropping-particle" : "", "family" : "Zhang", "given" : "Yue-Hua", "non-dropping-particle" : "", "parse-names" : false, "suffix" : "" }, { "dropping-particle" : "", "family" : "Zuberi", "given" : "Sameer M", "non-dropping-particle" : "", "parse-names" : false, "suffix" : "" } ], "container-title" : "Epilepsia Open", "id" : "ITEM-1", "issued" : { "date-parts" : [ [ "2016" ] ] }, "page" : "1-8", "title" : "Classification of the epilepsies: New concepts for discussion and debate. Special Report of the ILAE Classification Task Force of the Commission for Classification and Terminology", "type" : "article-journal" }, "uris" : [ "http://www.mendeley.com/documents/?uuid=5594389e-72fc-43b4-8ce9-335be82b90e0" ] } ], "mendeley" : { "formattedCitation" : "[47]", "plainTextFormattedCitation" : "[47]", "previouslyFormattedCitation" : "[46]" }, "properties" : { "noteIndex" : 0 }, "schema" : "https://github.com/citation-style-language/schema/raw/master/csl-citation.json" }</w:instrText>
      </w:r>
      <w:r w:rsidR="00F92440" w:rsidRPr="00653918">
        <w:rPr>
          <w:rFonts w:ascii="Baskerville" w:hAnsi="Baskerville" w:cs="Baskerville"/>
          <w:sz w:val="22"/>
          <w:szCs w:val="22"/>
        </w:rPr>
        <w:fldChar w:fldCharType="separate"/>
      </w:r>
      <w:r w:rsidR="00F3024F" w:rsidRPr="00F3024F">
        <w:rPr>
          <w:rFonts w:ascii="Baskerville" w:hAnsi="Baskerville" w:cs="Baskerville"/>
          <w:noProof/>
          <w:sz w:val="22"/>
          <w:szCs w:val="22"/>
        </w:rPr>
        <w:t>[47]</w:t>
      </w:r>
      <w:r w:rsidR="00F92440" w:rsidRPr="00653918">
        <w:rPr>
          <w:rFonts w:ascii="Baskerville" w:hAnsi="Baskerville" w:cs="Baskerville"/>
          <w:sz w:val="22"/>
          <w:szCs w:val="22"/>
        </w:rPr>
        <w:fldChar w:fldCharType="end"/>
      </w:r>
      <w:r w:rsidR="0088751D">
        <w:rPr>
          <w:rFonts w:ascii="Baskerville" w:hAnsi="Baskerville" w:cs="Baskerville"/>
          <w:sz w:val="22"/>
          <w:szCs w:val="22"/>
        </w:rPr>
        <w:t>*</w:t>
      </w:r>
      <w:r w:rsidR="003658C0" w:rsidRPr="00653918">
        <w:rPr>
          <w:rFonts w:ascii="Baskerville" w:hAnsi="Baskerville" w:cs="Baskerville"/>
          <w:sz w:val="22"/>
          <w:szCs w:val="22"/>
        </w:rPr>
        <w:t xml:space="preserve">. </w:t>
      </w:r>
      <w:r w:rsidRPr="00653918">
        <w:rPr>
          <w:rFonts w:ascii="Baskerville" w:hAnsi="Baskerville" w:cs="Baskerville"/>
          <w:sz w:val="22"/>
          <w:szCs w:val="22"/>
        </w:rPr>
        <w:t xml:space="preserve">The process will be complete with the publication of two companion papers, one on the classification of seizure types and the other on the overall classification of the epilepsies in the journal </w:t>
      </w:r>
      <w:r w:rsidRPr="00653918">
        <w:rPr>
          <w:rFonts w:ascii="Baskerville" w:hAnsi="Baskerville" w:cs="Baskerville"/>
          <w:i/>
          <w:sz w:val="22"/>
          <w:szCs w:val="22"/>
        </w:rPr>
        <w:t>Epilepsia</w:t>
      </w:r>
      <w:r w:rsidRPr="00653918">
        <w:rPr>
          <w:rFonts w:ascii="Baskerville" w:hAnsi="Baskerville" w:cs="Baskerville"/>
          <w:sz w:val="22"/>
          <w:szCs w:val="22"/>
        </w:rPr>
        <w:t xml:space="preserve"> in 2017. </w:t>
      </w:r>
    </w:p>
    <w:p w14:paraId="5C2E42D4" w14:textId="77777777" w:rsidR="00A07468" w:rsidRPr="00653918" w:rsidRDefault="00A07468" w:rsidP="00A07468">
      <w:pPr>
        <w:spacing w:line="360" w:lineRule="auto"/>
        <w:jc w:val="both"/>
        <w:rPr>
          <w:rFonts w:ascii="Baskerville" w:hAnsi="Baskerville" w:cs="Baskerville"/>
          <w:sz w:val="22"/>
          <w:szCs w:val="22"/>
        </w:rPr>
      </w:pPr>
    </w:p>
    <w:p w14:paraId="017BEDE2" w14:textId="0EE51CC7" w:rsidR="00A07468" w:rsidRPr="00653918" w:rsidRDefault="00A07468" w:rsidP="00A07468">
      <w:pPr>
        <w:spacing w:line="360" w:lineRule="auto"/>
        <w:jc w:val="both"/>
        <w:rPr>
          <w:rFonts w:ascii="Baskerville" w:hAnsi="Baskerville" w:cs="Baskerville"/>
          <w:sz w:val="22"/>
          <w:szCs w:val="22"/>
        </w:rPr>
      </w:pPr>
      <w:r w:rsidRPr="00653918">
        <w:rPr>
          <w:rFonts w:ascii="Baskerville" w:hAnsi="Baskerville" w:cs="Baskerville"/>
          <w:sz w:val="22"/>
          <w:szCs w:val="22"/>
        </w:rPr>
        <w:t xml:space="preserve">One of the principal drivers for a new classification was the clinical imperative to consider etiology at each of three levels of epilepsy classification. These levels are </w:t>
      </w:r>
      <w:r w:rsidR="00E60082">
        <w:rPr>
          <w:rFonts w:ascii="Baskerville" w:hAnsi="Baskerville" w:cs="Baskerville"/>
          <w:sz w:val="22"/>
          <w:szCs w:val="22"/>
        </w:rPr>
        <w:t xml:space="preserve">(a) </w:t>
      </w:r>
      <w:r w:rsidR="00EA278F">
        <w:rPr>
          <w:rFonts w:ascii="Baskerville" w:hAnsi="Baskerville" w:cs="Baskerville"/>
          <w:sz w:val="22"/>
          <w:szCs w:val="22"/>
        </w:rPr>
        <w:t>seizure type (generaliz</w:t>
      </w:r>
      <w:r w:rsidRPr="00653918">
        <w:rPr>
          <w:rFonts w:ascii="Baskerville" w:hAnsi="Baskerville" w:cs="Baskerville"/>
          <w:sz w:val="22"/>
          <w:szCs w:val="22"/>
        </w:rPr>
        <w:t xml:space="preserve">ed onset, focal onset, unknown onset), </w:t>
      </w:r>
      <w:r w:rsidR="00E60082">
        <w:rPr>
          <w:rFonts w:ascii="Baskerville" w:hAnsi="Baskerville" w:cs="Baskerville"/>
          <w:sz w:val="22"/>
          <w:szCs w:val="22"/>
        </w:rPr>
        <w:t xml:space="preserve">(b) </w:t>
      </w:r>
      <w:r w:rsidR="00EA278F">
        <w:rPr>
          <w:rFonts w:ascii="Baskerville" w:hAnsi="Baskerville" w:cs="Baskerville"/>
          <w:sz w:val="22"/>
          <w:szCs w:val="22"/>
        </w:rPr>
        <w:t>epilepsy type (generalized, focal, combined generaliz</w:t>
      </w:r>
      <w:r w:rsidRPr="00653918">
        <w:rPr>
          <w:rFonts w:ascii="Baskerville" w:hAnsi="Baskerville" w:cs="Baskerville"/>
          <w:sz w:val="22"/>
          <w:szCs w:val="22"/>
        </w:rPr>
        <w:t xml:space="preserve">ed and focal, and unknown type) and </w:t>
      </w:r>
      <w:r w:rsidR="00E60082">
        <w:rPr>
          <w:rFonts w:ascii="Baskerville" w:hAnsi="Baskerville" w:cs="Baskerville"/>
          <w:sz w:val="22"/>
          <w:szCs w:val="22"/>
        </w:rPr>
        <w:t xml:space="preserve">(c) </w:t>
      </w:r>
      <w:r w:rsidRPr="00653918">
        <w:rPr>
          <w:rFonts w:ascii="Baskerville" w:hAnsi="Baskerville" w:cs="Baskerville"/>
          <w:sz w:val="22"/>
          <w:szCs w:val="22"/>
        </w:rPr>
        <w:t>epilepsy syndrome. The framework for the classification of epilepsies divides etiology into six groups chosen for their treatment implications; structural, genetic, infectious, metabolic, immune and unknown. The concept of a genetic epilepsy is that it results directly from a known or presumed genetic mutation in which seizures are a</w:t>
      </w:r>
      <w:r w:rsidR="007E4B27" w:rsidRPr="00653918">
        <w:rPr>
          <w:rFonts w:ascii="Baskerville" w:hAnsi="Baskerville" w:cs="Baskerville"/>
          <w:sz w:val="22"/>
          <w:szCs w:val="22"/>
        </w:rPr>
        <w:t xml:space="preserve"> core symptom of the disorder. </w:t>
      </w:r>
      <w:r w:rsidR="00424197">
        <w:rPr>
          <w:rFonts w:ascii="Baskerville" w:hAnsi="Baskerville" w:cs="Baskerville"/>
          <w:sz w:val="22"/>
          <w:szCs w:val="22"/>
        </w:rPr>
        <w:t>In the new classification scheme t</w:t>
      </w:r>
      <w:r w:rsidRPr="00653918">
        <w:rPr>
          <w:rFonts w:ascii="Baskerville" w:hAnsi="Baskerville" w:cs="Baskerville"/>
          <w:sz w:val="22"/>
          <w:szCs w:val="22"/>
        </w:rPr>
        <w:t>here are three ways in which an epilepsy</w:t>
      </w:r>
      <w:r w:rsidR="00424197">
        <w:rPr>
          <w:rFonts w:ascii="Baskerville" w:hAnsi="Baskerville" w:cs="Baskerville"/>
          <w:sz w:val="22"/>
          <w:szCs w:val="22"/>
        </w:rPr>
        <w:t xml:space="preserve"> may be classified as genetic. First, e</w:t>
      </w:r>
      <w:r w:rsidRPr="00653918">
        <w:rPr>
          <w:rFonts w:ascii="Baskerville" w:hAnsi="Baskerville" w:cs="Baskerville"/>
          <w:sz w:val="22"/>
          <w:szCs w:val="22"/>
        </w:rPr>
        <w:t xml:space="preserve">vidence for a genetic etiology may be based solely on a family history whether or not the disorder has a known </w:t>
      </w:r>
      <w:r w:rsidR="007E4B27" w:rsidRPr="00653918">
        <w:rPr>
          <w:rFonts w:ascii="Baskerville" w:hAnsi="Baskerville" w:cs="Baskerville"/>
          <w:sz w:val="22"/>
          <w:szCs w:val="22"/>
        </w:rPr>
        <w:t>gene</w:t>
      </w:r>
      <w:r w:rsidR="00424197">
        <w:rPr>
          <w:rFonts w:ascii="Baskerville" w:hAnsi="Baskerville" w:cs="Baskerville"/>
          <w:sz w:val="22"/>
          <w:szCs w:val="22"/>
        </w:rPr>
        <w:t>. Second,</w:t>
      </w:r>
      <w:r w:rsidRPr="00653918">
        <w:rPr>
          <w:rFonts w:ascii="Baskerville" w:hAnsi="Baskerville" w:cs="Baskerville"/>
          <w:sz w:val="22"/>
          <w:szCs w:val="22"/>
        </w:rPr>
        <w:t xml:space="preserve"> clinical research in populations with the same syndrome may suggest that a disorder is primarily genetic, for example twin studies in Juvenile Myoclonic Epilepsy</w:t>
      </w:r>
      <w:r w:rsidR="002B19D2" w:rsidRPr="00653918">
        <w:rPr>
          <w:rFonts w:ascii="Baskerville" w:hAnsi="Baskerville" w:cs="Baskerville"/>
          <w:sz w:val="22"/>
          <w:szCs w:val="22"/>
        </w:rPr>
        <w:fldChar w:fldCharType="begin" w:fldLock="1"/>
      </w:r>
      <w:r w:rsidR="00F3024F">
        <w:rPr>
          <w:rFonts w:ascii="Baskerville" w:hAnsi="Baskerville" w:cs="Baskerville"/>
          <w:sz w:val="22"/>
          <w:szCs w:val="22"/>
        </w:rPr>
        <w:instrText>ADDIN CSL_CITATION { "citationItems" : [ { "id" : "ITEM-1", "itemData" : { "DOI" : "10.1212/WNL.0000000000000790", "ISBN" : "0000000000000", "ISSN" : "1526-632X", "PMID" : "25107880", "abstract" : "OBJECTIVE: Analysis of twins with epilepsy to explore the genetic architecture of specific epilepsies, to evaluate the applicability of the 2010 International League Against Epilepsy (ILAE) organization of epilepsy syndromes, and to integrate molecular genetics with phenotypic analyses.\\n\\nMETHODS: A total of 558 twin pairs suspected to have epilepsy were ascertained from twin registries (69%) or referral (31%). Casewise concordance estimates were calculated for epilepsy syndromes. Epilepsies were then grouped according to the 2010 ILAE organizational scheme. Molecular genetic information was utilized where applicable.\\n\\nRESULTS: Of 558 twin pairs, 418 had confirmed seizures. A total of 534 twin individuals were affected. There were higher twin concordance estimates for monozygotic (MZ) than for dizygotic (DZ) twins for idiopathic generalized epilepsies (MZ = 0.77; DZ = 0.35), genetic epilepsy with febrile seizures plus (MZ = 0.85; DZ = 0.25), and focal epilepsies (MZ = 0.40; DZ = 0.03). Utilizing the 2010 ILAE scheme, the twin data clearly demonstrated genetic influences in the syndromes designated as genetic. Of the 384 tested twin individuals, 10.9% had mutations of large effect in known epilepsy genes or carried validated susceptibility alleles.\\n\\nCONCLUSIONS: Twin studies confirm clear genetic influences for specific epilepsies. Analysis of the twin sample using the 2010 ILAE scheme strongly supported the validity of grouping the \"genetic\" syndromes together and shows this organizational scheme to be a more flexible and biologically meaningful system than previous classifications. Successful selected molecular testing applied to this cohort is the prelude to future large-scale next-generation sequencing of epilepsy research cohorts. Insights into genetic architecture provided by twin studies provide essential data for optimizing such approaches.", "author" : [ { "dropping-particle" : "", "family" : "Vadlamudi", "given" : "Lata", "non-dropping-particle" : "", "parse-names" : false, "suffix" : "" }, { "dropping-particle" : "", "family" : "Milne", "given" : "Roger L", "non-dropping-particle" : "", "parse-names" : false, "suffix" : "" }, { "dropping-particle" : "", "family" : "Lawrence", "given" : "Kate", "non-dropping-particle" : "", "parse-names" : false, "suffix" : "" }, { "dropping-particle" : "", "family" : "Heron", "given" : "Sarah E", "non-dropping-particle" : "", "parse-names" : false, "suffix" : "" }, { "dropping-particle" : "", "family" : "Eckhaus", "given" : "Jazmin", "non-dropping-particle" : "", "parse-names" : false, "suffix" : "" }, { "dropping-particle" : "", "family" : "Keay", "given" : "Deborah", "non-dropping-particle" : "", "parse-names" : false, "suffix" : "" }, { "dropping-particle" : "", "family" : "Connellan", "given" : "Mary", "non-dropping-particle" : "", "parse-names" : false, "suffix" : "" }, { "dropping-particle" : "", "family" : "Torn-Broers", "given" : "Yvonne", "non-dropping-particle" : "", "parse-names" : false, "suffix" : "" }, { "dropping-particle" : "", "family" : "Howell", "given" : "R Anne", "non-dropping-particle" : "", "parse-names" : false, "suffix" : "" }, { "dropping-particle" : "", "family" : "Mulley", "given" : "John C", "non-dropping-particle" : "", "parse-names" : false, "suffix" : "" }, { "dropping-particle" : "", "family" : "Scheffer", "given" : "Ingrid E", "non-dropping-particle" : "", "parse-names" : false, "suffix" : "" }, { "dropping-particle" : "", "family" : "Dibbens", "given" : "Leanne M", "non-dropping-particle" : "", "parse-names" : false, "suffix" : "" }, { "dropping-particle" : "", "family" : "Hopper", "given" : "John L", "non-dropping-particle" : "", "parse-names" : false, "suffix" : "" }, { "dropping-particle" : "", "family" : "Berkovic", "given" : "Samuel F", "non-dropping-particle" : "", "parse-names" : false, "suffix" : "" } ], "container-title" : "Neurology", "id" : "ITEM-1", "issue" : "12", "issued" : { "date-parts" : [ [ "2014" ] ] }, "page" : "1042-1048", "title" : "Genetics of epilepsy: the testimony of twins in the molecular era", "type" : "article-journal", "volume" : "83" }, "uris" : [ "http://www.mendeley.com/documents/?uuid=778cc3a0-a296-44aa-a25a-1b9c8b3ca507" ] } ], "mendeley" : { "formattedCitation" : "[48]", "plainTextFormattedCitation" : "[48]", "previouslyFormattedCitation" : "[47]" }, "properties" : { "noteIndex" : 0 }, "schema" : "https://github.com/citation-style-language/schema/raw/master/csl-citation.json" }</w:instrText>
      </w:r>
      <w:r w:rsidR="002B19D2" w:rsidRPr="00653918">
        <w:rPr>
          <w:rFonts w:ascii="Baskerville" w:hAnsi="Baskerville" w:cs="Baskerville"/>
          <w:sz w:val="22"/>
          <w:szCs w:val="22"/>
        </w:rPr>
        <w:fldChar w:fldCharType="separate"/>
      </w:r>
      <w:r w:rsidR="00F3024F" w:rsidRPr="00F3024F">
        <w:rPr>
          <w:rFonts w:ascii="Baskerville" w:hAnsi="Baskerville" w:cs="Baskerville"/>
          <w:noProof/>
          <w:sz w:val="22"/>
          <w:szCs w:val="22"/>
        </w:rPr>
        <w:t>[48]</w:t>
      </w:r>
      <w:r w:rsidR="002B19D2" w:rsidRPr="00653918">
        <w:rPr>
          <w:rFonts w:ascii="Baskerville" w:hAnsi="Baskerville" w:cs="Baskerville"/>
          <w:sz w:val="22"/>
          <w:szCs w:val="22"/>
        </w:rPr>
        <w:fldChar w:fldCharType="end"/>
      </w:r>
      <w:r w:rsidR="00424197">
        <w:rPr>
          <w:rFonts w:ascii="Baskerville" w:hAnsi="Baskerville" w:cs="Baskerville"/>
          <w:sz w:val="22"/>
          <w:szCs w:val="22"/>
        </w:rPr>
        <w:t>. Third,</w:t>
      </w:r>
      <w:r w:rsidRPr="00653918">
        <w:rPr>
          <w:rFonts w:ascii="Baskerville" w:hAnsi="Baskerville" w:cs="Baskerville"/>
          <w:sz w:val="22"/>
          <w:szCs w:val="22"/>
        </w:rPr>
        <w:t xml:space="preserve"> a pathogenic gene variant may have been reproducibly associated with an epilepsy phenotype. In the new ILAE classification of the epilepsies </w:t>
      </w:r>
      <w:r w:rsidR="00EA278F">
        <w:rPr>
          <w:rFonts w:ascii="Baskerville" w:hAnsi="Baskerville" w:cs="Baskerville"/>
          <w:sz w:val="22"/>
          <w:szCs w:val="22"/>
        </w:rPr>
        <w:t>“</w:t>
      </w:r>
      <w:r w:rsidRPr="00653918">
        <w:rPr>
          <w:rFonts w:ascii="Baskerville" w:hAnsi="Baskerville" w:cs="Baskerville"/>
          <w:sz w:val="22"/>
          <w:szCs w:val="22"/>
        </w:rPr>
        <w:t>genetic</w:t>
      </w:r>
      <w:r w:rsidR="00EA278F">
        <w:rPr>
          <w:rFonts w:ascii="Baskerville" w:hAnsi="Baskerville" w:cs="Baskerville"/>
          <w:sz w:val="22"/>
          <w:szCs w:val="22"/>
        </w:rPr>
        <w:t>”</w:t>
      </w:r>
      <w:r w:rsidRPr="00653918">
        <w:rPr>
          <w:rFonts w:ascii="Baskerville" w:hAnsi="Baskerville" w:cs="Baskerville"/>
          <w:sz w:val="22"/>
          <w:szCs w:val="22"/>
        </w:rPr>
        <w:t xml:space="preserve"> will not equate to </w:t>
      </w:r>
      <w:r w:rsidR="00EA278F">
        <w:rPr>
          <w:rFonts w:ascii="Baskerville" w:hAnsi="Baskerville" w:cs="Baskerville"/>
          <w:sz w:val="22"/>
          <w:szCs w:val="22"/>
        </w:rPr>
        <w:t>“</w:t>
      </w:r>
      <w:r w:rsidRPr="00653918">
        <w:rPr>
          <w:rFonts w:ascii="Baskerville" w:hAnsi="Baskerville" w:cs="Baskerville"/>
          <w:sz w:val="22"/>
          <w:szCs w:val="22"/>
        </w:rPr>
        <w:t>inherited</w:t>
      </w:r>
      <w:r w:rsidR="00EA278F">
        <w:rPr>
          <w:rFonts w:ascii="Baskerville" w:hAnsi="Baskerville" w:cs="Baskerville"/>
          <w:sz w:val="22"/>
          <w:szCs w:val="22"/>
        </w:rPr>
        <w:t>”</w:t>
      </w:r>
      <w:r w:rsidRPr="00653918">
        <w:rPr>
          <w:rFonts w:ascii="Baskerville" w:hAnsi="Baskerville" w:cs="Baskerville"/>
          <w:sz w:val="22"/>
          <w:szCs w:val="22"/>
        </w:rPr>
        <w:t xml:space="preserve"> as </w:t>
      </w:r>
      <w:r w:rsidRPr="00653918">
        <w:rPr>
          <w:rFonts w:ascii="Baskerville" w:hAnsi="Baskerville" w:cs="Baskerville"/>
          <w:i/>
          <w:sz w:val="22"/>
          <w:szCs w:val="22"/>
        </w:rPr>
        <w:t>de novo</w:t>
      </w:r>
      <w:r w:rsidRPr="00653918">
        <w:rPr>
          <w:rFonts w:ascii="Baskerville" w:hAnsi="Baskerville" w:cs="Baskerville"/>
          <w:sz w:val="22"/>
          <w:szCs w:val="22"/>
        </w:rPr>
        <w:t xml:space="preserve"> pathogenic gene variants are important particularly in severe infantile onset disorders.</w:t>
      </w:r>
    </w:p>
    <w:p w14:paraId="6C8D2A38" w14:textId="77777777" w:rsidR="007E4B27" w:rsidRPr="00653918" w:rsidRDefault="007E4B27" w:rsidP="00A07468">
      <w:pPr>
        <w:spacing w:line="360" w:lineRule="auto"/>
        <w:jc w:val="both"/>
        <w:rPr>
          <w:rFonts w:ascii="Baskerville" w:hAnsi="Baskerville" w:cs="Baskerville"/>
          <w:sz w:val="22"/>
          <w:szCs w:val="22"/>
        </w:rPr>
      </w:pPr>
    </w:p>
    <w:p w14:paraId="7F544F4B" w14:textId="6090F760" w:rsidR="00786395" w:rsidRPr="00653918" w:rsidRDefault="00A07468" w:rsidP="00A07468">
      <w:pPr>
        <w:spacing w:line="360" w:lineRule="auto"/>
        <w:jc w:val="both"/>
        <w:rPr>
          <w:rFonts w:ascii="Baskerville" w:hAnsi="Baskerville" w:cs="Baskerville"/>
          <w:sz w:val="22"/>
          <w:szCs w:val="22"/>
        </w:rPr>
      </w:pPr>
      <w:r w:rsidRPr="00653918">
        <w:rPr>
          <w:rFonts w:ascii="Baskerville" w:hAnsi="Baskerville" w:cs="Baskerville"/>
          <w:sz w:val="22"/>
          <w:szCs w:val="22"/>
        </w:rPr>
        <w:t xml:space="preserve">As new genes are associated with epilepsy it is likely that the genetic disorders will be named after the gene. For example </w:t>
      </w:r>
      <w:r w:rsidR="00AF28C5">
        <w:rPr>
          <w:rFonts w:ascii="Baskerville" w:hAnsi="Baskerville" w:cs="Baskerville"/>
          <w:sz w:val="22"/>
          <w:szCs w:val="22"/>
        </w:rPr>
        <w:t>“</w:t>
      </w:r>
      <w:r w:rsidRPr="00653918">
        <w:rPr>
          <w:rFonts w:ascii="Baskerville" w:hAnsi="Baskerville" w:cs="Baskerville"/>
          <w:i/>
          <w:sz w:val="22"/>
          <w:szCs w:val="22"/>
        </w:rPr>
        <w:t xml:space="preserve">SCN8A </w:t>
      </w:r>
      <w:r w:rsidRPr="00653918">
        <w:rPr>
          <w:rFonts w:ascii="Baskerville" w:hAnsi="Baskerville" w:cs="Baskerville"/>
          <w:sz w:val="22"/>
          <w:szCs w:val="22"/>
        </w:rPr>
        <w:t>encephalopathy</w:t>
      </w:r>
      <w:r w:rsidR="00AF28C5">
        <w:rPr>
          <w:rFonts w:ascii="Baskerville" w:hAnsi="Baskerville" w:cs="Baskerville"/>
          <w:sz w:val="22"/>
          <w:szCs w:val="22"/>
        </w:rPr>
        <w:t>”</w:t>
      </w:r>
      <w:r w:rsidR="00A857D9" w:rsidRPr="00653918">
        <w:rPr>
          <w:rFonts w:ascii="Baskerville" w:hAnsi="Baskerville" w:cs="Baskerville"/>
          <w:sz w:val="22"/>
          <w:szCs w:val="22"/>
        </w:rPr>
        <w:fldChar w:fldCharType="begin" w:fldLock="1"/>
      </w:r>
      <w:r w:rsidR="00F3024F">
        <w:rPr>
          <w:rFonts w:ascii="Baskerville" w:hAnsi="Baskerville" w:cs="Baskerville"/>
          <w:sz w:val="22"/>
          <w:szCs w:val="22"/>
        </w:rPr>
        <w:instrText>ADDIN CSL_CITATION { "citationItems" : [ { "id" : "ITEM-1", "itemData" : { "DOI" : "10.1212/WNL.0000000000001211", "ISBN" : "0000000000", "ISSN" : "1526632X", "PMID" : "25568300", "abstract" : "OBJECTIVE: SCN8A encodes the sodium channel voltage-gated \u03b18-subunit (Nav1.6). SCN8A mutations have recently been associated with epilepsy and neurodevelopmental disorders. We aimed to delineate the phenotype associated with SCN8A mutations.\\n\\nMETHODS: We used high-throughput sequence analysis of the SCN8A gene in 683 patients with a range of epileptic encephalopathies. In addition, we ascertained cases with SCN8A mutations from other centers. A detailed clinical history was obtained together with a review of EEG and imaging data.\\n\\nRESULTS: Seventeen patients with de novo heterozygous mutations of SCN8A were studied. Seizure onset occurred at a mean age of 5 months (range: 1 day to 18 months); in general, seizures were not triggered by fever. Fifteen of 17 patients had multiple seizure types including focal, tonic, clonic, myoclonic and absence seizures, and epileptic spasms; seizures were refractory to antiepileptic therapy. Development was normal in 12 patients and slowed after seizure onset, often with regression; 5 patients had delayed development from birth. All patients developed intellectual disability, ranging from mild to severe. Motor manifestations were prominent including hypotonia, dystonia, hyperreflexia, and ataxia. EEG findings comprised moderate to severe background slowing with focal or multifocal epileptiform discharges.\\n\\nCONCLUSION: SCN8A encephalopathy presents in infancy with multiple seizure types including focal seizures and spasms in some cases. Outcome is often poor and includes hypotonia and movement disorders. The majority of mutations arise de novo, although we observed a single case of somatic mosaicism in an unaffected parent.", "author" : [ { "dropping-particle" : "", "family" : "Larsen", "given" : "Jan", "non-dropping-particle" : "", "parse-names" : false, "suffix" : "" }, { "dropping-particle" : "", "family" : "Carvill", "given" : "Gemma L.", "non-dropping-particle" : "", "parse-names" : false, "suffix" : "" }, { "dropping-particle" : "", "family" : "Gardella", "given" : "Elena", "non-dropping-particle" : "", "parse-names" : false, "suffix" : "" }, { "dropping-particle" : "", "family" : "Kluger", "given" : "Gerhard", "non-dropping-particle" : "", "parse-names" : false, "suffix" : "" }, { "dropping-particle" : "", "family" : "Schmiedel", "given" : "Gudrun", "non-dropping-particle" : "", "parse-names" : false, "suffix" : "" }, { "dropping-particle" : "", "family" : "Barisic", "given" : "Nina", "non-dropping-particle" : "", "parse-names" : false, "suffix" : "" }, { "dropping-particle" : "", "family" : "Depienne", "given" : "Christel", "non-dropping-particle" : "", "parse-names" : false, "suffix" : "" }, { "dropping-particle" : "", "family" : "Brilstra", "given" : "Eva", "non-dropping-particle" : "", "parse-names" : false, "suffix" : "" }, { "dropping-particle" : "", "family" : "Mang", "given" : "Yuan", "non-dropping-particle" : "", "parse-names" : false, "suffix" : "" }, { "dropping-particle" : "", "family" : "Nielsen", "given" : "Jens Erik Klint", "non-dropping-particle" : "", "parse-names" : false, "suffix" : "" }, { "dropping-particle" : "", "family" : "Kirkpatrick", "given" : "Martin", "non-dropping-particle" : "", "parse-names" : false, "suffix" : "" }, { "dropping-particle" : "", "family" : "Goudie", "given" : "David", "non-dropping-particle" : "", "parse-names" : false, "suffix" : "" }, { "dropping-particle" : "", "family" : "Goldman", "given" : "Rebecca", "non-dropping-particle" : "", "parse-names" : false, "suffix" : "" }, { "dropping-particle" : "", "family" : "J\u00e4hn", "given" : "Johanna A.", "non-dropping-particle" : "", "parse-names" : false, "suffix" : "" }, { "dropping-particle" : "", "family" : "Jepsen", "given" : "Birgit", "non-dropping-particle" : "", "parse-names" : false, "suffix" : "" }, { "dropping-particle" : "", "family" : "Gill", "given" : "Deepak", "non-dropping-particle" : "", "parse-names" : false, "suffix" : "" }, { "dropping-particle" : "", "family" : "D\u00f6cker", "given" : "Miriam", "non-dropping-particle" : "", "parse-names" : false, "suffix" : "" }, { "dropping-particle" : "", "family" : "Biskup", "given" : "Saskia", "non-dropping-particle" : "", "parse-names" : false, "suffix" : "" }, { "dropping-particle" : "", "family" : "McMahon", "given" : "Jacinta M.", "non-dropping-particle" : "", "parse-names" : false, "suffix" : "" }, { "dropping-particle" : "", "family" : "Koeleman", "given" : "Bobby", "non-dropping-particle" : "", "parse-names" : false, "suffix" : "" }, { "dropping-particle" : "", "family" : "Harris", "given" : "Mandy", "non-dropping-particle" : "", "parse-names" : false, "suffix" : "" }, { "dropping-particle" : "", "family" : "Braun", "given" : "Kees", "non-dropping-particle" : "", "parse-names" : false, "suffix" : "" }, { "dropping-particle" : "", "family" : "Kovel", "given" : "Carolien G F", "non-dropping-particle" : "De", "parse-names" : false, "suffix" : "" }, { "dropping-particle" : "", "family" : "Marini", "given" : "Carla", "non-dropping-particle" : "", "parse-names" : false, "suffix" : "" }, { "dropping-particle" : "", "family" : "Specchio", "given" : "Nicola", "non-dropping-particle" : "", "parse-names" : false, "suffix" : "" }, { "dropping-particle" : "", "family" : "Dj\u00e9mi\u00e9", "given" : "Tania", "non-dropping-particle" : "", "parse-names" : false, "suffix" : "" }, { "dropping-particle" : "", "family" : "Weckhuysen", "given" : "Sarah", "non-dropping-particle" : "", "parse-names" : false, "suffix" : "" }, { "dropping-particle" : "", "family" : "Tommerup", "given" : "Niels", "non-dropping-particle" : "", "parse-names" : false, "suffix" : "" }, { "dropping-particle" : "", "family" : "Troncoso", "given" : "Monica", "non-dropping-particle" : "", "parse-names" : false, "suffix" : "" }, { "dropping-particle" : "", "family" : "Troncoso", "given" : "Ledia", "non-dropping-particle" : "", "parse-names" : false, "suffix" : "" }, { "dropping-particle" : "", "family" : "Bevot", "given" : "Andrea", "non-dropping-particle" : "", "parse-names" : false, "suffix" : "" }, { "dropping-particle" : "", "family" : "Wolff", "given" : "Markus", "non-dropping-particle" : "", "parse-names" : false, "suffix" : "" }, { "dropping-particle" : "", "family" : "Hjalgrim", "given" : "Helle", "non-dropping-particle" : "", "parse-names" : false, "suffix" : "" }, { "dropping-particle" : "", "family" : "Guerrini", "given" : "Renzo", "non-dropping-particle" : "", "parse-names" : false, "suffix" : "" }, { "dropping-particle" : "", "family" : "Scheffer", "given" : "Ingrid E.", "non-dropping-particle" : "", "parse-names" : false, "suffix" : "" }, { "dropping-particle" : "", "family" : "Mefford", "given" : "Heather C.", "non-dropping-particle" : "", "parse-names" : false, "suffix" : "" }, { "dropping-particle" : "", "family" : "M\u00f8ller", "given" : "Rikke S.", "non-dropping-particle" : "", "parse-names" : false, "suffix" : "" } ], "container-title" : "Neurology", "id" : "ITEM-1", "issue" : "5", "issued" : { "date-parts" : [ [ "2015" ] ] }, "page" : "480-489", "title" : "The phenotypic spectrum of SCN8A encephalopathy", "type" : "article-journal", "volume" : "84" }, "uris" : [ "http://www.mendeley.com/documents/?uuid=0494f5b8-86cc-4655-8642-f10ff7571833" ] } ], "mendeley" : { "formattedCitation" : "[49]", "plainTextFormattedCitation" : "[49]", "previouslyFormattedCitation" : "[48]" }, "properties" : { "noteIndex" : 0 }, "schema" : "https://github.com/citation-style-language/schema/raw/master/csl-citation.json" }</w:instrText>
      </w:r>
      <w:r w:rsidR="00A857D9" w:rsidRPr="00653918">
        <w:rPr>
          <w:rFonts w:ascii="Baskerville" w:hAnsi="Baskerville" w:cs="Baskerville"/>
          <w:sz w:val="22"/>
          <w:szCs w:val="22"/>
        </w:rPr>
        <w:fldChar w:fldCharType="separate"/>
      </w:r>
      <w:r w:rsidR="00F3024F" w:rsidRPr="00F3024F">
        <w:rPr>
          <w:rFonts w:ascii="Baskerville" w:hAnsi="Baskerville" w:cs="Baskerville"/>
          <w:noProof/>
          <w:sz w:val="22"/>
          <w:szCs w:val="22"/>
        </w:rPr>
        <w:t>[49]</w:t>
      </w:r>
      <w:r w:rsidR="00A857D9" w:rsidRPr="00653918">
        <w:rPr>
          <w:rFonts w:ascii="Baskerville" w:hAnsi="Baskerville" w:cs="Baskerville"/>
          <w:sz w:val="22"/>
          <w:szCs w:val="22"/>
        </w:rPr>
        <w:fldChar w:fldCharType="end"/>
      </w:r>
      <w:r w:rsidR="0088751D">
        <w:rPr>
          <w:rFonts w:ascii="Baskerville" w:hAnsi="Baskerville" w:cs="Baskerville"/>
          <w:sz w:val="22"/>
          <w:szCs w:val="22"/>
        </w:rPr>
        <w:t>*</w:t>
      </w:r>
      <w:r w:rsidRPr="00653918">
        <w:rPr>
          <w:rFonts w:ascii="Baskerville" w:hAnsi="Baskerville" w:cs="Baskerville"/>
          <w:sz w:val="22"/>
          <w:szCs w:val="22"/>
        </w:rPr>
        <w:t xml:space="preserve"> or </w:t>
      </w:r>
      <w:r w:rsidR="00AF28C5">
        <w:rPr>
          <w:rFonts w:ascii="Baskerville" w:hAnsi="Baskerville" w:cs="Baskerville"/>
          <w:sz w:val="22"/>
          <w:szCs w:val="22"/>
        </w:rPr>
        <w:t>“</w:t>
      </w:r>
      <w:r w:rsidRPr="00653918">
        <w:rPr>
          <w:rFonts w:ascii="Baskerville" w:hAnsi="Baskerville" w:cs="Baskerville"/>
          <w:i/>
          <w:sz w:val="22"/>
          <w:szCs w:val="22"/>
        </w:rPr>
        <w:t xml:space="preserve">GRIN2 </w:t>
      </w:r>
      <w:r w:rsidRPr="00653918">
        <w:rPr>
          <w:rFonts w:ascii="Baskerville" w:hAnsi="Baskerville" w:cs="Baskerville"/>
          <w:sz w:val="22"/>
          <w:szCs w:val="22"/>
        </w:rPr>
        <w:t>encephalopathy</w:t>
      </w:r>
      <w:r w:rsidR="00AF28C5">
        <w:rPr>
          <w:rFonts w:ascii="Baskerville" w:hAnsi="Baskerville" w:cs="Baskerville"/>
          <w:sz w:val="22"/>
          <w:szCs w:val="22"/>
        </w:rPr>
        <w:t>”</w:t>
      </w:r>
      <w:r w:rsidR="00A857D9" w:rsidRPr="00653918">
        <w:rPr>
          <w:rFonts w:ascii="Baskerville" w:hAnsi="Baskerville" w:cs="Baskerville"/>
          <w:sz w:val="22"/>
          <w:szCs w:val="22"/>
        </w:rPr>
        <w:fldChar w:fldCharType="begin" w:fldLock="1"/>
      </w:r>
      <w:r w:rsidR="00880237">
        <w:rPr>
          <w:rFonts w:ascii="Baskerville" w:hAnsi="Baskerville" w:cs="Baskerville"/>
          <w:sz w:val="22"/>
          <w:szCs w:val="22"/>
        </w:rPr>
        <w:instrText>ADDIN CSL_CITATION { "citationItems" : [ { "id" : "ITEM-1", "itemData" : { "DOI" : "10.1212/WNL.0000000000002740", "ISBN" : "0000000000", "ISSN" : "1526632X", "PMID" : "27164704", "author" : [ { "dropping-particle" : "", "family" : "Lemke", "given" : "Johannes R.", "non-dropping-particle" : "", "parse-names" : false, "suffix" : "" }, { "dropping-particle" : "", "family" : "Geider", "given" : "Kirsten", "non-dropping-particle" : "", "parse-names" : false, "suffix" : "" }, { "dropping-particle" : "", "family" : "Helbig", "given" : "Katherine L.", "non-dropping-particle" : "", "parse-names" : false, "suffix" : "" }, { "dropping-particle" : "", "family" : "Heyne", "given" : "Henrike O.", "non-dropping-particle" : "", "parse-names" : false, "suffix" : "" }, { "dropping-particle" : "", "family" : "Sch\u00fctz", "given" : "Hannah", "non-dropping-particle" : "", "parse-names" : false, "suffix" : "" }, { "dropping-particle" : "", "family" : "Hentschel", "given" : "Julia", "non-dropping-particle" : "", "parse-names" : false, "suffix" : "" }, { "dropping-particle" : "", "family" : "Courage", "given" : "Carolina", "non-dropping-particle" : "", "parse-names" : false, "suffix" : "" }, { "dropping-particle" : "", "family" : "Depienne", "given" : "Christel", "non-dropping-particle" : "", "parse-names" : false, "suffix" : "" }, { "dropping-particle" : "", "family" : "Nava", "given" : "Caroline", "non-dropping-particle" : "", "parse-names" : false, "suffix" : "" }, { "dropping-particle" : "", "family" : "Heron", "given" : "Delphine", "non-dropping-particle" : "", "parse-names" : false, "suffix" : "" }, { "dropping-particle" : "", "family" : "M\u00f8ller", "given" : "Rikke S.", "non-dropping-particle" : "", "parse-names" : false, "suffix" : "" }, { "dropping-particle" : "", "family" : "Hjalgrim", "given" : "Helle", "non-dropping-particle" : "", "parse-names" : false, "suffix" : "" }, { "dropping-particle" : "", "family" : "Lal", "given" : "Dennis", "non-dropping-particle" : "", "parse-names" : false, "suffix" : "" }, { "dropping-particle" : "", "family" : "Neubauer", "given" : "Bernd A.", "non-dropping-particle" : "", "parse-names" : false, "suffix" : "" }, { "dropping-particle" : "", "family" : "N\u00fcrnberg", "given" : "Peter", "non-dropping-particle" : "", "parse-names" : false, "suffix" : "" }, { "dropping-particle" : "", "family" : "Thiele", "given" : "Holger", "non-dropping-particle" : "", "parse-names" : false, "suffix" : "" }, { "dropping-particle" : "", "family" : "Kurlemann", "given" : "Gerhard", "non-dropping-particle" : "", "parse-names" : false, "suffix" : "" }, { "dropping-particle" : "", "family" : "Arnold", "given" : "Georgianne L.", "non-dropping-particle" : "", "parse-names" : false, "suffix" : "" }, { "dropping-particle" : "", "family" : "Bhambhani", "given" : "Vikas", "non-dropping-particle" : "", "parse-names" : false, "suffix" : "" }, { "dropping-particle" : "", "family" : "Bartholdi", "given" : "Deborah", "non-dropping-particle" : "", "parse-names" : false, "suffix" : "" }, { "dropping-particle" : "", "family" : "Pedurupillay", "given" : "Christeen Ramane J", "non-dropping-particle" : "", "parse-names" : false, "suffix" : "" }, { "dropping-particle" : "", "family" : "Misceo", "given" : "Doriana", "non-dropping-particle" : "", "parse-names" : false, "suffix" : "" }, { "dropping-particle" : "", "family" : "Frengen", "given" : "Eirik", "non-dropping-particle" : "", "parse-names" : false, "suffix" : "" }, { "dropping-particle" : "", "family" : "Str\u00f8mme", "given" : "Petter", "non-dropping-particle" : "", "parse-names" : false, "suffix" : "" }, { "dropping-particle" : "", "family" : "Dlugos", "given" : "Dennis J.", "non-dropping-particle" : "", "parse-names" : false, "suffix" : "" }, { "dropping-particle" : "", "family" : "Doherty", "given" : "Emily S.", "non-dropping-particle" : "", "parse-names" : false, "suffix" : "" }, { "dropping-particle" : "", "family" : "Bijlsma", "given" : "Emilia K.", "non-dropping-particle" : "", "parse-names" : false, "suffix" : "" }, { "dropping-particle" : "", "family" : "Ruivenkamp", "given" : "Claudia A.", "non-dropping-particle" : "", "parse-names" : false, "suffix" : "" }, { "dropping-particle" : "V", "family" : "Hoffer", "given" : "Mariette J", "non-dropping-particle" : "", "parse-names" : false, "suffix" : "" }, { "dropping-particle" : "", "family" : "Goldstein", "given" : "Amy", "non-dropping-particle" : "", "parse-names" : false, "suffix" : "" }, { "dropping-particle" : "", "family" : "Rajan", "given" : "Deepa S.", "non-dropping-particle" : "", "parse-names" : false, "suffix" : "" }, { "dropping-particle" : "", "family" : "Narayanan", "given" : "Vinodh", "non-dropping-particle" : "", "parse-names" : false, "suffix" : "" }, { "dropping-particle" : "", "family" : "Ramsey", "given" : "Keri", "non-dropping-particle" : "", "parse-names" : false, "suffix" : "" }, { "dropping-particle" : "", "family" : "Belnap", "given" : "Newell", "non-dropping-particle" : "", "parse-names" : false, "suffix" : "" }, { "dropping-particle" : "", "family" : "Schrauwen", "given" : "Isabelle", "non-dropping-particle" : "", "parse-names" : false, "suffix" : "" }, { "dropping-particle" : "", "family" : "Richholt", "given" : "Ryan", "non-dropping-particle" : "", "parse-names" : false, "suffix" : "" }, { "dropping-particle" : "", "family" : "Koeleman", "given" : "Bobby P C", "non-dropping-particle" : "", "parse-names" : false, "suffix" : "" }, { "dropping-particle" : "", "family" : "S\u00e1", "given" : "Joaquim", "non-dropping-particle" : "", "parse-names" : false, "suffix" : "" }, { "dropping-particle" : "", "family" : "Mendonc\u0105", "given" : "Carla", "non-dropping-particle" : "", "parse-names" : false, "suffix" : "" }, { "dropping-particle" : "De", "family" : "Kovel", "given" : "Carolien G F", "non-dropping-particle" : "", "parse-names" : false, "suffix" : "" }, { "dropping-particle" : "", "family" : "Weckhuysen", "given" : "Sarah", "non-dropping-particle" : "", "parse-names" : false, "suffix" : "" }, { "dropping-particle" : "", "family" : "Hardies", "given" : "Katia", "non-dropping-particle" : "", "parse-names" : false, "suffix" : "" }, { "dropping-particle" : "De", "family" : "Jonghe", "given" : "Peter", "non-dropping-particle" : "", "parse-names" : false, "suffix" : "" }, { "dropping-particle" : "De", "family" : "Meirleir", "given" : "Linda", "non-dropping-particle" : "", "parse-names" : false, "suffix" : "" }, { "dropping-particle" : "", "family" : "Milh", "given" : "Mathieu", "non-dropping-particle" : "", "parse-names" : false, "suffix" : "" }, { "dropping-particle" : "", "family" : "Badens", "given" : "Catherine", "non-dropping-particle" : "", "parse-names" : false, "suffix" : "" }, { "dropping-particle" : "", "family" : "Lebrun", "given" : "Marine", "non-dropping-particle" : "", "parse-names" : false, "suffix" : "" }, { "dropping-particle" : "", "family" : "Busa", "given" : "Tiffany", "non-dropping-particle" : "", "parse-names" : false, "suffix" : "" }, { "dropping-particle" : "", "family" : "Francannet", "given" : "Christine", "non-dropping-particle" : "", "parse-names" : false, "suffix" : "" }, { "dropping-particle" : "", "family" : "Piton", "given" : "Am\u00e9lie", "non-dropping-particle" : "", "parse-names" : false, "suffix" : "" }, { "dropping-particle" : "", "family" : "Riesch", "given" : "Erik", "non-dropping-particle" : "", "parse-names" : false, "suffix" : "" }, { "dropping-particle" : "", "family" : "Biskup", "given" : "Saskia", "non-dropping-particle" : "", "parse-names" : false, "suffix" : "" }, { "dropping-particle" : "", "family" : "Vogt", "given" : "Heinrich", "non-dropping-particle" : "", "parse-names" : false, "suffix" : "" }, { "dropping-particle" : "", "family" : "Dorn", "given" : "Thomas", "non-dropping-particle" : "", "parse-names" : false, "suffix" : "" }, { "dropping-particle" : "", "family" : "Helbig", "given" : "Ingo", "non-dropping-particle" : "", "parse-names" : false, "suffix" : "" }, { "dropping-particle" : "", "family" : "Michaud", "given" : "Jacques L.", "non-dropping-particle" : "", "parse-names" : false, "suffix" : "" }, { "dropping-particle" : "", "family" : "Laube", "given" : "Bodo", "non-dropping-particle" : "", "parse-names" : false, "suffix" : "" }, { "dropping-particle" : "", "family" : "Syrbe", "given" : "Steffen", "non-dropping-particle" : "", "parse-names" : false, "suffix" : "" } ], "container-title" : "Neurology", "id" : "ITEM-1", "issue" : "23", "issued" : { "date-parts" : [ [ "2016" ] ] }, "page" : "2171-2178", "title" : "Delineating the GRIN1 phenotypic spectrum: A distinct genetic NMDA receptor encephalopathy", "type" : "article-journal", "volume" : "86" }, "uris" : [ "http://www.mendeley.com/documents/?uuid=09189d63-7ed7-4d6d-8d8f-4b325d947737" ] } ], "mendeley" : { "formattedCitation" : "[17]", "plainTextFormattedCitation" : "[17]", "previouslyFormattedCitation" : "[17]" }, "properties" : { "noteIndex" : 0 }, "schema" : "https://github.com/citation-style-language/schema/raw/master/csl-citation.json" }</w:instrText>
      </w:r>
      <w:r w:rsidR="00A857D9" w:rsidRPr="00653918">
        <w:rPr>
          <w:rFonts w:ascii="Baskerville" w:hAnsi="Baskerville" w:cs="Baskerville"/>
          <w:sz w:val="22"/>
          <w:szCs w:val="22"/>
        </w:rPr>
        <w:fldChar w:fldCharType="separate"/>
      </w:r>
      <w:r w:rsidR="003F76BF" w:rsidRPr="003F76BF">
        <w:rPr>
          <w:rFonts w:ascii="Baskerville" w:hAnsi="Baskerville" w:cs="Baskerville"/>
          <w:noProof/>
          <w:sz w:val="22"/>
          <w:szCs w:val="22"/>
        </w:rPr>
        <w:t>[17]</w:t>
      </w:r>
      <w:r w:rsidR="00A857D9" w:rsidRPr="00653918">
        <w:rPr>
          <w:rFonts w:ascii="Baskerville" w:hAnsi="Baskerville" w:cs="Baskerville"/>
          <w:sz w:val="22"/>
          <w:szCs w:val="22"/>
        </w:rPr>
        <w:fldChar w:fldCharType="end"/>
      </w:r>
      <w:r w:rsidR="0088751D">
        <w:rPr>
          <w:rFonts w:ascii="Baskerville" w:hAnsi="Baskerville" w:cs="Baskerville"/>
          <w:sz w:val="22"/>
          <w:szCs w:val="22"/>
        </w:rPr>
        <w:t>*</w:t>
      </w:r>
      <w:r w:rsidRPr="00653918">
        <w:rPr>
          <w:rFonts w:ascii="Baskerville" w:hAnsi="Baskerville" w:cs="Baskerville"/>
          <w:sz w:val="22"/>
          <w:szCs w:val="22"/>
        </w:rPr>
        <w:t xml:space="preserve">. Epilepsy genes are typically expressed widely in the CNS and </w:t>
      </w:r>
      <w:r w:rsidR="00B1032B">
        <w:rPr>
          <w:rFonts w:ascii="Baskerville" w:hAnsi="Baskerville" w:cs="Baskerville"/>
          <w:sz w:val="22"/>
          <w:szCs w:val="22"/>
        </w:rPr>
        <w:t xml:space="preserve">(as detailed above) </w:t>
      </w:r>
      <w:r w:rsidRPr="00653918">
        <w:rPr>
          <w:rFonts w:ascii="Baskerville" w:hAnsi="Baskerville" w:cs="Baskerville"/>
          <w:sz w:val="22"/>
          <w:szCs w:val="22"/>
        </w:rPr>
        <w:t xml:space="preserve">pathogenic variants in these genes can produce diverse phenotypes including movement disorders, learning disability and autistic features which </w:t>
      </w:r>
      <w:r w:rsidR="00AF28C5">
        <w:rPr>
          <w:rFonts w:ascii="Baskerville" w:hAnsi="Baskerville" w:cs="Baskerville"/>
          <w:sz w:val="22"/>
          <w:szCs w:val="22"/>
        </w:rPr>
        <w:t>may be</w:t>
      </w:r>
      <w:r w:rsidR="00AF28C5" w:rsidRPr="00653918">
        <w:rPr>
          <w:rFonts w:ascii="Baskerville" w:hAnsi="Baskerville" w:cs="Baskerville"/>
          <w:sz w:val="22"/>
          <w:szCs w:val="22"/>
        </w:rPr>
        <w:t xml:space="preserve"> </w:t>
      </w:r>
      <w:r w:rsidRPr="00653918">
        <w:rPr>
          <w:rFonts w:ascii="Baskerville" w:hAnsi="Baskerville" w:cs="Baskerville"/>
          <w:sz w:val="22"/>
          <w:szCs w:val="22"/>
        </w:rPr>
        <w:t>more prominent and clinically relevant than the epilepsy</w:t>
      </w:r>
      <w:r w:rsidR="00AF28C5" w:rsidRPr="00653918">
        <w:rPr>
          <w:rFonts w:ascii="Baskerville" w:hAnsi="Baskerville" w:cs="Baskerville"/>
          <w:sz w:val="22"/>
          <w:szCs w:val="22"/>
        </w:rPr>
        <w:fldChar w:fldCharType="begin" w:fldLock="1"/>
      </w:r>
      <w:r w:rsidR="00F3024F">
        <w:rPr>
          <w:rFonts w:ascii="Baskerville" w:hAnsi="Baskerville" w:cs="Baskerville"/>
          <w:sz w:val="22"/>
          <w:szCs w:val="22"/>
        </w:rPr>
        <w:instrText>ADDIN CSL_CITATION { "citationItems" : [ { "id" : "ITEM-1", "itemData" : { "DOI" : "10.1111/epi.13105", "ISSN" : "15281167", "PMID" : "26293471", "abstract" : "The concept of epileptic encephalopathy is important in clinical practice, but its relevance to an individual must be assessed in the appropriate context. Except in rare situations, epileptic activity is a surrogate for an underlying etiology, and stopping the activity has a limited impact on developmental outcome. Labeling a group of epilepsies as \"the epileptic encephalopathies,\" risks minimizing the impact of epileptic activity on cognition and behavior more widely in epilepsy. Similarly, describing the encephalopathy associated with many infantile onset epilepsies as \"epileptic\" may be misleading. Finally, concentrating on the epileptic activity alone and not considering the wider consequences of the underlying etiology on cognitive and behavioral development, may focus research efforts and the search for improved therapies on too narrow a target. Therefore, epileptic encephalopathies should not be considered as a specific group of epilepsies but, rather, the concept of epileptic encephalopathy should be applicable to all types of epilepsies and epilepsy syndromes, whenever it is relevant in the clinical course of a particular individual, at any age.", "author" : [ { "dropping-particle" : "", "family" : "Korff", "given" : "Christian M.", "non-dropping-particle" : "", "parse-names" : false, "suffix" : "" }, { "dropping-particle" : "", "family" : "Brunklaus", "given" : "Andreas", "non-dropping-particle" : "", "parse-names" : false, "suffix" : "" }, { "dropping-particle" : "", "family" : "Zuberi", "given" : "Sameer M.", "non-dropping-particle" : "", "parse-names" : false, "suffix" : "" } ], "container-title" : "Epilepsia", "id" : "ITEM-1", "issue" : "10", "issued" : { "date-parts" : [ [ "2015" ] ] }, "page" : "1477-1481", "title" : "Epileptic activity is a surrogate for an underlying etiology and stopping the activity has a limited impact on developmental outcome", "type" : "article-journal", "volume" : "56" }, "uris" : [ "http://www.mendeley.com/documents/?uuid=92441fe7-b002-41df-ab5c-0ae95a6b71b5" ] } ], "mendeley" : { "formattedCitation" : "[50]", "plainTextFormattedCitation" : "[50]", "previouslyFormattedCitation" : "[49]" }, "properties" : { "noteIndex" : 0 }, "schema" : "https://github.com/citation-style-language/schema/raw/master/csl-citation.json" }</w:instrText>
      </w:r>
      <w:r w:rsidR="00AF28C5" w:rsidRPr="00653918">
        <w:rPr>
          <w:rFonts w:ascii="Baskerville" w:hAnsi="Baskerville" w:cs="Baskerville"/>
          <w:sz w:val="22"/>
          <w:szCs w:val="22"/>
        </w:rPr>
        <w:fldChar w:fldCharType="separate"/>
      </w:r>
      <w:r w:rsidR="00F3024F" w:rsidRPr="00F3024F">
        <w:rPr>
          <w:rFonts w:ascii="Baskerville" w:hAnsi="Baskerville" w:cs="Baskerville"/>
          <w:noProof/>
          <w:sz w:val="22"/>
          <w:szCs w:val="22"/>
        </w:rPr>
        <w:t>[50]</w:t>
      </w:r>
      <w:r w:rsidR="00AF28C5" w:rsidRPr="00653918">
        <w:rPr>
          <w:rFonts w:ascii="Baskerville" w:hAnsi="Baskerville" w:cs="Baskerville"/>
          <w:sz w:val="22"/>
          <w:szCs w:val="22"/>
        </w:rPr>
        <w:fldChar w:fldCharType="end"/>
      </w:r>
      <w:r w:rsidR="0088751D">
        <w:rPr>
          <w:rFonts w:ascii="Baskerville" w:hAnsi="Baskerville" w:cs="Baskerville"/>
          <w:sz w:val="22"/>
          <w:szCs w:val="22"/>
        </w:rPr>
        <w:t>*</w:t>
      </w:r>
      <w:r w:rsidR="00554924">
        <w:rPr>
          <w:rFonts w:ascii="Baskerville" w:hAnsi="Baskerville" w:cs="Baskerville"/>
          <w:sz w:val="22"/>
          <w:szCs w:val="22"/>
        </w:rPr>
        <w:t xml:space="preserve">. Currently, </w:t>
      </w:r>
      <w:r w:rsidRPr="00653918">
        <w:rPr>
          <w:rFonts w:ascii="Baskerville" w:hAnsi="Baskerville" w:cs="Baskerville"/>
          <w:sz w:val="22"/>
          <w:szCs w:val="22"/>
        </w:rPr>
        <w:t xml:space="preserve">epilepsy genetics appears to be on the cusp of an epistemological </w:t>
      </w:r>
      <w:r w:rsidR="00C000B8">
        <w:rPr>
          <w:rFonts w:ascii="Baskerville" w:hAnsi="Baskerville" w:cs="Baskerville"/>
          <w:sz w:val="22"/>
          <w:szCs w:val="22"/>
        </w:rPr>
        <w:t>crossroads</w:t>
      </w:r>
      <w:r w:rsidR="00554924">
        <w:rPr>
          <w:rFonts w:ascii="Baskerville" w:hAnsi="Baskerville" w:cs="Baskerville"/>
          <w:sz w:val="22"/>
          <w:szCs w:val="22"/>
        </w:rPr>
        <w:t xml:space="preserve"> -</w:t>
      </w:r>
      <w:r w:rsidRPr="00653918">
        <w:rPr>
          <w:rFonts w:ascii="Baskerville" w:hAnsi="Baskerville" w:cs="Baskerville"/>
          <w:sz w:val="22"/>
          <w:szCs w:val="22"/>
        </w:rPr>
        <w:t xml:space="preserve"> should these conditions be considered genetic epilepsies, or genetic developmental disorders in which epilepsy may (or may not) be a</w:t>
      </w:r>
      <w:r w:rsidR="00B1032B">
        <w:rPr>
          <w:rFonts w:ascii="Baskerville" w:hAnsi="Baskerville" w:cs="Baskerville"/>
          <w:sz w:val="22"/>
          <w:szCs w:val="22"/>
        </w:rPr>
        <w:t xml:space="preserve"> component of the</w:t>
      </w:r>
      <w:r w:rsidRPr="00653918">
        <w:rPr>
          <w:rFonts w:ascii="Baskerville" w:hAnsi="Baskerville" w:cs="Baskerville"/>
          <w:sz w:val="22"/>
          <w:szCs w:val="22"/>
        </w:rPr>
        <w:t xml:space="preserve"> symptom</w:t>
      </w:r>
      <w:r w:rsidR="00B1032B">
        <w:rPr>
          <w:rFonts w:ascii="Baskerville" w:hAnsi="Baskerville" w:cs="Baskerville"/>
          <w:sz w:val="22"/>
          <w:szCs w:val="22"/>
        </w:rPr>
        <w:t xml:space="preserve"> complex</w:t>
      </w:r>
      <w:r w:rsidR="00554924">
        <w:rPr>
          <w:rFonts w:ascii="Baskerville" w:hAnsi="Baskerville" w:cs="Baskerville"/>
          <w:sz w:val="22"/>
          <w:szCs w:val="22"/>
        </w:rPr>
        <w:t>?</w:t>
      </w:r>
    </w:p>
    <w:p w14:paraId="5D26BF8D" w14:textId="77777777" w:rsidR="0024314E" w:rsidRPr="00653918" w:rsidRDefault="0024314E" w:rsidP="005669D3">
      <w:pPr>
        <w:spacing w:line="360" w:lineRule="auto"/>
        <w:jc w:val="both"/>
        <w:rPr>
          <w:rFonts w:ascii="Baskerville" w:hAnsi="Baskerville" w:cs="Baskerville"/>
          <w:b/>
          <w:sz w:val="22"/>
          <w:szCs w:val="22"/>
        </w:rPr>
      </w:pPr>
    </w:p>
    <w:p w14:paraId="30B4832C" w14:textId="291AA3AB" w:rsidR="007D4661" w:rsidRPr="00653918" w:rsidRDefault="007D4661" w:rsidP="005669D3">
      <w:pPr>
        <w:spacing w:line="360" w:lineRule="auto"/>
        <w:jc w:val="both"/>
        <w:rPr>
          <w:rFonts w:ascii="Baskerville" w:hAnsi="Baskerville" w:cs="Baskerville"/>
          <w:b/>
          <w:sz w:val="22"/>
          <w:szCs w:val="22"/>
        </w:rPr>
      </w:pPr>
      <w:r w:rsidRPr="00653918">
        <w:rPr>
          <w:rFonts w:ascii="Baskerville" w:hAnsi="Baskerville" w:cs="Baskerville"/>
          <w:b/>
          <w:sz w:val="22"/>
          <w:szCs w:val="22"/>
        </w:rPr>
        <w:t>Precision medicine</w:t>
      </w:r>
      <w:r w:rsidR="005D7E84" w:rsidRPr="00653918">
        <w:rPr>
          <w:rFonts w:ascii="Baskerville" w:hAnsi="Baskerville" w:cs="Baskerville"/>
          <w:b/>
          <w:sz w:val="22"/>
          <w:szCs w:val="22"/>
        </w:rPr>
        <w:t xml:space="preserve"> in epilepsy</w:t>
      </w:r>
      <w:r w:rsidRPr="00653918">
        <w:rPr>
          <w:rFonts w:ascii="Baskerville" w:hAnsi="Baskerville" w:cs="Baskerville"/>
          <w:b/>
          <w:sz w:val="22"/>
          <w:szCs w:val="22"/>
        </w:rPr>
        <w:t xml:space="preserve">: hope </w:t>
      </w:r>
      <w:r w:rsidR="000C5AE8" w:rsidRPr="00653918">
        <w:rPr>
          <w:rFonts w:ascii="Baskerville" w:hAnsi="Baskerville" w:cs="Baskerville"/>
          <w:b/>
          <w:sz w:val="22"/>
          <w:szCs w:val="22"/>
        </w:rPr>
        <w:t>versus</w:t>
      </w:r>
      <w:r w:rsidRPr="00653918">
        <w:rPr>
          <w:rFonts w:ascii="Baskerville" w:hAnsi="Baskerville" w:cs="Baskerville"/>
          <w:b/>
          <w:sz w:val="22"/>
          <w:szCs w:val="22"/>
        </w:rPr>
        <w:t xml:space="preserve"> </w:t>
      </w:r>
      <w:r w:rsidR="000C5AE8" w:rsidRPr="00653918">
        <w:rPr>
          <w:rFonts w:ascii="Baskerville" w:hAnsi="Baskerville" w:cs="Baskerville"/>
          <w:b/>
          <w:sz w:val="22"/>
          <w:szCs w:val="22"/>
        </w:rPr>
        <w:t>data</w:t>
      </w:r>
      <w:r w:rsidRPr="00653918">
        <w:rPr>
          <w:rFonts w:ascii="Baskerville" w:hAnsi="Baskerville" w:cs="Baskerville"/>
          <w:b/>
          <w:sz w:val="22"/>
          <w:szCs w:val="22"/>
        </w:rPr>
        <w:t xml:space="preserve"> </w:t>
      </w:r>
    </w:p>
    <w:p w14:paraId="181903BB" w14:textId="52DE6A6A" w:rsidR="007D4661" w:rsidRPr="00653918" w:rsidRDefault="00985C80" w:rsidP="005669D3">
      <w:pPr>
        <w:spacing w:line="360" w:lineRule="auto"/>
        <w:jc w:val="both"/>
        <w:rPr>
          <w:rFonts w:ascii="Baskerville" w:hAnsi="Baskerville" w:cs="Baskerville"/>
          <w:sz w:val="22"/>
          <w:szCs w:val="22"/>
        </w:rPr>
      </w:pPr>
      <w:r w:rsidRPr="00653918">
        <w:rPr>
          <w:rFonts w:ascii="Baskerville" w:hAnsi="Baskerville" w:cs="Baskerville"/>
          <w:sz w:val="22"/>
          <w:szCs w:val="22"/>
        </w:rPr>
        <w:t>The</w:t>
      </w:r>
      <w:r w:rsidR="00E54039" w:rsidRPr="00653918">
        <w:rPr>
          <w:rFonts w:ascii="Baskerville" w:hAnsi="Baskerville" w:cs="Baskerville"/>
          <w:sz w:val="22"/>
          <w:szCs w:val="22"/>
        </w:rPr>
        <w:t xml:space="preserve"> importance of highly penetrant </w:t>
      </w:r>
      <w:r w:rsidR="00E54039" w:rsidRPr="00653918">
        <w:rPr>
          <w:rFonts w:ascii="Baskerville" w:hAnsi="Baskerville" w:cs="Baskerville"/>
          <w:i/>
          <w:sz w:val="22"/>
          <w:szCs w:val="22"/>
        </w:rPr>
        <w:t>de novo</w:t>
      </w:r>
      <w:r w:rsidR="00E54039" w:rsidRPr="00653918">
        <w:rPr>
          <w:rFonts w:ascii="Baskerville" w:hAnsi="Baskerville" w:cs="Baskerville"/>
          <w:sz w:val="22"/>
          <w:szCs w:val="22"/>
        </w:rPr>
        <w:t xml:space="preserve"> mutation in </w:t>
      </w:r>
      <w:r w:rsidR="00E35B89">
        <w:rPr>
          <w:rFonts w:ascii="Baskerville" w:hAnsi="Baskerville" w:cs="Baskerville"/>
          <w:sz w:val="22"/>
          <w:szCs w:val="22"/>
        </w:rPr>
        <w:t>epilepsy</w:t>
      </w:r>
      <w:r w:rsidR="000A16D1" w:rsidRPr="00653918">
        <w:rPr>
          <w:rFonts w:ascii="Baskerville" w:hAnsi="Baskerville" w:cs="Baskerville"/>
          <w:sz w:val="22"/>
          <w:szCs w:val="22"/>
        </w:rPr>
        <w:t xml:space="preserve"> along with</w:t>
      </w:r>
      <w:r w:rsidR="00A73024" w:rsidRPr="00653918">
        <w:rPr>
          <w:rFonts w:ascii="Baskerville" w:hAnsi="Baskerville" w:cs="Baskerville"/>
          <w:sz w:val="22"/>
          <w:szCs w:val="22"/>
        </w:rPr>
        <w:t xml:space="preserve"> </w:t>
      </w:r>
      <w:r w:rsidR="009F43AD" w:rsidRPr="00653918">
        <w:rPr>
          <w:rFonts w:ascii="Baskerville" w:hAnsi="Baskerville" w:cs="Baskerville"/>
          <w:sz w:val="22"/>
          <w:szCs w:val="22"/>
        </w:rPr>
        <w:t xml:space="preserve">advances in our ability to quantitatively assess the </w:t>
      </w:r>
      <w:r w:rsidR="00A73024" w:rsidRPr="00653918">
        <w:rPr>
          <w:rFonts w:ascii="Baskerville" w:hAnsi="Baskerville" w:cs="Baskerville"/>
          <w:sz w:val="22"/>
          <w:szCs w:val="22"/>
        </w:rPr>
        <w:t xml:space="preserve">pathogenicity of </w:t>
      </w:r>
      <w:r w:rsidR="002B5CA4" w:rsidRPr="00653918">
        <w:rPr>
          <w:rFonts w:ascii="Baskerville" w:hAnsi="Baskerville" w:cs="Baskerville"/>
          <w:sz w:val="22"/>
          <w:szCs w:val="22"/>
        </w:rPr>
        <w:t>gene variants</w:t>
      </w:r>
      <w:r w:rsidR="00315E0A" w:rsidRPr="00653918">
        <w:rPr>
          <w:rFonts w:ascii="Baskerville" w:hAnsi="Baskerville" w:cs="Baskerville"/>
          <w:sz w:val="22"/>
          <w:szCs w:val="22"/>
        </w:rPr>
        <w:fldChar w:fldCharType="begin" w:fldLock="1"/>
      </w:r>
      <w:r w:rsidR="00F3024F">
        <w:rPr>
          <w:rFonts w:ascii="Baskerville" w:hAnsi="Baskerville" w:cs="Baskerville"/>
          <w:sz w:val="22"/>
          <w:szCs w:val="22"/>
        </w:rPr>
        <w:instrText>ADDIN CSL_CITATION { "citationItems" : [ { "id" : "ITEM-1", "itemData" : { "DOI" : "http://dx.doi.org/10.1101/030338", "ISBN" : "9788578110796", "ISSN" : "1098-6596", "PMID" : "25246403", "abstract" : "Large-scale reference data sets of human genetic variation are critical for the medical and functional interpretation of DNA sequence changes. Here we describe the aggregation and analysis of high-quality exome (protein-coding region) sequence data for 60,706 individuals of diverse ethnicities. The resulting catalogue of human genetic diversity has unprecedented resolution, with an average of one variant every eight bases of coding sequence and the presence of widespread mutational recurrence. The deep catalogue of variation provided by the Exome Aggregation Consortium (ExAC) can be used to calculate objective metrics of pathogenicity for sequence variants, and to identify genes subject to strong selection against various classes of mutation; we identify 3,230 genes with near-complete depletion of truncating variants, 79% of which have no currently established human disease phenotype. Finally, we show that these data can be used for the efficient filtering of candidate disease-causing variants, and for the discovery of human \u201cknockout\u201d variants in protein-coding genes.", "author" : [ { "dropping-particle" : "", "family" : "Lek", "given" : "Monkol", "non-dropping-particle" : "", "parse-names" : false, "suffix" : "" }, { "dropping-particle" : "", "family" : "Tewksbury", "given" : "Joshua", "non-dropping-particle" : "", "parse-names" : false, "suffix" : "" }, { "dropping-particle" : "", "family" : "Services", "given" : "Human", "non-dropping-particle" : "", "parse-names" : false, "suffix" : "" } ], "container-title" : "Nature Publishing Group", "id" : "ITEM-1", "issue" : "7616", "issued" : { "date-parts" : [ [ "2014" ] ] }, "page" : "1-26", "title" : "Analysis of protein-coding genetic variation in 60,706 humans", "type" : "article-journal", "volume" : "536" }, "uris" : [ "http://www.mendeley.com/documents/?uuid=36bbf3db-9488-49bd-a945-47e55dde6cc9" ] } ], "mendeley" : { "formattedCitation" : "[51]", "manualFormatting" : "[49]", "plainTextFormattedCitation" : "[51]", "previouslyFormattedCitation" : "[50]" }, "properties" : { "noteIndex" : 0 }, "schema" : "https://github.com/citation-style-language/schema/raw/master/csl-citation.json" }</w:instrText>
      </w:r>
      <w:r w:rsidR="00315E0A" w:rsidRPr="00653918">
        <w:rPr>
          <w:rFonts w:ascii="Baskerville" w:hAnsi="Baskerville" w:cs="Baskerville"/>
          <w:sz w:val="22"/>
          <w:szCs w:val="22"/>
        </w:rPr>
        <w:fldChar w:fldCharType="separate"/>
      </w:r>
      <w:r w:rsidR="005431EC" w:rsidRPr="005431EC">
        <w:rPr>
          <w:rFonts w:ascii="Baskerville" w:hAnsi="Baskerville" w:cs="Baskerville"/>
          <w:noProof/>
          <w:sz w:val="22"/>
          <w:szCs w:val="22"/>
        </w:rPr>
        <w:t>[49]</w:t>
      </w:r>
      <w:r w:rsidR="00315E0A" w:rsidRPr="00653918">
        <w:rPr>
          <w:rFonts w:ascii="Baskerville" w:hAnsi="Baskerville" w:cs="Baskerville"/>
          <w:sz w:val="22"/>
          <w:szCs w:val="22"/>
        </w:rPr>
        <w:fldChar w:fldCharType="end"/>
      </w:r>
      <w:r w:rsidR="00B504EF" w:rsidRPr="00653918">
        <w:rPr>
          <w:rFonts w:ascii="Baskerville" w:hAnsi="Baskerville" w:cs="Baskerville"/>
          <w:sz w:val="22"/>
          <w:szCs w:val="22"/>
        </w:rPr>
        <w:t xml:space="preserve"> </w:t>
      </w:r>
      <w:r w:rsidR="00C216BD">
        <w:rPr>
          <w:rFonts w:ascii="Baskerville" w:hAnsi="Baskerville" w:cs="Baskerville"/>
          <w:sz w:val="22"/>
          <w:szCs w:val="22"/>
        </w:rPr>
        <w:t>has</w:t>
      </w:r>
      <w:r w:rsidR="00C216BD" w:rsidRPr="00653918">
        <w:rPr>
          <w:rFonts w:ascii="Baskerville" w:hAnsi="Baskerville" w:cs="Baskerville"/>
          <w:sz w:val="22"/>
          <w:szCs w:val="22"/>
        </w:rPr>
        <w:t xml:space="preserve"> </w:t>
      </w:r>
      <w:r w:rsidR="000A16D1" w:rsidRPr="00653918">
        <w:rPr>
          <w:rFonts w:ascii="Baskerville" w:hAnsi="Baskerville" w:cs="Baskerville"/>
          <w:sz w:val="22"/>
          <w:szCs w:val="22"/>
        </w:rPr>
        <w:t>led to</w:t>
      </w:r>
      <w:r w:rsidR="00B504EF" w:rsidRPr="00653918">
        <w:rPr>
          <w:rFonts w:ascii="Baskerville" w:hAnsi="Baskerville" w:cs="Baskerville"/>
          <w:sz w:val="22"/>
          <w:szCs w:val="22"/>
        </w:rPr>
        <w:t xml:space="preserve"> optimism that</w:t>
      </w:r>
      <w:r w:rsidR="009F3BB6" w:rsidRPr="00653918">
        <w:rPr>
          <w:rFonts w:ascii="Baskerville" w:hAnsi="Baskerville" w:cs="Baskerville"/>
          <w:sz w:val="22"/>
          <w:szCs w:val="22"/>
        </w:rPr>
        <w:t xml:space="preserve"> </w:t>
      </w:r>
      <w:r w:rsidR="00A73024" w:rsidRPr="00653918">
        <w:rPr>
          <w:rFonts w:ascii="Baskerville" w:hAnsi="Baskerville" w:cs="Baskerville"/>
          <w:sz w:val="22"/>
          <w:szCs w:val="22"/>
        </w:rPr>
        <w:t xml:space="preserve">anti-epileptic </w:t>
      </w:r>
      <w:r w:rsidR="009F3BB6" w:rsidRPr="00653918">
        <w:rPr>
          <w:rFonts w:ascii="Baskerville" w:hAnsi="Baskerville" w:cs="Baskerville"/>
          <w:sz w:val="22"/>
          <w:szCs w:val="22"/>
        </w:rPr>
        <w:t xml:space="preserve">treatments </w:t>
      </w:r>
      <w:r w:rsidR="00B504EF" w:rsidRPr="00653918">
        <w:rPr>
          <w:rFonts w:ascii="Baskerville" w:hAnsi="Baskerville" w:cs="Baskerville"/>
          <w:sz w:val="22"/>
          <w:szCs w:val="22"/>
        </w:rPr>
        <w:t>could</w:t>
      </w:r>
      <w:r w:rsidR="009F3BB6" w:rsidRPr="00653918">
        <w:rPr>
          <w:rFonts w:ascii="Baskerville" w:hAnsi="Baskerville" w:cs="Baskerville"/>
          <w:sz w:val="22"/>
          <w:szCs w:val="22"/>
        </w:rPr>
        <w:t xml:space="preserve"> be targeted to </w:t>
      </w:r>
      <w:r w:rsidR="00DE6C06" w:rsidRPr="00653918">
        <w:rPr>
          <w:rFonts w:ascii="Baskerville" w:hAnsi="Baskerville" w:cs="Baskerville"/>
          <w:sz w:val="22"/>
          <w:szCs w:val="22"/>
        </w:rPr>
        <w:t>a person’s</w:t>
      </w:r>
      <w:r w:rsidR="009F3BB6" w:rsidRPr="00653918">
        <w:rPr>
          <w:rFonts w:ascii="Baskerville" w:hAnsi="Baskerville" w:cs="Baskerville"/>
          <w:sz w:val="22"/>
          <w:szCs w:val="22"/>
        </w:rPr>
        <w:t xml:space="preserve"> specific </w:t>
      </w:r>
      <w:r w:rsidR="00EE6285" w:rsidRPr="00653918">
        <w:rPr>
          <w:rFonts w:ascii="Baskerville" w:hAnsi="Baskerville" w:cs="Baskerville"/>
          <w:sz w:val="22"/>
          <w:szCs w:val="22"/>
        </w:rPr>
        <w:t>genetic</w:t>
      </w:r>
      <w:r w:rsidR="009F3BB6" w:rsidRPr="00653918">
        <w:rPr>
          <w:rFonts w:ascii="Baskerville" w:hAnsi="Baskerville" w:cs="Baskerville"/>
          <w:sz w:val="22"/>
          <w:szCs w:val="22"/>
        </w:rPr>
        <w:t xml:space="preserve"> </w:t>
      </w:r>
      <w:r w:rsidR="00DE6C06" w:rsidRPr="00653918">
        <w:rPr>
          <w:rFonts w:ascii="Baskerville" w:hAnsi="Baskerville" w:cs="Baskerville"/>
          <w:sz w:val="22"/>
          <w:szCs w:val="22"/>
        </w:rPr>
        <w:t>diagnosis</w:t>
      </w:r>
      <w:r w:rsidR="00EE6285" w:rsidRPr="00653918">
        <w:rPr>
          <w:rFonts w:ascii="Baskerville" w:hAnsi="Baskerville" w:cs="Baskerville"/>
          <w:sz w:val="22"/>
          <w:szCs w:val="22"/>
        </w:rPr>
        <w:t xml:space="preserve"> </w:t>
      </w:r>
      <w:r w:rsidR="009F3BB6" w:rsidRPr="00653918">
        <w:rPr>
          <w:rFonts w:ascii="Baskerville" w:hAnsi="Baskerville" w:cs="Baskerville"/>
          <w:sz w:val="22"/>
          <w:szCs w:val="22"/>
        </w:rPr>
        <w:t>(Precision Medicine)</w:t>
      </w:r>
      <w:r w:rsidR="002B5CA4" w:rsidRPr="00653918">
        <w:rPr>
          <w:rFonts w:ascii="Baskerville" w:hAnsi="Baskerville" w:cs="Baskerville"/>
          <w:sz w:val="22"/>
          <w:szCs w:val="22"/>
        </w:rPr>
        <w:fldChar w:fldCharType="begin" w:fldLock="1"/>
      </w:r>
      <w:r w:rsidR="00F3024F">
        <w:rPr>
          <w:rFonts w:ascii="Baskerville" w:hAnsi="Baskerville" w:cs="Baskerville"/>
          <w:sz w:val="22"/>
          <w:szCs w:val="22"/>
        </w:rPr>
        <w:instrText>ADDIN CSL_CITATION { "citationItems" : [ { "id" : "ITEM-1", "itemData" : { "DOI" : "10.1016/S1474-4422(15)00199-4", "ISSN" : "14744422", "author" : [ { "dropping-particle" : "", "family" : "Consortium", "given" : "Epipm", "non-dropping-particle" : "", "parse-names" : false, "suffix" : "" } ], "container-title" : "The Lancet Neurology", "id" : "ITEM-1", "issue" : "15", "issued" : { "date-parts" : [ [ "2015" ] ] }, "page" : "1-10", "publisher" : "Elsevier Ltd", "title" : "A roadmap for precision medicine in the epilepsies", "type" : "article-journal", "volume" : "4422" }, "uris" : [ "http://www.mendeley.com/documents/?uuid=ba070ce2-2de2-4a65-b336-ccd5e6ea03ca" ] } ], "mendeley" : { "formattedCitation" : "[52]", "plainTextFormattedCitation" : "[52]", "previouslyFormattedCitation" : "[51]" }, "properties" : { "noteIndex" : 0 }, "schema" : "https://github.com/citation-style-language/schema/raw/master/csl-citation.json" }</w:instrText>
      </w:r>
      <w:r w:rsidR="002B5CA4" w:rsidRPr="00653918">
        <w:rPr>
          <w:rFonts w:ascii="Baskerville" w:hAnsi="Baskerville" w:cs="Baskerville"/>
          <w:sz w:val="22"/>
          <w:szCs w:val="22"/>
        </w:rPr>
        <w:fldChar w:fldCharType="separate"/>
      </w:r>
      <w:r w:rsidR="00F3024F" w:rsidRPr="00F3024F">
        <w:rPr>
          <w:rFonts w:ascii="Baskerville" w:hAnsi="Baskerville" w:cs="Baskerville"/>
          <w:noProof/>
          <w:sz w:val="22"/>
          <w:szCs w:val="22"/>
        </w:rPr>
        <w:t>[52]</w:t>
      </w:r>
      <w:r w:rsidR="002B5CA4" w:rsidRPr="00653918">
        <w:rPr>
          <w:rFonts w:ascii="Baskerville" w:hAnsi="Baskerville" w:cs="Baskerville"/>
          <w:sz w:val="22"/>
          <w:szCs w:val="22"/>
        </w:rPr>
        <w:fldChar w:fldCharType="end"/>
      </w:r>
      <w:r w:rsidR="005319A1">
        <w:rPr>
          <w:rFonts w:ascii="Baskerville" w:hAnsi="Baskerville" w:cs="Baskerville"/>
          <w:sz w:val="22"/>
          <w:szCs w:val="22"/>
        </w:rPr>
        <w:t>*</w:t>
      </w:r>
      <w:r w:rsidR="009F3BB6" w:rsidRPr="00653918">
        <w:rPr>
          <w:rFonts w:ascii="Baskerville" w:hAnsi="Baskerville" w:cs="Baskerville"/>
          <w:sz w:val="22"/>
          <w:szCs w:val="22"/>
        </w:rPr>
        <w:t xml:space="preserve">. </w:t>
      </w:r>
      <w:r w:rsidR="00E55ECC" w:rsidRPr="00653918">
        <w:rPr>
          <w:rFonts w:ascii="Baskerville" w:hAnsi="Baskerville" w:cs="Baskerville"/>
          <w:sz w:val="22"/>
          <w:szCs w:val="22"/>
        </w:rPr>
        <w:t xml:space="preserve">In this section we discuss </w:t>
      </w:r>
      <w:r w:rsidR="00A35339" w:rsidRPr="00653918">
        <w:rPr>
          <w:rFonts w:ascii="Baskerville" w:hAnsi="Baskerville" w:cs="Baskerville"/>
          <w:sz w:val="22"/>
          <w:szCs w:val="22"/>
        </w:rPr>
        <w:t xml:space="preserve">some of the </w:t>
      </w:r>
      <w:r w:rsidR="00E55ECC" w:rsidRPr="00653918">
        <w:rPr>
          <w:rFonts w:ascii="Baskerville" w:hAnsi="Baskerville" w:cs="Baskerville"/>
          <w:sz w:val="22"/>
          <w:szCs w:val="22"/>
        </w:rPr>
        <w:t xml:space="preserve">studies </w:t>
      </w:r>
      <w:r w:rsidR="00B57E84" w:rsidRPr="00653918">
        <w:rPr>
          <w:rFonts w:ascii="Baskerville" w:hAnsi="Baskerville" w:cs="Baskerville"/>
          <w:sz w:val="22"/>
          <w:szCs w:val="22"/>
        </w:rPr>
        <w:t xml:space="preserve">that have established </w:t>
      </w:r>
      <w:r w:rsidR="00DB3F73">
        <w:rPr>
          <w:rFonts w:ascii="Baskerville" w:hAnsi="Baskerville" w:cs="Baskerville"/>
          <w:sz w:val="22"/>
          <w:szCs w:val="22"/>
        </w:rPr>
        <w:t xml:space="preserve">a </w:t>
      </w:r>
      <w:r w:rsidR="00B57E84" w:rsidRPr="00653918">
        <w:rPr>
          <w:rFonts w:ascii="Baskerville" w:hAnsi="Baskerville" w:cs="Baskerville"/>
          <w:sz w:val="22"/>
          <w:szCs w:val="22"/>
        </w:rPr>
        <w:t>proof-of-</w:t>
      </w:r>
      <w:r w:rsidR="00B57E84" w:rsidRPr="00653918">
        <w:rPr>
          <w:rFonts w:ascii="Baskerville" w:hAnsi="Baskerville" w:cs="Baskerville"/>
          <w:sz w:val="22"/>
          <w:szCs w:val="22"/>
        </w:rPr>
        <w:lastRenderedPageBreak/>
        <w:t>principle</w:t>
      </w:r>
      <w:r w:rsidR="001A25B7" w:rsidRPr="00653918">
        <w:rPr>
          <w:rFonts w:ascii="Baskerville" w:hAnsi="Baskerville" w:cs="Baskerville"/>
          <w:sz w:val="22"/>
          <w:szCs w:val="22"/>
        </w:rPr>
        <w:t xml:space="preserve"> </w:t>
      </w:r>
      <w:r w:rsidR="00B57E84" w:rsidRPr="00653918">
        <w:rPr>
          <w:rFonts w:ascii="Baskerville" w:hAnsi="Baskerville" w:cs="Baskerville"/>
          <w:sz w:val="22"/>
          <w:szCs w:val="22"/>
        </w:rPr>
        <w:t>for</w:t>
      </w:r>
      <w:r w:rsidR="00B273D2" w:rsidRPr="00653918">
        <w:rPr>
          <w:rFonts w:ascii="Baskerville" w:hAnsi="Baskerville" w:cs="Baskerville"/>
          <w:sz w:val="22"/>
          <w:szCs w:val="22"/>
        </w:rPr>
        <w:t xml:space="preserve"> </w:t>
      </w:r>
      <w:r w:rsidR="002F332E" w:rsidRPr="00653918">
        <w:rPr>
          <w:rFonts w:ascii="Baskerville" w:hAnsi="Baskerville" w:cs="Baskerville"/>
          <w:sz w:val="22"/>
          <w:szCs w:val="22"/>
        </w:rPr>
        <w:t>precision medicine</w:t>
      </w:r>
      <w:r w:rsidR="00D3541A" w:rsidRPr="00653918">
        <w:rPr>
          <w:rFonts w:ascii="Baskerville" w:hAnsi="Baskerville" w:cs="Baskerville"/>
          <w:sz w:val="22"/>
          <w:szCs w:val="22"/>
        </w:rPr>
        <w:t xml:space="preserve"> in epilepsy, but </w:t>
      </w:r>
      <w:r w:rsidR="00DB3F73">
        <w:rPr>
          <w:rFonts w:ascii="Baskerville" w:hAnsi="Baskerville" w:cs="Baskerville"/>
          <w:sz w:val="22"/>
          <w:szCs w:val="22"/>
        </w:rPr>
        <w:t xml:space="preserve">we </w:t>
      </w:r>
      <w:r w:rsidR="00D3541A" w:rsidRPr="00653918">
        <w:rPr>
          <w:rFonts w:ascii="Baskerville" w:hAnsi="Baskerville" w:cs="Baskerville"/>
          <w:sz w:val="22"/>
          <w:szCs w:val="22"/>
        </w:rPr>
        <w:t xml:space="preserve">also consider </w:t>
      </w:r>
      <w:r w:rsidR="00F75EEE">
        <w:rPr>
          <w:rFonts w:ascii="Baskerville" w:hAnsi="Baskerville" w:cs="Baskerville"/>
          <w:sz w:val="22"/>
          <w:szCs w:val="22"/>
        </w:rPr>
        <w:t>potential</w:t>
      </w:r>
      <w:r w:rsidR="006F216F" w:rsidRPr="00653918">
        <w:rPr>
          <w:rFonts w:ascii="Baskerville" w:hAnsi="Baskerville" w:cs="Baskerville"/>
          <w:sz w:val="22"/>
          <w:szCs w:val="22"/>
        </w:rPr>
        <w:t xml:space="preserve"> barriers to its </w:t>
      </w:r>
      <w:r w:rsidR="00D75FEA" w:rsidRPr="00653918">
        <w:rPr>
          <w:rFonts w:ascii="Baskerville" w:hAnsi="Baskerville" w:cs="Baskerville"/>
          <w:sz w:val="22"/>
          <w:szCs w:val="22"/>
        </w:rPr>
        <w:t>wider</w:t>
      </w:r>
      <w:r w:rsidR="00D3541A" w:rsidRPr="00653918">
        <w:rPr>
          <w:rFonts w:ascii="Baskerville" w:hAnsi="Baskerville" w:cs="Baskerville"/>
          <w:sz w:val="22"/>
          <w:szCs w:val="22"/>
        </w:rPr>
        <w:t xml:space="preserve"> implementation</w:t>
      </w:r>
      <w:r w:rsidR="006F216F" w:rsidRPr="00653918">
        <w:rPr>
          <w:rFonts w:ascii="Baskerville" w:hAnsi="Baskerville" w:cs="Baskerville"/>
          <w:sz w:val="22"/>
          <w:szCs w:val="22"/>
        </w:rPr>
        <w:t xml:space="preserve">. </w:t>
      </w:r>
      <w:r w:rsidR="00330F26" w:rsidRPr="00653918">
        <w:rPr>
          <w:rFonts w:ascii="Baskerville" w:hAnsi="Baskerville" w:cs="Baskerville"/>
          <w:sz w:val="22"/>
          <w:szCs w:val="22"/>
        </w:rPr>
        <w:t xml:space="preserve">In the discussion below, we narrowly define </w:t>
      </w:r>
      <w:r w:rsidR="002F332E" w:rsidRPr="00653918">
        <w:rPr>
          <w:rFonts w:ascii="Baskerville" w:hAnsi="Baskerville" w:cs="Baskerville"/>
          <w:sz w:val="22"/>
          <w:szCs w:val="22"/>
        </w:rPr>
        <w:t>precision medicine</w:t>
      </w:r>
      <w:r w:rsidR="00330F26" w:rsidRPr="00653918">
        <w:rPr>
          <w:rFonts w:ascii="Baskerville" w:hAnsi="Baskerville" w:cs="Baskerville"/>
          <w:sz w:val="22"/>
          <w:szCs w:val="22"/>
        </w:rPr>
        <w:t xml:space="preserve"> as a specific drug therapy t</w:t>
      </w:r>
      <w:r w:rsidR="00D56456">
        <w:rPr>
          <w:rFonts w:ascii="Baskerville" w:hAnsi="Baskerville" w:cs="Baskerville"/>
          <w:sz w:val="22"/>
          <w:szCs w:val="22"/>
        </w:rPr>
        <w:t xml:space="preserve">argeting an underlying genetic </w:t>
      </w:r>
      <w:r w:rsidR="00330F26" w:rsidRPr="00653918">
        <w:rPr>
          <w:rFonts w:ascii="Baskerville" w:hAnsi="Baskerville" w:cs="Baskerville"/>
          <w:sz w:val="22"/>
          <w:szCs w:val="22"/>
        </w:rPr>
        <w:t xml:space="preserve">etiology, rather than the use of genetics to inform </w:t>
      </w:r>
      <w:r w:rsidR="00BC6B10" w:rsidRPr="00653918">
        <w:rPr>
          <w:rFonts w:ascii="Baskerville" w:hAnsi="Baskerville" w:cs="Baskerville"/>
          <w:sz w:val="22"/>
          <w:szCs w:val="22"/>
        </w:rPr>
        <w:t>a</w:t>
      </w:r>
      <w:r w:rsidR="00330F26" w:rsidRPr="00653918">
        <w:rPr>
          <w:rFonts w:ascii="Baskerville" w:hAnsi="Baskerville" w:cs="Baskerville"/>
          <w:sz w:val="22"/>
          <w:szCs w:val="22"/>
        </w:rPr>
        <w:t xml:space="preserve"> </w:t>
      </w:r>
      <w:r w:rsidR="002F332E" w:rsidRPr="00653918">
        <w:rPr>
          <w:rFonts w:ascii="Baskerville" w:hAnsi="Baskerville" w:cs="Baskerville"/>
          <w:sz w:val="22"/>
          <w:szCs w:val="22"/>
        </w:rPr>
        <w:t xml:space="preserve">stratified </w:t>
      </w:r>
      <w:r w:rsidR="00330F26" w:rsidRPr="00653918">
        <w:rPr>
          <w:rFonts w:ascii="Baskerville" w:hAnsi="Baskerville" w:cs="Baskerville"/>
          <w:sz w:val="22"/>
          <w:szCs w:val="22"/>
        </w:rPr>
        <w:t xml:space="preserve">treatment </w:t>
      </w:r>
      <w:r w:rsidR="00BC6B10" w:rsidRPr="00653918">
        <w:rPr>
          <w:rFonts w:ascii="Baskerville" w:hAnsi="Baskerville" w:cs="Baskerville"/>
          <w:sz w:val="22"/>
          <w:szCs w:val="22"/>
        </w:rPr>
        <w:t>approach</w:t>
      </w:r>
      <w:r w:rsidR="00330F26" w:rsidRPr="00653918">
        <w:rPr>
          <w:rFonts w:ascii="Baskerville" w:hAnsi="Baskerville" w:cs="Baskerville"/>
          <w:sz w:val="22"/>
          <w:szCs w:val="22"/>
        </w:rPr>
        <w:t xml:space="preserve"> such as the use of the ketogenic diet in GLUT1 </w:t>
      </w:r>
      <w:r w:rsidR="00F07AEB" w:rsidRPr="00653918">
        <w:rPr>
          <w:rFonts w:ascii="Baskerville" w:hAnsi="Baskerville" w:cs="Baskerville"/>
          <w:sz w:val="22"/>
          <w:szCs w:val="22"/>
        </w:rPr>
        <w:t>deficiency</w:t>
      </w:r>
      <w:r w:rsidR="00A35339" w:rsidRPr="00653918">
        <w:rPr>
          <w:rFonts w:ascii="Baskerville" w:hAnsi="Baskerville" w:cs="Baskerville"/>
          <w:sz w:val="22"/>
          <w:szCs w:val="22"/>
        </w:rPr>
        <w:t xml:space="preserve"> syndrome</w:t>
      </w:r>
      <w:r w:rsidR="00FB2881" w:rsidRPr="00653918">
        <w:rPr>
          <w:rFonts w:ascii="Baskerville" w:hAnsi="Baskerville" w:cs="Baskerville"/>
          <w:sz w:val="22"/>
          <w:szCs w:val="22"/>
        </w:rPr>
        <w:fldChar w:fldCharType="begin" w:fldLock="1"/>
      </w:r>
      <w:r w:rsidR="00F3024F">
        <w:rPr>
          <w:rFonts w:ascii="Baskerville" w:hAnsi="Baskerville" w:cs="Baskerville"/>
          <w:sz w:val="22"/>
          <w:szCs w:val="22"/>
        </w:rPr>
        <w:instrText>ADDIN CSL_CITATION { "citationItems" : [ { "id" : "ITEM-1", "itemData" : { "DOI" : "10.1016/j.seizure.2016.01.011", "ISSN" : "15322688", "PMID" : "26803281", "abstract" : "Purpose GLUT-1 deficiency syndrome (GLUT1DS) is a neurologic disorder manifesting as epilepsy, abnormal movements, and cognitive delay. The currently accepted treatment of choice is the classic 4:1 ratio ketogenic diet. Methods A 2-page survey was distributed to all attendees of a family-centered conference for GLUT1DS in July 2015. The surveys were completed by parents, collected anonymously, and information analyzed in a database. Results Surveys were received from 92 families, of which 90 (98%) had been treated with dietary therapies. Diets used were extremely varied: 59 were treated with the classic ketogenic diet (KD), 29 with the Modified Atkins Diet (MAD), 4 with the Medium-chain Triglyceride (MCT) Diet and 2 with the low glycemic index treatment. The mean diet duration was 5.5 years (range: 1 month-20 years). Of those with seizures, 95% of the children had &gt;50% seizure reduction and 80% had &gt;90% seizure reduction. Children who were seizure-free were currently younger on average (8.2 vs. 11.6 years, p = 0.01) and slightly younger at GLUT1DS diagnosis (3.8 vs. 5.3 years, p = 0.05). There was an equal percentage of children seizure-free receiving the KD/MCT Diets compared to the MAD/Low Glycemic Index Treatment (74% vs. 63%, p = 0.30). The majority (64%) were not receiving anticonvulsants. Conclusion This represents the largest series of KD experience in children with GLUT1DS. Nearly all patients surveyed were on dietary therapies for long durations with reported excellent seizure control, often without anticonvulsant drugs. Several different ketogenic diets were utilized with similar efficacy. Early diagnosis and treatment were correlated with success.", "author" : [ { "dropping-particle" : "", "family" : "Kass", "given" : "Hannah R.", "non-dropping-particle" : "", "parse-names" : false, "suffix" : "" }, { "dropping-particle" : "", "family" : "Winesett", "given" : "S. Parrish", "non-dropping-particle" : "", "parse-names" : false, "suffix" : "" }, { "dropping-particle" : "", "family" : "Bessone", "given" : "Stacey K.", "non-dropping-particle" : "", "parse-names" : false, "suffix" : "" }, { "dropping-particle" : "", "family" : "Turner", "given" : "Zahava", "non-dropping-particle" : "", "parse-names" : false, "suffix" : "" }, { "dropping-particle" : "", "family" : "Kossoff", "given" : "Eric H.", "non-dropping-particle" : "", "parse-names" : false, "suffix" : "" } ], "container-title" : "Seizure", "id" : "ITEM-1", "issued" : { "date-parts" : [ [ "2016" ] ] }, "page" : "83-87", "title" : "Use of dietary therapies amongst patients with GLUT1 deficiency syndrome", "type" : "article-journal", "volume" : "35" }, "uris" : [ "http://www.mendeley.com/documents/?uuid=398a85e0-d43d-4cdf-ac1d-27016bbd61ca" ] } ], "mendeley" : { "formattedCitation" : "[53]", "plainTextFormattedCitation" : "[53]", "previouslyFormattedCitation" : "[52]" }, "properties" : { "noteIndex" : 0 }, "schema" : "https://github.com/citation-style-language/schema/raw/master/csl-citation.json" }</w:instrText>
      </w:r>
      <w:r w:rsidR="00FB2881" w:rsidRPr="00653918">
        <w:rPr>
          <w:rFonts w:ascii="Baskerville" w:hAnsi="Baskerville" w:cs="Baskerville"/>
          <w:sz w:val="22"/>
          <w:szCs w:val="22"/>
        </w:rPr>
        <w:fldChar w:fldCharType="separate"/>
      </w:r>
      <w:r w:rsidR="00F3024F" w:rsidRPr="00F3024F">
        <w:rPr>
          <w:rFonts w:ascii="Baskerville" w:hAnsi="Baskerville" w:cs="Baskerville"/>
          <w:noProof/>
          <w:sz w:val="22"/>
          <w:szCs w:val="22"/>
        </w:rPr>
        <w:t>[53]</w:t>
      </w:r>
      <w:r w:rsidR="00FB2881" w:rsidRPr="00653918">
        <w:rPr>
          <w:rFonts w:ascii="Baskerville" w:hAnsi="Baskerville" w:cs="Baskerville"/>
          <w:sz w:val="22"/>
          <w:szCs w:val="22"/>
        </w:rPr>
        <w:fldChar w:fldCharType="end"/>
      </w:r>
      <w:r w:rsidR="005319A1">
        <w:rPr>
          <w:rFonts w:ascii="Baskerville" w:hAnsi="Baskerville" w:cs="Baskerville"/>
          <w:sz w:val="22"/>
          <w:szCs w:val="22"/>
        </w:rPr>
        <w:t>*</w:t>
      </w:r>
      <w:r w:rsidR="00330F26" w:rsidRPr="00653918">
        <w:rPr>
          <w:rFonts w:ascii="Baskerville" w:hAnsi="Baskerville" w:cs="Baskerville"/>
          <w:sz w:val="22"/>
          <w:szCs w:val="22"/>
        </w:rPr>
        <w:t xml:space="preserve">, or prescription of stiripentol and avoidance of sodium channel blockers in </w:t>
      </w:r>
      <w:r w:rsidR="00330F26" w:rsidRPr="00653918">
        <w:rPr>
          <w:rFonts w:ascii="Baskerville" w:hAnsi="Baskerville" w:cs="Baskerville"/>
          <w:i/>
          <w:sz w:val="22"/>
          <w:szCs w:val="22"/>
        </w:rPr>
        <w:t>SCN1A</w:t>
      </w:r>
      <w:r w:rsidR="00330F26" w:rsidRPr="00653918">
        <w:rPr>
          <w:rFonts w:ascii="Baskerville" w:hAnsi="Baskerville" w:cs="Baskerville"/>
          <w:sz w:val="22"/>
          <w:szCs w:val="22"/>
        </w:rPr>
        <w:t xml:space="preserve"> disease</w:t>
      </w:r>
      <w:r w:rsidR="00270F9F" w:rsidRPr="00653918">
        <w:rPr>
          <w:rFonts w:ascii="Baskerville" w:hAnsi="Baskerville" w:cs="Baskerville"/>
          <w:sz w:val="22"/>
          <w:szCs w:val="22"/>
        </w:rPr>
        <w:fldChar w:fldCharType="begin" w:fldLock="1"/>
      </w:r>
      <w:r w:rsidR="00F3024F">
        <w:rPr>
          <w:rFonts w:ascii="Baskerville" w:hAnsi="Baskerville" w:cs="Baskerville"/>
          <w:sz w:val="22"/>
          <w:szCs w:val="22"/>
        </w:rPr>
        <w:instrText>ADDIN CSL_CITATION { "citationItems" : [ { "id" : "ITEM-1", "itemData" : { "DOI" : "10.1111/epi.13057", "ISBN" : "0013-9580\r1528-1167", "ISSN" : "15281167", "PMID" : "26122601", "abstract" : "Evidence-based guidelines, or recommendations, for the management of infants with seizures are lacking. A Task Force of the Commission of Pediatrics developed a consensus document addressing diagnostic markers, management interventions, and outcome measures for infants with seizures. Levels of evidence to support recommendations and statements were assessed using the American Academy of Neurology Guidelines and the Grading of Recommendations Assessment, Development and Evaluation (GRADE) system. The report contains recommendations for different levels of care, noting which would be regarded as standard care, compared to optimal care, or \"state of the art\" interventions. The incidence of epilepsy in the infantile period is the highest of all age groups (strong evidence), with epileptic spasms the largest single subgroup and, in the first 2 years of life, febrile seizures are the most commonly occurring seizures. Acute intervention at the time of a febrile seizure does not alter the risk for subsequent epilepsy (class 1 evidence). The use of antipyretic agents does not alter the recurrence rate (class 1 evidence), and there is no evidence to support initiation of regular antiepileptic drugs for simple febrile seizures (class 1 evidence). Infants with abnormal movements whose routine electroencephalography (EEG) study is not diagnostic, would benefit from video-EEG analysis, or home video to capture events (expert opinion, level U recommendation). Neuroimaging is recommended at all levels of care for infants presenting with epilepsy, with magnetic resonance imaging (MRI) recommended as the standard investigation at tertiary level (level A recommendation). Genetic screening should not be undertaken at primary or secondary level care (expert opinion). Standard care should permit genetic counseling by trained personal at all levels of care (expert opinion). Genetic evaluation for Dravet syndrome, and other infantile-onset epileptic encephalopathies, should be available in tertiary care (weak evidence, level C recommendation). Patients should be referred from primary or secondary to tertiary level care after failure of one antiepileptic drug (standard care) and optimal care equates to referral of all infants after presentation with a seizure (expert opinion, level U evidence). Infants with recurrent seizures warrant urgent assessment for initiation of antiepileptic drugs (expert opinion, level U recommendation). Infantile encephalopathies should have rapid int\u2026", "author" : [ { "dropping-particle" : "", "family" : "Wilmshurst", "given" : "Jo M.", "non-dropping-particle" : "", "parse-names" : false, "suffix" : "" }, { "dropping-particle" : "", "family" : "Gaillard", "given" : "William D.", "non-dropping-particle" : "", "parse-names" : false, "suffix" : "" }, { "dropping-particle" : "", "family" : "Vinayan", "given" : "Kollencheri Puthenveettil", "non-dropping-particle" : "", "parse-names" : false, "suffix" : "" }, { "dropping-particle" : "", "family" : "Tsuchida", "given" : "Tammy N.", "non-dropping-particle" : "", "parse-names" : false, "suffix" : "" }, { "dropping-particle" : "", "family" : "Plouin", "given" : "Perrine", "non-dropping-particle" : "", "parse-names" : false, "suffix" : "" }, { "dropping-particle" : "", "family" : "Bogaert", "given" : "Patrick", "non-dropping-particle" : "Van", "parse-names" : false, "suffix" : "" }, { "dropping-particle" : "", "family" : "Carrizosa", "given" : "Jaime", "non-dropping-particle" : "", "parse-names" : false, "suffix" : "" }, { "dropping-particle" : "", "family" : "Elia", "given" : "Maurizio", "non-dropping-particle" : "", "parse-names" : false, "suffix" : "" }, { "dropping-particle" : "", "family" : "Craiu", "given" : "Dana", "non-dropping-particle" : "", "parse-names" : false, "suffix" : "" }, { "dropping-particle" : "", "family" : "Jovic", "given" : "Nebojsa J.", "non-dropping-particle" : "", "parse-names" : false, "suffix" : "" }, { "dropping-particle" : "", "family" : "Nordli", "given" : "Doug", "non-dropping-particle" : "", "parse-names" : false, "suffix" : "" }, { "dropping-particle" : "", "family" : "Hirtz", "given" : "Deborah", "non-dropping-particle" : "", "parse-names" : false, "suffix" : "" }, { "dropping-particle" : "", "family" : "Wong", "given" : "Virginia", "non-dropping-particle" : "", "parse-names" : false, "suffix" : "" }, { "dropping-particle" : "", "family" : "Glauser", "given" : "Tracy", "non-dropping-particle" : "", "parse-names" : false, "suffix" : "" }, { "dropping-particle" : "", "family" : "Mizrahi", "given" : "Eli M.", "non-dropping-particle" : "", "parse-names" : false, "suffix" : "" }, { "dropping-particle" : "", "family" : "Cross", "given" : "J. Helen", "non-dropping-particle" : "", "parse-names" : false, "suffix" : "" } ], "container-title" : "Epilepsia", "id" : "ITEM-1", "issue" : "8", "issued" : { "date-parts" : [ [ "2015" ] ] }, "page" : "1185-1197", "title" : "Summary of recommendations for the management of infantile seizures: Task Force Report for the ILAE Commission of Pediatrics", "type" : "article-journal", "volume" : "56" }, "uris" : [ "http://www.mendeley.com/documents/?uuid=03a406a7-12b7-43b6-b0c6-7701d5772458" ] } ], "mendeley" : { "formattedCitation" : "[54]", "plainTextFormattedCitation" : "[54]", "previouslyFormattedCitation" : "[53]" }, "properties" : { "noteIndex" : 0 }, "schema" : "https://github.com/citation-style-language/schema/raw/master/csl-citation.json" }</w:instrText>
      </w:r>
      <w:r w:rsidR="00270F9F" w:rsidRPr="00653918">
        <w:rPr>
          <w:rFonts w:ascii="Baskerville" w:hAnsi="Baskerville" w:cs="Baskerville"/>
          <w:sz w:val="22"/>
          <w:szCs w:val="22"/>
        </w:rPr>
        <w:fldChar w:fldCharType="separate"/>
      </w:r>
      <w:r w:rsidR="00F3024F" w:rsidRPr="00F3024F">
        <w:rPr>
          <w:rFonts w:ascii="Baskerville" w:hAnsi="Baskerville" w:cs="Baskerville"/>
          <w:noProof/>
          <w:sz w:val="22"/>
          <w:szCs w:val="22"/>
        </w:rPr>
        <w:t>[54]</w:t>
      </w:r>
      <w:r w:rsidR="00270F9F" w:rsidRPr="00653918">
        <w:rPr>
          <w:rFonts w:ascii="Baskerville" w:hAnsi="Baskerville" w:cs="Baskerville"/>
          <w:sz w:val="22"/>
          <w:szCs w:val="22"/>
        </w:rPr>
        <w:fldChar w:fldCharType="end"/>
      </w:r>
      <w:r w:rsidR="005319A1">
        <w:rPr>
          <w:rFonts w:ascii="Baskerville" w:hAnsi="Baskerville" w:cs="Baskerville"/>
          <w:sz w:val="22"/>
          <w:szCs w:val="22"/>
        </w:rPr>
        <w:t>*</w:t>
      </w:r>
      <w:r w:rsidR="00330F26" w:rsidRPr="00653918">
        <w:rPr>
          <w:rFonts w:ascii="Baskerville" w:hAnsi="Baskerville" w:cs="Baskerville"/>
          <w:sz w:val="22"/>
          <w:szCs w:val="22"/>
        </w:rPr>
        <w:t xml:space="preserve">. </w:t>
      </w:r>
    </w:p>
    <w:p w14:paraId="39DFDB09" w14:textId="77777777" w:rsidR="006F216F" w:rsidRPr="00653918" w:rsidRDefault="006F216F" w:rsidP="005669D3">
      <w:pPr>
        <w:spacing w:line="360" w:lineRule="auto"/>
        <w:jc w:val="both"/>
        <w:rPr>
          <w:rFonts w:ascii="Baskerville" w:hAnsi="Baskerville" w:cs="Baskerville"/>
          <w:sz w:val="22"/>
          <w:szCs w:val="22"/>
        </w:rPr>
      </w:pPr>
    </w:p>
    <w:p w14:paraId="25E55931" w14:textId="5F7C6D56" w:rsidR="002F332E" w:rsidRPr="00653918" w:rsidRDefault="00104662" w:rsidP="005669D3">
      <w:pPr>
        <w:spacing w:line="360" w:lineRule="auto"/>
        <w:jc w:val="both"/>
        <w:rPr>
          <w:rFonts w:ascii="Baskerville" w:hAnsi="Baskerville" w:cs="Baskerville"/>
          <w:sz w:val="22"/>
          <w:szCs w:val="22"/>
        </w:rPr>
      </w:pPr>
      <w:r w:rsidRPr="00653918">
        <w:rPr>
          <w:rFonts w:ascii="Baskerville" w:hAnsi="Baskerville" w:cs="Baskerville"/>
          <w:sz w:val="22"/>
          <w:szCs w:val="22"/>
        </w:rPr>
        <w:t xml:space="preserve">One of the first reports </w:t>
      </w:r>
      <w:r w:rsidR="00037526" w:rsidRPr="00653918">
        <w:rPr>
          <w:rFonts w:ascii="Baskerville" w:hAnsi="Baskerville" w:cs="Baskerville"/>
          <w:sz w:val="22"/>
          <w:szCs w:val="22"/>
        </w:rPr>
        <w:t>of a</w:t>
      </w:r>
      <w:r w:rsidRPr="00653918">
        <w:rPr>
          <w:rFonts w:ascii="Baskerville" w:hAnsi="Baskerville" w:cs="Baskerville"/>
          <w:sz w:val="22"/>
          <w:szCs w:val="22"/>
        </w:rPr>
        <w:t xml:space="preserve"> </w:t>
      </w:r>
      <w:r w:rsidR="002F332E" w:rsidRPr="00653918">
        <w:rPr>
          <w:rFonts w:ascii="Baskerville" w:hAnsi="Baskerville" w:cs="Baskerville"/>
          <w:sz w:val="22"/>
          <w:szCs w:val="22"/>
        </w:rPr>
        <w:t xml:space="preserve">targeted precision </w:t>
      </w:r>
      <w:r w:rsidRPr="00653918">
        <w:rPr>
          <w:rFonts w:ascii="Baskerville" w:hAnsi="Baskerville" w:cs="Baskerville"/>
          <w:sz w:val="22"/>
          <w:szCs w:val="22"/>
        </w:rPr>
        <w:t xml:space="preserve">therapy </w:t>
      </w:r>
      <w:r w:rsidR="00790E97" w:rsidRPr="00653918">
        <w:rPr>
          <w:rFonts w:ascii="Baskerville" w:hAnsi="Baskerville" w:cs="Baskerville"/>
          <w:sz w:val="22"/>
          <w:szCs w:val="22"/>
        </w:rPr>
        <w:t>in epilepsy</w:t>
      </w:r>
      <w:r w:rsidRPr="00653918">
        <w:rPr>
          <w:rFonts w:ascii="Baskerville" w:hAnsi="Baskerville" w:cs="Baskerville"/>
          <w:sz w:val="22"/>
          <w:szCs w:val="22"/>
        </w:rPr>
        <w:t xml:space="preserve"> </w:t>
      </w:r>
      <w:r w:rsidR="00BF2D1F" w:rsidRPr="00653918">
        <w:rPr>
          <w:rFonts w:ascii="Baskerville" w:hAnsi="Baskerville" w:cs="Baskerville"/>
          <w:sz w:val="22"/>
          <w:szCs w:val="22"/>
        </w:rPr>
        <w:t xml:space="preserve">was the </w:t>
      </w:r>
      <w:r w:rsidRPr="00653918">
        <w:rPr>
          <w:rFonts w:ascii="Baskerville" w:hAnsi="Baskerville" w:cs="Baskerville"/>
          <w:sz w:val="22"/>
          <w:szCs w:val="22"/>
        </w:rPr>
        <w:t xml:space="preserve">use of quinidine in the treatment of </w:t>
      </w:r>
      <w:r w:rsidR="00BF2D1F" w:rsidRPr="00653918">
        <w:rPr>
          <w:rFonts w:ascii="Baskerville" w:hAnsi="Baskerville" w:cs="Baskerville"/>
          <w:sz w:val="22"/>
          <w:szCs w:val="22"/>
        </w:rPr>
        <w:t xml:space="preserve">a child with </w:t>
      </w:r>
      <w:r w:rsidR="00445364" w:rsidRPr="00653918">
        <w:rPr>
          <w:rFonts w:ascii="Baskerville" w:hAnsi="Baskerville" w:cs="Baskerville"/>
          <w:sz w:val="22"/>
          <w:szCs w:val="22"/>
        </w:rPr>
        <w:t>epilepsy of infancy with migrating focal seizures (EIMFS)</w:t>
      </w:r>
      <w:r w:rsidR="00445364">
        <w:rPr>
          <w:rFonts w:ascii="Baskerville" w:hAnsi="Baskerville" w:cs="Baskerville"/>
          <w:sz w:val="22"/>
          <w:szCs w:val="22"/>
        </w:rPr>
        <w:t xml:space="preserve"> </w:t>
      </w:r>
      <w:r w:rsidRPr="00653918">
        <w:rPr>
          <w:rFonts w:ascii="Baskerville" w:hAnsi="Baskerville" w:cs="Baskerville"/>
          <w:sz w:val="22"/>
          <w:szCs w:val="22"/>
        </w:rPr>
        <w:t xml:space="preserve">secondary to </w:t>
      </w:r>
      <w:r w:rsidR="00B278B5" w:rsidRPr="00653918">
        <w:rPr>
          <w:rFonts w:ascii="Baskerville" w:hAnsi="Baskerville" w:cs="Baskerville"/>
          <w:sz w:val="22"/>
          <w:szCs w:val="22"/>
        </w:rPr>
        <w:t xml:space="preserve">a </w:t>
      </w:r>
      <w:r w:rsidR="00140F2B" w:rsidRPr="00653918">
        <w:rPr>
          <w:rFonts w:ascii="Baskerville" w:hAnsi="Baskerville" w:cs="Baskerville"/>
          <w:sz w:val="22"/>
          <w:szCs w:val="22"/>
        </w:rPr>
        <w:t>gain-of-</w:t>
      </w:r>
      <w:r w:rsidRPr="00653918">
        <w:rPr>
          <w:rFonts w:ascii="Baskerville" w:hAnsi="Baskerville" w:cs="Baskerville"/>
          <w:sz w:val="22"/>
          <w:szCs w:val="22"/>
        </w:rPr>
        <w:t xml:space="preserve">function missense mutation in </w:t>
      </w:r>
      <w:r w:rsidRPr="00653918">
        <w:rPr>
          <w:rFonts w:ascii="Baskerville" w:hAnsi="Baskerville" w:cs="Baskerville"/>
          <w:i/>
          <w:sz w:val="22"/>
          <w:szCs w:val="22"/>
        </w:rPr>
        <w:t>KCNT1</w:t>
      </w:r>
      <w:r w:rsidRPr="00653918">
        <w:rPr>
          <w:rFonts w:ascii="Baskerville" w:hAnsi="Baskerville" w:cs="Baskerville"/>
          <w:sz w:val="22"/>
          <w:szCs w:val="22"/>
        </w:rPr>
        <w:t xml:space="preserve"> (Arg428Gln)</w:t>
      </w:r>
      <w:r w:rsidR="006F2415" w:rsidRPr="00653918">
        <w:rPr>
          <w:rFonts w:ascii="Baskerville" w:hAnsi="Baskerville" w:cs="Baskerville"/>
          <w:sz w:val="22"/>
          <w:szCs w:val="22"/>
        </w:rPr>
        <w:fldChar w:fldCharType="begin" w:fldLock="1"/>
      </w:r>
      <w:r w:rsidR="00F3024F">
        <w:rPr>
          <w:rFonts w:ascii="Baskerville" w:hAnsi="Baskerville" w:cs="Baskerville"/>
          <w:sz w:val="22"/>
          <w:szCs w:val="22"/>
        </w:rPr>
        <w:instrText>ADDIN CSL_CITATION { "citationItems" : [ { "id" : "ITEM-1", "itemData" : { "DOI" : "10.1002/ana.24229", "author" : [ { "dropping-particle" : "", "family" : "Bearden", "given" : "David", "non-dropping-particle" : "", "parse-names" : false, "suffix" : "" }, { "dropping-particle" : "", "family" : "Strong", "given" : "Alanna", "non-dropping-particle" : "", "parse-names" : false, "suffix" : "" }, { "dropping-particle" : "", "family" : "Ehnot", "given" : "Jessica", "non-dropping-particle" : "", "parse-names" : false, "suffix" : "" }, { "dropping-particle" : "", "family" : "Digiovine", "given" : "Marissa", "non-dropping-particle" : "", "parse-names" : false, "suffix" : "" }, { "dropping-particle" : "", "family" : "Dlugos", "given" : "Dennis", "non-dropping-particle" : "", "parse-names" : false, "suffix" : "" }, { "dropping-particle" : "", "family" : "Goldberg", "given" : "Ethan M", "non-dropping-particle" : "", "parse-names" : false, "suffix" : "" } ], "id" : "ITEM-1", "issued" : { "date-parts" : [ [ "2014" ] ] }, "page" : "457-461", "title" : "Targeted Treatment of Migrating Partial Seizures of Infancy with Quinidine", "type" : "article-journal" }, "uris" : [ "http://www.mendeley.com/documents/?uuid=ae6bd759-011e-490b-8656-d928985da9de" ] } ], "mendeley" : { "formattedCitation" : "[55]", "manualFormatting" : "[53]", "plainTextFormattedCitation" : "[55]", "previouslyFormattedCitation" : "[54]" }, "properties" : { "noteIndex" : 0 }, "schema" : "https://github.com/citation-style-language/schema/raw/master/csl-citation.json" }</w:instrText>
      </w:r>
      <w:r w:rsidR="006F2415" w:rsidRPr="00653918">
        <w:rPr>
          <w:rFonts w:ascii="Baskerville" w:hAnsi="Baskerville" w:cs="Baskerville"/>
          <w:sz w:val="22"/>
          <w:szCs w:val="22"/>
        </w:rPr>
        <w:fldChar w:fldCharType="separate"/>
      </w:r>
      <w:r w:rsidR="005431EC" w:rsidRPr="005431EC">
        <w:rPr>
          <w:rFonts w:ascii="Baskerville" w:hAnsi="Baskerville" w:cs="Baskerville"/>
          <w:noProof/>
          <w:sz w:val="22"/>
          <w:szCs w:val="22"/>
        </w:rPr>
        <w:t>[53]</w:t>
      </w:r>
      <w:r w:rsidR="006F2415" w:rsidRPr="00653918">
        <w:rPr>
          <w:rFonts w:ascii="Baskerville" w:hAnsi="Baskerville" w:cs="Baskerville"/>
          <w:sz w:val="22"/>
          <w:szCs w:val="22"/>
        </w:rPr>
        <w:fldChar w:fldCharType="end"/>
      </w:r>
      <w:r w:rsidRPr="00653918">
        <w:rPr>
          <w:rFonts w:ascii="Baskerville" w:hAnsi="Baskerville" w:cs="Baskerville"/>
          <w:sz w:val="22"/>
          <w:szCs w:val="22"/>
        </w:rPr>
        <w:t xml:space="preserve">. </w:t>
      </w:r>
      <w:r w:rsidR="00037526" w:rsidRPr="00653918">
        <w:rPr>
          <w:rFonts w:ascii="Baskerville" w:hAnsi="Baskerville" w:cs="Baskerville"/>
          <w:sz w:val="22"/>
          <w:szCs w:val="22"/>
        </w:rPr>
        <w:t>P</w:t>
      </w:r>
      <w:r w:rsidR="009B4E47" w:rsidRPr="00653918">
        <w:rPr>
          <w:rFonts w:ascii="Baskerville" w:hAnsi="Baskerville" w:cs="Baskerville"/>
          <w:sz w:val="22"/>
          <w:szCs w:val="22"/>
        </w:rPr>
        <w:t xml:space="preserve">rior </w:t>
      </w:r>
      <w:r w:rsidR="009B4E47" w:rsidRPr="00653918">
        <w:rPr>
          <w:rFonts w:ascii="Baskerville" w:hAnsi="Baskerville" w:cs="Baskerville"/>
          <w:i/>
          <w:sz w:val="22"/>
          <w:szCs w:val="22"/>
        </w:rPr>
        <w:t>in vitro</w:t>
      </w:r>
      <w:r w:rsidR="009B4E47" w:rsidRPr="00653918">
        <w:rPr>
          <w:rFonts w:ascii="Baskerville" w:hAnsi="Baskerville" w:cs="Baskerville"/>
          <w:sz w:val="22"/>
          <w:szCs w:val="22"/>
        </w:rPr>
        <w:t xml:space="preserve"> </w:t>
      </w:r>
      <w:r w:rsidR="00AD4181" w:rsidRPr="00653918">
        <w:rPr>
          <w:rFonts w:ascii="Baskerville" w:hAnsi="Baskerville" w:cs="Baskerville"/>
          <w:sz w:val="22"/>
          <w:szCs w:val="22"/>
        </w:rPr>
        <w:t xml:space="preserve">studies </w:t>
      </w:r>
      <w:r w:rsidR="009B4E47" w:rsidRPr="00653918">
        <w:rPr>
          <w:rFonts w:ascii="Baskerville" w:hAnsi="Baskerville" w:cs="Baskerville"/>
          <w:sz w:val="22"/>
          <w:szCs w:val="22"/>
        </w:rPr>
        <w:t xml:space="preserve">had established that quinidine </w:t>
      </w:r>
      <w:r w:rsidR="00AD4181" w:rsidRPr="00653918">
        <w:rPr>
          <w:rFonts w:ascii="Baskerville" w:hAnsi="Baskerville" w:cs="Baskerville"/>
          <w:sz w:val="22"/>
          <w:szCs w:val="22"/>
        </w:rPr>
        <w:t>is a blocker of</w:t>
      </w:r>
      <w:r w:rsidR="009B4E47" w:rsidRPr="00653918">
        <w:rPr>
          <w:rFonts w:ascii="Baskerville" w:hAnsi="Baskerville" w:cs="Baskerville"/>
          <w:sz w:val="22"/>
          <w:szCs w:val="22"/>
        </w:rPr>
        <w:t xml:space="preserve"> KCNT1 channels</w:t>
      </w:r>
      <w:r w:rsidR="00AD4181" w:rsidRPr="00653918">
        <w:rPr>
          <w:rFonts w:ascii="Baskerville" w:hAnsi="Baskerville" w:cs="Baskerville"/>
          <w:sz w:val="22"/>
          <w:szCs w:val="22"/>
        </w:rPr>
        <w:t>,</w:t>
      </w:r>
      <w:r w:rsidR="009B4E47" w:rsidRPr="00653918">
        <w:rPr>
          <w:rFonts w:ascii="Baskerville" w:hAnsi="Baskerville" w:cs="Baskerville"/>
          <w:sz w:val="22"/>
          <w:szCs w:val="22"/>
        </w:rPr>
        <w:t xml:space="preserve"> suggesting </w:t>
      </w:r>
      <w:r w:rsidR="002F332E" w:rsidRPr="00653918">
        <w:rPr>
          <w:rFonts w:ascii="Baskerville" w:hAnsi="Baskerville" w:cs="Baskerville"/>
          <w:sz w:val="22"/>
          <w:szCs w:val="22"/>
        </w:rPr>
        <w:t>the drug</w:t>
      </w:r>
      <w:r w:rsidR="009B4E47" w:rsidRPr="00653918">
        <w:rPr>
          <w:rFonts w:ascii="Baskerville" w:hAnsi="Baskerville" w:cs="Baskerville"/>
          <w:sz w:val="22"/>
          <w:szCs w:val="22"/>
        </w:rPr>
        <w:t xml:space="preserve"> might be a </w:t>
      </w:r>
      <w:r w:rsidR="00AD4181" w:rsidRPr="00653918">
        <w:rPr>
          <w:rFonts w:ascii="Baskerville" w:hAnsi="Baskerville" w:cs="Baskerville"/>
          <w:sz w:val="22"/>
          <w:szCs w:val="22"/>
        </w:rPr>
        <w:t>precision</w:t>
      </w:r>
      <w:r w:rsidR="009B4E47" w:rsidRPr="00653918">
        <w:rPr>
          <w:rFonts w:ascii="Baskerville" w:hAnsi="Baskerville" w:cs="Baskerville"/>
          <w:sz w:val="22"/>
          <w:szCs w:val="22"/>
        </w:rPr>
        <w:t xml:space="preserve"> therapy in </w:t>
      </w:r>
      <w:r w:rsidR="00BF2D1F" w:rsidRPr="00653918">
        <w:rPr>
          <w:rFonts w:ascii="Baskerville" w:hAnsi="Baskerville" w:cs="Baskerville"/>
          <w:sz w:val="22"/>
          <w:szCs w:val="22"/>
        </w:rPr>
        <w:t xml:space="preserve">epilepsy </w:t>
      </w:r>
      <w:r w:rsidR="009B4E47" w:rsidRPr="00653918">
        <w:rPr>
          <w:rFonts w:ascii="Baskerville" w:hAnsi="Baskerville" w:cs="Baskerville"/>
          <w:sz w:val="22"/>
          <w:szCs w:val="22"/>
        </w:rPr>
        <w:t xml:space="preserve">associated with </w:t>
      </w:r>
      <w:r w:rsidR="00140F2B" w:rsidRPr="00653918">
        <w:rPr>
          <w:rFonts w:ascii="Baskerville" w:hAnsi="Baskerville" w:cs="Baskerville"/>
          <w:sz w:val="22"/>
          <w:szCs w:val="22"/>
        </w:rPr>
        <w:t>gain-of-</w:t>
      </w:r>
      <w:r w:rsidR="00AD4181" w:rsidRPr="00653918">
        <w:rPr>
          <w:rFonts w:ascii="Baskerville" w:hAnsi="Baskerville" w:cs="Baskerville"/>
          <w:sz w:val="22"/>
          <w:szCs w:val="22"/>
        </w:rPr>
        <w:t xml:space="preserve">function </w:t>
      </w:r>
      <w:r w:rsidR="009B4E47" w:rsidRPr="007457D7">
        <w:rPr>
          <w:rFonts w:ascii="Baskerville" w:hAnsi="Baskerville" w:cs="Baskerville"/>
          <w:i/>
          <w:sz w:val="22"/>
          <w:szCs w:val="22"/>
        </w:rPr>
        <w:t>KCNT1</w:t>
      </w:r>
      <w:r w:rsidR="009B4E47" w:rsidRPr="00653918">
        <w:rPr>
          <w:rFonts w:ascii="Baskerville" w:hAnsi="Baskerville" w:cs="Baskerville"/>
          <w:sz w:val="22"/>
          <w:szCs w:val="22"/>
        </w:rPr>
        <w:t xml:space="preserve"> mutation.</w:t>
      </w:r>
      <w:r w:rsidR="002F332E" w:rsidRPr="00653918">
        <w:rPr>
          <w:rFonts w:ascii="Baskerville" w:hAnsi="Baskerville" w:cs="Baskerville"/>
          <w:sz w:val="22"/>
          <w:szCs w:val="22"/>
        </w:rPr>
        <w:t xml:space="preserve"> </w:t>
      </w:r>
      <w:r w:rsidR="00F23E9B">
        <w:rPr>
          <w:rFonts w:ascii="Baskerville" w:hAnsi="Baskerville" w:cs="Baskerville"/>
          <w:sz w:val="22"/>
          <w:szCs w:val="22"/>
        </w:rPr>
        <w:t>Subsequent</w:t>
      </w:r>
      <w:r w:rsidR="00AD4181" w:rsidRPr="00653918">
        <w:rPr>
          <w:rFonts w:ascii="Baskerville" w:hAnsi="Baskerville" w:cs="Baskerville"/>
          <w:sz w:val="22"/>
          <w:szCs w:val="22"/>
        </w:rPr>
        <w:t xml:space="preserve"> t</w:t>
      </w:r>
      <w:r w:rsidRPr="00653918">
        <w:rPr>
          <w:rFonts w:ascii="Baskerville" w:hAnsi="Baskerville" w:cs="Baskerville"/>
          <w:sz w:val="22"/>
          <w:szCs w:val="22"/>
        </w:rPr>
        <w:t xml:space="preserve">reatment with quinidine </w:t>
      </w:r>
      <w:r w:rsidR="00F23E9B">
        <w:rPr>
          <w:rFonts w:ascii="Baskerville" w:hAnsi="Baskerville" w:cs="Baskerville"/>
          <w:sz w:val="22"/>
          <w:szCs w:val="22"/>
        </w:rPr>
        <w:t>resulted in</w:t>
      </w:r>
      <w:r w:rsidRPr="00653918">
        <w:rPr>
          <w:rFonts w:ascii="Baskerville" w:hAnsi="Baskerville" w:cs="Baskerville"/>
          <w:sz w:val="22"/>
          <w:szCs w:val="22"/>
        </w:rPr>
        <w:t xml:space="preserve"> a m</w:t>
      </w:r>
      <w:r w:rsidR="00AD4181" w:rsidRPr="00653918">
        <w:rPr>
          <w:rFonts w:ascii="Baskerville" w:hAnsi="Baskerville" w:cs="Baskerville"/>
          <w:sz w:val="22"/>
          <w:szCs w:val="22"/>
        </w:rPr>
        <w:t>arked reduction in seizure fre</w:t>
      </w:r>
      <w:r w:rsidRPr="00653918">
        <w:rPr>
          <w:rFonts w:ascii="Baskerville" w:hAnsi="Baskerville" w:cs="Baskerville"/>
          <w:sz w:val="22"/>
          <w:szCs w:val="22"/>
        </w:rPr>
        <w:t>quency and improved psychomotor development</w:t>
      </w:r>
      <w:r w:rsidR="007457D7" w:rsidRPr="00653918">
        <w:rPr>
          <w:rFonts w:ascii="Baskerville" w:hAnsi="Baskerville" w:cs="Baskerville"/>
          <w:sz w:val="22"/>
          <w:szCs w:val="22"/>
        </w:rPr>
        <w:fldChar w:fldCharType="begin" w:fldLock="1"/>
      </w:r>
      <w:r w:rsidR="00F3024F">
        <w:rPr>
          <w:rFonts w:ascii="Baskerville" w:hAnsi="Baskerville" w:cs="Baskerville"/>
          <w:sz w:val="22"/>
          <w:szCs w:val="22"/>
        </w:rPr>
        <w:instrText>ADDIN CSL_CITATION { "citationItems" : [ { "id" : "ITEM-1", "itemData" : { "DOI" : "10.1002/ana.24229", "author" : [ { "dropping-particle" : "", "family" : "Bearden", "given" : "David", "non-dropping-particle" : "", "parse-names" : false, "suffix" : "" }, { "dropping-particle" : "", "family" : "Strong", "given" : "Alanna", "non-dropping-particle" : "", "parse-names" : false, "suffix" : "" }, { "dropping-particle" : "", "family" : "Ehnot", "given" : "Jessica", "non-dropping-particle" : "", "parse-names" : false, "suffix" : "" }, { "dropping-particle" : "", "family" : "Digiovine", "given" : "Marissa", "non-dropping-particle" : "", "parse-names" : false, "suffix" : "" }, { "dropping-particle" : "", "family" : "Dlugos", "given" : "Dennis", "non-dropping-particle" : "", "parse-names" : false, "suffix" : "" }, { "dropping-particle" : "", "family" : "Goldberg", "given" : "Ethan M", "non-dropping-particle" : "", "parse-names" : false, "suffix" : "" } ], "id" : "ITEM-1", "issued" : { "date-parts" : [ [ "2014" ] ] }, "page" : "457-461", "title" : "Targeted Treatment of Migrating Partial Seizures of Infancy with Quinidine", "type" : "article-journal" }, "uris" : [ "http://www.mendeley.com/documents/?uuid=ae6bd759-011e-490b-8656-d928985da9de" ] } ], "mendeley" : { "formattedCitation" : "[55]", "plainTextFormattedCitation" : "[55]", "previouslyFormattedCitation" : "[54]" }, "properties" : { "noteIndex" : 0 }, "schema" : "https://github.com/citation-style-language/schema/raw/master/csl-citation.json" }</w:instrText>
      </w:r>
      <w:r w:rsidR="007457D7" w:rsidRPr="00653918">
        <w:rPr>
          <w:rFonts w:ascii="Baskerville" w:hAnsi="Baskerville" w:cs="Baskerville"/>
          <w:sz w:val="22"/>
          <w:szCs w:val="22"/>
        </w:rPr>
        <w:fldChar w:fldCharType="separate"/>
      </w:r>
      <w:r w:rsidR="00F3024F" w:rsidRPr="00F3024F">
        <w:rPr>
          <w:rFonts w:ascii="Baskerville" w:hAnsi="Baskerville" w:cs="Baskerville"/>
          <w:noProof/>
          <w:sz w:val="22"/>
          <w:szCs w:val="22"/>
        </w:rPr>
        <w:t>[55]</w:t>
      </w:r>
      <w:r w:rsidR="007457D7" w:rsidRPr="00653918">
        <w:rPr>
          <w:rFonts w:ascii="Baskerville" w:hAnsi="Baskerville" w:cs="Baskerville"/>
          <w:sz w:val="22"/>
          <w:szCs w:val="22"/>
        </w:rPr>
        <w:fldChar w:fldCharType="end"/>
      </w:r>
      <w:r w:rsidRPr="00653918">
        <w:rPr>
          <w:rFonts w:ascii="Baskerville" w:hAnsi="Baskerville" w:cs="Baskerville"/>
          <w:sz w:val="22"/>
          <w:szCs w:val="22"/>
        </w:rPr>
        <w:t>.</w:t>
      </w:r>
      <w:r w:rsidR="006F2415" w:rsidRPr="00653918">
        <w:rPr>
          <w:rFonts w:ascii="Baskerville" w:hAnsi="Baskerville" w:cs="Baskerville"/>
          <w:sz w:val="22"/>
          <w:szCs w:val="22"/>
        </w:rPr>
        <w:t xml:space="preserve"> </w:t>
      </w:r>
    </w:p>
    <w:p w14:paraId="69304E47" w14:textId="77777777" w:rsidR="002F332E" w:rsidRPr="00653918" w:rsidRDefault="002F332E" w:rsidP="005669D3">
      <w:pPr>
        <w:spacing w:line="360" w:lineRule="auto"/>
        <w:jc w:val="both"/>
        <w:rPr>
          <w:rFonts w:ascii="Baskerville" w:hAnsi="Baskerville" w:cs="Baskerville"/>
          <w:sz w:val="22"/>
          <w:szCs w:val="22"/>
        </w:rPr>
      </w:pPr>
    </w:p>
    <w:p w14:paraId="17EDB7BE" w14:textId="0B2D88C3" w:rsidR="00A13F74" w:rsidRPr="00653918" w:rsidRDefault="002F332E" w:rsidP="005669D3">
      <w:pPr>
        <w:spacing w:line="360" w:lineRule="auto"/>
        <w:jc w:val="both"/>
        <w:rPr>
          <w:rFonts w:ascii="Baskerville" w:hAnsi="Baskerville" w:cs="Baskerville"/>
          <w:sz w:val="22"/>
          <w:szCs w:val="22"/>
        </w:rPr>
      </w:pPr>
      <w:r w:rsidRPr="00653918">
        <w:rPr>
          <w:rFonts w:ascii="Baskerville" w:hAnsi="Baskerville" w:cs="Baskerville"/>
          <w:sz w:val="22"/>
          <w:szCs w:val="22"/>
        </w:rPr>
        <w:t>S</w:t>
      </w:r>
      <w:r w:rsidR="00D43FD0" w:rsidRPr="00653918">
        <w:rPr>
          <w:rFonts w:ascii="Baskerville" w:hAnsi="Baskerville" w:cs="Baskerville"/>
          <w:sz w:val="22"/>
          <w:szCs w:val="22"/>
        </w:rPr>
        <w:t xml:space="preserve">eizure outcomes following treatment with quinidine have </w:t>
      </w:r>
      <w:r w:rsidRPr="00653918">
        <w:rPr>
          <w:rFonts w:ascii="Baskerville" w:hAnsi="Baskerville" w:cs="Baskerville"/>
          <w:sz w:val="22"/>
          <w:szCs w:val="22"/>
        </w:rPr>
        <w:t xml:space="preserve">since </w:t>
      </w:r>
      <w:r w:rsidR="00D43FD0" w:rsidRPr="00653918">
        <w:rPr>
          <w:rFonts w:ascii="Baskerville" w:hAnsi="Baskerville" w:cs="Baskerville"/>
          <w:sz w:val="22"/>
          <w:szCs w:val="22"/>
        </w:rPr>
        <w:t xml:space="preserve">been reported for </w:t>
      </w:r>
      <w:r w:rsidR="009B6536">
        <w:rPr>
          <w:rFonts w:ascii="Baskerville" w:hAnsi="Baskerville" w:cs="Baskerville"/>
          <w:sz w:val="22"/>
          <w:szCs w:val="22"/>
        </w:rPr>
        <w:t>two</w:t>
      </w:r>
      <w:r w:rsidR="00D43FD0" w:rsidRPr="00653918">
        <w:rPr>
          <w:rFonts w:ascii="Baskerville" w:hAnsi="Baskerville" w:cs="Baskerville"/>
          <w:sz w:val="22"/>
          <w:szCs w:val="22"/>
        </w:rPr>
        <w:t xml:space="preserve"> additional </w:t>
      </w:r>
      <w:r w:rsidR="009B6536">
        <w:rPr>
          <w:rFonts w:ascii="Baskerville" w:hAnsi="Baskerville" w:cs="Baskerville"/>
          <w:sz w:val="22"/>
          <w:szCs w:val="22"/>
        </w:rPr>
        <w:t xml:space="preserve">epilepsy </w:t>
      </w:r>
      <w:r w:rsidR="00B2444A" w:rsidRPr="00653918">
        <w:rPr>
          <w:rFonts w:ascii="Baskerville" w:hAnsi="Baskerville" w:cs="Baskerville"/>
          <w:sz w:val="22"/>
          <w:szCs w:val="22"/>
        </w:rPr>
        <w:t xml:space="preserve">patients </w:t>
      </w:r>
      <w:r w:rsidR="007C7A88" w:rsidRPr="00653918">
        <w:rPr>
          <w:rFonts w:ascii="Baskerville" w:hAnsi="Baskerville" w:cs="Baskerville"/>
          <w:sz w:val="22"/>
          <w:szCs w:val="22"/>
        </w:rPr>
        <w:t>with</w:t>
      </w:r>
      <w:r w:rsidR="00D43FD0" w:rsidRPr="00653918">
        <w:rPr>
          <w:rFonts w:ascii="Baskerville" w:hAnsi="Baskerville" w:cs="Baskerville"/>
          <w:sz w:val="22"/>
          <w:szCs w:val="22"/>
        </w:rPr>
        <w:t xml:space="preserve"> </w:t>
      </w:r>
      <w:r w:rsidR="0072098B" w:rsidRPr="00653918">
        <w:rPr>
          <w:rFonts w:ascii="Baskerville" w:hAnsi="Baskerville" w:cs="Baskerville"/>
          <w:i/>
          <w:sz w:val="22"/>
          <w:szCs w:val="22"/>
        </w:rPr>
        <w:t>KCNT1</w:t>
      </w:r>
      <w:r w:rsidR="0072098B" w:rsidRPr="00653918">
        <w:rPr>
          <w:rFonts w:ascii="Baskerville" w:hAnsi="Baskerville" w:cs="Baskerville"/>
          <w:sz w:val="22"/>
          <w:szCs w:val="22"/>
        </w:rPr>
        <w:t xml:space="preserve"> </w:t>
      </w:r>
      <w:r w:rsidR="00D43FD0" w:rsidRPr="00653918">
        <w:rPr>
          <w:rFonts w:ascii="Baskerville" w:hAnsi="Baskerville" w:cs="Baskerville"/>
          <w:sz w:val="22"/>
          <w:szCs w:val="22"/>
        </w:rPr>
        <w:t>mutation</w:t>
      </w:r>
      <w:r w:rsidR="00735D13" w:rsidRPr="00653918">
        <w:rPr>
          <w:rFonts w:ascii="Baskerville" w:hAnsi="Baskerville" w:cs="Baskerville"/>
          <w:sz w:val="22"/>
          <w:szCs w:val="22"/>
        </w:rPr>
        <w:fldChar w:fldCharType="begin" w:fldLock="1"/>
      </w:r>
      <w:r w:rsidR="00F3024F">
        <w:rPr>
          <w:rFonts w:ascii="Baskerville" w:hAnsi="Baskerville" w:cs="Baskerville"/>
          <w:sz w:val="22"/>
          <w:szCs w:val="22"/>
        </w:rPr>
        <w:instrText>ADDIN CSL_CITATION { "citationItems" : [ { "id" : "ITEM-1", "itemData" : { "DOI" : "10.1002/ana.24520", "ISSN" : "03645134", "PMID" : "26369628", "abstract" : "We report two patients with drug-resistant epilepsy, caused by KCNT1 mutations, who were treated with quinidine. Both mutations manifested gain of function In-vitro, showing increased current that was reduced by quinidine. One, who had epilepsy of infancy with migrating focal seizures, had 80% reduction in seizure frequency. The other, who had a novel phenotype, with severe nocturnal focal and secondary generalized seizures starting in early childhood with developmental regression, did not improve. While quinidine represents an encouraging opportunity for therapeutic benefits, our experience suggests caution in its application and supports the need to identify more targeted drugs for KCNT1 epilepsies. This article is protected by copyright. All rights reserved.", "author" : [ { "dropping-particle" : "", "family" : "Mikati", "given" : "Mohamad a", "non-dropping-particle" : "", "parse-names" : false, "suffix" : "" }, { "dropping-particle" : "", "family" : "Jiang", "given" : "Yong-hui", "non-dropping-particle" : "", "parse-names" : false, "suffix" : "" }, { "dropping-particle" : "", "family" : "Carboni", "given" : "Michael", "non-dropping-particle" : "", "parse-names" : false, "suffix" : "" }, { "dropping-particle" : "", "family" : "Shashi", "given" : "Vandana", "non-dropping-particle" : "", "parse-names" : false, "suffix" : "" }, { "dropping-particle" : "", "family" : "Petrovski", "given" : "Slave", "non-dropping-particle" : "", "parse-names" : false, "suffix" : "" }, { "dropping-particle" : "", "family" : "Spillmann", "given" : "Rebecca", "non-dropping-particle" : "", "parse-names" : false, "suffix" : "" }, { "dropping-particle" : "", "family" : "Milligan", "given" : "Carol J", "non-dropping-particle" : "", "parse-names" : false, "suffix" : "" }, { "dropping-particle" : "", "family" : "Li", "given" : "Melody", "non-dropping-particle" : "", "parse-names" : false, "suffix" : "" }, { "dropping-particle" : "", "family" : "Grefe", "given" : "Annette", "non-dropping-particle" : "", "parse-names" : false, "suffix" : "" }, { "dropping-particle" : "", "family" : "McConkie", "given" : "Allyn", "non-dropping-particle" : "", "parse-names" : false, "suffix" : "" }, { "dropping-particle" : "", "family" : "Berkovic", "given" : "Samuel", "non-dropping-particle" : "", "parse-names" : false, "suffix" : "" }, { "dropping-particle" : "", "family" : "Scheffer", "given" : "Ingrid", "non-dropping-particle" : "", "parse-names" : false, "suffix" : "" }, { "dropping-particle" : "", "family" : "Mullen", "given" : "Saul", "non-dropping-particle" : "", "parse-names" : false, "suffix" : "" }, { "dropping-particle" : "", "family" : "Bonner", "given" : "Melanie", "non-dropping-particle" : "", "parse-names" : false, "suffix" : "" }, { "dropping-particle" : "", "family" : "Petrou", "given" : "Steven", "non-dropping-particle" : "", "parse-names" : false, "suffix" : "" }, { "dropping-particle" : "", "family" : "Goldstein", "given" : "David", "non-dropping-particle" : "", "parse-names" : false, "suffix" : "" } ], "container-title" : "Annals of Neurology", "id" : "ITEM-1", "issued" : { "date-parts" : [ [ "2015" ] ] }, "page" : "n/a-n/a", "title" : "Quinidine in the treatment of KCNT1 positive epilepsies", "type" : "article-journal" }, "uris" : [ "http://www.mendeley.com/documents/?uuid=34800664-9f68-4301-9636-62d8bb2cbaaa" ] } ], "mendeley" : { "formattedCitation" : "[56]", "manualFormatting" : "[54]", "plainTextFormattedCitation" : "[56]", "previouslyFormattedCitation" : "[55]" }, "properties" : { "noteIndex" : 0 }, "schema" : "https://github.com/citation-style-language/schema/raw/master/csl-citation.json" }</w:instrText>
      </w:r>
      <w:r w:rsidR="00735D13" w:rsidRPr="00653918">
        <w:rPr>
          <w:rFonts w:ascii="Baskerville" w:hAnsi="Baskerville" w:cs="Baskerville"/>
          <w:sz w:val="22"/>
          <w:szCs w:val="22"/>
        </w:rPr>
        <w:fldChar w:fldCharType="separate"/>
      </w:r>
      <w:r w:rsidR="005431EC" w:rsidRPr="005431EC">
        <w:rPr>
          <w:rFonts w:ascii="Baskerville" w:hAnsi="Baskerville" w:cs="Baskerville"/>
          <w:noProof/>
          <w:sz w:val="22"/>
          <w:szCs w:val="22"/>
        </w:rPr>
        <w:t>[54]</w:t>
      </w:r>
      <w:r w:rsidR="00735D13" w:rsidRPr="00653918">
        <w:rPr>
          <w:rFonts w:ascii="Baskerville" w:hAnsi="Baskerville" w:cs="Baskerville"/>
          <w:sz w:val="22"/>
          <w:szCs w:val="22"/>
        </w:rPr>
        <w:fldChar w:fldCharType="end"/>
      </w:r>
      <w:r w:rsidR="005319A1">
        <w:rPr>
          <w:rFonts w:ascii="Baskerville" w:hAnsi="Baskerville" w:cs="Baskerville"/>
          <w:sz w:val="22"/>
          <w:szCs w:val="22"/>
        </w:rPr>
        <w:t>*</w:t>
      </w:r>
      <w:r w:rsidR="0072098B" w:rsidRPr="00653918">
        <w:rPr>
          <w:rFonts w:ascii="Baskerville" w:hAnsi="Baskerville" w:cs="Baskerville"/>
          <w:sz w:val="22"/>
          <w:szCs w:val="22"/>
        </w:rPr>
        <w:t xml:space="preserve">. </w:t>
      </w:r>
      <w:r w:rsidR="007C7A88" w:rsidRPr="00653918">
        <w:rPr>
          <w:rFonts w:ascii="Baskerville" w:hAnsi="Baskerville" w:cs="Baskerville"/>
          <w:sz w:val="22"/>
          <w:szCs w:val="22"/>
        </w:rPr>
        <w:t>The</w:t>
      </w:r>
      <w:r w:rsidR="009A02C8" w:rsidRPr="00653918">
        <w:rPr>
          <w:rFonts w:ascii="Baskerville" w:hAnsi="Baskerville" w:cs="Baskerville"/>
          <w:sz w:val="22"/>
          <w:szCs w:val="22"/>
        </w:rPr>
        <w:t xml:space="preserve"> epilepsy phenotypes were</w:t>
      </w:r>
      <w:r w:rsidR="00B270E5" w:rsidRPr="00653918">
        <w:rPr>
          <w:rFonts w:ascii="Baskerville" w:hAnsi="Baskerville" w:cs="Baskerville"/>
          <w:sz w:val="22"/>
          <w:szCs w:val="22"/>
        </w:rPr>
        <w:t xml:space="preserve"> </w:t>
      </w:r>
      <w:r w:rsidR="00735D13" w:rsidRPr="00653918">
        <w:rPr>
          <w:rFonts w:ascii="Baskerville" w:hAnsi="Baskerville" w:cs="Baskerville"/>
          <w:sz w:val="22"/>
          <w:szCs w:val="22"/>
        </w:rPr>
        <w:t>severe nocturnal seizures</w:t>
      </w:r>
      <w:r w:rsidR="007C7A88" w:rsidRPr="00653918">
        <w:rPr>
          <w:rFonts w:ascii="Baskerville" w:hAnsi="Baskerville" w:cs="Baskerville"/>
          <w:sz w:val="22"/>
          <w:szCs w:val="22"/>
        </w:rPr>
        <w:t xml:space="preserve"> </w:t>
      </w:r>
      <w:r w:rsidR="007F7FE5" w:rsidRPr="00653918">
        <w:rPr>
          <w:rFonts w:ascii="Baskerville" w:hAnsi="Baskerville" w:cs="Baskerville"/>
          <w:sz w:val="22"/>
          <w:szCs w:val="22"/>
        </w:rPr>
        <w:t>with onset in childhood</w:t>
      </w:r>
      <w:r w:rsidR="007C7A88" w:rsidRPr="00653918">
        <w:rPr>
          <w:rFonts w:ascii="Baskerville" w:hAnsi="Baskerville" w:cs="Baskerville"/>
          <w:sz w:val="22"/>
          <w:szCs w:val="22"/>
        </w:rPr>
        <w:t xml:space="preserve">, </w:t>
      </w:r>
      <w:r w:rsidR="009A02C8" w:rsidRPr="00653918">
        <w:rPr>
          <w:rFonts w:ascii="Baskerville" w:hAnsi="Baskerville" w:cs="Baskerville"/>
          <w:sz w:val="22"/>
          <w:szCs w:val="22"/>
        </w:rPr>
        <w:t xml:space="preserve">and </w:t>
      </w:r>
      <w:r w:rsidR="0022278A">
        <w:rPr>
          <w:rFonts w:ascii="Baskerville" w:hAnsi="Baskerville" w:cs="Baskerville"/>
          <w:sz w:val="22"/>
          <w:szCs w:val="22"/>
        </w:rPr>
        <w:t xml:space="preserve">a </w:t>
      </w:r>
      <w:r w:rsidR="003E4E96">
        <w:rPr>
          <w:rFonts w:ascii="Baskerville" w:hAnsi="Baskerville" w:cs="Baskerville"/>
          <w:sz w:val="22"/>
          <w:szCs w:val="22"/>
        </w:rPr>
        <w:t>second</w:t>
      </w:r>
      <w:r w:rsidR="0022278A">
        <w:rPr>
          <w:rFonts w:ascii="Baskerville" w:hAnsi="Baskerville" w:cs="Baskerville"/>
          <w:sz w:val="22"/>
          <w:szCs w:val="22"/>
        </w:rPr>
        <w:t xml:space="preserve"> case of </w:t>
      </w:r>
      <w:r w:rsidRPr="00653918">
        <w:rPr>
          <w:rFonts w:ascii="Baskerville" w:hAnsi="Baskerville" w:cs="Baskerville"/>
          <w:sz w:val="22"/>
          <w:szCs w:val="22"/>
        </w:rPr>
        <w:t>EIMFS, due to</w:t>
      </w:r>
      <w:r w:rsidR="002F5E0A" w:rsidRPr="00653918">
        <w:rPr>
          <w:rFonts w:ascii="Baskerville" w:hAnsi="Baskerville" w:cs="Baskerville"/>
          <w:sz w:val="22"/>
          <w:szCs w:val="22"/>
        </w:rPr>
        <w:t xml:space="preserve"> Tyr796His and Lys629Asn missense mutations respectively. </w:t>
      </w:r>
      <w:r w:rsidR="00264EB4">
        <w:rPr>
          <w:rFonts w:ascii="Baskerville" w:hAnsi="Baskerville" w:cs="Baskerville"/>
          <w:sz w:val="22"/>
          <w:szCs w:val="22"/>
        </w:rPr>
        <w:t>Both</w:t>
      </w:r>
      <w:r w:rsidR="009F500F" w:rsidRPr="00653918">
        <w:rPr>
          <w:rFonts w:ascii="Baskerville" w:hAnsi="Baskerville" w:cs="Baskerville"/>
          <w:sz w:val="22"/>
          <w:szCs w:val="22"/>
        </w:rPr>
        <w:t xml:space="preserve"> mutations resulted in </w:t>
      </w:r>
      <w:r w:rsidR="00B278B5" w:rsidRPr="00653918">
        <w:rPr>
          <w:rFonts w:ascii="Baskerville" w:hAnsi="Baskerville" w:cs="Baskerville"/>
          <w:sz w:val="22"/>
          <w:szCs w:val="22"/>
        </w:rPr>
        <w:t xml:space="preserve">a </w:t>
      </w:r>
      <w:r w:rsidR="00140F2B" w:rsidRPr="00653918">
        <w:rPr>
          <w:rFonts w:ascii="Baskerville" w:hAnsi="Baskerville" w:cs="Baskerville"/>
          <w:sz w:val="22"/>
          <w:szCs w:val="22"/>
        </w:rPr>
        <w:t>gain-of-</w:t>
      </w:r>
      <w:r w:rsidR="00833CFA">
        <w:rPr>
          <w:rFonts w:ascii="Baskerville" w:hAnsi="Baskerville" w:cs="Baskerville"/>
          <w:sz w:val="22"/>
          <w:szCs w:val="22"/>
        </w:rPr>
        <w:t>function, and in both cases quinidine</w:t>
      </w:r>
      <w:r w:rsidR="0034569E" w:rsidRPr="00653918">
        <w:rPr>
          <w:rFonts w:ascii="Baskerville" w:hAnsi="Baskerville" w:cs="Baskerville"/>
          <w:sz w:val="22"/>
          <w:szCs w:val="22"/>
        </w:rPr>
        <w:t xml:space="preserve"> </w:t>
      </w:r>
      <w:r w:rsidR="00833CFA">
        <w:rPr>
          <w:rFonts w:ascii="Baskerville" w:hAnsi="Baskerville" w:cs="Baskerville"/>
          <w:sz w:val="22"/>
          <w:szCs w:val="22"/>
        </w:rPr>
        <w:t>restored</w:t>
      </w:r>
      <w:r w:rsidR="0034569E" w:rsidRPr="00653918">
        <w:rPr>
          <w:rFonts w:ascii="Baskerville" w:hAnsi="Baskerville" w:cs="Baskerville"/>
          <w:sz w:val="22"/>
          <w:szCs w:val="22"/>
        </w:rPr>
        <w:t xml:space="preserve"> </w:t>
      </w:r>
      <w:r w:rsidR="00833CFA">
        <w:rPr>
          <w:rFonts w:ascii="Baskerville" w:hAnsi="Baskerville" w:cs="Baskerville"/>
          <w:sz w:val="22"/>
          <w:szCs w:val="22"/>
        </w:rPr>
        <w:t>mutant</w:t>
      </w:r>
      <w:r w:rsidR="00DB7792" w:rsidRPr="00653918">
        <w:rPr>
          <w:rFonts w:ascii="Baskerville" w:hAnsi="Baskerville" w:cs="Baskerville"/>
          <w:sz w:val="22"/>
          <w:szCs w:val="22"/>
        </w:rPr>
        <w:t xml:space="preserve"> </w:t>
      </w:r>
      <w:r w:rsidR="008554E8" w:rsidRPr="00653918">
        <w:rPr>
          <w:rFonts w:ascii="Baskerville" w:hAnsi="Baskerville" w:cs="Baskerville"/>
          <w:sz w:val="22"/>
          <w:szCs w:val="22"/>
        </w:rPr>
        <w:t>function</w:t>
      </w:r>
      <w:r w:rsidR="00DB7792" w:rsidRPr="00653918">
        <w:rPr>
          <w:rFonts w:ascii="Baskerville" w:hAnsi="Baskerville" w:cs="Baskerville"/>
          <w:sz w:val="22"/>
          <w:szCs w:val="22"/>
        </w:rPr>
        <w:t xml:space="preserve"> toward</w:t>
      </w:r>
      <w:r w:rsidR="0034569E" w:rsidRPr="00653918">
        <w:rPr>
          <w:rFonts w:ascii="Baskerville" w:hAnsi="Baskerville" w:cs="Baskerville"/>
          <w:sz w:val="22"/>
          <w:szCs w:val="22"/>
        </w:rPr>
        <w:t xml:space="preserve"> wild-type</w:t>
      </w:r>
      <w:r w:rsidR="00833CFA">
        <w:rPr>
          <w:rFonts w:ascii="Baskerville" w:hAnsi="Baskerville" w:cs="Baskerville"/>
          <w:sz w:val="22"/>
          <w:szCs w:val="22"/>
        </w:rPr>
        <w:t xml:space="preserve"> </w:t>
      </w:r>
      <w:r w:rsidR="00833CFA" w:rsidRPr="00833CFA">
        <w:rPr>
          <w:rFonts w:ascii="Baskerville" w:hAnsi="Baskerville" w:cs="Baskerville"/>
          <w:i/>
          <w:sz w:val="22"/>
          <w:szCs w:val="22"/>
        </w:rPr>
        <w:t>in vitro</w:t>
      </w:r>
      <w:r w:rsidR="009F500F" w:rsidRPr="00653918">
        <w:rPr>
          <w:rFonts w:ascii="Baskerville" w:hAnsi="Baskerville" w:cs="Baskerville"/>
          <w:sz w:val="22"/>
          <w:szCs w:val="22"/>
        </w:rPr>
        <w:t xml:space="preserve">. </w:t>
      </w:r>
      <w:r w:rsidR="00A13F74" w:rsidRPr="00653918">
        <w:rPr>
          <w:rFonts w:ascii="Baskerville" w:hAnsi="Baskerville" w:cs="Baskerville"/>
          <w:sz w:val="22"/>
          <w:szCs w:val="22"/>
        </w:rPr>
        <w:t>However, whilst the patient with</w:t>
      </w:r>
      <w:r w:rsidR="0072098B" w:rsidRPr="00653918">
        <w:rPr>
          <w:rFonts w:ascii="Baskerville" w:hAnsi="Baskerville" w:cs="Baskerville"/>
          <w:sz w:val="22"/>
          <w:szCs w:val="22"/>
        </w:rPr>
        <w:t xml:space="preserve"> </w:t>
      </w:r>
      <w:r w:rsidR="00A13F74" w:rsidRPr="00653918">
        <w:rPr>
          <w:rFonts w:ascii="Baskerville" w:hAnsi="Baskerville" w:cs="Baskerville"/>
          <w:sz w:val="22"/>
          <w:szCs w:val="22"/>
        </w:rPr>
        <w:t>EIMFS</w:t>
      </w:r>
      <w:r w:rsidR="0072098B" w:rsidRPr="00653918">
        <w:rPr>
          <w:rFonts w:ascii="Baskerville" w:hAnsi="Baskerville" w:cs="Baskerville"/>
          <w:sz w:val="22"/>
          <w:szCs w:val="22"/>
        </w:rPr>
        <w:t xml:space="preserve"> had </w:t>
      </w:r>
      <w:r w:rsidR="00A13F74" w:rsidRPr="00653918">
        <w:rPr>
          <w:rFonts w:ascii="Baskerville" w:hAnsi="Baskerville" w:cs="Baskerville"/>
          <w:sz w:val="22"/>
          <w:szCs w:val="22"/>
        </w:rPr>
        <w:t>a</w:t>
      </w:r>
      <w:r w:rsidR="00B278B5" w:rsidRPr="00653918">
        <w:rPr>
          <w:rFonts w:ascii="Baskerville" w:hAnsi="Baskerville" w:cs="Baskerville"/>
          <w:sz w:val="22"/>
          <w:szCs w:val="22"/>
        </w:rPr>
        <w:t>n</w:t>
      </w:r>
      <w:r w:rsidR="00A13F74" w:rsidRPr="00653918">
        <w:rPr>
          <w:rFonts w:ascii="Baskerville" w:hAnsi="Baskerville" w:cs="Baskerville"/>
          <w:sz w:val="22"/>
          <w:szCs w:val="22"/>
        </w:rPr>
        <w:t xml:space="preserve"> </w:t>
      </w:r>
      <w:r w:rsidR="0072098B" w:rsidRPr="00653918">
        <w:rPr>
          <w:rFonts w:ascii="Baskerville" w:hAnsi="Baskerville" w:cs="Baskerville"/>
          <w:sz w:val="22"/>
          <w:szCs w:val="22"/>
        </w:rPr>
        <w:t>80% reduction in seizur</w:t>
      </w:r>
      <w:r w:rsidR="00A13F74" w:rsidRPr="00653918">
        <w:rPr>
          <w:rFonts w:ascii="Baskerville" w:hAnsi="Baskerville" w:cs="Baskerville"/>
          <w:sz w:val="22"/>
          <w:szCs w:val="22"/>
        </w:rPr>
        <w:t>e frequency following treatment with quinidine</w:t>
      </w:r>
      <w:r w:rsidR="00B278B5" w:rsidRPr="00653918">
        <w:rPr>
          <w:rFonts w:ascii="Baskerville" w:hAnsi="Baskerville" w:cs="Baskerville"/>
          <w:sz w:val="22"/>
          <w:szCs w:val="22"/>
        </w:rPr>
        <w:t>,</w:t>
      </w:r>
      <w:r w:rsidR="0072098B" w:rsidRPr="00653918">
        <w:rPr>
          <w:rFonts w:ascii="Baskerville" w:hAnsi="Baskerville" w:cs="Baskerville"/>
          <w:sz w:val="22"/>
          <w:szCs w:val="22"/>
        </w:rPr>
        <w:t xml:space="preserve"> </w:t>
      </w:r>
      <w:r w:rsidR="00A13F74" w:rsidRPr="00653918">
        <w:rPr>
          <w:rFonts w:ascii="Baskerville" w:hAnsi="Baskerville" w:cs="Baskerville"/>
          <w:sz w:val="22"/>
          <w:szCs w:val="22"/>
        </w:rPr>
        <w:t xml:space="preserve">the other </w:t>
      </w:r>
      <w:r w:rsidR="00B278B5" w:rsidRPr="00653918">
        <w:rPr>
          <w:rFonts w:ascii="Baskerville" w:hAnsi="Baskerville" w:cs="Baskerville"/>
          <w:sz w:val="22"/>
          <w:szCs w:val="22"/>
        </w:rPr>
        <w:t xml:space="preserve">child </w:t>
      </w:r>
      <w:r w:rsidR="00A13F74" w:rsidRPr="00653918">
        <w:rPr>
          <w:rFonts w:ascii="Baskerville" w:hAnsi="Baskerville" w:cs="Baskerville"/>
          <w:sz w:val="22"/>
          <w:szCs w:val="22"/>
        </w:rPr>
        <w:t xml:space="preserve">with nocturnal seizures </w:t>
      </w:r>
      <w:r w:rsidR="0072098B" w:rsidRPr="00653918">
        <w:rPr>
          <w:rFonts w:ascii="Baskerville" w:hAnsi="Baskerville" w:cs="Baskerville"/>
          <w:sz w:val="22"/>
          <w:szCs w:val="22"/>
        </w:rPr>
        <w:t xml:space="preserve">did not improve. </w:t>
      </w:r>
      <w:r w:rsidR="009A42B7">
        <w:rPr>
          <w:rFonts w:ascii="Baskerville" w:hAnsi="Baskerville" w:cs="Baskerville"/>
          <w:sz w:val="22"/>
          <w:szCs w:val="22"/>
        </w:rPr>
        <w:t>The reason for the</w:t>
      </w:r>
      <w:r w:rsidR="005643D9" w:rsidRPr="00653918">
        <w:rPr>
          <w:rFonts w:ascii="Baskerville" w:hAnsi="Baskerville" w:cs="Baskerville"/>
          <w:sz w:val="22"/>
          <w:szCs w:val="22"/>
        </w:rPr>
        <w:t xml:space="preserve"> discordant clinical response to quinidine in these </w:t>
      </w:r>
      <w:r w:rsidR="0010498E" w:rsidRPr="00653918">
        <w:rPr>
          <w:rFonts w:ascii="Baskerville" w:hAnsi="Baskerville" w:cs="Baskerville"/>
          <w:sz w:val="22"/>
          <w:szCs w:val="22"/>
        </w:rPr>
        <w:t xml:space="preserve">two </w:t>
      </w:r>
      <w:r w:rsidR="005643D9" w:rsidRPr="00653918">
        <w:rPr>
          <w:rFonts w:ascii="Baskerville" w:hAnsi="Baskerville" w:cs="Baskerville"/>
          <w:sz w:val="22"/>
          <w:szCs w:val="22"/>
        </w:rPr>
        <w:t xml:space="preserve">cases </w:t>
      </w:r>
      <w:r w:rsidR="00DB7792" w:rsidRPr="00653918">
        <w:rPr>
          <w:rFonts w:ascii="Baskerville" w:hAnsi="Baskerville" w:cs="Baskerville"/>
          <w:sz w:val="22"/>
          <w:szCs w:val="22"/>
        </w:rPr>
        <w:t xml:space="preserve">despite </w:t>
      </w:r>
      <w:r w:rsidR="00BD2E86">
        <w:rPr>
          <w:rFonts w:ascii="Baskerville" w:hAnsi="Baskerville" w:cs="Baskerville"/>
          <w:sz w:val="22"/>
          <w:szCs w:val="22"/>
        </w:rPr>
        <w:t>similar</w:t>
      </w:r>
      <w:r w:rsidR="00DB7792" w:rsidRPr="00653918">
        <w:rPr>
          <w:rFonts w:ascii="Baskerville" w:hAnsi="Baskerville" w:cs="Baskerville"/>
          <w:sz w:val="22"/>
          <w:szCs w:val="22"/>
        </w:rPr>
        <w:t xml:space="preserve"> </w:t>
      </w:r>
      <w:r w:rsidR="00DB7792" w:rsidRPr="00653918">
        <w:rPr>
          <w:rFonts w:ascii="Baskerville" w:hAnsi="Baskerville" w:cs="Baskerville"/>
          <w:i/>
          <w:sz w:val="22"/>
          <w:szCs w:val="22"/>
        </w:rPr>
        <w:t>in vitro</w:t>
      </w:r>
      <w:r w:rsidR="00DB7792" w:rsidRPr="00653918">
        <w:rPr>
          <w:rFonts w:ascii="Baskerville" w:hAnsi="Baskerville" w:cs="Baskerville"/>
          <w:sz w:val="22"/>
          <w:szCs w:val="22"/>
        </w:rPr>
        <w:t xml:space="preserve"> evidence for </w:t>
      </w:r>
      <w:r w:rsidR="008554E8" w:rsidRPr="00653918">
        <w:rPr>
          <w:rFonts w:ascii="Baskerville" w:hAnsi="Baskerville" w:cs="Baskerville"/>
          <w:sz w:val="22"/>
          <w:szCs w:val="22"/>
        </w:rPr>
        <w:t>efficacy</w:t>
      </w:r>
      <w:r w:rsidR="00DB7792" w:rsidRPr="00653918">
        <w:rPr>
          <w:rFonts w:ascii="Baskerville" w:hAnsi="Baskerville" w:cs="Baskerville"/>
          <w:sz w:val="22"/>
          <w:szCs w:val="22"/>
        </w:rPr>
        <w:t xml:space="preserve"> </w:t>
      </w:r>
      <w:r w:rsidR="009A42B7">
        <w:rPr>
          <w:rFonts w:ascii="Baskerville" w:hAnsi="Baskerville" w:cs="Baskerville"/>
          <w:sz w:val="22"/>
          <w:szCs w:val="22"/>
        </w:rPr>
        <w:t>is not known, and highlights the need to consider the functional impact of mutations within a more systems-wide context</w:t>
      </w:r>
      <w:r w:rsidR="00361CB9" w:rsidRPr="00653918">
        <w:rPr>
          <w:rFonts w:ascii="Baskerville" w:hAnsi="Baskerville" w:cs="Baskerville"/>
          <w:sz w:val="22"/>
          <w:szCs w:val="22"/>
        </w:rPr>
        <w:t xml:space="preserve">. </w:t>
      </w:r>
    </w:p>
    <w:p w14:paraId="3D551DF6" w14:textId="77777777" w:rsidR="00887BB7" w:rsidRPr="00653918" w:rsidRDefault="00887BB7" w:rsidP="005669D3">
      <w:pPr>
        <w:spacing w:line="360" w:lineRule="auto"/>
        <w:jc w:val="both"/>
        <w:rPr>
          <w:rFonts w:ascii="Baskerville" w:hAnsi="Baskerville" w:cs="Baskerville"/>
          <w:sz w:val="22"/>
          <w:szCs w:val="22"/>
        </w:rPr>
      </w:pPr>
    </w:p>
    <w:p w14:paraId="4721C7BA" w14:textId="1148F9F2" w:rsidR="006524FE" w:rsidRPr="00653918" w:rsidRDefault="008F4DC2" w:rsidP="006524FE">
      <w:pPr>
        <w:spacing w:line="360" w:lineRule="auto"/>
        <w:jc w:val="both"/>
        <w:rPr>
          <w:rFonts w:ascii="Baskerville" w:hAnsi="Baskerville" w:cs="Baskerville"/>
          <w:sz w:val="22"/>
          <w:szCs w:val="22"/>
        </w:rPr>
      </w:pPr>
      <w:r w:rsidRPr="00653918">
        <w:rPr>
          <w:rFonts w:ascii="Baskerville" w:hAnsi="Baskerville" w:cs="Baskerville"/>
          <w:sz w:val="22"/>
          <w:szCs w:val="22"/>
        </w:rPr>
        <w:t xml:space="preserve">Other </w:t>
      </w:r>
      <w:r w:rsidR="00350EA9" w:rsidRPr="00653918">
        <w:rPr>
          <w:rFonts w:ascii="Baskerville" w:hAnsi="Baskerville" w:cs="Baskerville"/>
          <w:sz w:val="22"/>
          <w:szCs w:val="22"/>
        </w:rPr>
        <w:t xml:space="preserve">recent </w:t>
      </w:r>
      <w:r w:rsidRPr="00653918">
        <w:rPr>
          <w:rFonts w:ascii="Baskerville" w:hAnsi="Baskerville" w:cs="Baskerville"/>
          <w:sz w:val="22"/>
          <w:szCs w:val="22"/>
        </w:rPr>
        <w:t xml:space="preserve">cases </w:t>
      </w:r>
      <w:r w:rsidR="00350EA9" w:rsidRPr="00653918">
        <w:rPr>
          <w:rFonts w:ascii="Baskerville" w:hAnsi="Baskerville" w:cs="Baskerville"/>
          <w:sz w:val="22"/>
          <w:szCs w:val="22"/>
        </w:rPr>
        <w:t>exemplifying the</w:t>
      </w:r>
      <w:r w:rsidRPr="00653918">
        <w:rPr>
          <w:rFonts w:ascii="Baskerville" w:hAnsi="Baskerville" w:cs="Baskerville"/>
          <w:sz w:val="22"/>
          <w:szCs w:val="22"/>
        </w:rPr>
        <w:t xml:space="preserve"> potential of </w:t>
      </w:r>
      <w:r w:rsidR="00923FF7" w:rsidRPr="00653918">
        <w:rPr>
          <w:rFonts w:ascii="Baskerville" w:hAnsi="Baskerville" w:cs="Baskerville"/>
          <w:sz w:val="22"/>
          <w:szCs w:val="22"/>
        </w:rPr>
        <w:t>precision medicine</w:t>
      </w:r>
      <w:r w:rsidR="00B03C67">
        <w:rPr>
          <w:rFonts w:ascii="Baskerville" w:hAnsi="Baskerville" w:cs="Baskerville"/>
          <w:sz w:val="22"/>
          <w:szCs w:val="22"/>
        </w:rPr>
        <w:t xml:space="preserve"> in epilepsy</w:t>
      </w:r>
      <w:r w:rsidRPr="00653918">
        <w:rPr>
          <w:rFonts w:ascii="Baskerville" w:hAnsi="Baskerville" w:cs="Baskerville"/>
          <w:sz w:val="22"/>
          <w:szCs w:val="22"/>
        </w:rPr>
        <w:t xml:space="preserve"> have been described for patients </w:t>
      </w:r>
      <w:r w:rsidR="00C437C7" w:rsidRPr="00653918">
        <w:rPr>
          <w:rFonts w:ascii="Baskerville" w:hAnsi="Baskerville" w:cs="Baskerville"/>
          <w:sz w:val="22"/>
          <w:szCs w:val="22"/>
        </w:rPr>
        <w:t xml:space="preserve">with </w:t>
      </w:r>
      <w:r w:rsidR="00C437C7" w:rsidRPr="00653918">
        <w:rPr>
          <w:rFonts w:ascii="Baskerville" w:hAnsi="Baskerville" w:cs="Baskerville"/>
          <w:i/>
          <w:sz w:val="22"/>
          <w:szCs w:val="22"/>
        </w:rPr>
        <w:t>de novo</w:t>
      </w:r>
      <w:r w:rsidR="00C437C7" w:rsidRPr="00653918">
        <w:rPr>
          <w:rFonts w:ascii="Baskerville" w:hAnsi="Baskerville" w:cs="Baskerville"/>
          <w:sz w:val="22"/>
          <w:szCs w:val="22"/>
        </w:rPr>
        <w:t xml:space="preserve"> mutations in</w:t>
      </w:r>
      <w:r w:rsidR="00FC5516" w:rsidRPr="00653918">
        <w:rPr>
          <w:rFonts w:ascii="Baskerville" w:hAnsi="Baskerville" w:cs="Baskerville"/>
          <w:sz w:val="22"/>
          <w:szCs w:val="22"/>
        </w:rPr>
        <w:t xml:space="preserve"> </w:t>
      </w:r>
      <w:r w:rsidR="00FC5516" w:rsidRPr="00653918">
        <w:rPr>
          <w:rFonts w:ascii="Baskerville" w:hAnsi="Baskerville" w:cs="Baskerville"/>
          <w:i/>
          <w:sz w:val="22"/>
          <w:szCs w:val="22"/>
        </w:rPr>
        <w:t>GRIN2A</w:t>
      </w:r>
      <w:r w:rsidR="00A12129">
        <w:rPr>
          <w:rFonts w:ascii="Baskerville" w:hAnsi="Baskerville" w:cs="Baskerville"/>
          <w:i/>
          <w:sz w:val="22"/>
          <w:szCs w:val="22"/>
        </w:rPr>
        <w:fldChar w:fldCharType="begin" w:fldLock="1"/>
      </w:r>
      <w:r w:rsidR="00F3024F">
        <w:rPr>
          <w:rFonts w:ascii="Baskerville" w:hAnsi="Baskerville" w:cs="Baskerville"/>
          <w:i/>
          <w:sz w:val="22"/>
          <w:szCs w:val="22"/>
        </w:rPr>
        <w:instrText>ADDIN CSL_CITATION { "citationItems" : [ { "id" : "ITEM-1", "itemData" : { "DOI" : "10.1002/acn3.39", "ISSN" : "2328-9503", "PMID" : "24839611", "abstract" : "OBJECTIVE: Early-onset epileptic encephalopathies have been associated with de novo mutations of numerous ion channel genes. We employed techniques of modern translational medicine to identify a disease-causing mutation, analyze its altered behavior, and screen for therapeutic compounds to treat the proband.\\n\\nMETHODS: Three modern translational medicine tools were utilized: 1) high-throughput sequencing technology to identify a novel de novo mutation; 2) in vitro expression and electrophysiology assays to confirm the variant protein's dysfunction; and 3) screening of existing drug libraries to identify potential therapeutic compounds.\\n\\nRESULTS: A de novo GRIN2A missense mutation (c.2434C&gt;A; p.L812M) increased the charge transfer mediated by NMDA receptors containing the mutant GluN2A-L812M subunit. In vitro analysis with NMDA receptor blockers indicated that GLuN2A-L812M-containing NMDARs retained their sensitivity to the use-dependent channel blocker memantine; while screening of a previously reported GRIN2A mutation (N615K) with these compounds produced contrasting results. Consistent with these data, adjunct memantine therapy reduced our proband's seizure burden.\\n\\nINTERPRETATION: This case exemplifies the potential for personalized genomics and therapeutics to be utilized for the early diagnosis and treatment of infantile-onset neurological disease.", "author" : [ { "dropping-particle" : "", "family" : "Pierson", "given" : "Tyler Mark", "non-dropping-particle" : "", "parse-names" : false, "suffix" : "" }, { "dropping-particle" : "", "family" : "Yuan", "given" : "Hongjie", "non-dropping-particle" : "", "parse-names" : false, "suffix" : "" }, { "dropping-particle" : "", "family" : "Marsh", "given" : "Eric D", "non-dropping-particle" : "", "parse-names" : false, "suffix" : "" }, { "dropping-particle" : "", "family" : "Fuentes-Fajardo", "given" : "Karin", "non-dropping-particle" : "", "parse-names" : false, "suffix" : "" }, { "dropping-particle" : "", "family" : "Adams", "given" : "David R", "non-dropping-particle" : "", "parse-names" : false, "suffix" : "" }, { "dropping-particle" : "", "family" : "Markello", "given" : "Thomas", "non-dropping-particle" : "", "parse-names" : false, "suffix" : "" }, { "dropping-particle" : "", "family" : "Golas", "given" : "Gretchen", "non-dropping-particle" : "", "parse-names" : false, "suffix" : "" }, { "dropping-particle" : "", "family" : "Simeonov", "given" : "Dimitre R", "non-dropping-particle" : "", "parse-names" : false, "suffix" : "" }, { "dropping-particle" : "", "family" : "Holloman", "given" : "Conisha", "non-dropping-particle" : "", "parse-names" : false, "suffix" : "" }, { "dropping-particle" : "", "family" : "Tankovic", "given" : "Anel", "non-dropping-particle" : "", "parse-names" : false, "suffix" : "" }, { "dropping-particle" : "", "family" : "Karamchandani", "given" : "Manish M", "non-dropping-particle" : "", "parse-names" : false, "suffix" : "" }, { "dropping-particle" : "", "family" : "Schreiber", "given" : "John M", "non-dropping-particle" : "", "parse-names" : false, "suffix" : "" }, { "dropping-particle" : "", "family" : "Mullikin", "given" : "James C", "non-dropping-particle" : "", "parse-names" : false, "suffix" : "" }, { "dropping-particle" : "", "family" : "Tifft", "given" : "Cynthia J", "non-dropping-particle" : "", "parse-names" : false, "suffix" : "" }, { "dropping-particle" : "", "family" : "Toro", "given" : "Camilo", "non-dropping-particle" : "", "parse-names" : false, "suffix" : "" }, { "dropping-particle" : "", "family" : "Boerkoel", "given" : "Cornelius F", "non-dropping-particle" : "", "parse-names" : false, "suffix" : "" }, { "dropping-particle" : "", "family" : "Traynelis", "given" : "Stephen F", "non-dropping-particle" : "", "parse-names" : false, "suffix" : "" }, { "dropping-particle" : "", "family" : "Gahl", "given" : "William A", "non-dropping-particle" : "", "parse-names" : false, "suffix" : "" } ], "container-title" : "Annals of clinical and translational neurology", "id" : "ITEM-1", "issue" : "3", "issued" : { "date-parts" : [ [ "2014" ] ] }, "page" : "190-198", "title" : "GRIN2A mutation and early-onset epileptic encephalopathy: personalized therapy with memantine.", "type" : "article-journal", "volume" : "1" }, "uris" : [ "http://www.mendeley.com/documents/?uuid=388760cd-634f-4914-8bd0-b6ed89f72a13" ] } ], "mendeley" : { "formattedCitation" : "[57]", "manualFormatting" : "[55]", "plainTextFormattedCitation" : "[57]", "previouslyFormattedCitation" : "[56]" }, "properties" : { "noteIndex" : 0 }, "schema" : "https://github.com/citation-style-language/schema/raw/master/csl-citation.json" }</w:instrText>
      </w:r>
      <w:r w:rsidR="00A12129">
        <w:rPr>
          <w:rFonts w:ascii="Baskerville" w:hAnsi="Baskerville" w:cs="Baskerville"/>
          <w:i/>
          <w:sz w:val="22"/>
          <w:szCs w:val="22"/>
        </w:rPr>
        <w:fldChar w:fldCharType="separate"/>
      </w:r>
      <w:r w:rsidR="00A12129" w:rsidRPr="00A12129">
        <w:rPr>
          <w:rFonts w:ascii="Baskerville" w:hAnsi="Baskerville" w:cs="Baskerville"/>
          <w:noProof/>
          <w:sz w:val="22"/>
          <w:szCs w:val="22"/>
        </w:rPr>
        <w:t>[55]</w:t>
      </w:r>
      <w:r w:rsidR="00A12129">
        <w:rPr>
          <w:rFonts w:ascii="Baskerville" w:hAnsi="Baskerville" w:cs="Baskerville"/>
          <w:i/>
          <w:sz w:val="22"/>
          <w:szCs w:val="22"/>
        </w:rPr>
        <w:fldChar w:fldCharType="end"/>
      </w:r>
      <w:r w:rsidR="00FC5516" w:rsidRPr="00653918">
        <w:rPr>
          <w:rFonts w:ascii="Baskerville" w:hAnsi="Baskerville" w:cs="Baskerville"/>
          <w:sz w:val="22"/>
          <w:szCs w:val="22"/>
        </w:rPr>
        <w:t xml:space="preserve"> and</w:t>
      </w:r>
      <w:r w:rsidR="00C437C7" w:rsidRPr="00653918">
        <w:rPr>
          <w:rFonts w:ascii="Baskerville" w:hAnsi="Baskerville" w:cs="Baskerville"/>
          <w:sz w:val="22"/>
          <w:szCs w:val="22"/>
        </w:rPr>
        <w:t xml:space="preserve"> </w:t>
      </w:r>
      <w:r w:rsidR="00C437C7" w:rsidRPr="00653918">
        <w:rPr>
          <w:rFonts w:ascii="Baskerville" w:hAnsi="Baskerville" w:cs="Baskerville"/>
          <w:i/>
          <w:sz w:val="22"/>
          <w:szCs w:val="22"/>
        </w:rPr>
        <w:t>GRIN2D</w:t>
      </w:r>
      <w:r w:rsidR="009050EF" w:rsidRPr="00653918">
        <w:rPr>
          <w:rFonts w:ascii="Baskerville" w:hAnsi="Baskerville" w:cs="Baskerville"/>
          <w:sz w:val="22"/>
          <w:szCs w:val="22"/>
        </w:rPr>
        <w:fldChar w:fldCharType="begin" w:fldLock="1"/>
      </w:r>
      <w:r w:rsidR="00880237">
        <w:rPr>
          <w:rFonts w:ascii="Baskerville" w:hAnsi="Baskerville" w:cs="Baskerville"/>
          <w:sz w:val="22"/>
          <w:szCs w:val="22"/>
        </w:rPr>
        <w:instrText>ADDIN CSL_CITATION { "citationItems" : [ { "id" : "ITEM-1", "itemData" : { "DOI" : "10.1016/j.ajhg.2016.07.013", "ISBN" : "1537-6605 (Electronic)\r0002-9297 (Linking)", "ISSN" : "00029297", "PMID" : "27616483", "author" : [ { "dropping-particle" : "", "family" : "Li", "given" : "Dong", "non-dropping-particle" : "", "parse-names" : false, "suffix" : "" }, { "dropping-particle" : "", "family" : "Yuan", "given" : "Hongjie", "non-dropping-particle" : "", "parse-names" : false, "suffix" : "" }, { "dropping-particle" : "", "family" : "Ortiz-Gonzalez", "given" : "Xilma\u00a0R.", "non-dropping-particle" : "", "parse-names" : false, "suffix" : "" }, { "dropping-particle" : "", "family" : "Marsh", "given" : "Eric\u00a0D.", "non-dropping-particle" : "", "parse-names" : false, "suffix" : "" }, { "dropping-particle" : "", "family" : "Tian", "given" : "Lifeng", "non-dropping-particle" : "", "parse-names" : false, "suffix" : "" }, { "dropping-particle" : "", "family" : "McCormick", "given" : "Elizabeth\u00a0M.", "non-dropping-particle" : "", "parse-names" : false, "suffix" : "" }, { "dropping-particle" : "", "family" : "Kosobucki", "given" : "Gabrielle\u00a0J.", "non-dropping-particle" : "", "parse-names" : false, "suffix" : "" }, { "dropping-particle" : "", "family" : "Chen", "given" : "Wenjuan", "non-dropping-particle" : "", "parse-names" : false, "suffix" : "" }, { "dropping-particle" : "", "family" : "Schulien", "given" : "Anthony\u00a0J.", "non-dropping-particle" : "", "parse-names" : false, "suffix" : "" }, { "dropping-particle" : "", "family" : "Chiavacci", "given" : "Rosetta", "non-dropping-particle" : "", "parse-names" : false, "suffix" : "" }, { "dropping-particle" : "", "family" : "Tankovic", "given" : "Anel", "non-dropping-particle" : "", "parse-names" : false, "suffix" : "" }, { "dropping-particle" : "", "family" : "Naase", "given" : "Claudia", "non-dropping-particle" : "", "parse-names" : false, "suffix" : "" }, { "dropping-particle" : "", "family" : "Brueckner", "given" : "Frieder", "non-dropping-particle" : "", "parse-names" : false, "suffix" : "" }, { "dropping-particle" : "", "family" : "von\u00a0St\u00fclpnagel-Steinbeis", "given" : "Celina", "non-dropping-particle" : "", "parse-names" : false, "suffix" : "" }, { "dropping-particle" : "", "family" : "Hu", "given" : "Chun", "non-dropping-particle" : "", "parse-names" : false, "suffix" : "" }, { "dropping-particle" : "", "family" : "Kusumoto", "given" : "Hirofumi", "non-dropping-particle" : "", "parse-names" : false, "suffix" : "" }, { "dropping-particle" : "", "family" : "Hedrich", "given" : "Ulrike\u00a0B.S.", "non-dropping-particle" : "", "parse-names" : false, "suffix" : "" }, { "dropping-particle" : "", "family" : "Elsen", "given" : "Gina", "non-dropping-particle" : "", "parse-names" : false, "suffix" : "" }, { "dropping-particle" : "", "family" : "H\u00f6rtnagel", "given" : "Konstanze", "non-dropping-particle" : "", "parse-names" : false, "suffix" : "" }, { "dropping-particle" : "", "family" : "Aizenman", "given" : "Elias", "non-dropping-particle" : "", "parse-names" : false, "suffix" : "" }, { "dropping-particle" : "", "family" : "Lemke", "given" : "Johannes\u00a0R.", "non-dropping-particle" : "", "parse-names" : false, "suffix" : "" }, { "dropping-particle" : "", "family" : "Hakonarson", "given" : "Hakon", "non-dropping-particle" : "", "parse-names" : false, "suffix" : "" }, { "dropping-particle" : "", "family" : "Traynelis", "given" : "Stephen\u00a0F.", "non-dropping-particle" : "", "parse-names" : false, "suffix" : "" }, { "dropping-particle" : "", "family" : "Falk", "given" : "Marni\u00a0J.", "non-dropping-particle" : "", "parse-names" : false, "suffix" : "" } ], "container-title" : "The American Journal of Human Genetics", "id" : "ITEM-1", "issued" : { "date-parts" : [ [ "2016" ] ] }, "page" : "1-15", "title" : "GRIN2D Recurrent De Novo Dominant Mutation Causes a Severe Epileptic Encephalopathy Treatable with NMDA Receptor Channel Blockers", "type" : "article-journal" }, "uris" : [ "http://www.mendeley.com/documents/?uuid=b5735dc6-fc95-47f0-8e98-7c618893e4ba" ] } ], "mendeley" : { "formattedCitation" : "[18]", "manualFormatting" : "[17]", "plainTextFormattedCitation" : "[18]", "previouslyFormattedCitation" : "[18]" }, "properties" : { "noteIndex" : 0 }, "schema" : "https://github.com/citation-style-language/schema/raw/master/csl-citation.json" }</w:instrText>
      </w:r>
      <w:r w:rsidR="009050EF" w:rsidRPr="00653918">
        <w:rPr>
          <w:rFonts w:ascii="Baskerville" w:hAnsi="Baskerville" w:cs="Baskerville"/>
          <w:sz w:val="22"/>
          <w:szCs w:val="22"/>
        </w:rPr>
        <w:fldChar w:fldCharType="separate"/>
      </w:r>
      <w:r w:rsidR="005431EC" w:rsidRPr="005431EC">
        <w:rPr>
          <w:rFonts w:ascii="Baskerville" w:hAnsi="Baskerville" w:cs="Baskerville"/>
          <w:noProof/>
          <w:sz w:val="22"/>
          <w:szCs w:val="22"/>
        </w:rPr>
        <w:t>[17]</w:t>
      </w:r>
      <w:r w:rsidR="009050EF" w:rsidRPr="00653918">
        <w:rPr>
          <w:rFonts w:ascii="Baskerville" w:hAnsi="Baskerville" w:cs="Baskerville"/>
          <w:sz w:val="22"/>
          <w:szCs w:val="22"/>
        </w:rPr>
        <w:fldChar w:fldCharType="end"/>
      </w:r>
      <w:r w:rsidR="00A91DC7">
        <w:rPr>
          <w:rFonts w:ascii="Baskerville" w:hAnsi="Baskerville" w:cs="Baskerville"/>
          <w:sz w:val="22"/>
          <w:szCs w:val="22"/>
        </w:rPr>
        <w:t>*</w:t>
      </w:r>
      <w:r w:rsidR="00C437C7" w:rsidRPr="00653918">
        <w:rPr>
          <w:rFonts w:ascii="Baskerville" w:hAnsi="Baskerville" w:cs="Baskerville"/>
          <w:sz w:val="22"/>
          <w:szCs w:val="22"/>
        </w:rPr>
        <w:t xml:space="preserve"> treated with NMDA receptor blockers</w:t>
      </w:r>
      <w:r w:rsidR="00FC5516" w:rsidRPr="00653918">
        <w:rPr>
          <w:rFonts w:ascii="Baskerville" w:hAnsi="Baskerville" w:cs="Baskerville"/>
          <w:sz w:val="22"/>
          <w:szCs w:val="22"/>
        </w:rPr>
        <w:t xml:space="preserve">, </w:t>
      </w:r>
      <w:r w:rsidR="00C437C7" w:rsidRPr="00653918">
        <w:rPr>
          <w:rFonts w:ascii="Baskerville" w:hAnsi="Baskerville" w:cs="Baskerville"/>
          <w:sz w:val="22"/>
          <w:szCs w:val="22"/>
        </w:rPr>
        <w:t xml:space="preserve">and </w:t>
      </w:r>
      <w:r w:rsidR="008742B7" w:rsidRPr="00653918">
        <w:rPr>
          <w:rFonts w:ascii="Baskerville" w:hAnsi="Baskerville" w:cs="Baskerville"/>
          <w:sz w:val="22"/>
          <w:szCs w:val="22"/>
        </w:rPr>
        <w:t xml:space="preserve">in </w:t>
      </w:r>
      <w:r w:rsidR="00C437C7" w:rsidRPr="00653918">
        <w:rPr>
          <w:rFonts w:ascii="Baskerville" w:hAnsi="Baskerville" w:cs="Baskerville"/>
          <w:i/>
          <w:sz w:val="22"/>
          <w:szCs w:val="22"/>
        </w:rPr>
        <w:t>SCN8A</w:t>
      </w:r>
      <w:r w:rsidR="00C437C7" w:rsidRPr="00653918">
        <w:rPr>
          <w:rFonts w:ascii="Baskerville" w:hAnsi="Baskerville" w:cs="Baskerville"/>
          <w:sz w:val="22"/>
          <w:szCs w:val="22"/>
        </w:rPr>
        <w:t xml:space="preserve"> </w:t>
      </w:r>
      <w:r w:rsidR="00FC5516" w:rsidRPr="00653918">
        <w:rPr>
          <w:rFonts w:ascii="Baskerville" w:hAnsi="Baskerville" w:cs="Baskerville"/>
          <w:sz w:val="22"/>
          <w:szCs w:val="22"/>
        </w:rPr>
        <w:t xml:space="preserve">associated epilepsy </w:t>
      </w:r>
      <w:r w:rsidR="00C437C7" w:rsidRPr="00653918">
        <w:rPr>
          <w:rFonts w:ascii="Baskerville" w:hAnsi="Baskerville" w:cs="Baskerville"/>
          <w:sz w:val="22"/>
          <w:szCs w:val="22"/>
        </w:rPr>
        <w:t>treated with phenytoin</w:t>
      </w:r>
      <w:r w:rsidR="000A1FB6">
        <w:rPr>
          <w:rFonts w:ascii="Baskerville" w:hAnsi="Baskerville" w:cs="Baskerville"/>
          <w:sz w:val="22"/>
          <w:szCs w:val="22"/>
        </w:rPr>
        <w:fldChar w:fldCharType="begin" w:fldLock="1"/>
      </w:r>
      <w:r w:rsidR="00F3024F">
        <w:rPr>
          <w:rFonts w:ascii="Baskerville" w:hAnsi="Baskerville" w:cs="Baskerville"/>
          <w:sz w:val="22"/>
          <w:szCs w:val="22"/>
        </w:rPr>
        <w:instrText>ADDIN CSL_CITATION { "citationItems" : [ { "id" : "ITEM-1", "itemData" : { "DOI" : "10.1007/s13311-015-0372-8", "ISBN" : "1331101503862", "ISSN" : "18787479", "PMID" : "26252990", "abstract" : "Mutations in SCN8A are associated with epilepsy and intellectual disability. SCN8A encodes for sodium channel Nav1.6, which is located in the brain. Gain-of-function missense mutations in SCN8A are thought to lead to increased firing of excitatory neurons containing Nav1.6, and therefore to lead to increased seizure susceptibility. We hypothesized that sodium channel blockers could have a beneficial effect in patients with SCN8A-related epilepsy by blocking the overactive Nav1.6 and thereby counteracting the effect of the mutation. Herein, we describe 4 patients with a missense SCN8A mutation and epilepsy who all show a remarkably good response on high doses of phenytoin and loss of seizure control when phenytoin medication was reduced, while side effects were relatively mild. In 2 patients, repeated withdrawal of phenytoin led to the reoccurrence of seizures. Based on the findings in these patients and the underlying molecular mechanism we consider treatment with (high-dose) phenytoin as a possible treatment option in patients with difficult-to-control seizures due to an SCN8A mutation.", "author" : [ { "dropping-particle" : "", "family" : "Boerma", "given" : "Ragna S.", "non-dropping-particle" : "", "parse-names" : false, "suffix" : "" }, { "dropping-particle" : "", "family" : "Braun", "given" : "Kees P.", "non-dropping-particle" : "", "parse-names" : false, "suffix" : "" }, { "dropping-particle" : "", "family" : "Broek", "given" : "Maarten P H", "non-dropping-particle" : "van de", "parse-names" : false, "suffix" : "" }, { "dropping-particle" : "", "family" : "Berkestijn", "given" : "Frederique M C", "non-dropping-particle" : "van", "parse-names" : false, "suffix" : "" }, { "dropping-particle" : "", "family" : "Swinkels", "given" : "Marielle E.", "non-dropping-particle" : "", "parse-names" : false, "suffix" : "" }, { "dropping-particle" : "", "family" : "Hagebeuk", "given" : "Eveline O.", "non-dropping-particle" : "", "parse-names" : false, "suffix" : "" }, { "dropping-particle" : "", "family" : "Lindhout", "given" : "Dick", "non-dropping-particle" : "", "parse-names" : false, "suffix" : "" }, { "dropping-particle" : "", "family" : "Kempen", "given" : "Marjan", "non-dropping-particle" : "van", "parse-names" : false, "suffix" : "" }, { "dropping-particle" : "", "family" : "Boon", "given" : "Maartje", "non-dropping-particle" : "", "parse-names" : false, "suffix" : "" }, { "dropping-particle" : "", "family" : "Nicolai", "given" : "Joost", "non-dropping-particle" : "", "parse-names" : false, "suffix" : "" }, { "dropping-particle" : "", "family" : "Kovel", "given" : "Carolien G.", "non-dropping-particle" : "de", "parse-names" : false, "suffix" : "" }, { "dropping-particle" : "", "family" : "Brilstra", "given" : "Eva H.", "non-dropping-particle" : "", "parse-names" : false, "suffix" : "" }, { "dropping-particle" : "", "family" : "Koeleman", "given" : "Bobby P C", "non-dropping-particle" : "", "parse-names" : false, "suffix" : "" } ], "container-title" : "Neurotherapeutics", "id" : "ITEM-1", "issue" : "1", "issued" : { "date-parts" : [ [ "2016" ] ] }, "page" : "192-197", "title" : "Remarkable Phenytoin Sensitivity in 4 Children with SCN8A-related Epilepsy: A Molecular Neuropharmacological Approach", "type" : "article-journal", "volume" : "13" }, "uris" : [ "http://www.mendeley.com/documents/?uuid=4cc8e3d5-eaef-464d-837b-9cad110d9372" ] } ], "mendeley" : { "formattedCitation" : "[58]", "plainTextFormattedCitation" : "[58]", "previouslyFormattedCitation" : "[57]" }, "properties" : { "noteIndex" : 0 }, "schema" : "https://github.com/citation-style-language/schema/raw/master/csl-citation.json" }</w:instrText>
      </w:r>
      <w:r w:rsidR="000A1FB6">
        <w:rPr>
          <w:rFonts w:ascii="Baskerville" w:hAnsi="Baskerville" w:cs="Baskerville"/>
          <w:sz w:val="22"/>
          <w:szCs w:val="22"/>
        </w:rPr>
        <w:fldChar w:fldCharType="separate"/>
      </w:r>
      <w:r w:rsidR="00F3024F" w:rsidRPr="00F3024F">
        <w:rPr>
          <w:rFonts w:ascii="Baskerville" w:hAnsi="Baskerville" w:cs="Baskerville"/>
          <w:noProof/>
          <w:sz w:val="22"/>
          <w:szCs w:val="22"/>
        </w:rPr>
        <w:t>[58]</w:t>
      </w:r>
      <w:r w:rsidR="000A1FB6">
        <w:rPr>
          <w:rFonts w:ascii="Baskerville" w:hAnsi="Baskerville" w:cs="Baskerville"/>
          <w:sz w:val="22"/>
          <w:szCs w:val="22"/>
        </w:rPr>
        <w:fldChar w:fldCharType="end"/>
      </w:r>
      <w:r w:rsidR="00A91DC7">
        <w:rPr>
          <w:rFonts w:ascii="Baskerville" w:hAnsi="Baskerville" w:cs="Baskerville"/>
          <w:sz w:val="22"/>
          <w:szCs w:val="22"/>
        </w:rPr>
        <w:t>*</w:t>
      </w:r>
      <w:r w:rsidR="00C437C7" w:rsidRPr="00653918">
        <w:rPr>
          <w:rFonts w:ascii="Baskerville" w:hAnsi="Baskerville" w:cs="Baskerville"/>
          <w:sz w:val="22"/>
          <w:szCs w:val="22"/>
        </w:rPr>
        <w:t xml:space="preserve">. </w:t>
      </w:r>
      <w:r w:rsidR="003063D4">
        <w:rPr>
          <w:rFonts w:ascii="Baskerville" w:hAnsi="Baskerville" w:cs="Baskerville"/>
          <w:sz w:val="22"/>
          <w:szCs w:val="22"/>
        </w:rPr>
        <w:t xml:space="preserve">Thus, </w:t>
      </w:r>
      <w:r w:rsidR="006524FE" w:rsidRPr="00653918">
        <w:rPr>
          <w:rFonts w:ascii="Baskerville" w:hAnsi="Baskerville" w:cs="Baskerville"/>
          <w:sz w:val="22"/>
          <w:szCs w:val="22"/>
        </w:rPr>
        <w:t xml:space="preserve">Pierson and colleagues reported a child with epileptic encephalopathy and severe cognitive impairment associated with a gain-of-function Leu812Met missense mutation in </w:t>
      </w:r>
      <w:r w:rsidR="006524FE" w:rsidRPr="00653918">
        <w:rPr>
          <w:rFonts w:ascii="Baskerville" w:hAnsi="Baskerville" w:cs="Baskerville"/>
          <w:i/>
          <w:sz w:val="22"/>
          <w:szCs w:val="22"/>
        </w:rPr>
        <w:t>GRIN2A</w:t>
      </w:r>
      <w:r w:rsidR="006524FE" w:rsidRPr="00653918">
        <w:rPr>
          <w:rFonts w:ascii="Baskerville" w:hAnsi="Baskerville" w:cs="Baskerville"/>
          <w:sz w:val="22"/>
          <w:szCs w:val="22"/>
        </w:rPr>
        <w:t xml:space="preserve">. </w:t>
      </w:r>
      <w:r w:rsidR="006524FE" w:rsidRPr="004A4201">
        <w:rPr>
          <w:rFonts w:ascii="Baskerville" w:hAnsi="Baskerville" w:cs="Baskerville"/>
          <w:i/>
          <w:sz w:val="22"/>
          <w:szCs w:val="22"/>
        </w:rPr>
        <w:t>In vitro</w:t>
      </w:r>
      <w:r w:rsidR="006524FE" w:rsidRPr="00653918">
        <w:rPr>
          <w:rFonts w:ascii="Baskerville" w:hAnsi="Baskerville" w:cs="Baskerville"/>
          <w:sz w:val="22"/>
          <w:szCs w:val="22"/>
        </w:rPr>
        <w:t xml:space="preserve"> analysis revealed the FDA-approved NMDAR blocker memantine inhibited GluN2A-</w:t>
      </w:r>
      <w:r w:rsidR="004A4201" w:rsidRPr="00653918">
        <w:rPr>
          <w:rFonts w:ascii="Baskerville" w:hAnsi="Baskerville" w:cs="Baskerville"/>
          <w:sz w:val="22"/>
          <w:szCs w:val="22"/>
        </w:rPr>
        <w:t>Leu812Me</w:t>
      </w:r>
      <w:r w:rsidR="004A4201">
        <w:rPr>
          <w:rFonts w:ascii="Baskerville" w:hAnsi="Baskerville" w:cs="Baskerville"/>
          <w:sz w:val="22"/>
          <w:szCs w:val="22"/>
        </w:rPr>
        <w:t>t</w:t>
      </w:r>
      <w:r w:rsidR="006524FE" w:rsidRPr="00653918">
        <w:rPr>
          <w:rFonts w:ascii="Baskerville" w:hAnsi="Baskerville" w:cs="Baskerville"/>
          <w:sz w:val="22"/>
          <w:szCs w:val="22"/>
        </w:rPr>
        <w:t xml:space="preserve">-containing NMDARs and </w:t>
      </w:r>
      <w:r w:rsidR="009050EF" w:rsidRPr="00653918">
        <w:rPr>
          <w:rFonts w:ascii="Baskerville" w:hAnsi="Baskerville" w:cs="Baskerville"/>
          <w:sz w:val="22"/>
          <w:szCs w:val="22"/>
        </w:rPr>
        <w:t xml:space="preserve">treatment with oral </w:t>
      </w:r>
      <w:r w:rsidR="006524FE" w:rsidRPr="00653918">
        <w:rPr>
          <w:rFonts w:ascii="Baskerville" w:hAnsi="Baskerville" w:cs="Baskerville"/>
          <w:sz w:val="22"/>
          <w:szCs w:val="22"/>
        </w:rPr>
        <w:t xml:space="preserve">memantine </w:t>
      </w:r>
      <w:r w:rsidR="009050EF" w:rsidRPr="00653918">
        <w:rPr>
          <w:rFonts w:ascii="Baskerville" w:hAnsi="Baskerville" w:cs="Baskerville"/>
          <w:sz w:val="22"/>
          <w:szCs w:val="22"/>
        </w:rPr>
        <w:t>led to a reduction in</w:t>
      </w:r>
      <w:r w:rsidR="006524FE" w:rsidRPr="00653918">
        <w:rPr>
          <w:rFonts w:ascii="Baskerville" w:hAnsi="Baskerville" w:cs="Baskerville"/>
          <w:sz w:val="22"/>
          <w:szCs w:val="22"/>
        </w:rPr>
        <w:t xml:space="preserve"> the child’s seizure burden. </w:t>
      </w:r>
      <w:r w:rsidR="00C129AF" w:rsidRPr="00653918">
        <w:rPr>
          <w:rFonts w:ascii="Baskerville" w:hAnsi="Baskerville" w:cs="Baskerville"/>
          <w:sz w:val="22"/>
          <w:szCs w:val="22"/>
        </w:rPr>
        <w:t xml:space="preserve">Li </w:t>
      </w:r>
      <w:r w:rsidR="0012753B" w:rsidRPr="00653918">
        <w:rPr>
          <w:rFonts w:ascii="Baskerville" w:hAnsi="Baskerville" w:cs="Baskerville"/>
          <w:sz w:val="22"/>
          <w:szCs w:val="22"/>
        </w:rPr>
        <w:t xml:space="preserve">and </w:t>
      </w:r>
      <w:r w:rsidR="00176336" w:rsidRPr="00653918">
        <w:rPr>
          <w:rFonts w:ascii="Baskerville" w:hAnsi="Baskerville" w:cs="Baskerville"/>
          <w:sz w:val="22"/>
          <w:szCs w:val="22"/>
        </w:rPr>
        <w:t>colleagues</w:t>
      </w:r>
      <w:r w:rsidR="00C129AF" w:rsidRPr="00653918">
        <w:rPr>
          <w:rFonts w:ascii="Baskerville" w:hAnsi="Baskerville" w:cs="Baskerville"/>
          <w:sz w:val="22"/>
          <w:szCs w:val="22"/>
        </w:rPr>
        <w:t xml:space="preserve"> </w:t>
      </w:r>
      <w:r w:rsidR="00176336" w:rsidRPr="00653918">
        <w:rPr>
          <w:rFonts w:ascii="Baskerville" w:hAnsi="Baskerville" w:cs="Baskerville"/>
          <w:sz w:val="22"/>
          <w:szCs w:val="22"/>
        </w:rPr>
        <w:t xml:space="preserve">subsequently </w:t>
      </w:r>
      <w:r w:rsidR="00C129AF" w:rsidRPr="00653918">
        <w:rPr>
          <w:rFonts w:ascii="Baskerville" w:hAnsi="Baskerville" w:cs="Baskerville"/>
          <w:sz w:val="22"/>
          <w:szCs w:val="22"/>
        </w:rPr>
        <w:t xml:space="preserve">reported two unrelated children with epileptic encephalopathy </w:t>
      </w:r>
      <w:r w:rsidR="0012753B" w:rsidRPr="00653918">
        <w:rPr>
          <w:rFonts w:ascii="Baskerville" w:hAnsi="Baskerville" w:cs="Baskerville"/>
          <w:sz w:val="22"/>
          <w:szCs w:val="22"/>
        </w:rPr>
        <w:t xml:space="preserve">associated with gain-of-function mutations in </w:t>
      </w:r>
      <w:r w:rsidR="0012753B" w:rsidRPr="00653918">
        <w:rPr>
          <w:rFonts w:ascii="Baskerville" w:hAnsi="Baskerville" w:cs="Baskerville"/>
          <w:i/>
          <w:sz w:val="22"/>
          <w:szCs w:val="22"/>
        </w:rPr>
        <w:t>GRIN2D</w:t>
      </w:r>
      <w:r w:rsidR="0012753B" w:rsidRPr="00653918">
        <w:rPr>
          <w:rFonts w:ascii="Baskerville" w:hAnsi="Baskerville" w:cs="Baskerville"/>
          <w:sz w:val="22"/>
          <w:szCs w:val="22"/>
        </w:rPr>
        <w:fldChar w:fldCharType="begin" w:fldLock="1"/>
      </w:r>
      <w:r w:rsidR="00880237">
        <w:rPr>
          <w:rFonts w:ascii="Baskerville" w:hAnsi="Baskerville" w:cs="Baskerville"/>
          <w:sz w:val="22"/>
          <w:szCs w:val="22"/>
        </w:rPr>
        <w:instrText>ADDIN CSL_CITATION { "citationItems" : [ { "id" : "ITEM-1", "itemData" : { "DOI" : "10.1016/j.ajhg.2016.07.013", "ISBN" : "1537-6605 (Electronic)\r0002-9297 (Linking)", "ISSN" : "00029297", "PMID" : "27616483", "author" : [ { "dropping-particle" : "", "family" : "Li", "given" : "Dong", "non-dropping-particle" : "", "parse-names" : false, "suffix" : "" }, { "dropping-particle" : "", "family" : "Yuan", "given" : "Hongjie", "non-dropping-particle" : "", "parse-names" : false, "suffix" : "" }, { "dropping-particle" : "", "family" : "Ortiz-Gonzalez", "given" : "Xilma\u00a0R.", "non-dropping-particle" : "", "parse-names" : false, "suffix" : "" }, { "dropping-particle" : "", "family" : "Marsh", "given" : "Eric\u00a0D.", "non-dropping-particle" : "", "parse-names" : false, "suffix" : "" }, { "dropping-particle" : "", "family" : "Tian", "given" : "Lifeng", "non-dropping-particle" : "", "parse-names" : false, "suffix" : "" }, { "dropping-particle" : "", "family" : "McCormick", "given" : "Elizabeth\u00a0M.", "non-dropping-particle" : "", "parse-names" : false, "suffix" : "" }, { "dropping-particle" : "", "family" : "Kosobucki", "given" : "Gabrielle\u00a0J.", "non-dropping-particle" : "", "parse-names" : false, "suffix" : "" }, { "dropping-particle" : "", "family" : "Chen", "given" : "Wenjuan", "non-dropping-particle" : "", "parse-names" : false, "suffix" : "" }, { "dropping-particle" : "", "family" : "Schulien", "given" : "Anthony\u00a0J.", "non-dropping-particle" : "", "parse-names" : false, "suffix" : "" }, { "dropping-particle" : "", "family" : "Chiavacci", "given" : "Rosetta", "non-dropping-particle" : "", "parse-names" : false, "suffix" : "" }, { "dropping-particle" : "", "family" : "Tankovic", "given" : "Anel", "non-dropping-particle" : "", "parse-names" : false, "suffix" : "" }, { "dropping-particle" : "", "family" : "Naase", "given" : "Claudia", "non-dropping-particle" : "", "parse-names" : false, "suffix" : "" }, { "dropping-particle" : "", "family" : "Brueckner", "given" : "Frieder", "non-dropping-particle" : "", "parse-names" : false, "suffix" : "" }, { "dropping-particle" : "", "family" : "von\u00a0St\u00fclpnagel-Steinbeis", "given" : "Celina", "non-dropping-particle" : "", "parse-names" : false, "suffix" : "" }, { "dropping-particle" : "", "family" : "Hu", "given" : "Chun", "non-dropping-particle" : "", "parse-names" : false, "suffix" : "" }, { "dropping-particle" : "", "family" : "Kusumoto", "given" : "Hirofumi", "non-dropping-particle" : "", "parse-names" : false, "suffix" : "" }, { "dropping-particle" : "", "family" : "Hedrich", "given" : "Ulrike\u00a0B.S.", "non-dropping-particle" : "", "parse-names" : false, "suffix" : "" }, { "dropping-particle" : "", "family" : "Elsen", "given" : "Gina", "non-dropping-particle" : "", "parse-names" : false, "suffix" : "" }, { "dropping-particle" : "", "family" : "H\u00f6rtnagel", "given" : "Konstanze", "non-dropping-particle" : "", "parse-names" : false, "suffix" : "" }, { "dropping-particle" : "", "family" : "Aizenman", "given" : "Elias", "non-dropping-particle" : "", "parse-names" : false, "suffix" : "" }, { "dropping-particle" : "", "family" : "Lemke", "given" : "Johannes\u00a0R.", "non-dropping-particle" : "", "parse-names" : false, "suffix" : "" }, { "dropping-particle" : "", "family" : "Hakonarson", "given" : "Hakon", "non-dropping-particle" : "", "parse-names" : false, "suffix" : "" }, { "dropping-particle" : "", "family" : "Traynelis", "given" : "Stephen\u00a0F.", "non-dropping-particle" : "", "parse-names" : false, "suffix" : "" }, { "dropping-particle" : "", "family" : "Falk", "given" : "Marni\u00a0J.", "non-dropping-particle" : "", "parse-names" : false, "suffix" : "" } ], "container-title" : "The American Journal of Human Genetics", "id" : "ITEM-1", "issued" : { "date-parts" : [ [ "2016" ] ] }, "page" : "1-15", "title" : "GRIN2D Recurrent De Novo Dominant Mutation Causes a Severe Epileptic Encephalopathy Treatable with NMDA Receptor Channel Blockers", "type" : "article-journal" }, "uris" : [ "http://www.mendeley.com/documents/?uuid=b5735dc6-fc95-47f0-8e98-7c618893e4ba" ] } ], "mendeley" : { "formattedCitation" : "[18]", "plainTextFormattedCitation" : "[18]", "previouslyFormattedCitation" : "[18]" }, "properties" : { "noteIndex" : 0 }, "schema" : "https://github.com/citation-style-language/schema/raw/master/csl-citation.json" }</w:instrText>
      </w:r>
      <w:r w:rsidR="0012753B" w:rsidRPr="00653918">
        <w:rPr>
          <w:rFonts w:ascii="Baskerville" w:hAnsi="Baskerville" w:cs="Baskerville"/>
          <w:sz w:val="22"/>
          <w:szCs w:val="22"/>
        </w:rPr>
        <w:fldChar w:fldCharType="separate"/>
      </w:r>
      <w:r w:rsidR="003F76BF" w:rsidRPr="003F76BF">
        <w:rPr>
          <w:rFonts w:ascii="Baskerville" w:hAnsi="Baskerville" w:cs="Baskerville"/>
          <w:noProof/>
          <w:sz w:val="22"/>
          <w:szCs w:val="22"/>
        </w:rPr>
        <w:t>[18]</w:t>
      </w:r>
      <w:r w:rsidR="0012753B" w:rsidRPr="00653918">
        <w:rPr>
          <w:rFonts w:ascii="Baskerville" w:hAnsi="Baskerville" w:cs="Baskerville"/>
          <w:sz w:val="22"/>
          <w:szCs w:val="22"/>
        </w:rPr>
        <w:fldChar w:fldCharType="end"/>
      </w:r>
      <w:r w:rsidR="00A91DC7">
        <w:rPr>
          <w:rFonts w:ascii="Baskerville" w:hAnsi="Baskerville" w:cs="Baskerville"/>
          <w:sz w:val="22"/>
          <w:szCs w:val="22"/>
        </w:rPr>
        <w:t>*</w:t>
      </w:r>
      <w:r w:rsidR="0012753B" w:rsidRPr="00653918">
        <w:rPr>
          <w:rFonts w:ascii="Baskerville" w:hAnsi="Baskerville" w:cs="Baskerville"/>
          <w:sz w:val="22"/>
          <w:szCs w:val="22"/>
        </w:rPr>
        <w:t xml:space="preserve">. </w:t>
      </w:r>
      <w:r w:rsidR="00176336" w:rsidRPr="00653918">
        <w:rPr>
          <w:rFonts w:ascii="Baskerville" w:hAnsi="Baskerville" w:cs="Baskerville"/>
          <w:sz w:val="22"/>
          <w:szCs w:val="22"/>
        </w:rPr>
        <w:t xml:space="preserve">Here again, </w:t>
      </w:r>
      <w:r w:rsidR="00775DA8" w:rsidRPr="00653918">
        <w:rPr>
          <w:rFonts w:ascii="Baskerville" w:hAnsi="Baskerville" w:cs="Baskerville"/>
          <w:sz w:val="22"/>
          <w:szCs w:val="22"/>
        </w:rPr>
        <w:t xml:space="preserve">FDA-approved drugs that act as NMDAR blockers were evaluated </w:t>
      </w:r>
      <w:r w:rsidR="00775DA8" w:rsidRPr="00653918">
        <w:rPr>
          <w:rFonts w:ascii="Baskerville" w:hAnsi="Baskerville" w:cs="Baskerville"/>
          <w:i/>
          <w:sz w:val="22"/>
          <w:szCs w:val="22"/>
        </w:rPr>
        <w:t>in vitro</w:t>
      </w:r>
      <w:r w:rsidR="00775DA8" w:rsidRPr="00653918">
        <w:rPr>
          <w:rFonts w:ascii="Baskerville" w:hAnsi="Baskerville" w:cs="Baskerville"/>
          <w:sz w:val="22"/>
          <w:szCs w:val="22"/>
        </w:rPr>
        <w:t xml:space="preserve"> and subsequently both children were treated with oral memantine with </w:t>
      </w:r>
      <w:r w:rsidR="00176336" w:rsidRPr="00653918">
        <w:rPr>
          <w:rFonts w:ascii="Baskerville" w:hAnsi="Baskerville" w:cs="Baskerville"/>
          <w:sz w:val="22"/>
          <w:szCs w:val="22"/>
        </w:rPr>
        <w:t xml:space="preserve">a </w:t>
      </w:r>
      <w:r w:rsidR="00775DA8" w:rsidRPr="00653918">
        <w:rPr>
          <w:rFonts w:ascii="Baskerville" w:hAnsi="Baskerville" w:cs="Baskerville"/>
          <w:sz w:val="22"/>
          <w:szCs w:val="22"/>
        </w:rPr>
        <w:lastRenderedPageBreak/>
        <w:t xml:space="preserve">reported “mild to moderate” improvement in seizure burden. </w:t>
      </w:r>
      <w:r w:rsidR="008247EF" w:rsidRPr="00653918">
        <w:rPr>
          <w:rFonts w:ascii="Baskerville" w:hAnsi="Baskerville" w:cs="Baskerville"/>
          <w:sz w:val="22"/>
          <w:szCs w:val="22"/>
        </w:rPr>
        <w:t xml:space="preserve">Boerma and colleagues reported four patients with severe epilepsy associated with </w:t>
      </w:r>
      <w:r w:rsidR="00B622FC" w:rsidRPr="00653918">
        <w:rPr>
          <w:rFonts w:ascii="Baskerville" w:hAnsi="Baskerville" w:cs="Baskerville"/>
          <w:sz w:val="22"/>
          <w:szCs w:val="22"/>
        </w:rPr>
        <w:t xml:space="preserve">putative gain-of-function </w:t>
      </w:r>
      <w:r w:rsidR="008247EF" w:rsidRPr="00653918">
        <w:rPr>
          <w:rFonts w:ascii="Baskerville" w:hAnsi="Baskerville" w:cs="Baskerville"/>
          <w:i/>
          <w:sz w:val="22"/>
          <w:szCs w:val="22"/>
        </w:rPr>
        <w:t>SCN8A</w:t>
      </w:r>
      <w:r w:rsidR="008247EF" w:rsidRPr="00653918">
        <w:rPr>
          <w:rFonts w:ascii="Baskerville" w:hAnsi="Baskerville" w:cs="Baskerville"/>
          <w:sz w:val="22"/>
          <w:szCs w:val="22"/>
        </w:rPr>
        <w:t xml:space="preserve"> missense mutations</w:t>
      </w:r>
      <w:r w:rsidR="00CD58EB" w:rsidRPr="00653918">
        <w:rPr>
          <w:rFonts w:ascii="Baskerville" w:hAnsi="Baskerville" w:cs="Baskerville"/>
          <w:sz w:val="22"/>
          <w:szCs w:val="22"/>
        </w:rPr>
        <w:t xml:space="preserve"> where seizure control was obtained with the sodium channel blocker phenytoin</w:t>
      </w:r>
      <w:r w:rsidR="003F2B67">
        <w:rPr>
          <w:rFonts w:ascii="Baskerville" w:hAnsi="Baskerville" w:cs="Baskerville"/>
          <w:sz w:val="22"/>
          <w:szCs w:val="22"/>
        </w:rPr>
        <w:fldChar w:fldCharType="begin" w:fldLock="1"/>
      </w:r>
      <w:r w:rsidR="00F3024F">
        <w:rPr>
          <w:rFonts w:ascii="Baskerville" w:hAnsi="Baskerville" w:cs="Baskerville"/>
          <w:sz w:val="22"/>
          <w:szCs w:val="22"/>
        </w:rPr>
        <w:instrText>ADDIN CSL_CITATION { "citationItems" : [ { "id" : "ITEM-1", "itemData" : { "DOI" : "10.1007/s13311-015-0372-8", "ISBN" : "1331101503862", "ISSN" : "18787479", "PMID" : "26252990", "abstract" : "Mutations in SCN8A are associated with epilepsy and intellectual disability. SCN8A encodes for sodium channel Nav1.6, which is located in the brain. Gain-of-function missense mutations in SCN8A are thought to lead to increased firing of excitatory neurons containing Nav1.6, and therefore to lead to increased seizure susceptibility. We hypothesized that sodium channel blockers could have a beneficial effect in patients with SCN8A-related epilepsy by blocking the overactive Nav1.6 and thereby counteracting the effect of the mutation. Herein, we describe 4 patients with a missense SCN8A mutation and epilepsy who all show a remarkably good response on high doses of phenytoin and loss of seizure control when phenytoin medication was reduced, while side effects were relatively mild. In 2 patients, repeated withdrawal of phenytoin led to the reoccurrence of seizures. Based on the findings in these patients and the underlying molecular mechanism we consider treatment with (high-dose) phenytoin as a possible treatment option in patients with difficult-to-control seizures due to an SCN8A mutation.", "author" : [ { "dropping-particle" : "", "family" : "Boerma", "given" : "Ragna S.", "non-dropping-particle" : "", "parse-names" : false, "suffix" : "" }, { "dropping-particle" : "", "family" : "Braun", "given" : "Kees P.", "non-dropping-particle" : "", "parse-names" : false, "suffix" : "" }, { "dropping-particle" : "", "family" : "Broek", "given" : "Maarten P H", "non-dropping-particle" : "van de", "parse-names" : false, "suffix" : "" }, { "dropping-particle" : "", "family" : "Berkestijn", "given" : "Frederique M C", "non-dropping-particle" : "van", "parse-names" : false, "suffix" : "" }, { "dropping-particle" : "", "family" : "Swinkels", "given" : "Marielle E.", "non-dropping-particle" : "", "parse-names" : false, "suffix" : "" }, { "dropping-particle" : "", "family" : "Hagebeuk", "given" : "Eveline O.", "non-dropping-particle" : "", "parse-names" : false, "suffix" : "" }, { "dropping-particle" : "", "family" : "Lindhout", "given" : "Dick", "non-dropping-particle" : "", "parse-names" : false, "suffix" : "" }, { "dropping-particle" : "", "family" : "Kempen", "given" : "Marjan", "non-dropping-particle" : "van", "parse-names" : false, "suffix" : "" }, { "dropping-particle" : "", "family" : "Boon", "given" : "Maartje", "non-dropping-particle" : "", "parse-names" : false, "suffix" : "" }, { "dropping-particle" : "", "family" : "Nicolai", "given" : "Joost", "non-dropping-particle" : "", "parse-names" : false, "suffix" : "" }, { "dropping-particle" : "", "family" : "Kovel", "given" : "Carolien G.", "non-dropping-particle" : "de", "parse-names" : false, "suffix" : "" }, { "dropping-particle" : "", "family" : "Brilstra", "given" : "Eva H.", "non-dropping-particle" : "", "parse-names" : false, "suffix" : "" }, { "dropping-particle" : "", "family" : "Koeleman", "given" : "Bobby P C", "non-dropping-particle" : "", "parse-names" : false, "suffix" : "" } ], "container-title" : "Neurotherapeutics", "id" : "ITEM-1", "issue" : "1", "issued" : { "date-parts" : [ [ "2016" ] ] }, "page" : "192-197", "title" : "Remarkable Phenytoin Sensitivity in 4 Children with SCN8A-related Epilepsy: A Molecular Neuropharmacological Approach", "type" : "article-journal", "volume" : "13" }, "uris" : [ "http://www.mendeley.com/documents/?uuid=4cc8e3d5-eaef-464d-837b-9cad110d9372" ] } ], "mendeley" : { "formattedCitation" : "[58]", "plainTextFormattedCitation" : "[58]", "previouslyFormattedCitation" : "[57]" }, "properties" : { "noteIndex" : 0 }, "schema" : "https://github.com/citation-style-language/schema/raw/master/csl-citation.json" }</w:instrText>
      </w:r>
      <w:r w:rsidR="003F2B67">
        <w:rPr>
          <w:rFonts w:ascii="Baskerville" w:hAnsi="Baskerville" w:cs="Baskerville"/>
          <w:sz w:val="22"/>
          <w:szCs w:val="22"/>
        </w:rPr>
        <w:fldChar w:fldCharType="separate"/>
      </w:r>
      <w:r w:rsidR="00F3024F" w:rsidRPr="00F3024F">
        <w:rPr>
          <w:rFonts w:ascii="Baskerville" w:hAnsi="Baskerville" w:cs="Baskerville"/>
          <w:noProof/>
          <w:sz w:val="22"/>
          <w:szCs w:val="22"/>
        </w:rPr>
        <w:t>[58]</w:t>
      </w:r>
      <w:r w:rsidR="003F2B67">
        <w:rPr>
          <w:rFonts w:ascii="Baskerville" w:hAnsi="Baskerville" w:cs="Baskerville"/>
          <w:sz w:val="22"/>
          <w:szCs w:val="22"/>
        </w:rPr>
        <w:fldChar w:fldCharType="end"/>
      </w:r>
      <w:r w:rsidR="00A91DC7">
        <w:rPr>
          <w:rFonts w:ascii="Baskerville" w:hAnsi="Baskerville" w:cs="Baskerville"/>
          <w:sz w:val="22"/>
          <w:szCs w:val="22"/>
        </w:rPr>
        <w:t>*</w:t>
      </w:r>
      <w:r w:rsidR="008247EF" w:rsidRPr="00653918">
        <w:rPr>
          <w:rFonts w:ascii="Baskerville" w:hAnsi="Baskerville" w:cs="Baskerville"/>
          <w:sz w:val="22"/>
          <w:szCs w:val="22"/>
        </w:rPr>
        <w:t xml:space="preserve">. </w:t>
      </w:r>
    </w:p>
    <w:p w14:paraId="659DCC61" w14:textId="77777777" w:rsidR="00FC5516" w:rsidRPr="00653918" w:rsidRDefault="00FC5516" w:rsidP="005669D3">
      <w:pPr>
        <w:spacing w:line="360" w:lineRule="auto"/>
        <w:jc w:val="both"/>
        <w:rPr>
          <w:rFonts w:ascii="Baskerville" w:hAnsi="Baskerville" w:cs="Baskerville"/>
          <w:sz w:val="22"/>
          <w:szCs w:val="22"/>
        </w:rPr>
      </w:pPr>
    </w:p>
    <w:p w14:paraId="00466D88" w14:textId="339557CD" w:rsidR="008742B7" w:rsidRPr="00653918" w:rsidRDefault="00D426EA" w:rsidP="00F73AB6">
      <w:pPr>
        <w:spacing w:line="360" w:lineRule="auto"/>
        <w:jc w:val="both"/>
        <w:rPr>
          <w:rFonts w:ascii="Baskerville" w:hAnsi="Baskerville" w:cs="Baskerville"/>
          <w:sz w:val="22"/>
          <w:szCs w:val="22"/>
        </w:rPr>
      </w:pPr>
      <w:r w:rsidRPr="00653918">
        <w:rPr>
          <w:rFonts w:ascii="Baskerville" w:hAnsi="Baskerville" w:cs="Baskerville"/>
          <w:sz w:val="22"/>
          <w:szCs w:val="22"/>
        </w:rPr>
        <w:t xml:space="preserve">Whilst these cases illustrate the principles of precision medicine in epilepsy, in each of the examples described above the epilepsy </w:t>
      </w:r>
      <w:r w:rsidR="002A11A9" w:rsidRPr="00653918">
        <w:rPr>
          <w:rFonts w:ascii="Baskerville" w:hAnsi="Baskerville" w:cs="Baskerville"/>
          <w:sz w:val="22"/>
          <w:szCs w:val="22"/>
        </w:rPr>
        <w:t>resulted from</w:t>
      </w:r>
      <w:r w:rsidRPr="00653918">
        <w:rPr>
          <w:rFonts w:ascii="Baskerville" w:hAnsi="Baskerville" w:cs="Baskerville"/>
          <w:sz w:val="22"/>
          <w:szCs w:val="22"/>
        </w:rPr>
        <w:t xml:space="preserve"> </w:t>
      </w:r>
      <w:r w:rsidR="00752FD7">
        <w:rPr>
          <w:rFonts w:ascii="Baskerville" w:hAnsi="Baskerville" w:cs="Baskerville"/>
          <w:sz w:val="22"/>
          <w:szCs w:val="22"/>
        </w:rPr>
        <w:t xml:space="preserve">a </w:t>
      </w:r>
      <w:r w:rsidR="00D215CF">
        <w:rPr>
          <w:rFonts w:ascii="Baskerville" w:hAnsi="Baskerville" w:cs="Baskerville"/>
          <w:sz w:val="22"/>
          <w:szCs w:val="22"/>
        </w:rPr>
        <w:t>putative</w:t>
      </w:r>
      <w:r w:rsidR="00AF3604" w:rsidRPr="00653918">
        <w:rPr>
          <w:rFonts w:ascii="Baskerville" w:hAnsi="Baskerville" w:cs="Baskerville"/>
          <w:sz w:val="22"/>
          <w:szCs w:val="22"/>
        </w:rPr>
        <w:t xml:space="preserve"> </w:t>
      </w:r>
      <w:r w:rsidRPr="00653918">
        <w:rPr>
          <w:rFonts w:ascii="Baskerville" w:hAnsi="Baskerville" w:cs="Baskerville"/>
          <w:sz w:val="22"/>
          <w:szCs w:val="22"/>
        </w:rPr>
        <w:t>gain-of-function</w:t>
      </w:r>
      <w:r w:rsidR="00140F2B" w:rsidRPr="00653918">
        <w:rPr>
          <w:rFonts w:ascii="Baskerville" w:hAnsi="Baskerville" w:cs="Baskerville"/>
          <w:sz w:val="22"/>
          <w:szCs w:val="22"/>
        </w:rPr>
        <w:t xml:space="preserve"> </w:t>
      </w:r>
      <w:r w:rsidR="000E7F6A" w:rsidRPr="00653918">
        <w:rPr>
          <w:rFonts w:ascii="Baskerville" w:hAnsi="Baskerville" w:cs="Baskerville"/>
          <w:sz w:val="22"/>
          <w:szCs w:val="22"/>
        </w:rPr>
        <w:t xml:space="preserve">mutation. </w:t>
      </w:r>
      <w:r w:rsidR="00140F2B" w:rsidRPr="00653918">
        <w:rPr>
          <w:rFonts w:ascii="Baskerville" w:hAnsi="Baskerville" w:cs="Baskerville"/>
          <w:sz w:val="22"/>
          <w:szCs w:val="22"/>
        </w:rPr>
        <w:t xml:space="preserve">However, </w:t>
      </w:r>
      <w:r w:rsidR="00AF3604" w:rsidRPr="00653918">
        <w:rPr>
          <w:rFonts w:ascii="Baskerville" w:hAnsi="Baskerville" w:cs="Baskerville"/>
          <w:sz w:val="22"/>
          <w:szCs w:val="22"/>
        </w:rPr>
        <w:t>substantial</w:t>
      </w:r>
      <w:r w:rsidR="00140F2B" w:rsidRPr="00653918">
        <w:rPr>
          <w:rFonts w:ascii="Baskerville" w:hAnsi="Baskerville" w:cs="Baskerville"/>
          <w:sz w:val="22"/>
          <w:szCs w:val="22"/>
        </w:rPr>
        <w:t xml:space="preserve"> </w:t>
      </w:r>
      <w:r w:rsidRPr="00653918">
        <w:rPr>
          <w:rFonts w:ascii="Baskerville" w:hAnsi="Baskerville" w:cs="Baskerville"/>
          <w:sz w:val="22"/>
          <w:szCs w:val="22"/>
        </w:rPr>
        <w:t xml:space="preserve">evidence </w:t>
      </w:r>
      <w:r w:rsidR="009B0F45" w:rsidRPr="00653918">
        <w:rPr>
          <w:rFonts w:ascii="Baskerville" w:hAnsi="Baskerville" w:cs="Baskerville"/>
          <w:sz w:val="22"/>
          <w:szCs w:val="22"/>
        </w:rPr>
        <w:t>implicates</w:t>
      </w:r>
      <w:r w:rsidR="00D97129" w:rsidRPr="00653918">
        <w:rPr>
          <w:rFonts w:ascii="Baskerville" w:hAnsi="Baskerville" w:cs="Baskerville"/>
          <w:sz w:val="22"/>
          <w:szCs w:val="22"/>
        </w:rPr>
        <w:t xml:space="preserve"> </w:t>
      </w:r>
      <w:r w:rsidR="003D3E26" w:rsidRPr="00653918">
        <w:rPr>
          <w:rFonts w:ascii="Baskerville" w:hAnsi="Baskerville" w:cs="Baskerville"/>
          <w:sz w:val="22"/>
          <w:szCs w:val="22"/>
        </w:rPr>
        <w:t xml:space="preserve">protein </w:t>
      </w:r>
      <w:r w:rsidR="0088082D" w:rsidRPr="00653918">
        <w:rPr>
          <w:rFonts w:ascii="Baskerville" w:hAnsi="Baskerville" w:cs="Baskerville"/>
          <w:sz w:val="22"/>
          <w:szCs w:val="22"/>
        </w:rPr>
        <w:t>loss-of-function</w:t>
      </w:r>
      <w:r w:rsidRPr="00653918">
        <w:rPr>
          <w:rFonts w:ascii="Baskerville" w:hAnsi="Baskerville" w:cs="Baskerville"/>
          <w:sz w:val="22"/>
          <w:szCs w:val="22"/>
        </w:rPr>
        <w:t xml:space="preserve"> </w:t>
      </w:r>
      <w:r w:rsidR="009B0F45" w:rsidRPr="00653918">
        <w:rPr>
          <w:rFonts w:ascii="Baskerville" w:hAnsi="Baskerville" w:cs="Baskerville"/>
          <w:sz w:val="22"/>
          <w:szCs w:val="22"/>
        </w:rPr>
        <w:t xml:space="preserve">and haploinsufficiency as </w:t>
      </w:r>
      <w:r w:rsidR="00AF3604" w:rsidRPr="00653918">
        <w:rPr>
          <w:rFonts w:ascii="Baskerville" w:hAnsi="Baskerville" w:cs="Baskerville"/>
          <w:sz w:val="22"/>
          <w:szCs w:val="22"/>
        </w:rPr>
        <w:t>a key mechanism</w:t>
      </w:r>
      <w:r w:rsidR="009B0F45" w:rsidRPr="00653918">
        <w:rPr>
          <w:rFonts w:ascii="Baskerville" w:hAnsi="Baskerville" w:cs="Baskerville"/>
          <w:sz w:val="22"/>
          <w:szCs w:val="22"/>
        </w:rPr>
        <w:t xml:space="preserve"> of both epileptic encephalopathy and monogenic neu</w:t>
      </w:r>
      <w:r w:rsidR="00AF3604" w:rsidRPr="00653918">
        <w:rPr>
          <w:rFonts w:ascii="Baskerville" w:hAnsi="Baskerville" w:cs="Baskerville"/>
          <w:sz w:val="22"/>
          <w:szCs w:val="22"/>
        </w:rPr>
        <w:t>rodevelopmental disease more broadly</w:t>
      </w:r>
      <w:r w:rsidR="00D062CC" w:rsidRPr="00653918">
        <w:rPr>
          <w:rFonts w:ascii="Baskerville" w:hAnsi="Baskerville" w:cs="Baskerville"/>
          <w:sz w:val="22"/>
          <w:szCs w:val="22"/>
        </w:rPr>
        <w:t xml:space="preserve">. </w:t>
      </w:r>
      <w:r w:rsidR="001174E8" w:rsidRPr="00653918">
        <w:rPr>
          <w:rFonts w:ascii="Baskerville" w:hAnsi="Baskerville" w:cs="Baskerville"/>
          <w:sz w:val="22"/>
          <w:szCs w:val="22"/>
        </w:rPr>
        <w:t xml:space="preserve">Examples of </w:t>
      </w:r>
      <w:r w:rsidR="0077626F" w:rsidRPr="00653918">
        <w:rPr>
          <w:rFonts w:ascii="Baskerville" w:hAnsi="Baskerville" w:cs="Baskerville"/>
          <w:sz w:val="22"/>
          <w:szCs w:val="22"/>
        </w:rPr>
        <w:t>precision medicine</w:t>
      </w:r>
      <w:r w:rsidR="001174E8" w:rsidRPr="00653918">
        <w:rPr>
          <w:rFonts w:ascii="Baskerville" w:hAnsi="Baskerville" w:cs="Baskerville"/>
          <w:sz w:val="22"/>
          <w:szCs w:val="22"/>
        </w:rPr>
        <w:t xml:space="preserve"> in epilepsy where the approach </w:t>
      </w:r>
      <w:r w:rsidR="003B59A6" w:rsidRPr="00653918">
        <w:rPr>
          <w:rFonts w:ascii="Baskerville" w:hAnsi="Baskerville" w:cs="Baskerville"/>
          <w:sz w:val="22"/>
          <w:szCs w:val="22"/>
        </w:rPr>
        <w:t>has been</w:t>
      </w:r>
      <w:r w:rsidR="001174E8" w:rsidRPr="00653918">
        <w:rPr>
          <w:rFonts w:ascii="Baskerville" w:hAnsi="Baskerville" w:cs="Baskerville"/>
          <w:sz w:val="22"/>
          <w:szCs w:val="22"/>
        </w:rPr>
        <w:t xml:space="preserve"> to increase the </w:t>
      </w:r>
      <w:r w:rsidR="00D97129" w:rsidRPr="00653918">
        <w:rPr>
          <w:rFonts w:ascii="Baskerville" w:hAnsi="Baskerville" w:cs="Baskerville"/>
          <w:sz w:val="22"/>
          <w:szCs w:val="22"/>
        </w:rPr>
        <w:t>activity</w:t>
      </w:r>
      <w:r w:rsidR="001174E8" w:rsidRPr="00653918">
        <w:rPr>
          <w:rFonts w:ascii="Baskerville" w:hAnsi="Baskerville" w:cs="Baskerville"/>
          <w:sz w:val="22"/>
          <w:szCs w:val="22"/>
        </w:rPr>
        <w:t xml:space="preserve"> of </w:t>
      </w:r>
      <w:r w:rsidR="0077626F" w:rsidRPr="00653918">
        <w:rPr>
          <w:rFonts w:ascii="Baskerville" w:hAnsi="Baskerville" w:cs="Baskerville"/>
          <w:sz w:val="22"/>
          <w:szCs w:val="22"/>
        </w:rPr>
        <w:t xml:space="preserve">the wild type allele to compensate for protein </w:t>
      </w:r>
      <w:r w:rsidR="0088082D" w:rsidRPr="00653918">
        <w:rPr>
          <w:rFonts w:ascii="Baskerville" w:hAnsi="Baskerville" w:cs="Baskerville"/>
          <w:sz w:val="22"/>
          <w:szCs w:val="22"/>
        </w:rPr>
        <w:t>loss-of-</w:t>
      </w:r>
      <w:r w:rsidR="0077626F" w:rsidRPr="00653918">
        <w:rPr>
          <w:rFonts w:ascii="Baskerville" w:hAnsi="Baskerville" w:cs="Baskerville"/>
          <w:sz w:val="22"/>
          <w:szCs w:val="22"/>
        </w:rPr>
        <w:t xml:space="preserve">function </w:t>
      </w:r>
      <w:r w:rsidR="00A5461B" w:rsidRPr="00653918">
        <w:rPr>
          <w:rFonts w:ascii="Baskerville" w:hAnsi="Baskerville" w:cs="Baskerville"/>
          <w:sz w:val="22"/>
          <w:szCs w:val="22"/>
        </w:rPr>
        <w:t>have been relatively few</w:t>
      </w:r>
      <w:r w:rsidR="00105560" w:rsidRPr="00653918">
        <w:rPr>
          <w:rFonts w:ascii="Baskerville" w:hAnsi="Baskerville" w:cs="Baskerville"/>
          <w:sz w:val="22"/>
          <w:szCs w:val="22"/>
        </w:rPr>
        <w:t xml:space="preserve">. </w:t>
      </w:r>
      <w:r w:rsidR="002D4F56" w:rsidRPr="00653918">
        <w:rPr>
          <w:rFonts w:ascii="Baskerville" w:hAnsi="Baskerville" w:cs="Baskerville"/>
          <w:sz w:val="22"/>
          <w:szCs w:val="22"/>
        </w:rPr>
        <w:t xml:space="preserve">To date, the only example of </w:t>
      </w:r>
      <w:r w:rsidR="0088082D" w:rsidRPr="00653918">
        <w:rPr>
          <w:rFonts w:ascii="Baskerville" w:hAnsi="Baskerville" w:cs="Baskerville"/>
          <w:sz w:val="22"/>
          <w:szCs w:val="22"/>
        </w:rPr>
        <w:t>precision medicine</w:t>
      </w:r>
      <w:r w:rsidR="002D4F56" w:rsidRPr="00653918">
        <w:rPr>
          <w:rFonts w:ascii="Baskerville" w:hAnsi="Baskerville" w:cs="Baskerville"/>
          <w:sz w:val="22"/>
          <w:szCs w:val="22"/>
        </w:rPr>
        <w:t xml:space="preserve"> targeting a </w:t>
      </w:r>
      <w:r w:rsidR="0088082D" w:rsidRPr="00653918">
        <w:rPr>
          <w:rFonts w:ascii="Baskerville" w:hAnsi="Baskerville" w:cs="Baskerville"/>
          <w:sz w:val="22"/>
          <w:szCs w:val="22"/>
        </w:rPr>
        <w:t>loss-of-function</w:t>
      </w:r>
      <w:r w:rsidR="002D4F56" w:rsidRPr="00653918">
        <w:rPr>
          <w:rFonts w:ascii="Baskerville" w:hAnsi="Baskerville" w:cs="Baskerville"/>
          <w:sz w:val="22"/>
          <w:szCs w:val="22"/>
        </w:rPr>
        <w:t xml:space="preserve"> mutation is a report of</w:t>
      </w:r>
      <w:r w:rsidR="003B59A6" w:rsidRPr="00653918">
        <w:rPr>
          <w:rFonts w:ascii="Baskerville" w:hAnsi="Baskerville" w:cs="Baskerville"/>
          <w:sz w:val="22"/>
          <w:szCs w:val="22"/>
        </w:rPr>
        <w:t xml:space="preserve"> improvement of seizure fre</w:t>
      </w:r>
      <w:r w:rsidR="001174E8" w:rsidRPr="00653918">
        <w:rPr>
          <w:rFonts w:ascii="Baskerville" w:hAnsi="Baskerville" w:cs="Baskerville"/>
          <w:sz w:val="22"/>
          <w:szCs w:val="22"/>
        </w:rPr>
        <w:t xml:space="preserve">quency </w:t>
      </w:r>
      <w:r w:rsidR="00C33800" w:rsidRPr="00653918">
        <w:rPr>
          <w:rFonts w:ascii="Baskerville" w:hAnsi="Baskerville" w:cs="Baskerville"/>
          <w:sz w:val="22"/>
          <w:szCs w:val="22"/>
        </w:rPr>
        <w:t>with the KCNQ2/KCNQ3 agonist retigabine in</w:t>
      </w:r>
      <w:r w:rsidR="003B59A6" w:rsidRPr="00653918">
        <w:rPr>
          <w:rFonts w:ascii="Baskerville" w:hAnsi="Baskerville" w:cs="Baskerville"/>
          <w:sz w:val="22"/>
          <w:szCs w:val="22"/>
        </w:rPr>
        <w:t xml:space="preserve"> a number of patients with neonatal</w:t>
      </w:r>
      <w:r w:rsidR="00D97129" w:rsidRPr="00653918">
        <w:rPr>
          <w:rFonts w:ascii="Baskerville" w:hAnsi="Baskerville" w:cs="Baskerville"/>
          <w:sz w:val="22"/>
          <w:szCs w:val="22"/>
        </w:rPr>
        <w:t xml:space="preserve">-onset epileptic encephalopathy associated with </w:t>
      </w:r>
      <w:r w:rsidR="00D72013" w:rsidRPr="00653918">
        <w:rPr>
          <w:rFonts w:ascii="Baskerville" w:hAnsi="Baskerville" w:cs="Baskerville"/>
          <w:i/>
          <w:sz w:val="22"/>
          <w:szCs w:val="22"/>
        </w:rPr>
        <w:t xml:space="preserve">KCNQ2 </w:t>
      </w:r>
      <w:r w:rsidR="00D72013" w:rsidRPr="00653918">
        <w:rPr>
          <w:rFonts w:ascii="Baskerville" w:hAnsi="Baskerville" w:cs="Baskerville"/>
          <w:sz w:val="22"/>
          <w:szCs w:val="22"/>
        </w:rPr>
        <w:t>mutation</w:t>
      </w:r>
      <w:r w:rsidR="00A91DC7">
        <w:rPr>
          <w:rFonts w:ascii="Baskerville" w:hAnsi="Baskerville" w:cs="Baskerville"/>
          <w:sz w:val="22"/>
          <w:szCs w:val="22"/>
        </w:rPr>
        <w:fldChar w:fldCharType="begin" w:fldLock="1"/>
      </w:r>
      <w:r w:rsidR="00F3024F">
        <w:rPr>
          <w:rFonts w:ascii="Baskerville" w:hAnsi="Baskerville" w:cs="Baskerville"/>
          <w:sz w:val="22"/>
          <w:szCs w:val="22"/>
        </w:rPr>
        <w:instrText>ADDIN CSL_CITATION { "citationItems" : [ { "id" : "ITEM-1", "itemData" : { "DOI" : "10.1212/NXG.0000000000000096", "ISSN" : "2376-7839", "abstract" : "OBJECTIVE:: To advance the understanding of KCNQ2 encephalopathy genotype\u2013phenotype relationships and to begin to assess the potential of selective KCNQ channel openers as targeted treatments. METHODS:: We retrospectively studied 23 patients with KCNQ2 encephalopathy, including 11 treated with ezogabine (EZO). We analyzed the genotype\u2013phenotype relationships in these and 70 previously described patients. RESULTS:: The mean seizure onset age was 1.8 \u00b1 1.6 (SD) days. Of the 20 EEGs obtained within a week of birth, 11 showed burst suppression. When new seizure types appeared in infancy (15 patients), the most common were epileptic spasms (n = 8). At last follow-up, seizures persisted in 9 patients. Development was delayed in all, severely in 14. The KCNQ2 variants identified introduced amino acid missense changes or, in one instance, a single residue deletion. They were clustered in 4 protein subdomains predicted to poison tetrameric channel functions. EZO use (assessed by the treating physicians and parents) was associated with improvement in seizures and/or development in 3 of the 4 treated before 6 months of age, and 2 of the 7 treated later; no serious side effects were observed. CONCLUSIONS:: KCNQ2 variants cause neonatal-onset epileptic encephalopathy of widely varying severity. Pathogenic variants in epileptic encephalopathy are clustered in \u201chot spots\u201d known to be critical for channel activity. For variants causing KCNQ2 channel loss of function, EZO appeared well tolerated and potentially beneficial against refractory seizures when started early. Larger, prospective studies are needed to enable better definition of prognostic categories and more robust testing of novel interventions. CLASSIFICATION OF EVIDENCE:: This study provides Class IV evidence that EZO is effective for refractory seizures in patients with epilepsy due to KCNQ2 encephalopathy. ", "author" : [ { "dropping-particle" : "", "family" : "Millichap", "given" : "John J", "non-dropping-particle" : "", "parse-names" : false, "suffix" : "" }, { "dropping-particle" : "", "family" : "Park", "given" : "Kristen L", "non-dropping-particle" : "", "parse-names" : false, "suffix" : "" }, { "dropping-particle" : "", "family" : "Tsuchida", "given" : "Tammy", "non-dropping-particle" : "", "parse-names" : false, "suffix" : "" }, { "dropping-particle" : "", "family" : "Ben-Zeev", "given" : "Bruria", "non-dropping-particle" : "", "parse-names" : false, "suffix" : "" }, { "dropping-particle" : "", "family" : "Carmant", "given" : "Lionel", "non-dropping-particle" : "", "parse-names" : false, "suffix" : "" }, { "dropping-particle" : "", "family" : "Flamini", "given" : "Robert", "non-dropping-particle" : "", "parse-names" : false, "suffix" : "" }, { "dropping-particle" : "", "family" : "Joshi", "given" : "Nishtha", "non-dropping-particle" : "", "parse-names" : false, "suffix" : "" }, { "dropping-particle" : "", "family" : "Levisohn", "given" : "Paul M", "non-dropping-particle" : "", "parse-names" : false, "suffix" : "" }, { "dropping-particle" : "", "family" : "Marsh", "given" : "Eric", "non-dropping-particle" : "", "parse-names" : false, "suffix" : "" }, { "dropping-particle" : "", "family" : "Nangia", "given" : "Srishti", "non-dropping-particle" : "", "parse-names" : false, "suffix" : "" }, { "dropping-particle" : "", "family" : "Narayanan", "given" : "Vinodh", "non-dropping-particle" : "", "parse-names" : false, "suffix" : "" }, { "dropping-particle" : "", "family" : "Ortiz-Gonzalez", "given" : "Xilma R", "non-dropping-particle" : "", "parse-names" : false, "suffix" : "" }, { "dropping-particle" : "", "family" : "Patterson", "given" : "Marc C", "non-dropping-particle" : "", "parse-names" : false, "suffix" : "" }, { "dropping-particle" : "", "family" : "Pearl", "given" : "Phillip L", "non-dropping-particle" : "", "parse-names" : false, "suffix" : "" }, { "dropping-particle" : "", "family" : "Porter", "given" : "Brenda", "non-dropping-particle" : "", "parse-names" : false, "suffix" : "" }, { "dropping-particle" : "", "family" : "Ramsey", "given" : "Keri", "non-dropping-particle" : "", "parse-names" : false, "suffix" : "" }, { "dropping-particle" : "", "family" : "McGinnis", "given" : "Emily L", "non-dropping-particle" : "", "parse-names" : false, "suffix" : "" }, { "dropping-particle" : "", "family" : "Taglialatela", "given" : "Maurizio", "non-dropping-particle" : "", "parse-names" : false, "suffix" : "" }, { "dropping-particle" : "", "family" : "Tracy", "given" : "Molly", "non-dropping-particle" : "", "parse-names" : false, "suffix" : "" }, { "dropping-particle" : "", "family" : "Tran", "given" : "Baouyen", "non-dropping-particle" : "", "parse-names" : false, "suffix" : "" }, { "dropping-particle" : "", "family" : "Venkatesan", "given" : "Charu", "non-dropping-particle" : "", "parse-names" : false, "suffix" : "" }, { "dropping-particle" : "", "family" : "Weckhuysen", "given" : "Sarah", "non-dropping-particle" : "", "parse-names" : false, "suffix" : "" }, { "dropping-particle" : "", "family" : "Cooper", "given" : "Edward C", "non-dropping-particle" : "", "parse-names" : false, "suffix" : "" } ], "container-title" : "Neurology: Genetics", "id" : "ITEM-1", "issue" : "5", "issued" : { "date-parts" : [ [ "2016", "10", "22" ] ] }, "page" : "e96", "publisher" : "Wolters Kluwer", "publisher-place" : "Baltimore", "title" : "KCNQ2 encephalopathy: Features, mutational hot spots, and ezogabine treatment of 11 patients", "type" : "article-journal", "volume" : "2" }, "uris" : [ "http://www.mendeley.com/documents/?uuid=9a717f24-36cf-468c-a14a-59d1fb70d4bb" ] } ], "mendeley" : { "formattedCitation" : "[59]", "plainTextFormattedCitation" : "[59]", "previouslyFormattedCitation" : "[58]" }, "properties" : { "noteIndex" : 0 }, "schema" : "https://github.com/citation-style-language/schema/raw/master/csl-citation.json" }</w:instrText>
      </w:r>
      <w:r w:rsidR="00A91DC7">
        <w:rPr>
          <w:rFonts w:ascii="Baskerville" w:hAnsi="Baskerville" w:cs="Baskerville"/>
          <w:sz w:val="22"/>
          <w:szCs w:val="22"/>
        </w:rPr>
        <w:fldChar w:fldCharType="separate"/>
      </w:r>
      <w:r w:rsidR="00F3024F" w:rsidRPr="00F3024F">
        <w:rPr>
          <w:rFonts w:ascii="Baskerville" w:hAnsi="Baskerville" w:cs="Baskerville"/>
          <w:noProof/>
          <w:sz w:val="22"/>
          <w:szCs w:val="22"/>
        </w:rPr>
        <w:t>[59]</w:t>
      </w:r>
      <w:r w:rsidR="00A91DC7">
        <w:rPr>
          <w:rFonts w:ascii="Baskerville" w:hAnsi="Baskerville" w:cs="Baskerville"/>
          <w:sz w:val="22"/>
          <w:szCs w:val="22"/>
        </w:rPr>
        <w:fldChar w:fldCharType="end"/>
      </w:r>
      <w:r w:rsidR="0075581E">
        <w:rPr>
          <w:rFonts w:ascii="Baskerville" w:hAnsi="Baskerville" w:cs="Baskerville"/>
          <w:sz w:val="22"/>
          <w:szCs w:val="22"/>
        </w:rPr>
        <w:t>*</w:t>
      </w:r>
      <w:r w:rsidR="002D4F56" w:rsidRPr="00653918">
        <w:rPr>
          <w:rFonts w:ascii="Baskerville" w:hAnsi="Baskerville" w:cs="Baskerville"/>
          <w:sz w:val="22"/>
          <w:szCs w:val="22"/>
        </w:rPr>
        <w:t xml:space="preserve">. </w:t>
      </w:r>
      <w:r w:rsidR="0088082D" w:rsidRPr="00653918">
        <w:rPr>
          <w:rFonts w:ascii="Baskerville" w:hAnsi="Baskerville" w:cs="Baskerville"/>
          <w:sz w:val="22"/>
          <w:szCs w:val="22"/>
        </w:rPr>
        <w:t xml:space="preserve">With the field </w:t>
      </w:r>
      <w:r w:rsidR="00F73AB6" w:rsidRPr="00653918">
        <w:rPr>
          <w:rFonts w:ascii="Baskerville" w:hAnsi="Baskerville" w:cs="Baskerville"/>
          <w:sz w:val="22"/>
          <w:szCs w:val="22"/>
        </w:rPr>
        <w:t>still</w:t>
      </w:r>
      <w:r w:rsidR="0088082D" w:rsidRPr="00653918">
        <w:rPr>
          <w:rFonts w:ascii="Baskerville" w:hAnsi="Baskerville" w:cs="Baskerville"/>
          <w:sz w:val="22"/>
          <w:szCs w:val="22"/>
        </w:rPr>
        <w:t xml:space="preserve"> in its infancy, it is </w:t>
      </w:r>
      <w:r w:rsidR="00F73AB6" w:rsidRPr="00653918">
        <w:rPr>
          <w:rFonts w:ascii="Baskerville" w:hAnsi="Baskerville" w:cs="Baskerville"/>
          <w:sz w:val="22"/>
          <w:szCs w:val="22"/>
        </w:rPr>
        <w:t xml:space="preserve">probably too early to tell if </w:t>
      </w:r>
      <w:r w:rsidR="00F942B6">
        <w:rPr>
          <w:rFonts w:ascii="Baskerville" w:hAnsi="Baskerville" w:cs="Baskerville"/>
          <w:sz w:val="22"/>
          <w:szCs w:val="22"/>
        </w:rPr>
        <w:t xml:space="preserve">the paucity of reports of </w:t>
      </w:r>
      <w:r w:rsidR="00E824B6">
        <w:rPr>
          <w:rFonts w:ascii="Baskerville" w:hAnsi="Baskerville" w:cs="Baskerville"/>
          <w:sz w:val="22"/>
          <w:szCs w:val="22"/>
        </w:rPr>
        <w:t>precision</w:t>
      </w:r>
      <w:r w:rsidR="00F942B6">
        <w:rPr>
          <w:rFonts w:ascii="Baskerville" w:hAnsi="Baskerville" w:cs="Baskerville"/>
          <w:sz w:val="22"/>
          <w:szCs w:val="22"/>
        </w:rPr>
        <w:t xml:space="preserve"> medicine in loss-of-function mutation</w:t>
      </w:r>
      <w:r w:rsidR="00F73AB6" w:rsidRPr="00653918">
        <w:rPr>
          <w:rFonts w:ascii="Baskerville" w:hAnsi="Baskerville" w:cs="Baskerville"/>
          <w:sz w:val="22"/>
          <w:szCs w:val="22"/>
        </w:rPr>
        <w:t xml:space="preserve"> reflects a more challenging pharmacological environment related to developing protein</w:t>
      </w:r>
      <w:r w:rsidR="0047036A" w:rsidRPr="00653918">
        <w:rPr>
          <w:rFonts w:ascii="Baskerville" w:hAnsi="Baskerville" w:cs="Baskerville"/>
          <w:sz w:val="22"/>
          <w:szCs w:val="22"/>
        </w:rPr>
        <w:t xml:space="preserve"> </w:t>
      </w:r>
      <w:r w:rsidR="00F73AB6" w:rsidRPr="00653918">
        <w:rPr>
          <w:rFonts w:ascii="Baskerville" w:hAnsi="Baskerville" w:cs="Baskerville"/>
          <w:sz w:val="22"/>
          <w:szCs w:val="22"/>
        </w:rPr>
        <w:t>activators</w:t>
      </w:r>
      <w:r w:rsidR="0047036A" w:rsidRPr="00653918">
        <w:rPr>
          <w:rFonts w:ascii="Baskerville" w:hAnsi="Baskerville" w:cs="Baskerville"/>
          <w:sz w:val="22"/>
          <w:szCs w:val="22"/>
        </w:rPr>
        <w:t xml:space="preserve"> comp</w:t>
      </w:r>
      <w:r w:rsidR="00F73AB6" w:rsidRPr="00653918">
        <w:rPr>
          <w:rFonts w:ascii="Baskerville" w:hAnsi="Baskerville" w:cs="Baskerville"/>
          <w:sz w:val="22"/>
          <w:szCs w:val="22"/>
        </w:rPr>
        <w:t xml:space="preserve">ared to blockers. </w:t>
      </w:r>
    </w:p>
    <w:p w14:paraId="64CAACFC" w14:textId="77777777" w:rsidR="008742B7" w:rsidRPr="00653918" w:rsidRDefault="008742B7" w:rsidP="005669D3">
      <w:pPr>
        <w:spacing w:line="360" w:lineRule="auto"/>
        <w:jc w:val="both"/>
        <w:rPr>
          <w:rFonts w:ascii="Baskerville" w:hAnsi="Baskerville" w:cs="Baskerville"/>
          <w:sz w:val="22"/>
          <w:szCs w:val="22"/>
        </w:rPr>
      </w:pPr>
    </w:p>
    <w:p w14:paraId="5E27E355" w14:textId="5275013E" w:rsidR="003B59A6" w:rsidRPr="00653918" w:rsidRDefault="002F7589" w:rsidP="005669D3">
      <w:pPr>
        <w:spacing w:line="360" w:lineRule="auto"/>
        <w:jc w:val="both"/>
        <w:rPr>
          <w:rFonts w:ascii="Baskerville" w:hAnsi="Baskerville" w:cs="Baskerville"/>
          <w:sz w:val="22"/>
          <w:szCs w:val="22"/>
        </w:rPr>
      </w:pPr>
      <w:r w:rsidRPr="00653918">
        <w:rPr>
          <w:rFonts w:ascii="Baskerville" w:hAnsi="Baskerville" w:cs="Baskerville"/>
          <w:sz w:val="22"/>
          <w:szCs w:val="22"/>
        </w:rPr>
        <w:t>A further observation from</w:t>
      </w:r>
      <w:r w:rsidR="001F03C1" w:rsidRPr="00653918">
        <w:rPr>
          <w:rFonts w:ascii="Baskerville" w:hAnsi="Baskerville" w:cs="Baskerville"/>
          <w:sz w:val="22"/>
          <w:szCs w:val="22"/>
        </w:rPr>
        <w:t xml:space="preserve"> the published examples </w:t>
      </w:r>
      <w:r w:rsidR="00175955">
        <w:rPr>
          <w:rFonts w:ascii="Baskerville" w:hAnsi="Baskerville" w:cs="Baskerville"/>
          <w:sz w:val="22"/>
          <w:szCs w:val="22"/>
        </w:rPr>
        <w:t>of precision medicine in epilepsy is</w:t>
      </w:r>
      <w:r w:rsidR="00AC7BA5" w:rsidRPr="00653918">
        <w:rPr>
          <w:rFonts w:ascii="Baskerville" w:hAnsi="Baskerville" w:cs="Baskerville"/>
          <w:sz w:val="22"/>
          <w:szCs w:val="22"/>
        </w:rPr>
        <w:t xml:space="preserve"> that </w:t>
      </w:r>
      <w:r w:rsidR="00F049E2">
        <w:rPr>
          <w:rFonts w:ascii="Baskerville" w:hAnsi="Baskerville" w:cs="Baskerville"/>
          <w:sz w:val="22"/>
          <w:szCs w:val="22"/>
        </w:rPr>
        <w:t xml:space="preserve">so far all </w:t>
      </w:r>
      <w:r w:rsidR="00DC6315">
        <w:rPr>
          <w:rFonts w:ascii="Baskerville" w:hAnsi="Baskerville" w:cs="Baskerville"/>
          <w:sz w:val="22"/>
          <w:szCs w:val="22"/>
        </w:rPr>
        <w:t xml:space="preserve">the </w:t>
      </w:r>
      <w:r w:rsidR="00F049E2">
        <w:rPr>
          <w:rFonts w:ascii="Baskerville" w:hAnsi="Baskerville" w:cs="Baskerville"/>
          <w:sz w:val="22"/>
          <w:szCs w:val="22"/>
        </w:rPr>
        <w:t>cases resulted from</w:t>
      </w:r>
      <w:r w:rsidR="001F03C1" w:rsidRPr="00653918">
        <w:rPr>
          <w:rFonts w:ascii="Baskerville" w:hAnsi="Baskerville" w:cs="Baskerville"/>
          <w:sz w:val="22"/>
          <w:szCs w:val="22"/>
        </w:rPr>
        <w:t xml:space="preserve"> mutation in an ion-channel subunit gene. To date, w</w:t>
      </w:r>
      <w:r w:rsidR="00FE0389" w:rsidRPr="00653918">
        <w:rPr>
          <w:rFonts w:ascii="Baskerville" w:hAnsi="Baskerville" w:cs="Baskerville"/>
          <w:sz w:val="22"/>
          <w:szCs w:val="22"/>
        </w:rPr>
        <w:t>ith the ex</w:t>
      </w:r>
      <w:r w:rsidR="001F03C1" w:rsidRPr="00653918">
        <w:rPr>
          <w:rFonts w:ascii="Baskerville" w:hAnsi="Baskerville" w:cs="Baskerville"/>
          <w:sz w:val="22"/>
          <w:szCs w:val="22"/>
        </w:rPr>
        <w:t>c</w:t>
      </w:r>
      <w:r w:rsidR="00FE0389" w:rsidRPr="00653918">
        <w:rPr>
          <w:rFonts w:ascii="Baskerville" w:hAnsi="Baskerville" w:cs="Baskerville"/>
          <w:sz w:val="22"/>
          <w:szCs w:val="22"/>
        </w:rPr>
        <w:t>eption of the use of everolimus in tuberous sclerosis</w:t>
      </w:r>
      <w:r w:rsidR="0075581E">
        <w:rPr>
          <w:rFonts w:ascii="Baskerville" w:hAnsi="Baskerville" w:cs="Baskerville"/>
          <w:sz w:val="22"/>
          <w:szCs w:val="22"/>
        </w:rPr>
        <w:fldChar w:fldCharType="begin" w:fldLock="1"/>
      </w:r>
      <w:r w:rsidR="00F3024F">
        <w:rPr>
          <w:rFonts w:ascii="Baskerville" w:hAnsi="Baskerville" w:cs="Baskerville"/>
          <w:sz w:val="22"/>
          <w:szCs w:val="22"/>
        </w:rPr>
        <w:instrText>ADDIN CSL_CITATION { "citationItems" : [ { "id" : "ITEM-1", "itemData" : { "DOI" : "10.1016/S0140-6736(16)31419-2", "ISSN" : "01406736", "abstract" : "BACKGROUND\nEverolimus, a mammalian target of rapamycin (mTOR) inhibitor, has been used for various benign tumours associated with tuberous sclerosis complex. We assessed the efficacy and safety of two trough exposure concentrations of everolimus, 3\u20137 ng/mL (low exposure) and 9\u201315 ng/mL (high exposure), compared with placebo as adjunctive therapy for treatment-resistant focal-onset seizures in tuberous sclerosis complex. \n\nMETHODS\nIn this phase 3, randomised, double-blind, placebo-controlled study, eligible patients aged 2\u201365 years with tuberous sclerosis complex and treatment-resistant seizures (\u226516 in an 8-week baseline phase) receiving one to three concomitant antiepileptic drugs were recruited from 99 centres across 25 countries. Participants were randomly assigned (1:1:1), via permuted-block randomisation (block size of six) implemented by Interactive Response Technology software, to receive placebo, low-exposure everolimus, or high-exposure everolimus. Randomisation was stratified by age subgroup (&lt;6 years, 6 to &lt;12 years, 12 to &lt;18 years, and \u226518 years). Patients, investigators, site personnel, and the sponsor's study team were masked to treatment allocation. The starting dose of everolimus depended on age, body-surface area, and concomitant use of cytochrome 3A4/P-glycoprotein inducers. Dose adjustments were done to attain target trough ranges during a 6-week titration period, and as needed during a 12-week maintenance period of core phase. Patients or their caregivers recorded events in a seizure diary throughout the study. The primary endpoint was change from baseline in the frequency of seizures during the maintenance period, defined as response rate (the proportion of patients achieving \u226550% reduction in seizure frequency) and median percentage reduction in seizure frequency, in all randomised patients. This study is registered with ClinicalTrials.gov, number NCT01713946. \n\nFINDINGS\nBetween July 3, 2013, and May 29, 2015, 366 patients were enrolled and randomly assigned to placebo (n=119), low-exposure everolimus, (n=117), or high-exposure everolimus (n=130). The response rate was 15\u00b71% with placebo (95% CI 9\u00b72\u201322\u00b78; 18 patients) compared with 28\u00b72% for low-exposure everolimus (95% CI 20\u00b73\u201337\u00b73; 33 patients; p=0\u00b70077) and 40\u00b70% for high-exposure everolimus (95% CI 31\u00b75\u201349\u00b70; 52 patients; p&lt;0\u00b70001). The median percentage reduction in seizure frequency was 14\u00b79% (95% CI 0\u00b71\u201321\u00b77) with placebo versus 29\u00b73% with low-exposure everolimus (95% CI 18\u2026", "author" : [ { "dropping-particle" : "", "family" : "French", "given" : "Jacqueline A", "non-dropping-particle" : "", "parse-names" : false, "suffix" : "" }, { "dropping-particle" : "", "family" : "Lawson", "given" : "John A", "non-dropping-particle" : "", "parse-names" : false, "suffix" : "" }, { "dropping-particle" : "", "family" : "Yapici", "given" : "Zuhal", "non-dropping-particle" : "", "parse-names" : false, "suffix" : "" }, { "dropping-particle" : "", "family" : "Ikeda", "given" : "Hiroko", "non-dropping-particle" : "", "parse-names" : false, "suffix" : "" }, { "dropping-particle" : "", "family" : "Polster", "given" : "Tilman", "non-dropping-particle" : "", "parse-names" : false, "suffix" : "" }, { "dropping-particle" : "", "family" : "Nabbout", "given" : "Rima", "non-dropping-particle" : "", "parse-names" : false, "suffix" : "" }, { "dropping-particle" : "", "family" : "Curatolo", "given" : "Paolo", "non-dropping-particle" : "", "parse-names" : false, "suffix" : "" }, { "dropping-particle" : "", "family" : "Vries", "given" : "Petrus J", "non-dropping-particle" : "de", "parse-names" : false, "suffix" : "" }, { "dropping-particle" : "", "family" : "Dlugos", "given" : "Dennis J", "non-dropping-particle" : "", "parse-names" : false, "suffix" : "" }, { "dropping-particle" : "", "family" : "Berkowitz", "given" : "Noah", "non-dropping-particle" : "", "parse-names" : false, "suffix" : "" }, { "dropping-particle" : "", "family" : "Voi", "given" : "Maurizio", "non-dropping-particle" : "", "parse-names" : false, "suffix" : "" }, { "dropping-particle" : "", "family" : "Peyrard", "given" : "Severine", "non-dropping-particle" : "", "parse-names" : false, "suffix" : "" }, { "dropping-particle" : "", "family" : "Pelov", "given" : "Diana", "non-dropping-particle" : "", "parse-names" : false, "suffix" : "" }, { "dropping-particle" : "", "family" : "Franz", "given" : "David N", "non-dropping-particle" : "", "parse-names" : false, "suffix" : "" } ], "container-title" : "The Lancet", "id" : "ITEM-1", "issue" : "10056", "issued" : { "date-parts" : [ [ "2016" ] ] }, "page" : "2153-2163", "title" : "Adjunctive everolimus therapy for treatment-resistant focal-onset seizures associated with tuberous sclerosis (EXIST-3): a phase 3, randomised, double-blind, placebo-controlled study", "type" : "article-journal", "volume" : "388" }, "uris" : [ "http://www.mendeley.com/documents/?uuid=65cae869-b757-3c03-a1ec-36cf2673b86d" ] } ], "mendeley" : { "formattedCitation" : "[60]", "plainTextFormattedCitation" : "[60]", "previouslyFormattedCitation" : "[59]" }, "properties" : { "noteIndex" : 0 }, "schema" : "https://github.com/citation-style-language/schema/raw/master/csl-citation.json" }</w:instrText>
      </w:r>
      <w:r w:rsidR="0075581E">
        <w:rPr>
          <w:rFonts w:ascii="Baskerville" w:hAnsi="Baskerville" w:cs="Baskerville"/>
          <w:sz w:val="22"/>
          <w:szCs w:val="22"/>
        </w:rPr>
        <w:fldChar w:fldCharType="separate"/>
      </w:r>
      <w:r w:rsidR="00F3024F" w:rsidRPr="00F3024F">
        <w:rPr>
          <w:rFonts w:ascii="Baskerville" w:hAnsi="Baskerville" w:cs="Baskerville"/>
          <w:noProof/>
          <w:sz w:val="22"/>
          <w:szCs w:val="22"/>
        </w:rPr>
        <w:t>[60]</w:t>
      </w:r>
      <w:r w:rsidR="0075581E">
        <w:rPr>
          <w:rFonts w:ascii="Baskerville" w:hAnsi="Baskerville" w:cs="Baskerville"/>
          <w:sz w:val="22"/>
          <w:szCs w:val="22"/>
        </w:rPr>
        <w:fldChar w:fldCharType="end"/>
      </w:r>
      <w:r w:rsidR="0075581E">
        <w:rPr>
          <w:rFonts w:ascii="Baskerville" w:hAnsi="Baskerville" w:cs="Baskerville"/>
          <w:sz w:val="22"/>
          <w:szCs w:val="22"/>
        </w:rPr>
        <w:t>**</w:t>
      </w:r>
      <w:r w:rsidR="00FE0389" w:rsidRPr="00653918">
        <w:rPr>
          <w:rFonts w:ascii="Baskerville" w:hAnsi="Baskerville" w:cs="Baskerville"/>
          <w:sz w:val="22"/>
          <w:szCs w:val="22"/>
        </w:rPr>
        <w:t xml:space="preserve">, there are no </w:t>
      </w:r>
      <w:r w:rsidR="001F03C1" w:rsidRPr="00653918">
        <w:rPr>
          <w:rFonts w:ascii="Baskerville" w:hAnsi="Baskerville" w:cs="Baskerville"/>
          <w:sz w:val="22"/>
          <w:szCs w:val="22"/>
        </w:rPr>
        <w:t xml:space="preserve">reported </w:t>
      </w:r>
      <w:r w:rsidR="00FE0389" w:rsidRPr="00653918">
        <w:rPr>
          <w:rFonts w:ascii="Baskerville" w:hAnsi="Baskerville" w:cs="Baskerville"/>
          <w:sz w:val="22"/>
          <w:szCs w:val="22"/>
        </w:rPr>
        <w:t xml:space="preserve">examples of </w:t>
      </w:r>
      <w:r w:rsidR="00070B7F" w:rsidRPr="00653918">
        <w:rPr>
          <w:rFonts w:ascii="Baskerville" w:hAnsi="Baskerville" w:cs="Baskerville"/>
          <w:sz w:val="22"/>
          <w:szCs w:val="22"/>
        </w:rPr>
        <w:t>precision medicine</w:t>
      </w:r>
      <w:r w:rsidR="00FE0389" w:rsidRPr="00653918">
        <w:rPr>
          <w:rFonts w:ascii="Baskerville" w:hAnsi="Baskerville" w:cs="Baskerville"/>
          <w:sz w:val="22"/>
          <w:szCs w:val="22"/>
        </w:rPr>
        <w:t xml:space="preserve"> </w:t>
      </w:r>
      <w:r w:rsidR="00D32EB2" w:rsidRPr="00653918">
        <w:rPr>
          <w:rFonts w:ascii="Baskerville" w:hAnsi="Baskerville" w:cs="Baskerville"/>
          <w:sz w:val="22"/>
          <w:szCs w:val="22"/>
        </w:rPr>
        <w:t xml:space="preserve">targeting </w:t>
      </w:r>
      <w:r w:rsidR="00AC7BA5" w:rsidRPr="00653918">
        <w:rPr>
          <w:rFonts w:ascii="Baskerville" w:hAnsi="Baskerville" w:cs="Baskerville"/>
          <w:sz w:val="22"/>
          <w:szCs w:val="22"/>
        </w:rPr>
        <w:t>a monogenic epilepsy arising from mutation in</w:t>
      </w:r>
      <w:r w:rsidR="00606DE4" w:rsidRPr="00653918">
        <w:rPr>
          <w:rFonts w:ascii="Baskerville" w:hAnsi="Baskerville" w:cs="Baskerville"/>
          <w:sz w:val="22"/>
          <w:szCs w:val="22"/>
        </w:rPr>
        <w:t xml:space="preserve"> the </w:t>
      </w:r>
      <w:r w:rsidR="00FE0389" w:rsidRPr="00653918">
        <w:rPr>
          <w:rFonts w:ascii="Baskerville" w:hAnsi="Baskerville" w:cs="Baskerville"/>
          <w:sz w:val="22"/>
          <w:szCs w:val="22"/>
        </w:rPr>
        <w:t>growing list</w:t>
      </w:r>
      <w:r w:rsidR="00606DE4" w:rsidRPr="00653918">
        <w:rPr>
          <w:rFonts w:ascii="Baskerville" w:hAnsi="Baskerville" w:cs="Baskerville"/>
          <w:sz w:val="22"/>
          <w:szCs w:val="22"/>
        </w:rPr>
        <w:t xml:space="preserve"> of non-ion channel epilepsy genes such as </w:t>
      </w:r>
      <w:r w:rsidR="00606DE4" w:rsidRPr="00653918">
        <w:rPr>
          <w:rFonts w:ascii="Baskerville" w:hAnsi="Baskerville" w:cs="Baskerville"/>
          <w:i/>
          <w:sz w:val="22"/>
          <w:szCs w:val="22"/>
        </w:rPr>
        <w:t>LGI1</w:t>
      </w:r>
      <w:r w:rsidR="00606DE4" w:rsidRPr="00653918">
        <w:rPr>
          <w:rFonts w:ascii="Baskerville" w:hAnsi="Baskerville" w:cs="Baskerville"/>
          <w:sz w:val="22"/>
          <w:szCs w:val="22"/>
        </w:rPr>
        <w:t xml:space="preserve">, </w:t>
      </w:r>
      <w:r w:rsidR="00606DE4" w:rsidRPr="00653918">
        <w:rPr>
          <w:rFonts w:ascii="Baskerville" w:hAnsi="Baskerville" w:cs="Baskerville"/>
          <w:i/>
          <w:sz w:val="22"/>
          <w:szCs w:val="22"/>
        </w:rPr>
        <w:t>STXBP1</w:t>
      </w:r>
      <w:r w:rsidR="00606DE4" w:rsidRPr="00653918">
        <w:rPr>
          <w:rFonts w:ascii="Baskerville" w:hAnsi="Baskerville" w:cs="Baskerville"/>
          <w:sz w:val="22"/>
          <w:szCs w:val="22"/>
        </w:rPr>
        <w:t xml:space="preserve">, </w:t>
      </w:r>
      <w:r w:rsidR="00606DE4" w:rsidRPr="00653918">
        <w:rPr>
          <w:rFonts w:ascii="Baskerville" w:hAnsi="Baskerville" w:cs="Baskerville"/>
          <w:i/>
          <w:sz w:val="22"/>
          <w:szCs w:val="22"/>
        </w:rPr>
        <w:t>PCDH19</w:t>
      </w:r>
      <w:r w:rsidR="00606DE4" w:rsidRPr="00653918">
        <w:rPr>
          <w:rFonts w:ascii="Baskerville" w:hAnsi="Baskerville" w:cs="Baskerville"/>
          <w:sz w:val="22"/>
          <w:szCs w:val="22"/>
        </w:rPr>
        <w:t xml:space="preserve">, </w:t>
      </w:r>
      <w:r w:rsidR="008E47C5" w:rsidRPr="00653918">
        <w:rPr>
          <w:rFonts w:ascii="Baskerville" w:hAnsi="Baskerville" w:cs="Baskerville"/>
          <w:i/>
          <w:sz w:val="22"/>
          <w:szCs w:val="22"/>
        </w:rPr>
        <w:t>TCF4</w:t>
      </w:r>
      <w:r w:rsidR="008E47C5" w:rsidRPr="00653918">
        <w:rPr>
          <w:rFonts w:ascii="Baskerville" w:hAnsi="Baskerville" w:cs="Baskerville"/>
          <w:sz w:val="22"/>
          <w:szCs w:val="22"/>
        </w:rPr>
        <w:t xml:space="preserve">, </w:t>
      </w:r>
      <w:r w:rsidR="00606DE4" w:rsidRPr="00653918">
        <w:rPr>
          <w:rFonts w:ascii="Baskerville" w:hAnsi="Baskerville" w:cs="Baskerville"/>
          <w:i/>
          <w:sz w:val="22"/>
          <w:szCs w:val="22"/>
        </w:rPr>
        <w:t>CDKL5</w:t>
      </w:r>
      <w:r w:rsidR="00606DE4" w:rsidRPr="00653918">
        <w:rPr>
          <w:rFonts w:ascii="Baskerville" w:hAnsi="Baskerville" w:cs="Baskerville"/>
          <w:sz w:val="22"/>
          <w:szCs w:val="22"/>
        </w:rPr>
        <w:t xml:space="preserve"> etc. </w:t>
      </w:r>
      <w:r w:rsidR="0062316E" w:rsidRPr="00653918">
        <w:rPr>
          <w:rFonts w:ascii="Baskerville" w:hAnsi="Baskerville" w:cs="Baskerville"/>
          <w:sz w:val="22"/>
          <w:szCs w:val="22"/>
        </w:rPr>
        <w:t xml:space="preserve">Given that </w:t>
      </w:r>
      <w:r w:rsidR="00D70C80" w:rsidRPr="00653918">
        <w:rPr>
          <w:rFonts w:ascii="Baskerville" w:hAnsi="Baskerville" w:cs="Baskerville"/>
          <w:sz w:val="22"/>
          <w:szCs w:val="22"/>
        </w:rPr>
        <w:t>many of these</w:t>
      </w:r>
      <w:r w:rsidR="0062316E" w:rsidRPr="00653918">
        <w:rPr>
          <w:rFonts w:ascii="Baskerville" w:hAnsi="Baskerville" w:cs="Baskerville"/>
          <w:sz w:val="22"/>
          <w:szCs w:val="22"/>
        </w:rPr>
        <w:t xml:space="preserve"> proteins have not been traditional targets for drug development, and their functional role in epilepsy is </w:t>
      </w:r>
      <w:r w:rsidR="0015259A">
        <w:rPr>
          <w:rFonts w:ascii="Baskerville" w:hAnsi="Baskerville" w:cs="Baskerville"/>
          <w:sz w:val="22"/>
          <w:szCs w:val="22"/>
        </w:rPr>
        <w:t>poorly understood</w:t>
      </w:r>
      <w:r w:rsidR="00D70C80" w:rsidRPr="00653918">
        <w:rPr>
          <w:rFonts w:ascii="Baskerville" w:hAnsi="Baskerville" w:cs="Baskerville"/>
          <w:sz w:val="22"/>
          <w:szCs w:val="22"/>
        </w:rPr>
        <w:t>,</w:t>
      </w:r>
      <w:r w:rsidR="0062316E" w:rsidRPr="00653918">
        <w:rPr>
          <w:rFonts w:ascii="Baskerville" w:hAnsi="Baskerville" w:cs="Baskerville"/>
          <w:sz w:val="22"/>
          <w:szCs w:val="22"/>
        </w:rPr>
        <w:t xml:space="preserve"> the development of precision therapies</w:t>
      </w:r>
      <w:r w:rsidR="00A56A69" w:rsidRPr="00653918">
        <w:rPr>
          <w:rFonts w:ascii="Baskerville" w:hAnsi="Baskerville" w:cs="Baskerville"/>
          <w:sz w:val="22"/>
          <w:szCs w:val="22"/>
        </w:rPr>
        <w:t xml:space="preserve"> for </w:t>
      </w:r>
      <w:r w:rsidR="00070B7F" w:rsidRPr="00653918">
        <w:rPr>
          <w:rFonts w:ascii="Baskerville" w:hAnsi="Baskerville" w:cs="Baskerville"/>
          <w:sz w:val="22"/>
          <w:szCs w:val="22"/>
        </w:rPr>
        <w:t>epilepsy</w:t>
      </w:r>
      <w:r w:rsidR="00A56A69" w:rsidRPr="00653918">
        <w:rPr>
          <w:rFonts w:ascii="Baskerville" w:hAnsi="Baskerville" w:cs="Baskerville"/>
          <w:sz w:val="22"/>
          <w:szCs w:val="22"/>
        </w:rPr>
        <w:t xml:space="preserve"> resulting from mutation in non-ion channel genes may </w:t>
      </w:r>
      <w:r w:rsidR="00070B7F" w:rsidRPr="00653918">
        <w:rPr>
          <w:rFonts w:ascii="Baskerville" w:hAnsi="Baskerville" w:cs="Baskerville"/>
          <w:sz w:val="22"/>
          <w:szCs w:val="22"/>
        </w:rPr>
        <w:t>advance slowly</w:t>
      </w:r>
      <w:r w:rsidR="00A56A69" w:rsidRPr="00653918">
        <w:rPr>
          <w:rFonts w:ascii="Baskerville" w:hAnsi="Baskerville" w:cs="Baskerville"/>
          <w:sz w:val="22"/>
          <w:szCs w:val="22"/>
        </w:rPr>
        <w:t xml:space="preserve">. </w:t>
      </w:r>
      <w:r w:rsidR="007F64F2" w:rsidRPr="00653918">
        <w:rPr>
          <w:rFonts w:ascii="Baskerville" w:hAnsi="Baskerville" w:cs="Baskerville"/>
          <w:sz w:val="22"/>
          <w:szCs w:val="22"/>
        </w:rPr>
        <w:t xml:space="preserve">This </w:t>
      </w:r>
      <w:r w:rsidR="000236E9" w:rsidRPr="00653918">
        <w:rPr>
          <w:rFonts w:ascii="Baskerville" w:hAnsi="Baskerville" w:cs="Baskerville"/>
          <w:sz w:val="22"/>
          <w:szCs w:val="22"/>
        </w:rPr>
        <w:t>highlight</w:t>
      </w:r>
      <w:r w:rsidR="007F64F2" w:rsidRPr="00653918">
        <w:rPr>
          <w:rFonts w:ascii="Baskerville" w:hAnsi="Baskerville" w:cs="Baskerville"/>
          <w:sz w:val="22"/>
          <w:szCs w:val="22"/>
        </w:rPr>
        <w:t>s</w:t>
      </w:r>
      <w:r w:rsidR="00506BC9">
        <w:rPr>
          <w:rFonts w:ascii="Baskerville" w:hAnsi="Baskerville" w:cs="Baskerville"/>
          <w:sz w:val="22"/>
          <w:szCs w:val="22"/>
        </w:rPr>
        <w:t xml:space="preserve"> the need </w:t>
      </w:r>
      <w:r w:rsidR="000236E9" w:rsidRPr="00653918">
        <w:rPr>
          <w:rFonts w:ascii="Baskerville" w:hAnsi="Baskerville" w:cs="Baskerville"/>
          <w:sz w:val="22"/>
          <w:szCs w:val="22"/>
        </w:rPr>
        <w:t xml:space="preserve">for </w:t>
      </w:r>
      <w:r w:rsidR="00506BC9">
        <w:rPr>
          <w:rFonts w:ascii="Baskerville" w:hAnsi="Baskerville" w:cs="Baskerville"/>
          <w:sz w:val="22"/>
          <w:szCs w:val="22"/>
        </w:rPr>
        <w:t xml:space="preserve">new approaches to drug discovery for </w:t>
      </w:r>
      <w:r w:rsidR="000236E9" w:rsidRPr="00653918">
        <w:rPr>
          <w:rFonts w:ascii="Baskerville" w:hAnsi="Baskerville" w:cs="Baskerville"/>
          <w:sz w:val="22"/>
          <w:szCs w:val="22"/>
        </w:rPr>
        <w:t xml:space="preserve">monogenic </w:t>
      </w:r>
      <w:r w:rsidR="00506BC9">
        <w:rPr>
          <w:rFonts w:ascii="Baskerville" w:hAnsi="Baskerville" w:cs="Baskerville"/>
          <w:sz w:val="22"/>
          <w:szCs w:val="22"/>
        </w:rPr>
        <w:t>epilepsy</w:t>
      </w:r>
      <w:r w:rsidR="000236E9" w:rsidRPr="00653918">
        <w:rPr>
          <w:rFonts w:ascii="Baskerville" w:hAnsi="Baskerville" w:cs="Baskerville"/>
          <w:sz w:val="22"/>
          <w:szCs w:val="22"/>
        </w:rPr>
        <w:t xml:space="preserve">. One proposal has been to develop </w:t>
      </w:r>
      <w:r w:rsidR="00F646BC" w:rsidRPr="00653918">
        <w:rPr>
          <w:rFonts w:ascii="Baskerville" w:hAnsi="Baskerville" w:cs="Baskerville"/>
          <w:sz w:val="22"/>
          <w:szCs w:val="22"/>
        </w:rPr>
        <w:t xml:space="preserve">systems for the </w:t>
      </w:r>
      <w:r w:rsidR="00B732A9">
        <w:rPr>
          <w:rFonts w:ascii="Baskerville" w:hAnsi="Baskerville" w:cs="Baskerville"/>
          <w:sz w:val="22"/>
          <w:szCs w:val="22"/>
        </w:rPr>
        <w:t xml:space="preserve">experimental </w:t>
      </w:r>
      <w:r w:rsidR="00F646BC" w:rsidRPr="00653918">
        <w:rPr>
          <w:rFonts w:ascii="Baskerville" w:hAnsi="Baskerville" w:cs="Baskerville"/>
          <w:sz w:val="22"/>
          <w:szCs w:val="22"/>
        </w:rPr>
        <w:t>high-</w:t>
      </w:r>
      <w:r w:rsidR="00881ACE" w:rsidRPr="00653918">
        <w:rPr>
          <w:rFonts w:ascii="Baskerville" w:hAnsi="Baskerville" w:cs="Baskerville"/>
          <w:sz w:val="22"/>
          <w:szCs w:val="22"/>
        </w:rPr>
        <w:t>th</w:t>
      </w:r>
      <w:r w:rsidR="001C3A16" w:rsidRPr="00653918">
        <w:rPr>
          <w:rFonts w:ascii="Baskerville" w:hAnsi="Baskerville" w:cs="Baskerville"/>
          <w:sz w:val="22"/>
          <w:szCs w:val="22"/>
        </w:rPr>
        <w:t>roughput screening of compounds</w:t>
      </w:r>
      <w:r w:rsidR="00881ACE" w:rsidRPr="00653918">
        <w:rPr>
          <w:rFonts w:ascii="Baskerville" w:hAnsi="Baskerville" w:cs="Baskerville"/>
          <w:sz w:val="22"/>
          <w:szCs w:val="22"/>
        </w:rPr>
        <w:t xml:space="preserve"> such as </w:t>
      </w:r>
      <w:r w:rsidR="00C51A25" w:rsidRPr="00653918">
        <w:rPr>
          <w:rFonts w:ascii="Baskerville" w:hAnsi="Baskerville" w:cs="Baskerville"/>
          <w:sz w:val="22"/>
          <w:szCs w:val="22"/>
        </w:rPr>
        <w:t>the use of</w:t>
      </w:r>
      <w:r w:rsidR="00881ACE" w:rsidRPr="00653918">
        <w:rPr>
          <w:rFonts w:ascii="Baskerville" w:hAnsi="Baskerville" w:cs="Baskerville"/>
          <w:sz w:val="22"/>
          <w:szCs w:val="22"/>
        </w:rPr>
        <w:t xml:space="preserve"> </w:t>
      </w:r>
      <w:r w:rsidR="00F646BC" w:rsidRPr="00653918">
        <w:rPr>
          <w:rFonts w:ascii="Baskerville" w:hAnsi="Baskerville" w:cs="Baskerville"/>
          <w:sz w:val="22"/>
          <w:szCs w:val="22"/>
        </w:rPr>
        <w:t>stem cell models of epilepsy</w:t>
      </w:r>
      <w:r w:rsidR="001C3A16" w:rsidRPr="00653918">
        <w:rPr>
          <w:rFonts w:ascii="Baskerville" w:hAnsi="Baskerville" w:cs="Baskerville"/>
          <w:sz w:val="22"/>
          <w:szCs w:val="22"/>
        </w:rPr>
        <w:t xml:space="preserve"> (“epilepsy in a dish”)</w:t>
      </w:r>
      <w:r w:rsidR="003E5853" w:rsidRPr="00653918">
        <w:rPr>
          <w:rFonts w:ascii="Baskerville" w:hAnsi="Baskerville" w:cs="Baskerville"/>
          <w:sz w:val="22"/>
          <w:szCs w:val="22"/>
        </w:rPr>
        <w:fldChar w:fldCharType="begin" w:fldLock="1"/>
      </w:r>
      <w:r w:rsidR="00F3024F">
        <w:rPr>
          <w:rFonts w:ascii="Baskerville" w:hAnsi="Baskerville" w:cs="Baskerville"/>
          <w:sz w:val="22"/>
          <w:szCs w:val="22"/>
        </w:rPr>
        <w:instrText>ADDIN CSL_CITATION { "citationItems" : [ { "id" : "ITEM-1", "itemData" : { "DOI" : "10.1016/S1474-4422(15)00199-4", "ISSN" : "14744422", "author" : [ { "dropping-particle" : "", "family" : "Consortium", "given" : "Epipm", "non-dropping-particle" : "", "parse-names" : false, "suffix" : "" } ], "container-title" : "The Lancet Neurology", "id" : "ITEM-1", "issue" : "15", "issued" : { "date-parts" : [ [ "2015" ] ] }, "page" : "1-10", "publisher" : "Elsevier Ltd", "title" : "A roadmap for precision medicine in the epilepsies", "type" : "article-journal", "volume" : "4422" }, "uris" : [ "http://www.mendeley.com/documents/?uuid=ba070ce2-2de2-4a65-b336-ccd5e6ea03ca" ] } ], "mendeley" : { "formattedCitation" : "[52]", "manualFormatting" : "[50]", "plainTextFormattedCitation" : "[52]", "previouslyFormattedCitation" : "[51]" }, "properties" : { "noteIndex" : 0 }, "schema" : "https://github.com/citation-style-language/schema/raw/master/csl-citation.json" }</w:instrText>
      </w:r>
      <w:r w:rsidR="003E5853" w:rsidRPr="00653918">
        <w:rPr>
          <w:rFonts w:ascii="Baskerville" w:hAnsi="Baskerville" w:cs="Baskerville"/>
          <w:sz w:val="22"/>
          <w:szCs w:val="22"/>
        </w:rPr>
        <w:fldChar w:fldCharType="separate"/>
      </w:r>
      <w:r w:rsidR="005431EC" w:rsidRPr="005431EC">
        <w:rPr>
          <w:rFonts w:ascii="Baskerville" w:hAnsi="Baskerville" w:cs="Baskerville"/>
          <w:noProof/>
          <w:sz w:val="22"/>
          <w:szCs w:val="22"/>
        </w:rPr>
        <w:t>[50]</w:t>
      </w:r>
      <w:r w:rsidR="003E5853" w:rsidRPr="00653918">
        <w:rPr>
          <w:rFonts w:ascii="Baskerville" w:hAnsi="Baskerville" w:cs="Baskerville"/>
          <w:sz w:val="22"/>
          <w:szCs w:val="22"/>
        </w:rPr>
        <w:fldChar w:fldCharType="end"/>
      </w:r>
      <w:r w:rsidR="00E236C6">
        <w:rPr>
          <w:rFonts w:ascii="Baskerville" w:hAnsi="Baskerville" w:cs="Baskerville"/>
          <w:sz w:val="22"/>
          <w:szCs w:val="22"/>
        </w:rPr>
        <w:t>*</w:t>
      </w:r>
      <w:r w:rsidR="00881ACE" w:rsidRPr="00653918">
        <w:rPr>
          <w:rFonts w:ascii="Baskerville" w:hAnsi="Baskerville" w:cs="Baskerville"/>
          <w:sz w:val="22"/>
          <w:szCs w:val="22"/>
        </w:rPr>
        <w:t xml:space="preserve">. </w:t>
      </w:r>
      <w:r w:rsidR="009A0739" w:rsidRPr="00653918">
        <w:rPr>
          <w:rFonts w:ascii="Baskerville" w:hAnsi="Baskerville" w:cs="Baskerville"/>
          <w:sz w:val="22"/>
          <w:szCs w:val="22"/>
        </w:rPr>
        <w:t xml:space="preserve">However, </w:t>
      </w:r>
      <w:r w:rsidR="00195D31" w:rsidRPr="00653918">
        <w:rPr>
          <w:rFonts w:ascii="Baskerville" w:hAnsi="Baskerville" w:cs="Baskerville"/>
          <w:sz w:val="22"/>
          <w:szCs w:val="22"/>
        </w:rPr>
        <w:t>with potentially many thousands of causal vari</w:t>
      </w:r>
      <w:r w:rsidR="008D211F" w:rsidRPr="00653918">
        <w:rPr>
          <w:rFonts w:ascii="Baskerville" w:hAnsi="Baskerville" w:cs="Baskerville"/>
          <w:sz w:val="22"/>
          <w:szCs w:val="22"/>
        </w:rPr>
        <w:t>ants for epilepsy</w:t>
      </w:r>
      <w:r w:rsidR="001757E6" w:rsidRPr="00653918">
        <w:rPr>
          <w:rFonts w:ascii="Baskerville" w:hAnsi="Baskerville" w:cs="Baskerville"/>
          <w:sz w:val="22"/>
          <w:szCs w:val="22"/>
        </w:rPr>
        <w:t xml:space="preserve"> in hundreds of different genes</w:t>
      </w:r>
      <w:r w:rsidR="00394F3B" w:rsidRPr="00653918">
        <w:rPr>
          <w:rFonts w:ascii="Baskerville" w:hAnsi="Baskerville" w:cs="Baskerville"/>
          <w:sz w:val="22"/>
          <w:szCs w:val="22"/>
        </w:rPr>
        <w:fldChar w:fldCharType="begin" w:fldLock="1"/>
      </w:r>
      <w:r w:rsidR="00E07552">
        <w:rPr>
          <w:rFonts w:ascii="Baskerville" w:hAnsi="Baskerville" w:cs="Baskerville"/>
          <w:sz w:val="22"/>
          <w:szCs w:val="22"/>
        </w:rPr>
        <w:instrText>ADDIN CSL_CITATION { "citationItems" : [ { "id" : "ITEM-1", "itemData" : { "DOI" : "10.1093/brain/awu206", "ISSN" : "1460-2156", "PMID" : "25063994", "abstract" : "Epilepsy is a disease with substantial missing heritability; despite its high genetic component, genetic association studies have had limited success detecting common variants which influence susceptibility. In this paper, we reassess the role of common variants on epilepsy using extensions of heritability analysis. Our data set consists of 1258 UK patients with epilepsy, of which 958 have focal epilepsy, and 5129 population control subjects, with genotypes recorded for over 4 million common single nucleotide polymorphisms. Firstly, we show that on the liability scale, common variants collectively explain at least 26% (standard deviation 5%) of phenotypic variation for all epilepsy and 27% (standard deviation 5%) for focal epilepsy. Secondly we provide a new method for estimating the number of causal variants for complex traits; when applied to epilepsy, our most optimistic estimate suggests that at least 400 variants influence disease susceptibility, with potentially many thousands. Thirdly, we use bivariate analysis to assess how similar the genetic architecture of focal epilepsy is to that of non-focal epilepsy; we demonstrate both significant differences (P = 0.004) and significant similarities (P = 0.01) between the two subtypes, indicating that although the clinical definition of focal epilepsy does identify a genetically distinct epilepsy subtype, there is also scope to improve the classification of epilepsy by incorporating genotypic information. Lastly, we investigate the potential value in using genetic data to diagnose epilepsy following a single epileptic seizure; we find that a prediction model explaining 10% of phenotypic variation could have clinical utility for deciding which single-seizure individuals are likely to benefit from immediate anti-epileptic drug therapy.", "author" : [ { "dropping-particle" : "", "family" : "Speed", "given" : "Doug", "non-dropping-particle" : "", "parse-names" : false, "suffix" : "" }, { "dropping-particle" : "", "family" : "O'Brien", "given" : "Terence J", "non-dropping-particle" : "", "parse-names" : false, "suffix" : "" }, { "dropping-particle" : "", "family" : "Palotie", "given" : "Aarno", "non-dropping-particle" : "", "parse-names" : false, "suffix" : "" }, { "dropping-particle" : "", "family" : "Shkura", "given" : "Kirill", "non-dropping-particle" : "", "parse-names" : false, "suffix" : "" }, { "dropping-particle" : "", "family" : "Marson", "given" : "Anthony G", "non-dropping-particle" : "", "parse-names" : false, "suffix" : "" }, { "dropping-particle" : "", "family" : "Balding", "given" : "David J", "non-dropping-particle" : "", "parse-names" : false, "suffix" : "" }, { "dropping-particle" : "", "family" : "Johnson", "given" : "Michael R", "non-dropping-particle" : "", "parse-names" : false, "suffix" : "" } ], "container-title" : "Brain : a journal of neurology", "id" : "ITEM-1", "issued" : { "date-parts" : [ [ "2014", "7", "26" ] ] }, "title" : "Describing the genetic architecture of epilepsy through heritability analysis.", "type" : "article-journal" }, "uris" : [ "http://www.mendeley.com/documents/?uuid=52a4d004-26f4-4a61-8b38-82813ce8fb45" ] } ], "mendeley" : { "formattedCitation" : "[2]", "plainTextFormattedCitation" : "[2]", "previouslyFormattedCitation" : "[2]" }, "properties" : { "noteIndex" : 0 }, "schema" : "https://github.com/citation-style-language/schema/raw/master/csl-citation.json" }</w:instrText>
      </w:r>
      <w:r w:rsidR="00394F3B" w:rsidRPr="00653918">
        <w:rPr>
          <w:rFonts w:ascii="Baskerville" w:hAnsi="Baskerville" w:cs="Baskerville"/>
          <w:sz w:val="22"/>
          <w:szCs w:val="22"/>
        </w:rPr>
        <w:fldChar w:fldCharType="separate"/>
      </w:r>
      <w:r w:rsidR="005431EC" w:rsidRPr="005431EC">
        <w:rPr>
          <w:rFonts w:ascii="Baskerville" w:hAnsi="Baskerville" w:cs="Baskerville"/>
          <w:noProof/>
          <w:sz w:val="22"/>
          <w:szCs w:val="22"/>
        </w:rPr>
        <w:t>[2]</w:t>
      </w:r>
      <w:r w:rsidR="00394F3B" w:rsidRPr="00653918">
        <w:rPr>
          <w:rFonts w:ascii="Baskerville" w:hAnsi="Baskerville" w:cs="Baskerville"/>
          <w:sz w:val="22"/>
          <w:szCs w:val="22"/>
        </w:rPr>
        <w:fldChar w:fldCharType="end"/>
      </w:r>
      <w:r w:rsidR="008D211F" w:rsidRPr="00653918">
        <w:rPr>
          <w:rFonts w:ascii="Baskerville" w:hAnsi="Baskerville" w:cs="Baskerville"/>
          <w:sz w:val="22"/>
          <w:szCs w:val="22"/>
        </w:rPr>
        <w:t xml:space="preserve">, and </w:t>
      </w:r>
      <w:r w:rsidR="00930910">
        <w:rPr>
          <w:rFonts w:ascii="Baskerville" w:hAnsi="Baskerville" w:cs="Baskerville"/>
          <w:sz w:val="22"/>
          <w:szCs w:val="22"/>
        </w:rPr>
        <w:t>thousands of</w:t>
      </w:r>
      <w:r w:rsidR="008D211F" w:rsidRPr="00653918">
        <w:rPr>
          <w:rFonts w:ascii="Baskerville" w:hAnsi="Baskerville" w:cs="Baskerville"/>
          <w:sz w:val="22"/>
          <w:szCs w:val="22"/>
        </w:rPr>
        <w:t xml:space="preserve"> known drugs (</w:t>
      </w:r>
      <w:hyperlink r:id="rId8" w:history="1">
        <w:r w:rsidR="008D211F" w:rsidRPr="00653918">
          <w:rPr>
            <w:rStyle w:val="Hyperlink"/>
            <w:rFonts w:ascii="Baskerville" w:hAnsi="Baskerville" w:cs="Baskerville"/>
            <w:sz w:val="22"/>
            <w:szCs w:val="22"/>
          </w:rPr>
          <w:t>www.drugbank.ca/stats</w:t>
        </w:r>
      </w:hyperlink>
      <w:r w:rsidR="008D211F" w:rsidRPr="00653918">
        <w:rPr>
          <w:rFonts w:ascii="Baskerville" w:hAnsi="Baskerville" w:cs="Baskerville"/>
          <w:sz w:val="22"/>
          <w:szCs w:val="22"/>
        </w:rPr>
        <w:t>)</w:t>
      </w:r>
      <w:r w:rsidR="00394F3B" w:rsidRPr="00653918">
        <w:rPr>
          <w:rFonts w:ascii="Baskerville" w:hAnsi="Baskerville" w:cs="Baskerville"/>
          <w:sz w:val="22"/>
          <w:szCs w:val="22"/>
        </w:rPr>
        <w:t>,</w:t>
      </w:r>
      <w:r w:rsidR="008D211F" w:rsidRPr="00653918">
        <w:rPr>
          <w:rFonts w:ascii="Baskerville" w:hAnsi="Baskerville" w:cs="Baskerville"/>
          <w:sz w:val="22"/>
          <w:szCs w:val="22"/>
        </w:rPr>
        <w:t xml:space="preserve"> there are </w:t>
      </w:r>
      <w:r w:rsidR="001757E6" w:rsidRPr="00653918">
        <w:rPr>
          <w:rFonts w:ascii="Baskerville" w:hAnsi="Baskerville" w:cs="Baskerville"/>
          <w:sz w:val="22"/>
          <w:szCs w:val="22"/>
        </w:rPr>
        <w:t xml:space="preserve">potentially </w:t>
      </w:r>
      <w:r w:rsidR="000478FC" w:rsidRPr="00653918">
        <w:rPr>
          <w:rFonts w:ascii="Baskerville" w:hAnsi="Baskerville" w:cs="Baskerville"/>
          <w:sz w:val="22"/>
          <w:szCs w:val="22"/>
        </w:rPr>
        <w:t>tens of</w:t>
      </w:r>
      <w:r w:rsidR="008D211F" w:rsidRPr="00653918">
        <w:rPr>
          <w:rFonts w:ascii="Baskerville" w:hAnsi="Baskerville" w:cs="Baskerville"/>
          <w:sz w:val="22"/>
          <w:szCs w:val="22"/>
        </w:rPr>
        <w:t xml:space="preserve"> millions </w:t>
      </w:r>
      <w:r w:rsidR="00DA45E0" w:rsidRPr="00653918">
        <w:rPr>
          <w:rFonts w:ascii="Baskerville" w:hAnsi="Baskerville" w:cs="Baskerville"/>
          <w:sz w:val="22"/>
          <w:szCs w:val="22"/>
        </w:rPr>
        <w:t xml:space="preserve">of </w:t>
      </w:r>
      <w:r w:rsidR="008D211F" w:rsidRPr="00653918">
        <w:rPr>
          <w:rFonts w:ascii="Baskerville" w:hAnsi="Baskerville" w:cs="Baskerville"/>
          <w:sz w:val="22"/>
          <w:szCs w:val="22"/>
        </w:rPr>
        <w:t xml:space="preserve">drug-disease pairings, making the exhaustive experimental screening of all known drugs for all epilepsy variants unfeasible. </w:t>
      </w:r>
      <w:r w:rsidR="00A9618D" w:rsidRPr="00653918">
        <w:rPr>
          <w:rFonts w:ascii="Baskerville" w:hAnsi="Baskerville" w:cs="Baskerville"/>
          <w:sz w:val="22"/>
          <w:szCs w:val="22"/>
        </w:rPr>
        <w:t>This</w:t>
      </w:r>
      <w:r w:rsidR="008D211F" w:rsidRPr="00653918">
        <w:rPr>
          <w:rFonts w:ascii="Baskerville" w:hAnsi="Baskerville" w:cs="Baskerville"/>
          <w:sz w:val="22"/>
          <w:szCs w:val="22"/>
        </w:rPr>
        <w:t xml:space="preserve"> combinatorial problem </w:t>
      </w:r>
      <w:r w:rsidR="00A9618D" w:rsidRPr="00653918">
        <w:rPr>
          <w:rFonts w:ascii="Baskerville" w:hAnsi="Baskerville" w:cs="Baskerville"/>
          <w:sz w:val="22"/>
          <w:szCs w:val="22"/>
        </w:rPr>
        <w:t>will</w:t>
      </w:r>
      <w:r w:rsidR="008D211F" w:rsidRPr="00653918">
        <w:rPr>
          <w:rFonts w:ascii="Baskerville" w:hAnsi="Baskerville" w:cs="Baskerville"/>
          <w:sz w:val="22"/>
          <w:szCs w:val="22"/>
        </w:rPr>
        <w:t xml:space="preserve"> require</w:t>
      </w:r>
      <w:r w:rsidR="00A9618D" w:rsidRPr="00653918">
        <w:rPr>
          <w:rFonts w:ascii="Baskerville" w:hAnsi="Baskerville" w:cs="Baskerville"/>
          <w:sz w:val="22"/>
          <w:szCs w:val="22"/>
        </w:rPr>
        <w:t>, at least in part,</w:t>
      </w:r>
      <w:r w:rsidR="008D211F" w:rsidRPr="00653918">
        <w:rPr>
          <w:rFonts w:ascii="Baskerville" w:hAnsi="Baskerville" w:cs="Baskerville"/>
          <w:sz w:val="22"/>
          <w:szCs w:val="22"/>
        </w:rPr>
        <w:t xml:space="preserve"> a computational solution. </w:t>
      </w:r>
    </w:p>
    <w:p w14:paraId="5A40DE92" w14:textId="77777777" w:rsidR="002D4F56" w:rsidRPr="00653918" w:rsidRDefault="002D4F56" w:rsidP="005669D3">
      <w:pPr>
        <w:spacing w:line="360" w:lineRule="auto"/>
        <w:jc w:val="both"/>
        <w:rPr>
          <w:rFonts w:ascii="Baskerville" w:hAnsi="Baskerville" w:cs="Baskerville"/>
          <w:sz w:val="22"/>
          <w:szCs w:val="22"/>
        </w:rPr>
      </w:pPr>
    </w:p>
    <w:p w14:paraId="4BFF701C" w14:textId="274152C2" w:rsidR="00C117F8" w:rsidRPr="00653918" w:rsidRDefault="00A221AA" w:rsidP="00C117F8">
      <w:pPr>
        <w:widowControl w:val="0"/>
        <w:autoSpaceDE w:val="0"/>
        <w:autoSpaceDN w:val="0"/>
        <w:adjustRightInd w:val="0"/>
        <w:spacing w:line="360" w:lineRule="auto"/>
        <w:jc w:val="both"/>
        <w:rPr>
          <w:rFonts w:ascii="Baskerville" w:hAnsi="Baskerville" w:cs="Baskerville"/>
          <w:sz w:val="22"/>
          <w:szCs w:val="22"/>
        </w:rPr>
      </w:pPr>
      <w:r w:rsidRPr="00653918">
        <w:rPr>
          <w:rFonts w:ascii="Baskerville" w:hAnsi="Baskerville" w:cs="Baskerville"/>
          <w:sz w:val="22"/>
          <w:szCs w:val="22"/>
        </w:rPr>
        <w:t xml:space="preserve">One approach to developing a computational framework </w:t>
      </w:r>
      <w:r w:rsidR="00257F8A">
        <w:rPr>
          <w:rFonts w:ascii="Baskerville" w:hAnsi="Baskerville" w:cs="Baskerville"/>
          <w:sz w:val="22"/>
          <w:szCs w:val="22"/>
        </w:rPr>
        <w:t>for</w:t>
      </w:r>
      <w:r w:rsidRPr="00653918">
        <w:rPr>
          <w:rFonts w:ascii="Baskerville" w:hAnsi="Baskerville" w:cs="Baskerville"/>
          <w:sz w:val="22"/>
          <w:szCs w:val="22"/>
        </w:rPr>
        <w:t xml:space="preserve"> </w:t>
      </w:r>
      <w:r w:rsidR="009740CF" w:rsidRPr="00653918">
        <w:rPr>
          <w:rFonts w:ascii="Baskerville" w:hAnsi="Baskerville" w:cs="Baskerville"/>
          <w:sz w:val="22"/>
          <w:szCs w:val="22"/>
        </w:rPr>
        <w:t xml:space="preserve">new </w:t>
      </w:r>
      <w:r w:rsidRPr="00653918">
        <w:rPr>
          <w:rFonts w:ascii="Baskerville" w:hAnsi="Baskerville" w:cs="Baskerville"/>
          <w:sz w:val="22"/>
          <w:szCs w:val="22"/>
        </w:rPr>
        <w:t xml:space="preserve">drug discovery </w:t>
      </w:r>
      <w:r w:rsidR="00B732A9">
        <w:rPr>
          <w:rFonts w:ascii="Baskerville" w:hAnsi="Baskerville" w:cs="Baskerville"/>
          <w:sz w:val="22"/>
          <w:szCs w:val="22"/>
        </w:rPr>
        <w:t xml:space="preserve">and drug </w:t>
      </w:r>
      <w:r w:rsidR="00B732A9">
        <w:rPr>
          <w:rFonts w:ascii="Baskerville" w:hAnsi="Baskerville" w:cs="Baskerville"/>
          <w:sz w:val="22"/>
          <w:szCs w:val="22"/>
        </w:rPr>
        <w:lastRenderedPageBreak/>
        <w:t xml:space="preserve">screening </w:t>
      </w:r>
      <w:r w:rsidR="003A3FBB" w:rsidRPr="00653918">
        <w:rPr>
          <w:rFonts w:ascii="Baskerville" w:hAnsi="Baskerville" w:cs="Baskerville"/>
          <w:sz w:val="22"/>
          <w:szCs w:val="22"/>
        </w:rPr>
        <w:t>makes</w:t>
      </w:r>
      <w:r w:rsidRPr="00653918">
        <w:rPr>
          <w:rFonts w:ascii="Baskerville" w:hAnsi="Baskerville" w:cs="Baskerville"/>
          <w:sz w:val="22"/>
          <w:szCs w:val="22"/>
        </w:rPr>
        <w:t xml:space="preserve"> use of a</w:t>
      </w:r>
      <w:r w:rsidR="00C117F8" w:rsidRPr="00653918">
        <w:rPr>
          <w:rFonts w:ascii="Baskerville" w:hAnsi="Baskerville" w:cs="Baskerville"/>
          <w:sz w:val="22"/>
          <w:szCs w:val="22"/>
        </w:rPr>
        <w:t xml:space="preserve"> systems perspective</w:t>
      </w:r>
      <w:r w:rsidR="006525EE" w:rsidRPr="00653918">
        <w:rPr>
          <w:rFonts w:ascii="Baskerville" w:hAnsi="Baskerville" w:cs="Baskerville"/>
          <w:sz w:val="22"/>
          <w:szCs w:val="22"/>
        </w:rPr>
        <w:t xml:space="preserve"> of disease</w:t>
      </w:r>
      <w:r w:rsidR="00B732A9">
        <w:rPr>
          <w:rFonts w:ascii="Baskerville" w:hAnsi="Baskerville" w:cs="Baskerville"/>
          <w:sz w:val="22"/>
          <w:szCs w:val="22"/>
        </w:rPr>
        <w:t xml:space="preserve">. Here, a </w:t>
      </w:r>
      <w:r w:rsidR="00C117F8" w:rsidRPr="00653918">
        <w:rPr>
          <w:rFonts w:ascii="Baskerville" w:hAnsi="Baskerville" w:cs="Baskerville"/>
          <w:sz w:val="22"/>
          <w:szCs w:val="22"/>
        </w:rPr>
        <w:t xml:space="preserve">disease </w:t>
      </w:r>
      <w:r w:rsidR="0035477F" w:rsidRPr="00653918">
        <w:rPr>
          <w:rFonts w:ascii="Baskerville" w:hAnsi="Baskerville" w:cs="Baskerville"/>
          <w:sz w:val="22"/>
          <w:szCs w:val="22"/>
        </w:rPr>
        <w:t>is</w:t>
      </w:r>
      <w:r w:rsidR="00C117F8" w:rsidRPr="00653918">
        <w:rPr>
          <w:rFonts w:ascii="Baskerville" w:hAnsi="Baskerville" w:cs="Baskerville"/>
          <w:sz w:val="22"/>
          <w:szCs w:val="22"/>
        </w:rPr>
        <w:t xml:space="preserve"> viewed in terms of </w:t>
      </w:r>
      <w:r w:rsidR="00BF0E2C" w:rsidRPr="00653918">
        <w:rPr>
          <w:rFonts w:ascii="Baskerville" w:hAnsi="Baskerville" w:cs="Baskerville"/>
          <w:sz w:val="22"/>
          <w:szCs w:val="22"/>
        </w:rPr>
        <w:t>its</w:t>
      </w:r>
      <w:r w:rsidR="00C117F8" w:rsidRPr="00653918">
        <w:rPr>
          <w:rFonts w:ascii="Baskerville" w:hAnsi="Baskerville" w:cs="Baskerville"/>
          <w:sz w:val="22"/>
          <w:szCs w:val="22"/>
        </w:rPr>
        <w:t xml:space="preserve"> molecular drivers arising from the interaction of sets of genes in regulatory networks</w:t>
      </w:r>
      <w:r w:rsidR="00E236C6">
        <w:rPr>
          <w:rFonts w:ascii="Baskerville" w:hAnsi="Baskerville" w:cs="Baskerville"/>
          <w:sz w:val="22"/>
          <w:szCs w:val="22"/>
        </w:rPr>
        <w:fldChar w:fldCharType="begin" w:fldLock="1"/>
      </w:r>
      <w:r w:rsidR="00F3024F">
        <w:rPr>
          <w:rFonts w:ascii="Baskerville" w:hAnsi="Baskerville" w:cs="Baskerville"/>
          <w:sz w:val="22"/>
          <w:szCs w:val="22"/>
        </w:rPr>
        <w:instrText>ADDIN CSL_CITATION { "citationItems" : [ { "id" : "ITEM-1", "itemData" : { "DOI" : "10.1038/nrg3575", "ISSN" : "1471-0064", "PMID" : "24296534", "abstract" : "Systems genetics is an approach to understand the flow of biological information that underlies complex traits. It uses a range of experimental and statistical methods to quantitate and integrate intermediate phenotypes, such as transcript, protein or metabolite levels, in populations that vary for traits of interest. Systems genetics studies have provided the first global view of the molecular architecture of complex traits and are useful for the identification of genes, pathways and networks that underlie common human diseases. Given the urgent need to understand how the thousands of loci that have been identified in genome-wide association studies contribute to disease susceptibility, systems genetics is likely to become an increasingly important approach to understanding both biology and disease.", "author" : [ { "dropping-particle" : "", "family" : "Civelek", "given" : "Mete", "non-dropping-particle" : "", "parse-names" : false, "suffix" : "" }, { "dropping-particle" : "", "family" : "Lusis", "given" : "Aldons J", "non-dropping-particle" : "", "parse-names" : false, "suffix" : "" } ], "container-title" : "Nature reviews. Genetics", "id" : "ITEM-1", "issue" : "1", "issued" : { "date-parts" : [ [ "2014", "1" ] ] }, "page" : "34-48", "publisher" : "Nature Publishing Group", "title" : "Systems genetics approaches to understand complex traits.", "type" : "article-journal", "volume" : "15" }, "uris" : [ "http://www.mendeley.com/documents/?uuid=907dab98-43f5-4e05-b174-e7d65ba11f91" ] } ], "mendeley" : { "formattedCitation" : "[61]", "plainTextFormattedCitation" : "[61]", "previouslyFormattedCitation" : "[60]" }, "properties" : { "noteIndex" : 0 }, "schema" : "https://github.com/citation-style-language/schema/raw/master/csl-citation.json" }</w:instrText>
      </w:r>
      <w:r w:rsidR="00E236C6">
        <w:rPr>
          <w:rFonts w:ascii="Baskerville" w:hAnsi="Baskerville" w:cs="Baskerville"/>
          <w:sz w:val="22"/>
          <w:szCs w:val="22"/>
        </w:rPr>
        <w:fldChar w:fldCharType="separate"/>
      </w:r>
      <w:r w:rsidR="00F3024F" w:rsidRPr="00F3024F">
        <w:rPr>
          <w:rFonts w:ascii="Baskerville" w:hAnsi="Baskerville" w:cs="Baskerville"/>
          <w:noProof/>
          <w:sz w:val="22"/>
          <w:szCs w:val="22"/>
        </w:rPr>
        <w:t>[61]</w:t>
      </w:r>
      <w:r w:rsidR="00E236C6">
        <w:rPr>
          <w:rFonts w:ascii="Baskerville" w:hAnsi="Baskerville" w:cs="Baskerville"/>
          <w:sz w:val="22"/>
          <w:szCs w:val="22"/>
        </w:rPr>
        <w:fldChar w:fldCharType="end"/>
      </w:r>
      <w:r w:rsidR="00A927C4" w:rsidRPr="00653918">
        <w:rPr>
          <w:rFonts w:ascii="Baskerville" w:hAnsi="Baskerville" w:cs="Baskerville"/>
          <w:sz w:val="22"/>
          <w:szCs w:val="22"/>
        </w:rPr>
        <w:t xml:space="preserve">. </w:t>
      </w:r>
      <w:r w:rsidR="003A3FBB" w:rsidRPr="00653918">
        <w:rPr>
          <w:rFonts w:ascii="Baskerville" w:hAnsi="Baskerville" w:cs="Baskerville"/>
          <w:sz w:val="22"/>
          <w:szCs w:val="22"/>
        </w:rPr>
        <w:t>In epilepsy, n</w:t>
      </w:r>
      <w:r w:rsidR="00637EFD" w:rsidRPr="00653918">
        <w:rPr>
          <w:rFonts w:ascii="Baskerville" w:hAnsi="Baskerville" w:cs="Baskerville"/>
          <w:sz w:val="22"/>
          <w:szCs w:val="22"/>
        </w:rPr>
        <w:t xml:space="preserve">etwork analyses have </w:t>
      </w:r>
      <w:r w:rsidR="00C666E6" w:rsidRPr="00653918">
        <w:rPr>
          <w:rFonts w:ascii="Baskerville" w:hAnsi="Baskerville" w:cs="Baskerville"/>
          <w:sz w:val="22"/>
          <w:szCs w:val="22"/>
        </w:rPr>
        <w:t>revealed</w:t>
      </w:r>
      <w:r w:rsidR="00637EFD" w:rsidRPr="00653918">
        <w:rPr>
          <w:rFonts w:ascii="Baskerville" w:hAnsi="Baskerville" w:cs="Baskerville"/>
          <w:sz w:val="22"/>
          <w:szCs w:val="22"/>
        </w:rPr>
        <w:t xml:space="preserve"> that </w:t>
      </w:r>
      <w:r w:rsidR="00C666E6" w:rsidRPr="00653918">
        <w:rPr>
          <w:rFonts w:ascii="Baskerville" w:hAnsi="Baskerville" w:cs="Baskerville"/>
          <w:sz w:val="22"/>
          <w:szCs w:val="22"/>
        </w:rPr>
        <w:t xml:space="preserve">many </w:t>
      </w:r>
      <w:r w:rsidR="000D609A">
        <w:rPr>
          <w:rFonts w:ascii="Baskerville" w:hAnsi="Baskerville" w:cs="Baskerville"/>
          <w:sz w:val="22"/>
          <w:szCs w:val="22"/>
        </w:rPr>
        <w:t xml:space="preserve">different </w:t>
      </w:r>
      <w:r w:rsidR="00637EFD" w:rsidRPr="00653918">
        <w:rPr>
          <w:rFonts w:ascii="Baskerville" w:hAnsi="Baskerville" w:cs="Baskerville"/>
          <w:sz w:val="22"/>
          <w:szCs w:val="22"/>
        </w:rPr>
        <w:t xml:space="preserve">genes for epileptic encephalopathy interact in </w:t>
      </w:r>
      <w:r w:rsidR="008B1E66">
        <w:rPr>
          <w:rFonts w:ascii="Baskerville" w:hAnsi="Baskerville" w:cs="Baskerville"/>
          <w:sz w:val="22"/>
          <w:szCs w:val="22"/>
        </w:rPr>
        <w:t xml:space="preserve">gene </w:t>
      </w:r>
      <w:r w:rsidR="00637EFD" w:rsidRPr="00653918">
        <w:rPr>
          <w:rFonts w:ascii="Baskerville" w:hAnsi="Baskerville" w:cs="Baskerville"/>
          <w:sz w:val="22"/>
          <w:szCs w:val="22"/>
        </w:rPr>
        <w:t>regulatory networks</w:t>
      </w:r>
      <w:r w:rsidR="000D609A">
        <w:rPr>
          <w:rFonts w:ascii="Baskerville" w:hAnsi="Baskerville" w:cs="Baskerville"/>
          <w:sz w:val="22"/>
          <w:szCs w:val="22"/>
        </w:rPr>
        <w:fldChar w:fldCharType="begin" w:fldLock="1"/>
      </w:r>
      <w:r w:rsidR="000D609A">
        <w:rPr>
          <w:rFonts w:ascii="Baskerville" w:hAnsi="Baskerville" w:cs="Baskerville"/>
          <w:sz w:val="22"/>
          <w:szCs w:val="22"/>
        </w:rPr>
        <w:instrText>ADDIN CSL_CITATION { "citationItems" : [ { "id" : "ITEM-1", "itemData" : { "DOI" : "10.1038/nn.4205", "ISSN" : "1546-1726", "PMID" : "26691832", "abstract" : "Genetic determinants of cognition are poorly characterized, and their relationship to genes that confer risk for neurodevelopmental disease is unclear. Here we performed a systems-level analysis of genome-wide gene expression data to infer gene-regulatory networks conserved across species and brain regions. Two of these networks, M1 and M3, showed replicable enrichment for common genetic variants underlying healthy human cognitive abilities, including memory. Using exome sequence data from 6,871 trios, we found that M3 genes were also enriched for mutations ascertained from patients with neurodevelopmental disease generally, and intellectual disability and epileptic encephalopathy in particular. M3 consists of 150 genes whose expression is tightly developmentally regulated, but which are collectively poorly annotated for known functional pathways. These results illustrate how systems-level analyses can reveal previously unappreciated relationships between neurodevelopmental disease-associated genes in the developed human brain, and provide empirical support for a convergent gene-regulatory network influencing cognition and neurodevelopmental disease.", "author" : [ { "dropping-particle" : "", "family" : "Johnson", "given" : "Michael R", "non-dropping-particle" : "", "parse-names" : false, "suffix" : "" }, { "dropping-particle" : "", "family" : "Shkura", "given" : "Kirill", "non-dropping-particle" : "", "parse-names" : false, "suffix" : "" }, { "dropping-particle" : "", "family" : "Langley", "given" : "Sarah R", "non-dropping-particle" : "", "parse-names" : false, "suffix" : "" }, { "dropping-particle" : "", "family" : "Delahaye-Duriez", "given" : "Andree", "non-dropping-particle" : "", "parse-names" : false, "suffix" : "" }, { "dropping-particle" : "", "family" : "Srivastava", "given" : "Prashant", "non-dropping-particle" : "", "parse-names" : false, "suffix" : "" }, { "dropping-particle" : "", "family" : "Hill", "given" : "W David", "non-dropping-particle" : "", "parse-names" : false, "suffix" : "" }, { "dropping-particle" : "", "family" : "Rackham", "given" : "Owen J L", "non-dropping-particle" : "", "parse-names" : false, "suffix" : "" }, { "dropping-particle" : "", "family" : "Davies", "given" : "Gail", "non-dropping-particle" : "", "parse-names" : false, "suffix" : "" }, { "dropping-particle" : "", "family" : "Harris", "given" : "Sarah E", "non-dropping-particle" : "", "parse-names" : false, "suffix" : "" }, { "dropping-particle" : "", "family" : "Moreno-Moral", "given" : "Aida", "non-dropping-particle" : "", "parse-names" : false, "suffix" : "" }, { "dropping-particle" : "", "family" : "Rotival", "given" : "Maxime", "non-dropping-particle" : "", "parse-names" : false, "suffix" : "" }, { "dropping-particle" : "", "family" : "Speed", "given" : "Doug", "non-dropping-particle" : "", "parse-names" : false, "suffix" : "" }, { "dropping-particle" : "", "family" : "Petrovski", "given" : "Slav\u00e9", "non-dropping-particle" : "", "parse-names" : false, "suffix" : "" }, { "dropping-particle" : "", "family" : "Katz", "given" : "Ana\u00efs", "non-dropping-particle" : "", "parse-names" : false, "suffix" : "" }, { "dropping-particle" : "", "family" : "Hayward", "given" : "Caroline", "non-dropping-particle" : "", "parse-names" : false, "suffix" : "" }, { "dropping-particle" : "", "family" : "Porteous", "given" : "David J", "non-dropping-particle" : "", "parse-names" : false, "suffix" : "" }, { "dropping-particle" : "", "family" : "Smith", "given" : "Blair H", "non-dropping-particle" : "", "parse-names" : false, "suffix" : "" }, { "dropping-particle" : "", "family" : "Padmanabhan", "given" : "Sandosh", "non-dropping-particle" : "", "parse-names" : false, "suffix" : "" }, { "dropping-particle" : "", "family" : "Hocking", "given" : "Lynne J", "non-dropping-particle" : "", "parse-names" : false, "suffix" : "" }, { "dropping-particle" : "", "family" : "Starr", "given" : "John M", "non-dropping-particle" : "", "parse-names" : false, "suffix" : "" }, { "dropping-particle" : "", "family" : "Liewald", "given" : "David C", "non-dropping-particle" : "", "parse-names" : false, "suffix" : "" }, { "dropping-particle" : "", "family" : "Visconti", "given" : "Alessia", "non-dropping-particle" : "", "parse-names" : false, "suffix" : "" }, { "dropping-particle" : "", "family" : "Falchi", "given" : "Mario", "non-dropping-particle" : "", "parse-names" : false, "suffix" : "" }, { "dropping-particle" : "", "family" : "Bottolo", "given" : "Leonardo", "non-dropping-particle" : "", "parse-names" : false, "suffix" : "" }, { "dropping-particle" : "", "family" : "Rossetti", "given" : "Tiziana", "non-dropping-particle" : "", "parse-names" : false, "suffix" : "" }, { "dropping-particle" : "", "family" : "Danis", "given" : "B\u00e9n\u00e9dicte", "non-dropping-particle" : "", "parse-names" : false, "suffix" : "" }, { "dropping-particle" : "", "family" : "Mazzuferi", "given" : "Manuela", "non-dropping-particle" : "", "parse-names" : false, "suffix" : "" }, { "dropping-particle" : "", "family" : "Foerch", "given" : "Patrik", "non-dropping-particle" : "", "parse-names" : false, "suffix" : "" }, { "dropping-particle" : "", "family" : "Grote", "given" : "Alexander", "non-dropping-particle" : "", "parse-names" : false, "suffix" : "" }, { "dropping-particle" : "", "family" : "Helmstaedter", "given" : "Christoph", "non-dropping-particle" : "", "parse-names" : false, "suffix" : "" }, { "dropping-particle" : "", "family" : "Becker", "given" : "Albert J", "non-dropping-particle" : "", "parse-names" : false, "suffix" : "" }, { "dropping-particle" : "", "family" : "Kaminski", "given" : "Rafal M", "non-dropping-particle" : "", "parse-names" : false, "suffix" : "" }, { "dropping-particle" : "", "family" : "Deary", "given" : "Ian J", "non-dropping-particle" : "", "parse-names" : false, "suffix" : "" }, { "dropping-particle" : "", "family" : "Petretto", "given" : "Enrico", "non-dropping-particle" : "", "parse-names" : false, "suffix" : "" } ], "container-title" : "Nature neuroscience", "id" : "ITEM-1", "issue" : "2", "issued" : { "date-parts" : [ [ "2016" ] ] }, "page" : "223-32", "title" : "Systems genetics identifies a convergent gene network for cognition and neurodevelopmental disease.", "type" : "article-journal", "volume" : "19" }, "uris" : [ "http://www.mendeley.com/documents/?uuid=b25db3b4-d8f5-4603-aac4-e0535f0e8a20" ] } ], "mendeley" : { "formattedCitation" : "[62]", "plainTextFormattedCitation" : "[62]", "previouslyFormattedCitation" : "[61]" }, "properties" : { "noteIndex" : 0 }, "schema" : "https://github.com/citation-style-language/schema/raw/master/csl-citation.json" }</w:instrText>
      </w:r>
      <w:r w:rsidR="000D609A">
        <w:rPr>
          <w:rFonts w:ascii="Baskerville" w:hAnsi="Baskerville" w:cs="Baskerville"/>
          <w:sz w:val="22"/>
          <w:szCs w:val="22"/>
        </w:rPr>
        <w:fldChar w:fldCharType="separate"/>
      </w:r>
      <w:r w:rsidR="000D609A" w:rsidRPr="00F3024F">
        <w:rPr>
          <w:rFonts w:ascii="Baskerville" w:hAnsi="Baskerville" w:cs="Baskerville"/>
          <w:noProof/>
          <w:sz w:val="22"/>
          <w:szCs w:val="22"/>
        </w:rPr>
        <w:t>[62]</w:t>
      </w:r>
      <w:r w:rsidR="000D609A">
        <w:rPr>
          <w:rFonts w:ascii="Baskerville" w:hAnsi="Baskerville" w:cs="Baskerville"/>
          <w:sz w:val="22"/>
          <w:szCs w:val="22"/>
        </w:rPr>
        <w:fldChar w:fldCharType="end"/>
      </w:r>
      <w:r w:rsidR="000D609A">
        <w:rPr>
          <w:rFonts w:ascii="Baskerville" w:hAnsi="Baskerville" w:cs="Baskerville"/>
          <w:sz w:val="22"/>
          <w:szCs w:val="22"/>
        </w:rPr>
        <w:t>**</w:t>
      </w:r>
      <w:r w:rsidR="000D609A">
        <w:rPr>
          <w:rFonts w:ascii="Baskerville" w:hAnsi="Baskerville" w:cs="Baskerville"/>
          <w:sz w:val="22"/>
          <w:szCs w:val="22"/>
        </w:rPr>
        <w:fldChar w:fldCharType="begin" w:fldLock="1"/>
      </w:r>
      <w:r w:rsidR="000D609A">
        <w:rPr>
          <w:rFonts w:ascii="Baskerville" w:hAnsi="Baskerville" w:cs="Baskerville"/>
          <w:sz w:val="22"/>
          <w:szCs w:val="22"/>
        </w:rPr>
        <w:instrText>ADDIN CSL_CITATION { "citationItems" : [ { "id" : "ITEM-1", "itemData" : { "DOI" : "10.1186/s13059-016-1097-7", "author" : [ { "dropping-particle" : "", "family" : "Delahaye-Duriez", "given" : "Andree", "non-dropping-particle" : "", "parse-names" : false, "suffix" : "" }, { "dropping-particle" : "", "family" : "Srivastava", "given" : "Prashant", "non-dropping-particle" : "", "parse-names" : false, "suffix" : "" }, { "dropping-particle" : "", "family" : "Shkura", "given" : "Kirill", "non-dropping-particle" : "", "parse-names" : false, "suffix" : "" }, { "dropping-particle" : "", "family" : "Langley", "given" : "Sarah R.", "non-dropping-particle" : "", "parse-names" : false, "suffix" : "" }, { "dropping-particle" : "", "family" : "Laaniste", "given" : "Liisi", "non-dropping-particle" : "", "parse-names" : false, "suffix" : "" }, { "dropping-particle" : "", "family" : "Moreno-Moral", "given" : "Aida", "non-dropping-particle" : "", "parse-names" : false, "suffix" : "" }, { "dropping-particle" : "", "family" : "Danis", "given" : "B\u00e9n\u00e9dicte", "non-dropping-particle" : "", "parse-names" : false, "suffix" : "" }, { "dropping-particle" : "", "family" : "Mazzuferi", "given" : "Manuela", "non-dropping-particle" : "", "parse-names" : false, "suffix" : "" }, { "dropping-particle" : "", "family" : "Foerch", "given" : "Patrik", "non-dropping-particle" : "", "parse-names" : false, "suffix" : "" }, { "dropping-particle" : "", "family" : "Gazina", "given" : "Elena", "non-dropping-particle" : "", "parse-names" : false, "suffix" : "" }, { "dropping-particle" : "", "family" : "Richards", "given" : "Kay", "non-dropping-particle" : "", "parse-names" : false, "suffix" : "" }, { "dropping-particle" : "", "family" : "Petrou", "given" : "Steven", "non-dropping-particle" : "", "parse-names" : false, "suffix" : "" }, { "dropping-particle" : "", "family" : "Kaminski", "given" : "Rafal", "non-dropping-particle" : "", "parse-names" : false, "suffix" : "" }, { "dropping-particle" : "", "family" : "Petretto", "given" : "Enrico", "non-dropping-particle" : "", "parse-names" : false, "suffix" : "" }, { "dropping-particle" : "", "family" : "Johnson", "given" : "Michael R.", "non-dropping-particle" : "", "parse-names" : false, "suffix" : "" } ], "container-title" : "Genome Biology", "id" : "ITEM-1", "issued" : { "date-parts" : [ [ "2016" ] ] }, "title" : "Rare and common epilepsies converge on a shared gene regulatory network providing opportunities for novel antiepileptic drug discovery", "type" : "article-journal", "volume" : "In Press" }, "uris" : [ "http://www.mendeley.com/documents/?uuid=40f3e793-3631-4a57-8088-b4f93e46b7e8" ] } ], "mendeley" : { "formattedCitation" : "[63]", "plainTextFormattedCitation" : "[63]", "previouslyFormattedCitation" : "[62]" }, "properties" : { "noteIndex" : 0 }, "schema" : "https://github.com/citation-style-language/schema/raw/master/csl-citation.json" }</w:instrText>
      </w:r>
      <w:r w:rsidR="000D609A">
        <w:rPr>
          <w:rFonts w:ascii="Baskerville" w:hAnsi="Baskerville" w:cs="Baskerville"/>
          <w:sz w:val="22"/>
          <w:szCs w:val="22"/>
        </w:rPr>
        <w:fldChar w:fldCharType="separate"/>
      </w:r>
      <w:r w:rsidR="000D609A" w:rsidRPr="00F3024F">
        <w:rPr>
          <w:rFonts w:ascii="Baskerville" w:hAnsi="Baskerville" w:cs="Baskerville"/>
          <w:noProof/>
          <w:sz w:val="22"/>
          <w:szCs w:val="22"/>
        </w:rPr>
        <w:t>[63]</w:t>
      </w:r>
      <w:r w:rsidR="000D609A">
        <w:rPr>
          <w:rFonts w:ascii="Baskerville" w:hAnsi="Baskerville" w:cs="Baskerville"/>
          <w:sz w:val="22"/>
          <w:szCs w:val="22"/>
        </w:rPr>
        <w:fldChar w:fldCharType="end"/>
      </w:r>
      <w:r w:rsidR="00BD7381">
        <w:rPr>
          <w:rFonts w:ascii="Baskerville" w:hAnsi="Baskerville" w:cs="Baskerville"/>
          <w:sz w:val="22"/>
          <w:szCs w:val="22"/>
        </w:rPr>
        <w:t>*</w:t>
      </w:r>
      <w:r w:rsidR="000D609A">
        <w:rPr>
          <w:rFonts w:ascii="Baskerville" w:hAnsi="Baskerville" w:cs="Baskerville"/>
          <w:sz w:val="22"/>
          <w:szCs w:val="22"/>
        </w:rPr>
        <w:t>,</w:t>
      </w:r>
      <w:r w:rsidR="00637EFD" w:rsidRPr="00653918">
        <w:rPr>
          <w:rFonts w:ascii="Baskerville" w:hAnsi="Baskerville" w:cs="Baskerville"/>
          <w:sz w:val="22"/>
          <w:szCs w:val="22"/>
        </w:rPr>
        <w:t xml:space="preserve"> and that the</w:t>
      </w:r>
      <w:r w:rsidR="00C666E6" w:rsidRPr="00653918">
        <w:rPr>
          <w:rFonts w:ascii="Baskerville" w:hAnsi="Baskerville" w:cs="Baskerville"/>
          <w:sz w:val="22"/>
          <w:szCs w:val="22"/>
        </w:rPr>
        <w:t>se</w:t>
      </w:r>
      <w:r w:rsidR="00637EFD" w:rsidRPr="00653918">
        <w:rPr>
          <w:rFonts w:ascii="Baskerville" w:hAnsi="Baskerville" w:cs="Baskerville"/>
          <w:sz w:val="22"/>
          <w:szCs w:val="22"/>
        </w:rPr>
        <w:t xml:space="preserve"> </w:t>
      </w:r>
      <w:r w:rsidR="00FB39B0" w:rsidRPr="00653918">
        <w:rPr>
          <w:rFonts w:ascii="Baskerville" w:hAnsi="Baskerville" w:cs="Baskerville"/>
          <w:sz w:val="22"/>
          <w:szCs w:val="22"/>
        </w:rPr>
        <w:t>network</w:t>
      </w:r>
      <w:r w:rsidR="00ED2E63">
        <w:rPr>
          <w:rFonts w:ascii="Baskerville" w:hAnsi="Baskerville" w:cs="Baskerville"/>
          <w:sz w:val="22"/>
          <w:szCs w:val="22"/>
        </w:rPr>
        <w:t>s</w:t>
      </w:r>
      <w:r w:rsidR="00FB39B0" w:rsidRPr="00653918">
        <w:rPr>
          <w:rFonts w:ascii="Baskerville" w:hAnsi="Baskerville" w:cs="Baskerville"/>
          <w:sz w:val="22"/>
          <w:szCs w:val="22"/>
        </w:rPr>
        <w:t xml:space="preserve"> </w:t>
      </w:r>
      <w:r w:rsidR="0018465F" w:rsidRPr="00653918">
        <w:rPr>
          <w:rFonts w:ascii="Baskerville" w:hAnsi="Baskerville" w:cs="Baskerville"/>
          <w:sz w:val="22"/>
          <w:szCs w:val="22"/>
        </w:rPr>
        <w:t>overlap</w:t>
      </w:r>
      <w:r w:rsidR="00637EFD" w:rsidRPr="00653918">
        <w:rPr>
          <w:rFonts w:ascii="Baskerville" w:hAnsi="Baskerville" w:cs="Baskerville"/>
          <w:sz w:val="22"/>
          <w:szCs w:val="22"/>
        </w:rPr>
        <w:t xml:space="preserve"> with </w:t>
      </w:r>
      <w:r w:rsidR="008B1E66">
        <w:rPr>
          <w:rFonts w:ascii="Baskerville" w:hAnsi="Baskerville" w:cs="Baskerville"/>
          <w:sz w:val="22"/>
          <w:szCs w:val="22"/>
        </w:rPr>
        <w:t>those for</w:t>
      </w:r>
      <w:r w:rsidR="002834B3">
        <w:rPr>
          <w:rFonts w:ascii="Baskerville" w:hAnsi="Baskerville" w:cs="Baskerville"/>
          <w:sz w:val="22"/>
          <w:szCs w:val="22"/>
        </w:rPr>
        <w:t xml:space="preserve"> </w:t>
      </w:r>
      <w:r w:rsidR="00BA5AF9">
        <w:rPr>
          <w:rFonts w:ascii="Baskerville" w:hAnsi="Baskerville" w:cs="Baskerville"/>
          <w:sz w:val="22"/>
          <w:szCs w:val="22"/>
        </w:rPr>
        <w:t xml:space="preserve">both </w:t>
      </w:r>
      <w:r w:rsidR="002834B3">
        <w:rPr>
          <w:rFonts w:ascii="Baskerville" w:hAnsi="Baskerville" w:cs="Baskerville"/>
          <w:sz w:val="22"/>
          <w:szCs w:val="22"/>
        </w:rPr>
        <w:t>human cognition</w:t>
      </w:r>
      <w:r w:rsidR="00D93E41">
        <w:rPr>
          <w:rFonts w:ascii="Baskerville" w:hAnsi="Baskerville" w:cs="Baskerville"/>
          <w:sz w:val="22"/>
          <w:szCs w:val="22"/>
        </w:rPr>
        <w:fldChar w:fldCharType="begin" w:fldLock="1"/>
      </w:r>
      <w:r w:rsidR="00F3024F">
        <w:rPr>
          <w:rFonts w:ascii="Baskerville" w:hAnsi="Baskerville" w:cs="Baskerville"/>
          <w:sz w:val="22"/>
          <w:szCs w:val="22"/>
        </w:rPr>
        <w:instrText>ADDIN CSL_CITATION { "citationItems" : [ { "id" : "ITEM-1", "itemData" : { "DOI" : "10.1038/nn.4205", "ISSN" : "1546-1726", "PMID" : "26691832", "abstract" : "Genetic determinants of cognition are poorly characterized, and their relationship to genes that confer risk for neurodevelopmental disease is unclear. Here we performed a systems-level analysis of genome-wide gene expression data to infer gene-regulatory networks conserved across species and brain regions. Two of these networks, M1 and M3, showed replicable enrichment for common genetic variants underlying healthy human cognitive abilities, including memory. Using exome sequence data from 6,871 trios, we found that M3 genes were also enriched for mutations ascertained from patients with neurodevelopmental disease generally, and intellectual disability and epileptic encephalopathy in particular. M3 consists of 150 genes whose expression is tightly developmentally regulated, but which are collectively poorly annotated for known functional pathways. These results illustrate how systems-level analyses can reveal previously unappreciated relationships between neurodevelopmental disease-associated genes in the developed human brain, and provide empirical support for a convergent gene-regulatory network influencing cognition and neurodevelopmental disease.", "author" : [ { "dropping-particle" : "", "family" : "Johnson", "given" : "Michael R", "non-dropping-particle" : "", "parse-names" : false, "suffix" : "" }, { "dropping-particle" : "", "family" : "Shkura", "given" : "Kirill", "non-dropping-particle" : "", "parse-names" : false, "suffix" : "" }, { "dropping-particle" : "", "family" : "Langley", "given" : "Sarah R", "non-dropping-particle" : "", "parse-names" : false, "suffix" : "" }, { "dropping-particle" : "", "family" : "Delahaye-Duriez", "given" : "Andree", "non-dropping-particle" : "", "parse-names" : false, "suffix" : "" }, { "dropping-particle" : "", "family" : "Srivastava", "given" : "Prashant", "non-dropping-particle" : "", "parse-names" : false, "suffix" : "" }, { "dropping-particle" : "", "family" : "Hill", "given" : "W David", "non-dropping-particle" : "", "parse-names" : false, "suffix" : "" }, { "dropping-particle" : "", "family" : "Rackham", "given" : "Owen J L", "non-dropping-particle" : "", "parse-names" : false, "suffix" : "" }, { "dropping-particle" : "", "family" : "Davies", "given" : "Gail", "non-dropping-particle" : "", "parse-names" : false, "suffix" : "" }, { "dropping-particle" : "", "family" : "Harris", "given" : "Sarah E", "non-dropping-particle" : "", "parse-names" : false, "suffix" : "" }, { "dropping-particle" : "", "family" : "Moreno-Moral", "given" : "Aida", "non-dropping-particle" : "", "parse-names" : false, "suffix" : "" }, { "dropping-particle" : "", "family" : "Rotival", "given" : "Maxime", "non-dropping-particle" : "", "parse-names" : false, "suffix" : "" }, { "dropping-particle" : "", "family" : "Speed", "given" : "Doug", "non-dropping-particle" : "", "parse-names" : false, "suffix" : "" }, { "dropping-particle" : "", "family" : "Petrovski", "given" : "Slav\u00e9", "non-dropping-particle" : "", "parse-names" : false, "suffix" : "" }, { "dropping-particle" : "", "family" : "Katz", "given" : "Ana\u00efs", "non-dropping-particle" : "", "parse-names" : false, "suffix" : "" }, { "dropping-particle" : "", "family" : "Hayward", "given" : "Caroline", "non-dropping-particle" : "", "parse-names" : false, "suffix" : "" }, { "dropping-particle" : "", "family" : "Porteous", "given" : "David J", "non-dropping-particle" : "", "parse-names" : false, "suffix" : "" }, { "dropping-particle" : "", "family" : "Smith", "given" : "Blair H", "non-dropping-particle" : "", "parse-names" : false, "suffix" : "" }, { "dropping-particle" : "", "family" : "Padmanabhan", "given" : "Sandosh", "non-dropping-particle" : "", "parse-names" : false, "suffix" : "" }, { "dropping-particle" : "", "family" : "Hocking", "given" : "Lynne J", "non-dropping-particle" : "", "parse-names" : false, "suffix" : "" }, { "dropping-particle" : "", "family" : "Starr", "given" : "John M", "non-dropping-particle" : "", "parse-names" : false, "suffix" : "" }, { "dropping-particle" : "", "family" : "Liewald", "given" : "David C", "non-dropping-particle" : "", "parse-names" : false, "suffix" : "" }, { "dropping-particle" : "", "family" : "Visconti", "given" : "Alessia", "non-dropping-particle" : "", "parse-names" : false, "suffix" : "" }, { "dropping-particle" : "", "family" : "Falchi", "given" : "Mario", "non-dropping-particle" : "", "parse-names" : false, "suffix" : "" }, { "dropping-particle" : "", "family" : "Bottolo", "given" : "Leonardo", "non-dropping-particle" : "", "parse-names" : false, "suffix" : "" }, { "dropping-particle" : "", "family" : "Rossetti", "given" : "Tiziana", "non-dropping-particle" : "", "parse-names" : false, "suffix" : "" }, { "dropping-particle" : "", "family" : "Danis", "given" : "B\u00e9n\u00e9dicte", "non-dropping-particle" : "", "parse-names" : false, "suffix" : "" }, { "dropping-particle" : "", "family" : "Mazzuferi", "given" : "Manuela", "non-dropping-particle" : "", "parse-names" : false, "suffix" : "" }, { "dropping-particle" : "", "family" : "Foerch", "given" : "Patrik", "non-dropping-particle" : "", "parse-names" : false, "suffix" : "" }, { "dropping-particle" : "", "family" : "Grote", "given" : "Alexander", "non-dropping-particle" : "", "parse-names" : false, "suffix" : "" }, { "dropping-particle" : "", "family" : "Helmstaedter", "given" : "Christoph", "non-dropping-particle" : "", "parse-names" : false, "suffix" : "" }, { "dropping-particle" : "", "family" : "Becker", "given" : "Albert J", "non-dropping-particle" : "", "parse-names" : false, "suffix" : "" }, { "dropping-particle" : "", "family" : "Kaminski", "given" : "Rafal M", "non-dropping-particle" : "", "parse-names" : false, "suffix" : "" }, { "dropping-particle" : "", "family" : "Deary", "given" : "Ian J", "non-dropping-particle" : "", "parse-names" : false, "suffix" : "" }, { "dropping-particle" : "", "family" : "Petretto", "given" : "Enrico", "non-dropping-particle" : "", "parse-names" : false, "suffix" : "" } ], "container-title" : "Nature neuroscience", "id" : "ITEM-1", "issue" : "2", "issued" : { "date-parts" : [ [ "2016" ] ] }, "page" : "223-32", "title" : "Systems genetics identifies a convergent gene network for cognition and neurodevelopmental disease.", "type" : "article-journal", "volume" : "19" }, "uris" : [ "http://www.mendeley.com/documents/?uuid=b25db3b4-d8f5-4603-aac4-e0535f0e8a20" ] } ], "mendeley" : { "formattedCitation" : "[62]", "plainTextFormattedCitation" : "[62]", "previouslyFormattedCitation" : "[61]" }, "properties" : { "noteIndex" : 0 }, "schema" : "https://github.com/citation-style-language/schema/raw/master/csl-citation.json" }</w:instrText>
      </w:r>
      <w:r w:rsidR="00D93E41">
        <w:rPr>
          <w:rFonts w:ascii="Baskerville" w:hAnsi="Baskerville" w:cs="Baskerville"/>
          <w:sz w:val="22"/>
          <w:szCs w:val="22"/>
        </w:rPr>
        <w:fldChar w:fldCharType="separate"/>
      </w:r>
      <w:r w:rsidR="00F3024F" w:rsidRPr="00F3024F">
        <w:rPr>
          <w:rFonts w:ascii="Baskerville" w:hAnsi="Baskerville" w:cs="Baskerville"/>
          <w:noProof/>
          <w:sz w:val="22"/>
          <w:szCs w:val="22"/>
        </w:rPr>
        <w:t>[62]</w:t>
      </w:r>
      <w:r w:rsidR="00D93E41">
        <w:rPr>
          <w:rFonts w:ascii="Baskerville" w:hAnsi="Baskerville" w:cs="Baskerville"/>
          <w:sz w:val="22"/>
          <w:szCs w:val="22"/>
        </w:rPr>
        <w:fldChar w:fldCharType="end"/>
      </w:r>
      <w:r w:rsidR="00043839">
        <w:rPr>
          <w:rFonts w:ascii="Baskerville" w:hAnsi="Baskerville" w:cs="Baskerville"/>
          <w:sz w:val="22"/>
          <w:szCs w:val="22"/>
        </w:rPr>
        <w:t>**</w:t>
      </w:r>
      <w:r w:rsidR="00637EFD" w:rsidRPr="00653918">
        <w:rPr>
          <w:rFonts w:ascii="Baskerville" w:hAnsi="Baskerville" w:cs="Baskerville"/>
          <w:sz w:val="22"/>
          <w:szCs w:val="22"/>
        </w:rPr>
        <w:t xml:space="preserve"> </w:t>
      </w:r>
      <w:r w:rsidR="00BA5AF9">
        <w:rPr>
          <w:rFonts w:ascii="Baskerville" w:hAnsi="Baskerville" w:cs="Baskerville"/>
          <w:sz w:val="22"/>
          <w:szCs w:val="22"/>
        </w:rPr>
        <w:t xml:space="preserve">and </w:t>
      </w:r>
      <w:r w:rsidR="002834B3">
        <w:rPr>
          <w:rFonts w:ascii="Baskerville" w:hAnsi="Baskerville" w:cs="Baskerville"/>
          <w:sz w:val="22"/>
          <w:szCs w:val="22"/>
        </w:rPr>
        <w:t>non-mendelian</w:t>
      </w:r>
      <w:r w:rsidR="003A3FBB" w:rsidRPr="00653918">
        <w:rPr>
          <w:rFonts w:ascii="Baskerville" w:hAnsi="Baskerville" w:cs="Baskerville"/>
          <w:sz w:val="22"/>
          <w:szCs w:val="22"/>
        </w:rPr>
        <w:t xml:space="preserve"> </w:t>
      </w:r>
      <w:r w:rsidR="009740CF" w:rsidRPr="00653918">
        <w:rPr>
          <w:rFonts w:ascii="Baskerville" w:hAnsi="Baskerville" w:cs="Baskerville"/>
          <w:sz w:val="22"/>
          <w:szCs w:val="22"/>
        </w:rPr>
        <w:t xml:space="preserve">common </w:t>
      </w:r>
      <w:r w:rsidR="00637EFD" w:rsidRPr="00653918">
        <w:rPr>
          <w:rFonts w:ascii="Baskerville" w:hAnsi="Baskerville" w:cs="Baskerville"/>
          <w:sz w:val="22"/>
          <w:szCs w:val="22"/>
        </w:rPr>
        <w:t>forms of epileps</w:t>
      </w:r>
      <w:r w:rsidR="00D93E41">
        <w:rPr>
          <w:rFonts w:ascii="Baskerville" w:hAnsi="Baskerville" w:cs="Baskerville"/>
          <w:sz w:val="22"/>
          <w:szCs w:val="22"/>
        </w:rPr>
        <w:t>y</w:t>
      </w:r>
      <w:r w:rsidR="00D93E41">
        <w:rPr>
          <w:rFonts w:ascii="Baskerville" w:hAnsi="Baskerville" w:cs="Baskerville"/>
          <w:sz w:val="22"/>
          <w:szCs w:val="22"/>
        </w:rPr>
        <w:fldChar w:fldCharType="begin" w:fldLock="1"/>
      </w:r>
      <w:r w:rsidR="00F3024F">
        <w:rPr>
          <w:rFonts w:ascii="Baskerville" w:hAnsi="Baskerville" w:cs="Baskerville"/>
          <w:sz w:val="22"/>
          <w:szCs w:val="22"/>
        </w:rPr>
        <w:instrText>ADDIN CSL_CITATION { "citationItems" : [ { "id" : "ITEM-1", "itemData" : { "DOI" : "10.1186/s13059-016-1097-7", "author" : [ { "dropping-particle" : "", "family" : "Delahaye-Duriez", "given" : "Andree", "non-dropping-particle" : "", "parse-names" : false, "suffix" : "" }, { "dropping-particle" : "", "family" : "Srivastava", "given" : "Prashant", "non-dropping-particle" : "", "parse-names" : false, "suffix" : "" }, { "dropping-particle" : "", "family" : "Shkura", "given" : "Kirill", "non-dropping-particle" : "", "parse-names" : false, "suffix" : "" }, { "dropping-particle" : "", "family" : "Langley", "given" : "Sarah R.", "non-dropping-particle" : "", "parse-names" : false, "suffix" : "" }, { "dropping-particle" : "", "family" : "Laaniste", "given" : "Liisi", "non-dropping-particle" : "", "parse-names" : false, "suffix" : "" }, { "dropping-particle" : "", "family" : "Moreno-Moral", "given" : "Aida", "non-dropping-particle" : "", "parse-names" : false, "suffix" : "" }, { "dropping-particle" : "", "family" : "Danis", "given" : "B\u00e9n\u00e9dicte", "non-dropping-particle" : "", "parse-names" : false, "suffix" : "" }, { "dropping-particle" : "", "family" : "Mazzuferi", "given" : "Manuela", "non-dropping-particle" : "", "parse-names" : false, "suffix" : "" }, { "dropping-particle" : "", "family" : "Foerch", "given" : "Patrik", "non-dropping-particle" : "", "parse-names" : false, "suffix" : "" }, { "dropping-particle" : "", "family" : "Gazina", "given" : "Elena", "non-dropping-particle" : "", "parse-names" : false, "suffix" : "" }, { "dropping-particle" : "", "family" : "Richards", "given" : "Kay", "non-dropping-particle" : "", "parse-names" : false, "suffix" : "" }, { "dropping-particle" : "", "family" : "Petrou", "given" : "Steven", "non-dropping-particle" : "", "parse-names" : false, "suffix" : "" }, { "dropping-particle" : "", "family" : "Kaminski", "given" : "Rafal", "non-dropping-particle" : "", "parse-names" : false, "suffix" : "" }, { "dropping-particle" : "", "family" : "Petretto", "given" : "Enrico", "non-dropping-particle" : "", "parse-names" : false, "suffix" : "" }, { "dropping-particle" : "", "family" : "Johnson", "given" : "Michael R.", "non-dropping-particle" : "", "parse-names" : false, "suffix" : "" } ], "container-title" : "Genome Biology", "id" : "ITEM-1", "issued" : { "date-parts" : [ [ "2016" ] ] }, "title" : "Rare and common epilepsies converge on a shared gene regulatory network providing opportunities for novel antiepileptic drug discovery", "type" : "article-journal", "volume" : "In Press" }, "uris" : [ "http://www.mendeley.com/documents/?uuid=40f3e793-3631-4a57-8088-b4f93e46b7e8" ] } ], "mendeley" : { "formattedCitation" : "[63]", "plainTextFormattedCitation" : "[63]", "previouslyFormattedCitation" : "[62]" }, "properties" : { "noteIndex" : 0 }, "schema" : "https://github.com/citation-style-language/schema/raw/master/csl-citation.json" }</w:instrText>
      </w:r>
      <w:r w:rsidR="00D93E41">
        <w:rPr>
          <w:rFonts w:ascii="Baskerville" w:hAnsi="Baskerville" w:cs="Baskerville"/>
          <w:sz w:val="22"/>
          <w:szCs w:val="22"/>
        </w:rPr>
        <w:fldChar w:fldCharType="separate"/>
      </w:r>
      <w:r w:rsidR="00F3024F" w:rsidRPr="00F3024F">
        <w:rPr>
          <w:rFonts w:ascii="Baskerville" w:hAnsi="Baskerville" w:cs="Baskerville"/>
          <w:noProof/>
          <w:sz w:val="22"/>
          <w:szCs w:val="22"/>
        </w:rPr>
        <w:t>[63]</w:t>
      </w:r>
      <w:r w:rsidR="00D93E41">
        <w:rPr>
          <w:rFonts w:ascii="Baskerville" w:hAnsi="Baskerville" w:cs="Baskerville"/>
          <w:sz w:val="22"/>
          <w:szCs w:val="22"/>
        </w:rPr>
        <w:fldChar w:fldCharType="end"/>
      </w:r>
      <w:r w:rsidR="00043839">
        <w:rPr>
          <w:rFonts w:ascii="Baskerville" w:hAnsi="Baskerville" w:cs="Baskerville"/>
          <w:sz w:val="22"/>
          <w:szCs w:val="22"/>
        </w:rPr>
        <w:t>*</w:t>
      </w:r>
      <w:r w:rsidR="00637EFD" w:rsidRPr="00653918">
        <w:rPr>
          <w:rFonts w:ascii="Baskerville" w:hAnsi="Baskerville" w:cs="Baskerville"/>
          <w:sz w:val="22"/>
          <w:szCs w:val="22"/>
        </w:rPr>
        <w:t xml:space="preserve">. </w:t>
      </w:r>
      <w:r w:rsidR="00951DE6">
        <w:rPr>
          <w:rFonts w:ascii="Baskerville" w:hAnsi="Baskerville" w:cs="Baskerville"/>
          <w:sz w:val="22"/>
          <w:szCs w:val="22"/>
        </w:rPr>
        <w:t xml:space="preserve">These studies suggest the substantial and heterogeneous genetic contributions to epilepsy may </w:t>
      </w:r>
      <w:r w:rsidR="005D282B">
        <w:rPr>
          <w:rFonts w:ascii="Baskerville" w:hAnsi="Baskerville" w:cs="Baskerville"/>
          <w:sz w:val="22"/>
          <w:szCs w:val="22"/>
        </w:rPr>
        <w:t xml:space="preserve">(at least in part) </w:t>
      </w:r>
      <w:r w:rsidR="00951DE6">
        <w:rPr>
          <w:rFonts w:ascii="Baskerville" w:hAnsi="Baskerville" w:cs="Baskerville"/>
          <w:sz w:val="22"/>
          <w:szCs w:val="22"/>
        </w:rPr>
        <w:t xml:space="preserve">converge on common pathways that are currently poorly understood. </w:t>
      </w:r>
      <w:r w:rsidR="00A927C4" w:rsidRPr="00653918">
        <w:rPr>
          <w:rFonts w:ascii="Baskerville" w:hAnsi="Baskerville" w:cs="Baskerville"/>
          <w:sz w:val="22"/>
          <w:szCs w:val="22"/>
        </w:rPr>
        <w:t xml:space="preserve">Importantly, </w:t>
      </w:r>
      <w:r w:rsidR="00C117F8" w:rsidRPr="00653918">
        <w:rPr>
          <w:rFonts w:ascii="Baskerville" w:hAnsi="Baskerville" w:cs="Baskerville"/>
          <w:sz w:val="22"/>
          <w:szCs w:val="22"/>
        </w:rPr>
        <w:t xml:space="preserve">gene regulatory networks represent measurable molecular entities which can be targeted for </w:t>
      </w:r>
      <w:r w:rsidR="000E6C22">
        <w:rPr>
          <w:rFonts w:ascii="Baskerville" w:hAnsi="Baskerville" w:cs="Baskerville"/>
          <w:sz w:val="22"/>
          <w:szCs w:val="22"/>
        </w:rPr>
        <w:t xml:space="preserve">both </w:t>
      </w:r>
      <w:r w:rsidR="00643145" w:rsidRPr="00653918">
        <w:rPr>
          <w:rFonts w:ascii="Baskerville" w:hAnsi="Baskerville" w:cs="Baskerville"/>
          <w:sz w:val="22"/>
          <w:szCs w:val="22"/>
        </w:rPr>
        <w:t>drug target</w:t>
      </w:r>
      <w:r w:rsidR="0079616A">
        <w:rPr>
          <w:rFonts w:ascii="Baskerville" w:hAnsi="Baskerville" w:cs="Baskerville"/>
          <w:sz w:val="22"/>
          <w:szCs w:val="22"/>
        </w:rPr>
        <w:fldChar w:fldCharType="begin" w:fldLock="1"/>
      </w:r>
      <w:r w:rsidR="00F3024F">
        <w:rPr>
          <w:rFonts w:ascii="Baskerville" w:hAnsi="Baskerville" w:cs="Baskerville"/>
          <w:sz w:val="22"/>
          <w:szCs w:val="22"/>
        </w:rPr>
        <w:instrText>ADDIN CSL_CITATION { "citationItems" : [ { "id" : "ITEM-1", "itemData" : { "DOI" : "10.1038/ncomms7031", "ISSN" : "2041-1723", "author" : [ { "dropping-particle" : "", "family" : "Johnson", "given" : "Michael R.", "non-dropping-particle" : "", "parse-names" : false, "suffix" : "" }, { "dropping-particle" : "", "family" : "Behmoaras", "given" : "Jacques", "non-dropping-particle" : "", "parse-names" : false, "suffix" : "" }, { "dropping-particle" : "", "family" : "Bottolo", "given" : "Leonardo", "non-dropping-particle" : "", "parse-names" : false, "suffix" : "" }, { "dropping-particle" : "", "family" : "Krishnan", "given" : "Michelle L.", "non-dropping-particle" : "", "parse-names" : false, "suffix" : "" }, { "dropping-particle" : "", "family" : "Pernhorst", "given" : "Katharina", "non-dropping-particle" : "", "parse-names" : false, "suffix" : "" }, { "dropping-particle" : "", "family" : "Santoscoy", "given" : "Paola L. Meza", "non-dropping-particle" : "", "parse-names" : false, "suffix" : "" }, { "dropping-particle" : "", "family" : "Rossetti", "given" : "Tiziana", "non-dropping-particle" : "", "parse-names" : false, "suffix" : "" }, { "dropping-particle" : "", "family" : "Speed", "given" : "Doug", "non-dropping-particle" : "", "parse-names" : false, "suffix" : "" }, { "dropping-particle" : "", "family" : "Srivastava", "given" : "Prashant K.", "non-dropping-particle" : "", "parse-names" : false, "suffix" : "" }, { "dropping-particle" : "", "family" : "Chadeau-Hyam", "given" : "Marc", "non-dropping-particle" : "", "parse-names" : false, "suffix" : "" }, { "dropping-particle" : "", "family" : "Hajji", "given" : "Nabil", "non-dropping-particle" : "", "parse-names" : false, "suffix" : "" }, { "dropping-particle" : "", "family" : "Dabrowska", "given" : "Aleksandra", "non-dropping-particle" : "", "parse-names" : false, "suffix" : "" }, { "dropping-particle" : "", "family" : "Rotival", "given" : "Maxime", "non-dropping-particle" : "", "parse-names" : false, "suffix" : "" }, { "dropping-particle" : "", "family" : "Razzaghi", "given" : "Banafsheh", "non-dropping-particle" : "", "parse-names" : false, "suffix" : "" }, { "dropping-particle" : "", "family" : "Kovac", "given" : "Stjepana", "non-dropping-particle" : "", "parse-names" : false, "suffix" : "" }, { "dropping-particle" : "", "family" : "Wanisch", "given" : "Klaus", "non-dropping-particle" : "", "parse-names" : false, "suffix" : "" }, { "dropping-particle" : "", "family" : "Grillo", "given" : "Federico W.", "non-dropping-particle" : "", "parse-names" : false, "suffix" : "" }, { "dropping-particle" : "", "family" : "Slaviero", "given" : "Anna", "non-dropping-particle" : "", "parse-names" : false, "suffix" : "" }, { "dropping-particle" : "", "family" : "Langley", "given" : "Sarah R.", "non-dropping-particle" : "", "parse-names" : false, "suffix" : "" }, { "dropping-particle" : "", "family" : "Shkura", "given" : "Kirill", "non-dropping-particle" : "", "parse-names" : false, "suffix" : "" }, { "dropping-particle" : "", "family" : "Roncon", "given" : "Paolo", "non-dropping-particle" : "", "parse-names" : false, "suffix" : "" }, { "dropping-particle" : "", "family" : "De", "given" : "Tisham", "non-dropping-particle" : "", "parse-names" : false, "suffix" : "" }, { "dropping-particle" : "", "family" : "Mattheisen", "given" : "Manuel", "non-dropping-particle" : "", "parse-names" : false, "suffix" : "" }, { "dropping-particle" : "", "family" : "Niehusmann", "given" : "Pitt", "non-dropping-particle" : "", "parse-names" : false, "suffix" : "" }, { "dropping-particle" : "", "family" : "O\u2019Brien", "given" : "Terence J.", "non-dropping-particle" : "", "parse-names" : false, "suffix" : "" }, { "dropping-particle" : "", "family" : "Petrovski", "given" : "Slave", "non-dropping-particle" : "", "parse-names" : false, "suffix" : "" }, { "dropping-particle" : "", "family" : "Lehe", "given" : "Marec", "non-dropping-particle" : "von", "parse-names" : false, "suffix" : "" }, { "dropping-particle" : "", "family" : "Hoffmann", "given" : "Per", "non-dropping-particle" : "", "parse-names" : false, "suffix" : "" }, { "dropping-particle" : "", "family" : "Eriksson", "given" : "Johan", "non-dropping-particle" : "", "parse-names" : false, "suffix" : "" }, { "dropping-particle" : "", "family" : "Coffey", "given" : "Alison J.", "non-dropping-particle" : "", "parse-names" : false, "suffix" : "" }, { "dropping-particle" : "", "family" : "Cichon", "given" : "Sven", "non-dropping-particle" : "", "parse-names" : false, "suffix" : "" }, { "dropping-particle" : "", "family" : "Walker", "given" : "Matthew", "non-dropping-particle" : "", "parse-names" : false, "suffix" : "" }, { "dropping-particle" : "", "family" : "Simonato", "given" : "Michele", "non-dropping-particle" : "", "parse-names" : false, "suffix" : "" }, { "dropping-particle" : "", "family" : "Danis", "given" : "B\u00e9n\u00e9dicte", "non-dropping-particle" : "", "parse-names" : false, "suffix" : "" }, { "dropping-particle" : "", "family" : "Mazzuferi", "given" : "Manuela", "non-dropping-particle" : "", "parse-names" : false, "suffix" : "" }, { "dropping-particle" : "", "family" : "Foerch", "given" : "Patrik", "non-dropping-particle" : "", "parse-names" : false, "suffix" : "" }, { "dropping-particle" : "", "family" : "Schoch", "given" : "Susanne", "non-dropping-particle" : "", "parse-names" : false, "suffix" : "" }, { "dropping-particle" : "", "family" : "Paola", "given" : "Vincenzo", "non-dropping-particle" : "De", "parse-names" : false, "suffix" : "" }, { "dropping-particle" : "", "family" : "Kaminski", "given" : "Rafal M.", "non-dropping-particle" : "", "parse-names" : false, "suffix" : "" }, { "dropping-particle" : "", "family" : "Cunliffe", "given" : "Vincent T.", "non-dropping-particle" : "", "parse-names" : false, "suffix" : "" }, { "dropping-particle" : "", "family" : "Becker", "given" : "Albert J.", "non-dropping-particle" : "", "parse-names" : false, "suffix" : "" }, { "dropping-particle" : "", "family" : "Petretto", "given" : "Enrico", "non-dropping-particle" : "", "parse-names" : false, "suffix" : "" } ], "container-title" : "Nature Communications", "id" : "ITEM-1", "issued" : { "date-parts" : [ [ "2015" ] ] }, "page" : "6031", "title" : "Systems genetics identifies Sestrin 3 as a regulator of a proconvulsant gene network in human epileptic hippocampus", "type" : "article-journal", "volume" : "6" }, "uris" : [ "http://www.mendeley.com/documents/?uuid=19f438fb-88c8-4960-8beb-d1ac73dc5c16" ] } ], "mendeley" : { "formattedCitation" : "[64]", "plainTextFormattedCitation" : "[64]", "previouslyFormattedCitation" : "[63]" }, "properties" : { "noteIndex" : 0 }, "schema" : "https://github.com/citation-style-language/schema/raw/master/csl-citation.json" }</w:instrText>
      </w:r>
      <w:r w:rsidR="0079616A">
        <w:rPr>
          <w:rFonts w:ascii="Baskerville" w:hAnsi="Baskerville" w:cs="Baskerville"/>
          <w:sz w:val="22"/>
          <w:szCs w:val="22"/>
        </w:rPr>
        <w:fldChar w:fldCharType="separate"/>
      </w:r>
      <w:r w:rsidR="00F3024F" w:rsidRPr="00F3024F">
        <w:rPr>
          <w:rFonts w:ascii="Baskerville" w:hAnsi="Baskerville" w:cs="Baskerville"/>
          <w:noProof/>
          <w:sz w:val="22"/>
          <w:szCs w:val="22"/>
        </w:rPr>
        <w:t>[64]</w:t>
      </w:r>
      <w:r w:rsidR="0079616A">
        <w:rPr>
          <w:rFonts w:ascii="Baskerville" w:hAnsi="Baskerville" w:cs="Baskerville"/>
          <w:sz w:val="22"/>
          <w:szCs w:val="22"/>
        </w:rPr>
        <w:fldChar w:fldCharType="end"/>
      </w:r>
      <w:r w:rsidR="004418D2">
        <w:rPr>
          <w:rFonts w:ascii="Baskerville" w:hAnsi="Baskerville" w:cs="Baskerville"/>
          <w:sz w:val="22"/>
          <w:szCs w:val="22"/>
        </w:rPr>
        <w:t>*</w:t>
      </w:r>
      <w:r w:rsidR="00643145" w:rsidRPr="00653918">
        <w:rPr>
          <w:rFonts w:ascii="Baskerville" w:hAnsi="Baskerville" w:cs="Baskerville"/>
          <w:sz w:val="22"/>
          <w:szCs w:val="22"/>
        </w:rPr>
        <w:t xml:space="preserve"> and </w:t>
      </w:r>
      <w:r w:rsidR="00C117F8" w:rsidRPr="00653918">
        <w:rPr>
          <w:rFonts w:ascii="Baskerville" w:hAnsi="Baskerville" w:cs="Baskerville"/>
          <w:sz w:val="22"/>
          <w:szCs w:val="22"/>
        </w:rPr>
        <w:t>drug</w:t>
      </w:r>
      <w:r w:rsidR="008459BD">
        <w:rPr>
          <w:rFonts w:ascii="Baskerville" w:hAnsi="Baskerville" w:cs="Baskerville"/>
          <w:sz w:val="22"/>
          <w:szCs w:val="22"/>
        </w:rPr>
        <w:fldChar w:fldCharType="begin" w:fldLock="1"/>
      </w:r>
      <w:r w:rsidR="00F3024F">
        <w:rPr>
          <w:rFonts w:ascii="Baskerville" w:hAnsi="Baskerville" w:cs="Baskerville"/>
          <w:sz w:val="22"/>
          <w:szCs w:val="22"/>
        </w:rPr>
        <w:instrText>ADDIN CSL_CITATION { "citationItems" : [ { "id" : "ITEM-1", "itemData" : { "DOI" : "10.1186/s13059-016-1097-7", "author" : [ { "dropping-particle" : "", "family" : "Delahaye-Duriez", "given" : "Andree", "non-dropping-particle" : "", "parse-names" : false, "suffix" : "" }, { "dropping-particle" : "", "family" : "Srivastava", "given" : "Prashant", "non-dropping-particle" : "", "parse-names" : false, "suffix" : "" }, { "dropping-particle" : "", "family" : "Shkura", "given" : "Kirill", "non-dropping-particle" : "", "parse-names" : false, "suffix" : "" }, { "dropping-particle" : "", "family" : "Langley", "given" : "Sarah R.", "non-dropping-particle" : "", "parse-names" : false, "suffix" : "" }, { "dropping-particle" : "", "family" : "Laaniste", "given" : "Liisi", "non-dropping-particle" : "", "parse-names" : false, "suffix" : "" }, { "dropping-particle" : "", "family" : "Moreno-Moral", "given" : "Aida", "non-dropping-particle" : "", "parse-names" : false, "suffix" : "" }, { "dropping-particle" : "", "family" : "Danis", "given" : "B\u00e9n\u00e9dicte", "non-dropping-particle" : "", "parse-names" : false, "suffix" : "" }, { "dropping-particle" : "", "family" : "Mazzuferi", "given" : "Manuela", "non-dropping-particle" : "", "parse-names" : false, "suffix" : "" }, { "dropping-particle" : "", "family" : "Foerch", "given" : "Patrik", "non-dropping-particle" : "", "parse-names" : false, "suffix" : "" }, { "dropping-particle" : "", "family" : "Gazina", "given" : "Elena", "non-dropping-particle" : "", "parse-names" : false, "suffix" : "" }, { "dropping-particle" : "", "family" : "Richards", "given" : "Kay", "non-dropping-particle" : "", "parse-names" : false, "suffix" : "" }, { "dropping-particle" : "", "family" : "Petrou", "given" : "Steven", "non-dropping-particle" : "", "parse-names" : false, "suffix" : "" }, { "dropping-particle" : "", "family" : "Kaminski", "given" : "Rafal", "non-dropping-particle" : "", "parse-names" : false, "suffix" : "" }, { "dropping-particle" : "", "family" : "Petretto", "given" : "Enrico", "non-dropping-particle" : "", "parse-names" : false, "suffix" : "" }, { "dropping-particle" : "", "family" : "Johnson", "given" : "Michael R.", "non-dropping-particle" : "", "parse-names" : false, "suffix" : "" } ], "container-title" : "Genome Biology", "id" : "ITEM-1", "issued" : { "date-parts" : [ [ "2016" ] ] }, "title" : "Rare and common epilepsies converge on a shared gene regulatory network providing opportunities for novel antiepileptic drug discovery", "type" : "article-journal", "volume" : "In Press" }, "uris" : [ "http://www.mendeley.com/documents/?uuid=40f3e793-3631-4a57-8088-b4f93e46b7e8" ] } ], "mendeley" : { "formattedCitation" : "[63]", "plainTextFormattedCitation" : "[63]", "previouslyFormattedCitation" : "[62]" }, "properties" : { "noteIndex" : 0 }, "schema" : "https://github.com/citation-style-language/schema/raw/master/csl-citation.json" }</w:instrText>
      </w:r>
      <w:r w:rsidR="008459BD">
        <w:rPr>
          <w:rFonts w:ascii="Baskerville" w:hAnsi="Baskerville" w:cs="Baskerville"/>
          <w:sz w:val="22"/>
          <w:szCs w:val="22"/>
        </w:rPr>
        <w:fldChar w:fldCharType="separate"/>
      </w:r>
      <w:r w:rsidR="00F3024F" w:rsidRPr="00F3024F">
        <w:rPr>
          <w:rFonts w:ascii="Baskerville" w:hAnsi="Baskerville" w:cs="Baskerville"/>
          <w:noProof/>
          <w:sz w:val="22"/>
          <w:szCs w:val="22"/>
        </w:rPr>
        <w:t>[63]</w:t>
      </w:r>
      <w:r w:rsidR="008459BD">
        <w:rPr>
          <w:rFonts w:ascii="Baskerville" w:hAnsi="Baskerville" w:cs="Baskerville"/>
          <w:sz w:val="22"/>
          <w:szCs w:val="22"/>
        </w:rPr>
        <w:fldChar w:fldCharType="end"/>
      </w:r>
      <w:r w:rsidR="004418D2">
        <w:rPr>
          <w:rFonts w:ascii="Baskerville" w:hAnsi="Baskerville" w:cs="Baskerville"/>
          <w:sz w:val="22"/>
          <w:szCs w:val="22"/>
        </w:rPr>
        <w:t>*</w:t>
      </w:r>
      <w:r w:rsidR="00C117F8" w:rsidRPr="00653918">
        <w:rPr>
          <w:rFonts w:ascii="Baskerville" w:hAnsi="Baskerville" w:cs="Baskerville"/>
          <w:sz w:val="22"/>
          <w:szCs w:val="22"/>
        </w:rPr>
        <w:t xml:space="preserve"> discovery</w:t>
      </w:r>
      <w:r w:rsidR="0079616A">
        <w:rPr>
          <w:rFonts w:ascii="Baskerville" w:hAnsi="Baskerville" w:cs="Baskerville"/>
          <w:sz w:val="22"/>
          <w:szCs w:val="22"/>
        </w:rPr>
        <w:t xml:space="preserve"> in epilepsy</w:t>
      </w:r>
      <w:r w:rsidR="00643145" w:rsidRPr="00653918">
        <w:rPr>
          <w:rFonts w:ascii="Baskerville" w:hAnsi="Baskerville" w:cs="Baskerville"/>
          <w:sz w:val="22"/>
          <w:szCs w:val="22"/>
        </w:rPr>
        <w:t xml:space="preserve">. </w:t>
      </w:r>
      <w:r w:rsidR="0047732F" w:rsidRPr="00653918">
        <w:rPr>
          <w:rFonts w:ascii="Baskerville" w:hAnsi="Baskerville" w:cs="Baskerville"/>
          <w:sz w:val="22"/>
          <w:szCs w:val="22"/>
        </w:rPr>
        <w:t>A</w:t>
      </w:r>
      <w:r w:rsidR="00944B53">
        <w:rPr>
          <w:rFonts w:ascii="Baskerville" w:hAnsi="Baskerville" w:cs="Baskerville"/>
          <w:sz w:val="22"/>
          <w:szCs w:val="22"/>
        </w:rPr>
        <w:t xml:space="preserve">s </w:t>
      </w:r>
      <w:r w:rsidR="005D3C90" w:rsidRPr="00653918">
        <w:rPr>
          <w:rFonts w:ascii="Baskerville" w:hAnsi="Baskerville" w:cs="Baskerville"/>
          <w:sz w:val="22"/>
          <w:szCs w:val="22"/>
        </w:rPr>
        <w:t>proof-of-concept</w:t>
      </w:r>
      <w:r w:rsidR="00C14821">
        <w:rPr>
          <w:rFonts w:ascii="Baskerville" w:hAnsi="Baskerville" w:cs="Baskerville"/>
          <w:sz w:val="22"/>
          <w:szCs w:val="22"/>
        </w:rPr>
        <w:t xml:space="preserve"> for </w:t>
      </w:r>
      <w:r w:rsidR="00E54EA4">
        <w:rPr>
          <w:rFonts w:ascii="Baskerville" w:hAnsi="Baskerville" w:cs="Baskerville"/>
          <w:sz w:val="22"/>
          <w:szCs w:val="22"/>
        </w:rPr>
        <w:t xml:space="preserve">network-based </w:t>
      </w:r>
      <w:r w:rsidR="00C14821">
        <w:rPr>
          <w:rFonts w:ascii="Baskerville" w:hAnsi="Baskerville" w:cs="Baskerville"/>
          <w:sz w:val="22"/>
          <w:szCs w:val="22"/>
        </w:rPr>
        <w:t xml:space="preserve">drug </w:t>
      </w:r>
      <w:r w:rsidR="00E54EA4">
        <w:rPr>
          <w:rFonts w:ascii="Baskerville" w:hAnsi="Baskerville" w:cs="Baskerville"/>
          <w:sz w:val="22"/>
          <w:szCs w:val="22"/>
        </w:rPr>
        <w:t xml:space="preserve">discovery </w:t>
      </w:r>
      <w:r w:rsidR="00C14821">
        <w:rPr>
          <w:rFonts w:ascii="Baskerville" w:hAnsi="Baskerville" w:cs="Baskerville"/>
          <w:sz w:val="22"/>
          <w:szCs w:val="22"/>
        </w:rPr>
        <w:t xml:space="preserve">in epilepsy, </w:t>
      </w:r>
      <w:r w:rsidR="006F70AF" w:rsidRPr="00653918">
        <w:rPr>
          <w:rFonts w:ascii="Baskerville" w:hAnsi="Baskerville" w:cs="Baskerville"/>
          <w:sz w:val="22"/>
          <w:szCs w:val="22"/>
        </w:rPr>
        <w:t>a</w:t>
      </w:r>
      <w:r w:rsidR="00643145" w:rsidRPr="00653918">
        <w:rPr>
          <w:rFonts w:ascii="Baskerville" w:hAnsi="Baskerville" w:cs="Baskerville"/>
          <w:sz w:val="22"/>
          <w:szCs w:val="22"/>
        </w:rPr>
        <w:t xml:space="preserve"> </w:t>
      </w:r>
      <w:r w:rsidR="005D282B">
        <w:rPr>
          <w:rFonts w:ascii="Baskerville" w:hAnsi="Baskerville" w:cs="Baskerville"/>
          <w:sz w:val="22"/>
          <w:szCs w:val="22"/>
        </w:rPr>
        <w:t xml:space="preserve">recent </w:t>
      </w:r>
      <w:r w:rsidR="00643145" w:rsidRPr="00653918">
        <w:rPr>
          <w:rFonts w:ascii="Baskerville" w:hAnsi="Baskerville" w:cs="Baskerville"/>
          <w:sz w:val="22"/>
          <w:szCs w:val="22"/>
        </w:rPr>
        <w:t xml:space="preserve">study </w:t>
      </w:r>
      <w:r w:rsidR="00C14821">
        <w:rPr>
          <w:rFonts w:ascii="Baskerville" w:hAnsi="Baskerville" w:cs="Baskerville"/>
          <w:sz w:val="22"/>
          <w:szCs w:val="22"/>
        </w:rPr>
        <w:t xml:space="preserve">predicted </w:t>
      </w:r>
      <w:r w:rsidR="00CD3697" w:rsidRPr="00653918">
        <w:rPr>
          <w:rFonts w:ascii="Baskerville" w:hAnsi="Baskerville" w:cs="Baskerville"/>
          <w:sz w:val="22"/>
          <w:szCs w:val="22"/>
        </w:rPr>
        <w:t xml:space="preserve">sodium valproate as a treatment for </w:t>
      </w:r>
      <w:r w:rsidR="009A34D2">
        <w:rPr>
          <w:rFonts w:ascii="Baskerville" w:hAnsi="Baskerville" w:cs="Baskerville"/>
          <w:sz w:val="22"/>
          <w:szCs w:val="22"/>
        </w:rPr>
        <w:t xml:space="preserve">epilepsy </w:t>
      </w:r>
      <w:r w:rsidR="006E14C2">
        <w:rPr>
          <w:rFonts w:ascii="Baskerville" w:hAnsi="Baskerville" w:cs="Baskerville"/>
          <w:sz w:val="22"/>
          <w:szCs w:val="22"/>
        </w:rPr>
        <w:t xml:space="preserve">from an unsupervised </w:t>
      </w:r>
      <w:r w:rsidR="00125EAA">
        <w:rPr>
          <w:rFonts w:ascii="Baskerville" w:hAnsi="Baskerville" w:cs="Baskerville"/>
          <w:sz w:val="22"/>
          <w:szCs w:val="22"/>
        </w:rPr>
        <w:t xml:space="preserve">computational </w:t>
      </w:r>
      <w:r w:rsidR="006E14C2">
        <w:rPr>
          <w:rFonts w:ascii="Baskerville" w:hAnsi="Baskerville" w:cs="Baskerville"/>
          <w:sz w:val="22"/>
          <w:szCs w:val="22"/>
        </w:rPr>
        <w:t xml:space="preserve">screen of </w:t>
      </w:r>
      <w:r w:rsidR="006E14C2" w:rsidRPr="00653918">
        <w:rPr>
          <w:rFonts w:ascii="Baskerville" w:hAnsi="Baskerville" w:cs="Baskerville"/>
          <w:sz w:val="22"/>
          <w:szCs w:val="22"/>
        </w:rPr>
        <w:t>1,300 small molecules</w:t>
      </w:r>
      <w:r w:rsidR="005571D9">
        <w:rPr>
          <w:rFonts w:ascii="Baskerville" w:hAnsi="Baskerville" w:cs="Baskerville"/>
          <w:sz w:val="22"/>
          <w:szCs w:val="22"/>
        </w:rPr>
        <w:fldChar w:fldCharType="begin" w:fldLock="1"/>
      </w:r>
      <w:r w:rsidR="00F3024F">
        <w:rPr>
          <w:rFonts w:ascii="Baskerville" w:hAnsi="Baskerville" w:cs="Baskerville"/>
          <w:sz w:val="22"/>
          <w:szCs w:val="22"/>
        </w:rPr>
        <w:instrText>ADDIN CSL_CITATION { "citationItems" : [ { "id" : "ITEM-1", "itemData" : { "DOI" : "10.1186/s13059-016-1097-7", "author" : [ { "dropping-particle" : "", "family" : "Delahaye-Duriez", "given" : "Andree", "non-dropping-particle" : "", "parse-names" : false, "suffix" : "" }, { "dropping-particle" : "", "family" : "Srivastava", "given" : "Prashant", "non-dropping-particle" : "", "parse-names" : false, "suffix" : "" }, { "dropping-particle" : "", "family" : "Shkura", "given" : "Kirill", "non-dropping-particle" : "", "parse-names" : false, "suffix" : "" }, { "dropping-particle" : "", "family" : "Langley", "given" : "Sarah R.", "non-dropping-particle" : "", "parse-names" : false, "suffix" : "" }, { "dropping-particle" : "", "family" : "Laaniste", "given" : "Liisi", "non-dropping-particle" : "", "parse-names" : false, "suffix" : "" }, { "dropping-particle" : "", "family" : "Moreno-Moral", "given" : "Aida", "non-dropping-particle" : "", "parse-names" : false, "suffix" : "" }, { "dropping-particle" : "", "family" : "Danis", "given" : "B\u00e9n\u00e9dicte", "non-dropping-particle" : "", "parse-names" : false, "suffix" : "" }, { "dropping-particle" : "", "family" : "Mazzuferi", "given" : "Manuela", "non-dropping-particle" : "", "parse-names" : false, "suffix" : "" }, { "dropping-particle" : "", "family" : "Foerch", "given" : "Patrik", "non-dropping-particle" : "", "parse-names" : false, "suffix" : "" }, { "dropping-particle" : "", "family" : "Gazina", "given" : "Elena", "non-dropping-particle" : "", "parse-names" : false, "suffix" : "" }, { "dropping-particle" : "", "family" : "Richards", "given" : "Kay", "non-dropping-particle" : "", "parse-names" : false, "suffix" : "" }, { "dropping-particle" : "", "family" : "Petrou", "given" : "Steven", "non-dropping-particle" : "", "parse-names" : false, "suffix" : "" }, { "dropping-particle" : "", "family" : "Kaminski", "given" : "Rafal", "non-dropping-particle" : "", "parse-names" : false, "suffix" : "" }, { "dropping-particle" : "", "family" : "Petretto", "given" : "Enrico", "non-dropping-particle" : "", "parse-names" : false, "suffix" : "" }, { "dropping-particle" : "", "family" : "Johnson", "given" : "Michael R.", "non-dropping-particle" : "", "parse-names" : false, "suffix" : "" } ], "container-title" : "Genome Biology", "id" : "ITEM-1", "issued" : { "date-parts" : [ [ "2016" ] ] }, "title" : "Rare and common epilepsies converge on a shared gene regulatory network providing opportunities for novel antiepileptic drug discovery", "type" : "article-journal", "volume" : "In Press" }, "uris" : [ "http://www.mendeley.com/documents/?uuid=40f3e793-3631-4a57-8088-b4f93e46b7e8" ] } ], "mendeley" : { "formattedCitation" : "[63]", "plainTextFormattedCitation" : "[63]", "previouslyFormattedCitation" : "[62]" }, "properties" : { "noteIndex" : 0 }, "schema" : "https://github.com/citation-style-language/schema/raw/master/csl-citation.json" }</w:instrText>
      </w:r>
      <w:r w:rsidR="005571D9">
        <w:rPr>
          <w:rFonts w:ascii="Baskerville" w:hAnsi="Baskerville" w:cs="Baskerville"/>
          <w:sz w:val="22"/>
          <w:szCs w:val="22"/>
        </w:rPr>
        <w:fldChar w:fldCharType="separate"/>
      </w:r>
      <w:r w:rsidR="00F3024F" w:rsidRPr="00F3024F">
        <w:rPr>
          <w:rFonts w:ascii="Baskerville" w:hAnsi="Baskerville" w:cs="Baskerville"/>
          <w:noProof/>
          <w:sz w:val="22"/>
          <w:szCs w:val="22"/>
        </w:rPr>
        <w:t>[63]</w:t>
      </w:r>
      <w:r w:rsidR="005571D9">
        <w:rPr>
          <w:rFonts w:ascii="Baskerville" w:hAnsi="Baskerville" w:cs="Baskerville"/>
          <w:sz w:val="22"/>
          <w:szCs w:val="22"/>
        </w:rPr>
        <w:fldChar w:fldCharType="end"/>
      </w:r>
      <w:r w:rsidR="004418D2">
        <w:rPr>
          <w:rFonts w:ascii="Baskerville" w:hAnsi="Baskerville" w:cs="Baskerville"/>
          <w:sz w:val="22"/>
          <w:szCs w:val="22"/>
        </w:rPr>
        <w:t>*</w:t>
      </w:r>
      <w:r w:rsidR="005D3C90" w:rsidRPr="00653918">
        <w:rPr>
          <w:rFonts w:ascii="Baskerville" w:hAnsi="Baskerville" w:cs="Baskerville"/>
          <w:sz w:val="22"/>
          <w:szCs w:val="22"/>
        </w:rPr>
        <w:t xml:space="preserve">. </w:t>
      </w:r>
      <w:r w:rsidR="005D282B">
        <w:rPr>
          <w:rFonts w:ascii="Baskerville" w:hAnsi="Baskerville" w:cs="Baskerville"/>
          <w:sz w:val="22"/>
          <w:szCs w:val="22"/>
        </w:rPr>
        <w:t>Critically, the</w:t>
      </w:r>
      <w:r w:rsidR="00914090" w:rsidRPr="00653918">
        <w:rPr>
          <w:rFonts w:ascii="Baskerville" w:hAnsi="Baskerville" w:cs="Baskerville"/>
          <w:sz w:val="22"/>
          <w:szCs w:val="22"/>
        </w:rPr>
        <w:t xml:space="preserve"> computational screen was conducted </w:t>
      </w:r>
      <w:r w:rsidR="008526C8">
        <w:rPr>
          <w:rFonts w:ascii="Baskerville" w:hAnsi="Baskerville" w:cs="Baskerville"/>
          <w:sz w:val="22"/>
          <w:szCs w:val="22"/>
        </w:rPr>
        <w:t xml:space="preserve">entirely </w:t>
      </w:r>
      <w:r w:rsidR="00914090" w:rsidRPr="00653918">
        <w:rPr>
          <w:rFonts w:ascii="Baskerville" w:hAnsi="Baskerville" w:cs="Baskerville"/>
          <w:sz w:val="22"/>
          <w:szCs w:val="22"/>
        </w:rPr>
        <w:t>independent</w:t>
      </w:r>
      <w:r w:rsidR="000E6C22">
        <w:rPr>
          <w:rFonts w:ascii="Baskerville" w:hAnsi="Baskerville" w:cs="Baskerville"/>
          <w:sz w:val="22"/>
          <w:szCs w:val="22"/>
        </w:rPr>
        <w:t>ly</w:t>
      </w:r>
      <w:r w:rsidR="00914090" w:rsidRPr="00653918">
        <w:rPr>
          <w:rFonts w:ascii="Baskerville" w:hAnsi="Baskerville" w:cs="Baskerville"/>
          <w:sz w:val="22"/>
          <w:szCs w:val="22"/>
        </w:rPr>
        <w:t xml:space="preserve"> of valproate’s known </w:t>
      </w:r>
      <w:r w:rsidR="004D3B7D" w:rsidRPr="00653918">
        <w:rPr>
          <w:rFonts w:ascii="Baskerville" w:hAnsi="Baskerville" w:cs="Baskerville"/>
          <w:sz w:val="22"/>
          <w:szCs w:val="22"/>
        </w:rPr>
        <w:t xml:space="preserve">mechanism </w:t>
      </w:r>
      <w:r w:rsidR="0084180B">
        <w:rPr>
          <w:rFonts w:ascii="Baskerville" w:hAnsi="Baskerville" w:cs="Baskerville"/>
          <w:sz w:val="22"/>
          <w:szCs w:val="22"/>
        </w:rPr>
        <w:t xml:space="preserve">of action </w:t>
      </w:r>
      <w:r w:rsidR="008526C8">
        <w:rPr>
          <w:rFonts w:ascii="Baskerville" w:hAnsi="Baskerville" w:cs="Baskerville"/>
          <w:sz w:val="22"/>
          <w:szCs w:val="22"/>
        </w:rPr>
        <w:t xml:space="preserve">or role </w:t>
      </w:r>
      <w:r w:rsidR="00C14821">
        <w:rPr>
          <w:rFonts w:ascii="Baskerville" w:hAnsi="Baskerville" w:cs="Baskerville"/>
          <w:sz w:val="22"/>
          <w:szCs w:val="22"/>
        </w:rPr>
        <w:t>in epilepsy</w:t>
      </w:r>
      <w:r w:rsidR="008526C8">
        <w:rPr>
          <w:rFonts w:ascii="Baskerville" w:hAnsi="Baskerville" w:cs="Baskerville"/>
          <w:sz w:val="22"/>
          <w:szCs w:val="22"/>
        </w:rPr>
        <w:t>, and was based solely on an unsupervised analysis of disease-related and drug-related gene expression profiles. S</w:t>
      </w:r>
      <w:r w:rsidR="00530987" w:rsidRPr="00653918">
        <w:rPr>
          <w:rFonts w:ascii="Baskerville" w:hAnsi="Baskerville" w:cs="Baskerville"/>
          <w:sz w:val="22"/>
          <w:szCs w:val="22"/>
        </w:rPr>
        <w:t>uch</w:t>
      </w:r>
      <w:r w:rsidR="0047732F" w:rsidRPr="00653918">
        <w:rPr>
          <w:rFonts w:ascii="Baskerville" w:hAnsi="Baskerville" w:cs="Baskerville"/>
          <w:sz w:val="22"/>
          <w:szCs w:val="22"/>
        </w:rPr>
        <w:t xml:space="preserve"> </w:t>
      </w:r>
      <w:r w:rsidR="009A34D2">
        <w:rPr>
          <w:rFonts w:ascii="Baskerville" w:hAnsi="Baskerville" w:cs="Baskerville"/>
          <w:sz w:val="22"/>
          <w:szCs w:val="22"/>
        </w:rPr>
        <w:t>studies highlight the potential of network-based drug discovery</w:t>
      </w:r>
      <w:r w:rsidR="005D282B">
        <w:rPr>
          <w:rFonts w:ascii="Baskerville" w:hAnsi="Baskerville" w:cs="Baskerville"/>
          <w:sz w:val="22"/>
          <w:szCs w:val="22"/>
        </w:rPr>
        <w:t xml:space="preserve"> </w:t>
      </w:r>
      <w:r w:rsidR="009A34D2">
        <w:rPr>
          <w:rFonts w:ascii="Baskerville" w:hAnsi="Baskerville" w:cs="Baskerville"/>
          <w:sz w:val="22"/>
          <w:szCs w:val="22"/>
        </w:rPr>
        <w:t xml:space="preserve">as a novel and </w:t>
      </w:r>
      <w:r w:rsidR="004D3B7D" w:rsidRPr="00653918">
        <w:rPr>
          <w:rFonts w:ascii="Baskerville" w:hAnsi="Baskerville" w:cs="Baskerville"/>
          <w:sz w:val="22"/>
          <w:szCs w:val="22"/>
        </w:rPr>
        <w:t xml:space="preserve">efficient strategy </w:t>
      </w:r>
      <w:r w:rsidR="006E14C2">
        <w:rPr>
          <w:rFonts w:ascii="Baskerville" w:hAnsi="Baskerville" w:cs="Baskerville"/>
          <w:sz w:val="22"/>
          <w:szCs w:val="22"/>
        </w:rPr>
        <w:t xml:space="preserve">for </w:t>
      </w:r>
      <w:r w:rsidR="009A34D2">
        <w:rPr>
          <w:rFonts w:ascii="Baskerville" w:hAnsi="Baskerville" w:cs="Baskerville"/>
          <w:sz w:val="22"/>
          <w:szCs w:val="22"/>
        </w:rPr>
        <w:t xml:space="preserve">new </w:t>
      </w:r>
      <w:r w:rsidR="005D282B">
        <w:rPr>
          <w:rFonts w:ascii="Baskerville" w:hAnsi="Baskerville" w:cs="Baskerville"/>
          <w:sz w:val="22"/>
          <w:szCs w:val="22"/>
        </w:rPr>
        <w:t xml:space="preserve">drug </w:t>
      </w:r>
      <w:r w:rsidR="008526C8">
        <w:rPr>
          <w:rFonts w:ascii="Baskerville" w:hAnsi="Baskerville" w:cs="Baskerville"/>
          <w:sz w:val="22"/>
          <w:szCs w:val="22"/>
        </w:rPr>
        <w:t xml:space="preserve">discovery </w:t>
      </w:r>
      <w:r w:rsidR="005D282B">
        <w:rPr>
          <w:rFonts w:ascii="Baskerville" w:hAnsi="Baskerville" w:cs="Baskerville"/>
          <w:sz w:val="22"/>
          <w:szCs w:val="22"/>
        </w:rPr>
        <w:t>in</w:t>
      </w:r>
      <w:r w:rsidR="008526C8">
        <w:rPr>
          <w:rFonts w:ascii="Baskerville" w:hAnsi="Baskerville" w:cs="Baskerville"/>
          <w:sz w:val="22"/>
          <w:szCs w:val="22"/>
        </w:rPr>
        <w:t xml:space="preserve"> epilepsy</w:t>
      </w:r>
      <w:r w:rsidR="004D3B7D" w:rsidRPr="00653918">
        <w:rPr>
          <w:rFonts w:ascii="Baskerville" w:hAnsi="Baskerville" w:cs="Baskerville"/>
          <w:sz w:val="22"/>
          <w:szCs w:val="22"/>
        </w:rPr>
        <w:t xml:space="preserve">. </w:t>
      </w:r>
      <w:r w:rsidR="00E700B7" w:rsidRPr="00653918">
        <w:rPr>
          <w:rFonts w:ascii="Baskerville" w:hAnsi="Baskerville" w:cs="Baskerville"/>
          <w:sz w:val="22"/>
          <w:szCs w:val="22"/>
        </w:rPr>
        <w:t xml:space="preserve">Moreover, since </w:t>
      </w:r>
      <w:r w:rsidR="0023581A">
        <w:rPr>
          <w:rFonts w:ascii="Baskerville" w:hAnsi="Baskerville" w:cs="Baskerville"/>
          <w:sz w:val="22"/>
          <w:szCs w:val="22"/>
        </w:rPr>
        <w:t xml:space="preserve">network </w:t>
      </w:r>
      <w:r w:rsidR="00E700B7" w:rsidRPr="00653918">
        <w:rPr>
          <w:rFonts w:ascii="Baskerville" w:hAnsi="Baskerville" w:cs="Baskerville"/>
          <w:sz w:val="22"/>
          <w:szCs w:val="22"/>
        </w:rPr>
        <w:t xml:space="preserve">approaches target sets of co-regulated genes, they may </w:t>
      </w:r>
      <w:r w:rsidR="008526C8">
        <w:rPr>
          <w:rFonts w:ascii="Baskerville" w:hAnsi="Baskerville" w:cs="Baskerville"/>
          <w:sz w:val="22"/>
          <w:szCs w:val="22"/>
        </w:rPr>
        <w:t xml:space="preserve">also </w:t>
      </w:r>
      <w:r w:rsidR="00E700B7" w:rsidRPr="00653918">
        <w:rPr>
          <w:rFonts w:ascii="Baskerville" w:hAnsi="Baskerville" w:cs="Baskerville"/>
          <w:sz w:val="22"/>
          <w:szCs w:val="22"/>
        </w:rPr>
        <w:t xml:space="preserve">offer an approach to developing therapies for epilepsies </w:t>
      </w:r>
      <w:r w:rsidR="006D34D8">
        <w:rPr>
          <w:rFonts w:ascii="Baskerville" w:hAnsi="Baskerville" w:cs="Baskerville"/>
          <w:sz w:val="22"/>
          <w:szCs w:val="22"/>
        </w:rPr>
        <w:t xml:space="preserve">arising from the </w:t>
      </w:r>
      <w:r w:rsidR="00530987" w:rsidRPr="00653918">
        <w:rPr>
          <w:rFonts w:ascii="Baskerville" w:hAnsi="Baskerville" w:cs="Baskerville"/>
          <w:sz w:val="22"/>
          <w:szCs w:val="22"/>
        </w:rPr>
        <w:t>coordinated dy</w:t>
      </w:r>
      <w:r w:rsidR="00E700B7" w:rsidRPr="00653918">
        <w:rPr>
          <w:rFonts w:ascii="Baskerville" w:hAnsi="Baskerville" w:cs="Baskerville"/>
          <w:sz w:val="22"/>
          <w:szCs w:val="22"/>
        </w:rPr>
        <w:t xml:space="preserve">sregulation of </w:t>
      </w:r>
      <w:r w:rsidR="00127741">
        <w:rPr>
          <w:rFonts w:ascii="Baskerville" w:hAnsi="Baskerville" w:cs="Baskerville"/>
          <w:sz w:val="22"/>
          <w:szCs w:val="22"/>
        </w:rPr>
        <w:t xml:space="preserve">sets </w:t>
      </w:r>
      <w:r w:rsidR="00D76285">
        <w:rPr>
          <w:rFonts w:ascii="Baskerville" w:hAnsi="Baskerville" w:cs="Baskerville"/>
          <w:sz w:val="22"/>
          <w:szCs w:val="22"/>
        </w:rPr>
        <w:t xml:space="preserve">of genes </w:t>
      </w:r>
      <w:r w:rsidR="006D34D8">
        <w:rPr>
          <w:rFonts w:ascii="Baskerville" w:hAnsi="Baskerville" w:cs="Baskerville"/>
          <w:sz w:val="22"/>
          <w:szCs w:val="22"/>
        </w:rPr>
        <w:t xml:space="preserve">due to </w:t>
      </w:r>
      <w:r w:rsidR="00127741">
        <w:rPr>
          <w:rFonts w:ascii="Baskerville" w:hAnsi="Baskerville" w:cs="Baskerville"/>
          <w:sz w:val="22"/>
          <w:szCs w:val="22"/>
        </w:rPr>
        <w:t xml:space="preserve">mutation </w:t>
      </w:r>
      <w:r w:rsidR="00D76285">
        <w:rPr>
          <w:rFonts w:ascii="Baskerville" w:hAnsi="Baskerville" w:cs="Baskerville"/>
          <w:sz w:val="22"/>
          <w:szCs w:val="22"/>
        </w:rPr>
        <w:t xml:space="preserve">in </w:t>
      </w:r>
      <w:r w:rsidR="00601C36" w:rsidRPr="00653918">
        <w:rPr>
          <w:rFonts w:ascii="Baskerville" w:hAnsi="Baskerville" w:cs="Baskerville"/>
          <w:sz w:val="22"/>
          <w:szCs w:val="22"/>
        </w:rPr>
        <w:t>chrom</w:t>
      </w:r>
      <w:r w:rsidR="00601C36">
        <w:rPr>
          <w:rFonts w:ascii="Baskerville" w:hAnsi="Baskerville" w:cs="Baskerville"/>
          <w:sz w:val="22"/>
          <w:szCs w:val="22"/>
        </w:rPr>
        <w:t>atin</w:t>
      </w:r>
      <w:r w:rsidR="00601C36" w:rsidRPr="00653918">
        <w:rPr>
          <w:rFonts w:ascii="Baskerville" w:hAnsi="Baskerville" w:cs="Baskerville"/>
          <w:sz w:val="22"/>
          <w:szCs w:val="22"/>
        </w:rPr>
        <w:t xml:space="preserve"> </w:t>
      </w:r>
      <w:r w:rsidR="007C1282" w:rsidRPr="00653918">
        <w:rPr>
          <w:rFonts w:ascii="Baskerville" w:hAnsi="Baskerville" w:cs="Baskerville"/>
          <w:sz w:val="22"/>
          <w:szCs w:val="22"/>
        </w:rPr>
        <w:t>remodeling gene</w:t>
      </w:r>
      <w:r w:rsidR="00127741">
        <w:rPr>
          <w:rFonts w:ascii="Baskerville" w:hAnsi="Baskerville" w:cs="Baskerville"/>
          <w:sz w:val="22"/>
          <w:szCs w:val="22"/>
        </w:rPr>
        <w:t>s</w:t>
      </w:r>
      <w:r w:rsidR="007C1282" w:rsidRPr="00653918">
        <w:rPr>
          <w:rFonts w:ascii="Baskerville" w:hAnsi="Baskerville" w:cs="Baskerville"/>
          <w:sz w:val="22"/>
          <w:szCs w:val="22"/>
        </w:rPr>
        <w:t xml:space="preserve"> </w:t>
      </w:r>
      <w:r w:rsidR="00374040">
        <w:rPr>
          <w:rFonts w:ascii="Baskerville" w:hAnsi="Baskerville" w:cs="Baskerville"/>
          <w:sz w:val="22"/>
          <w:szCs w:val="22"/>
        </w:rPr>
        <w:t xml:space="preserve">or </w:t>
      </w:r>
      <w:r w:rsidR="00D76285">
        <w:rPr>
          <w:rFonts w:ascii="Baskerville" w:hAnsi="Baskerville" w:cs="Baskerville"/>
          <w:sz w:val="22"/>
          <w:szCs w:val="22"/>
        </w:rPr>
        <w:t xml:space="preserve">other </w:t>
      </w:r>
      <w:r w:rsidR="00374040">
        <w:rPr>
          <w:rFonts w:ascii="Baskerville" w:hAnsi="Baskerville" w:cs="Baskerville"/>
          <w:sz w:val="22"/>
          <w:szCs w:val="22"/>
        </w:rPr>
        <w:t>gene regulatory sequences</w:t>
      </w:r>
      <w:r w:rsidR="008526C8">
        <w:rPr>
          <w:rFonts w:ascii="Baskerville" w:hAnsi="Baskerville" w:cs="Baskerville"/>
          <w:sz w:val="22"/>
          <w:szCs w:val="22"/>
        </w:rPr>
        <w:t xml:space="preserve">, or </w:t>
      </w:r>
      <w:r w:rsidR="005D282B">
        <w:rPr>
          <w:rFonts w:ascii="Baskerville" w:hAnsi="Baskerville" w:cs="Baskerville"/>
          <w:sz w:val="22"/>
          <w:szCs w:val="22"/>
        </w:rPr>
        <w:t xml:space="preserve">arising from </w:t>
      </w:r>
      <w:r w:rsidR="008526C8">
        <w:rPr>
          <w:rFonts w:ascii="Baskerville" w:hAnsi="Baskerville" w:cs="Baskerville"/>
          <w:sz w:val="22"/>
          <w:szCs w:val="22"/>
        </w:rPr>
        <w:t xml:space="preserve">aberrant homeostatic </w:t>
      </w:r>
      <w:r w:rsidR="005D282B">
        <w:rPr>
          <w:rFonts w:ascii="Baskerville" w:hAnsi="Baskerville" w:cs="Baskerville"/>
          <w:sz w:val="22"/>
          <w:szCs w:val="22"/>
        </w:rPr>
        <w:t xml:space="preserve">neuronal </w:t>
      </w:r>
      <w:r w:rsidR="008526C8">
        <w:rPr>
          <w:rFonts w:ascii="Baskerville" w:hAnsi="Baskerville" w:cs="Baskerville"/>
          <w:sz w:val="22"/>
          <w:szCs w:val="22"/>
        </w:rPr>
        <w:t>responses to mutation</w:t>
      </w:r>
      <w:r w:rsidR="007C1282" w:rsidRPr="00653918">
        <w:rPr>
          <w:rFonts w:ascii="Baskerville" w:hAnsi="Baskerville" w:cs="Baskerville"/>
          <w:sz w:val="22"/>
          <w:szCs w:val="22"/>
        </w:rPr>
        <w:t xml:space="preserve">. </w:t>
      </w:r>
    </w:p>
    <w:p w14:paraId="0275BB51" w14:textId="77777777" w:rsidR="002D4F56" w:rsidRPr="00653918" w:rsidRDefault="002D4F56" w:rsidP="005669D3">
      <w:pPr>
        <w:spacing w:line="360" w:lineRule="auto"/>
        <w:jc w:val="both"/>
        <w:rPr>
          <w:rFonts w:ascii="Baskerville" w:hAnsi="Baskerville" w:cs="Baskerville"/>
          <w:sz w:val="22"/>
          <w:szCs w:val="22"/>
        </w:rPr>
      </w:pPr>
    </w:p>
    <w:p w14:paraId="630F2B8D" w14:textId="6AEDBCFF" w:rsidR="005250E0" w:rsidRPr="00653918" w:rsidRDefault="005250E0" w:rsidP="005669D3">
      <w:pPr>
        <w:spacing w:line="360" w:lineRule="auto"/>
        <w:jc w:val="both"/>
        <w:rPr>
          <w:rFonts w:ascii="Baskerville" w:hAnsi="Baskerville" w:cs="Baskerville"/>
          <w:b/>
          <w:sz w:val="22"/>
          <w:szCs w:val="22"/>
        </w:rPr>
      </w:pPr>
      <w:r w:rsidRPr="00653918">
        <w:rPr>
          <w:rFonts w:ascii="Baskerville" w:hAnsi="Baskerville" w:cs="Baskerville"/>
          <w:b/>
          <w:sz w:val="22"/>
          <w:szCs w:val="22"/>
        </w:rPr>
        <w:t>Conclusion</w:t>
      </w:r>
    </w:p>
    <w:p w14:paraId="09E72205" w14:textId="4ECA208E" w:rsidR="005D7E84" w:rsidRPr="00653918" w:rsidRDefault="007261FD" w:rsidP="005669D3">
      <w:pPr>
        <w:spacing w:line="360" w:lineRule="auto"/>
        <w:jc w:val="both"/>
        <w:rPr>
          <w:rFonts w:ascii="Baskerville" w:hAnsi="Baskerville" w:cs="Baskerville"/>
          <w:sz w:val="22"/>
          <w:szCs w:val="22"/>
        </w:rPr>
      </w:pPr>
      <w:r w:rsidRPr="00653918">
        <w:rPr>
          <w:rFonts w:ascii="Baskerville" w:hAnsi="Baskerville" w:cs="Baskerville"/>
          <w:sz w:val="22"/>
          <w:szCs w:val="22"/>
        </w:rPr>
        <w:t xml:space="preserve">We </w:t>
      </w:r>
      <w:r w:rsidR="000E7163">
        <w:rPr>
          <w:rFonts w:ascii="Baskerville" w:hAnsi="Baskerville" w:cs="Baskerville"/>
          <w:sz w:val="22"/>
          <w:szCs w:val="22"/>
        </w:rPr>
        <w:t>live</w:t>
      </w:r>
      <w:r w:rsidRPr="00653918">
        <w:rPr>
          <w:rFonts w:ascii="Baskerville" w:hAnsi="Baskerville" w:cs="Baskerville"/>
          <w:sz w:val="22"/>
          <w:szCs w:val="22"/>
        </w:rPr>
        <w:t xml:space="preserve"> in an </w:t>
      </w:r>
      <w:r w:rsidR="00091FC6">
        <w:rPr>
          <w:rFonts w:ascii="Baskerville" w:hAnsi="Baskerville" w:cs="Baskerville"/>
          <w:sz w:val="22"/>
          <w:szCs w:val="22"/>
        </w:rPr>
        <w:t xml:space="preserve">unprecedented </w:t>
      </w:r>
      <w:r w:rsidRPr="00653918">
        <w:rPr>
          <w:rFonts w:ascii="Baskerville" w:hAnsi="Baskerville" w:cs="Baskerville"/>
          <w:sz w:val="22"/>
          <w:szCs w:val="22"/>
        </w:rPr>
        <w:t xml:space="preserve">era of gene discovery in epilepsy. Epilepsy genetics </w:t>
      </w:r>
      <w:r w:rsidR="000E7163">
        <w:rPr>
          <w:rFonts w:ascii="Baskerville" w:hAnsi="Baskerville" w:cs="Baskerville"/>
          <w:sz w:val="22"/>
          <w:szCs w:val="22"/>
        </w:rPr>
        <w:t>is moving rapidly</w:t>
      </w:r>
      <w:r w:rsidR="00825EA9">
        <w:rPr>
          <w:rFonts w:ascii="Baskerville" w:hAnsi="Baskerville" w:cs="Baskerville"/>
          <w:sz w:val="22"/>
          <w:szCs w:val="22"/>
        </w:rPr>
        <w:t xml:space="preserve"> from</w:t>
      </w:r>
      <w:r w:rsidRPr="00653918">
        <w:rPr>
          <w:rFonts w:ascii="Baskerville" w:hAnsi="Baskerville" w:cs="Baskerville"/>
          <w:sz w:val="22"/>
          <w:szCs w:val="22"/>
        </w:rPr>
        <w:t xml:space="preserve"> </w:t>
      </w:r>
      <w:r w:rsidR="0024764C">
        <w:rPr>
          <w:rFonts w:ascii="Baskerville" w:hAnsi="Baskerville" w:cs="Baskerville"/>
          <w:sz w:val="22"/>
          <w:szCs w:val="22"/>
        </w:rPr>
        <w:t xml:space="preserve">gene </w:t>
      </w:r>
      <w:r w:rsidRPr="00653918">
        <w:rPr>
          <w:rFonts w:ascii="Baskerville" w:hAnsi="Baskerville" w:cs="Baskerville"/>
          <w:sz w:val="22"/>
          <w:szCs w:val="22"/>
        </w:rPr>
        <w:t xml:space="preserve">discovery to clinical </w:t>
      </w:r>
      <w:r w:rsidR="00825EA9">
        <w:rPr>
          <w:rFonts w:ascii="Baskerville" w:hAnsi="Baskerville" w:cs="Baskerville"/>
          <w:sz w:val="22"/>
          <w:szCs w:val="22"/>
        </w:rPr>
        <w:t>practice</w:t>
      </w:r>
      <w:r w:rsidRPr="00653918">
        <w:rPr>
          <w:rFonts w:ascii="Baskerville" w:hAnsi="Baskerville" w:cs="Baskerville"/>
          <w:sz w:val="22"/>
          <w:szCs w:val="22"/>
        </w:rPr>
        <w:t>, and the</w:t>
      </w:r>
      <w:r w:rsidR="001F049C" w:rsidRPr="00653918">
        <w:rPr>
          <w:rFonts w:ascii="Baskerville" w:hAnsi="Baskerville" w:cs="Baskerville"/>
          <w:sz w:val="22"/>
          <w:szCs w:val="22"/>
        </w:rPr>
        <w:t>se</w:t>
      </w:r>
      <w:r w:rsidRPr="00653918">
        <w:rPr>
          <w:rFonts w:ascii="Baskerville" w:hAnsi="Baskerville" w:cs="Baskerville"/>
          <w:sz w:val="22"/>
          <w:szCs w:val="22"/>
        </w:rPr>
        <w:t xml:space="preserve"> discoveries </w:t>
      </w:r>
      <w:r w:rsidR="00825EA9">
        <w:rPr>
          <w:rFonts w:ascii="Baskerville" w:hAnsi="Baskerville" w:cs="Baskerville"/>
          <w:sz w:val="22"/>
          <w:szCs w:val="22"/>
        </w:rPr>
        <w:t>highlight</w:t>
      </w:r>
      <w:r w:rsidRPr="00653918">
        <w:rPr>
          <w:rFonts w:ascii="Baskerville" w:hAnsi="Baskerville" w:cs="Baskerville"/>
          <w:sz w:val="22"/>
          <w:szCs w:val="22"/>
        </w:rPr>
        <w:t xml:space="preserve"> a plethora of potential </w:t>
      </w:r>
      <w:r w:rsidR="00CC32BB">
        <w:rPr>
          <w:rFonts w:ascii="Baskerville" w:hAnsi="Baskerville" w:cs="Baskerville"/>
          <w:sz w:val="22"/>
          <w:szCs w:val="22"/>
        </w:rPr>
        <w:t xml:space="preserve">new </w:t>
      </w:r>
      <w:r w:rsidRPr="00653918">
        <w:rPr>
          <w:rFonts w:ascii="Baskerville" w:hAnsi="Baskerville" w:cs="Baskerville"/>
          <w:sz w:val="22"/>
          <w:szCs w:val="22"/>
        </w:rPr>
        <w:t xml:space="preserve">mechanisms for epilepsy. Whether these mechanisms will </w:t>
      </w:r>
      <w:r w:rsidR="005E3DEC">
        <w:rPr>
          <w:rFonts w:ascii="Baskerville" w:hAnsi="Baskerville" w:cs="Baskerville"/>
          <w:sz w:val="22"/>
          <w:szCs w:val="22"/>
        </w:rPr>
        <w:t xml:space="preserve">converge around common </w:t>
      </w:r>
      <w:r w:rsidR="00CC32BB">
        <w:rPr>
          <w:rFonts w:ascii="Baskerville" w:hAnsi="Baskerville" w:cs="Baskerville"/>
          <w:sz w:val="22"/>
          <w:szCs w:val="22"/>
        </w:rPr>
        <w:t>pathways</w:t>
      </w:r>
      <w:r w:rsidR="005E3DEC">
        <w:rPr>
          <w:rFonts w:ascii="Baskerville" w:hAnsi="Baskerville" w:cs="Baskerville"/>
          <w:sz w:val="22"/>
          <w:szCs w:val="22"/>
        </w:rPr>
        <w:t xml:space="preserve"> or </w:t>
      </w:r>
      <w:r w:rsidRPr="00653918">
        <w:rPr>
          <w:rFonts w:ascii="Baskerville" w:hAnsi="Baskerville" w:cs="Baskerville"/>
          <w:sz w:val="22"/>
          <w:szCs w:val="22"/>
        </w:rPr>
        <w:t>each require the development of a specific target</w:t>
      </w:r>
      <w:r w:rsidR="005E3DEC">
        <w:rPr>
          <w:rFonts w:ascii="Baskerville" w:hAnsi="Baskerville" w:cs="Baskerville"/>
          <w:sz w:val="22"/>
          <w:szCs w:val="22"/>
        </w:rPr>
        <w:t xml:space="preserve">ed therapy </w:t>
      </w:r>
      <w:r w:rsidRPr="00653918">
        <w:rPr>
          <w:rFonts w:ascii="Baskerville" w:hAnsi="Baskerville" w:cs="Baskerville"/>
          <w:sz w:val="22"/>
          <w:szCs w:val="22"/>
        </w:rPr>
        <w:t xml:space="preserve">is </w:t>
      </w:r>
      <w:r w:rsidR="005E3DEC">
        <w:rPr>
          <w:rFonts w:ascii="Baskerville" w:hAnsi="Baskerville" w:cs="Baskerville"/>
          <w:sz w:val="22"/>
          <w:szCs w:val="22"/>
        </w:rPr>
        <w:t xml:space="preserve">currently </w:t>
      </w:r>
      <w:r w:rsidRPr="00653918">
        <w:rPr>
          <w:rFonts w:ascii="Baskerville" w:hAnsi="Baskerville" w:cs="Baskerville"/>
          <w:sz w:val="22"/>
          <w:szCs w:val="22"/>
        </w:rPr>
        <w:t xml:space="preserve">unclear, but there is genuine optimism that </w:t>
      </w:r>
      <w:r w:rsidR="005E3DEC">
        <w:rPr>
          <w:rFonts w:ascii="Baskerville" w:hAnsi="Baskerville" w:cs="Baskerville"/>
          <w:sz w:val="22"/>
          <w:szCs w:val="22"/>
        </w:rPr>
        <w:t>the era of NGS-enabled gene discovery</w:t>
      </w:r>
      <w:r w:rsidRPr="00653918">
        <w:rPr>
          <w:rFonts w:ascii="Baskerville" w:hAnsi="Baskerville" w:cs="Baskerville"/>
          <w:sz w:val="22"/>
          <w:szCs w:val="22"/>
        </w:rPr>
        <w:t xml:space="preserve"> will lead to </w:t>
      </w:r>
      <w:r w:rsidR="008E3BC7">
        <w:rPr>
          <w:rFonts w:ascii="Baskerville" w:hAnsi="Baskerville" w:cs="Baskerville"/>
          <w:sz w:val="22"/>
          <w:szCs w:val="22"/>
        </w:rPr>
        <w:t xml:space="preserve">advances </w:t>
      </w:r>
      <w:r w:rsidRPr="00653918">
        <w:rPr>
          <w:rFonts w:ascii="Baskerville" w:hAnsi="Baskerville" w:cs="Baskerville"/>
          <w:sz w:val="22"/>
          <w:szCs w:val="22"/>
        </w:rPr>
        <w:t xml:space="preserve">in </w:t>
      </w:r>
      <w:r w:rsidR="001F049C" w:rsidRPr="00653918">
        <w:rPr>
          <w:rFonts w:ascii="Baskerville" w:hAnsi="Baskerville" w:cs="Baskerville"/>
          <w:sz w:val="22"/>
          <w:szCs w:val="22"/>
        </w:rPr>
        <w:t xml:space="preserve">the </w:t>
      </w:r>
      <w:r w:rsidRPr="00653918">
        <w:rPr>
          <w:rFonts w:ascii="Baskerville" w:hAnsi="Baskerville" w:cs="Baskerville"/>
          <w:sz w:val="22"/>
          <w:szCs w:val="22"/>
        </w:rPr>
        <w:t xml:space="preserve">care </w:t>
      </w:r>
      <w:r w:rsidR="001F049C" w:rsidRPr="00653918">
        <w:rPr>
          <w:rFonts w:ascii="Baskerville" w:hAnsi="Baskerville" w:cs="Baskerville"/>
          <w:sz w:val="22"/>
          <w:szCs w:val="22"/>
        </w:rPr>
        <w:t>of</w:t>
      </w:r>
      <w:r w:rsidRPr="00653918">
        <w:rPr>
          <w:rFonts w:ascii="Baskerville" w:hAnsi="Baskerville" w:cs="Baskerville"/>
          <w:sz w:val="22"/>
          <w:szCs w:val="22"/>
        </w:rPr>
        <w:t xml:space="preserve"> </w:t>
      </w:r>
      <w:r w:rsidR="008E3BC7">
        <w:rPr>
          <w:rFonts w:ascii="Baskerville" w:hAnsi="Baskerville" w:cs="Baskerville"/>
          <w:sz w:val="22"/>
          <w:szCs w:val="22"/>
        </w:rPr>
        <w:t>people</w:t>
      </w:r>
      <w:r w:rsidR="008E3BC7" w:rsidRPr="00653918">
        <w:rPr>
          <w:rFonts w:ascii="Baskerville" w:hAnsi="Baskerville" w:cs="Baskerville"/>
          <w:sz w:val="22"/>
          <w:szCs w:val="22"/>
        </w:rPr>
        <w:t xml:space="preserve"> </w:t>
      </w:r>
      <w:r w:rsidR="00413325" w:rsidRPr="00653918">
        <w:rPr>
          <w:rFonts w:ascii="Baskerville" w:hAnsi="Baskerville" w:cs="Baskerville"/>
          <w:sz w:val="22"/>
          <w:szCs w:val="22"/>
        </w:rPr>
        <w:t>with epilepsy</w:t>
      </w:r>
      <w:r w:rsidRPr="00653918">
        <w:rPr>
          <w:rFonts w:ascii="Baskerville" w:hAnsi="Baskerville" w:cs="Baskerville"/>
          <w:sz w:val="22"/>
          <w:szCs w:val="22"/>
        </w:rPr>
        <w:t xml:space="preserve">. </w:t>
      </w:r>
    </w:p>
    <w:p w14:paraId="7B3CBA2E" w14:textId="77777777" w:rsidR="0058219E" w:rsidRDefault="0058219E" w:rsidP="00B12B34">
      <w:pPr>
        <w:spacing w:line="360" w:lineRule="auto"/>
        <w:jc w:val="both"/>
        <w:rPr>
          <w:rFonts w:ascii="Baskerville" w:hAnsi="Baskerville" w:cs="Baskerville"/>
          <w:sz w:val="22"/>
          <w:szCs w:val="22"/>
        </w:rPr>
      </w:pPr>
      <w:bookmarkStart w:id="0" w:name="_GoBack"/>
      <w:bookmarkEnd w:id="0"/>
    </w:p>
    <w:p w14:paraId="77BD139C" w14:textId="77777777" w:rsidR="0058219E" w:rsidRPr="009137D6" w:rsidRDefault="0058219E" w:rsidP="00B12B34">
      <w:pPr>
        <w:widowControl w:val="0"/>
        <w:autoSpaceDE w:val="0"/>
        <w:autoSpaceDN w:val="0"/>
        <w:adjustRightInd w:val="0"/>
        <w:spacing w:line="360" w:lineRule="auto"/>
        <w:jc w:val="both"/>
        <w:rPr>
          <w:rFonts w:ascii="Baskerville" w:hAnsi="Baskerville" w:cs="Baskerville"/>
          <w:b/>
          <w:sz w:val="22"/>
          <w:szCs w:val="22"/>
        </w:rPr>
      </w:pPr>
      <w:r w:rsidRPr="006035B0">
        <w:rPr>
          <w:rFonts w:ascii="Baskerville" w:hAnsi="Baskerville" w:cs="Baskerville"/>
          <w:b/>
          <w:sz w:val="22"/>
          <w:szCs w:val="22"/>
        </w:rPr>
        <w:t>Acknowledgements</w:t>
      </w:r>
      <w:r>
        <w:rPr>
          <w:rFonts w:ascii="Baskerville" w:hAnsi="Baskerville" w:cs="Baskerville"/>
          <w:b/>
          <w:sz w:val="22"/>
          <w:szCs w:val="22"/>
        </w:rPr>
        <w:t>,</w:t>
      </w:r>
      <w:r w:rsidRPr="00B745A3">
        <w:rPr>
          <w:rFonts w:ascii="Baskerville" w:hAnsi="Baskerville" w:cs="Baskerville"/>
          <w:b/>
          <w:sz w:val="22"/>
          <w:szCs w:val="22"/>
        </w:rPr>
        <w:t xml:space="preserve"> </w:t>
      </w:r>
      <w:r w:rsidRPr="009137D6">
        <w:rPr>
          <w:rFonts w:ascii="Baskerville" w:hAnsi="Baskerville" w:cs="Baskerville"/>
          <w:b/>
          <w:sz w:val="22"/>
          <w:szCs w:val="22"/>
        </w:rPr>
        <w:t>Financial support and sponsorship</w:t>
      </w:r>
    </w:p>
    <w:p w14:paraId="2BA63D3C" w14:textId="29CF8E4A" w:rsidR="0058219E" w:rsidRPr="00B745A3" w:rsidRDefault="0058219E" w:rsidP="00B12B34">
      <w:pPr>
        <w:widowControl w:val="0"/>
        <w:autoSpaceDE w:val="0"/>
        <w:autoSpaceDN w:val="0"/>
        <w:adjustRightInd w:val="0"/>
        <w:spacing w:line="360" w:lineRule="auto"/>
        <w:jc w:val="both"/>
        <w:rPr>
          <w:rFonts w:ascii="Baskerville" w:hAnsi="Baskerville" w:cs="Baskerville"/>
          <w:sz w:val="22"/>
          <w:szCs w:val="22"/>
        </w:rPr>
      </w:pPr>
      <w:r w:rsidRPr="00B745A3">
        <w:rPr>
          <w:rFonts w:ascii="Baskerville" w:hAnsi="Baskerville" w:cs="Baskerville"/>
          <w:color w:val="191919"/>
          <w:sz w:val="22"/>
          <w:szCs w:val="22"/>
        </w:rPr>
        <w:t xml:space="preserve">Dr. Symonds is  funded for a PhD in epilepsy genetics by the Glasgow Children's Hospital Charity (Scottish Charity Number SCO 007856). Professor </w:t>
      </w:r>
      <w:r w:rsidRPr="00B745A3">
        <w:rPr>
          <w:rFonts w:ascii="Baskerville" w:hAnsi="Baskerville" w:cs="Baskerville"/>
          <w:sz w:val="22"/>
          <w:szCs w:val="22"/>
        </w:rPr>
        <w:t>Sameer Zuberi receives research funding from Epilepsy Research UK, Dravet Syndrome UK, UCB Pharma and Glasgow Childrens Hospital Charity. He is Editor-in-Chief of the European Journal of Paediatric Neurology for which he receives an honorarium. Professor Michael Johnson receives funding from</w:t>
      </w:r>
      <w:r w:rsidRPr="00B745A3">
        <w:rPr>
          <w:rFonts w:ascii="Baskerville" w:hAnsi="Baskerville"/>
          <w:sz w:val="22"/>
          <w:szCs w:val="22"/>
        </w:rPr>
        <w:t xml:space="preserve"> Imperial College NIHR Biomedical Research Centre (BRC) Scheme, </w:t>
      </w:r>
      <w:r w:rsidR="00252217">
        <w:rPr>
          <w:rFonts w:ascii="Baskerville" w:hAnsi="Baskerville"/>
          <w:sz w:val="22"/>
          <w:szCs w:val="22"/>
        </w:rPr>
        <w:t xml:space="preserve">UCB Pharma, and </w:t>
      </w:r>
      <w:r w:rsidRPr="00B745A3">
        <w:rPr>
          <w:rFonts w:ascii="Baskerville" w:hAnsi="Baskerville"/>
          <w:sz w:val="22"/>
          <w:szCs w:val="22"/>
        </w:rPr>
        <w:t xml:space="preserve">the </w:t>
      </w:r>
      <w:r w:rsidR="00252217">
        <w:rPr>
          <w:rFonts w:ascii="Baskerville" w:hAnsi="Baskerville"/>
          <w:sz w:val="22"/>
          <w:szCs w:val="22"/>
        </w:rPr>
        <w:t>Medical Research Council</w:t>
      </w:r>
      <w:r w:rsidRPr="00B745A3">
        <w:rPr>
          <w:rFonts w:ascii="Baskerville" w:hAnsi="Baskerville"/>
          <w:sz w:val="22"/>
          <w:szCs w:val="22"/>
        </w:rPr>
        <w:t>.</w:t>
      </w:r>
    </w:p>
    <w:p w14:paraId="2388007D" w14:textId="77777777" w:rsidR="0058219E" w:rsidRPr="009137D6" w:rsidRDefault="0058219E" w:rsidP="00B12B34">
      <w:pPr>
        <w:widowControl w:val="0"/>
        <w:autoSpaceDE w:val="0"/>
        <w:autoSpaceDN w:val="0"/>
        <w:adjustRightInd w:val="0"/>
        <w:spacing w:line="360" w:lineRule="auto"/>
        <w:jc w:val="both"/>
        <w:rPr>
          <w:rFonts w:ascii="Baskerville" w:hAnsi="Baskerville" w:cs="Baskerville"/>
          <w:sz w:val="22"/>
          <w:szCs w:val="22"/>
        </w:rPr>
      </w:pPr>
    </w:p>
    <w:p w14:paraId="33877F25" w14:textId="77777777" w:rsidR="0058219E" w:rsidRPr="00B745A3" w:rsidRDefault="0058219E" w:rsidP="00B12B34">
      <w:pPr>
        <w:widowControl w:val="0"/>
        <w:autoSpaceDE w:val="0"/>
        <w:autoSpaceDN w:val="0"/>
        <w:adjustRightInd w:val="0"/>
        <w:spacing w:line="360" w:lineRule="auto"/>
        <w:jc w:val="both"/>
        <w:rPr>
          <w:rFonts w:ascii="Baskerville" w:hAnsi="Baskerville" w:cs="Baskerville"/>
          <w:b/>
          <w:sz w:val="22"/>
          <w:szCs w:val="22"/>
        </w:rPr>
      </w:pPr>
      <w:r w:rsidRPr="00B745A3">
        <w:rPr>
          <w:rFonts w:ascii="Baskerville" w:hAnsi="Baskerville" w:cs="Baskerville"/>
          <w:b/>
          <w:sz w:val="22"/>
          <w:szCs w:val="22"/>
        </w:rPr>
        <w:t>Conflicts of interest</w:t>
      </w:r>
    </w:p>
    <w:p w14:paraId="70259012" w14:textId="77777777" w:rsidR="0058219E" w:rsidRDefault="0058219E" w:rsidP="00B12B34">
      <w:pPr>
        <w:spacing w:line="360" w:lineRule="auto"/>
        <w:jc w:val="both"/>
        <w:rPr>
          <w:rFonts w:ascii="Baskerville" w:hAnsi="Baskerville" w:cs="Baskerville"/>
          <w:sz w:val="22"/>
          <w:szCs w:val="22"/>
        </w:rPr>
      </w:pPr>
      <w:r w:rsidRPr="006035B0">
        <w:rPr>
          <w:rFonts w:ascii="Baskerville" w:hAnsi="Baskerville" w:cs="Baskerville"/>
          <w:sz w:val="22"/>
          <w:szCs w:val="22"/>
        </w:rPr>
        <w:t>The authors have no conflicts of interest.</w:t>
      </w:r>
    </w:p>
    <w:p w14:paraId="7B18F3D9" w14:textId="77777777" w:rsidR="006F7B8A" w:rsidRDefault="006F7B8A" w:rsidP="00B12B34">
      <w:pPr>
        <w:spacing w:line="360" w:lineRule="auto"/>
        <w:jc w:val="both"/>
        <w:rPr>
          <w:rFonts w:ascii="Baskerville" w:hAnsi="Baskerville" w:cs="Baskerville"/>
          <w:sz w:val="22"/>
          <w:szCs w:val="22"/>
        </w:rPr>
      </w:pPr>
    </w:p>
    <w:p w14:paraId="2DD3E718" w14:textId="77777777" w:rsidR="00D47FD7" w:rsidRPr="004108CA" w:rsidRDefault="00D47FD7" w:rsidP="005669D3">
      <w:pPr>
        <w:spacing w:line="360" w:lineRule="auto"/>
        <w:jc w:val="both"/>
        <w:rPr>
          <w:rFonts w:ascii="Baskerville" w:hAnsi="Baskerville" w:cs="Baskerville"/>
          <w:sz w:val="22"/>
          <w:szCs w:val="22"/>
        </w:rPr>
      </w:pPr>
    </w:p>
    <w:p w14:paraId="24C94258" w14:textId="48FB6C29" w:rsidR="00FD0B46" w:rsidRPr="004108CA" w:rsidRDefault="009C503A" w:rsidP="00936BAA">
      <w:pPr>
        <w:spacing w:line="276" w:lineRule="auto"/>
        <w:jc w:val="both"/>
        <w:rPr>
          <w:rFonts w:ascii="Baskerville" w:hAnsi="Baskerville" w:cs="Baskerville"/>
          <w:b/>
          <w:sz w:val="22"/>
          <w:szCs w:val="22"/>
        </w:rPr>
      </w:pPr>
      <w:r w:rsidRPr="004108CA">
        <w:rPr>
          <w:rFonts w:ascii="Baskerville" w:hAnsi="Baskerville" w:cs="Baskerville"/>
          <w:b/>
          <w:sz w:val="22"/>
          <w:szCs w:val="22"/>
        </w:rPr>
        <w:t>References</w:t>
      </w:r>
    </w:p>
    <w:p w14:paraId="12B0E11F" w14:textId="77777777" w:rsidR="007D4661" w:rsidRPr="004108CA" w:rsidRDefault="007D4661" w:rsidP="00936BAA">
      <w:pPr>
        <w:spacing w:line="276" w:lineRule="auto"/>
        <w:jc w:val="both"/>
        <w:rPr>
          <w:rFonts w:ascii="Baskerville" w:hAnsi="Baskerville" w:cs="Baskerville"/>
          <w:sz w:val="22"/>
          <w:szCs w:val="22"/>
        </w:rPr>
      </w:pPr>
    </w:p>
    <w:p w14:paraId="35FAE717" w14:textId="681056DE" w:rsidR="00F3024F" w:rsidRPr="00F3024F" w:rsidRDefault="00A73024" w:rsidP="00F3024F">
      <w:pPr>
        <w:widowControl w:val="0"/>
        <w:autoSpaceDE w:val="0"/>
        <w:autoSpaceDN w:val="0"/>
        <w:adjustRightInd w:val="0"/>
        <w:ind w:left="640" w:hanging="640"/>
        <w:rPr>
          <w:rFonts w:ascii="Baskerville" w:hAnsi="Baskerville" w:cs="Baskerville"/>
          <w:noProof/>
          <w:sz w:val="22"/>
        </w:rPr>
      </w:pPr>
      <w:r w:rsidRPr="004108CA">
        <w:rPr>
          <w:rFonts w:ascii="Baskerville" w:hAnsi="Baskerville" w:cs="Baskerville"/>
          <w:sz w:val="22"/>
          <w:szCs w:val="22"/>
        </w:rPr>
        <w:fldChar w:fldCharType="begin" w:fldLock="1"/>
      </w:r>
      <w:r w:rsidRPr="004108CA">
        <w:rPr>
          <w:rFonts w:ascii="Baskerville" w:hAnsi="Baskerville" w:cs="Baskerville"/>
          <w:sz w:val="22"/>
          <w:szCs w:val="22"/>
        </w:rPr>
        <w:instrText xml:space="preserve">ADDIN Mendeley Bibliography CSL_BIBLIOGRAPHY </w:instrText>
      </w:r>
      <w:r w:rsidRPr="004108CA">
        <w:rPr>
          <w:rFonts w:ascii="Baskerville" w:hAnsi="Baskerville" w:cs="Baskerville"/>
          <w:sz w:val="22"/>
          <w:szCs w:val="22"/>
        </w:rPr>
        <w:fldChar w:fldCharType="separate"/>
      </w:r>
      <w:r w:rsidR="00F3024F" w:rsidRPr="00F3024F">
        <w:rPr>
          <w:rFonts w:ascii="Baskerville" w:hAnsi="Baskerville" w:cs="Baskerville"/>
          <w:noProof/>
          <w:sz w:val="22"/>
        </w:rPr>
        <w:t xml:space="preserve">1. </w:t>
      </w:r>
      <w:r w:rsidR="00F3024F" w:rsidRPr="00F3024F">
        <w:rPr>
          <w:rFonts w:ascii="Baskerville" w:hAnsi="Baskerville" w:cs="Baskerville"/>
          <w:noProof/>
          <w:sz w:val="22"/>
        </w:rPr>
        <w:tab/>
        <w:t xml:space="preserve">International League Against Epilepsy Consortium on Complex Epilepsies: </w:t>
      </w:r>
      <w:r w:rsidR="00F3024F" w:rsidRPr="00F3024F">
        <w:rPr>
          <w:rFonts w:ascii="Baskerville" w:hAnsi="Baskerville" w:cs="Baskerville"/>
          <w:b/>
          <w:bCs/>
          <w:noProof/>
          <w:sz w:val="22"/>
        </w:rPr>
        <w:t>Genetic determinants of common epilepsies: a meta-analysis of genome-wide association studies. [Internet]</w:t>
      </w:r>
      <w:r w:rsidR="00F3024F" w:rsidRPr="00F3024F">
        <w:rPr>
          <w:rFonts w:ascii="Baskerville" w:hAnsi="Baskerville" w:cs="Baskerville"/>
          <w:noProof/>
          <w:sz w:val="22"/>
        </w:rPr>
        <w:t xml:space="preserve">. </w:t>
      </w:r>
      <w:r w:rsidR="00F3024F" w:rsidRPr="00F3024F">
        <w:rPr>
          <w:rFonts w:ascii="Baskerville" w:hAnsi="Baskerville" w:cs="Baskerville"/>
          <w:i/>
          <w:iCs/>
          <w:noProof/>
          <w:sz w:val="22"/>
        </w:rPr>
        <w:t>Lancet Neurol.</w:t>
      </w:r>
      <w:r w:rsidR="00F3024F" w:rsidRPr="00F3024F">
        <w:rPr>
          <w:rFonts w:ascii="Baskerville" w:hAnsi="Baskerville" w:cs="Baskerville"/>
          <w:noProof/>
          <w:sz w:val="22"/>
        </w:rPr>
        <w:t xml:space="preserve"> 2014, </w:t>
      </w:r>
      <w:r w:rsidR="00F3024F" w:rsidRPr="00F3024F">
        <w:rPr>
          <w:rFonts w:ascii="Baskerville" w:hAnsi="Baskerville" w:cs="Baskerville"/>
          <w:b/>
          <w:bCs/>
          <w:noProof/>
          <w:sz w:val="22"/>
        </w:rPr>
        <w:t>13</w:t>
      </w:r>
      <w:r w:rsidR="00F3024F" w:rsidRPr="00F3024F">
        <w:rPr>
          <w:rFonts w:ascii="Baskerville" w:hAnsi="Baskerville" w:cs="Baskerville"/>
          <w:noProof/>
          <w:sz w:val="22"/>
        </w:rPr>
        <w:t>:893–903.</w:t>
      </w:r>
    </w:p>
    <w:p w14:paraId="75802223" w14:textId="77777777" w:rsidR="00F3024F" w:rsidRP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2. </w:t>
      </w:r>
      <w:r w:rsidRPr="00F3024F">
        <w:rPr>
          <w:rFonts w:ascii="Baskerville" w:hAnsi="Baskerville" w:cs="Baskerville"/>
          <w:noProof/>
          <w:sz w:val="22"/>
        </w:rPr>
        <w:tab/>
        <w:t xml:space="preserve">Speed D, O’Brien TJ, Palotie A, Shkura K, Marson AG, Balding DJ, Johnson MR: </w:t>
      </w:r>
      <w:r w:rsidRPr="00F3024F">
        <w:rPr>
          <w:rFonts w:ascii="Baskerville" w:hAnsi="Baskerville" w:cs="Baskerville"/>
          <w:b/>
          <w:bCs/>
          <w:noProof/>
          <w:sz w:val="22"/>
        </w:rPr>
        <w:t>Describing the genetic architecture of epilepsy through heritability analysis. [Internet]</w:t>
      </w:r>
      <w:r w:rsidRPr="00F3024F">
        <w:rPr>
          <w:rFonts w:ascii="Baskerville" w:hAnsi="Baskerville" w:cs="Baskerville"/>
          <w:noProof/>
          <w:sz w:val="22"/>
        </w:rPr>
        <w:t xml:space="preserve">. </w:t>
      </w:r>
      <w:r w:rsidRPr="00F3024F">
        <w:rPr>
          <w:rFonts w:ascii="Baskerville" w:hAnsi="Baskerville" w:cs="Baskerville"/>
          <w:i/>
          <w:iCs/>
          <w:noProof/>
          <w:sz w:val="22"/>
        </w:rPr>
        <w:t>Brain</w:t>
      </w:r>
      <w:r w:rsidRPr="00F3024F">
        <w:rPr>
          <w:rFonts w:ascii="Baskerville" w:hAnsi="Baskerville" w:cs="Baskerville"/>
          <w:noProof/>
          <w:sz w:val="22"/>
        </w:rPr>
        <w:t xml:space="preserve"> 2014, doi:10.1093/brain/awu206.</w:t>
      </w:r>
    </w:p>
    <w:p w14:paraId="4FAA8F2D" w14:textId="77777777" w:rsidR="00F3024F" w:rsidRP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3. </w:t>
      </w:r>
      <w:r w:rsidRPr="00F3024F">
        <w:rPr>
          <w:rFonts w:ascii="Baskerville" w:hAnsi="Baskerville" w:cs="Baskerville"/>
          <w:noProof/>
          <w:sz w:val="22"/>
        </w:rPr>
        <w:tab/>
        <w:t xml:space="preserve">Allen AS, Berkovic SF, Cossette P, Delanty N, Dlugos D, Eichler EE, Epstein MP, Glauser T, Goldstein DB, Han Y, et al.: </w:t>
      </w:r>
      <w:r w:rsidRPr="00F3024F">
        <w:rPr>
          <w:rFonts w:ascii="Baskerville" w:hAnsi="Baskerville" w:cs="Baskerville"/>
          <w:b/>
          <w:bCs/>
          <w:noProof/>
          <w:sz w:val="22"/>
        </w:rPr>
        <w:t>De novo mutations in epileptic encephalopathies. [Internet]</w:t>
      </w:r>
      <w:r w:rsidRPr="00F3024F">
        <w:rPr>
          <w:rFonts w:ascii="Baskerville" w:hAnsi="Baskerville" w:cs="Baskerville"/>
          <w:noProof/>
          <w:sz w:val="22"/>
        </w:rPr>
        <w:t xml:space="preserve">. </w:t>
      </w:r>
      <w:r w:rsidRPr="00F3024F">
        <w:rPr>
          <w:rFonts w:ascii="Baskerville" w:hAnsi="Baskerville" w:cs="Baskerville"/>
          <w:i/>
          <w:iCs/>
          <w:noProof/>
          <w:sz w:val="22"/>
        </w:rPr>
        <w:t>Nature</w:t>
      </w:r>
      <w:r w:rsidRPr="00F3024F">
        <w:rPr>
          <w:rFonts w:ascii="Baskerville" w:hAnsi="Baskerville" w:cs="Baskerville"/>
          <w:noProof/>
          <w:sz w:val="22"/>
        </w:rPr>
        <w:t xml:space="preserve"> 2013, </w:t>
      </w:r>
      <w:r w:rsidRPr="00F3024F">
        <w:rPr>
          <w:rFonts w:ascii="Baskerville" w:hAnsi="Baskerville" w:cs="Baskerville"/>
          <w:b/>
          <w:bCs/>
          <w:noProof/>
          <w:sz w:val="22"/>
        </w:rPr>
        <w:t>501</w:t>
      </w:r>
      <w:r w:rsidRPr="00F3024F">
        <w:rPr>
          <w:rFonts w:ascii="Baskerville" w:hAnsi="Baskerville" w:cs="Baskerville"/>
          <w:noProof/>
          <w:sz w:val="22"/>
        </w:rPr>
        <w:t>:217–21.</w:t>
      </w:r>
    </w:p>
    <w:p w14:paraId="5D4391EE" w14:textId="77777777" w:rsidR="00F3024F" w:rsidRP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4. </w:t>
      </w:r>
      <w:r w:rsidRPr="00F3024F">
        <w:rPr>
          <w:rFonts w:ascii="Baskerville" w:hAnsi="Baskerville" w:cs="Baskerville"/>
          <w:noProof/>
          <w:sz w:val="22"/>
        </w:rPr>
        <w:tab/>
        <w:t xml:space="preserve">Consortium E, Phenome E, Project G, Consortium E: </w:t>
      </w:r>
      <w:r w:rsidRPr="00F3024F">
        <w:rPr>
          <w:rFonts w:ascii="Baskerville" w:hAnsi="Baskerville" w:cs="Baskerville"/>
          <w:b/>
          <w:bCs/>
          <w:noProof/>
          <w:sz w:val="22"/>
        </w:rPr>
        <w:t>De Novo Mutations in Synaptic Transmission Genes Including DNM1 Cause Epileptic Encephalopathies [Internet]</w:t>
      </w:r>
      <w:r w:rsidRPr="00F3024F">
        <w:rPr>
          <w:rFonts w:ascii="Baskerville" w:hAnsi="Baskerville" w:cs="Baskerville"/>
          <w:noProof/>
          <w:sz w:val="22"/>
        </w:rPr>
        <w:t xml:space="preserve">. </w:t>
      </w:r>
      <w:r w:rsidRPr="00F3024F">
        <w:rPr>
          <w:rFonts w:ascii="Baskerville" w:hAnsi="Baskerville" w:cs="Baskerville"/>
          <w:i/>
          <w:iCs/>
          <w:noProof/>
          <w:sz w:val="22"/>
        </w:rPr>
        <w:t>Am. J. Hum. Genet.</w:t>
      </w:r>
      <w:r w:rsidRPr="00F3024F">
        <w:rPr>
          <w:rFonts w:ascii="Baskerville" w:hAnsi="Baskerville" w:cs="Baskerville"/>
          <w:noProof/>
          <w:sz w:val="22"/>
        </w:rPr>
        <w:t xml:space="preserve"> 2014, doi:10.1016/j.ajhg.2014.08.013.</w:t>
      </w:r>
    </w:p>
    <w:p w14:paraId="04423679" w14:textId="77777777" w:rsid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5. </w:t>
      </w:r>
      <w:r w:rsidRPr="00F3024F">
        <w:rPr>
          <w:rFonts w:ascii="Baskerville" w:hAnsi="Baskerville" w:cs="Baskerville"/>
          <w:noProof/>
          <w:sz w:val="22"/>
        </w:rPr>
        <w:tab/>
        <w:t xml:space="preserve">Consortium E: </w:t>
      </w:r>
      <w:r w:rsidRPr="00F3024F">
        <w:rPr>
          <w:rFonts w:ascii="Baskerville" w:hAnsi="Baskerville" w:cs="Baskerville"/>
          <w:b/>
          <w:bCs/>
          <w:noProof/>
          <w:sz w:val="22"/>
        </w:rPr>
        <w:t>De Novo Mutations in SLC1A2 and CACNA1A Are Important Causes of Epileptic Encephalopathies [Internet]</w:t>
      </w:r>
      <w:r w:rsidRPr="00F3024F">
        <w:rPr>
          <w:rFonts w:ascii="Baskerville" w:hAnsi="Baskerville" w:cs="Baskerville"/>
          <w:noProof/>
          <w:sz w:val="22"/>
        </w:rPr>
        <w:t xml:space="preserve">. </w:t>
      </w:r>
      <w:r w:rsidRPr="00F3024F">
        <w:rPr>
          <w:rFonts w:ascii="Baskerville" w:hAnsi="Baskerville" w:cs="Baskerville"/>
          <w:i/>
          <w:iCs/>
          <w:noProof/>
          <w:sz w:val="22"/>
        </w:rPr>
        <w:t>Am. J. Hum. Genet.</w:t>
      </w:r>
      <w:r w:rsidRPr="00F3024F">
        <w:rPr>
          <w:rFonts w:ascii="Baskerville" w:hAnsi="Baskerville" w:cs="Baskerville"/>
          <w:noProof/>
          <w:sz w:val="22"/>
        </w:rPr>
        <w:t xml:space="preserve"> 2016, doi:10.1016/j.ajhg.2016.06.003.</w:t>
      </w:r>
    </w:p>
    <w:p w14:paraId="32F890B0" w14:textId="4222CB6C" w:rsidR="00FA0902" w:rsidRPr="00FA0902" w:rsidRDefault="00FA0902" w:rsidP="00FA0902">
      <w:pPr>
        <w:widowControl w:val="0"/>
        <w:autoSpaceDE w:val="0"/>
        <w:autoSpaceDN w:val="0"/>
        <w:adjustRightInd w:val="0"/>
        <w:ind w:left="640" w:hanging="640"/>
        <w:rPr>
          <w:rFonts w:ascii="Baskerville" w:eastAsia="Times New Roman" w:hAnsi="Baskerville" w:cs="Baskerville"/>
          <w:noProof/>
          <w:sz w:val="22"/>
          <w:szCs w:val="22"/>
        </w:rPr>
      </w:pPr>
      <w:r w:rsidRPr="004108CA">
        <w:rPr>
          <w:rFonts w:ascii="Baskerville" w:eastAsia="Times New Roman" w:hAnsi="Baskerville" w:cs="Baskerville"/>
          <w:noProof/>
          <w:sz w:val="22"/>
          <w:szCs w:val="22"/>
        </w:rPr>
        <w:t>* Study identifies important new genes for monogenic epilepsy using NGS</w:t>
      </w:r>
    </w:p>
    <w:p w14:paraId="7B307FB8" w14:textId="77777777" w:rsidR="00F3024F" w:rsidRP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6. </w:t>
      </w:r>
      <w:r w:rsidRPr="00F3024F">
        <w:rPr>
          <w:rFonts w:ascii="Baskerville" w:hAnsi="Baskerville" w:cs="Baskerville"/>
          <w:noProof/>
          <w:sz w:val="22"/>
        </w:rPr>
        <w:tab/>
        <w:t xml:space="preserve">Iossifov I, O’Roak BJ, Sanders SJ, Ronemus M, Krumm N, Levy D, Stessman H a., Witherspoon KT, Vives L, Patterson KE, et al.: </w:t>
      </w:r>
      <w:r w:rsidRPr="00F3024F">
        <w:rPr>
          <w:rFonts w:ascii="Baskerville" w:hAnsi="Baskerville" w:cs="Baskerville"/>
          <w:b/>
          <w:bCs/>
          <w:noProof/>
          <w:sz w:val="22"/>
        </w:rPr>
        <w:t>The contribution of de novo coding mutations to autism spectrum disorder [Internet]</w:t>
      </w:r>
      <w:r w:rsidRPr="00F3024F">
        <w:rPr>
          <w:rFonts w:ascii="Baskerville" w:hAnsi="Baskerville" w:cs="Baskerville"/>
          <w:noProof/>
          <w:sz w:val="22"/>
        </w:rPr>
        <w:t xml:space="preserve">. </w:t>
      </w:r>
      <w:r w:rsidRPr="00F3024F">
        <w:rPr>
          <w:rFonts w:ascii="Baskerville" w:hAnsi="Baskerville" w:cs="Baskerville"/>
          <w:i/>
          <w:iCs/>
          <w:noProof/>
          <w:sz w:val="22"/>
        </w:rPr>
        <w:t>Nature</w:t>
      </w:r>
      <w:r w:rsidRPr="00F3024F">
        <w:rPr>
          <w:rFonts w:ascii="Baskerville" w:hAnsi="Baskerville" w:cs="Baskerville"/>
          <w:noProof/>
          <w:sz w:val="22"/>
        </w:rPr>
        <w:t xml:space="preserve"> 2014, </w:t>
      </w:r>
      <w:r w:rsidRPr="00F3024F">
        <w:rPr>
          <w:rFonts w:ascii="Baskerville" w:hAnsi="Baskerville" w:cs="Baskerville"/>
          <w:b/>
          <w:bCs/>
          <w:noProof/>
          <w:sz w:val="22"/>
        </w:rPr>
        <w:t>515</w:t>
      </w:r>
      <w:r w:rsidRPr="00F3024F">
        <w:rPr>
          <w:rFonts w:ascii="Baskerville" w:hAnsi="Baskerville" w:cs="Baskerville"/>
          <w:noProof/>
          <w:sz w:val="22"/>
        </w:rPr>
        <w:t>:216–221.</w:t>
      </w:r>
    </w:p>
    <w:p w14:paraId="0EA0A5CA" w14:textId="77777777" w:rsidR="00F3024F" w:rsidRP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7. </w:t>
      </w:r>
      <w:r w:rsidRPr="00F3024F">
        <w:rPr>
          <w:rFonts w:ascii="Baskerville" w:hAnsi="Baskerville" w:cs="Baskerville"/>
          <w:noProof/>
          <w:sz w:val="22"/>
        </w:rPr>
        <w:tab/>
        <w:t xml:space="preserve">Zhu X, Need AC, Petrovski S, Goldstein DB: </w:t>
      </w:r>
      <w:r w:rsidRPr="00F3024F">
        <w:rPr>
          <w:rFonts w:ascii="Baskerville" w:hAnsi="Baskerville" w:cs="Baskerville"/>
          <w:b/>
          <w:bCs/>
          <w:noProof/>
          <w:sz w:val="22"/>
        </w:rPr>
        <w:t>One gene, many neuropsychiatric disorders: lessons from Mendelian diseases. [Internet]</w:t>
      </w:r>
      <w:r w:rsidRPr="00F3024F">
        <w:rPr>
          <w:rFonts w:ascii="Baskerville" w:hAnsi="Baskerville" w:cs="Baskerville"/>
          <w:noProof/>
          <w:sz w:val="22"/>
        </w:rPr>
        <w:t xml:space="preserve">. </w:t>
      </w:r>
      <w:r w:rsidRPr="00F3024F">
        <w:rPr>
          <w:rFonts w:ascii="Baskerville" w:hAnsi="Baskerville" w:cs="Baskerville"/>
          <w:i/>
          <w:iCs/>
          <w:noProof/>
          <w:sz w:val="22"/>
        </w:rPr>
        <w:t>Nat. Neurosci.</w:t>
      </w:r>
      <w:r w:rsidRPr="00F3024F">
        <w:rPr>
          <w:rFonts w:ascii="Baskerville" w:hAnsi="Baskerville" w:cs="Baskerville"/>
          <w:noProof/>
          <w:sz w:val="22"/>
        </w:rPr>
        <w:t xml:space="preserve"> 2014, </w:t>
      </w:r>
      <w:r w:rsidRPr="00F3024F">
        <w:rPr>
          <w:rFonts w:ascii="Baskerville" w:hAnsi="Baskerville" w:cs="Baskerville"/>
          <w:b/>
          <w:bCs/>
          <w:noProof/>
          <w:sz w:val="22"/>
        </w:rPr>
        <w:t>17</w:t>
      </w:r>
      <w:r w:rsidRPr="00F3024F">
        <w:rPr>
          <w:rFonts w:ascii="Baskerville" w:hAnsi="Baskerville" w:cs="Baskerville"/>
          <w:noProof/>
          <w:sz w:val="22"/>
        </w:rPr>
        <w:t>:773–81.</w:t>
      </w:r>
    </w:p>
    <w:p w14:paraId="4404F83F" w14:textId="77777777" w:rsid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8. </w:t>
      </w:r>
      <w:r w:rsidRPr="00F3024F">
        <w:rPr>
          <w:rFonts w:ascii="Baskerville" w:hAnsi="Baskerville" w:cs="Baskerville"/>
          <w:noProof/>
          <w:sz w:val="22"/>
        </w:rPr>
        <w:tab/>
        <w:t xml:space="preserve">Trump N, McTague A, Brittain H, Papandreou A, Meyer E, Ngoh A, Palmer R, Morrogh D, Boustred C, Hurst JA, et al.: </w:t>
      </w:r>
      <w:r w:rsidRPr="00F3024F">
        <w:rPr>
          <w:rFonts w:ascii="Baskerville" w:hAnsi="Baskerville" w:cs="Baskerville"/>
          <w:b/>
          <w:bCs/>
          <w:noProof/>
          <w:sz w:val="22"/>
        </w:rPr>
        <w:t>Improving diagnosis and broadening the phenotypes in early-onset seizure and severe developmental delay disorders through gene panel analysis [Internet]</w:t>
      </w:r>
      <w:r w:rsidRPr="00F3024F">
        <w:rPr>
          <w:rFonts w:ascii="Baskerville" w:hAnsi="Baskerville" w:cs="Baskerville"/>
          <w:noProof/>
          <w:sz w:val="22"/>
        </w:rPr>
        <w:t xml:space="preserve">. </w:t>
      </w:r>
      <w:r w:rsidRPr="00F3024F">
        <w:rPr>
          <w:rFonts w:ascii="Baskerville" w:hAnsi="Baskerville" w:cs="Baskerville"/>
          <w:i/>
          <w:iCs/>
          <w:noProof/>
          <w:sz w:val="22"/>
        </w:rPr>
        <w:t>J. Med. Genet.</w:t>
      </w:r>
      <w:r w:rsidRPr="00F3024F">
        <w:rPr>
          <w:rFonts w:ascii="Baskerville" w:hAnsi="Baskerville" w:cs="Baskerville"/>
          <w:noProof/>
          <w:sz w:val="22"/>
        </w:rPr>
        <w:t xml:space="preserve"> 2016, doi:10.1136/jmedgenet-2015-103263.</w:t>
      </w:r>
    </w:p>
    <w:p w14:paraId="564D70A2" w14:textId="73E6DF26" w:rsidR="00FA0902" w:rsidRPr="00F3024F" w:rsidRDefault="00FA0902" w:rsidP="00F3024F">
      <w:pPr>
        <w:widowControl w:val="0"/>
        <w:autoSpaceDE w:val="0"/>
        <w:autoSpaceDN w:val="0"/>
        <w:adjustRightInd w:val="0"/>
        <w:ind w:left="640" w:hanging="640"/>
        <w:rPr>
          <w:rFonts w:ascii="Baskerville" w:hAnsi="Baskerville" w:cs="Baskerville"/>
          <w:noProof/>
          <w:sz w:val="22"/>
        </w:rPr>
      </w:pPr>
      <w:r w:rsidRPr="004108CA">
        <w:rPr>
          <w:rFonts w:ascii="Baskerville" w:eastAsia="Times New Roman" w:hAnsi="Baskerville" w:cs="Baskerville"/>
          <w:noProof/>
          <w:sz w:val="22"/>
          <w:szCs w:val="22"/>
        </w:rPr>
        <w:t>* Study reports diagnostic yields from clinical epilepsy gene panel tests.</w:t>
      </w:r>
    </w:p>
    <w:p w14:paraId="0DB455C4" w14:textId="77777777" w:rsid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9. </w:t>
      </w:r>
      <w:r w:rsidRPr="00F3024F">
        <w:rPr>
          <w:rFonts w:ascii="Baskerville" w:hAnsi="Baskerville" w:cs="Baskerville"/>
          <w:noProof/>
          <w:sz w:val="22"/>
        </w:rPr>
        <w:tab/>
        <w:t xml:space="preserve">Johannesen K, Marini C, Pfeffer S, Møller RS, Dorn T, Niturad C, Gardella E, Weber Y, Søndergård M, Hjalgrim H, et al.: </w:t>
      </w:r>
      <w:r w:rsidRPr="00F3024F">
        <w:rPr>
          <w:rFonts w:ascii="Baskerville" w:hAnsi="Baskerville" w:cs="Baskerville"/>
          <w:b/>
          <w:bCs/>
          <w:noProof/>
          <w:sz w:val="22"/>
        </w:rPr>
        <w:t>Phenotypic spectrum of GABRA1: From generalized epilepsies to severe epileptic encephalopathies. [Internet]</w:t>
      </w:r>
      <w:r w:rsidRPr="00F3024F">
        <w:rPr>
          <w:rFonts w:ascii="Baskerville" w:hAnsi="Baskerville" w:cs="Baskerville"/>
          <w:noProof/>
          <w:sz w:val="22"/>
        </w:rPr>
        <w:t xml:space="preserve">. </w:t>
      </w:r>
      <w:r w:rsidRPr="00F3024F">
        <w:rPr>
          <w:rFonts w:ascii="Baskerville" w:hAnsi="Baskerville" w:cs="Baskerville"/>
          <w:i/>
          <w:iCs/>
          <w:noProof/>
          <w:sz w:val="22"/>
        </w:rPr>
        <w:t>Neurology</w:t>
      </w:r>
      <w:r w:rsidRPr="00F3024F">
        <w:rPr>
          <w:rFonts w:ascii="Baskerville" w:hAnsi="Baskerville" w:cs="Baskerville"/>
          <w:noProof/>
          <w:sz w:val="22"/>
        </w:rPr>
        <w:t xml:space="preserve"> 2016, doi:10.1212/WNL.0000000000003087.</w:t>
      </w:r>
    </w:p>
    <w:p w14:paraId="3727EE23" w14:textId="7B464FE7" w:rsidR="00FA0902" w:rsidRPr="00FA0902" w:rsidRDefault="00FA0902" w:rsidP="00FA0902">
      <w:pPr>
        <w:widowControl w:val="0"/>
        <w:autoSpaceDE w:val="0"/>
        <w:autoSpaceDN w:val="0"/>
        <w:adjustRightInd w:val="0"/>
        <w:ind w:left="640" w:hanging="640"/>
        <w:rPr>
          <w:rFonts w:ascii="Baskerville" w:eastAsia="Times New Roman" w:hAnsi="Baskerville" w:cs="Baskerville"/>
          <w:noProof/>
          <w:sz w:val="22"/>
          <w:szCs w:val="22"/>
        </w:rPr>
      </w:pPr>
      <w:r w:rsidRPr="004108CA">
        <w:rPr>
          <w:rFonts w:ascii="Baskerville" w:eastAsia="Times New Roman" w:hAnsi="Baskerville" w:cs="Baskerville"/>
          <w:noProof/>
          <w:sz w:val="22"/>
          <w:szCs w:val="22"/>
        </w:rPr>
        <w:t>* Study reports the phenotypic spectrum from GABBRA1 mutations</w:t>
      </w:r>
    </w:p>
    <w:p w14:paraId="5A4B019D" w14:textId="77777777" w:rsid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10. </w:t>
      </w:r>
      <w:r w:rsidRPr="00F3024F">
        <w:rPr>
          <w:rFonts w:ascii="Baskerville" w:hAnsi="Baskerville" w:cs="Baskerville"/>
          <w:noProof/>
          <w:sz w:val="22"/>
        </w:rPr>
        <w:tab/>
        <w:t xml:space="preserve">Kodera H, Ohba C, Kato M, Maeda T, Araki K, Tajima D, Matsuo M, Hino-Fukuyo N, Kohashi K, Ishiyama A, et al.: </w:t>
      </w:r>
      <w:r w:rsidRPr="00F3024F">
        <w:rPr>
          <w:rFonts w:ascii="Baskerville" w:hAnsi="Baskerville" w:cs="Baskerville"/>
          <w:b/>
          <w:bCs/>
          <w:noProof/>
          <w:sz w:val="22"/>
        </w:rPr>
        <w:t>De novo GABRA1 mutations in Ohtahara and West syndromes</w:t>
      </w:r>
      <w:r w:rsidRPr="00F3024F">
        <w:rPr>
          <w:rFonts w:ascii="Baskerville" w:hAnsi="Baskerville" w:cs="Baskerville"/>
          <w:noProof/>
          <w:sz w:val="22"/>
        </w:rPr>
        <w:t xml:space="preserve">. </w:t>
      </w:r>
      <w:r w:rsidRPr="00F3024F">
        <w:rPr>
          <w:rFonts w:ascii="Baskerville" w:hAnsi="Baskerville" w:cs="Baskerville"/>
          <w:i/>
          <w:iCs/>
          <w:noProof/>
          <w:sz w:val="22"/>
        </w:rPr>
        <w:t>Epilepsia</w:t>
      </w:r>
      <w:r w:rsidRPr="00F3024F">
        <w:rPr>
          <w:rFonts w:ascii="Baskerville" w:hAnsi="Baskerville" w:cs="Baskerville"/>
          <w:noProof/>
          <w:sz w:val="22"/>
        </w:rPr>
        <w:t xml:space="preserve"> 2016, </w:t>
      </w:r>
      <w:r w:rsidRPr="00F3024F">
        <w:rPr>
          <w:rFonts w:ascii="Baskerville" w:hAnsi="Baskerville" w:cs="Baskerville"/>
          <w:b/>
          <w:bCs/>
          <w:noProof/>
          <w:sz w:val="22"/>
        </w:rPr>
        <w:t>57</w:t>
      </w:r>
      <w:r w:rsidRPr="00F3024F">
        <w:rPr>
          <w:rFonts w:ascii="Baskerville" w:hAnsi="Baskerville" w:cs="Baskerville"/>
          <w:noProof/>
          <w:sz w:val="22"/>
        </w:rPr>
        <w:t>:566–573.</w:t>
      </w:r>
    </w:p>
    <w:p w14:paraId="2D9E635C" w14:textId="30569DC9" w:rsidR="00FA0902" w:rsidRPr="00F3024F" w:rsidRDefault="00FA0902" w:rsidP="00F3024F">
      <w:pPr>
        <w:widowControl w:val="0"/>
        <w:autoSpaceDE w:val="0"/>
        <w:autoSpaceDN w:val="0"/>
        <w:adjustRightInd w:val="0"/>
        <w:ind w:left="640" w:hanging="640"/>
        <w:rPr>
          <w:rFonts w:ascii="Baskerville" w:hAnsi="Baskerville" w:cs="Baskerville"/>
          <w:noProof/>
          <w:sz w:val="22"/>
        </w:rPr>
      </w:pPr>
      <w:r w:rsidRPr="004108CA">
        <w:rPr>
          <w:rFonts w:ascii="Baskerville" w:eastAsia="Times New Roman" w:hAnsi="Baskerville" w:cs="Baskerville"/>
          <w:noProof/>
          <w:sz w:val="22"/>
          <w:szCs w:val="22"/>
        </w:rPr>
        <w:t>* Study reports de novo GABRA1 mutations in patients with infantile onset epilepsy.</w:t>
      </w:r>
    </w:p>
    <w:p w14:paraId="0A89D3D5" w14:textId="77777777" w:rsid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11. </w:t>
      </w:r>
      <w:r w:rsidRPr="00F3024F">
        <w:rPr>
          <w:rFonts w:ascii="Baskerville" w:hAnsi="Baskerville" w:cs="Baskerville"/>
          <w:noProof/>
          <w:sz w:val="22"/>
        </w:rPr>
        <w:tab/>
        <w:t xml:space="preserve">Janve VS, Hernandez CC, Verdier KM, Hu N, Macdonald RL: </w:t>
      </w:r>
      <w:r w:rsidRPr="00F3024F">
        <w:rPr>
          <w:rFonts w:ascii="Baskerville" w:hAnsi="Baskerville" w:cs="Baskerville"/>
          <w:b/>
          <w:bCs/>
          <w:noProof/>
          <w:sz w:val="22"/>
        </w:rPr>
        <w:t>Epileptic encephalopathy de novo GABRB mutations impair GABAA receptor function. [Internet]</w:t>
      </w:r>
      <w:r w:rsidRPr="00F3024F">
        <w:rPr>
          <w:rFonts w:ascii="Baskerville" w:hAnsi="Baskerville" w:cs="Baskerville"/>
          <w:noProof/>
          <w:sz w:val="22"/>
        </w:rPr>
        <w:t xml:space="preserve">. </w:t>
      </w:r>
      <w:r w:rsidRPr="00F3024F">
        <w:rPr>
          <w:rFonts w:ascii="Baskerville" w:hAnsi="Baskerville" w:cs="Baskerville"/>
          <w:i/>
          <w:iCs/>
          <w:noProof/>
          <w:sz w:val="22"/>
        </w:rPr>
        <w:t>Ann. Neurol.</w:t>
      </w:r>
      <w:r w:rsidRPr="00F3024F">
        <w:rPr>
          <w:rFonts w:ascii="Baskerville" w:hAnsi="Baskerville" w:cs="Baskerville"/>
          <w:noProof/>
          <w:sz w:val="22"/>
        </w:rPr>
        <w:t xml:space="preserve"> 2016, </w:t>
      </w:r>
      <w:r w:rsidRPr="00F3024F">
        <w:rPr>
          <w:rFonts w:ascii="Baskerville" w:hAnsi="Baskerville" w:cs="Baskerville"/>
          <w:b/>
          <w:bCs/>
          <w:noProof/>
          <w:sz w:val="22"/>
        </w:rPr>
        <w:t>79</w:t>
      </w:r>
      <w:r w:rsidRPr="00F3024F">
        <w:rPr>
          <w:rFonts w:ascii="Baskerville" w:hAnsi="Baskerville" w:cs="Baskerville"/>
          <w:noProof/>
          <w:sz w:val="22"/>
        </w:rPr>
        <w:t>:806–825.</w:t>
      </w:r>
    </w:p>
    <w:p w14:paraId="549E5070" w14:textId="633CD00C" w:rsidR="00FA0902" w:rsidRPr="00FA0902" w:rsidRDefault="00FA0902" w:rsidP="00FA0902">
      <w:pPr>
        <w:widowControl w:val="0"/>
        <w:autoSpaceDE w:val="0"/>
        <w:autoSpaceDN w:val="0"/>
        <w:adjustRightInd w:val="0"/>
        <w:ind w:left="640" w:hanging="640"/>
        <w:rPr>
          <w:rFonts w:ascii="Baskerville" w:eastAsia="Times New Roman" w:hAnsi="Baskerville" w:cs="Baskerville"/>
          <w:noProof/>
          <w:sz w:val="22"/>
          <w:szCs w:val="22"/>
        </w:rPr>
      </w:pPr>
      <w:r w:rsidRPr="004108CA">
        <w:rPr>
          <w:rFonts w:ascii="Baskerville" w:eastAsia="Times New Roman" w:hAnsi="Baskerville" w:cs="Baskerville"/>
          <w:noProof/>
          <w:sz w:val="22"/>
          <w:szCs w:val="22"/>
        </w:rPr>
        <w:t>* Study reports de novo GABA B receptor mutations in epileptic encephalopathy</w:t>
      </w:r>
      <w:r>
        <w:rPr>
          <w:rFonts w:ascii="Baskerville" w:eastAsia="Times New Roman" w:hAnsi="Baskerville" w:cs="Baskerville"/>
          <w:noProof/>
          <w:sz w:val="22"/>
          <w:szCs w:val="22"/>
        </w:rPr>
        <w:t xml:space="preserve">. </w:t>
      </w:r>
    </w:p>
    <w:p w14:paraId="64904627" w14:textId="77777777" w:rsid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12. </w:t>
      </w:r>
      <w:r w:rsidRPr="00F3024F">
        <w:rPr>
          <w:rFonts w:ascii="Baskerville" w:hAnsi="Baskerville" w:cs="Baskerville"/>
          <w:noProof/>
          <w:sz w:val="22"/>
        </w:rPr>
        <w:tab/>
        <w:t xml:space="preserve">Papandreou A, Mctague A, Trump N, Ambegaonkar G, Ngoh A, Meyer E, Scott RH, Kurian MA: </w:t>
      </w:r>
      <w:r w:rsidRPr="00F3024F">
        <w:rPr>
          <w:rFonts w:ascii="Baskerville" w:hAnsi="Baskerville" w:cs="Baskerville"/>
          <w:b/>
          <w:bCs/>
          <w:noProof/>
          <w:sz w:val="22"/>
        </w:rPr>
        <w:t xml:space="preserve">GABRB3 mutations: A new and emerging cause of early </w:t>
      </w:r>
      <w:r w:rsidRPr="00F3024F">
        <w:rPr>
          <w:rFonts w:ascii="Baskerville" w:hAnsi="Baskerville" w:cs="Baskerville"/>
          <w:b/>
          <w:bCs/>
          <w:noProof/>
          <w:sz w:val="22"/>
        </w:rPr>
        <w:lastRenderedPageBreak/>
        <w:t>infantile epileptic encephalopathy</w:t>
      </w:r>
      <w:r w:rsidRPr="00F3024F">
        <w:rPr>
          <w:rFonts w:ascii="Baskerville" w:hAnsi="Baskerville" w:cs="Baskerville"/>
          <w:noProof/>
          <w:sz w:val="22"/>
        </w:rPr>
        <w:t xml:space="preserve">. </w:t>
      </w:r>
      <w:r w:rsidRPr="00F3024F">
        <w:rPr>
          <w:rFonts w:ascii="Baskerville" w:hAnsi="Baskerville" w:cs="Baskerville"/>
          <w:i/>
          <w:iCs/>
          <w:noProof/>
          <w:sz w:val="22"/>
        </w:rPr>
        <w:t>Dev. Med. Child Neurol.</w:t>
      </w:r>
      <w:r w:rsidRPr="00F3024F">
        <w:rPr>
          <w:rFonts w:ascii="Baskerville" w:hAnsi="Baskerville" w:cs="Baskerville"/>
          <w:noProof/>
          <w:sz w:val="22"/>
        </w:rPr>
        <w:t xml:space="preserve"> 2016, </w:t>
      </w:r>
      <w:r w:rsidRPr="00F3024F">
        <w:rPr>
          <w:rFonts w:ascii="Baskerville" w:hAnsi="Baskerville" w:cs="Baskerville"/>
          <w:b/>
          <w:bCs/>
          <w:noProof/>
          <w:sz w:val="22"/>
        </w:rPr>
        <w:t>58</w:t>
      </w:r>
      <w:r w:rsidRPr="00F3024F">
        <w:rPr>
          <w:rFonts w:ascii="Baskerville" w:hAnsi="Baskerville" w:cs="Baskerville"/>
          <w:noProof/>
          <w:sz w:val="22"/>
        </w:rPr>
        <w:t>:416–420.</w:t>
      </w:r>
    </w:p>
    <w:p w14:paraId="1AB24460" w14:textId="5AD6F8B0" w:rsidR="007A13CB" w:rsidRPr="007A13CB" w:rsidRDefault="007A13CB" w:rsidP="007A13CB">
      <w:pPr>
        <w:widowControl w:val="0"/>
        <w:autoSpaceDE w:val="0"/>
        <w:autoSpaceDN w:val="0"/>
        <w:adjustRightInd w:val="0"/>
        <w:ind w:left="640" w:hanging="640"/>
        <w:rPr>
          <w:rFonts w:ascii="Baskerville" w:eastAsia="Times New Roman" w:hAnsi="Baskerville" w:cs="Baskerville"/>
          <w:noProof/>
          <w:sz w:val="22"/>
          <w:szCs w:val="22"/>
        </w:rPr>
      </w:pPr>
      <w:r w:rsidRPr="004108CA">
        <w:rPr>
          <w:rFonts w:ascii="Baskerville" w:eastAsia="Times New Roman" w:hAnsi="Baskerville" w:cs="Baskerville"/>
          <w:noProof/>
          <w:sz w:val="22"/>
          <w:szCs w:val="22"/>
        </w:rPr>
        <w:t>* GABRB3 mutations first observed in families with CAE are found in epileptic encephalopathy</w:t>
      </w:r>
      <w:r>
        <w:rPr>
          <w:rFonts w:ascii="Baskerville" w:eastAsia="Times New Roman" w:hAnsi="Baskerville" w:cs="Baskerville"/>
          <w:noProof/>
          <w:sz w:val="22"/>
          <w:szCs w:val="22"/>
        </w:rPr>
        <w:t xml:space="preserve">. </w:t>
      </w:r>
    </w:p>
    <w:p w14:paraId="0DE033B7" w14:textId="77777777" w:rsid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13. </w:t>
      </w:r>
      <w:r w:rsidRPr="00F3024F">
        <w:rPr>
          <w:rFonts w:ascii="Baskerville" w:hAnsi="Baskerville" w:cs="Baskerville"/>
          <w:noProof/>
          <w:sz w:val="22"/>
        </w:rPr>
        <w:tab/>
        <w:t xml:space="preserve">Lien E, Våtevik AK, Østern R, Haukanes BI, Houge G: </w:t>
      </w:r>
      <w:r w:rsidRPr="00F3024F">
        <w:rPr>
          <w:rFonts w:ascii="Baskerville" w:hAnsi="Baskerville" w:cs="Baskerville"/>
          <w:b/>
          <w:bCs/>
          <w:noProof/>
          <w:sz w:val="22"/>
        </w:rPr>
        <w:t>A second patient with a De Novo GABRB1 mutation and epileptic encephalopathy. [Internet]</w:t>
      </w:r>
      <w:r w:rsidRPr="00F3024F">
        <w:rPr>
          <w:rFonts w:ascii="Baskerville" w:hAnsi="Baskerville" w:cs="Baskerville"/>
          <w:noProof/>
          <w:sz w:val="22"/>
        </w:rPr>
        <w:t xml:space="preserve">. </w:t>
      </w:r>
      <w:r w:rsidRPr="00F3024F">
        <w:rPr>
          <w:rFonts w:ascii="Baskerville" w:hAnsi="Baskerville" w:cs="Baskerville"/>
          <w:i/>
          <w:iCs/>
          <w:noProof/>
          <w:sz w:val="22"/>
        </w:rPr>
        <w:t>Ann. Neurol.</w:t>
      </w:r>
      <w:r w:rsidRPr="00F3024F">
        <w:rPr>
          <w:rFonts w:ascii="Baskerville" w:hAnsi="Baskerville" w:cs="Baskerville"/>
          <w:noProof/>
          <w:sz w:val="22"/>
        </w:rPr>
        <w:t xml:space="preserve"> 2016, </w:t>
      </w:r>
      <w:r w:rsidRPr="00F3024F">
        <w:rPr>
          <w:rFonts w:ascii="Baskerville" w:hAnsi="Baskerville" w:cs="Baskerville"/>
          <w:b/>
          <w:bCs/>
          <w:noProof/>
          <w:sz w:val="22"/>
        </w:rPr>
        <w:t>80</w:t>
      </w:r>
      <w:r w:rsidRPr="00F3024F">
        <w:rPr>
          <w:rFonts w:ascii="Baskerville" w:hAnsi="Baskerville" w:cs="Baskerville"/>
          <w:noProof/>
          <w:sz w:val="22"/>
        </w:rPr>
        <w:t>:311–2.</w:t>
      </w:r>
    </w:p>
    <w:p w14:paraId="4E354830" w14:textId="6F32ACF6" w:rsidR="005B3904" w:rsidRPr="005B3904" w:rsidRDefault="000C2E93" w:rsidP="005B3904">
      <w:pPr>
        <w:widowControl w:val="0"/>
        <w:autoSpaceDE w:val="0"/>
        <w:autoSpaceDN w:val="0"/>
        <w:adjustRightInd w:val="0"/>
        <w:ind w:left="640" w:hanging="640"/>
        <w:rPr>
          <w:rFonts w:ascii="Baskerville" w:eastAsia="Times New Roman" w:hAnsi="Baskerville" w:cs="Baskerville"/>
          <w:noProof/>
          <w:sz w:val="22"/>
          <w:szCs w:val="22"/>
        </w:rPr>
      </w:pPr>
      <w:r>
        <w:rPr>
          <w:rFonts w:ascii="Baskerville" w:eastAsia="Times New Roman" w:hAnsi="Baskerville" w:cs="Baskerville"/>
          <w:noProof/>
          <w:sz w:val="22"/>
          <w:szCs w:val="22"/>
        </w:rPr>
        <w:t>* Study r</w:t>
      </w:r>
      <w:r w:rsidR="005B3904" w:rsidRPr="004108CA">
        <w:rPr>
          <w:rFonts w:ascii="Baskerville" w:eastAsia="Times New Roman" w:hAnsi="Baskerville" w:cs="Baskerville"/>
          <w:noProof/>
          <w:sz w:val="22"/>
          <w:szCs w:val="22"/>
        </w:rPr>
        <w:t>eports de novo GABRB1 mutation in epileptic encephalopathy</w:t>
      </w:r>
      <w:r w:rsidR="005B3904">
        <w:rPr>
          <w:rFonts w:ascii="Baskerville" w:eastAsia="Times New Roman" w:hAnsi="Baskerville" w:cs="Baskerville"/>
          <w:noProof/>
          <w:sz w:val="22"/>
          <w:szCs w:val="22"/>
        </w:rPr>
        <w:t xml:space="preserve">. </w:t>
      </w:r>
    </w:p>
    <w:p w14:paraId="6D2CBC62" w14:textId="77777777" w:rsidR="00F3024F" w:rsidRP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14. </w:t>
      </w:r>
      <w:r w:rsidRPr="00F3024F">
        <w:rPr>
          <w:rFonts w:ascii="Baskerville" w:hAnsi="Baskerville" w:cs="Baskerville"/>
          <w:noProof/>
          <w:sz w:val="22"/>
        </w:rPr>
        <w:tab/>
        <w:t xml:space="preserve">Endele S, Rosenberger G, Geider K, Popp B, Tamer C, Stefanova I, Milh M, Kortum F, Fritsch A, Pientka FK, et al.: </w:t>
      </w:r>
      <w:r w:rsidRPr="00F3024F">
        <w:rPr>
          <w:rFonts w:ascii="Baskerville" w:hAnsi="Baskerville" w:cs="Baskerville"/>
          <w:b/>
          <w:bCs/>
          <w:noProof/>
          <w:sz w:val="22"/>
        </w:rPr>
        <w:t>Mutations in GRIN2A and GRIN2B encoding regulatory subunits of NMDA receptors cause variable neurodevelopmental phenotypes [Internet]</w:t>
      </w:r>
      <w:r w:rsidRPr="00F3024F">
        <w:rPr>
          <w:rFonts w:ascii="Baskerville" w:hAnsi="Baskerville" w:cs="Baskerville"/>
          <w:noProof/>
          <w:sz w:val="22"/>
        </w:rPr>
        <w:t xml:space="preserve">. </w:t>
      </w:r>
      <w:r w:rsidRPr="00F3024F">
        <w:rPr>
          <w:rFonts w:ascii="Baskerville" w:hAnsi="Baskerville" w:cs="Baskerville"/>
          <w:i/>
          <w:iCs/>
          <w:noProof/>
          <w:sz w:val="22"/>
        </w:rPr>
        <w:t>Nat Genet</w:t>
      </w:r>
      <w:r w:rsidRPr="00F3024F">
        <w:rPr>
          <w:rFonts w:ascii="Baskerville" w:hAnsi="Baskerville" w:cs="Baskerville"/>
          <w:noProof/>
          <w:sz w:val="22"/>
        </w:rPr>
        <w:t xml:space="preserve"> 2010, </w:t>
      </w:r>
      <w:r w:rsidRPr="00F3024F">
        <w:rPr>
          <w:rFonts w:ascii="Baskerville" w:hAnsi="Baskerville" w:cs="Baskerville"/>
          <w:b/>
          <w:bCs/>
          <w:noProof/>
          <w:sz w:val="22"/>
        </w:rPr>
        <w:t>42</w:t>
      </w:r>
      <w:r w:rsidRPr="00F3024F">
        <w:rPr>
          <w:rFonts w:ascii="Baskerville" w:hAnsi="Baskerville" w:cs="Baskerville"/>
          <w:noProof/>
          <w:sz w:val="22"/>
        </w:rPr>
        <w:t>:1021–1026.</w:t>
      </w:r>
    </w:p>
    <w:p w14:paraId="6843F1B0" w14:textId="77777777" w:rsidR="00F3024F" w:rsidRP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15. </w:t>
      </w:r>
      <w:r w:rsidRPr="00F3024F">
        <w:rPr>
          <w:rFonts w:ascii="Baskerville" w:hAnsi="Baskerville" w:cs="Baskerville"/>
          <w:noProof/>
          <w:sz w:val="22"/>
        </w:rPr>
        <w:tab/>
        <w:t xml:space="preserve">Carvill GL, Regan BM, Yendle SC, O’Roak BJ, Lozovaya N, Bruneau N, Burnashev N, Khan A, Cook J, Geraghty E, et al.: </w:t>
      </w:r>
      <w:r w:rsidRPr="00F3024F">
        <w:rPr>
          <w:rFonts w:ascii="Baskerville" w:hAnsi="Baskerville" w:cs="Baskerville"/>
          <w:b/>
          <w:bCs/>
          <w:noProof/>
          <w:sz w:val="22"/>
        </w:rPr>
        <w:t>GRIN2A mutations cause epilepsy-aphasia spectrum disorders. [Internet]</w:t>
      </w:r>
      <w:r w:rsidRPr="00F3024F">
        <w:rPr>
          <w:rFonts w:ascii="Baskerville" w:hAnsi="Baskerville" w:cs="Baskerville"/>
          <w:noProof/>
          <w:sz w:val="22"/>
        </w:rPr>
        <w:t xml:space="preserve">. </w:t>
      </w:r>
      <w:r w:rsidRPr="00F3024F">
        <w:rPr>
          <w:rFonts w:ascii="Baskerville" w:hAnsi="Baskerville" w:cs="Baskerville"/>
          <w:i/>
          <w:iCs/>
          <w:noProof/>
          <w:sz w:val="22"/>
        </w:rPr>
        <w:t>Nat. Genet.</w:t>
      </w:r>
      <w:r w:rsidRPr="00F3024F">
        <w:rPr>
          <w:rFonts w:ascii="Baskerville" w:hAnsi="Baskerville" w:cs="Baskerville"/>
          <w:noProof/>
          <w:sz w:val="22"/>
        </w:rPr>
        <w:t xml:space="preserve"> 2013, </w:t>
      </w:r>
      <w:r w:rsidRPr="00F3024F">
        <w:rPr>
          <w:rFonts w:ascii="Baskerville" w:hAnsi="Baskerville" w:cs="Baskerville"/>
          <w:b/>
          <w:bCs/>
          <w:noProof/>
          <w:sz w:val="22"/>
        </w:rPr>
        <w:t>45</w:t>
      </w:r>
      <w:r w:rsidRPr="00F3024F">
        <w:rPr>
          <w:rFonts w:ascii="Baskerville" w:hAnsi="Baskerville" w:cs="Baskerville"/>
          <w:noProof/>
          <w:sz w:val="22"/>
        </w:rPr>
        <w:t>:1073–1076.</w:t>
      </w:r>
    </w:p>
    <w:p w14:paraId="119BD0F8" w14:textId="77777777" w:rsidR="00F3024F" w:rsidRP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16. </w:t>
      </w:r>
      <w:r w:rsidRPr="00F3024F">
        <w:rPr>
          <w:rFonts w:ascii="Baskerville" w:hAnsi="Baskerville" w:cs="Baskerville"/>
          <w:noProof/>
          <w:sz w:val="22"/>
        </w:rPr>
        <w:tab/>
        <w:t xml:space="preserve">Lesca G, Rudolf G, Bruneau N, Lozovaya N, Labalme A, Boutry-Kryza N, Salmi M, Tsintsadze T, Addis L, Motte J, et al.: </w:t>
      </w:r>
      <w:r w:rsidRPr="00F3024F">
        <w:rPr>
          <w:rFonts w:ascii="Baskerville" w:hAnsi="Baskerville" w:cs="Baskerville"/>
          <w:b/>
          <w:bCs/>
          <w:noProof/>
          <w:sz w:val="22"/>
        </w:rPr>
        <w:t>GRIN2A mutations in acquired epileptic aphasia and related childhood focal epilepsies and encephalopathies with speech and language dysfunction. [Internet]</w:t>
      </w:r>
      <w:r w:rsidRPr="00F3024F">
        <w:rPr>
          <w:rFonts w:ascii="Baskerville" w:hAnsi="Baskerville" w:cs="Baskerville"/>
          <w:noProof/>
          <w:sz w:val="22"/>
        </w:rPr>
        <w:t xml:space="preserve">. </w:t>
      </w:r>
      <w:r w:rsidRPr="00F3024F">
        <w:rPr>
          <w:rFonts w:ascii="Baskerville" w:hAnsi="Baskerville" w:cs="Baskerville"/>
          <w:i/>
          <w:iCs/>
          <w:noProof/>
          <w:sz w:val="22"/>
        </w:rPr>
        <w:t>Nat. Genet.</w:t>
      </w:r>
      <w:r w:rsidRPr="00F3024F">
        <w:rPr>
          <w:rFonts w:ascii="Baskerville" w:hAnsi="Baskerville" w:cs="Baskerville"/>
          <w:noProof/>
          <w:sz w:val="22"/>
        </w:rPr>
        <w:t xml:space="preserve"> 2013, </w:t>
      </w:r>
      <w:r w:rsidRPr="00F3024F">
        <w:rPr>
          <w:rFonts w:ascii="Baskerville" w:hAnsi="Baskerville" w:cs="Baskerville"/>
          <w:b/>
          <w:bCs/>
          <w:noProof/>
          <w:sz w:val="22"/>
        </w:rPr>
        <w:t>45</w:t>
      </w:r>
      <w:r w:rsidRPr="00F3024F">
        <w:rPr>
          <w:rFonts w:ascii="Baskerville" w:hAnsi="Baskerville" w:cs="Baskerville"/>
          <w:noProof/>
          <w:sz w:val="22"/>
        </w:rPr>
        <w:t>:1061–6.</w:t>
      </w:r>
    </w:p>
    <w:p w14:paraId="21AC8061" w14:textId="77777777" w:rsid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17. </w:t>
      </w:r>
      <w:r w:rsidRPr="00F3024F">
        <w:rPr>
          <w:rFonts w:ascii="Baskerville" w:hAnsi="Baskerville" w:cs="Baskerville"/>
          <w:noProof/>
          <w:sz w:val="22"/>
        </w:rPr>
        <w:tab/>
        <w:t xml:space="preserve">Lemke JR, Geider K, Helbig KL, Heyne HO, Schütz H, Hentschel J, Courage C, Depienne C, Nava C, Heron D, et al.: </w:t>
      </w:r>
      <w:r w:rsidRPr="00F3024F">
        <w:rPr>
          <w:rFonts w:ascii="Baskerville" w:hAnsi="Baskerville" w:cs="Baskerville"/>
          <w:b/>
          <w:bCs/>
          <w:noProof/>
          <w:sz w:val="22"/>
        </w:rPr>
        <w:t>Delineating the GRIN1 phenotypic spectrum: A distinct genetic NMDA receptor encephalopathy</w:t>
      </w:r>
      <w:r w:rsidRPr="00F3024F">
        <w:rPr>
          <w:rFonts w:ascii="Baskerville" w:hAnsi="Baskerville" w:cs="Baskerville"/>
          <w:noProof/>
          <w:sz w:val="22"/>
        </w:rPr>
        <w:t xml:space="preserve">. </w:t>
      </w:r>
      <w:r w:rsidRPr="00F3024F">
        <w:rPr>
          <w:rFonts w:ascii="Baskerville" w:hAnsi="Baskerville" w:cs="Baskerville"/>
          <w:i/>
          <w:iCs/>
          <w:noProof/>
          <w:sz w:val="22"/>
        </w:rPr>
        <w:t>Neurology</w:t>
      </w:r>
      <w:r w:rsidRPr="00F3024F">
        <w:rPr>
          <w:rFonts w:ascii="Baskerville" w:hAnsi="Baskerville" w:cs="Baskerville"/>
          <w:noProof/>
          <w:sz w:val="22"/>
        </w:rPr>
        <w:t xml:space="preserve"> 2016, </w:t>
      </w:r>
      <w:r w:rsidRPr="00F3024F">
        <w:rPr>
          <w:rFonts w:ascii="Baskerville" w:hAnsi="Baskerville" w:cs="Baskerville"/>
          <w:b/>
          <w:bCs/>
          <w:noProof/>
          <w:sz w:val="22"/>
        </w:rPr>
        <w:t>86</w:t>
      </w:r>
      <w:r w:rsidRPr="00F3024F">
        <w:rPr>
          <w:rFonts w:ascii="Baskerville" w:hAnsi="Baskerville" w:cs="Baskerville"/>
          <w:noProof/>
          <w:sz w:val="22"/>
        </w:rPr>
        <w:t>:2171–2178.</w:t>
      </w:r>
    </w:p>
    <w:p w14:paraId="1FC3286C" w14:textId="1AC69BDC" w:rsidR="00664F8F" w:rsidRPr="00F3024F" w:rsidRDefault="00664F8F" w:rsidP="00F3024F">
      <w:pPr>
        <w:widowControl w:val="0"/>
        <w:autoSpaceDE w:val="0"/>
        <w:autoSpaceDN w:val="0"/>
        <w:adjustRightInd w:val="0"/>
        <w:ind w:left="640" w:hanging="640"/>
        <w:rPr>
          <w:rFonts w:ascii="Baskerville" w:hAnsi="Baskerville" w:cs="Baskerville"/>
          <w:noProof/>
          <w:sz w:val="22"/>
        </w:rPr>
      </w:pPr>
      <w:r w:rsidRPr="004108CA">
        <w:rPr>
          <w:rFonts w:ascii="Baskerville" w:eastAsia="Times New Roman" w:hAnsi="Baskerville" w:cs="Baskerville"/>
          <w:noProof/>
          <w:sz w:val="22"/>
          <w:szCs w:val="22"/>
        </w:rPr>
        <w:t>* Discovery of GRIN1 mutations as a cause of epilepsy with profound developmental delay associated with movement disorder and infantile hypotonia</w:t>
      </w:r>
      <w:r>
        <w:rPr>
          <w:rFonts w:ascii="Baskerville" w:eastAsia="Times New Roman" w:hAnsi="Baskerville" w:cs="Baskerville"/>
          <w:noProof/>
          <w:sz w:val="22"/>
          <w:szCs w:val="22"/>
        </w:rPr>
        <w:t xml:space="preserve">. </w:t>
      </w:r>
    </w:p>
    <w:p w14:paraId="71C5CB3F" w14:textId="77777777" w:rsid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18. </w:t>
      </w:r>
      <w:r w:rsidRPr="00F3024F">
        <w:rPr>
          <w:rFonts w:ascii="Baskerville" w:hAnsi="Baskerville" w:cs="Baskerville"/>
          <w:noProof/>
          <w:sz w:val="22"/>
        </w:rPr>
        <w:tab/>
        <w:t xml:space="preserve">Li D, Yuan H, Ortiz-Gonzalez XR, Marsh ED, Tian L, McCormick EM, Kosobucki GJ, Chen W, Schulien AJ, Chiavacci R, et al.: </w:t>
      </w:r>
      <w:r w:rsidRPr="00F3024F">
        <w:rPr>
          <w:rFonts w:ascii="Baskerville" w:hAnsi="Baskerville" w:cs="Baskerville"/>
          <w:b/>
          <w:bCs/>
          <w:noProof/>
          <w:sz w:val="22"/>
        </w:rPr>
        <w:t>GRIN2D Recurrent De Novo Dominant Mutation Causes a Severe Epileptic Encephalopathy Treatable with NMDA Receptor Channel Blockers [Internet]</w:t>
      </w:r>
      <w:r w:rsidRPr="00F3024F">
        <w:rPr>
          <w:rFonts w:ascii="Baskerville" w:hAnsi="Baskerville" w:cs="Baskerville"/>
          <w:noProof/>
          <w:sz w:val="22"/>
        </w:rPr>
        <w:t xml:space="preserve">. </w:t>
      </w:r>
      <w:r w:rsidRPr="00F3024F">
        <w:rPr>
          <w:rFonts w:ascii="Baskerville" w:hAnsi="Baskerville" w:cs="Baskerville"/>
          <w:i/>
          <w:iCs/>
          <w:noProof/>
          <w:sz w:val="22"/>
        </w:rPr>
        <w:t>Am. J. Hum. Genet.</w:t>
      </w:r>
      <w:r w:rsidRPr="00F3024F">
        <w:rPr>
          <w:rFonts w:ascii="Baskerville" w:hAnsi="Baskerville" w:cs="Baskerville"/>
          <w:noProof/>
          <w:sz w:val="22"/>
        </w:rPr>
        <w:t xml:space="preserve"> 2016, doi:10.1016/j.ajhg.2016.07.013.</w:t>
      </w:r>
    </w:p>
    <w:p w14:paraId="4A01141F" w14:textId="266DB7F0" w:rsidR="00DE6775" w:rsidRPr="00F3024F" w:rsidRDefault="00DE6775" w:rsidP="00F3024F">
      <w:pPr>
        <w:widowControl w:val="0"/>
        <w:autoSpaceDE w:val="0"/>
        <w:autoSpaceDN w:val="0"/>
        <w:adjustRightInd w:val="0"/>
        <w:ind w:left="640" w:hanging="640"/>
        <w:rPr>
          <w:rFonts w:ascii="Baskerville" w:hAnsi="Baskerville" w:cs="Baskerville"/>
          <w:noProof/>
          <w:sz w:val="22"/>
        </w:rPr>
      </w:pPr>
      <w:r w:rsidRPr="004108CA">
        <w:rPr>
          <w:rFonts w:ascii="Baskerville" w:eastAsia="Times New Roman" w:hAnsi="Baskerville" w:cs="Baskerville"/>
          <w:noProof/>
          <w:sz w:val="22"/>
          <w:szCs w:val="22"/>
        </w:rPr>
        <w:t>* Report of de novo GRIN2D mutation and example of precision medine with FDA approved NMDAR blocker.</w:t>
      </w:r>
    </w:p>
    <w:p w14:paraId="4C133110" w14:textId="77777777" w:rsid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19. </w:t>
      </w:r>
      <w:r w:rsidRPr="00F3024F">
        <w:rPr>
          <w:rFonts w:ascii="Baskerville" w:hAnsi="Baskerville" w:cs="Baskerville"/>
          <w:noProof/>
          <w:sz w:val="22"/>
        </w:rPr>
        <w:tab/>
        <w:t xml:space="preserve">Syrbe S, Hedrich UBS, Riesch E, Djémié T, Müller S, Møller RS, Maher B, Hernandez-Hernandez L, Synofzik M, Caglayan HS, et al.: </w:t>
      </w:r>
      <w:r w:rsidRPr="00F3024F">
        <w:rPr>
          <w:rFonts w:ascii="Baskerville" w:hAnsi="Baskerville" w:cs="Baskerville"/>
          <w:b/>
          <w:bCs/>
          <w:noProof/>
          <w:sz w:val="22"/>
        </w:rPr>
        <w:t>De novo loss- or gain-of-function mutations in KCNA2 cause epileptic encephalopathy [Internet]</w:t>
      </w:r>
      <w:r w:rsidRPr="00F3024F">
        <w:rPr>
          <w:rFonts w:ascii="Baskerville" w:hAnsi="Baskerville" w:cs="Baskerville"/>
          <w:noProof/>
          <w:sz w:val="22"/>
        </w:rPr>
        <w:t xml:space="preserve">. </w:t>
      </w:r>
      <w:r w:rsidRPr="00F3024F">
        <w:rPr>
          <w:rFonts w:ascii="Baskerville" w:hAnsi="Baskerville" w:cs="Baskerville"/>
          <w:i/>
          <w:iCs/>
          <w:noProof/>
          <w:sz w:val="22"/>
        </w:rPr>
        <w:t>Nat. Genet.</w:t>
      </w:r>
      <w:r w:rsidRPr="00F3024F">
        <w:rPr>
          <w:rFonts w:ascii="Baskerville" w:hAnsi="Baskerville" w:cs="Baskerville"/>
          <w:noProof/>
          <w:sz w:val="22"/>
        </w:rPr>
        <w:t xml:space="preserve"> 2015, </w:t>
      </w:r>
      <w:r w:rsidRPr="00F3024F">
        <w:rPr>
          <w:rFonts w:ascii="Baskerville" w:hAnsi="Baskerville" w:cs="Baskerville"/>
          <w:b/>
          <w:bCs/>
          <w:noProof/>
          <w:sz w:val="22"/>
        </w:rPr>
        <w:t>47</w:t>
      </w:r>
      <w:r w:rsidRPr="00F3024F">
        <w:rPr>
          <w:rFonts w:ascii="Baskerville" w:hAnsi="Baskerville" w:cs="Baskerville"/>
          <w:noProof/>
          <w:sz w:val="22"/>
        </w:rPr>
        <w:t>:393–399.</w:t>
      </w:r>
    </w:p>
    <w:p w14:paraId="58994917" w14:textId="0D47FFAF" w:rsidR="00C02E12" w:rsidRPr="00F3024F" w:rsidRDefault="00C02E12" w:rsidP="00F3024F">
      <w:pPr>
        <w:widowControl w:val="0"/>
        <w:autoSpaceDE w:val="0"/>
        <w:autoSpaceDN w:val="0"/>
        <w:adjustRightInd w:val="0"/>
        <w:ind w:left="640" w:hanging="640"/>
        <w:rPr>
          <w:rFonts w:ascii="Baskerville" w:hAnsi="Baskerville" w:cs="Baskerville"/>
          <w:noProof/>
          <w:sz w:val="22"/>
        </w:rPr>
      </w:pPr>
      <w:r w:rsidRPr="004108CA">
        <w:rPr>
          <w:rFonts w:ascii="Baskerville" w:eastAsia="Times New Roman" w:hAnsi="Baskerville" w:cs="Baskerville"/>
          <w:noProof/>
          <w:sz w:val="22"/>
          <w:szCs w:val="22"/>
        </w:rPr>
        <w:t>* New report of both gain and loss of function mutations in KCNA2 as a cause of epileptic encephalopathy.</w:t>
      </w:r>
      <w:r>
        <w:rPr>
          <w:rFonts w:ascii="Baskerville" w:eastAsia="Times New Roman" w:hAnsi="Baskerville" w:cs="Baskerville"/>
          <w:noProof/>
          <w:sz w:val="22"/>
          <w:szCs w:val="22"/>
        </w:rPr>
        <w:t xml:space="preserve"> </w:t>
      </w:r>
    </w:p>
    <w:p w14:paraId="174E1259" w14:textId="77777777" w:rsid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20. </w:t>
      </w:r>
      <w:r w:rsidRPr="00F3024F">
        <w:rPr>
          <w:rFonts w:ascii="Baskerville" w:hAnsi="Baskerville" w:cs="Baskerville"/>
          <w:noProof/>
          <w:sz w:val="22"/>
        </w:rPr>
        <w:tab/>
        <w:t xml:space="preserve">Allou L, Julia S, Amsallem D, El Chehadeh S, Lambert L, Thevenon J, Duffourd Y, Saunier A, Bouquet P, Pere S, et al.: </w:t>
      </w:r>
      <w:r w:rsidRPr="00F3024F">
        <w:rPr>
          <w:rFonts w:ascii="Baskerville" w:hAnsi="Baskerville" w:cs="Baskerville"/>
          <w:b/>
          <w:bCs/>
          <w:noProof/>
          <w:sz w:val="22"/>
        </w:rPr>
        <w:t>Rett-like phenotypes: expanding the genetic heterogeneity to the KCNA2 gene and first familial case of CDKL5-related disease. [Internet]</w:t>
      </w:r>
      <w:r w:rsidRPr="00F3024F">
        <w:rPr>
          <w:rFonts w:ascii="Baskerville" w:hAnsi="Baskerville" w:cs="Baskerville"/>
          <w:noProof/>
          <w:sz w:val="22"/>
        </w:rPr>
        <w:t xml:space="preserve">. </w:t>
      </w:r>
      <w:r w:rsidRPr="00F3024F">
        <w:rPr>
          <w:rFonts w:ascii="Baskerville" w:hAnsi="Baskerville" w:cs="Baskerville"/>
          <w:i/>
          <w:iCs/>
          <w:noProof/>
          <w:sz w:val="22"/>
        </w:rPr>
        <w:t>Clin. Genet.</w:t>
      </w:r>
      <w:r w:rsidRPr="00F3024F">
        <w:rPr>
          <w:rFonts w:ascii="Baskerville" w:hAnsi="Baskerville" w:cs="Baskerville"/>
          <w:noProof/>
          <w:sz w:val="22"/>
        </w:rPr>
        <w:t xml:space="preserve"> 2016, doi:10.1111/cge.12784.</w:t>
      </w:r>
    </w:p>
    <w:p w14:paraId="502BC577" w14:textId="3A43575F" w:rsidR="003C45E1" w:rsidRPr="00F3024F" w:rsidRDefault="003C45E1" w:rsidP="00F3024F">
      <w:pPr>
        <w:widowControl w:val="0"/>
        <w:autoSpaceDE w:val="0"/>
        <w:autoSpaceDN w:val="0"/>
        <w:adjustRightInd w:val="0"/>
        <w:ind w:left="640" w:hanging="640"/>
        <w:rPr>
          <w:rFonts w:ascii="Baskerville" w:hAnsi="Baskerville" w:cs="Baskerville"/>
          <w:noProof/>
          <w:sz w:val="22"/>
        </w:rPr>
      </w:pPr>
      <w:r w:rsidRPr="004108CA">
        <w:rPr>
          <w:rFonts w:ascii="Baskerville" w:eastAsia="Times New Roman" w:hAnsi="Baskerville" w:cs="Baskerville"/>
          <w:noProof/>
          <w:sz w:val="22"/>
          <w:szCs w:val="22"/>
        </w:rPr>
        <w:t>* Reports novel KCNA2 related epilepsy phenotypes.</w:t>
      </w:r>
    </w:p>
    <w:p w14:paraId="2922AA83" w14:textId="77777777" w:rsidR="00F3024F" w:rsidRP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21. </w:t>
      </w:r>
      <w:r w:rsidRPr="00F3024F">
        <w:rPr>
          <w:rFonts w:ascii="Baskerville" w:hAnsi="Baskerville" w:cs="Baskerville"/>
          <w:noProof/>
          <w:sz w:val="22"/>
        </w:rPr>
        <w:tab/>
        <w:t xml:space="preserve">Corbett MA, Bellows ST, Li M, Carroll R, Micallef S, Carvill GL, Myers CT, Howell KB, Gazina E V, Mefford HC, et al.: </w:t>
      </w:r>
      <w:r w:rsidRPr="00F3024F">
        <w:rPr>
          <w:rFonts w:ascii="Baskerville" w:hAnsi="Baskerville" w:cs="Baskerville"/>
          <w:b/>
          <w:bCs/>
          <w:noProof/>
          <w:sz w:val="22"/>
        </w:rPr>
        <w:t>Dominant KCNA2 mutation causes episodic ataxia and pharmacoresponsive epilepsy</w:t>
      </w:r>
      <w:r w:rsidRPr="00F3024F">
        <w:rPr>
          <w:rFonts w:ascii="Baskerville" w:hAnsi="Baskerville" w:cs="Baskerville"/>
          <w:noProof/>
          <w:sz w:val="22"/>
        </w:rPr>
        <w:t>. 2016, doi:10.1212/WNL.0000000000003309.</w:t>
      </w:r>
    </w:p>
    <w:p w14:paraId="31F436B0" w14:textId="77777777" w:rsid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22. </w:t>
      </w:r>
      <w:r w:rsidRPr="00F3024F">
        <w:rPr>
          <w:rFonts w:ascii="Baskerville" w:hAnsi="Baskerville" w:cs="Baskerville"/>
          <w:noProof/>
          <w:sz w:val="22"/>
        </w:rPr>
        <w:tab/>
        <w:t xml:space="preserve">Ohba C, Kato M, Takahashi N, Osaka H, Shiihara T, Tohyama J, Nabatame S, Azuma J, Fujii Y, Hara M, et al.: </w:t>
      </w:r>
      <w:r w:rsidRPr="00F3024F">
        <w:rPr>
          <w:rFonts w:ascii="Baskerville" w:hAnsi="Baskerville" w:cs="Baskerville"/>
          <w:b/>
          <w:bCs/>
          <w:noProof/>
          <w:sz w:val="22"/>
        </w:rPr>
        <w:t>De novo KCNT1 mutations in early-onset epileptic encephalopathy</w:t>
      </w:r>
      <w:r w:rsidRPr="00F3024F">
        <w:rPr>
          <w:rFonts w:ascii="Baskerville" w:hAnsi="Baskerville" w:cs="Baskerville"/>
          <w:noProof/>
          <w:sz w:val="22"/>
        </w:rPr>
        <w:t xml:space="preserve">. </w:t>
      </w:r>
      <w:r w:rsidRPr="00F3024F">
        <w:rPr>
          <w:rFonts w:ascii="Baskerville" w:hAnsi="Baskerville" w:cs="Baskerville"/>
          <w:i/>
          <w:iCs/>
          <w:noProof/>
          <w:sz w:val="22"/>
        </w:rPr>
        <w:t>Epilepsia</w:t>
      </w:r>
      <w:r w:rsidRPr="00F3024F">
        <w:rPr>
          <w:rFonts w:ascii="Baskerville" w:hAnsi="Baskerville" w:cs="Baskerville"/>
          <w:noProof/>
          <w:sz w:val="22"/>
        </w:rPr>
        <w:t xml:space="preserve"> 2015, </w:t>
      </w:r>
      <w:r w:rsidRPr="00F3024F">
        <w:rPr>
          <w:rFonts w:ascii="Baskerville" w:hAnsi="Baskerville" w:cs="Baskerville"/>
          <w:b/>
          <w:bCs/>
          <w:noProof/>
          <w:sz w:val="22"/>
        </w:rPr>
        <w:t>56</w:t>
      </w:r>
      <w:r w:rsidRPr="00F3024F">
        <w:rPr>
          <w:rFonts w:ascii="Baskerville" w:hAnsi="Baskerville" w:cs="Baskerville"/>
          <w:noProof/>
          <w:sz w:val="22"/>
        </w:rPr>
        <w:t>:e121–e128.</w:t>
      </w:r>
    </w:p>
    <w:p w14:paraId="2C16FB03" w14:textId="0E887E90" w:rsidR="003C45E1" w:rsidRPr="00F3024F" w:rsidRDefault="00816F49" w:rsidP="00F3024F">
      <w:pPr>
        <w:widowControl w:val="0"/>
        <w:autoSpaceDE w:val="0"/>
        <w:autoSpaceDN w:val="0"/>
        <w:adjustRightInd w:val="0"/>
        <w:ind w:left="640" w:hanging="640"/>
        <w:rPr>
          <w:rFonts w:ascii="Baskerville" w:hAnsi="Baskerville" w:cs="Baskerville"/>
          <w:noProof/>
          <w:sz w:val="22"/>
        </w:rPr>
      </w:pPr>
      <w:r w:rsidRPr="004108CA">
        <w:rPr>
          <w:rFonts w:ascii="Baskerville" w:eastAsia="Times New Roman" w:hAnsi="Baskerville" w:cs="Baskerville"/>
          <w:noProof/>
          <w:sz w:val="22"/>
          <w:szCs w:val="22"/>
        </w:rPr>
        <w:t xml:space="preserve">* </w:t>
      </w:r>
      <w:r w:rsidR="003C45E1" w:rsidRPr="004108CA">
        <w:rPr>
          <w:rFonts w:ascii="Baskerville" w:eastAsia="Times New Roman" w:hAnsi="Baskerville" w:cs="Baskerville"/>
          <w:noProof/>
          <w:sz w:val="22"/>
          <w:szCs w:val="22"/>
        </w:rPr>
        <w:t>Expansion of the phenotypic spectrum of KCNT1 epilepsy.</w:t>
      </w:r>
      <w:r w:rsidR="003C45E1">
        <w:rPr>
          <w:rFonts w:ascii="Baskerville" w:eastAsia="Times New Roman" w:hAnsi="Baskerville" w:cs="Baskerville"/>
          <w:noProof/>
          <w:sz w:val="22"/>
          <w:szCs w:val="22"/>
        </w:rPr>
        <w:t xml:space="preserve"> </w:t>
      </w:r>
    </w:p>
    <w:p w14:paraId="00E2C247" w14:textId="77777777" w:rsidR="00F3024F" w:rsidRP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23. </w:t>
      </w:r>
      <w:r w:rsidRPr="00F3024F">
        <w:rPr>
          <w:rFonts w:ascii="Baskerville" w:hAnsi="Baskerville" w:cs="Baskerville"/>
          <w:noProof/>
          <w:sz w:val="22"/>
        </w:rPr>
        <w:tab/>
        <w:t xml:space="preserve">Nakamura K, Kodera H, Akita T, Shiina M, Kato M, Hoshino H, Terashima H, Osaka H, Nakamura S, Tohyama J, et al.: </w:t>
      </w:r>
      <w:r w:rsidRPr="00F3024F">
        <w:rPr>
          <w:rFonts w:ascii="Baskerville" w:hAnsi="Baskerville" w:cs="Baskerville"/>
          <w:b/>
          <w:bCs/>
          <w:noProof/>
          <w:sz w:val="22"/>
        </w:rPr>
        <w:t>De novo mutations in GNAO1, encoding a g??o subunit of heterotrimeric g proteins, cause epileptic encephalopathy</w:t>
      </w:r>
      <w:r w:rsidRPr="00F3024F">
        <w:rPr>
          <w:rFonts w:ascii="Baskerville" w:hAnsi="Baskerville" w:cs="Baskerville"/>
          <w:noProof/>
          <w:sz w:val="22"/>
        </w:rPr>
        <w:t xml:space="preserve">. </w:t>
      </w:r>
      <w:r w:rsidRPr="00F3024F">
        <w:rPr>
          <w:rFonts w:ascii="Baskerville" w:hAnsi="Baskerville" w:cs="Baskerville"/>
          <w:i/>
          <w:iCs/>
          <w:noProof/>
          <w:sz w:val="22"/>
        </w:rPr>
        <w:t>Am. J. Hum. Genet.</w:t>
      </w:r>
      <w:r w:rsidRPr="00F3024F">
        <w:rPr>
          <w:rFonts w:ascii="Baskerville" w:hAnsi="Baskerville" w:cs="Baskerville"/>
          <w:noProof/>
          <w:sz w:val="22"/>
        </w:rPr>
        <w:t xml:space="preserve"> 2013, </w:t>
      </w:r>
      <w:r w:rsidRPr="00F3024F">
        <w:rPr>
          <w:rFonts w:ascii="Baskerville" w:hAnsi="Baskerville" w:cs="Baskerville"/>
          <w:b/>
          <w:bCs/>
          <w:noProof/>
          <w:sz w:val="22"/>
        </w:rPr>
        <w:t>93</w:t>
      </w:r>
      <w:r w:rsidRPr="00F3024F">
        <w:rPr>
          <w:rFonts w:ascii="Baskerville" w:hAnsi="Baskerville" w:cs="Baskerville"/>
          <w:noProof/>
          <w:sz w:val="22"/>
        </w:rPr>
        <w:t>:496–505.</w:t>
      </w:r>
    </w:p>
    <w:p w14:paraId="1643C416" w14:textId="77777777" w:rsid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24. </w:t>
      </w:r>
      <w:r w:rsidRPr="00F3024F">
        <w:rPr>
          <w:rFonts w:ascii="Baskerville" w:hAnsi="Baskerville" w:cs="Baskerville"/>
          <w:noProof/>
          <w:sz w:val="22"/>
        </w:rPr>
        <w:tab/>
        <w:t xml:space="preserve">Saitsu H, Fukai R, Ben-Zeev B, Sakai Y, Mimaki M, Okamoto N, Suzuki Y, Monden </w:t>
      </w:r>
      <w:r w:rsidRPr="00F3024F">
        <w:rPr>
          <w:rFonts w:ascii="Baskerville" w:hAnsi="Baskerville" w:cs="Baskerville"/>
          <w:noProof/>
          <w:sz w:val="22"/>
        </w:rPr>
        <w:lastRenderedPageBreak/>
        <w:t xml:space="preserve">Y, Saito H, Tziperman B, et al.: </w:t>
      </w:r>
      <w:r w:rsidRPr="00F3024F">
        <w:rPr>
          <w:rFonts w:ascii="Baskerville" w:hAnsi="Baskerville" w:cs="Baskerville"/>
          <w:b/>
          <w:bCs/>
          <w:noProof/>
          <w:sz w:val="22"/>
        </w:rPr>
        <w:t>Phenotypic spectrum of GNAO1 variants: epileptic encephalopathy to involuntary movements with severe developmental delay. [Internet]</w:t>
      </w:r>
      <w:r w:rsidRPr="00F3024F">
        <w:rPr>
          <w:rFonts w:ascii="Baskerville" w:hAnsi="Baskerville" w:cs="Baskerville"/>
          <w:noProof/>
          <w:sz w:val="22"/>
        </w:rPr>
        <w:t xml:space="preserve">. </w:t>
      </w:r>
      <w:r w:rsidRPr="00F3024F">
        <w:rPr>
          <w:rFonts w:ascii="Baskerville" w:hAnsi="Baskerville" w:cs="Baskerville"/>
          <w:i/>
          <w:iCs/>
          <w:noProof/>
          <w:sz w:val="22"/>
        </w:rPr>
        <w:t>Eur. J. Hum. Genet.</w:t>
      </w:r>
      <w:r w:rsidRPr="00F3024F">
        <w:rPr>
          <w:rFonts w:ascii="Baskerville" w:hAnsi="Baskerville" w:cs="Baskerville"/>
          <w:noProof/>
          <w:sz w:val="22"/>
        </w:rPr>
        <w:t xml:space="preserve"> 2016, </w:t>
      </w:r>
      <w:r w:rsidRPr="00F3024F">
        <w:rPr>
          <w:rFonts w:ascii="Baskerville" w:hAnsi="Baskerville" w:cs="Baskerville"/>
          <w:b/>
          <w:bCs/>
          <w:noProof/>
          <w:sz w:val="22"/>
        </w:rPr>
        <w:t>24</w:t>
      </w:r>
      <w:r w:rsidRPr="00F3024F">
        <w:rPr>
          <w:rFonts w:ascii="Baskerville" w:hAnsi="Baskerville" w:cs="Baskerville"/>
          <w:noProof/>
          <w:sz w:val="22"/>
        </w:rPr>
        <w:t>:129–34.</w:t>
      </w:r>
    </w:p>
    <w:p w14:paraId="55671E70" w14:textId="700792F0" w:rsidR="00816F49" w:rsidRPr="00F3024F" w:rsidRDefault="00816F49" w:rsidP="00F3024F">
      <w:pPr>
        <w:widowControl w:val="0"/>
        <w:autoSpaceDE w:val="0"/>
        <w:autoSpaceDN w:val="0"/>
        <w:adjustRightInd w:val="0"/>
        <w:ind w:left="640" w:hanging="640"/>
        <w:rPr>
          <w:rFonts w:ascii="Baskerville" w:hAnsi="Baskerville" w:cs="Baskerville"/>
          <w:noProof/>
          <w:sz w:val="22"/>
        </w:rPr>
      </w:pPr>
      <w:r w:rsidRPr="004108CA">
        <w:rPr>
          <w:rFonts w:ascii="Baskerville" w:eastAsia="Times New Roman" w:hAnsi="Baskerville" w:cs="Baskerville"/>
          <w:noProof/>
          <w:sz w:val="22"/>
          <w:szCs w:val="22"/>
        </w:rPr>
        <w:t>* Important expansion of the phenotype of GNAO1 related epilepsy.</w:t>
      </w:r>
    </w:p>
    <w:p w14:paraId="40C62C80" w14:textId="77777777" w:rsid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25. </w:t>
      </w:r>
      <w:r w:rsidRPr="00F3024F">
        <w:rPr>
          <w:rFonts w:ascii="Baskerville" w:hAnsi="Baskerville" w:cs="Baskerville"/>
          <w:noProof/>
          <w:sz w:val="22"/>
        </w:rPr>
        <w:tab/>
        <w:t xml:space="preserve">Ananth AL, Robichaux-Viehoever A, Kim YM, Hanson-Kahn A, Cox R, Enns GM, Strober J, Willing M, Schlaggar BL, Wu YW, et al.: </w:t>
      </w:r>
      <w:r w:rsidRPr="00F3024F">
        <w:rPr>
          <w:rFonts w:ascii="Baskerville" w:hAnsi="Baskerville" w:cs="Baskerville"/>
          <w:b/>
          <w:bCs/>
          <w:noProof/>
          <w:sz w:val="22"/>
        </w:rPr>
        <w:t>Clinical Course of Six Children with GNAO1 Mutations Causing a Severe and Distinctive Movement Disorder</w:t>
      </w:r>
      <w:r w:rsidRPr="00F3024F">
        <w:rPr>
          <w:rFonts w:ascii="Baskerville" w:hAnsi="Baskerville" w:cs="Baskerville"/>
          <w:noProof/>
          <w:sz w:val="22"/>
        </w:rPr>
        <w:t xml:space="preserve">. </w:t>
      </w:r>
      <w:r w:rsidRPr="00F3024F">
        <w:rPr>
          <w:rFonts w:ascii="Baskerville" w:hAnsi="Baskerville" w:cs="Baskerville"/>
          <w:i/>
          <w:iCs/>
          <w:noProof/>
          <w:sz w:val="22"/>
        </w:rPr>
        <w:t>Pediatr. Neurol.</w:t>
      </w:r>
      <w:r w:rsidRPr="00F3024F">
        <w:rPr>
          <w:rFonts w:ascii="Baskerville" w:hAnsi="Baskerville" w:cs="Baskerville"/>
          <w:noProof/>
          <w:sz w:val="22"/>
        </w:rPr>
        <w:t xml:space="preserve"> 2016, </w:t>
      </w:r>
      <w:r w:rsidRPr="00F3024F">
        <w:rPr>
          <w:rFonts w:ascii="Baskerville" w:hAnsi="Baskerville" w:cs="Baskerville"/>
          <w:b/>
          <w:bCs/>
          <w:noProof/>
          <w:sz w:val="22"/>
        </w:rPr>
        <w:t>59</w:t>
      </w:r>
      <w:r w:rsidRPr="00F3024F">
        <w:rPr>
          <w:rFonts w:ascii="Baskerville" w:hAnsi="Baskerville" w:cs="Baskerville"/>
          <w:noProof/>
          <w:sz w:val="22"/>
        </w:rPr>
        <w:t>:81–84.</w:t>
      </w:r>
    </w:p>
    <w:p w14:paraId="0EB3CA5F" w14:textId="22674FF7" w:rsidR="00816F49" w:rsidRPr="00F3024F" w:rsidRDefault="00816F49" w:rsidP="00F3024F">
      <w:pPr>
        <w:widowControl w:val="0"/>
        <w:autoSpaceDE w:val="0"/>
        <w:autoSpaceDN w:val="0"/>
        <w:adjustRightInd w:val="0"/>
        <w:ind w:left="640" w:hanging="640"/>
        <w:rPr>
          <w:rFonts w:ascii="Baskerville" w:hAnsi="Baskerville" w:cs="Baskerville"/>
          <w:noProof/>
          <w:sz w:val="22"/>
        </w:rPr>
      </w:pPr>
      <w:r w:rsidRPr="004108CA">
        <w:rPr>
          <w:rFonts w:ascii="Baskerville" w:eastAsia="Times New Roman" w:hAnsi="Baskerville" w:cs="Baskerville"/>
          <w:noProof/>
          <w:sz w:val="22"/>
          <w:szCs w:val="22"/>
        </w:rPr>
        <w:t>* Important expansion of the phenotype including disease course of GNAO1 epilepsy.</w:t>
      </w:r>
    </w:p>
    <w:p w14:paraId="0DA60BCC" w14:textId="77777777" w:rsidR="00F3024F" w:rsidRP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26. </w:t>
      </w:r>
      <w:r w:rsidRPr="00F3024F">
        <w:rPr>
          <w:rFonts w:ascii="Baskerville" w:hAnsi="Baskerville" w:cs="Baskerville"/>
          <w:noProof/>
          <w:sz w:val="22"/>
        </w:rPr>
        <w:tab/>
        <w:t xml:space="preserve">Petrovski S, Küry S, Myers CT, Anyane-Yeboa K, Cogné B, Bialer M, Xia F, Hemati P, Riviello J, Mehaffey M, et al.: </w:t>
      </w:r>
      <w:r w:rsidRPr="00F3024F">
        <w:rPr>
          <w:rFonts w:ascii="Baskerville" w:hAnsi="Baskerville" w:cs="Baskerville"/>
          <w:b/>
          <w:bCs/>
          <w:noProof/>
          <w:sz w:val="22"/>
        </w:rPr>
        <w:t>Germline de Novo Mutations in GNB1 Cause Severe Neurodevelopmental Disability, Hypotonia, and Seizures</w:t>
      </w:r>
      <w:r w:rsidRPr="00F3024F">
        <w:rPr>
          <w:rFonts w:ascii="Baskerville" w:hAnsi="Baskerville" w:cs="Baskerville"/>
          <w:noProof/>
          <w:sz w:val="22"/>
        </w:rPr>
        <w:t xml:space="preserve">. </w:t>
      </w:r>
      <w:r w:rsidRPr="00F3024F">
        <w:rPr>
          <w:rFonts w:ascii="Baskerville" w:hAnsi="Baskerville" w:cs="Baskerville"/>
          <w:i/>
          <w:iCs/>
          <w:noProof/>
          <w:sz w:val="22"/>
        </w:rPr>
        <w:t>Am. J. Hum. Genet.</w:t>
      </w:r>
      <w:r w:rsidRPr="00F3024F">
        <w:rPr>
          <w:rFonts w:ascii="Baskerville" w:hAnsi="Baskerville" w:cs="Baskerville"/>
          <w:noProof/>
          <w:sz w:val="22"/>
        </w:rPr>
        <w:t xml:space="preserve"> 2016, </w:t>
      </w:r>
      <w:r w:rsidRPr="00F3024F">
        <w:rPr>
          <w:rFonts w:ascii="Baskerville" w:hAnsi="Baskerville" w:cs="Baskerville"/>
          <w:b/>
          <w:bCs/>
          <w:noProof/>
          <w:sz w:val="22"/>
        </w:rPr>
        <w:t>98</w:t>
      </w:r>
      <w:r w:rsidRPr="00F3024F">
        <w:rPr>
          <w:rFonts w:ascii="Baskerville" w:hAnsi="Baskerville" w:cs="Baskerville"/>
          <w:noProof/>
          <w:sz w:val="22"/>
        </w:rPr>
        <w:t>:1001–1010.</w:t>
      </w:r>
    </w:p>
    <w:p w14:paraId="361F5273" w14:textId="77777777" w:rsidR="00F3024F" w:rsidRP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27. </w:t>
      </w:r>
      <w:r w:rsidRPr="00F3024F">
        <w:rPr>
          <w:rFonts w:ascii="Baskerville" w:hAnsi="Baskerville" w:cs="Baskerville"/>
          <w:noProof/>
          <w:sz w:val="22"/>
        </w:rPr>
        <w:tab/>
        <w:t xml:space="preserve">Baldassari S, Licchetta L, Tinuper P, Bisulli F, Pippucci T: </w:t>
      </w:r>
      <w:r w:rsidRPr="00F3024F">
        <w:rPr>
          <w:rFonts w:ascii="Baskerville" w:hAnsi="Baskerville" w:cs="Baskerville"/>
          <w:b/>
          <w:bCs/>
          <w:noProof/>
          <w:sz w:val="22"/>
        </w:rPr>
        <w:t>GATOR1 complex: the common genetic actor in focal epilepsies [Internet]</w:t>
      </w:r>
      <w:r w:rsidRPr="00F3024F">
        <w:rPr>
          <w:rFonts w:ascii="Baskerville" w:hAnsi="Baskerville" w:cs="Baskerville"/>
          <w:noProof/>
          <w:sz w:val="22"/>
        </w:rPr>
        <w:t xml:space="preserve">. </w:t>
      </w:r>
      <w:r w:rsidRPr="00F3024F">
        <w:rPr>
          <w:rFonts w:ascii="Baskerville" w:hAnsi="Baskerville" w:cs="Baskerville"/>
          <w:i/>
          <w:iCs/>
          <w:noProof/>
          <w:sz w:val="22"/>
        </w:rPr>
        <w:t>J. Med. Genet.</w:t>
      </w:r>
      <w:r w:rsidRPr="00F3024F">
        <w:rPr>
          <w:rFonts w:ascii="Baskerville" w:hAnsi="Baskerville" w:cs="Baskerville"/>
          <w:noProof/>
          <w:sz w:val="22"/>
        </w:rPr>
        <w:t xml:space="preserve"> 2016, doi:10.1136/jmedgenet-2016-103883.</w:t>
      </w:r>
    </w:p>
    <w:p w14:paraId="6AAAC83D" w14:textId="77777777" w:rsidR="00F3024F" w:rsidRP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28. </w:t>
      </w:r>
      <w:r w:rsidRPr="00F3024F">
        <w:rPr>
          <w:rFonts w:ascii="Baskerville" w:hAnsi="Baskerville" w:cs="Baskerville"/>
          <w:noProof/>
          <w:sz w:val="22"/>
        </w:rPr>
        <w:tab/>
        <w:t xml:space="preserve">Ricos MG, Hodgson BL, Pippucci T, Saidin A, Ong YS, Heron SE, Licchetta L, Bisulli F, Bayly MA, Hughes J, et al.: </w:t>
      </w:r>
      <w:r w:rsidRPr="00F3024F">
        <w:rPr>
          <w:rFonts w:ascii="Baskerville" w:hAnsi="Baskerville" w:cs="Baskerville"/>
          <w:b/>
          <w:bCs/>
          <w:noProof/>
          <w:sz w:val="22"/>
        </w:rPr>
        <w:t>Mutations in the mammalian target of rapamycin pathway regulators NPRL2 and NPRL3 cause focal epilepsy</w:t>
      </w:r>
      <w:r w:rsidRPr="00F3024F">
        <w:rPr>
          <w:rFonts w:ascii="Baskerville" w:hAnsi="Baskerville" w:cs="Baskerville"/>
          <w:noProof/>
          <w:sz w:val="22"/>
        </w:rPr>
        <w:t xml:space="preserve">. </w:t>
      </w:r>
      <w:r w:rsidRPr="00F3024F">
        <w:rPr>
          <w:rFonts w:ascii="Baskerville" w:hAnsi="Baskerville" w:cs="Baskerville"/>
          <w:i/>
          <w:iCs/>
          <w:noProof/>
          <w:sz w:val="22"/>
        </w:rPr>
        <w:t>Ann. Neurol.</w:t>
      </w:r>
      <w:r w:rsidRPr="00F3024F">
        <w:rPr>
          <w:rFonts w:ascii="Baskerville" w:hAnsi="Baskerville" w:cs="Baskerville"/>
          <w:noProof/>
          <w:sz w:val="22"/>
        </w:rPr>
        <w:t xml:space="preserve"> 2016, </w:t>
      </w:r>
      <w:r w:rsidRPr="00F3024F">
        <w:rPr>
          <w:rFonts w:ascii="Baskerville" w:hAnsi="Baskerville" w:cs="Baskerville"/>
          <w:b/>
          <w:bCs/>
          <w:noProof/>
          <w:sz w:val="22"/>
        </w:rPr>
        <w:t>79</w:t>
      </w:r>
      <w:r w:rsidRPr="00F3024F">
        <w:rPr>
          <w:rFonts w:ascii="Baskerville" w:hAnsi="Baskerville" w:cs="Baskerville"/>
          <w:noProof/>
          <w:sz w:val="22"/>
        </w:rPr>
        <w:t>:120–131.</w:t>
      </w:r>
    </w:p>
    <w:p w14:paraId="34D0AA6C" w14:textId="77777777" w:rsidR="00F3024F" w:rsidRP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29. </w:t>
      </w:r>
      <w:r w:rsidRPr="00F3024F">
        <w:rPr>
          <w:rFonts w:ascii="Baskerville" w:hAnsi="Baskerville" w:cs="Baskerville"/>
          <w:noProof/>
          <w:sz w:val="22"/>
        </w:rPr>
        <w:tab/>
        <w:t xml:space="preserve">Weckhuysen S, Marsan E, Lambrecq V, Marchal C, Morin-Brureau M, An-Gourfinkel I, Baulac M, Fohlen M, Kallay Zetchi C, Seeck M, et al.: </w:t>
      </w:r>
      <w:r w:rsidRPr="00F3024F">
        <w:rPr>
          <w:rFonts w:ascii="Baskerville" w:hAnsi="Baskerville" w:cs="Baskerville"/>
          <w:b/>
          <w:bCs/>
          <w:noProof/>
          <w:sz w:val="22"/>
        </w:rPr>
        <w:t>Involvement of GATOR complex genes in familial focal epilepsies and focal cortical dysplasia</w:t>
      </w:r>
      <w:r w:rsidRPr="00F3024F">
        <w:rPr>
          <w:rFonts w:ascii="Baskerville" w:hAnsi="Baskerville" w:cs="Baskerville"/>
          <w:noProof/>
          <w:sz w:val="22"/>
        </w:rPr>
        <w:t xml:space="preserve">. </w:t>
      </w:r>
      <w:r w:rsidRPr="00F3024F">
        <w:rPr>
          <w:rFonts w:ascii="Baskerville" w:hAnsi="Baskerville" w:cs="Baskerville"/>
          <w:i/>
          <w:iCs/>
          <w:noProof/>
          <w:sz w:val="22"/>
        </w:rPr>
        <w:t>Epilepsia</w:t>
      </w:r>
      <w:r w:rsidRPr="00F3024F">
        <w:rPr>
          <w:rFonts w:ascii="Baskerville" w:hAnsi="Baskerville" w:cs="Baskerville"/>
          <w:noProof/>
          <w:sz w:val="22"/>
        </w:rPr>
        <w:t xml:space="preserve"> 2016, </w:t>
      </w:r>
      <w:r w:rsidRPr="00F3024F">
        <w:rPr>
          <w:rFonts w:ascii="Baskerville" w:hAnsi="Baskerville" w:cs="Baskerville"/>
          <w:b/>
          <w:bCs/>
          <w:noProof/>
          <w:sz w:val="22"/>
        </w:rPr>
        <w:t>57</w:t>
      </w:r>
      <w:r w:rsidRPr="00F3024F">
        <w:rPr>
          <w:rFonts w:ascii="Baskerville" w:hAnsi="Baskerville" w:cs="Baskerville"/>
          <w:noProof/>
          <w:sz w:val="22"/>
        </w:rPr>
        <w:t>:994–1003.</w:t>
      </w:r>
    </w:p>
    <w:p w14:paraId="4426B80B" w14:textId="77777777" w:rsid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30. </w:t>
      </w:r>
      <w:r w:rsidRPr="00F3024F">
        <w:rPr>
          <w:rFonts w:ascii="Baskerville" w:hAnsi="Baskerville" w:cs="Baskerville"/>
          <w:noProof/>
          <w:sz w:val="22"/>
        </w:rPr>
        <w:tab/>
        <w:t xml:space="preserve">Sim JC, Scerri T, Fanjul-Fernández M, Riseley JR, Gillies G, Pope K, van Roozendaal H, Heng JI, Mandelstam SA, McGillivray G, et al.: </w:t>
      </w:r>
      <w:r w:rsidRPr="00F3024F">
        <w:rPr>
          <w:rFonts w:ascii="Baskerville" w:hAnsi="Baskerville" w:cs="Baskerville"/>
          <w:b/>
          <w:bCs/>
          <w:noProof/>
          <w:sz w:val="22"/>
        </w:rPr>
        <w:t>Familial cortical dysplasia caused by mutation in the mTOR regulator NPRL3 [Internet]</w:t>
      </w:r>
      <w:r w:rsidRPr="00F3024F">
        <w:rPr>
          <w:rFonts w:ascii="Baskerville" w:hAnsi="Baskerville" w:cs="Baskerville"/>
          <w:noProof/>
          <w:sz w:val="22"/>
        </w:rPr>
        <w:t xml:space="preserve">. </w:t>
      </w:r>
      <w:r w:rsidRPr="00F3024F">
        <w:rPr>
          <w:rFonts w:ascii="Baskerville" w:hAnsi="Baskerville" w:cs="Baskerville"/>
          <w:i/>
          <w:iCs/>
          <w:noProof/>
          <w:sz w:val="22"/>
        </w:rPr>
        <w:t>Ann. Neurol.</w:t>
      </w:r>
      <w:r w:rsidRPr="00F3024F">
        <w:rPr>
          <w:rFonts w:ascii="Baskerville" w:hAnsi="Baskerville" w:cs="Baskerville"/>
          <w:noProof/>
          <w:sz w:val="22"/>
        </w:rPr>
        <w:t xml:space="preserve"> 2015, doi:10.1002/ana.24502.</w:t>
      </w:r>
    </w:p>
    <w:p w14:paraId="34D16BFA" w14:textId="502DF85E" w:rsidR="00B90BD9" w:rsidRPr="00F3024F" w:rsidRDefault="00B90BD9" w:rsidP="00F3024F">
      <w:pPr>
        <w:widowControl w:val="0"/>
        <w:autoSpaceDE w:val="0"/>
        <w:autoSpaceDN w:val="0"/>
        <w:adjustRightInd w:val="0"/>
        <w:ind w:left="640" w:hanging="640"/>
        <w:rPr>
          <w:rFonts w:ascii="Baskerville" w:hAnsi="Baskerville" w:cs="Baskerville"/>
          <w:noProof/>
          <w:sz w:val="22"/>
        </w:rPr>
      </w:pPr>
      <w:r w:rsidRPr="004108CA">
        <w:rPr>
          <w:rFonts w:ascii="Baskerville" w:eastAsia="Times New Roman" w:hAnsi="Baskerville" w:cs="Baskerville"/>
          <w:noProof/>
          <w:sz w:val="22"/>
          <w:szCs w:val="22"/>
        </w:rPr>
        <w:t xml:space="preserve">** References </w:t>
      </w:r>
      <w:r>
        <w:rPr>
          <w:rFonts w:ascii="Baskerville" w:eastAsia="Times New Roman" w:hAnsi="Baskerville" w:cs="Baskerville"/>
          <w:noProof/>
          <w:sz w:val="22"/>
          <w:szCs w:val="22"/>
        </w:rPr>
        <w:t>27</w:t>
      </w:r>
      <w:r w:rsidRPr="004108CA">
        <w:rPr>
          <w:rFonts w:ascii="Baskerville" w:eastAsia="Times New Roman" w:hAnsi="Baskerville" w:cs="Baskerville"/>
          <w:noProof/>
          <w:sz w:val="22"/>
          <w:szCs w:val="22"/>
        </w:rPr>
        <w:t xml:space="preserve"> to </w:t>
      </w:r>
      <w:r>
        <w:rPr>
          <w:rFonts w:ascii="Baskerville" w:eastAsia="Times New Roman" w:hAnsi="Baskerville" w:cs="Baskerville"/>
          <w:noProof/>
          <w:sz w:val="22"/>
          <w:szCs w:val="22"/>
        </w:rPr>
        <w:t>30</w:t>
      </w:r>
      <w:r w:rsidRPr="004108CA">
        <w:rPr>
          <w:rFonts w:ascii="Baskerville" w:eastAsia="Times New Roman" w:hAnsi="Baskerville" w:cs="Baskerville"/>
          <w:noProof/>
          <w:sz w:val="22"/>
          <w:szCs w:val="22"/>
        </w:rPr>
        <w:t xml:space="preserve"> report germline mutations in GATOR complex genesin association with familial focal epilepsy with or without focal cortical dysplasia.</w:t>
      </w:r>
    </w:p>
    <w:p w14:paraId="1C6F4A6D" w14:textId="77777777" w:rsid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31. </w:t>
      </w:r>
      <w:r w:rsidRPr="00F3024F">
        <w:rPr>
          <w:rFonts w:ascii="Baskerville" w:hAnsi="Baskerville" w:cs="Baskerville"/>
          <w:noProof/>
          <w:sz w:val="22"/>
        </w:rPr>
        <w:tab/>
        <w:t xml:space="preserve">Broix L, Jagline H, L Ivanova E, Schmucker S, Drouot N, Clayton-Smith J, Pagnamenta AT, Metcalfe KA, Isidor B, Louvier UW, et al.: </w:t>
      </w:r>
      <w:r w:rsidRPr="00F3024F">
        <w:rPr>
          <w:rFonts w:ascii="Baskerville" w:hAnsi="Baskerville" w:cs="Baskerville"/>
          <w:b/>
          <w:bCs/>
          <w:noProof/>
          <w:sz w:val="22"/>
        </w:rPr>
        <w:t>Mutations in the HECT domain of NEDD4L lead to AKT-mTOR pathway deregulation and cause periventricular nodular heterotopia [Internet]</w:t>
      </w:r>
      <w:r w:rsidRPr="00F3024F">
        <w:rPr>
          <w:rFonts w:ascii="Baskerville" w:hAnsi="Baskerville" w:cs="Baskerville"/>
          <w:noProof/>
          <w:sz w:val="22"/>
        </w:rPr>
        <w:t xml:space="preserve">. </w:t>
      </w:r>
      <w:r w:rsidRPr="00F3024F">
        <w:rPr>
          <w:rFonts w:ascii="Baskerville" w:hAnsi="Baskerville" w:cs="Baskerville"/>
          <w:i/>
          <w:iCs/>
          <w:noProof/>
          <w:sz w:val="22"/>
        </w:rPr>
        <w:t>Nat Genet</w:t>
      </w:r>
      <w:r w:rsidRPr="00F3024F">
        <w:rPr>
          <w:rFonts w:ascii="Baskerville" w:hAnsi="Baskerville" w:cs="Baskerville"/>
          <w:noProof/>
          <w:sz w:val="22"/>
        </w:rPr>
        <w:t xml:space="preserve"> 2016, </w:t>
      </w:r>
      <w:r w:rsidRPr="00F3024F">
        <w:rPr>
          <w:rFonts w:ascii="Baskerville" w:hAnsi="Baskerville" w:cs="Baskerville"/>
          <w:b/>
          <w:bCs/>
          <w:noProof/>
          <w:sz w:val="22"/>
        </w:rPr>
        <w:t>48</w:t>
      </w:r>
      <w:r w:rsidRPr="00F3024F">
        <w:rPr>
          <w:rFonts w:ascii="Baskerville" w:hAnsi="Baskerville" w:cs="Baskerville"/>
          <w:noProof/>
          <w:sz w:val="22"/>
        </w:rPr>
        <w:t>:1349–1358.</w:t>
      </w:r>
    </w:p>
    <w:p w14:paraId="324EAF1A" w14:textId="0FA044E0" w:rsidR="00502416" w:rsidRPr="00F3024F" w:rsidRDefault="00502416" w:rsidP="00F3024F">
      <w:pPr>
        <w:widowControl w:val="0"/>
        <w:autoSpaceDE w:val="0"/>
        <w:autoSpaceDN w:val="0"/>
        <w:adjustRightInd w:val="0"/>
        <w:ind w:left="640" w:hanging="640"/>
        <w:rPr>
          <w:rFonts w:ascii="Baskerville" w:hAnsi="Baskerville" w:cs="Baskerville"/>
          <w:noProof/>
          <w:sz w:val="22"/>
        </w:rPr>
      </w:pPr>
      <w:r w:rsidRPr="004108CA">
        <w:rPr>
          <w:rFonts w:ascii="Baskerville" w:eastAsia="Times New Roman" w:hAnsi="Baskerville" w:cs="Baskerville"/>
          <w:noProof/>
          <w:sz w:val="22"/>
          <w:szCs w:val="22"/>
        </w:rPr>
        <w:t>* Reports mutation in NEDD4L, a regulator of mTOR in asssociation with epilepsy and periventricular nodular heterotopia.</w:t>
      </w:r>
    </w:p>
    <w:p w14:paraId="7486F58F" w14:textId="77777777" w:rsid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32. </w:t>
      </w:r>
      <w:r w:rsidRPr="00F3024F">
        <w:rPr>
          <w:rFonts w:ascii="Baskerville" w:hAnsi="Baskerville" w:cs="Baskerville"/>
          <w:noProof/>
          <w:sz w:val="22"/>
        </w:rPr>
        <w:tab/>
        <w:t xml:space="preserve">Nakashima M, Saitsu H, Takei N, Tohyama J, Kato M, Kitaura H, Shiina M, Shirozu H, Masuda H, Watanabe K, et al.: </w:t>
      </w:r>
      <w:r w:rsidRPr="00F3024F">
        <w:rPr>
          <w:rFonts w:ascii="Baskerville" w:hAnsi="Baskerville" w:cs="Baskerville"/>
          <w:b/>
          <w:bCs/>
          <w:noProof/>
          <w:sz w:val="22"/>
        </w:rPr>
        <w:t>Somatic Mutations in the MTOR gene cause focal cortical dysplasia type IIb</w:t>
      </w:r>
      <w:r w:rsidRPr="00F3024F">
        <w:rPr>
          <w:rFonts w:ascii="Baskerville" w:hAnsi="Baskerville" w:cs="Baskerville"/>
          <w:noProof/>
          <w:sz w:val="22"/>
        </w:rPr>
        <w:t xml:space="preserve">. </w:t>
      </w:r>
      <w:r w:rsidRPr="00F3024F">
        <w:rPr>
          <w:rFonts w:ascii="Baskerville" w:hAnsi="Baskerville" w:cs="Baskerville"/>
          <w:i/>
          <w:iCs/>
          <w:noProof/>
          <w:sz w:val="22"/>
        </w:rPr>
        <w:t>Ann. Neurol.</w:t>
      </w:r>
      <w:r w:rsidRPr="00F3024F">
        <w:rPr>
          <w:rFonts w:ascii="Baskerville" w:hAnsi="Baskerville" w:cs="Baskerville"/>
          <w:noProof/>
          <w:sz w:val="22"/>
        </w:rPr>
        <w:t xml:space="preserve"> 2015, </w:t>
      </w:r>
      <w:r w:rsidRPr="00F3024F">
        <w:rPr>
          <w:rFonts w:ascii="Baskerville" w:hAnsi="Baskerville" w:cs="Baskerville"/>
          <w:b/>
          <w:bCs/>
          <w:noProof/>
          <w:sz w:val="22"/>
        </w:rPr>
        <w:t>78</w:t>
      </w:r>
      <w:r w:rsidRPr="00F3024F">
        <w:rPr>
          <w:rFonts w:ascii="Baskerville" w:hAnsi="Baskerville" w:cs="Baskerville"/>
          <w:noProof/>
          <w:sz w:val="22"/>
        </w:rPr>
        <w:t>:375–386.</w:t>
      </w:r>
    </w:p>
    <w:p w14:paraId="5466CABB" w14:textId="6852F655" w:rsidR="00502416" w:rsidRPr="00502416" w:rsidRDefault="00502416" w:rsidP="00502416">
      <w:pPr>
        <w:widowControl w:val="0"/>
        <w:autoSpaceDE w:val="0"/>
        <w:autoSpaceDN w:val="0"/>
        <w:adjustRightInd w:val="0"/>
        <w:ind w:left="640" w:hanging="640"/>
        <w:rPr>
          <w:rFonts w:ascii="Baskerville" w:eastAsia="Times New Roman" w:hAnsi="Baskerville" w:cs="Baskerville"/>
          <w:noProof/>
          <w:sz w:val="22"/>
          <w:szCs w:val="22"/>
        </w:rPr>
      </w:pPr>
      <w:r w:rsidRPr="004108CA">
        <w:rPr>
          <w:rFonts w:ascii="Baskerville" w:eastAsia="Times New Roman" w:hAnsi="Baskerville" w:cs="Baskerville"/>
          <w:noProof/>
          <w:sz w:val="22"/>
          <w:szCs w:val="22"/>
        </w:rPr>
        <w:t xml:space="preserve">* Discovery of importance of somatic mutation in focal cortical dysplasia. </w:t>
      </w:r>
    </w:p>
    <w:p w14:paraId="78877777" w14:textId="77777777" w:rsidR="00F3024F" w:rsidRP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33. </w:t>
      </w:r>
      <w:r w:rsidRPr="00F3024F">
        <w:rPr>
          <w:rFonts w:ascii="Baskerville" w:hAnsi="Baskerville" w:cs="Baskerville"/>
          <w:noProof/>
          <w:sz w:val="22"/>
        </w:rPr>
        <w:tab/>
        <w:t xml:space="preserve">Lim JS, Kim W, Kang H-C, Kim SH, Park AH, Park EK, Cho Y-W, Kim S, Kim HM, Kim JA, et al.: </w:t>
      </w:r>
      <w:r w:rsidRPr="00F3024F">
        <w:rPr>
          <w:rFonts w:ascii="Baskerville" w:hAnsi="Baskerville" w:cs="Baskerville"/>
          <w:b/>
          <w:bCs/>
          <w:noProof/>
          <w:sz w:val="22"/>
        </w:rPr>
        <w:t>Brain somatic mutations in MTOR cause focal cortical dysplasia type II leading to intractable epilepsy. [Internet]</w:t>
      </w:r>
      <w:r w:rsidRPr="00F3024F">
        <w:rPr>
          <w:rFonts w:ascii="Baskerville" w:hAnsi="Baskerville" w:cs="Baskerville"/>
          <w:noProof/>
          <w:sz w:val="22"/>
        </w:rPr>
        <w:t xml:space="preserve">. </w:t>
      </w:r>
      <w:r w:rsidRPr="00F3024F">
        <w:rPr>
          <w:rFonts w:ascii="Baskerville" w:hAnsi="Baskerville" w:cs="Baskerville"/>
          <w:i/>
          <w:iCs/>
          <w:noProof/>
          <w:sz w:val="22"/>
        </w:rPr>
        <w:t>Nat. Med.</w:t>
      </w:r>
      <w:r w:rsidRPr="00F3024F">
        <w:rPr>
          <w:rFonts w:ascii="Baskerville" w:hAnsi="Baskerville" w:cs="Baskerville"/>
          <w:noProof/>
          <w:sz w:val="22"/>
        </w:rPr>
        <w:t xml:space="preserve"> 2015, </w:t>
      </w:r>
      <w:r w:rsidRPr="00F3024F">
        <w:rPr>
          <w:rFonts w:ascii="Baskerville" w:hAnsi="Baskerville" w:cs="Baskerville"/>
          <w:b/>
          <w:bCs/>
          <w:noProof/>
          <w:sz w:val="22"/>
        </w:rPr>
        <w:t>21</w:t>
      </w:r>
      <w:r w:rsidRPr="00F3024F">
        <w:rPr>
          <w:rFonts w:ascii="Baskerville" w:hAnsi="Baskerville" w:cs="Baskerville"/>
          <w:noProof/>
          <w:sz w:val="22"/>
        </w:rPr>
        <w:t>:395–400.</w:t>
      </w:r>
    </w:p>
    <w:p w14:paraId="7FFF0EA2" w14:textId="77777777" w:rsid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34. </w:t>
      </w:r>
      <w:r w:rsidRPr="00F3024F">
        <w:rPr>
          <w:rFonts w:ascii="Baskerville" w:hAnsi="Baskerville" w:cs="Baskerville"/>
          <w:noProof/>
          <w:sz w:val="22"/>
        </w:rPr>
        <w:tab/>
        <w:t xml:space="preserve">Thomas RH, Zhang LM, Carvill GL, Archer JS, Heavin SB, Mandelstam SA, Craiu D, Berkovic SF, Gill DS, Mefford HC, et al.: </w:t>
      </w:r>
      <w:r w:rsidRPr="00F3024F">
        <w:rPr>
          <w:rFonts w:ascii="Baskerville" w:hAnsi="Baskerville" w:cs="Baskerville"/>
          <w:b/>
          <w:bCs/>
          <w:noProof/>
          <w:sz w:val="22"/>
        </w:rPr>
        <w:t>CHD2 myoclonic encephalopathy is frequently associated with self-induced seizures</w:t>
      </w:r>
      <w:r w:rsidRPr="00F3024F">
        <w:rPr>
          <w:rFonts w:ascii="Baskerville" w:hAnsi="Baskerville" w:cs="Baskerville"/>
          <w:noProof/>
          <w:sz w:val="22"/>
        </w:rPr>
        <w:t xml:space="preserve">. </w:t>
      </w:r>
      <w:r w:rsidRPr="00F3024F">
        <w:rPr>
          <w:rFonts w:ascii="Baskerville" w:hAnsi="Baskerville" w:cs="Baskerville"/>
          <w:i/>
          <w:iCs/>
          <w:noProof/>
          <w:sz w:val="22"/>
        </w:rPr>
        <w:t>Neurology</w:t>
      </w:r>
      <w:r w:rsidRPr="00F3024F">
        <w:rPr>
          <w:rFonts w:ascii="Baskerville" w:hAnsi="Baskerville" w:cs="Baskerville"/>
          <w:noProof/>
          <w:sz w:val="22"/>
        </w:rPr>
        <w:t xml:space="preserve"> 2015, </w:t>
      </w:r>
      <w:r w:rsidRPr="00F3024F">
        <w:rPr>
          <w:rFonts w:ascii="Baskerville" w:hAnsi="Baskerville" w:cs="Baskerville"/>
          <w:b/>
          <w:bCs/>
          <w:noProof/>
          <w:sz w:val="22"/>
        </w:rPr>
        <w:t>84</w:t>
      </w:r>
      <w:r w:rsidRPr="00F3024F">
        <w:rPr>
          <w:rFonts w:ascii="Baskerville" w:hAnsi="Baskerville" w:cs="Baskerville"/>
          <w:noProof/>
          <w:sz w:val="22"/>
        </w:rPr>
        <w:t>:951–958.</w:t>
      </w:r>
    </w:p>
    <w:p w14:paraId="0075D70F" w14:textId="2724E34A" w:rsidR="00B76E74" w:rsidRPr="00B76E74" w:rsidRDefault="00B76E74" w:rsidP="00B76E74">
      <w:pPr>
        <w:widowControl w:val="0"/>
        <w:autoSpaceDE w:val="0"/>
        <w:autoSpaceDN w:val="0"/>
        <w:adjustRightInd w:val="0"/>
        <w:ind w:left="640" w:hanging="640"/>
        <w:rPr>
          <w:rFonts w:ascii="Baskerville" w:eastAsia="Times New Roman" w:hAnsi="Baskerville" w:cs="Baskerville"/>
          <w:noProof/>
          <w:sz w:val="22"/>
          <w:szCs w:val="22"/>
        </w:rPr>
      </w:pPr>
      <w:r w:rsidRPr="004108CA">
        <w:rPr>
          <w:rFonts w:ascii="Baskerville" w:eastAsia="Times New Roman" w:hAnsi="Baskerville" w:cs="Baskerville"/>
          <w:noProof/>
          <w:sz w:val="22"/>
          <w:szCs w:val="22"/>
        </w:rPr>
        <w:t>* Discovery of CHD2 mtuations in myoclonic encephalopathy</w:t>
      </w:r>
      <w:r>
        <w:rPr>
          <w:rFonts w:ascii="Baskerville" w:eastAsia="Times New Roman" w:hAnsi="Baskerville" w:cs="Baskerville"/>
          <w:noProof/>
          <w:sz w:val="22"/>
          <w:szCs w:val="22"/>
        </w:rPr>
        <w:t xml:space="preserve">. </w:t>
      </w:r>
    </w:p>
    <w:p w14:paraId="76E1472C" w14:textId="77777777" w:rsid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35. </w:t>
      </w:r>
      <w:r w:rsidRPr="00F3024F">
        <w:rPr>
          <w:rFonts w:ascii="Baskerville" w:hAnsi="Baskerville" w:cs="Baskerville"/>
          <w:noProof/>
          <w:sz w:val="22"/>
        </w:rPr>
        <w:tab/>
        <w:t xml:space="preserve">Galizia EC, Myers CT, Leu C, de Kovel CGF, Afrikanova T, Cordero-Maldonado ML orena, Martins TG, Jacmin M, Drury S, Krishna Chinthapalli V, et al.: </w:t>
      </w:r>
      <w:r w:rsidRPr="00F3024F">
        <w:rPr>
          <w:rFonts w:ascii="Baskerville" w:hAnsi="Baskerville" w:cs="Baskerville"/>
          <w:b/>
          <w:bCs/>
          <w:noProof/>
          <w:sz w:val="22"/>
        </w:rPr>
        <w:t>CHD2 variants are a risk factor for photosensitivity in epilepsy</w:t>
      </w:r>
      <w:r w:rsidRPr="00F3024F">
        <w:rPr>
          <w:rFonts w:ascii="Baskerville" w:hAnsi="Baskerville" w:cs="Baskerville"/>
          <w:noProof/>
          <w:sz w:val="22"/>
        </w:rPr>
        <w:t xml:space="preserve">. </w:t>
      </w:r>
      <w:r w:rsidRPr="00F3024F">
        <w:rPr>
          <w:rFonts w:ascii="Baskerville" w:hAnsi="Baskerville" w:cs="Baskerville"/>
          <w:i/>
          <w:iCs/>
          <w:noProof/>
          <w:sz w:val="22"/>
        </w:rPr>
        <w:t>Brain</w:t>
      </w:r>
      <w:r w:rsidRPr="00F3024F">
        <w:rPr>
          <w:rFonts w:ascii="Baskerville" w:hAnsi="Baskerville" w:cs="Baskerville"/>
          <w:noProof/>
          <w:sz w:val="22"/>
        </w:rPr>
        <w:t xml:space="preserve"> 2015, </w:t>
      </w:r>
      <w:r w:rsidRPr="00F3024F">
        <w:rPr>
          <w:rFonts w:ascii="Baskerville" w:hAnsi="Baskerville" w:cs="Baskerville"/>
          <w:b/>
          <w:bCs/>
          <w:noProof/>
          <w:sz w:val="22"/>
        </w:rPr>
        <w:t>138</w:t>
      </w:r>
      <w:r w:rsidRPr="00F3024F">
        <w:rPr>
          <w:rFonts w:ascii="Baskerville" w:hAnsi="Baskerville" w:cs="Baskerville"/>
          <w:noProof/>
          <w:sz w:val="22"/>
        </w:rPr>
        <w:t>:1198–1207.</w:t>
      </w:r>
    </w:p>
    <w:p w14:paraId="644EAFA2" w14:textId="39B4B9FC" w:rsidR="00AA0A6A" w:rsidRPr="00F3024F" w:rsidRDefault="00AA0A6A" w:rsidP="00F3024F">
      <w:pPr>
        <w:widowControl w:val="0"/>
        <w:autoSpaceDE w:val="0"/>
        <w:autoSpaceDN w:val="0"/>
        <w:adjustRightInd w:val="0"/>
        <w:ind w:left="640" w:hanging="640"/>
        <w:rPr>
          <w:rFonts w:ascii="Baskerville" w:hAnsi="Baskerville" w:cs="Baskerville"/>
          <w:noProof/>
          <w:sz w:val="22"/>
        </w:rPr>
      </w:pPr>
      <w:r w:rsidRPr="004108CA">
        <w:rPr>
          <w:rFonts w:ascii="Baskerville" w:eastAsia="Times New Roman" w:hAnsi="Baskerville" w:cs="Baskerville"/>
          <w:noProof/>
          <w:sz w:val="22"/>
          <w:szCs w:val="22"/>
        </w:rPr>
        <w:t>* CHD2 implicated as a risk factor for common forms of photosensitive epilepsy.</w:t>
      </w:r>
    </w:p>
    <w:p w14:paraId="3B745999" w14:textId="77777777" w:rsid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lastRenderedPageBreak/>
        <w:t xml:space="preserve">36. </w:t>
      </w:r>
      <w:r w:rsidRPr="00F3024F">
        <w:rPr>
          <w:rFonts w:ascii="Baskerville" w:hAnsi="Baskerville" w:cs="Baskerville"/>
          <w:noProof/>
          <w:sz w:val="22"/>
        </w:rPr>
        <w:tab/>
        <w:t xml:space="preserve">Tang S, Hughes E, Lascelles K, Simpson MA, Pal DK: </w:t>
      </w:r>
      <w:r w:rsidRPr="00F3024F">
        <w:rPr>
          <w:rFonts w:ascii="Baskerville" w:hAnsi="Baskerville" w:cs="Baskerville"/>
          <w:b/>
          <w:bCs/>
          <w:noProof/>
          <w:sz w:val="22"/>
        </w:rPr>
        <w:t>New SMARCA2 mutation in a patient with Nicolaides-Baraitser syndrome and myoclonic astatic epilepsy. [Internet]</w:t>
      </w:r>
      <w:r w:rsidRPr="00F3024F">
        <w:rPr>
          <w:rFonts w:ascii="Baskerville" w:hAnsi="Baskerville" w:cs="Baskerville"/>
          <w:noProof/>
          <w:sz w:val="22"/>
        </w:rPr>
        <w:t xml:space="preserve">. </w:t>
      </w:r>
      <w:r w:rsidRPr="00F3024F">
        <w:rPr>
          <w:rFonts w:ascii="Baskerville" w:hAnsi="Baskerville" w:cs="Baskerville"/>
          <w:i/>
          <w:iCs/>
          <w:noProof/>
          <w:sz w:val="22"/>
        </w:rPr>
        <w:t>Am. J. Med. Genet. A</w:t>
      </w:r>
      <w:r w:rsidRPr="00F3024F">
        <w:rPr>
          <w:rFonts w:ascii="Baskerville" w:hAnsi="Baskerville" w:cs="Baskerville"/>
          <w:noProof/>
          <w:sz w:val="22"/>
        </w:rPr>
        <w:t xml:space="preserve"> 2016, doi:10.1002/ajmg.a.37935.</w:t>
      </w:r>
    </w:p>
    <w:p w14:paraId="1F045718" w14:textId="234335F4" w:rsidR="00AA0A6A" w:rsidRPr="00F3024F" w:rsidRDefault="00AA0A6A" w:rsidP="00F3024F">
      <w:pPr>
        <w:widowControl w:val="0"/>
        <w:autoSpaceDE w:val="0"/>
        <w:autoSpaceDN w:val="0"/>
        <w:adjustRightInd w:val="0"/>
        <w:ind w:left="640" w:hanging="640"/>
        <w:rPr>
          <w:rFonts w:ascii="Baskerville" w:hAnsi="Baskerville" w:cs="Baskerville"/>
          <w:noProof/>
          <w:sz w:val="22"/>
        </w:rPr>
      </w:pPr>
      <w:r w:rsidRPr="004108CA">
        <w:rPr>
          <w:rFonts w:ascii="Baskerville" w:eastAsia="Times New Roman" w:hAnsi="Baskerville" w:cs="Baskerville"/>
          <w:noProof/>
          <w:sz w:val="22"/>
          <w:szCs w:val="22"/>
        </w:rPr>
        <w:t>* R</w:t>
      </w:r>
      <w:r w:rsidRPr="004108CA">
        <w:rPr>
          <w:rFonts w:ascii="Baskerville" w:hAnsi="Baskerville" w:cs="Baskerville"/>
          <w:sz w:val="22"/>
          <w:szCs w:val="22"/>
        </w:rPr>
        <w:t xml:space="preserve">eport </w:t>
      </w:r>
      <w:r w:rsidR="00515084">
        <w:rPr>
          <w:rFonts w:ascii="Baskerville" w:hAnsi="Baskerville" w:cs="Baskerville"/>
          <w:sz w:val="22"/>
          <w:szCs w:val="22"/>
        </w:rPr>
        <w:t xml:space="preserve">of </w:t>
      </w:r>
      <w:r w:rsidRPr="004108CA">
        <w:rPr>
          <w:rFonts w:ascii="Baskerville" w:hAnsi="Baskerville" w:cs="Baskerville"/>
          <w:sz w:val="22"/>
          <w:szCs w:val="22"/>
        </w:rPr>
        <w:t xml:space="preserve">a </w:t>
      </w:r>
      <w:r w:rsidRPr="004108CA">
        <w:rPr>
          <w:rFonts w:ascii="Baskerville" w:hAnsi="Baskerville" w:cs="Baskerville"/>
          <w:i/>
          <w:sz w:val="22"/>
          <w:szCs w:val="22"/>
        </w:rPr>
        <w:t>de novo</w:t>
      </w:r>
      <w:r w:rsidRPr="004108CA">
        <w:rPr>
          <w:rFonts w:ascii="Baskerville" w:hAnsi="Baskerville" w:cs="Baskerville"/>
          <w:sz w:val="22"/>
          <w:szCs w:val="22"/>
        </w:rPr>
        <w:t xml:space="preserve"> SMARCA2 missense mutation discovered by exome sequencing</w:t>
      </w:r>
      <w:r>
        <w:rPr>
          <w:rFonts w:ascii="Baskerville" w:hAnsi="Baskerville" w:cs="Baskerville"/>
          <w:sz w:val="22"/>
          <w:szCs w:val="22"/>
        </w:rPr>
        <w:t xml:space="preserve">. </w:t>
      </w:r>
    </w:p>
    <w:p w14:paraId="799E0ABC" w14:textId="77777777" w:rsid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37. </w:t>
      </w:r>
      <w:r w:rsidRPr="00F3024F">
        <w:rPr>
          <w:rFonts w:ascii="Baskerville" w:hAnsi="Baskerville" w:cs="Baskerville"/>
          <w:noProof/>
          <w:sz w:val="22"/>
        </w:rPr>
        <w:tab/>
        <w:t xml:space="preserve">Goldstein JHR, Tim-aroon T, Shieh J, Merrill M, Deeb KK, Zhang S, Bass NE, Bedoyan JK: </w:t>
      </w:r>
      <w:r w:rsidRPr="00F3024F">
        <w:rPr>
          <w:rFonts w:ascii="Baskerville" w:hAnsi="Baskerville" w:cs="Baskerville"/>
          <w:b/>
          <w:bCs/>
          <w:noProof/>
          <w:sz w:val="22"/>
        </w:rPr>
        <w:t>Novel SMC1A frameshift mutations in children with developmental delay and epilepsy</w:t>
      </w:r>
      <w:r w:rsidRPr="00F3024F">
        <w:rPr>
          <w:rFonts w:ascii="Baskerville" w:hAnsi="Baskerville" w:cs="Baskerville"/>
          <w:noProof/>
          <w:sz w:val="22"/>
        </w:rPr>
        <w:t xml:space="preserve">. </w:t>
      </w:r>
      <w:r w:rsidRPr="00F3024F">
        <w:rPr>
          <w:rFonts w:ascii="Baskerville" w:hAnsi="Baskerville" w:cs="Baskerville"/>
          <w:i/>
          <w:iCs/>
          <w:noProof/>
          <w:sz w:val="22"/>
        </w:rPr>
        <w:t>Eur. J. Med. Genet.</w:t>
      </w:r>
      <w:r w:rsidRPr="00F3024F">
        <w:rPr>
          <w:rFonts w:ascii="Baskerville" w:hAnsi="Baskerville" w:cs="Baskerville"/>
          <w:noProof/>
          <w:sz w:val="22"/>
        </w:rPr>
        <w:t xml:space="preserve"> 2015, </w:t>
      </w:r>
      <w:r w:rsidRPr="00F3024F">
        <w:rPr>
          <w:rFonts w:ascii="Baskerville" w:hAnsi="Baskerville" w:cs="Baskerville"/>
          <w:b/>
          <w:bCs/>
          <w:noProof/>
          <w:sz w:val="22"/>
        </w:rPr>
        <w:t>58</w:t>
      </w:r>
      <w:r w:rsidRPr="00F3024F">
        <w:rPr>
          <w:rFonts w:ascii="Baskerville" w:hAnsi="Baskerville" w:cs="Baskerville"/>
          <w:noProof/>
          <w:sz w:val="22"/>
        </w:rPr>
        <w:t>:562–568.</w:t>
      </w:r>
    </w:p>
    <w:p w14:paraId="3F0ECB6D" w14:textId="77777777" w:rsidR="00F3024F" w:rsidRP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38. </w:t>
      </w:r>
      <w:r w:rsidRPr="00F3024F">
        <w:rPr>
          <w:rFonts w:ascii="Baskerville" w:hAnsi="Baskerville" w:cs="Baskerville"/>
          <w:noProof/>
          <w:sz w:val="22"/>
        </w:rPr>
        <w:tab/>
        <w:t xml:space="preserve">Lebrun N, Lebon S, Jeannet P-Y, Jacquemont S, Billuart P, Bienvenu T: </w:t>
      </w:r>
      <w:r w:rsidRPr="00F3024F">
        <w:rPr>
          <w:rFonts w:ascii="Baskerville" w:hAnsi="Baskerville" w:cs="Baskerville"/>
          <w:b/>
          <w:bCs/>
          <w:noProof/>
          <w:sz w:val="22"/>
        </w:rPr>
        <w:t>Early-onset encephalopathy with epilepsy associated with a novel splice site mutation in SMC1A. [Internet]</w:t>
      </w:r>
      <w:r w:rsidRPr="00F3024F">
        <w:rPr>
          <w:rFonts w:ascii="Baskerville" w:hAnsi="Baskerville" w:cs="Baskerville"/>
          <w:noProof/>
          <w:sz w:val="22"/>
        </w:rPr>
        <w:t xml:space="preserve">. </w:t>
      </w:r>
      <w:r w:rsidRPr="00F3024F">
        <w:rPr>
          <w:rFonts w:ascii="Baskerville" w:hAnsi="Baskerville" w:cs="Baskerville"/>
          <w:i/>
          <w:iCs/>
          <w:noProof/>
          <w:sz w:val="22"/>
        </w:rPr>
        <w:t>Am. J. Med. Genet. A</w:t>
      </w:r>
      <w:r w:rsidRPr="00F3024F">
        <w:rPr>
          <w:rFonts w:ascii="Baskerville" w:hAnsi="Baskerville" w:cs="Baskerville"/>
          <w:noProof/>
          <w:sz w:val="22"/>
        </w:rPr>
        <w:t xml:space="preserve"> 2015, doi:10.1002/ajmg.a.37364.</w:t>
      </w:r>
    </w:p>
    <w:p w14:paraId="359EFBA0" w14:textId="77777777" w:rsid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39. </w:t>
      </w:r>
      <w:r w:rsidRPr="00F3024F">
        <w:rPr>
          <w:rFonts w:ascii="Baskerville" w:hAnsi="Baskerville" w:cs="Baskerville"/>
          <w:noProof/>
          <w:sz w:val="22"/>
        </w:rPr>
        <w:tab/>
        <w:t xml:space="preserve">Jansen S, Kleefstra T, Willemsen MH, de Vries P, Pfundt R, Hehir-Kwa JY, Gilissen C, Veltman JA, de Vries BBA, Vissers LELM: </w:t>
      </w:r>
      <w:r w:rsidRPr="00F3024F">
        <w:rPr>
          <w:rFonts w:ascii="Baskerville" w:hAnsi="Baskerville" w:cs="Baskerville"/>
          <w:b/>
          <w:bCs/>
          <w:noProof/>
          <w:sz w:val="22"/>
        </w:rPr>
        <w:t>De novo loss-of-function mutations in X-linked SMC1A cause severe ID and therapy-resistant epilepsy in females: expanding the phenotypic spectrum. [Internet]</w:t>
      </w:r>
      <w:r w:rsidRPr="00F3024F">
        <w:rPr>
          <w:rFonts w:ascii="Baskerville" w:hAnsi="Baskerville" w:cs="Baskerville"/>
          <w:noProof/>
          <w:sz w:val="22"/>
        </w:rPr>
        <w:t xml:space="preserve">. </w:t>
      </w:r>
      <w:r w:rsidRPr="00F3024F">
        <w:rPr>
          <w:rFonts w:ascii="Baskerville" w:hAnsi="Baskerville" w:cs="Baskerville"/>
          <w:i/>
          <w:iCs/>
          <w:noProof/>
          <w:sz w:val="22"/>
        </w:rPr>
        <w:t>Clin. Genet.</w:t>
      </w:r>
      <w:r w:rsidRPr="00F3024F">
        <w:rPr>
          <w:rFonts w:ascii="Baskerville" w:hAnsi="Baskerville" w:cs="Baskerville"/>
          <w:noProof/>
          <w:sz w:val="22"/>
        </w:rPr>
        <w:t xml:space="preserve"> 2016, </w:t>
      </w:r>
      <w:r w:rsidRPr="00F3024F">
        <w:rPr>
          <w:rFonts w:ascii="Baskerville" w:hAnsi="Baskerville" w:cs="Baskerville"/>
          <w:b/>
          <w:bCs/>
          <w:noProof/>
          <w:sz w:val="22"/>
        </w:rPr>
        <w:t>90</w:t>
      </w:r>
      <w:r w:rsidRPr="00F3024F">
        <w:rPr>
          <w:rFonts w:ascii="Baskerville" w:hAnsi="Baskerville" w:cs="Baskerville"/>
          <w:noProof/>
          <w:sz w:val="22"/>
        </w:rPr>
        <w:t>:413–419.</w:t>
      </w:r>
    </w:p>
    <w:p w14:paraId="0FE0A6EE" w14:textId="152A0B80" w:rsidR="00264BB5" w:rsidRPr="00F3024F" w:rsidRDefault="00264BB5" w:rsidP="00264BB5">
      <w:pPr>
        <w:widowControl w:val="0"/>
        <w:autoSpaceDE w:val="0"/>
        <w:autoSpaceDN w:val="0"/>
        <w:adjustRightInd w:val="0"/>
        <w:ind w:left="640" w:hanging="640"/>
        <w:rPr>
          <w:rFonts w:ascii="Baskerville" w:hAnsi="Baskerville" w:cs="Baskerville"/>
          <w:noProof/>
          <w:sz w:val="22"/>
        </w:rPr>
      </w:pPr>
      <w:r>
        <w:rPr>
          <w:rFonts w:ascii="Baskerville" w:eastAsia="Times New Roman" w:hAnsi="Baskerville" w:cs="Baskerville"/>
          <w:noProof/>
          <w:sz w:val="22"/>
          <w:szCs w:val="22"/>
        </w:rPr>
        <w:t>* References 37-39 report of</w:t>
      </w:r>
      <w:r w:rsidRPr="004108CA">
        <w:rPr>
          <w:rFonts w:ascii="Baskerville" w:eastAsia="Times New Roman" w:hAnsi="Baskerville" w:cs="Baskerville"/>
          <w:noProof/>
          <w:sz w:val="22"/>
          <w:szCs w:val="22"/>
        </w:rPr>
        <w:t xml:space="preserve"> </w:t>
      </w:r>
      <w:r w:rsidRPr="00FB50F5">
        <w:rPr>
          <w:rFonts w:ascii="Baskerville" w:eastAsia="Times New Roman" w:hAnsi="Baskerville" w:cs="Baskerville"/>
          <w:i/>
          <w:noProof/>
          <w:sz w:val="22"/>
          <w:szCs w:val="22"/>
        </w:rPr>
        <w:t>de novo</w:t>
      </w:r>
      <w:r w:rsidRPr="004108CA">
        <w:rPr>
          <w:rFonts w:ascii="Baskerville" w:eastAsia="Times New Roman" w:hAnsi="Baskerville" w:cs="Baskerville"/>
          <w:noProof/>
          <w:sz w:val="22"/>
          <w:szCs w:val="22"/>
        </w:rPr>
        <w:t xml:space="preserve"> mutation</w:t>
      </w:r>
      <w:r>
        <w:rPr>
          <w:rFonts w:ascii="Baskerville" w:eastAsia="Times New Roman" w:hAnsi="Baskerville" w:cs="Baskerville"/>
          <w:noProof/>
          <w:sz w:val="22"/>
          <w:szCs w:val="22"/>
        </w:rPr>
        <w:t>s</w:t>
      </w:r>
      <w:r w:rsidRPr="004108CA">
        <w:rPr>
          <w:rFonts w:ascii="Baskerville" w:eastAsia="Times New Roman" w:hAnsi="Baskerville" w:cs="Baskerville"/>
          <w:noProof/>
          <w:sz w:val="22"/>
          <w:szCs w:val="22"/>
        </w:rPr>
        <w:t xml:space="preserve"> in SMC1A </w:t>
      </w:r>
      <w:r>
        <w:rPr>
          <w:rFonts w:ascii="Baskerville" w:eastAsia="Times New Roman" w:hAnsi="Baskerville" w:cs="Baskerville"/>
          <w:noProof/>
          <w:sz w:val="22"/>
          <w:szCs w:val="22"/>
        </w:rPr>
        <w:t xml:space="preserve">in </w:t>
      </w:r>
      <w:r w:rsidRPr="004108CA">
        <w:rPr>
          <w:rFonts w:ascii="Baskerville" w:eastAsia="Times New Roman" w:hAnsi="Baskerville" w:cs="Baskerville"/>
          <w:noProof/>
          <w:sz w:val="22"/>
          <w:szCs w:val="22"/>
        </w:rPr>
        <w:t xml:space="preserve">epilepsy and </w:t>
      </w:r>
      <w:r>
        <w:rPr>
          <w:rFonts w:ascii="Baskerville" w:eastAsia="Times New Roman" w:hAnsi="Baskerville" w:cs="Baskerville"/>
          <w:noProof/>
          <w:sz w:val="22"/>
          <w:szCs w:val="22"/>
        </w:rPr>
        <w:t xml:space="preserve">expand </w:t>
      </w:r>
      <w:r w:rsidRPr="004108CA">
        <w:rPr>
          <w:rFonts w:ascii="Baskerville" w:eastAsia="Times New Roman" w:hAnsi="Baskerville" w:cs="Baskerville"/>
          <w:noProof/>
          <w:sz w:val="22"/>
          <w:szCs w:val="22"/>
        </w:rPr>
        <w:t>the phenotypic spectrum.</w:t>
      </w:r>
    </w:p>
    <w:p w14:paraId="2F27F999" w14:textId="77777777" w:rsid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40. </w:t>
      </w:r>
      <w:r w:rsidRPr="00F3024F">
        <w:rPr>
          <w:rFonts w:ascii="Baskerville" w:hAnsi="Baskerville" w:cs="Baskerville"/>
          <w:noProof/>
          <w:sz w:val="22"/>
        </w:rPr>
        <w:tab/>
        <w:t xml:space="preserve">Liu JC, Ferreira CG, Yusufzai T: </w:t>
      </w:r>
      <w:r w:rsidRPr="00F3024F">
        <w:rPr>
          <w:rFonts w:ascii="Baskerville" w:hAnsi="Baskerville" w:cs="Baskerville"/>
          <w:b/>
          <w:bCs/>
          <w:noProof/>
          <w:sz w:val="22"/>
        </w:rPr>
        <w:t>Human CHD2 is a chromatin assembly ATPase regulated by its chromo- And DNA-binding domains</w:t>
      </w:r>
      <w:r w:rsidRPr="00F3024F">
        <w:rPr>
          <w:rFonts w:ascii="Baskerville" w:hAnsi="Baskerville" w:cs="Baskerville"/>
          <w:noProof/>
          <w:sz w:val="22"/>
        </w:rPr>
        <w:t xml:space="preserve">. </w:t>
      </w:r>
      <w:r w:rsidRPr="00F3024F">
        <w:rPr>
          <w:rFonts w:ascii="Baskerville" w:hAnsi="Baskerville" w:cs="Baskerville"/>
          <w:i/>
          <w:iCs/>
          <w:noProof/>
          <w:sz w:val="22"/>
        </w:rPr>
        <w:t>J. Biol. Chem.</w:t>
      </w:r>
      <w:r w:rsidRPr="00F3024F">
        <w:rPr>
          <w:rFonts w:ascii="Baskerville" w:hAnsi="Baskerville" w:cs="Baskerville"/>
          <w:noProof/>
          <w:sz w:val="22"/>
        </w:rPr>
        <w:t xml:space="preserve"> 2015, </w:t>
      </w:r>
      <w:r w:rsidRPr="00F3024F">
        <w:rPr>
          <w:rFonts w:ascii="Baskerville" w:hAnsi="Baskerville" w:cs="Baskerville"/>
          <w:b/>
          <w:bCs/>
          <w:noProof/>
          <w:sz w:val="22"/>
        </w:rPr>
        <w:t>290</w:t>
      </w:r>
      <w:r w:rsidRPr="00F3024F">
        <w:rPr>
          <w:rFonts w:ascii="Baskerville" w:hAnsi="Baskerville" w:cs="Baskerville"/>
          <w:noProof/>
          <w:sz w:val="22"/>
        </w:rPr>
        <w:t>:25–34.</w:t>
      </w:r>
    </w:p>
    <w:p w14:paraId="2A4D96F9" w14:textId="7DA59749" w:rsidR="00264BB5" w:rsidRPr="00F3024F" w:rsidRDefault="00264BB5" w:rsidP="00F3024F">
      <w:pPr>
        <w:widowControl w:val="0"/>
        <w:autoSpaceDE w:val="0"/>
        <w:autoSpaceDN w:val="0"/>
        <w:adjustRightInd w:val="0"/>
        <w:ind w:left="640" w:hanging="640"/>
        <w:rPr>
          <w:rFonts w:ascii="Baskerville" w:hAnsi="Baskerville" w:cs="Baskerville"/>
          <w:noProof/>
          <w:sz w:val="22"/>
        </w:rPr>
      </w:pPr>
      <w:r w:rsidRPr="004108CA">
        <w:rPr>
          <w:rFonts w:ascii="Baskerville" w:eastAsia="Times New Roman" w:hAnsi="Baskerville" w:cs="Baskerville"/>
          <w:noProof/>
          <w:sz w:val="22"/>
          <w:szCs w:val="22"/>
        </w:rPr>
        <w:t xml:space="preserve">* </w:t>
      </w:r>
      <w:r w:rsidRPr="004108CA">
        <w:rPr>
          <w:rFonts w:ascii="Baskerville" w:hAnsi="Baskerville" w:cs="Baskerville"/>
          <w:sz w:val="22"/>
          <w:szCs w:val="22"/>
        </w:rPr>
        <w:t>Shows that the accessory domains of CHD2 play roles in regulating the ATPase domain and conferring selectivity to chromatin substrates.</w:t>
      </w:r>
    </w:p>
    <w:p w14:paraId="2B9F3F92" w14:textId="77777777" w:rsid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41. </w:t>
      </w:r>
      <w:r w:rsidRPr="00F3024F">
        <w:rPr>
          <w:rFonts w:ascii="Baskerville" w:hAnsi="Baskerville" w:cs="Baskerville"/>
          <w:noProof/>
          <w:sz w:val="22"/>
        </w:rPr>
        <w:tab/>
        <w:t xml:space="preserve">Fjaer R, Brodtkorb E, Øye AM, Sheng Y, Vigeland MD, Kvistad KA, Backe PH, Selmer KK: </w:t>
      </w:r>
      <w:r w:rsidRPr="00F3024F">
        <w:rPr>
          <w:rFonts w:ascii="Baskerville" w:hAnsi="Baskerville" w:cs="Baskerville"/>
          <w:b/>
          <w:bCs/>
          <w:noProof/>
          <w:sz w:val="22"/>
        </w:rPr>
        <w:t>Generalized epilepsy in a family with basal ganglia calcifications and mutations in SLC20A2 and CHRNB2</w:t>
      </w:r>
      <w:r w:rsidRPr="00F3024F">
        <w:rPr>
          <w:rFonts w:ascii="Baskerville" w:hAnsi="Baskerville" w:cs="Baskerville"/>
          <w:noProof/>
          <w:sz w:val="22"/>
        </w:rPr>
        <w:t xml:space="preserve">. </w:t>
      </w:r>
      <w:r w:rsidRPr="00F3024F">
        <w:rPr>
          <w:rFonts w:ascii="Baskerville" w:hAnsi="Baskerville" w:cs="Baskerville"/>
          <w:i/>
          <w:iCs/>
          <w:noProof/>
          <w:sz w:val="22"/>
        </w:rPr>
        <w:t>Eur. J. Med. Genet.</w:t>
      </w:r>
      <w:r w:rsidRPr="00F3024F">
        <w:rPr>
          <w:rFonts w:ascii="Baskerville" w:hAnsi="Baskerville" w:cs="Baskerville"/>
          <w:noProof/>
          <w:sz w:val="22"/>
        </w:rPr>
        <w:t xml:space="preserve"> 2015, </w:t>
      </w:r>
      <w:r w:rsidRPr="00F3024F">
        <w:rPr>
          <w:rFonts w:ascii="Baskerville" w:hAnsi="Baskerville" w:cs="Baskerville"/>
          <w:b/>
          <w:bCs/>
          <w:noProof/>
          <w:sz w:val="22"/>
        </w:rPr>
        <w:t>58</w:t>
      </w:r>
      <w:r w:rsidRPr="00F3024F">
        <w:rPr>
          <w:rFonts w:ascii="Baskerville" w:hAnsi="Baskerville" w:cs="Baskerville"/>
          <w:noProof/>
          <w:sz w:val="22"/>
        </w:rPr>
        <w:t>:624–628.</w:t>
      </w:r>
    </w:p>
    <w:p w14:paraId="54CE4BF0" w14:textId="1507B89F" w:rsidR="00C27EB1" w:rsidRPr="00F3024F" w:rsidRDefault="00C27EB1" w:rsidP="00F3024F">
      <w:pPr>
        <w:widowControl w:val="0"/>
        <w:autoSpaceDE w:val="0"/>
        <w:autoSpaceDN w:val="0"/>
        <w:adjustRightInd w:val="0"/>
        <w:ind w:left="640" w:hanging="640"/>
        <w:rPr>
          <w:rFonts w:ascii="Baskerville" w:hAnsi="Baskerville" w:cs="Baskerville"/>
          <w:noProof/>
          <w:sz w:val="22"/>
        </w:rPr>
      </w:pPr>
      <w:r w:rsidRPr="004108CA">
        <w:rPr>
          <w:rFonts w:ascii="Baskerville" w:eastAsia="Times New Roman" w:hAnsi="Baskerville" w:cs="Baskerville"/>
          <w:noProof/>
          <w:sz w:val="22"/>
          <w:szCs w:val="22"/>
        </w:rPr>
        <w:t>* Example of a "blended phenotype"</w:t>
      </w:r>
      <w:r>
        <w:rPr>
          <w:rFonts w:ascii="Baskerville" w:eastAsia="Times New Roman" w:hAnsi="Baskerville" w:cs="Baskerville"/>
          <w:noProof/>
          <w:sz w:val="22"/>
          <w:szCs w:val="22"/>
        </w:rPr>
        <w:t xml:space="preserve">. </w:t>
      </w:r>
    </w:p>
    <w:p w14:paraId="1756877A" w14:textId="77777777" w:rsid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42. </w:t>
      </w:r>
      <w:r w:rsidRPr="00F3024F">
        <w:rPr>
          <w:rFonts w:ascii="Baskerville" w:hAnsi="Baskerville" w:cs="Baskerville"/>
          <w:noProof/>
          <w:sz w:val="22"/>
        </w:rPr>
        <w:tab/>
        <w:t xml:space="preserve">Gawlinski P, Posmyk R, Gambin T, Sielicka D, Chorazy M, Nowakowska B, Jhangiani SN, Muzny DM, Bekiesinska-Figatowska M, Bal J, et al.: </w:t>
      </w:r>
      <w:r w:rsidRPr="00F3024F">
        <w:rPr>
          <w:rFonts w:ascii="Baskerville" w:hAnsi="Baskerville" w:cs="Baskerville"/>
          <w:b/>
          <w:bCs/>
          <w:noProof/>
          <w:sz w:val="22"/>
        </w:rPr>
        <w:t>PEHO syndrome may represent phenotypic expansion at the severe end of the early-onset encephalopathies</w:t>
      </w:r>
      <w:r w:rsidRPr="00F3024F">
        <w:rPr>
          <w:rFonts w:ascii="Baskerville" w:hAnsi="Baskerville" w:cs="Baskerville"/>
          <w:noProof/>
          <w:sz w:val="22"/>
        </w:rPr>
        <w:t xml:space="preserve">. </w:t>
      </w:r>
      <w:r w:rsidRPr="00F3024F">
        <w:rPr>
          <w:rFonts w:ascii="Baskerville" w:hAnsi="Baskerville" w:cs="Baskerville"/>
          <w:i/>
          <w:iCs/>
          <w:noProof/>
          <w:sz w:val="22"/>
        </w:rPr>
        <w:t>Pediatr. Neurol.</w:t>
      </w:r>
      <w:r w:rsidRPr="00F3024F">
        <w:rPr>
          <w:rFonts w:ascii="Baskerville" w:hAnsi="Baskerville" w:cs="Baskerville"/>
          <w:noProof/>
          <w:sz w:val="22"/>
        </w:rPr>
        <w:t xml:space="preserve"> 2016, </w:t>
      </w:r>
      <w:r w:rsidRPr="00F3024F">
        <w:rPr>
          <w:rFonts w:ascii="Baskerville" w:hAnsi="Baskerville" w:cs="Baskerville"/>
          <w:b/>
          <w:bCs/>
          <w:noProof/>
          <w:sz w:val="22"/>
        </w:rPr>
        <w:t>60</w:t>
      </w:r>
      <w:r w:rsidRPr="00F3024F">
        <w:rPr>
          <w:rFonts w:ascii="Baskerville" w:hAnsi="Baskerville" w:cs="Baskerville"/>
          <w:noProof/>
          <w:sz w:val="22"/>
        </w:rPr>
        <w:t>:83–87.</w:t>
      </w:r>
    </w:p>
    <w:p w14:paraId="7F67A90F" w14:textId="5C6B92CF" w:rsidR="00A4539A" w:rsidRPr="00F3024F" w:rsidRDefault="00A4539A" w:rsidP="00F3024F">
      <w:pPr>
        <w:widowControl w:val="0"/>
        <w:autoSpaceDE w:val="0"/>
        <w:autoSpaceDN w:val="0"/>
        <w:adjustRightInd w:val="0"/>
        <w:ind w:left="640" w:hanging="640"/>
        <w:rPr>
          <w:rFonts w:ascii="Baskerville" w:hAnsi="Baskerville" w:cs="Baskerville"/>
          <w:noProof/>
          <w:sz w:val="22"/>
        </w:rPr>
      </w:pPr>
      <w:r w:rsidRPr="004108CA">
        <w:rPr>
          <w:rFonts w:ascii="Baskerville" w:eastAsia="Times New Roman" w:hAnsi="Baskerville" w:cs="Baskerville"/>
          <w:noProof/>
          <w:sz w:val="22"/>
          <w:szCs w:val="22"/>
        </w:rPr>
        <w:t>* Example of a "blended phenotype</w:t>
      </w:r>
      <w:r>
        <w:rPr>
          <w:rFonts w:ascii="Baskerville" w:eastAsia="Times New Roman" w:hAnsi="Baskerville" w:cs="Baskerville"/>
          <w:noProof/>
          <w:sz w:val="22"/>
          <w:szCs w:val="22"/>
        </w:rPr>
        <w:t xml:space="preserve">. </w:t>
      </w:r>
    </w:p>
    <w:p w14:paraId="6D981913" w14:textId="77777777" w:rsid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43. </w:t>
      </w:r>
      <w:r w:rsidRPr="00F3024F">
        <w:rPr>
          <w:rFonts w:ascii="Baskerville" w:hAnsi="Baskerville" w:cs="Baskerville"/>
          <w:noProof/>
          <w:sz w:val="22"/>
        </w:rPr>
        <w:tab/>
        <w:t xml:space="preserve">Rocha H, Sampaio M, Rocha R, Fernandes S, Leão M: </w:t>
      </w:r>
      <w:r w:rsidRPr="00F3024F">
        <w:rPr>
          <w:rFonts w:ascii="Baskerville" w:hAnsi="Baskerville" w:cs="Baskerville"/>
          <w:b/>
          <w:bCs/>
          <w:noProof/>
          <w:sz w:val="22"/>
        </w:rPr>
        <w:t>MEF2C haploinsufficiency syndrome: Report of a new MEF2C mutation and review</w:t>
      </w:r>
      <w:r w:rsidRPr="00F3024F">
        <w:rPr>
          <w:rFonts w:ascii="Baskerville" w:hAnsi="Baskerville" w:cs="Baskerville"/>
          <w:noProof/>
          <w:sz w:val="22"/>
        </w:rPr>
        <w:t xml:space="preserve">. </w:t>
      </w:r>
      <w:r w:rsidRPr="00F3024F">
        <w:rPr>
          <w:rFonts w:ascii="Baskerville" w:hAnsi="Baskerville" w:cs="Baskerville"/>
          <w:i/>
          <w:iCs/>
          <w:noProof/>
          <w:sz w:val="22"/>
        </w:rPr>
        <w:t>Eur. J. Med. Genet.</w:t>
      </w:r>
      <w:r w:rsidRPr="00F3024F">
        <w:rPr>
          <w:rFonts w:ascii="Baskerville" w:hAnsi="Baskerville" w:cs="Baskerville"/>
          <w:noProof/>
          <w:sz w:val="22"/>
        </w:rPr>
        <w:t xml:space="preserve"> 2015, doi:10.1016/j.ejmg.2016.05.017.</w:t>
      </w:r>
    </w:p>
    <w:p w14:paraId="1244A259" w14:textId="24D15251" w:rsidR="008944E2" w:rsidRPr="008944E2" w:rsidRDefault="008944E2" w:rsidP="008944E2">
      <w:pPr>
        <w:widowControl w:val="0"/>
        <w:autoSpaceDE w:val="0"/>
        <w:autoSpaceDN w:val="0"/>
        <w:adjustRightInd w:val="0"/>
        <w:ind w:left="640" w:hanging="640"/>
        <w:rPr>
          <w:rFonts w:ascii="Baskerville" w:eastAsia="Times New Roman" w:hAnsi="Baskerville" w:cs="Baskerville"/>
          <w:noProof/>
          <w:sz w:val="22"/>
          <w:szCs w:val="22"/>
        </w:rPr>
      </w:pPr>
      <w:r w:rsidRPr="004108CA">
        <w:rPr>
          <w:rFonts w:ascii="Baskerville" w:eastAsia="Times New Roman" w:hAnsi="Baskerville" w:cs="Baskerville"/>
          <w:noProof/>
          <w:sz w:val="22"/>
          <w:szCs w:val="22"/>
        </w:rPr>
        <w:t>* Example of a "blended phenotype</w:t>
      </w:r>
      <w:r>
        <w:rPr>
          <w:rFonts w:ascii="Baskerville" w:eastAsia="Times New Roman" w:hAnsi="Baskerville" w:cs="Baskerville"/>
          <w:noProof/>
          <w:sz w:val="22"/>
          <w:szCs w:val="22"/>
        </w:rPr>
        <w:t xml:space="preserve">. </w:t>
      </w:r>
    </w:p>
    <w:p w14:paraId="7F06F239" w14:textId="77777777" w:rsid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44. </w:t>
      </w:r>
      <w:r w:rsidRPr="00F3024F">
        <w:rPr>
          <w:rFonts w:ascii="Baskerville" w:hAnsi="Baskerville" w:cs="Baskerville"/>
          <w:noProof/>
          <w:sz w:val="22"/>
        </w:rPr>
        <w:tab/>
        <w:t xml:space="preserve">Popp B, Trollmann R, Büttner C, Caliebe A, Thiel CT, Hüffmeier U, Reis A, Zweier C: </w:t>
      </w:r>
      <w:r w:rsidRPr="00F3024F">
        <w:rPr>
          <w:rFonts w:ascii="Baskerville" w:hAnsi="Baskerville" w:cs="Baskerville"/>
          <w:b/>
          <w:bCs/>
          <w:noProof/>
          <w:sz w:val="22"/>
        </w:rPr>
        <w:t>Do the exome: A case of Williams-Beuren syndrome with severe epilepsy due to a truncating de novo variant in GABRA1 [Internet]</w:t>
      </w:r>
      <w:r w:rsidRPr="00F3024F">
        <w:rPr>
          <w:rFonts w:ascii="Baskerville" w:hAnsi="Baskerville" w:cs="Baskerville"/>
          <w:noProof/>
          <w:sz w:val="22"/>
        </w:rPr>
        <w:t xml:space="preserve">. </w:t>
      </w:r>
      <w:r w:rsidRPr="00F3024F">
        <w:rPr>
          <w:rFonts w:ascii="Baskerville" w:hAnsi="Baskerville" w:cs="Baskerville"/>
          <w:i/>
          <w:iCs/>
          <w:noProof/>
          <w:sz w:val="22"/>
        </w:rPr>
        <w:t>Eur. J. Med. Genet.</w:t>
      </w:r>
      <w:r w:rsidRPr="00F3024F">
        <w:rPr>
          <w:rFonts w:ascii="Baskerville" w:hAnsi="Baskerville" w:cs="Baskerville"/>
          <w:noProof/>
          <w:sz w:val="22"/>
        </w:rPr>
        <w:t xml:space="preserve"> 2016, </w:t>
      </w:r>
      <w:r w:rsidRPr="00F3024F">
        <w:rPr>
          <w:rFonts w:ascii="Baskerville" w:hAnsi="Baskerville" w:cs="Baskerville"/>
          <w:b/>
          <w:bCs/>
          <w:noProof/>
          <w:sz w:val="22"/>
        </w:rPr>
        <w:t>59</w:t>
      </w:r>
      <w:r w:rsidRPr="00F3024F">
        <w:rPr>
          <w:rFonts w:ascii="Baskerville" w:hAnsi="Baskerville" w:cs="Baskerville"/>
          <w:noProof/>
          <w:sz w:val="22"/>
        </w:rPr>
        <w:t>:549–553.</w:t>
      </w:r>
    </w:p>
    <w:p w14:paraId="2F6F91B6" w14:textId="35083296" w:rsidR="00D00CAF" w:rsidRPr="00F3024F" w:rsidRDefault="00D00CAF" w:rsidP="00F3024F">
      <w:pPr>
        <w:widowControl w:val="0"/>
        <w:autoSpaceDE w:val="0"/>
        <w:autoSpaceDN w:val="0"/>
        <w:adjustRightInd w:val="0"/>
        <w:ind w:left="640" w:hanging="640"/>
        <w:rPr>
          <w:rFonts w:ascii="Baskerville" w:hAnsi="Baskerville" w:cs="Baskerville"/>
          <w:noProof/>
          <w:sz w:val="22"/>
        </w:rPr>
      </w:pPr>
      <w:r w:rsidRPr="004108CA">
        <w:rPr>
          <w:rFonts w:ascii="Baskerville" w:eastAsia="Times New Roman" w:hAnsi="Baskerville" w:cs="Baskerville"/>
          <w:noProof/>
          <w:sz w:val="22"/>
          <w:szCs w:val="22"/>
        </w:rPr>
        <w:t>* Example of a "blended phenotype</w:t>
      </w:r>
      <w:r>
        <w:rPr>
          <w:rFonts w:ascii="Baskerville" w:eastAsia="Times New Roman" w:hAnsi="Baskerville" w:cs="Baskerville"/>
          <w:noProof/>
          <w:sz w:val="22"/>
          <w:szCs w:val="22"/>
        </w:rPr>
        <w:t xml:space="preserve">. </w:t>
      </w:r>
    </w:p>
    <w:p w14:paraId="48876C84" w14:textId="77777777" w:rsid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45. </w:t>
      </w:r>
      <w:r w:rsidRPr="00F3024F">
        <w:rPr>
          <w:rFonts w:ascii="Baskerville" w:hAnsi="Baskerville" w:cs="Baskerville"/>
          <w:noProof/>
          <w:sz w:val="22"/>
        </w:rPr>
        <w:tab/>
        <w:t xml:space="preserve">Leu C, Balestrini S, Maher B, Hernández-Hernández L, Gormley P, Hämäläinen E, Heggeli K, Schoeler N, Novy J, Willis J, et al.: </w:t>
      </w:r>
      <w:r w:rsidRPr="00F3024F">
        <w:rPr>
          <w:rFonts w:ascii="Baskerville" w:hAnsi="Baskerville" w:cs="Baskerville"/>
          <w:b/>
          <w:bCs/>
          <w:noProof/>
          <w:sz w:val="22"/>
        </w:rPr>
        <w:t>Genome-wide Polygenic Burden of Rare Deleterious Variants in Sudden Unexpected Death in Epilepsy [Internet]</w:t>
      </w:r>
      <w:r w:rsidRPr="00F3024F">
        <w:rPr>
          <w:rFonts w:ascii="Baskerville" w:hAnsi="Baskerville" w:cs="Baskerville"/>
          <w:noProof/>
          <w:sz w:val="22"/>
        </w:rPr>
        <w:t xml:space="preserve">. </w:t>
      </w:r>
      <w:r w:rsidRPr="00F3024F">
        <w:rPr>
          <w:rFonts w:ascii="Baskerville" w:hAnsi="Baskerville" w:cs="Baskerville"/>
          <w:i/>
          <w:iCs/>
          <w:noProof/>
          <w:sz w:val="22"/>
        </w:rPr>
        <w:t>EBioMedicine</w:t>
      </w:r>
      <w:r w:rsidRPr="00F3024F">
        <w:rPr>
          <w:rFonts w:ascii="Baskerville" w:hAnsi="Baskerville" w:cs="Baskerville"/>
          <w:noProof/>
          <w:sz w:val="22"/>
        </w:rPr>
        <w:t xml:space="preserve"> 2015, doi:10.1016/j.ebiom.2015.07.005.</w:t>
      </w:r>
    </w:p>
    <w:p w14:paraId="3E29B847" w14:textId="618F5388" w:rsidR="00CC1D65" w:rsidRPr="00F3024F" w:rsidRDefault="00CC1D65" w:rsidP="00F3024F">
      <w:pPr>
        <w:widowControl w:val="0"/>
        <w:autoSpaceDE w:val="0"/>
        <w:autoSpaceDN w:val="0"/>
        <w:adjustRightInd w:val="0"/>
        <w:ind w:left="640" w:hanging="640"/>
        <w:rPr>
          <w:rFonts w:ascii="Baskerville" w:hAnsi="Baskerville" w:cs="Baskerville"/>
          <w:noProof/>
          <w:sz w:val="22"/>
        </w:rPr>
      </w:pPr>
      <w:r w:rsidRPr="004108CA">
        <w:rPr>
          <w:rFonts w:ascii="Baskerville" w:eastAsia="Times New Roman" w:hAnsi="Baskerville" w:cs="Baskerville"/>
          <w:noProof/>
          <w:sz w:val="22"/>
          <w:szCs w:val="22"/>
        </w:rPr>
        <w:t>* First study examing the role of rare variation in SUDEP using NGS.</w:t>
      </w:r>
    </w:p>
    <w:p w14:paraId="0E5AEEE1" w14:textId="77777777" w:rsidR="00F3024F" w:rsidRP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46. </w:t>
      </w:r>
      <w:r w:rsidRPr="00F3024F">
        <w:rPr>
          <w:rFonts w:ascii="Baskerville" w:hAnsi="Baskerville" w:cs="Baskerville"/>
          <w:noProof/>
          <w:sz w:val="22"/>
        </w:rPr>
        <w:tab/>
        <w:t xml:space="preserve">Berg AT, Berkovic SF, Brodie MJ, Buchhalter J, Cross JH, Van Emde Boas W, Engel J, French J, Glauser TA, Mathern GW, et al.: </w:t>
      </w:r>
      <w:r w:rsidRPr="00F3024F">
        <w:rPr>
          <w:rFonts w:ascii="Baskerville" w:hAnsi="Baskerville" w:cs="Baskerville"/>
          <w:b/>
          <w:bCs/>
          <w:noProof/>
          <w:sz w:val="22"/>
        </w:rPr>
        <w:t>Revised terminology and concepts for organization of seizures and epilepsies: Report of the ILAE Commission on Classification and Terminology, 2005-2009</w:t>
      </w:r>
      <w:r w:rsidRPr="00F3024F">
        <w:rPr>
          <w:rFonts w:ascii="Baskerville" w:hAnsi="Baskerville" w:cs="Baskerville"/>
          <w:noProof/>
          <w:sz w:val="22"/>
        </w:rPr>
        <w:t xml:space="preserve">. </w:t>
      </w:r>
      <w:r w:rsidRPr="00F3024F">
        <w:rPr>
          <w:rFonts w:ascii="Baskerville" w:hAnsi="Baskerville" w:cs="Baskerville"/>
          <w:i/>
          <w:iCs/>
          <w:noProof/>
          <w:sz w:val="22"/>
        </w:rPr>
        <w:t>Epilepsia</w:t>
      </w:r>
      <w:r w:rsidRPr="00F3024F">
        <w:rPr>
          <w:rFonts w:ascii="Baskerville" w:hAnsi="Baskerville" w:cs="Baskerville"/>
          <w:noProof/>
          <w:sz w:val="22"/>
        </w:rPr>
        <w:t xml:space="preserve"> 2010, </w:t>
      </w:r>
      <w:r w:rsidRPr="00F3024F">
        <w:rPr>
          <w:rFonts w:ascii="Baskerville" w:hAnsi="Baskerville" w:cs="Baskerville"/>
          <w:b/>
          <w:bCs/>
          <w:noProof/>
          <w:sz w:val="22"/>
        </w:rPr>
        <w:t>51</w:t>
      </w:r>
      <w:r w:rsidRPr="00F3024F">
        <w:rPr>
          <w:rFonts w:ascii="Baskerville" w:hAnsi="Baskerville" w:cs="Baskerville"/>
          <w:noProof/>
          <w:sz w:val="22"/>
        </w:rPr>
        <w:t>:676–685.</w:t>
      </w:r>
    </w:p>
    <w:p w14:paraId="518AE8EE" w14:textId="77777777" w:rsid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47. </w:t>
      </w:r>
      <w:r w:rsidRPr="00F3024F">
        <w:rPr>
          <w:rFonts w:ascii="Baskerville" w:hAnsi="Baskerville" w:cs="Baskerville"/>
          <w:noProof/>
          <w:sz w:val="22"/>
        </w:rPr>
        <w:tab/>
        <w:t xml:space="preserve">Scheffer IE, French J, Hirsch E, Jain S, Mathern GW, Moshé SL, Perucca E, Tomson T, Wiebe S, Zhang Y-H, et al.: </w:t>
      </w:r>
      <w:r w:rsidRPr="00F3024F">
        <w:rPr>
          <w:rFonts w:ascii="Baskerville" w:hAnsi="Baskerville" w:cs="Baskerville"/>
          <w:b/>
          <w:bCs/>
          <w:noProof/>
          <w:sz w:val="22"/>
        </w:rPr>
        <w:t xml:space="preserve">Classification of the epilepsies: New concepts for discussion and debate. Special Report of the ILAE Classification Task </w:t>
      </w:r>
      <w:r w:rsidRPr="00F3024F">
        <w:rPr>
          <w:rFonts w:ascii="Baskerville" w:hAnsi="Baskerville" w:cs="Baskerville"/>
          <w:b/>
          <w:bCs/>
          <w:noProof/>
          <w:sz w:val="22"/>
        </w:rPr>
        <w:lastRenderedPageBreak/>
        <w:t>Force of the Commission for Classification and Terminology [Internet]</w:t>
      </w:r>
      <w:r w:rsidRPr="00F3024F">
        <w:rPr>
          <w:rFonts w:ascii="Baskerville" w:hAnsi="Baskerville" w:cs="Baskerville"/>
          <w:noProof/>
          <w:sz w:val="22"/>
        </w:rPr>
        <w:t xml:space="preserve">. </w:t>
      </w:r>
      <w:r w:rsidRPr="00F3024F">
        <w:rPr>
          <w:rFonts w:ascii="Baskerville" w:hAnsi="Baskerville" w:cs="Baskerville"/>
          <w:i/>
          <w:iCs/>
          <w:noProof/>
          <w:sz w:val="22"/>
        </w:rPr>
        <w:t>Epilepsia Open</w:t>
      </w:r>
      <w:r w:rsidRPr="00F3024F">
        <w:rPr>
          <w:rFonts w:ascii="Baskerville" w:hAnsi="Baskerville" w:cs="Baskerville"/>
          <w:noProof/>
          <w:sz w:val="22"/>
        </w:rPr>
        <w:t xml:space="preserve"> 2016, doi:10.1002/epi4.5.</w:t>
      </w:r>
    </w:p>
    <w:p w14:paraId="090DB217" w14:textId="6D75D79F" w:rsidR="00CC1D65" w:rsidRPr="00F3024F" w:rsidRDefault="00CC1D65" w:rsidP="00F3024F">
      <w:pPr>
        <w:widowControl w:val="0"/>
        <w:autoSpaceDE w:val="0"/>
        <w:autoSpaceDN w:val="0"/>
        <w:adjustRightInd w:val="0"/>
        <w:ind w:left="640" w:hanging="640"/>
        <w:rPr>
          <w:rFonts w:ascii="Baskerville" w:hAnsi="Baskerville" w:cs="Baskerville"/>
          <w:noProof/>
          <w:sz w:val="22"/>
        </w:rPr>
      </w:pPr>
      <w:r w:rsidRPr="004108CA">
        <w:rPr>
          <w:rFonts w:ascii="Baskerville" w:eastAsia="Times New Roman" w:hAnsi="Baskerville" w:cs="Baskerville"/>
          <w:noProof/>
          <w:sz w:val="22"/>
          <w:szCs w:val="22"/>
        </w:rPr>
        <w:t>Discussion document on epilepsy and seizure classification produced by the ILAE Task Force.</w:t>
      </w:r>
    </w:p>
    <w:p w14:paraId="5916DF55" w14:textId="77777777" w:rsidR="00F3024F" w:rsidRP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48. </w:t>
      </w:r>
      <w:r w:rsidRPr="00F3024F">
        <w:rPr>
          <w:rFonts w:ascii="Baskerville" w:hAnsi="Baskerville" w:cs="Baskerville"/>
          <w:noProof/>
          <w:sz w:val="22"/>
        </w:rPr>
        <w:tab/>
        <w:t xml:space="preserve">Vadlamudi L, Milne RL, Lawrence K, Heron SE, Eckhaus J, Keay D, Connellan M, Torn-Broers Y, Howell RA, Mulley JC, et al.: </w:t>
      </w:r>
      <w:r w:rsidRPr="00F3024F">
        <w:rPr>
          <w:rFonts w:ascii="Baskerville" w:hAnsi="Baskerville" w:cs="Baskerville"/>
          <w:b/>
          <w:bCs/>
          <w:noProof/>
          <w:sz w:val="22"/>
        </w:rPr>
        <w:t>Genetics of epilepsy: the testimony of twins in the molecular era [Internet]</w:t>
      </w:r>
      <w:r w:rsidRPr="00F3024F">
        <w:rPr>
          <w:rFonts w:ascii="Baskerville" w:hAnsi="Baskerville" w:cs="Baskerville"/>
          <w:noProof/>
          <w:sz w:val="22"/>
        </w:rPr>
        <w:t xml:space="preserve">. </w:t>
      </w:r>
      <w:r w:rsidRPr="00F3024F">
        <w:rPr>
          <w:rFonts w:ascii="Baskerville" w:hAnsi="Baskerville" w:cs="Baskerville"/>
          <w:i/>
          <w:iCs/>
          <w:noProof/>
          <w:sz w:val="22"/>
        </w:rPr>
        <w:t>Neurology</w:t>
      </w:r>
      <w:r w:rsidRPr="00F3024F">
        <w:rPr>
          <w:rFonts w:ascii="Baskerville" w:hAnsi="Baskerville" w:cs="Baskerville"/>
          <w:noProof/>
          <w:sz w:val="22"/>
        </w:rPr>
        <w:t xml:space="preserve"> 2014, </w:t>
      </w:r>
      <w:r w:rsidRPr="00F3024F">
        <w:rPr>
          <w:rFonts w:ascii="Baskerville" w:hAnsi="Baskerville" w:cs="Baskerville"/>
          <w:b/>
          <w:bCs/>
          <w:noProof/>
          <w:sz w:val="22"/>
        </w:rPr>
        <w:t>83</w:t>
      </w:r>
      <w:r w:rsidRPr="00F3024F">
        <w:rPr>
          <w:rFonts w:ascii="Baskerville" w:hAnsi="Baskerville" w:cs="Baskerville"/>
          <w:noProof/>
          <w:sz w:val="22"/>
        </w:rPr>
        <w:t>:1042–1048.</w:t>
      </w:r>
    </w:p>
    <w:p w14:paraId="5D8296CB" w14:textId="77777777" w:rsid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49. </w:t>
      </w:r>
      <w:r w:rsidRPr="00F3024F">
        <w:rPr>
          <w:rFonts w:ascii="Baskerville" w:hAnsi="Baskerville" w:cs="Baskerville"/>
          <w:noProof/>
          <w:sz w:val="22"/>
        </w:rPr>
        <w:tab/>
        <w:t xml:space="preserve">Larsen J, Carvill GL, Gardella E, Kluger G, Schmiedel G, Barisic N, Depienne C, Brilstra E, Mang Y, Nielsen JEK, et al.: </w:t>
      </w:r>
      <w:r w:rsidRPr="00F3024F">
        <w:rPr>
          <w:rFonts w:ascii="Baskerville" w:hAnsi="Baskerville" w:cs="Baskerville"/>
          <w:b/>
          <w:bCs/>
          <w:noProof/>
          <w:sz w:val="22"/>
        </w:rPr>
        <w:t>The phenotypic spectrum of SCN8A encephalopathy</w:t>
      </w:r>
      <w:r w:rsidRPr="00F3024F">
        <w:rPr>
          <w:rFonts w:ascii="Baskerville" w:hAnsi="Baskerville" w:cs="Baskerville"/>
          <w:noProof/>
          <w:sz w:val="22"/>
        </w:rPr>
        <w:t xml:space="preserve">. </w:t>
      </w:r>
      <w:r w:rsidRPr="00F3024F">
        <w:rPr>
          <w:rFonts w:ascii="Baskerville" w:hAnsi="Baskerville" w:cs="Baskerville"/>
          <w:i/>
          <w:iCs/>
          <w:noProof/>
          <w:sz w:val="22"/>
        </w:rPr>
        <w:t>Neurology</w:t>
      </w:r>
      <w:r w:rsidRPr="00F3024F">
        <w:rPr>
          <w:rFonts w:ascii="Baskerville" w:hAnsi="Baskerville" w:cs="Baskerville"/>
          <w:noProof/>
          <w:sz w:val="22"/>
        </w:rPr>
        <w:t xml:space="preserve"> 2015, </w:t>
      </w:r>
      <w:r w:rsidRPr="00F3024F">
        <w:rPr>
          <w:rFonts w:ascii="Baskerville" w:hAnsi="Baskerville" w:cs="Baskerville"/>
          <w:b/>
          <w:bCs/>
          <w:noProof/>
          <w:sz w:val="22"/>
        </w:rPr>
        <w:t>84</w:t>
      </w:r>
      <w:r w:rsidRPr="00F3024F">
        <w:rPr>
          <w:rFonts w:ascii="Baskerville" w:hAnsi="Baskerville" w:cs="Baskerville"/>
          <w:noProof/>
          <w:sz w:val="22"/>
        </w:rPr>
        <w:t>:480–489.</w:t>
      </w:r>
    </w:p>
    <w:p w14:paraId="236E0797" w14:textId="4F2600C0" w:rsidR="00CC1D65" w:rsidRPr="00F3024F" w:rsidRDefault="00CC1D65" w:rsidP="00F3024F">
      <w:pPr>
        <w:widowControl w:val="0"/>
        <w:autoSpaceDE w:val="0"/>
        <w:autoSpaceDN w:val="0"/>
        <w:adjustRightInd w:val="0"/>
        <w:ind w:left="640" w:hanging="640"/>
        <w:rPr>
          <w:rFonts w:ascii="Baskerville" w:hAnsi="Baskerville" w:cs="Baskerville"/>
          <w:noProof/>
          <w:sz w:val="22"/>
        </w:rPr>
      </w:pPr>
      <w:r w:rsidRPr="004108CA">
        <w:rPr>
          <w:rFonts w:ascii="Baskerville" w:eastAsia="Times New Roman" w:hAnsi="Baskerville" w:cs="Baskerville"/>
          <w:noProof/>
          <w:sz w:val="22"/>
          <w:szCs w:val="22"/>
        </w:rPr>
        <w:t>* Reports and expands and the phenotypic spectrum of SCN8A encephalopathy.</w:t>
      </w:r>
    </w:p>
    <w:p w14:paraId="75DFDE8E" w14:textId="77777777" w:rsid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50. </w:t>
      </w:r>
      <w:r w:rsidRPr="00F3024F">
        <w:rPr>
          <w:rFonts w:ascii="Baskerville" w:hAnsi="Baskerville" w:cs="Baskerville"/>
          <w:noProof/>
          <w:sz w:val="22"/>
        </w:rPr>
        <w:tab/>
        <w:t xml:space="preserve">Korff CM, Brunklaus A, Zuberi SM: </w:t>
      </w:r>
      <w:r w:rsidRPr="00F3024F">
        <w:rPr>
          <w:rFonts w:ascii="Baskerville" w:hAnsi="Baskerville" w:cs="Baskerville"/>
          <w:b/>
          <w:bCs/>
          <w:noProof/>
          <w:sz w:val="22"/>
        </w:rPr>
        <w:t>Epileptic activity is a surrogate for an underlying etiology and stopping the activity has a limited impact on developmental outcome</w:t>
      </w:r>
      <w:r w:rsidRPr="00F3024F">
        <w:rPr>
          <w:rFonts w:ascii="Baskerville" w:hAnsi="Baskerville" w:cs="Baskerville"/>
          <w:noProof/>
          <w:sz w:val="22"/>
        </w:rPr>
        <w:t xml:space="preserve">. </w:t>
      </w:r>
      <w:r w:rsidRPr="00F3024F">
        <w:rPr>
          <w:rFonts w:ascii="Baskerville" w:hAnsi="Baskerville" w:cs="Baskerville"/>
          <w:i/>
          <w:iCs/>
          <w:noProof/>
          <w:sz w:val="22"/>
        </w:rPr>
        <w:t>Epilepsia</w:t>
      </w:r>
      <w:r w:rsidRPr="00F3024F">
        <w:rPr>
          <w:rFonts w:ascii="Baskerville" w:hAnsi="Baskerville" w:cs="Baskerville"/>
          <w:noProof/>
          <w:sz w:val="22"/>
        </w:rPr>
        <w:t xml:space="preserve"> 2015, </w:t>
      </w:r>
      <w:r w:rsidRPr="00F3024F">
        <w:rPr>
          <w:rFonts w:ascii="Baskerville" w:hAnsi="Baskerville" w:cs="Baskerville"/>
          <w:b/>
          <w:bCs/>
          <w:noProof/>
          <w:sz w:val="22"/>
        </w:rPr>
        <w:t>56</w:t>
      </w:r>
      <w:r w:rsidRPr="00F3024F">
        <w:rPr>
          <w:rFonts w:ascii="Baskerville" w:hAnsi="Baskerville" w:cs="Baskerville"/>
          <w:noProof/>
          <w:sz w:val="22"/>
        </w:rPr>
        <w:t>:1477–1481.</w:t>
      </w:r>
    </w:p>
    <w:p w14:paraId="4667BAC5" w14:textId="64A31CDB" w:rsidR="00CC1D65" w:rsidRPr="00CC1D65" w:rsidRDefault="00CC1D65" w:rsidP="00CC1D65">
      <w:pPr>
        <w:widowControl w:val="0"/>
        <w:autoSpaceDE w:val="0"/>
        <w:autoSpaceDN w:val="0"/>
        <w:adjustRightInd w:val="0"/>
        <w:ind w:left="640" w:hanging="640"/>
        <w:rPr>
          <w:rFonts w:ascii="Baskerville" w:eastAsia="Times New Roman" w:hAnsi="Baskerville" w:cs="Baskerville"/>
          <w:noProof/>
          <w:sz w:val="22"/>
          <w:szCs w:val="22"/>
        </w:rPr>
      </w:pPr>
      <w:r w:rsidRPr="004108CA">
        <w:rPr>
          <w:rFonts w:ascii="Baskerville" w:eastAsia="Times New Roman" w:hAnsi="Baskerville" w:cs="Baskerville"/>
          <w:noProof/>
          <w:sz w:val="22"/>
          <w:szCs w:val="22"/>
        </w:rPr>
        <w:t xml:space="preserve">* Re-examines the concept of "epileptic encephalopathy". </w:t>
      </w:r>
    </w:p>
    <w:p w14:paraId="2869F49C" w14:textId="77777777" w:rsidR="00F3024F" w:rsidRP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51. </w:t>
      </w:r>
      <w:r w:rsidRPr="00F3024F">
        <w:rPr>
          <w:rFonts w:ascii="Baskerville" w:hAnsi="Baskerville" w:cs="Baskerville"/>
          <w:noProof/>
          <w:sz w:val="22"/>
        </w:rPr>
        <w:tab/>
        <w:t xml:space="preserve">Lek M, Tewksbury J, Services H: </w:t>
      </w:r>
      <w:r w:rsidRPr="00F3024F">
        <w:rPr>
          <w:rFonts w:ascii="Baskerville" w:hAnsi="Baskerville" w:cs="Baskerville"/>
          <w:b/>
          <w:bCs/>
          <w:noProof/>
          <w:sz w:val="22"/>
        </w:rPr>
        <w:t>Analysis of protein-coding genetic variation in 60,706 humans [Internet]</w:t>
      </w:r>
      <w:r w:rsidRPr="00F3024F">
        <w:rPr>
          <w:rFonts w:ascii="Baskerville" w:hAnsi="Baskerville" w:cs="Baskerville"/>
          <w:noProof/>
          <w:sz w:val="22"/>
        </w:rPr>
        <w:t xml:space="preserve">. </w:t>
      </w:r>
      <w:r w:rsidRPr="00F3024F">
        <w:rPr>
          <w:rFonts w:ascii="Baskerville" w:hAnsi="Baskerville" w:cs="Baskerville"/>
          <w:i/>
          <w:iCs/>
          <w:noProof/>
          <w:sz w:val="22"/>
        </w:rPr>
        <w:t>Nat. Publ. Gr.</w:t>
      </w:r>
      <w:r w:rsidRPr="00F3024F">
        <w:rPr>
          <w:rFonts w:ascii="Baskerville" w:hAnsi="Baskerville" w:cs="Baskerville"/>
          <w:noProof/>
          <w:sz w:val="22"/>
        </w:rPr>
        <w:t xml:space="preserve"> 2014, </w:t>
      </w:r>
      <w:r w:rsidRPr="00F3024F">
        <w:rPr>
          <w:rFonts w:ascii="Baskerville" w:hAnsi="Baskerville" w:cs="Baskerville"/>
          <w:b/>
          <w:bCs/>
          <w:noProof/>
          <w:sz w:val="22"/>
        </w:rPr>
        <w:t>536</w:t>
      </w:r>
      <w:r w:rsidRPr="00F3024F">
        <w:rPr>
          <w:rFonts w:ascii="Baskerville" w:hAnsi="Baskerville" w:cs="Baskerville"/>
          <w:noProof/>
          <w:sz w:val="22"/>
        </w:rPr>
        <w:t>:1–26.</w:t>
      </w:r>
    </w:p>
    <w:p w14:paraId="03D9C471" w14:textId="77777777" w:rsid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52. </w:t>
      </w:r>
      <w:r w:rsidRPr="00F3024F">
        <w:rPr>
          <w:rFonts w:ascii="Baskerville" w:hAnsi="Baskerville" w:cs="Baskerville"/>
          <w:noProof/>
          <w:sz w:val="22"/>
        </w:rPr>
        <w:tab/>
        <w:t xml:space="preserve">Consortium E: </w:t>
      </w:r>
      <w:r w:rsidRPr="00F3024F">
        <w:rPr>
          <w:rFonts w:ascii="Baskerville" w:hAnsi="Baskerville" w:cs="Baskerville"/>
          <w:b/>
          <w:bCs/>
          <w:noProof/>
          <w:sz w:val="22"/>
        </w:rPr>
        <w:t>A roadmap for precision medicine in the epilepsies [Internet]</w:t>
      </w:r>
      <w:r w:rsidRPr="00F3024F">
        <w:rPr>
          <w:rFonts w:ascii="Baskerville" w:hAnsi="Baskerville" w:cs="Baskerville"/>
          <w:noProof/>
          <w:sz w:val="22"/>
        </w:rPr>
        <w:t xml:space="preserve">. </w:t>
      </w:r>
      <w:r w:rsidRPr="00F3024F">
        <w:rPr>
          <w:rFonts w:ascii="Baskerville" w:hAnsi="Baskerville" w:cs="Baskerville"/>
          <w:i/>
          <w:iCs/>
          <w:noProof/>
          <w:sz w:val="22"/>
        </w:rPr>
        <w:t>Lancet Neurol.</w:t>
      </w:r>
      <w:r w:rsidRPr="00F3024F">
        <w:rPr>
          <w:rFonts w:ascii="Baskerville" w:hAnsi="Baskerville" w:cs="Baskerville"/>
          <w:noProof/>
          <w:sz w:val="22"/>
        </w:rPr>
        <w:t xml:space="preserve"> 2015, </w:t>
      </w:r>
      <w:r w:rsidRPr="00F3024F">
        <w:rPr>
          <w:rFonts w:ascii="Baskerville" w:hAnsi="Baskerville" w:cs="Baskerville"/>
          <w:b/>
          <w:bCs/>
          <w:noProof/>
          <w:sz w:val="22"/>
        </w:rPr>
        <w:t>4422</w:t>
      </w:r>
      <w:r w:rsidRPr="00F3024F">
        <w:rPr>
          <w:rFonts w:ascii="Baskerville" w:hAnsi="Baskerville" w:cs="Baskerville"/>
          <w:noProof/>
          <w:sz w:val="22"/>
        </w:rPr>
        <w:t>:1–10.</w:t>
      </w:r>
    </w:p>
    <w:p w14:paraId="6B0C2AEF" w14:textId="4CD7FDF9" w:rsidR="001649A0" w:rsidRPr="00F3024F" w:rsidRDefault="001649A0" w:rsidP="00F3024F">
      <w:pPr>
        <w:widowControl w:val="0"/>
        <w:autoSpaceDE w:val="0"/>
        <w:autoSpaceDN w:val="0"/>
        <w:adjustRightInd w:val="0"/>
        <w:ind w:left="640" w:hanging="640"/>
        <w:rPr>
          <w:rFonts w:ascii="Baskerville" w:hAnsi="Baskerville" w:cs="Baskerville"/>
          <w:noProof/>
          <w:sz w:val="22"/>
        </w:rPr>
      </w:pPr>
      <w:r w:rsidRPr="004108CA">
        <w:rPr>
          <w:rFonts w:ascii="Baskerville" w:eastAsia="Times New Roman" w:hAnsi="Baskerville" w:cs="Baskerville"/>
          <w:noProof/>
          <w:sz w:val="22"/>
          <w:szCs w:val="22"/>
        </w:rPr>
        <w:t>* Review discussing prospects and roadmap for precision medicine in epilepsy.</w:t>
      </w:r>
    </w:p>
    <w:p w14:paraId="5451C644" w14:textId="77777777" w:rsid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53. </w:t>
      </w:r>
      <w:r w:rsidRPr="00F3024F">
        <w:rPr>
          <w:rFonts w:ascii="Baskerville" w:hAnsi="Baskerville" w:cs="Baskerville"/>
          <w:noProof/>
          <w:sz w:val="22"/>
        </w:rPr>
        <w:tab/>
        <w:t xml:space="preserve">Kass HR, Winesett SP, Bessone SK, Turner Z, Kossoff EH: </w:t>
      </w:r>
      <w:r w:rsidRPr="00F3024F">
        <w:rPr>
          <w:rFonts w:ascii="Baskerville" w:hAnsi="Baskerville" w:cs="Baskerville"/>
          <w:b/>
          <w:bCs/>
          <w:noProof/>
          <w:sz w:val="22"/>
        </w:rPr>
        <w:t>Use of dietary therapies amongst patients with GLUT1 deficiency syndrome</w:t>
      </w:r>
      <w:r w:rsidRPr="00F3024F">
        <w:rPr>
          <w:rFonts w:ascii="Baskerville" w:hAnsi="Baskerville" w:cs="Baskerville"/>
          <w:noProof/>
          <w:sz w:val="22"/>
        </w:rPr>
        <w:t xml:space="preserve">. </w:t>
      </w:r>
      <w:r w:rsidRPr="00F3024F">
        <w:rPr>
          <w:rFonts w:ascii="Baskerville" w:hAnsi="Baskerville" w:cs="Baskerville"/>
          <w:i/>
          <w:iCs/>
          <w:noProof/>
          <w:sz w:val="22"/>
        </w:rPr>
        <w:t>Seizure</w:t>
      </w:r>
      <w:r w:rsidRPr="00F3024F">
        <w:rPr>
          <w:rFonts w:ascii="Baskerville" w:hAnsi="Baskerville" w:cs="Baskerville"/>
          <w:noProof/>
          <w:sz w:val="22"/>
        </w:rPr>
        <w:t xml:space="preserve"> 2016, </w:t>
      </w:r>
      <w:r w:rsidRPr="00F3024F">
        <w:rPr>
          <w:rFonts w:ascii="Baskerville" w:hAnsi="Baskerville" w:cs="Baskerville"/>
          <w:b/>
          <w:bCs/>
          <w:noProof/>
          <w:sz w:val="22"/>
        </w:rPr>
        <w:t>35</w:t>
      </w:r>
      <w:r w:rsidRPr="00F3024F">
        <w:rPr>
          <w:rFonts w:ascii="Baskerville" w:hAnsi="Baskerville" w:cs="Baskerville"/>
          <w:noProof/>
          <w:sz w:val="22"/>
        </w:rPr>
        <w:t>:83–87.</w:t>
      </w:r>
    </w:p>
    <w:p w14:paraId="65D0DD8A" w14:textId="18CFE235" w:rsidR="001649A0" w:rsidRPr="00F3024F" w:rsidRDefault="001649A0" w:rsidP="00F3024F">
      <w:pPr>
        <w:widowControl w:val="0"/>
        <w:autoSpaceDE w:val="0"/>
        <w:autoSpaceDN w:val="0"/>
        <w:adjustRightInd w:val="0"/>
        <w:ind w:left="640" w:hanging="640"/>
        <w:rPr>
          <w:rFonts w:ascii="Baskerville" w:hAnsi="Baskerville" w:cs="Baskerville"/>
          <w:noProof/>
          <w:sz w:val="22"/>
        </w:rPr>
      </w:pPr>
      <w:r w:rsidRPr="004108CA">
        <w:rPr>
          <w:rFonts w:ascii="Baskerville" w:eastAsia="Times New Roman" w:hAnsi="Baskerville" w:cs="Baskerville"/>
          <w:noProof/>
          <w:sz w:val="22"/>
          <w:szCs w:val="22"/>
        </w:rPr>
        <w:t>* Review of dietry therapies including ketogenic diet in GLUT1 deficiency syndrome.</w:t>
      </w:r>
    </w:p>
    <w:p w14:paraId="603006C7" w14:textId="77777777" w:rsid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54. </w:t>
      </w:r>
      <w:r w:rsidRPr="00F3024F">
        <w:rPr>
          <w:rFonts w:ascii="Baskerville" w:hAnsi="Baskerville" w:cs="Baskerville"/>
          <w:noProof/>
          <w:sz w:val="22"/>
        </w:rPr>
        <w:tab/>
        <w:t xml:space="preserve">Wilmshurst JM, Gaillard WD, Vinayan KP, Tsuchida TN, Plouin P, Van Bogaert P, Carrizosa J, Elia M, Craiu D, Jovic NJ, et al.: </w:t>
      </w:r>
      <w:r w:rsidRPr="00F3024F">
        <w:rPr>
          <w:rFonts w:ascii="Baskerville" w:hAnsi="Baskerville" w:cs="Baskerville"/>
          <w:b/>
          <w:bCs/>
          <w:noProof/>
          <w:sz w:val="22"/>
        </w:rPr>
        <w:t>Summary of recommendations for the management of infantile seizures: Task Force Report for the ILAE Commission of Pediatrics</w:t>
      </w:r>
      <w:r w:rsidRPr="00F3024F">
        <w:rPr>
          <w:rFonts w:ascii="Baskerville" w:hAnsi="Baskerville" w:cs="Baskerville"/>
          <w:noProof/>
          <w:sz w:val="22"/>
        </w:rPr>
        <w:t xml:space="preserve">. </w:t>
      </w:r>
      <w:r w:rsidRPr="00F3024F">
        <w:rPr>
          <w:rFonts w:ascii="Baskerville" w:hAnsi="Baskerville" w:cs="Baskerville"/>
          <w:i/>
          <w:iCs/>
          <w:noProof/>
          <w:sz w:val="22"/>
        </w:rPr>
        <w:t>Epilepsia</w:t>
      </w:r>
      <w:r w:rsidRPr="00F3024F">
        <w:rPr>
          <w:rFonts w:ascii="Baskerville" w:hAnsi="Baskerville" w:cs="Baskerville"/>
          <w:noProof/>
          <w:sz w:val="22"/>
        </w:rPr>
        <w:t xml:space="preserve"> 2015, </w:t>
      </w:r>
      <w:r w:rsidRPr="00F3024F">
        <w:rPr>
          <w:rFonts w:ascii="Baskerville" w:hAnsi="Baskerville" w:cs="Baskerville"/>
          <w:b/>
          <w:bCs/>
          <w:noProof/>
          <w:sz w:val="22"/>
        </w:rPr>
        <w:t>56</w:t>
      </w:r>
      <w:r w:rsidRPr="00F3024F">
        <w:rPr>
          <w:rFonts w:ascii="Baskerville" w:hAnsi="Baskerville" w:cs="Baskerville"/>
          <w:noProof/>
          <w:sz w:val="22"/>
        </w:rPr>
        <w:t>:1185–1197.</w:t>
      </w:r>
    </w:p>
    <w:p w14:paraId="58AF5C83" w14:textId="5A7D016D" w:rsidR="00496735" w:rsidRPr="00F3024F" w:rsidRDefault="00496735" w:rsidP="00F3024F">
      <w:pPr>
        <w:widowControl w:val="0"/>
        <w:autoSpaceDE w:val="0"/>
        <w:autoSpaceDN w:val="0"/>
        <w:adjustRightInd w:val="0"/>
        <w:ind w:left="640" w:hanging="640"/>
        <w:rPr>
          <w:rFonts w:ascii="Baskerville" w:hAnsi="Baskerville" w:cs="Baskerville"/>
          <w:noProof/>
          <w:sz w:val="22"/>
        </w:rPr>
      </w:pPr>
      <w:r w:rsidRPr="004108CA">
        <w:rPr>
          <w:rFonts w:ascii="Baskerville" w:eastAsia="Times New Roman" w:hAnsi="Baskerville" w:cs="Baskerville"/>
          <w:noProof/>
          <w:sz w:val="22"/>
          <w:szCs w:val="22"/>
        </w:rPr>
        <w:t>* Review of treatment and management recommendations in infantile seizures.</w:t>
      </w:r>
    </w:p>
    <w:p w14:paraId="2D80E599" w14:textId="77777777" w:rsidR="00F3024F" w:rsidRP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55. </w:t>
      </w:r>
      <w:r w:rsidRPr="00F3024F">
        <w:rPr>
          <w:rFonts w:ascii="Baskerville" w:hAnsi="Baskerville" w:cs="Baskerville"/>
          <w:noProof/>
          <w:sz w:val="22"/>
        </w:rPr>
        <w:tab/>
        <w:t xml:space="preserve">Bearden D, Strong A, Ehnot J, Digiovine M, Dlugos D, Goldberg EM: </w:t>
      </w:r>
      <w:r w:rsidRPr="00F3024F">
        <w:rPr>
          <w:rFonts w:ascii="Baskerville" w:hAnsi="Baskerville" w:cs="Baskerville"/>
          <w:b/>
          <w:bCs/>
          <w:noProof/>
          <w:sz w:val="22"/>
        </w:rPr>
        <w:t>Targeted Treatment of Migrating Partial Seizures of Infancy with Quinidine</w:t>
      </w:r>
      <w:r w:rsidRPr="00F3024F">
        <w:rPr>
          <w:rFonts w:ascii="Baskerville" w:hAnsi="Baskerville" w:cs="Baskerville"/>
          <w:noProof/>
          <w:sz w:val="22"/>
        </w:rPr>
        <w:t>. 2014, doi:10.1002/ana.24229.</w:t>
      </w:r>
    </w:p>
    <w:p w14:paraId="44F4E83D" w14:textId="77777777" w:rsid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56. </w:t>
      </w:r>
      <w:r w:rsidRPr="00F3024F">
        <w:rPr>
          <w:rFonts w:ascii="Baskerville" w:hAnsi="Baskerville" w:cs="Baskerville"/>
          <w:noProof/>
          <w:sz w:val="22"/>
        </w:rPr>
        <w:tab/>
        <w:t xml:space="preserve">Mikati M a, Jiang Y, Carboni M, Shashi V, Petrovski S, Spillmann R, Milligan CJ, Li M, Grefe A, McConkie A, et al.: </w:t>
      </w:r>
      <w:r w:rsidRPr="00F3024F">
        <w:rPr>
          <w:rFonts w:ascii="Baskerville" w:hAnsi="Baskerville" w:cs="Baskerville"/>
          <w:b/>
          <w:bCs/>
          <w:noProof/>
          <w:sz w:val="22"/>
        </w:rPr>
        <w:t>Quinidine in the treatment of KCNT1 positive epilepsies [Internet]</w:t>
      </w:r>
      <w:r w:rsidRPr="00F3024F">
        <w:rPr>
          <w:rFonts w:ascii="Baskerville" w:hAnsi="Baskerville" w:cs="Baskerville"/>
          <w:noProof/>
          <w:sz w:val="22"/>
        </w:rPr>
        <w:t xml:space="preserve">. </w:t>
      </w:r>
      <w:r w:rsidRPr="00F3024F">
        <w:rPr>
          <w:rFonts w:ascii="Baskerville" w:hAnsi="Baskerville" w:cs="Baskerville"/>
          <w:i/>
          <w:iCs/>
          <w:noProof/>
          <w:sz w:val="22"/>
        </w:rPr>
        <w:t>Ann. Neurol.</w:t>
      </w:r>
      <w:r w:rsidRPr="00F3024F">
        <w:rPr>
          <w:rFonts w:ascii="Baskerville" w:hAnsi="Baskerville" w:cs="Baskerville"/>
          <w:noProof/>
          <w:sz w:val="22"/>
        </w:rPr>
        <w:t xml:space="preserve"> 2015, doi:10.1002/ana.24520.</w:t>
      </w:r>
    </w:p>
    <w:p w14:paraId="64D97FBF" w14:textId="07069C74" w:rsidR="0086322E" w:rsidRPr="00F3024F" w:rsidRDefault="0086322E" w:rsidP="00F3024F">
      <w:pPr>
        <w:widowControl w:val="0"/>
        <w:autoSpaceDE w:val="0"/>
        <w:autoSpaceDN w:val="0"/>
        <w:adjustRightInd w:val="0"/>
        <w:ind w:left="640" w:hanging="640"/>
        <w:rPr>
          <w:rFonts w:ascii="Baskerville" w:hAnsi="Baskerville" w:cs="Baskerville"/>
          <w:noProof/>
          <w:sz w:val="22"/>
        </w:rPr>
      </w:pPr>
      <w:r w:rsidRPr="004108CA">
        <w:rPr>
          <w:rFonts w:ascii="Baskerville" w:eastAsia="Times New Roman" w:hAnsi="Baskerville" w:cs="Baskerville"/>
          <w:noProof/>
          <w:sz w:val="22"/>
          <w:szCs w:val="22"/>
        </w:rPr>
        <w:t xml:space="preserve">* Two patients with gain of function KCNT1 related epilepsy with discordant clinical response to quinidine as a precsion therapy.  </w:t>
      </w:r>
    </w:p>
    <w:p w14:paraId="027E34D8" w14:textId="77777777" w:rsidR="00F3024F" w:rsidRP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57. </w:t>
      </w:r>
      <w:r w:rsidRPr="00F3024F">
        <w:rPr>
          <w:rFonts w:ascii="Baskerville" w:hAnsi="Baskerville" w:cs="Baskerville"/>
          <w:noProof/>
          <w:sz w:val="22"/>
        </w:rPr>
        <w:tab/>
        <w:t xml:space="preserve">Pierson TM, Yuan H, Marsh ED, Fuentes-Fajardo K, Adams DR, Markello T, Golas G, Simeonov DR, Holloman C, Tankovic A, et al.: </w:t>
      </w:r>
      <w:r w:rsidRPr="00F3024F">
        <w:rPr>
          <w:rFonts w:ascii="Baskerville" w:hAnsi="Baskerville" w:cs="Baskerville"/>
          <w:b/>
          <w:bCs/>
          <w:noProof/>
          <w:sz w:val="22"/>
        </w:rPr>
        <w:t>GRIN2A mutation and early-onset epileptic encephalopathy: personalized therapy with memantine. [Internet]</w:t>
      </w:r>
      <w:r w:rsidRPr="00F3024F">
        <w:rPr>
          <w:rFonts w:ascii="Baskerville" w:hAnsi="Baskerville" w:cs="Baskerville"/>
          <w:noProof/>
          <w:sz w:val="22"/>
        </w:rPr>
        <w:t xml:space="preserve">. </w:t>
      </w:r>
      <w:r w:rsidRPr="00F3024F">
        <w:rPr>
          <w:rFonts w:ascii="Baskerville" w:hAnsi="Baskerville" w:cs="Baskerville"/>
          <w:i/>
          <w:iCs/>
          <w:noProof/>
          <w:sz w:val="22"/>
        </w:rPr>
        <w:t>Ann. Clin. Transl. Neurol.</w:t>
      </w:r>
      <w:r w:rsidRPr="00F3024F">
        <w:rPr>
          <w:rFonts w:ascii="Baskerville" w:hAnsi="Baskerville" w:cs="Baskerville"/>
          <w:noProof/>
          <w:sz w:val="22"/>
        </w:rPr>
        <w:t xml:space="preserve"> 2014, </w:t>
      </w:r>
      <w:r w:rsidRPr="00F3024F">
        <w:rPr>
          <w:rFonts w:ascii="Baskerville" w:hAnsi="Baskerville" w:cs="Baskerville"/>
          <w:b/>
          <w:bCs/>
          <w:noProof/>
          <w:sz w:val="22"/>
        </w:rPr>
        <w:t>1</w:t>
      </w:r>
      <w:r w:rsidRPr="00F3024F">
        <w:rPr>
          <w:rFonts w:ascii="Baskerville" w:hAnsi="Baskerville" w:cs="Baskerville"/>
          <w:noProof/>
          <w:sz w:val="22"/>
        </w:rPr>
        <w:t>:190–198.</w:t>
      </w:r>
    </w:p>
    <w:p w14:paraId="3EBDFD4A" w14:textId="77777777" w:rsid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58. </w:t>
      </w:r>
      <w:r w:rsidRPr="00F3024F">
        <w:rPr>
          <w:rFonts w:ascii="Baskerville" w:hAnsi="Baskerville" w:cs="Baskerville"/>
          <w:noProof/>
          <w:sz w:val="22"/>
        </w:rPr>
        <w:tab/>
        <w:t xml:space="preserve">Boerma RS, Braun KP, van de Broek MPH, van Berkestijn FMC, Swinkels ME, Hagebeuk EO, Lindhout D, van Kempen M, Boon M, Nicolai J, et al.: </w:t>
      </w:r>
      <w:r w:rsidRPr="00F3024F">
        <w:rPr>
          <w:rFonts w:ascii="Baskerville" w:hAnsi="Baskerville" w:cs="Baskerville"/>
          <w:b/>
          <w:bCs/>
          <w:noProof/>
          <w:sz w:val="22"/>
        </w:rPr>
        <w:t>Remarkable Phenytoin Sensitivity in 4 Children with SCN8A-related Epilepsy: A Molecular Neuropharmacological Approach</w:t>
      </w:r>
      <w:r w:rsidRPr="00F3024F">
        <w:rPr>
          <w:rFonts w:ascii="Baskerville" w:hAnsi="Baskerville" w:cs="Baskerville"/>
          <w:noProof/>
          <w:sz w:val="22"/>
        </w:rPr>
        <w:t xml:space="preserve">. </w:t>
      </w:r>
      <w:r w:rsidRPr="00F3024F">
        <w:rPr>
          <w:rFonts w:ascii="Baskerville" w:hAnsi="Baskerville" w:cs="Baskerville"/>
          <w:i/>
          <w:iCs/>
          <w:noProof/>
          <w:sz w:val="22"/>
        </w:rPr>
        <w:t>Neurotherapeutics</w:t>
      </w:r>
      <w:r w:rsidRPr="00F3024F">
        <w:rPr>
          <w:rFonts w:ascii="Baskerville" w:hAnsi="Baskerville" w:cs="Baskerville"/>
          <w:noProof/>
          <w:sz w:val="22"/>
        </w:rPr>
        <w:t xml:space="preserve"> 2016, </w:t>
      </w:r>
      <w:r w:rsidRPr="00F3024F">
        <w:rPr>
          <w:rFonts w:ascii="Baskerville" w:hAnsi="Baskerville" w:cs="Baskerville"/>
          <w:b/>
          <w:bCs/>
          <w:noProof/>
          <w:sz w:val="22"/>
        </w:rPr>
        <w:t>13</w:t>
      </w:r>
      <w:r w:rsidRPr="00F3024F">
        <w:rPr>
          <w:rFonts w:ascii="Baskerville" w:hAnsi="Baskerville" w:cs="Baskerville"/>
          <w:noProof/>
          <w:sz w:val="22"/>
        </w:rPr>
        <w:t>:192–197.</w:t>
      </w:r>
    </w:p>
    <w:p w14:paraId="3FDFEAEF" w14:textId="0C44A64C" w:rsidR="000E2DB7" w:rsidRPr="00F3024F" w:rsidRDefault="000E2DB7" w:rsidP="00F3024F">
      <w:pPr>
        <w:widowControl w:val="0"/>
        <w:autoSpaceDE w:val="0"/>
        <w:autoSpaceDN w:val="0"/>
        <w:adjustRightInd w:val="0"/>
        <w:ind w:left="640" w:hanging="640"/>
        <w:rPr>
          <w:rFonts w:ascii="Baskerville" w:hAnsi="Baskerville" w:cs="Baskerville"/>
          <w:noProof/>
          <w:sz w:val="22"/>
        </w:rPr>
      </w:pPr>
      <w:r w:rsidRPr="004108CA">
        <w:rPr>
          <w:rFonts w:ascii="Baskerville" w:eastAsia="Times New Roman" w:hAnsi="Baskerville" w:cs="Baskerville"/>
          <w:noProof/>
          <w:sz w:val="22"/>
          <w:szCs w:val="22"/>
        </w:rPr>
        <w:t>* Exemplers of precision medicine in SCN8A related epilepsy.</w:t>
      </w:r>
    </w:p>
    <w:p w14:paraId="19AAC9EB" w14:textId="77777777" w:rsid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59. </w:t>
      </w:r>
      <w:r w:rsidRPr="00F3024F">
        <w:rPr>
          <w:rFonts w:ascii="Baskerville" w:hAnsi="Baskerville" w:cs="Baskerville"/>
          <w:noProof/>
          <w:sz w:val="22"/>
        </w:rPr>
        <w:tab/>
        <w:t xml:space="preserve">Millichap JJ, Park KL, Tsuchida T, Ben-Zeev B, Carmant L, Flamini R, Joshi N, Levisohn PM, Marsh E, Nangia S, et al.: </w:t>
      </w:r>
      <w:r w:rsidRPr="00F3024F">
        <w:rPr>
          <w:rFonts w:ascii="Baskerville" w:hAnsi="Baskerville" w:cs="Baskerville"/>
          <w:b/>
          <w:bCs/>
          <w:noProof/>
          <w:sz w:val="22"/>
        </w:rPr>
        <w:t>KCNQ2 encephalopathy: Features, mutational hot spots, and ezogabine treatment of 11 patients [Internet]</w:t>
      </w:r>
      <w:r w:rsidRPr="00F3024F">
        <w:rPr>
          <w:rFonts w:ascii="Baskerville" w:hAnsi="Baskerville" w:cs="Baskerville"/>
          <w:noProof/>
          <w:sz w:val="22"/>
        </w:rPr>
        <w:t xml:space="preserve">. </w:t>
      </w:r>
      <w:r w:rsidRPr="00F3024F">
        <w:rPr>
          <w:rFonts w:ascii="Baskerville" w:hAnsi="Baskerville" w:cs="Baskerville"/>
          <w:i/>
          <w:iCs/>
          <w:noProof/>
          <w:sz w:val="22"/>
        </w:rPr>
        <w:t>Neurol. Genet.</w:t>
      </w:r>
      <w:r w:rsidRPr="00F3024F">
        <w:rPr>
          <w:rFonts w:ascii="Baskerville" w:hAnsi="Baskerville" w:cs="Baskerville"/>
          <w:noProof/>
          <w:sz w:val="22"/>
        </w:rPr>
        <w:t xml:space="preserve"> 2016, </w:t>
      </w:r>
      <w:r w:rsidRPr="00F3024F">
        <w:rPr>
          <w:rFonts w:ascii="Baskerville" w:hAnsi="Baskerville" w:cs="Baskerville"/>
          <w:b/>
          <w:bCs/>
          <w:noProof/>
          <w:sz w:val="22"/>
        </w:rPr>
        <w:t>2</w:t>
      </w:r>
      <w:r w:rsidRPr="00F3024F">
        <w:rPr>
          <w:rFonts w:ascii="Baskerville" w:hAnsi="Baskerville" w:cs="Baskerville"/>
          <w:noProof/>
          <w:sz w:val="22"/>
        </w:rPr>
        <w:t>:e96.</w:t>
      </w:r>
    </w:p>
    <w:p w14:paraId="2FA942C2" w14:textId="0B72E86B" w:rsidR="0054793F" w:rsidRPr="00F3024F" w:rsidRDefault="0054793F" w:rsidP="00F3024F">
      <w:pPr>
        <w:widowControl w:val="0"/>
        <w:autoSpaceDE w:val="0"/>
        <w:autoSpaceDN w:val="0"/>
        <w:adjustRightInd w:val="0"/>
        <w:ind w:left="640" w:hanging="640"/>
        <w:rPr>
          <w:rFonts w:ascii="Baskerville" w:hAnsi="Baskerville" w:cs="Baskerville"/>
          <w:noProof/>
          <w:sz w:val="22"/>
        </w:rPr>
      </w:pPr>
      <w:r w:rsidRPr="004108CA">
        <w:rPr>
          <w:rFonts w:ascii="Baskerville" w:eastAsia="Times New Roman" w:hAnsi="Baskerville" w:cs="Baskerville"/>
          <w:noProof/>
          <w:sz w:val="22"/>
          <w:szCs w:val="22"/>
        </w:rPr>
        <w:t>* To date, the only report of precision medicine in epilepsy occurring as a result of a loss-of-function mutation.</w:t>
      </w:r>
    </w:p>
    <w:p w14:paraId="4810F22B" w14:textId="77777777" w:rsid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60. </w:t>
      </w:r>
      <w:r w:rsidRPr="00F3024F">
        <w:rPr>
          <w:rFonts w:ascii="Baskerville" w:hAnsi="Baskerville" w:cs="Baskerville"/>
          <w:noProof/>
          <w:sz w:val="22"/>
        </w:rPr>
        <w:tab/>
        <w:t xml:space="preserve">French JA, Lawson JA, Yapici Z, Ikeda H, Polster T, Nabbout R, Curatolo P, de Vries PJ, Dlugos DJ, Berkowitz N, et al.: </w:t>
      </w:r>
      <w:r w:rsidRPr="00F3024F">
        <w:rPr>
          <w:rFonts w:ascii="Baskerville" w:hAnsi="Baskerville" w:cs="Baskerville"/>
          <w:b/>
          <w:bCs/>
          <w:noProof/>
          <w:sz w:val="22"/>
        </w:rPr>
        <w:t xml:space="preserve">Adjunctive everolimus therapy for </w:t>
      </w:r>
      <w:r w:rsidRPr="00F3024F">
        <w:rPr>
          <w:rFonts w:ascii="Baskerville" w:hAnsi="Baskerville" w:cs="Baskerville"/>
          <w:b/>
          <w:bCs/>
          <w:noProof/>
          <w:sz w:val="22"/>
        </w:rPr>
        <w:lastRenderedPageBreak/>
        <w:t>treatment-resistant focal-onset seizures associated with tuberous sclerosis (EXIST-3): a phase 3, randomised, double-blind, placebo-controlled study</w:t>
      </w:r>
      <w:r w:rsidRPr="00F3024F">
        <w:rPr>
          <w:rFonts w:ascii="Baskerville" w:hAnsi="Baskerville" w:cs="Baskerville"/>
          <w:noProof/>
          <w:sz w:val="22"/>
        </w:rPr>
        <w:t xml:space="preserve">. </w:t>
      </w:r>
      <w:r w:rsidRPr="00F3024F">
        <w:rPr>
          <w:rFonts w:ascii="Baskerville" w:hAnsi="Baskerville" w:cs="Baskerville"/>
          <w:i/>
          <w:iCs/>
          <w:noProof/>
          <w:sz w:val="22"/>
        </w:rPr>
        <w:t>Lancet</w:t>
      </w:r>
      <w:r w:rsidRPr="00F3024F">
        <w:rPr>
          <w:rFonts w:ascii="Baskerville" w:hAnsi="Baskerville" w:cs="Baskerville"/>
          <w:noProof/>
          <w:sz w:val="22"/>
        </w:rPr>
        <w:t xml:space="preserve"> 2016, </w:t>
      </w:r>
      <w:r w:rsidRPr="00F3024F">
        <w:rPr>
          <w:rFonts w:ascii="Baskerville" w:hAnsi="Baskerville" w:cs="Baskerville"/>
          <w:b/>
          <w:bCs/>
          <w:noProof/>
          <w:sz w:val="22"/>
        </w:rPr>
        <w:t>388</w:t>
      </w:r>
      <w:r w:rsidRPr="00F3024F">
        <w:rPr>
          <w:rFonts w:ascii="Baskerville" w:hAnsi="Baskerville" w:cs="Baskerville"/>
          <w:noProof/>
          <w:sz w:val="22"/>
        </w:rPr>
        <w:t>:2153–2163.</w:t>
      </w:r>
    </w:p>
    <w:p w14:paraId="5076C8DC" w14:textId="78047C28" w:rsidR="0054793F" w:rsidRPr="00F3024F" w:rsidRDefault="0054793F" w:rsidP="00F3024F">
      <w:pPr>
        <w:widowControl w:val="0"/>
        <w:autoSpaceDE w:val="0"/>
        <w:autoSpaceDN w:val="0"/>
        <w:adjustRightInd w:val="0"/>
        <w:ind w:left="640" w:hanging="640"/>
        <w:rPr>
          <w:rFonts w:ascii="Baskerville" w:hAnsi="Baskerville" w:cs="Baskerville"/>
          <w:noProof/>
          <w:sz w:val="22"/>
        </w:rPr>
      </w:pPr>
      <w:r w:rsidRPr="004108CA">
        <w:rPr>
          <w:rFonts w:ascii="Baskerville" w:eastAsia="Times New Roman" w:hAnsi="Baskerville" w:cs="Baskerville"/>
          <w:noProof/>
          <w:sz w:val="22"/>
          <w:szCs w:val="22"/>
        </w:rPr>
        <w:t>** Landmark phase 3 randomised controlled trial.</w:t>
      </w:r>
    </w:p>
    <w:p w14:paraId="4D27457F" w14:textId="77777777" w:rsidR="00F3024F" w:rsidRP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61. </w:t>
      </w:r>
      <w:r w:rsidRPr="00F3024F">
        <w:rPr>
          <w:rFonts w:ascii="Baskerville" w:hAnsi="Baskerville" w:cs="Baskerville"/>
          <w:noProof/>
          <w:sz w:val="22"/>
        </w:rPr>
        <w:tab/>
        <w:t xml:space="preserve">Civelek M, Lusis AJ: </w:t>
      </w:r>
      <w:r w:rsidRPr="00F3024F">
        <w:rPr>
          <w:rFonts w:ascii="Baskerville" w:hAnsi="Baskerville" w:cs="Baskerville"/>
          <w:b/>
          <w:bCs/>
          <w:noProof/>
          <w:sz w:val="22"/>
        </w:rPr>
        <w:t>Systems genetics approaches to understand complex traits. [Internet]</w:t>
      </w:r>
      <w:r w:rsidRPr="00F3024F">
        <w:rPr>
          <w:rFonts w:ascii="Baskerville" w:hAnsi="Baskerville" w:cs="Baskerville"/>
          <w:noProof/>
          <w:sz w:val="22"/>
        </w:rPr>
        <w:t xml:space="preserve">. </w:t>
      </w:r>
      <w:r w:rsidRPr="00F3024F">
        <w:rPr>
          <w:rFonts w:ascii="Baskerville" w:hAnsi="Baskerville" w:cs="Baskerville"/>
          <w:i/>
          <w:iCs/>
          <w:noProof/>
          <w:sz w:val="22"/>
        </w:rPr>
        <w:t>Nat. Rev. Genet.</w:t>
      </w:r>
      <w:r w:rsidRPr="00F3024F">
        <w:rPr>
          <w:rFonts w:ascii="Baskerville" w:hAnsi="Baskerville" w:cs="Baskerville"/>
          <w:noProof/>
          <w:sz w:val="22"/>
        </w:rPr>
        <w:t xml:space="preserve"> 2014, </w:t>
      </w:r>
      <w:r w:rsidRPr="00F3024F">
        <w:rPr>
          <w:rFonts w:ascii="Baskerville" w:hAnsi="Baskerville" w:cs="Baskerville"/>
          <w:b/>
          <w:bCs/>
          <w:noProof/>
          <w:sz w:val="22"/>
        </w:rPr>
        <w:t>15</w:t>
      </w:r>
      <w:r w:rsidRPr="00F3024F">
        <w:rPr>
          <w:rFonts w:ascii="Baskerville" w:hAnsi="Baskerville" w:cs="Baskerville"/>
          <w:noProof/>
          <w:sz w:val="22"/>
        </w:rPr>
        <w:t>:34–48.</w:t>
      </w:r>
    </w:p>
    <w:p w14:paraId="76A1E5DC" w14:textId="77777777" w:rsid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62. </w:t>
      </w:r>
      <w:r w:rsidRPr="00F3024F">
        <w:rPr>
          <w:rFonts w:ascii="Baskerville" w:hAnsi="Baskerville" w:cs="Baskerville"/>
          <w:noProof/>
          <w:sz w:val="22"/>
        </w:rPr>
        <w:tab/>
        <w:t xml:space="preserve">Johnson MR, Shkura K, Langley SR, Delahaye-Duriez A, Srivastava P, Hill WD, Rackham OJL, Davies G, Harris SE, Moreno-Moral A, et al.: </w:t>
      </w:r>
      <w:r w:rsidRPr="00F3024F">
        <w:rPr>
          <w:rFonts w:ascii="Baskerville" w:hAnsi="Baskerville" w:cs="Baskerville"/>
          <w:b/>
          <w:bCs/>
          <w:noProof/>
          <w:sz w:val="22"/>
        </w:rPr>
        <w:t>Systems genetics identifies a convergent gene network for cognition and neurodevelopmental disease. [Internet]</w:t>
      </w:r>
      <w:r w:rsidRPr="00F3024F">
        <w:rPr>
          <w:rFonts w:ascii="Baskerville" w:hAnsi="Baskerville" w:cs="Baskerville"/>
          <w:noProof/>
          <w:sz w:val="22"/>
        </w:rPr>
        <w:t xml:space="preserve">. </w:t>
      </w:r>
      <w:r w:rsidRPr="00F3024F">
        <w:rPr>
          <w:rFonts w:ascii="Baskerville" w:hAnsi="Baskerville" w:cs="Baskerville"/>
          <w:i/>
          <w:iCs/>
          <w:noProof/>
          <w:sz w:val="22"/>
        </w:rPr>
        <w:t>Nat. Neurosci.</w:t>
      </w:r>
      <w:r w:rsidRPr="00F3024F">
        <w:rPr>
          <w:rFonts w:ascii="Baskerville" w:hAnsi="Baskerville" w:cs="Baskerville"/>
          <w:noProof/>
          <w:sz w:val="22"/>
        </w:rPr>
        <w:t xml:space="preserve"> 2016, </w:t>
      </w:r>
      <w:r w:rsidRPr="00F3024F">
        <w:rPr>
          <w:rFonts w:ascii="Baskerville" w:hAnsi="Baskerville" w:cs="Baskerville"/>
          <w:b/>
          <w:bCs/>
          <w:noProof/>
          <w:sz w:val="22"/>
        </w:rPr>
        <w:t>19</w:t>
      </w:r>
      <w:r w:rsidRPr="00F3024F">
        <w:rPr>
          <w:rFonts w:ascii="Baskerville" w:hAnsi="Baskerville" w:cs="Baskerville"/>
          <w:noProof/>
          <w:sz w:val="22"/>
        </w:rPr>
        <w:t>:223–32.</w:t>
      </w:r>
    </w:p>
    <w:p w14:paraId="23237AC2" w14:textId="248D78B7" w:rsidR="00D61D59" w:rsidRPr="00F3024F" w:rsidRDefault="00D61D59" w:rsidP="00F3024F">
      <w:pPr>
        <w:widowControl w:val="0"/>
        <w:autoSpaceDE w:val="0"/>
        <w:autoSpaceDN w:val="0"/>
        <w:adjustRightInd w:val="0"/>
        <w:ind w:left="640" w:hanging="640"/>
        <w:rPr>
          <w:rFonts w:ascii="Baskerville" w:hAnsi="Baskerville" w:cs="Baskerville"/>
          <w:noProof/>
          <w:sz w:val="22"/>
        </w:rPr>
      </w:pPr>
      <w:r w:rsidRPr="004108CA">
        <w:rPr>
          <w:rFonts w:ascii="Baskerville" w:eastAsia="Times New Roman" w:hAnsi="Baskerville" w:cs="Baskerville"/>
          <w:noProof/>
          <w:sz w:val="22"/>
          <w:szCs w:val="22"/>
        </w:rPr>
        <w:t xml:space="preserve">** Reports a convergent gene network for </w:t>
      </w:r>
      <w:r>
        <w:rPr>
          <w:rFonts w:ascii="Baskerville" w:eastAsia="Times New Roman" w:hAnsi="Baskerville" w:cs="Baskerville"/>
          <w:noProof/>
          <w:sz w:val="22"/>
          <w:szCs w:val="22"/>
        </w:rPr>
        <w:t>neurodevelopmental disease (including epilepsy)</w:t>
      </w:r>
      <w:r w:rsidRPr="004108CA">
        <w:rPr>
          <w:rFonts w:ascii="Baskerville" w:eastAsia="Times New Roman" w:hAnsi="Baskerville" w:cs="Baskerville"/>
          <w:noProof/>
          <w:sz w:val="22"/>
          <w:szCs w:val="22"/>
        </w:rPr>
        <w:t xml:space="preserve"> and healthy human cognition.</w:t>
      </w:r>
      <w:r>
        <w:rPr>
          <w:rFonts w:ascii="Baskerville" w:eastAsia="Times New Roman" w:hAnsi="Baskerville" w:cs="Baskerville"/>
          <w:noProof/>
          <w:sz w:val="22"/>
          <w:szCs w:val="22"/>
        </w:rPr>
        <w:t xml:space="preserve"> </w:t>
      </w:r>
    </w:p>
    <w:p w14:paraId="3BFC2920" w14:textId="77777777" w:rsid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63. </w:t>
      </w:r>
      <w:r w:rsidRPr="00F3024F">
        <w:rPr>
          <w:rFonts w:ascii="Baskerville" w:hAnsi="Baskerville" w:cs="Baskerville"/>
          <w:noProof/>
          <w:sz w:val="22"/>
        </w:rPr>
        <w:tab/>
        <w:t xml:space="preserve">Delahaye-Duriez A, Srivastava P, Shkura K, Langley SR, Laaniste L, Moreno-Moral A, Danis B, Mazzuferi M, Foerch P, Gazina E, et al.: </w:t>
      </w:r>
      <w:r w:rsidRPr="00F3024F">
        <w:rPr>
          <w:rFonts w:ascii="Baskerville" w:hAnsi="Baskerville" w:cs="Baskerville"/>
          <w:b/>
          <w:bCs/>
          <w:noProof/>
          <w:sz w:val="22"/>
        </w:rPr>
        <w:t>Rare and common epilepsies converge on a shared gene regulatory network providing opportunities for novel antiepileptic drug discovery</w:t>
      </w:r>
      <w:r w:rsidRPr="00F3024F">
        <w:rPr>
          <w:rFonts w:ascii="Baskerville" w:hAnsi="Baskerville" w:cs="Baskerville"/>
          <w:noProof/>
          <w:sz w:val="22"/>
        </w:rPr>
        <w:t xml:space="preserve">. </w:t>
      </w:r>
      <w:r w:rsidRPr="00F3024F">
        <w:rPr>
          <w:rFonts w:ascii="Baskerville" w:hAnsi="Baskerville" w:cs="Baskerville"/>
          <w:i/>
          <w:iCs/>
          <w:noProof/>
          <w:sz w:val="22"/>
        </w:rPr>
        <w:t>Genome Biol.</w:t>
      </w:r>
      <w:r w:rsidRPr="00F3024F">
        <w:rPr>
          <w:rFonts w:ascii="Baskerville" w:hAnsi="Baskerville" w:cs="Baskerville"/>
          <w:noProof/>
          <w:sz w:val="22"/>
        </w:rPr>
        <w:t xml:space="preserve"> 2016, </w:t>
      </w:r>
      <w:r w:rsidRPr="00F3024F">
        <w:rPr>
          <w:rFonts w:ascii="Baskerville" w:hAnsi="Baskerville" w:cs="Baskerville"/>
          <w:b/>
          <w:bCs/>
          <w:noProof/>
          <w:sz w:val="22"/>
        </w:rPr>
        <w:t>In Press</w:t>
      </w:r>
      <w:r w:rsidRPr="00F3024F">
        <w:rPr>
          <w:rFonts w:ascii="Baskerville" w:hAnsi="Baskerville" w:cs="Baskerville"/>
          <w:noProof/>
          <w:sz w:val="22"/>
        </w:rPr>
        <w:t>.</w:t>
      </w:r>
    </w:p>
    <w:p w14:paraId="217E4CE6" w14:textId="332E3D9B" w:rsidR="00771EEB" w:rsidRPr="00F3024F" w:rsidRDefault="00F60596" w:rsidP="00F3024F">
      <w:pPr>
        <w:widowControl w:val="0"/>
        <w:autoSpaceDE w:val="0"/>
        <w:autoSpaceDN w:val="0"/>
        <w:adjustRightInd w:val="0"/>
        <w:ind w:left="640" w:hanging="640"/>
        <w:rPr>
          <w:rFonts w:ascii="Baskerville" w:hAnsi="Baskerville" w:cs="Baskerville"/>
          <w:noProof/>
          <w:sz w:val="22"/>
        </w:rPr>
      </w:pPr>
      <w:r>
        <w:rPr>
          <w:rFonts w:ascii="Baskerville" w:eastAsia="Times New Roman" w:hAnsi="Baskerville" w:cs="Baskerville"/>
          <w:noProof/>
          <w:sz w:val="22"/>
          <w:szCs w:val="22"/>
        </w:rPr>
        <w:t>*</w:t>
      </w:r>
      <w:r w:rsidR="00771EEB" w:rsidRPr="004108CA">
        <w:rPr>
          <w:rFonts w:ascii="Baskerville" w:eastAsia="Times New Roman" w:hAnsi="Baskerville" w:cs="Baskerville"/>
          <w:noProof/>
          <w:sz w:val="22"/>
          <w:szCs w:val="22"/>
        </w:rPr>
        <w:t xml:space="preserve"> Reports </w:t>
      </w:r>
      <w:r w:rsidR="00771EEB">
        <w:rPr>
          <w:rFonts w:ascii="Baskerville" w:eastAsia="Times New Roman" w:hAnsi="Baskerville" w:cs="Baskerville"/>
          <w:noProof/>
          <w:sz w:val="22"/>
          <w:szCs w:val="22"/>
        </w:rPr>
        <w:t xml:space="preserve">a convergent gene network </w:t>
      </w:r>
      <w:r w:rsidR="00F4179E">
        <w:rPr>
          <w:rFonts w:ascii="Baskerville" w:eastAsia="Times New Roman" w:hAnsi="Baskerville" w:cs="Baskerville"/>
          <w:noProof/>
          <w:sz w:val="22"/>
          <w:szCs w:val="22"/>
        </w:rPr>
        <w:t xml:space="preserve">for monogenic and complex </w:t>
      </w:r>
      <w:r w:rsidR="00771EEB">
        <w:rPr>
          <w:rFonts w:ascii="Baskerville" w:eastAsia="Times New Roman" w:hAnsi="Baskerville" w:cs="Baskerville"/>
          <w:noProof/>
          <w:sz w:val="22"/>
          <w:szCs w:val="22"/>
        </w:rPr>
        <w:t>epilepsy</w:t>
      </w:r>
      <w:r w:rsidR="00771EEB" w:rsidRPr="004108CA">
        <w:rPr>
          <w:rFonts w:ascii="Baskerville" w:eastAsia="Times New Roman" w:hAnsi="Baskerville" w:cs="Baskerville"/>
          <w:noProof/>
          <w:sz w:val="22"/>
          <w:szCs w:val="22"/>
        </w:rPr>
        <w:t xml:space="preserve"> and </w:t>
      </w:r>
      <w:r w:rsidR="00F4179E">
        <w:rPr>
          <w:rFonts w:ascii="Baskerville" w:eastAsia="Times New Roman" w:hAnsi="Baskerville" w:cs="Baskerville"/>
          <w:noProof/>
          <w:sz w:val="22"/>
          <w:szCs w:val="22"/>
        </w:rPr>
        <w:t>outlines</w:t>
      </w:r>
      <w:r w:rsidR="00771EEB" w:rsidRPr="004108CA">
        <w:rPr>
          <w:rFonts w:ascii="Baskerville" w:eastAsia="Times New Roman" w:hAnsi="Baskerville" w:cs="Baskerville"/>
          <w:noProof/>
          <w:sz w:val="22"/>
          <w:szCs w:val="22"/>
        </w:rPr>
        <w:t xml:space="preserve"> a</w:t>
      </w:r>
      <w:r w:rsidR="00771EEB">
        <w:rPr>
          <w:rFonts w:ascii="Baskerville" w:eastAsia="Times New Roman" w:hAnsi="Baskerville" w:cs="Baskerville"/>
          <w:noProof/>
          <w:sz w:val="22"/>
          <w:szCs w:val="22"/>
        </w:rPr>
        <w:t xml:space="preserve"> network-based framework for new drug discovery in epilepsy</w:t>
      </w:r>
      <w:r w:rsidR="00771EEB" w:rsidRPr="004108CA">
        <w:rPr>
          <w:rFonts w:ascii="Baskerville" w:eastAsia="Times New Roman" w:hAnsi="Baskerville" w:cs="Baskerville"/>
          <w:noProof/>
          <w:sz w:val="22"/>
          <w:szCs w:val="22"/>
        </w:rPr>
        <w:t>.</w:t>
      </w:r>
    </w:p>
    <w:p w14:paraId="53C2825F" w14:textId="77777777" w:rsidR="00F3024F" w:rsidRDefault="00F3024F" w:rsidP="00F3024F">
      <w:pPr>
        <w:widowControl w:val="0"/>
        <w:autoSpaceDE w:val="0"/>
        <w:autoSpaceDN w:val="0"/>
        <w:adjustRightInd w:val="0"/>
        <w:ind w:left="640" w:hanging="640"/>
        <w:rPr>
          <w:rFonts w:ascii="Baskerville" w:hAnsi="Baskerville" w:cs="Baskerville"/>
          <w:noProof/>
          <w:sz w:val="22"/>
        </w:rPr>
      </w:pPr>
      <w:r w:rsidRPr="00F3024F">
        <w:rPr>
          <w:rFonts w:ascii="Baskerville" w:hAnsi="Baskerville" w:cs="Baskerville"/>
          <w:noProof/>
          <w:sz w:val="22"/>
        </w:rPr>
        <w:t xml:space="preserve">64. </w:t>
      </w:r>
      <w:r w:rsidRPr="00F3024F">
        <w:rPr>
          <w:rFonts w:ascii="Baskerville" w:hAnsi="Baskerville" w:cs="Baskerville"/>
          <w:noProof/>
          <w:sz w:val="22"/>
        </w:rPr>
        <w:tab/>
        <w:t xml:space="preserve">Johnson MR, Behmoaras J, Bottolo L, Krishnan ML, Pernhorst K, Santoscoy PLM, Rossetti T, Speed D, Srivastava PK, Chadeau-Hyam M, et al.: </w:t>
      </w:r>
      <w:r w:rsidRPr="00F3024F">
        <w:rPr>
          <w:rFonts w:ascii="Baskerville" w:hAnsi="Baskerville" w:cs="Baskerville"/>
          <w:b/>
          <w:bCs/>
          <w:noProof/>
          <w:sz w:val="22"/>
        </w:rPr>
        <w:t>Systems genetics identifies Sestrin 3 as a regulator of a proconvulsant gene network in human epileptic hippocampus [Internet]</w:t>
      </w:r>
      <w:r w:rsidRPr="00F3024F">
        <w:rPr>
          <w:rFonts w:ascii="Baskerville" w:hAnsi="Baskerville" w:cs="Baskerville"/>
          <w:noProof/>
          <w:sz w:val="22"/>
        </w:rPr>
        <w:t xml:space="preserve">. </w:t>
      </w:r>
      <w:r w:rsidRPr="00F3024F">
        <w:rPr>
          <w:rFonts w:ascii="Baskerville" w:hAnsi="Baskerville" w:cs="Baskerville"/>
          <w:i/>
          <w:iCs/>
          <w:noProof/>
          <w:sz w:val="22"/>
        </w:rPr>
        <w:t>Nat. Commun.</w:t>
      </w:r>
      <w:r w:rsidRPr="00F3024F">
        <w:rPr>
          <w:rFonts w:ascii="Baskerville" w:hAnsi="Baskerville" w:cs="Baskerville"/>
          <w:noProof/>
          <w:sz w:val="22"/>
        </w:rPr>
        <w:t xml:space="preserve"> 2015, </w:t>
      </w:r>
      <w:r w:rsidRPr="00F3024F">
        <w:rPr>
          <w:rFonts w:ascii="Baskerville" w:hAnsi="Baskerville" w:cs="Baskerville"/>
          <w:b/>
          <w:bCs/>
          <w:noProof/>
          <w:sz w:val="22"/>
        </w:rPr>
        <w:t>6</w:t>
      </w:r>
      <w:r w:rsidRPr="00F3024F">
        <w:rPr>
          <w:rFonts w:ascii="Baskerville" w:hAnsi="Baskerville" w:cs="Baskerville"/>
          <w:noProof/>
          <w:sz w:val="22"/>
        </w:rPr>
        <w:t>:6031.</w:t>
      </w:r>
    </w:p>
    <w:p w14:paraId="00F8EA9D" w14:textId="58F367AD" w:rsidR="00BA03DC" w:rsidRPr="00F3024F" w:rsidRDefault="00BA03DC" w:rsidP="00F3024F">
      <w:pPr>
        <w:widowControl w:val="0"/>
        <w:autoSpaceDE w:val="0"/>
        <w:autoSpaceDN w:val="0"/>
        <w:adjustRightInd w:val="0"/>
        <w:ind w:left="640" w:hanging="640"/>
        <w:rPr>
          <w:rFonts w:ascii="Baskerville" w:hAnsi="Baskerville" w:cs="Baskerville"/>
          <w:noProof/>
          <w:sz w:val="22"/>
        </w:rPr>
      </w:pPr>
      <w:r w:rsidRPr="004108CA">
        <w:rPr>
          <w:rFonts w:ascii="Baskerville" w:eastAsia="Times New Roman" w:hAnsi="Baskerville" w:cs="Baskerville"/>
          <w:noProof/>
          <w:sz w:val="22"/>
          <w:szCs w:val="22"/>
        </w:rPr>
        <w:t xml:space="preserve">* Describes </w:t>
      </w:r>
      <w:r>
        <w:rPr>
          <w:rFonts w:ascii="Baskerville" w:eastAsia="Times New Roman" w:hAnsi="Baskerville" w:cs="Baskerville"/>
          <w:noProof/>
          <w:sz w:val="22"/>
          <w:szCs w:val="22"/>
        </w:rPr>
        <w:t>the network-based discovery of a</w:t>
      </w:r>
      <w:r w:rsidRPr="004108CA">
        <w:rPr>
          <w:rFonts w:ascii="Baskerville" w:eastAsia="Times New Roman" w:hAnsi="Baskerville" w:cs="Baskerville"/>
          <w:noProof/>
          <w:sz w:val="22"/>
          <w:szCs w:val="22"/>
        </w:rPr>
        <w:t xml:space="preserve"> new drug target for epilepsy based on mapping the master regulator of an epilepsy gene network.</w:t>
      </w:r>
      <w:r>
        <w:rPr>
          <w:rFonts w:ascii="Baskerville" w:eastAsia="Times New Roman" w:hAnsi="Baskerville" w:cs="Baskerville"/>
          <w:noProof/>
          <w:sz w:val="22"/>
          <w:szCs w:val="22"/>
        </w:rPr>
        <w:t xml:space="preserve"> </w:t>
      </w:r>
    </w:p>
    <w:p w14:paraId="26B920FB" w14:textId="30E97004" w:rsidR="007D4661" w:rsidRPr="004108CA" w:rsidRDefault="00A73024" w:rsidP="00F3024F">
      <w:pPr>
        <w:widowControl w:val="0"/>
        <w:autoSpaceDE w:val="0"/>
        <w:autoSpaceDN w:val="0"/>
        <w:adjustRightInd w:val="0"/>
        <w:ind w:left="640" w:hanging="640"/>
        <w:rPr>
          <w:rFonts w:ascii="Baskerville" w:hAnsi="Baskerville" w:cs="Baskerville"/>
          <w:sz w:val="22"/>
          <w:szCs w:val="22"/>
        </w:rPr>
      </w:pPr>
      <w:r w:rsidRPr="004108CA">
        <w:rPr>
          <w:rFonts w:ascii="Baskerville" w:hAnsi="Baskerville" w:cs="Baskerville"/>
          <w:sz w:val="22"/>
          <w:szCs w:val="22"/>
        </w:rPr>
        <w:fldChar w:fldCharType="end"/>
      </w:r>
    </w:p>
    <w:sectPr w:rsidR="007D4661" w:rsidRPr="004108CA" w:rsidSect="00FE31A3">
      <w:footerReference w:type="even" r:id="rId9"/>
      <w:footerReference w:type="default" r:id="rId10"/>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871311" w14:textId="77777777" w:rsidR="00F52336" w:rsidRDefault="00F52336" w:rsidP="00AC698B">
      <w:r>
        <w:separator/>
      </w:r>
    </w:p>
  </w:endnote>
  <w:endnote w:type="continuationSeparator" w:id="0">
    <w:p w14:paraId="47BEC58C" w14:textId="77777777" w:rsidR="00F52336" w:rsidRDefault="00F52336" w:rsidP="00AC69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Lucida Grande">
    <w:altName w:val="Segoe UI"/>
    <w:panose1 w:val="020B0600040502020204"/>
    <w:charset w:val="00"/>
    <w:family w:val="auto"/>
    <w:pitch w:val="variable"/>
    <w:sig w:usb0="E1000AEF" w:usb1="5000A1FF" w:usb2="00000000" w:usb3="00000000" w:csb0="000001BF" w:csb1="00000000"/>
  </w:font>
  <w:font w:name="Baskerville">
    <w:panose1 w:val="02020502070401020303"/>
    <w:charset w:val="00"/>
    <w:family w:val="auto"/>
    <w:pitch w:val="variable"/>
    <w:sig w:usb0="80000067" w:usb1="00000000"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774871" w14:textId="77777777" w:rsidR="00951DE6" w:rsidRDefault="00951DE6" w:rsidP="0064314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958E5DE" w14:textId="77777777" w:rsidR="00951DE6" w:rsidRDefault="00951DE6" w:rsidP="00AC698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9CFDFB" w14:textId="7E5E7B59" w:rsidR="00951DE6" w:rsidRDefault="00951DE6" w:rsidP="0064314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E1F87">
      <w:rPr>
        <w:rStyle w:val="PageNumber"/>
        <w:noProof/>
      </w:rPr>
      <w:t>9</w:t>
    </w:r>
    <w:r>
      <w:rPr>
        <w:rStyle w:val="PageNumber"/>
      </w:rPr>
      <w:fldChar w:fldCharType="end"/>
    </w:r>
  </w:p>
  <w:p w14:paraId="0C995D4D" w14:textId="77777777" w:rsidR="00951DE6" w:rsidRDefault="00951DE6" w:rsidP="00AC698B">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4B7495" w14:textId="77777777" w:rsidR="00F52336" w:rsidRDefault="00F52336" w:rsidP="00AC698B">
      <w:r>
        <w:separator/>
      </w:r>
    </w:p>
  </w:footnote>
  <w:footnote w:type="continuationSeparator" w:id="0">
    <w:p w14:paraId="41102BAB" w14:textId="77777777" w:rsidR="00F52336" w:rsidRDefault="00F52336" w:rsidP="00AC698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962C1E"/>
    <w:multiLevelType w:val="hybridMultilevel"/>
    <w:tmpl w:val="7A92B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EF9173F"/>
    <w:multiLevelType w:val="hybridMultilevel"/>
    <w:tmpl w:val="17E2903E"/>
    <w:lvl w:ilvl="0" w:tplc="1E90E9FA">
      <w:start w:val="1"/>
      <w:numFmt w:val="bullet"/>
      <w:lvlText w:val="•"/>
      <w:lvlJc w:val="left"/>
      <w:pPr>
        <w:tabs>
          <w:tab w:val="num" w:pos="720"/>
        </w:tabs>
        <w:ind w:left="720" w:hanging="360"/>
      </w:pPr>
      <w:rPr>
        <w:rFonts w:ascii="Times" w:hAnsi="Times" w:hint="default"/>
      </w:rPr>
    </w:lvl>
    <w:lvl w:ilvl="1" w:tplc="A198F226" w:tentative="1">
      <w:start w:val="1"/>
      <w:numFmt w:val="bullet"/>
      <w:lvlText w:val="•"/>
      <w:lvlJc w:val="left"/>
      <w:pPr>
        <w:tabs>
          <w:tab w:val="num" w:pos="1440"/>
        </w:tabs>
        <w:ind w:left="1440" w:hanging="360"/>
      </w:pPr>
      <w:rPr>
        <w:rFonts w:ascii="Times" w:hAnsi="Times" w:hint="default"/>
      </w:rPr>
    </w:lvl>
    <w:lvl w:ilvl="2" w:tplc="2F4A9560" w:tentative="1">
      <w:start w:val="1"/>
      <w:numFmt w:val="bullet"/>
      <w:lvlText w:val="•"/>
      <w:lvlJc w:val="left"/>
      <w:pPr>
        <w:tabs>
          <w:tab w:val="num" w:pos="2160"/>
        </w:tabs>
        <w:ind w:left="2160" w:hanging="360"/>
      </w:pPr>
      <w:rPr>
        <w:rFonts w:ascii="Times" w:hAnsi="Times" w:hint="default"/>
      </w:rPr>
    </w:lvl>
    <w:lvl w:ilvl="3" w:tplc="F0D8585C" w:tentative="1">
      <w:start w:val="1"/>
      <w:numFmt w:val="bullet"/>
      <w:lvlText w:val="•"/>
      <w:lvlJc w:val="left"/>
      <w:pPr>
        <w:tabs>
          <w:tab w:val="num" w:pos="2880"/>
        </w:tabs>
        <w:ind w:left="2880" w:hanging="360"/>
      </w:pPr>
      <w:rPr>
        <w:rFonts w:ascii="Times" w:hAnsi="Times" w:hint="default"/>
      </w:rPr>
    </w:lvl>
    <w:lvl w:ilvl="4" w:tplc="5746792A" w:tentative="1">
      <w:start w:val="1"/>
      <w:numFmt w:val="bullet"/>
      <w:lvlText w:val="•"/>
      <w:lvlJc w:val="left"/>
      <w:pPr>
        <w:tabs>
          <w:tab w:val="num" w:pos="3600"/>
        </w:tabs>
        <w:ind w:left="3600" w:hanging="360"/>
      </w:pPr>
      <w:rPr>
        <w:rFonts w:ascii="Times" w:hAnsi="Times" w:hint="default"/>
      </w:rPr>
    </w:lvl>
    <w:lvl w:ilvl="5" w:tplc="CB249968" w:tentative="1">
      <w:start w:val="1"/>
      <w:numFmt w:val="bullet"/>
      <w:lvlText w:val="•"/>
      <w:lvlJc w:val="left"/>
      <w:pPr>
        <w:tabs>
          <w:tab w:val="num" w:pos="4320"/>
        </w:tabs>
        <w:ind w:left="4320" w:hanging="360"/>
      </w:pPr>
      <w:rPr>
        <w:rFonts w:ascii="Times" w:hAnsi="Times" w:hint="default"/>
      </w:rPr>
    </w:lvl>
    <w:lvl w:ilvl="6" w:tplc="95C2E1E2" w:tentative="1">
      <w:start w:val="1"/>
      <w:numFmt w:val="bullet"/>
      <w:lvlText w:val="•"/>
      <w:lvlJc w:val="left"/>
      <w:pPr>
        <w:tabs>
          <w:tab w:val="num" w:pos="5040"/>
        </w:tabs>
        <w:ind w:left="5040" w:hanging="360"/>
      </w:pPr>
      <w:rPr>
        <w:rFonts w:ascii="Times" w:hAnsi="Times" w:hint="default"/>
      </w:rPr>
    </w:lvl>
    <w:lvl w:ilvl="7" w:tplc="2724E8E8" w:tentative="1">
      <w:start w:val="1"/>
      <w:numFmt w:val="bullet"/>
      <w:lvlText w:val="•"/>
      <w:lvlJc w:val="left"/>
      <w:pPr>
        <w:tabs>
          <w:tab w:val="num" w:pos="5760"/>
        </w:tabs>
        <w:ind w:left="5760" w:hanging="360"/>
      </w:pPr>
      <w:rPr>
        <w:rFonts w:ascii="Times" w:hAnsi="Times" w:hint="default"/>
      </w:rPr>
    </w:lvl>
    <w:lvl w:ilvl="8" w:tplc="AC828790" w:tentative="1">
      <w:start w:val="1"/>
      <w:numFmt w:val="bullet"/>
      <w:lvlText w:val="•"/>
      <w:lvlJc w:val="left"/>
      <w:pPr>
        <w:tabs>
          <w:tab w:val="num" w:pos="6480"/>
        </w:tabs>
        <w:ind w:left="6480" w:hanging="360"/>
      </w:pPr>
      <w:rPr>
        <w:rFonts w:ascii="Times" w:hAnsi="Time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4661"/>
    <w:rsid w:val="0000146A"/>
    <w:rsid w:val="00005ADC"/>
    <w:rsid w:val="00006E59"/>
    <w:rsid w:val="00013217"/>
    <w:rsid w:val="0001345F"/>
    <w:rsid w:val="0001357B"/>
    <w:rsid w:val="000235DA"/>
    <w:rsid w:val="000236E9"/>
    <w:rsid w:val="000328C0"/>
    <w:rsid w:val="00032D5F"/>
    <w:rsid w:val="000331E4"/>
    <w:rsid w:val="00037526"/>
    <w:rsid w:val="0004368B"/>
    <w:rsid w:val="00043839"/>
    <w:rsid w:val="000478FC"/>
    <w:rsid w:val="00056522"/>
    <w:rsid w:val="00060BAE"/>
    <w:rsid w:val="00061CB9"/>
    <w:rsid w:val="00062AFF"/>
    <w:rsid w:val="00067F30"/>
    <w:rsid w:val="00070B7F"/>
    <w:rsid w:val="00074A7E"/>
    <w:rsid w:val="00091FC6"/>
    <w:rsid w:val="00092803"/>
    <w:rsid w:val="000969C6"/>
    <w:rsid w:val="000969D9"/>
    <w:rsid w:val="00097B05"/>
    <w:rsid w:val="000A1594"/>
    <w:rsid w:val="000A16D1"/>
    <w:rsid w:val="000A1987"/>
    <w:rsid w:val="000A1FB6"/>
    <w:rsid w:val="000A577E"/>
    <w:rsid w:val="000A77BF"/>
    <w:rsid w:val="000A7CC3"/>
    <w:rsid w:val="000B18DE"/>
    <w:rsid w:val="000B3D67"/>
    <w:rsid w:val="000C178B"/>
    <w:rsid w:val="000C2E93"/>
    <w:rsid w:val="000C5AE8"/>
    <w:rsid w:val="000D07E5"/>
    <w:rsid w:val="000D1D2E"/>
    <w:rsid w:val="000D24C7"/>
    <w:rsid w:val="000D2DBC"/>
    <w:rsid w:val="000D3497"/>
    <w:rsid w:val="000D609A"/>
    <w:rsid w:val="000D77A4"/>
    <w:rsid w:val="000E1F87"/>
    <w:rsid w:val="000E2DB7"/>
    <w:rsid w:val="000E6C22"/>
    <w:rsid w:val="000E7163"/>
    <w:rsid w:val="000E79A5"/>
    <w:rsid w:val="000E7F6A"/>
    <w:rsid w:val="000F24AE"/>
    <w:rsid w:val="000F2E68"/>
    <w:rsid w:val="000F3BA7"/>
    <w:rsid w:val="000F51F4"/>
    <w:rsid w:val="00101446"/>
    <w:rsid w:val="00104662"/>
    <w:rsid w:val="0010498E"/>
    <w:rsid w:val="00105560"/>
    <w:rsid w:val="00105859"/>
    <w:rsid w:val="00111A6D"/>
    <w:rsid w:val="00116C63"/>
    <w:rsid w:val="001174E8"/>
    <w:rsid w:val="00125D1C"/>
    <w:rsid w:val="00125EAA"/>
    <w:rsid w:val="001263E0"/>
    <w:rsid w:val="0012753B"/>
    <w:rsid w:val="00127741"/>
    <w:rsid w:val="001315CD"/>
    <w:rsid w:val="00137E68"/>
    <w:rsid w:val="0014097C"/>
    <w:rsid w:val="00140F2B"/>
    <w:rsid w:val="0015259A"/>
    <w:rsid w:val="00153838"/>
    <w:rsid w:val="001562F0"/>
    <w:rsid w:val="001649A0"/>
    <w:rsid w:val="00167A13"/>
    <w:rsid w:val="00171AF0"/>
    <w:rsid w:val="001757E6"/>
    <w:rsid w:val="00175955"/>
    <w:rsid w:val="00176336"/>
    <w:rsid w:val="0017729F"/>
    <w:rsid w:val="0018465F"/>
    <w:rsid w:val="001848A5"/>
    <w:rsid w:val="00185752"/>
    <w:rsid w:val="00185D4E"/>
    <w:rsid w:val="00193674"/>
    <w:rsid w:val="001938B3"/>
    <w:rsid w:val="00195D31"/>
    <w:rsid w:val="00197024"/>
    <w:rsid w:val="001A25B7"/>
    <w:rsid w:val="001A2917"/>
    <w:rsid w:val="001A3CB4"/>
    <w:rsid w:val="001B69E3"/>
    <w:rsid w:val="001C3A16"/>
    <w:rsid w:val="001C482C"/>
    <w:rsid w:val="001D0369"/>
    <w:rsid w:val="001D0919"/>
    <w:rsid w:val="001D22B9"/>
    <w:rsid w:val="001D3016"/>
    <w:rsid w:val="001E0A1C"/>
    <w:rsid w:val="001E381F"/>
    <w:rsid w:val="001E4C5D"/>
    <w:rsid w:val="001F03C1"/>
    <w:rsid w:val="001F049C"/>
    <w:rsid w:val="001F40D2"/>
    <w:rsid w:val="001F5544"/>
    <w:rsid w:val="0020004E"/>
    <w:rsid w:val="00200592"/>
    <w:rsid w:val="002007E5"/>
    <w:rsid w:val="00203441"/>
    <w:rsid w:val="00220CD9"/>
    <w:rsid w:val="00220E98"/>
    <w:rsid w:val="0022278A"/>
    <w:rsid w:val="00223E10"/>
    <w:rsid w:val="0023581A"/>
    <w:rsid w:val="0024314E"/>
    <w:rsid w:val="00247263"/>
    <w:rsid w:val="0024764C"/>
    <w:rsid w:val="0025109B"/>
    <w:rsid w:val="00251520"/>
    <w:rsid w:val="00252217"/>
    <w:rsid w:val="002534E6"/>
    <w:rsid w:val="00257F8A"/>
    <w:rsid w:val="0026154A"/>
    <w:rsid w:val="00261EF5"/>
    <w:rsid w:val="0026381E"/>
    <w:rsid w:val="00264BB5"/>
    <w:rsid w:val="00264EB4"/>
    <w:rsid w:val="00270F9F"/>
    <w:rsid w:val="00271D5F"/>
    <w:rsid w:val="0027204B"/>
    <w:rsid w:val="00273CD7"/>
    <w:rsid w:val="0027655E"/>
    <w:rsid w:val="0028145D"/>
    <w:rsid w:val="002834B3"/>
    <w:rsid w:val="00283811"/>
    <w:rsid w:val="00283ABB"/>
    <w:rsid w:val="00286D99"/>
    <w:rsid w:val="002A0424"/>
    <w:rsid w:val="002A11A9"/>
    <w:rsid w:val="002A26C9"/>
    <w:rsid w:val="002A41D4"/>
    <w:rsid w:val="002A604D"/>
    <w:rsid w:val="002B19D2"/>
    <w:rsid w:val="002B39DE"/>
    <w:rsid w:val="002B3D8E"/>
    <w:rsid w:val="002B5CA4"/>
    <w:rsid w:val="002C62F0"/>
    <w:rsid w:val="002D2149"/>
    <w:rsid w:val="002D3F3F"/>
    <w:rsid w:val="002D4F56"/>
    <w:rsid w:val="002D5D04"/>
    <w:rsid w:val="002D7324"/>
    <w:rsid w:val="002E73AF"/>
    <w:rsid w:val="002F0659"/>
    <w:rsid w:val="002F332E"/>
    <w:rsid w:val="002F5E0A"/>
    <w:rsid w:val="002F7589"/>
    <w:rsid w:val="00301260"/>
    <w:rsid w:val="003063D4"/>
    <w:rsid w:val="00312E96"/>
    <w:rsid w:val="003147F4"/>
    <w:rsid w:val="00315E0A"/>
    <w:rsid w:val="00322D0A"/>
    <w:rsid w:val="00323EAE"/>
    <w:rsid w:val="00325430"/>
    <w:rsid w:val="00330F26"/>
    <w:rsid w:val="00332092"/>
    <w:rsid w:val="0033380A"/>
    <w:rsid w:val="00340321"/>
    <w:rsid w:val="003417B0"/>
    <w:rsid w:val="00344E41"/>
    <w:rsid w:val="0034569E"/>
    <w:rsid w:val="00350EA9"/>
    <w:rsid w:val="00351906"/>
    <w:rsid w:val="00353210"/>
    <w:rsid w:val="00354078"/>
    <w:rsid w:val="00354232"/>
    <w:rsid w:val="0035477F"/>
    <w:rsid w:val="00355A7A"/>
    <w:rsid w:val="0036140F"/>
    <w:rsid w:val="00361CB9"/>
    <w:rsid w:val="003658C0"/>
    <w:rsid w:val="00370244"/>
    <w:rsid w:val="00374040"/>
    <w:rsid w:val="003743D8"/>
    <w:rsid w:val="00380433"/>
    <w:rsid w:val="003815B5"/>
    <w:rsid w:val="00384446"/>
    <w:rsid w:val="00387C6F"/>
    <w:rsid w:val="00390A93"/>
    <w:rsid w:val="003943B5"/>
    <w:rsid w:val="00394F3B"/>
    <w:rsid w:val="003976AE"/>
    <w:rsid w:val="003A02F4"/>
    <w:rsid w:val="003A2583"/>
    <w:rsid w:val="003A3FBB"/>
    <w:rsid w:val="003B59A6"/>
    <w:rsid w:val="003C115A"/>
    <w:rsid w:val="003C45E1"/>
    <w:rsid w:val="003C4FB5"/>
    <w:rsid w:val="003C6A63"/>
    <w:rsid w:val="003D11B2"/>
    <w:rsid w:val="003D3E26"/>
    <w:rsid w:val="003D7BF3"/>
    <w:rsid w:val="003E04BF"/>
    <w:rsid w:val="003E0ED6"/>
    <w:rsid w:val="003E4E96"/>
    <w:rsid w:val="003E5853"/>
    <w:rsid w:val="003F2B67"/>
    <w:rsid w:val="003F54CF"/>
    <w:rsid w:val="003F76BF"/>
    <w:rsid w:val="004004FB"/>
    <w:rsid w:val="00402DEC"/>
    <w:rsid w:val="0040590F"/>
    <w:rsid w:val="00406ADF"/>
    <w:rsid w:val="00410712"/>
    <w:rsid w:val="004108CA"/>
    <w:rsid w:val="00413325"/>
    <w:rsid w:val="00415EF9"/>
    <w:rsid w:val="00424197"/>
    <w:rsid w:val="0042458E"/>
    <w:rsid w:val="00430F50"/>
    <w:rsid w:val="0043311B"/>
    <w:rsid w:val="004418D2"/>
    <w:rsid w:val="00445364"/>
    <w:rsid w:val="00445DF0"/>
    <w:rsid w:val="00450417"/>
    <w:rsid w:val="0047036A"/>
    <w:rsid w:val="00470670"/>
    <w:rsid w:val="00473190"/>
    <w:rsid w:val="0047732F"/>
    <w:rsid w:val="00480169"/>
    <w:rsid w:val="00492068"/>
    <w:rsid w:val="00496735"/>
    <w:rsid w:val="004A3D50"/>
    <w:rsid w:val="004A4201"/>
    <w:rsid w:val="004B52EF"/>
    <w:rsid w:val="004C7F92"/>
    <w:rsid w:val="004D3B7D"/>
    <w:rsid w:val="004D3CF9"/>
    <w:rsid w:val="004D5647"/>
    <w:rsid w:val="004D6943"/>
    <w:rsid w:val="004E1116"/>
    <w:rsid w:val="004E5CF4"/>
    <w:rsid w:val="004E68DB"/>
    <w:rsid w:val="004F04D0"/>
    <w:rsid w:val="004F182C"/>
    <w:rsid w:val="0050036D"/>
    <w:rsid w:val="00502205"/>
    <w:rsid w:val="00502416"/>
    <w:rsid w:val="00506ACE"/>
    <w:rsid w:val="00506BC9"/>
    <w:rsid w:val="00510AA5"/>
    <w:rsid w:val="00514731"/>
    <w:rsid w:val="00515084"/>
    <w:rsid w:val="005219EC"/>
    <w:rsid w:val="005250E0"/>
    <w:rsid w:val="0052650A"/>
    <w:rsid w:val="00530987"/>
    <w:rsid w:val="005319A1"/>
    <w:rsid w:val="00532068"/>
    <w:rsid w:val="005419F7"/>
    <w:rsid w:val="005431EC"/>
    <w:rsid w:val="00546121"/>
    <w:rsid w:val="00546B94"/>
    <w:rsid w:val="0054793F"/>
    <w:rsid w:val="00547D67"/>
    <w:rsid w:val="0055069B"/>
    <w:rsid w:val="00551155"/>
    <w:rsid w:val="005536F9"/>
    <w:rsid w:val="00554924"/>
    <w:rsid w:val="005571D9"/>
    <w:rsid w:val="00561768"/>
    <w:rsid w:val="00562417"/>
    <w:rsid w:val="005643D9"/>
    <w:rsid w:val="0056652B"/>
    <w:rsid w:val="005669D3"/>
    <w:rsid w:val="0057450B"/>
    <w:rsid w:val="005773E4"/>
    <w:rsid w:val="005812BD"/>
    <w:rsid w:val="0058219E"/>
    <w:rsid w:val="00585FFB"/>
    <w:rsid w:val="0059443C"/>
    <w:rsid w:val="00595E2F"/>
    <w:rsid w:val="00597E88"/>
    <w:rsid w:val="005A03AA"/>
    <w:rsid w:val="005A07CF"/>
    <w:rsid w:val="005A3969"/>
    <w:rsid w:val="005A751F"/>
    <w:rsid w:val="005A7E5F"/>
    <w:rsid w:val="005B1B9D"/>
    <w:rsid w:val="005B3904"/>
    <w:rsid w:val="005B4677"/>
    <w:rsid w:val="005B6F88"/>
    <w:rsid w:val="005C4184"/>
    <w:rsid w:val="005C5A63"/>
    <w:rsid w:val="005D06EC"/>
    <w:rsid w:val="005D06F9"/>
    <w:rsid w:val="005D17E1"/>
    <w:rsid w:val="005D282B"/>
    <w:rsid w:val="005D3C90"/>
    <w:rsid w:val="005D69D6"/>
    <w:rsid w:val="005D703F"/>
    <w:rsid w:val="005D7E84"/>
    <w:rsid w:val="005E3DEC"/>
    <w:rsid w:val="005E4C0B"/>
    <w:rsid w:val="005F5898"/>
    <w:rsid w:val="00601A2F"/>
    <w:rsid w:val="00601C36"/>
    <w:rsid w:val="00602FF1"/>
    <w:rsid w:val="00606DE4"/>
    <w:rsid w:val="006153B8"/>
    <w:rsid w:val="0061560F"/>
    <w:rsid w:val="00615768"/>
    <w:rsid w:val="00616D34"/>
    <w:rsid w:val="00620EE3"/>
    <w:rsid w:val="0062316E"/>
    <w:rsid w:val="00625B81"/>
    <w:rsid w:val="0063378E"/>
    <w:rsid w:val="006357B2"/>
    <w:rsid w:val="00637EFD"/>
    <w:rsid w:val="00643145"/>
    <w:rsid w:val="0064496C"/>
    <w:rsid w:val="0065123A"/>
    <w:rsid w:val="006524FE"/>
    <w:rsid w:val="006525EE"/>
    <w:rsid w:val="00653918"/>
    <w:rsid w:val="00655D71"/>
    <w:rsid w:val="00664F8F"/>
    <w:rsid w:val="006721C8"/>
    <w:rsid w:val="00672BC4"/>
    <w:rsid w:val="006740E4"/>
    <w:rsid w:val="006757B1"/>
    <w:rsid w:val="00677952"/>
    <w:rsid w:val="006826EB"/>
    <w:rsid w:val="006838BF"/>
    <w:rsid w:val="00683CC3"/>
    <w:rsid w:val="00687D0A"/>
    <w:rsid w:val="00697530"/>
    <w:rsid w:val="006B0743"/>
    <w:rsid w:val="006C70CB"/>
    <w:rsid w:val="006D1B38"/>
    <w:rsid w:val="006D32D7"/>
    <w:rsid w:val="006D34D8"/>
    <w:rsid w:val="006E14C2"/>
    <w:rsid w:val="006E49B5"/>
    <w:rsid w:val="006E504F"/>
    <w:rsid w:val="006F216F"/>
    <w:rsid w:val="006F2415"/>
    <w:rsid w:val="006F70AF"/>
    <w:rsid w:val="006F7B12"/>
    <w:rsid w:val="006F7B8A"/>
    <w:rsid w:val="00713C84"/>
    <w:rsid w:val="0072098B"/>
    <w:rsid w:val="007223D6"/>
    <w:rsid w:val="007261FD"/>
    <w:rsid w:val="007353FF"/>
    <w:rsid w:val="00735D13"/>
    <w:rsid w:val="00736B73"/>
    <w:rsid w:val="007412E5"/>
    <w:rsid w:val="007457D7"/>
    <w:rsid w:val="007465FB"/>
    <w:rsid w:val="00752FD7"/>
    <w:rsid w:val="0075581E"/>
    <w:rsid w:val="00763822"/>
    <w:rsid w:val="00770A74"/>
    <w:rsid w:val="00771EEB"/>
    <w:rsid w:val="00775D15"/>
    <w:rsid w:val="00775DA8"/>
    <w:rsid w:val="0077626F"/>
    <w:rsid w:val="00786395"/>
    <w:rsid w:val="00790E97"/>
    <w:rsid w:val="00790F03"/>
    <w:rsid w:val="0079558C"/>
    <w:rsid w:val="0079616A"/>
    <w:rsid w:val="007A13CB"/>
    <w:rsid w:val="007A4979"/>
    <w:rsid w:val="007A5182"/>
    <w:rsid w:val="007A6745"/>
    <w:rsid w:val="007B2F59"/>
    <w:rsid w:val="007B48D7"/>
    <w:rsid w:val="007C04A7"/>
    <w:rsid w:val="007C1282"/>
    <w:rsid w:val="007C7A88"/>
    <w:rsid w:val="007D26B2"/>
    <w:rsid w:val="007D3D45"/>
    <w:rsid w:val="007D4661"/>
    <w:rsid w:val="007E2304"/>
    <w:rsid w:val="007E4B27"/>
    <w:rsid w:val="007F1674"/>
    <w:rsid w:val="007F39D8"/>
    <w:rsid w:val="007F64F2"/>
    <w:rsid w:val="007F6895"/>
    <w:rsid w:val="007F7FE5"/>
    <w:rsid w:val="00801526"/>
    <w:rsid w:val="008020EB"/>
    <w:rsid w:val="00811FB8"/>
    <w:rsid w:val="00816F49"/>
    <w:rsid w:val="00816F57"/>
    <w:rsid w:val="00816FF5"/>
    <w:rsid w:val="00817343"/>
    <w:rsid w:val="00822318"/>
    <w:rsid w:val="008247EF"/>
    <w:rsid w:val="00825EA9"/>
    <w:rsid w:val="00833CFA"/>
    <w:rsid w:val="008407DD"/>
    <w:rsid w:val="0084180B"/>
    <w:rsid w:val="008459BD"/>
    <w:rsid w:val="00847875"/>
    <w:rsid w:val="00852109"/>
    <w:rsid w:val="008526C8"/>
    <w:rsid w:val="00853C0F"/>
    <w:rsid w:val="008554E8"/>
    <w:rsid w:val="008611EC"/>
    <w:rsid w:val="00861B30"/>
    <w:rsid w:val="0086322E"/>
    <w:rsid w:val="00867AAA"/>
    <w:rsid w:val="00873772"/>
    <w:rsid w:val="008739B0"/>
    <w:rsid w:val="008742B7"/>
    <w:rsid w:val="00874C26"/>
    <w:rsid w:val="00874ECF"/>
    <w:rsid w:val="00875B14"/>
    <w:rsid w:val="00880237"/>
    <w:rsid w:val="0088082D"/>
    <w:rsid w:val="00881ACE"/>
    <w:rsid w:val="00884BC3"/>
    <w:rsid w:val="008850B7"/>
    <w:rsid w:val="00887152"/>
    <w:rsid w:val="0088751D"/>
    <w:rsid w:val="00887BB7"/>
    <w:rsid w:val="00890651"/>
    <w:rsid w:val="00891479"/>
    <w:rsid w:val="008917DF"/>
    <w:rsid w:val="008934F2"/>
    <w:rsid w:val="008944E2"/>
    <w:rsid w:val="00894653"/>
    <w:rsid w:val="008964F2"/>
    <w:rsid w:val="00896757"/>
    <w:rsid w:val="00896A82"/>
    <w:rsid w:val="008B1A93"/>
    <w:rsid w:val="008B1E66"/>
    <w:rsid w:val="008B3323"/>
    <w:rsid w:val="008C6ADB"/>
    <w:rsid w:val="008D211F"/>
    <w:rsid w:val="008D27AC"/>
    <w:rsid w:val="008D39D5"/>
    <w:rsid w:val="008D6F3E"/>
    <w:rsid w:val="008E05A7"/>
    <w:rsid w:val="008E14EA"/>
    <w:rsid w:val="008E3BC7"/>
    <w:rsid w:val="008E47C5"/>
    <w:rsid w:val="008E4A19"/>
    <w:rsid w:val="008F06DE"/>
    <w:rsid w:val="008F3B6D"/>
    <w:rsid w:val="008F4DC2"/>
    <w:rsid w:val="008F6EC0"/>
    <w:rsid w:val="009050EF"/>
    <w:rsid w:val="009058DD"/>
    <w:rsid w:val="00913B93"/>
    <w:rsid w:val="00914090"/>
    <w:rsid w:val="00914EC9"/>
    <w:rsid w:val="009176B1"/>
    <w:rsid w:val="00920B96"/>
    <w:rsid w:val="00923FF7"/>
    <w:rsid w:val="00924AFD"/>
    <w:rsid w:val="0092532C"/>
    <w:rsid w:val="00925EEA"/>
    <w:rsid w:val="00930910"/>
    <w:rsid w:val="00936BAA"/>
    <w:rsid w:val="0094145D"/>
    <w:rsid w:val="00943A9D"/>
    <w:rsid w:val="00944B53"/>
    <w:rsid w:val="0094660D"/>
    <w:rsid w:val="00951DE6"/>
    <w:rsid w:val="00961AB2"/>
    <w:rsid w:val="009620BC"/>
    <w:rsid w:val="0097264C"/>
    <w:rsid w:val="009740CF"/>
    <w:rsid w:val="009755DE"/>
    <w:rsid w:val="00982F5B"/>
    <w:rsid w:val="00983845"/>
    <w:rsid w:val="009850B8"/>
    <w:rsid w:val="00985C80"/>
    <w:rsid w:val="009864E3"/>
    <w:rsid w:val="009938BD"/>
    <w:rsid w:val="009943F9"/>
    <w:rsid w:val="0099604F"/>
    <w:rsid w:val="009A02C8"/>
    <w:rsid w:val="009A0739"/>
    <w:rsid w:val="009A34D2"/>
    <w:rsid w:val="009A3C11"/>
    <w:rsid w:val="009A42B7"/>
    <w:rsid w:val="009A4ECD"/>
    <w:rsid w:val="009A7415"/>
    <w:rsid w:val="009B0F45"/>
    <w:rsid w:val="009B4E47"/>
    <w:rsid w:val="009B4E65"/>
    <w:rsid w:val="009B6536"/>
    <w:rsid w:val="009C2F24"/>
    <w:rsid w:val="009C3792"/>
    <w:rsid w:val="009C503A"/>
    <w:rsid w:val="009C611C"/>
    <w:rsid w:val="009D2CB7"/>
    <w:rsid w:val="009D5FDE"/>
    <w:rsid w:val="009D78C4"/>
    <w:rsid w:val="009E1962"/>
    <w:rsid w:val="009F00DA"/>
    <w:rsid w:val="009F1EBC"/>
    <w:rsid w:val="009F3BB6"/>
    <w:rsid w:val="009F43AD"/>
    <w:rsid w:val="009F500F"/>
    <w:rsid w:val="009F5BDF"/>
    <w:rsid w:val="00A07468"/>
    <w:rsid w:val="00A07EC6"/>
    <w:rsid w:val="00A1039E"/>
    <w:rsid w:val="00A11B04"/>
    <w:rsid w:val="00A12129"/>
    <w:rsid w:val="00A13F74"/>
    <w:rsid w:val="00A2141E"/>
    <w:rsid w:val="00A21717"/>
    <w:rsid w:val="00A221AA"/>
    <w:rsid w:val="00A230DF"/>
    <w:rsid w:val="00A31AFF"/>
    <w:rsid w:val="00A32D77"/>
    <w:rsid w:val="00A33769"/>
    <w:rsid w:val="00A3480D"/>
    <w:rsid w:val="00A35339"/>
    <w:rsid w:val="00A36009"/>
    <w:rsid w:val="00A44713"/>
    <w:rsid w:val="00A44D11"/>
    <w:rsid w:val="00A44D1E"/>
    <w:rsid w:val="00A4539A"/>
    <w:rsid w:val="00A47804"/>
    <w:rsid w:val="00A52FAF"/>
    <w:rsid w:val="00A53DEB"/>
    <w:rsid w:val="00A5461B"/>
    <w:rsid w:val="00A56A69"/>
    <w:rsid w:val="00A57843"/>
    <w:rsid w:val="00A72CB1"/>
    <w:rsid w:val="00A73024"/>
    <w:rsid w:val="00A77FA7"/>
    <w:rsid w:val="00A84ABF"/>
    <w:rsid w:val="00A857D9"/>
    <w:rsid w:val="00A91DC7"/>
    <w:rsid w:val="00A91EEB"/>
    <w:rsid w:val="00A927C4"/>
    <w:rsid w:val="00A94B25"/>
    <w:rsid w:val="00A95B57"/>
    <w:rsid w:val="00A9618D"/>
    <w:rsid w:val="00AA01CD"/>
    <w:rsid w:val="00AA0A6A"/>
    <w:rsid w:val="00AB037B"/>
    <w:rsid w:val="00AB293D"/>
    <w:rsid w:val="00AB57D6"/>
    <w:rsid w:val="00AC698B"/>
    <w:rsid w:val="00AC7BA5"/>
    <w:rsid w:val="00AD4181"/>
    <w:rsid w:val="00AD7169"/>
    <w:rsid w:val="00AE3415"/>
    <w:rsid w:val="00AE4EE4"/>
    <w:rsid w:val="00AE5400"/>
    <w:rsid w:val="00AF28C5"/>
    <w:rsid w:val="00AF3604"/>
    <w:rsid w:val="00AF5412"/>
    <w:rsid w:val="00B00296"/>
    <w:rsid w:val="00B01F21"/>
    <w:rsid w:val="00B03C67"/>
    <w:rsid w:val="00B07C95"/>
    <w:rsid w:val="00B07F42"/>
    <w:rsid w:val="00B100CC"/>
    <w:rsid w:val="00B1032B"/>
    <w:rsid w:val="00B12B34"/>
    <w:rsid w:val="00B14806"/>
    <w:rsid w:val="00B20941"/>
    <w:rsid w:val="00B233F4"/>
    <w:rsid w:val="00B2411A"/>
    <w:rsid w:val="00B2444A"/>
    <w:rsid w:val="00B260D7"/>
    <w:rsid w:val="00B270E5"/>
    <w:rsid w:val="00B273D2"/>
    <w:rsid w:val="00B278B5"/>
    <w:rsid w:val="00B32F72"/>
    <w:rsid w:val="00B356BB"/>
    <w:rsid w:val="00B36698"/>
    <w:rsid w:val="00B376FB"/>
    <w:rsid w:val="00B42084"/>
    <w:rsid w:val="00B504EF"/>
    <w:rsid w:val="00B53564"/>
    <w:rsid w:val="00B57BFF"/>
    <w:rsid w:val="00B57E84"/>
    <w:rsid w:val="00B614F6"/>
    <w:rsid w:val="00B622FC"/>
    <w:rsid w:val="00B65773"/>
    <w:rsid w:val="00B72B96"/>
    <w:rsid w:val="00B732A9"/>
    <w:rsid w:val="00B7390E"/>
    <w:rsid w:val="00B7615D"/>
    <w:rsid w:val="00B76E74"/>
    <w:rsid w:val="00B82DA5"/>
    <w:rsid w:val="00B84C08"/>
    <w:rsid w:val="00B855C2"/>
    <w:rsid w:val="00B90BD9"/>
    <w:rsid w:val="00B90C50"/>
    <w:rsid w:val="00B910A8"/>
    <w:rsid w:val="00B9774B"/>
    <w:rsid w:val="00BA03DC"/>
    <w:rsid w:val="00BA312B"/>
    <w:rsid w:val="00BA5AF9"/>
    <w:rsid w:val="00BA6671"/>
    <w:rsid w:val="00BB1D12"/>
    <w:rsid w:val="00BC6905"/>
    <w:rsid w:val="00BC6B10"/>
    <w:rsid w:val="00BD2E86"/>
    <w:rsid w:val="00BD7381"/>
    <w:rsid w:val="00BE19D2"/>
    <w:rsid w:val="00BE71A5"/>
    <w:rsid w:val="00BF0E2C"/>
    <w:rsid w:val="00BF2D1F"/>
    <w:rsid w:val="00BF35F0"/>
    <w:rsid w:val="00BF4384"/>
    <w:rsid w:val="00C000B8"/>
    <w:rsid w:val="00C00471"/>
    <w:rsid w:val="00C015E6"/>
    <w:rsid w:val="00C02E12"/>
    <w:rsid w:val="00C06BAE"/>
    <w:rsid w:val="00C07473"/>
    <w:rsid w:val="00C117F8"/>
    <w:rsid w:val="00C129AF"/>
    <w:rsid w:val="00C14821"/>
    <w:rsid w:val="00C16450"/>
    <w:rsid w:val="00C16B5A"/>
    <w:rsid w:val="00C216BD"/>
    <w:rsid w:val="00C21AAF"/>
    <w:rsid w:val="00C23253"/>
    <w:rsid w:val="00C249DD"/>
    <w:rsid w:val="00C25425"/>
    <w:rsid w:val="00C27EB1"/>
    <w:rsid w:val="00C33800"/>
    <w:rsid w:val="00C33CEA"/>
    <w:rsid w:val="00C34F3C"/>
    <w:rsid w:val="00C402B8"/>
    <w:rsid w:val="00C437C7"/>
    <w:rsid w:val="00C517B5"/>
    <w:rsid w:val="00C51A25"/>
    <w:rsid w:val="00C5405A"/>
    <w:rsid w:val="00C57163"/>
    <w:rsid w:val="00C632BF"/>
    <w:rsid w:val="00C666E6"/>
    <w:rsid w:val="00C77FD0"/>
    <w:rsid w:val="00C81E00"/>
    <w:rsid w:val="00C82BE3"/>
    <w:rsid w:val="00C90936"/>
    <w:rsid w:val="00C92771"/>
    <w:rsid w:val="00CA2363"/>
    <w:rsid w:val="00CA5FD4"/>
    <w:rsid w:val="00CC1957"/>
    <w:rsid w:val="00CC1D65"/>
    <w:rsid w:val="00CC32BB"/>
    <w:rsid w:val="00CC467A"/>
    <w:rsid w:val="00CC708E"/>
    <w:rsid w:val="00CD1D8E"/>
    <w:rsid w:val="00CD1F1C"/>
    <w:rsid w:val="00CD3697"/>
    <w:rsid w:val="00CD58EB"/>
    <w:rsid w:val="00CD7109"/>
    <w:rsid w:val="00CE7292"/>
    <w:rsid w:val="00CF0EA6"/>
    <w:rsid w:val="00CF199A"/>
    <w:rsid w:val="00CF3686"/>
    <w:rsid w:val="00D00CAF"/>
    <w:rsid w:val="00D062CC"/>
    <w:rsid w:val="00D10BA8"/>
    <w:rsid w:val="00D215CF"/>
    <w:rsid w:val="00D23A82"/>
    <w:rsid w:val="00D25222"/>
    <w:rsid w:val="00D320FD"/>
    <w:rsid w:val="00D32EB2"/>
    <w:rsid w:val="00D32EFE"/>
    <w:rsid w:val="00D32F8B"/>
    <w:rsid w:val="00D3541A"/>
    <w:rsid w:val="00D4166E"/>
    <w:rsid w:val="00D419FE"/>
    <w:rsid w:val="00D426EA"/>
    <w:rsid w:val="00D42CEB"/>
    <w:rsid w:val="00D43AC2"/>
    <w:rsid w:val="00D43FD0"/>
    <w:rsid w:val="00D47FD7"/>
    <w:rsid w:val="00D55D61"/>
    <w:rsid w:val="00D56456"/>
    <w:rsid w:val="00D57837"/>
    <w:rsid w:val="00D61116"/>
    <w:rsid w:val="00D61D59"/>
    <w:rsid w:val="00D622EA"/>
    <w:rsid w:val="00D62A03"/>
    <w:rsid w:val="00D65C84"/>
    <w:rsid w:val="00D663CF"/>
    <w:rsid w:val="00D66433"/>
    <w:rsid w:val="00D67264"/>
    <w:rsid w:val="00D675C6"/>
    <w:rsid w:val="00D70C80"/>
    <w:rsid w:val="00D72013"/>
    <w:rsid w:val="00D75FEA"/>
    <w:rsid w:val="00D76285"/>
    <w:rsid w:val="00D764D5"/>
    <w:rsid w:val="00D7729F"/>
    <w:rsid w:val="00D86545"/>
    <w:rsid w:val="00D86EB1"/>
    <w:rsid w:val="00D93E41"/>
    <w:rsid w:val="00D94CC6"/>
    <w:rsid w:val="00D963BD"/>
    <w:rsid w:val="00D963C0"/>
    <w:rsid w:val="00D96C08"/>
    <w:rsid w:val="00D97129"/>
    <w:rsid w:val="00DA45E0"/>
    <w:rsid w:val="00DA6301"/>
    <w:rsid w:val="00DA6607"/>
    <w:rsid w:val="00DB289B"/>
    <w:rsid w:val="00DB29DD"/>
    <w:rsid w:val="00DB3F73"/>
    <w:rsid w:val="00DB7792"/>
    <w:rsid w:val="00DB7DC3"/>
    <w:rsid w:val="00DC0030"/>
    <w:rsid w:val="00DC6315"/>
    <w:rsid w:val="00DD24CD"/>
    <w:rsid w:val="00DD7F37"/>
    <w:rsid w:val="00DE0EFA"/>
    <w:rsid w:val="00DE1F62"/>
    <w:rsid w:val="00DE24E3"/>
    <w:rsid w:val="00DE2A19"/>
    <w:rsid w:val="00DE6775"/>
    <w:rsid w:val="00DE6C06"/>
    <w:rsid w:val="00DF1526"/>
    <w:rsid w:val="00DF5620"/>
    <w:rsid w:val="00DF56F8"/>
    <w:rsid w:val="00DF6E80"/>
    <w:rsid w:val="00E04D56"/>
    <w:rsid w:val="00E07552"/>
    <w:rsid w:val="00E11F86"/>
    <w:rsid w:val="00E12E3E"/>
    <w:rsid w:val="00E13B55"/>
    <w:rsid w:val="00E1581D"/>
    <w:rsid w:val="00E22E80"/>
    <w:rsid w:val="00E236C6"/>
    <w:rsid w:val="00E35B89"/>
    <w:rsid w:val="00E473F6"/>
    <w:rsid w:val="00E5202C"/>
    <w:rsid w:val="00E54039"/>
    <w:rsid w:val="00E54EA4"/>
    <w:rsid w:val="00E55ECC"/>
    <w:rsid w:val="00E60082"/>
    <w:rsid w:val="00E644AD"/>
    <w:rsid w:val="00E700B7"/>
    <w:rsid w:val="00E72527"/>
    <w:rsid w:val="00E75DE0"/>
    <w:rsid w:val="00E778DB"/>
    <w:rsid w:val="00E824B6"/>
    <w:rsid w:val="00E92E66"/>
    <w:rsid w:val="00E92F63"/>
    <w:rsid w:val="00E935DD"/>
    <w:rsid w:val="00EA278F"/>
    <w:rsid w:val="00EA548B"/>
    <w:rsid w:val="00EB06B0"/>
    <w:rsid w:val="00EB5C83"/>
    <w:rsid w:val="00EC77E8"/>
    <w:rsid w:val="00EC7816"/>
    <w:rsid w:val="00EC7E82"/>
    <w:rsid w:val="00ED01C7"/>
    <w:rsid w:val="00ED2E63"/>
    <w:rsid w:val="00ED5793"/>
    <w:rsid w:val="00ED7D0E"/>
    <w:rsid w:val="00EE0557"/>
    <w:rsid w:val="00EE3D97"/>
    <w:rsid w:val="00EE4BF6"/>
    <w:rsid w:val="00EE5988"/>
    <w:rsid w:val="00EE6285"/>
    <w:rsid w:val="00EF184A"/>
    <w:rsid w:val="00EF5752"/>
    <w:rsid w:val="00F049E2"/>
    <w:rsid w:val="00F07AEB"/>
    <w:rsid w:val="00F10C90"/>
    <w:rsid w:val="00F1551C"/>
    <w:rsid w:val="00F158B9"/>
    <w:rsid w:val="00F217C5"/>
    <w:rsid w:val="00F22FCB"/>
    <w:rsid w:val="00F23E9B"/>
    <w:rsid w:val="00F3024F"/>
    <w:rsid w:val="00F4179E"/>
    <w:rsid w:val="00F445A1"/>
    <w:rsid w:val="00F52336"/>
    <w:rsid w:val="00F558BF"/>
    <w:rsid w:val="00F565E4"/>
    <w:rsid w:val="00F60596"/>
    <w:rsid w:val="00F646BC"/>
    <w:rsid w:val="00F73AB6"/>
    <w:rsid w:val="00F73FC2"/>
    <w:rsid w:val="00F75EEE"/>
    <w:rsid w:val="00F813F5"/>
    <w:rsid w:val="00F83153"/>
    <w:rsid w:val="00F84BBB"/>
    <w:rsid w:val="00F92440"/>
    <w:rsid w:val="00F942B6"/>
    <w:rsid w:val="00F9645B"/>
    <w:rsid w:val="00F96D15"/>
    <w:rsid w:val="00FA0902"/>
    <w:rsid w:val="00FA1F31"/>
    <w:rsid w:val="00FA3545"/>
    <w:rsid w:val="00FA3A6B"/>
    <w:rsid w:val="00FA4EA7"/>
    <w:rsid w:val="00FA51F5"/>
    <w:rsid w:val="00FA55AD"/>
    <w:rsid w:val="00FB24E7"/>
    <w:rsid w:val="00FB2881"/>
    <w:rsid w:val="00FB3442"/>
    <w:rsid w:val="00FB39B0"/>
    <w:rsid w:val="00FB50F5"/>
    <w:rsid w:val="00FC5516"/>
    <w:rsid w:val="00FD0B46"/>
    <w:rsid w:val="00FD67D2"/>
    <w:rsid w:val="00FE0389"/>
    <w:rsid w:val="00FE31A3"/>
    <w:rsid w:val="00FE3CAA"/>
    <w:rsid w:val="00FF1A73"/>
    <w:rsid w:val="00FF38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87832DE"/>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A77BF"/>
    <w:pPr>
      <w:spacing w:before="100" w:beforeAutospacing="1" w:after="100" w:afterAutospacing="1"/>
    </w:pPr>
    <w:rPr>
      <w:rFonts w:ascii="Times" w:hAnsi="Times" w:cs="Times New Roman"/>
      <w:sz w:val="20"/>
      <w:szCs w:val="20"/>
      <w:lang w:val="en-GB"/>
    </w:rPr>
  </w:style>
  <w:style w:type="character" w:styleId="Hyperlink">
    <w:name w:val="Hyperlink"/>
    <w:basedOn w:val="DefaultParagraphFont"/>
    <w:uiPriority w:val="99"/>
    <w:unhideWhenUsed/>
    <w:rsid w:val="008D211F"/>
    <w:rPr>
      <w:color w:val="0000FF" w:themeColor="hyperlink"/>
      <w:u w:val="single"/>
    </w:rPr>
  </w:style>
  <w:style w:type="paragraph" w:styleId="Footer">
    <w:name w:val="footer"/>
    <w:basedOn w:val="Normal"/>
    <w:link w:val="FooterChar"/>
    <w:uiPriority w:val="99"/>
    <w:unhideWhenUsed/>
    <w:rsid w:val="00AC698B"/>
    <w:pPr>
      <w:tabs>
        <w:tab w:val="center" w:pos="4320"/>
        <w:tab w:val="right" w:pos="8640"/>
      </w:tabs>
    </w:pPr>
  </w:style>
  <w:style w:type="character" w:customStyle="1" w:styleId="FooterChar">
    <w:name w:val="Footer Char"/>
    <w:basedOn w:val="DefaultParagraphFont"/>
    <w:link w:val="Footer"/>
    <w:uiPriority w:val="99"/>
    <w:rsid w:val="00AC698B"/>
  </w:style>
  <w:style w:type="character" w:styleId="PageNumber">
    <w:name w:val="page number"/>
    <w:basedOn w:val="DefaultParagraphFont"/>
    <w:uiPriority w:val="99"/>
    <w:semiHidden/>
    <w:unhideWhenUsed/>
    <w:rsid w:val="00AC698B"/>
  </w:style>
  <w:style w:type="paragraph" w:styleId="Bibliography">
    <w:name w:val="Bibliography"/>
    <w:basedOn w:val="Normal"/>
    <w:next w:val="Normal"/>
    <w:uiPriority w:val="37"/>
    <w:unhideWhenUsed/>
    <w:rsid w:val="0024314E"/>
    <w:pPr>
      <w:spacing w:after="160" w:line="259" w:lineRule="auto"/>
    </w:pPr>
    <w:rPr>
      <w:rFonts w:eastAsiaTheme="minorHAnsi"/>
      <w:sz w:val="22"/>
      <w:szCs w:val="22"/>
      <w:lang w:val="en-GB"/>
    </w:rPr>
  </w:style>
  <w:style w:type="character" w:styleId="CommentReference">
    <w:name w:val="annotation reference"/>
    <w:basedOn w:val="DefaultParagraphFont"/>
    <w:uiPriority w:val="99"/>
    <w:semiHidden/>
    <w:unhideWhenUsed/>
    <w:rsid w:val="0024314E"/>
    <w:rPr>
      <w:sz w:val="16"/>
      <w:szCs w:val="16"/>
    </w:rPr>
  </w:style>
  <w:style w:type="paragraph" w:styleId="CommentText">
    <w:name w:val="annotation text"/>
    <w:basedOn w:val="Normal"/>
    <w:link w:val="CommentTextChar"/>
    <w:uiPriority w:val="99"/>
    <w:semiHidden/>
    <w:unhideWhenUsed/>
    <w:rsid w:val="0024314E"/>
    <w:pPr>
      <w:spacing w:after="160"/>
    </w:pPr>
    <w:rPr>
      <w:rFonts w:eastAsiaTheme="minorHAnsi"/>
      <w:sz w:val="20"/>
      <w:szCs w:val="20"/>
      <w:lang w:val="en-GB"/>
    </w:rPr>
  </w:style>
  <w:style w:type="character" w:customStyle="1" w:styleId="CommentTextChar">
    <w:name w:val="Comment Text Char"/>
    <w:basedOn w:val="DefaultParagraphFont"/>
    <w:link w:val="CommentText"/>
    <w:uiPriority w:val="99"/>
    <w:semiHidden/>
    <w:rsid w:val="0024314E"/>
    <w:rPr>
      <w:rFonts w:eastAsiaTheme="minorHAnsi"/>
      <w:sz w:val="20"/>
      <w:szCs w:val="20"/>
      <w:lang w:val="en-GB"/>
    </w:rPr>
  </w:style>
  <w:style w:type="paragraph" w:styleId="BalloonText">
    <w:name w:val="Balloon Text"/>
    <w:basedOn w:val="Normal"/>
    <w:link w:val="BalloonTextChar"/>
    <w:uiPriority w:val="99"/>
    <w:semiHidden/>
    <w:unhideWhenUsed/>
    <w:rsid w:val="0024314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4314E"/>
    <w:rPr>
      <w:rFonts w:ascii="Lucida Grande" w:hAnsi="Lucida Grande" w:cs="Lucida Grande"/>
      <w:sz w:val="18"/>
      <w:szCs w:val="18"/>
    </w:rPr>
  </w:style>
  <w:style w:type="paragraph" w:styleId="CommentSubject">
    <w:name w:val="annotation subject"/>
    <w:basedOn w:val="CommentText"/>
    <w:next w:val="CommentText"/>
    <w:link w:val="CommentSubjectChar"/>
    <w:uiPriority w:val="99"/>
    <w:semiHidden/>
    <w:unhideWhenUsed/>
    <w:rsid w:val="00125D1C"/>
    <w:pPr>
      <w:spacing w:after="0"/>
    </w:pPr>
    <w:rPr>
      <w:rFonts w:eastAsiaTheme="minorEastAsia"/>
      <w:b/>
      <w:bCs/>
      <w:lang w:val="en-US"/>
    </w:rPr>
  </w:style>
  <w:style w:type="character" w:customStyle="1" w:styleId="CommentSubjectChar">
    <w:name w:val="Comment Subject Char"/>
    <w:basedOn w:val="CommentTextChar"/>
    <w:link w:val="CommentSubject"/>
    <w:uiPriority w:val="99"/>
    <w:semiHidden/>
    <w:rsid w:val="00125D1C"/>
    <w:rPr>
      <w:rFonts w:eastAsiaTheme="minorHAnsi"/>
      <w:b/>
      <w:bCs/>
      <w:sz w:val="20"/>
      <w:szCs w:val="20"/>
      <w:lang w:val="en-GB"/>
    </w:rPr>
  </w:style>
  <w:style w:type="paragraph" w:styleId="Revision">
    <w:name w:val="Revision"/>
    <w:hidden/>
    <w:uiPriority w:val="99"/>
    <w:semiHidden/>
    <w:rsid w:val="00B7615D"/>
  </w:style>
  <w:style w:type="paragraph" w:styleId="ListParagraph">
    <w:name w:val="List Paragraph"/>
    <w:basedOn w:val="Normal"/>
    <w:uiPriority w:val="34"/>
    <w:qFormat/>
    <w:rsid w:val="00602F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180753">
      <w:bodyDiv w:val="1"/>
      <w:marLeft w:val="0"/>
      <w:marRight w:val="0"/>
      <w:marTop w:val="0"/>
      <w:marBottom w:val="0"/>
      <w:divBdr>
        <w:top w:val="none" w:sz="0" w:space="0" w:color="auto"/>
        <w:left w:val="none" w:sz="0" w:space="0" w:color="auto"/>
        <w:bottom w:val="none" w:sz="0" w:space="0" w:color="auto"/>
        <w:right w:val="none" w:sz="0" w:space="0" w:color="auto"/>
      </w:divBdr>
      <w:divsChild>
        <w:div w:id="2089844383">
          <w:marLeft w:val="0"/>
          <w:marRight w:val="0"/>
          <w:marTop w:val="77"/>
          <w:marBottom w:val="120"/>
          <w:divBdr>
            <w:top w:val="none" w:sz="0" w:space="0" w:color="auto"/>
            <w:left w:val="none" w:sz="0" w:space="0" w:color="auto"/>
            <w:bottom w:val="none" w:sz="0" w:space="0" w:color="auto"/>
            <w:right w:val="none" w:sz="0" w:space="0" w:color="auto"/>
          </w:divBdr>
        </w:div>
        <w:div w:id="405227379">
          <w:marLeft w:val="0"/>
          <w:marRight w:val="0"/>
          <w:marTop w:val="77"/>
          <w:marBottom w:val="120"/>
          <w:divBdr>
            <w:top w:val="none" w:sz="0" w:space="0" w:color="auto"/>
            <w:left w:val="none" w:sz="0" w:space="0" w:color="auto"/>
            <w:bottom w:val="none" w:sz="0" w:space="0" w:color="auto"/>
            <w:right w:val="none" w:sz="0" w:space="0" w:color="auto"/>
          </w:divBdr>
        </w:div>
        <w:div w:id="1370567909">
          <w:marLeft w:val="0"/>
          <w:marRight w:val="0"/>
          <w:marTop w:val="77"/>
          <w:marBottom w:val="120"/>
          <w:divBdr>
            <w:top w:val="none" w:sz="0" w:space="0" w:color="auto"/>
            <w:left w:val="none" w:sz="0" w:space="0" w:color="auto"/>
            <w:bottom w:val="none" w:sz="0" w:space="0" w:color="auto"/>
            <w:right w:val="none" w:sz="0" w:space="0" w:color="auto"/>
          </w:divBdr>
        </w:div>
        <w:div w:id="1744327112">
          <w:marLeft w:val="0"/>
          <w:marRight w:val="0"/>
          <w:marTop w:val="77"/>
          <w:marBottom w:val="120"/>
          <w:divBdr>
            <w:top w:val="none" w:sz="0" w:space="0" w:color="auto"/>
            <w:left w:val="none" w:sz="0" w:space="0" w:color="auto"/>
            <w:bottom w:val="none" w:sz="0" w:space="0" w:color="auto"/>
            <w:right w:val="none" w:sz="0" w:space="0" w:color="auto"/>
          </w:divBdr>
        </w:div>
        <w:div w:id="615404994">
          <w:marLeft w:val="0"/>
          <w:marRight w:val="0"/>
          <w:marTop w:val="77"/>
          <w:marBottom w:val="120"/>
          <w:divBdr>
            <w:top w:val="none" w:sz="0" w:space="0" w:color="auto"/>
            <w:left w:val="none" w:sz="0" w:space="0" w:color="auto"/>
            <w:bottom w:val="none" w:sz="0" w:space="0" w:color="auto"/>
            <w:right w:val="none" w:sz="0" w:space="0" w:color="auto"/>
          </w:divBdr>
        </w:div>
      </w:divsChild>
    </w:div>
    <w:div w:id="125528683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m.johnson@imperial.ac.uk" TargetMode="External"/><Relationship Id="rId8" Type="http://schemas.openxmlformats.org/officeDocument/2006/relationships/hyperlink" Target="http://www.drugbank.ca/stats" TargetMode="Externa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15</Pages>
  <Words>59432</Words>
  <Characters>338768</Characters>
  <Application>Microsoft Macintosh Word</Application>
  <DocSecurity>0</DocSecurity>
  <Lines>2823</Lines>
  <Paragraphs>794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397406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Johnson</dc:creator>
  <cp:lastModifiedBy>Michael Johnson</cp:lastModifiedBy>
  <cp:revision>27</cp:revision>
  <cp:lastPrinted>2016-11-14T15:06:00Z</cp:lastPrinted>
  <dcterms:created xsi:type="dcterms:W3CDTF">2016-12-13T11:55:00Z</dcterms:created>
  <dcterms:modified xsi:type="dcterms:W3CDTF">2016-12-13T14:56:00Z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c7ac0364-309c-3ae4-9b31-50d4bf620f79</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6th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16th edition (author-date)</vt:lpwstr>
  </property>
  <property fmtid="{D5CDD505-2E9C-101B-9397-08002B2CF9AE}" pid="14" name="Mendeley Recent Style Id 5_1">
    <vt:lpwstr>http://www.zotero.org/styles/current-opinion</vt:lpwstr>
  </property>
  <property fmtid="{D5CDD505-2E9C-101B-9397-08002B2CF9AE}" pid="15" name="Mendeley Recent Style Name 5_1">
    <vt:lpwstr>Current Opinion journals</vt:lpwstr>
  </property>
  <property fmtid="{D5CDD505-2E9C-101B-9397-08002B2CF9AE}" pid="16" name="Mendeley Recent Style Id 6_1">
    <vt:lpwstr>http://www.zotero.org/styles/harvard1</vt:lpwstr>
  </property>
  <property fmtid="{D5CDD505-2E9C-101B-9397-08002B2CF9AE}" pid="17" name="Mendeley Recent Style Name 6_1">
    <vt:lpwstr>Harvard Reference format 1 (author-date)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7th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Citation Style_1">
    <vt:lpwstr>http://www.zotero.org/styles/current-opinion</vt:lpwstr>
  </property>
</Properties>
</file>