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256099" w14:textId="77777777" w:rsidR="00605EA7" w:rsidRDefault="005A2565">
      <w:pPr>
        <w:pStyle w:val="Normal1"/>
        <w:spacing w:after="0" w:line="24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Private Equity: Where we have been and the road ahead</w:t>
      </w:r>
    </w:p>
    <w:p w14:paraId="31F79D3B" w14:textId="77777777" w:rsidR="00605EA7" w:rsidRDefault="00605EA7">
      <w:pPr>
        <w:pStyle w:val="Normal1"/>
        <w:spacing w:after="0" w:line="240" w:lineRule="auto"/>
        <w:jc w:val="center"/>
        <w:rPr>
          <w:rFonts w:ascii="Times New Roman" w:eastAsia="Times New Roman" w:hAnsi="Times New Roman" w:cs="Times New Roman"/>
          <w:sz w:val="24"/>
          <w:szCs w:val="24"/>
        </w:rPr>
      </w:pPr>
    </w:p>
    <w:p w14:paraId="0357BD80" w14:textId="77777777" w:rsidR="00605EA7" w:rsidRDefault="005A2565">
      <w:pPr>
        <w:pStyle w:val="Normal1"/>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Mike Wright</w:t>
      </w:r>
    </w:p>
    <w:p w14:paraId="580D7B8A"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Centre for Management Buyout Research</w:t>
      </w:r>
    </w:p>
    <w:p w14:paraId="18494523"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Imperial College Business School,</w:t>
      </w:r>
    </w:p>
    <w:p w14:paraId="4DEE07B0"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Exhibition Road</w:t>
      </w:r>
    </w:p>
    <w:p w14:paraId="3FA9B8B7"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London SW7 2AZ, UK</w:t>
      </w:r>
    </w:p>
    <w:p w14:paraId="6D200CC9" w14:textId="77777777" w:rsidR="00605EA7" w:rsidRDefault="00605EA7">
      <w:pPr>
        <w:pStyle w:val="Normal1"/>
        <w:spacing w:after="0" w:line="240" w:lineRule="auto"/>
        <w:jc w:val="center"/>
        <w:rPr>
          <w:rFonts w:ascii="Times New Roman" w:eastAsia="Times New Roman" w:hAnsi="Times New Roman" w:cs="Times New Roman"/>
          <w:sz w:val="24"/>
          <w:szCs w:val="24"/>
        </w:rPr>
      </w:pPr>
    </w:p>
    <w:p w14:paraId="01975FBA" w14:textId="77777777" w:rsidR="00605EA7" w:rsidRDefault="005A2565">
      <w:pPr>
        <w:pStyle w:val="Normal1"/>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Sarika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Pruthi</w:t>
      </w:r>
      <w:proofErr w:type="spellEnd"/>
    </w:p>
    <w:p w14:paraId="27401AD8"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Global Innovation &amp; Leadership,</w:t>
      </w:r>
    </w:p>
    <w:p w14:paraId="615293C1"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Lucas College &amp; Graduate School of Business,</w:t>
      </w:r>
    </w:p>
    <w:p w14:paraId="37FB3CCD"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San Jose State University (SJSU),</w:t>
      </w:r>
    </w:p>
    <w:p w14:paraId="3C585300"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Tower 950, One Washington Square,</w:t>
      </w:r>
    </w:p>
    <w:p w14:paraId="2374E844"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San José, CA 95192-0066, USA</w:t>
      </w:r>
    </w:p>
    <w:p w14:paraId="56FF3432"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Sarika.pruthi@sjsu.edu</w:t>
      </w:r>
    </w:p>
    <w:p w14:paraId="1782448C" w14:textId="77777777" w:rsidR="00605EA7" w:rsidRDefault="00605EA7">
      <w:pPr>
        <w:pStyle w:val="Normal1"/>
        <w:spacing w:after="0" w:line="240" w:lineRule="auto"/>
        <w:jc w:val="center"/>
        <w:rPr>
          <w:rFonts w:ascii="Times New Roman" w:eastAsia="Times New Roman" w:hAnsi="Times New Roman" w:cs="Times New Roman"/>
          <w:sz w:val="24"/>
          <w:szCs w:val="24"/>
        </w:rPr>
      </w:pPr>
    </w:p>
    <w:p w14:paraId="7B8C754A" w14:textId="77777777" w:rsidR="00605EA7" w:rsidRDefault="005A2565">
      <w:pPr>
        <w:pStyle w:val="Normal1"/>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Kevin </w:t>
      </w:r>
      <w:proofErr w:type="spellStart"/>
      <w:r>
        <w:rPr>
          <w:rFonts w:ascii="Times New Roman" w:eastAsia="Times New Roman" w:hAnsi="Times New Roman" w:cs="Times New Roman"/>
          <w:b/>
          <w:sz w:val="24"/>
          <w:szCs w:val="24"/>
        </w:rPr>
        <w:t>Amess</w:t>
      </w:r>
      <w:proofErr w:type="spellEnd"/>
    </w:p>
    <w:p w14:paraId="567C8E32"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Centre for Management Buyout Research</w:t>
      </w:r>
    </w:p>
    <w:p w14:paraId="0367E6D0"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p>
    <w:p w14:paraId="440E7A73"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Nottingham University Business School</w:t>
      </w:r>
    </w:p>
    <w:p w14:paraId="7A7C7327"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Jubilee Campus</w:t>
      </w:r>
    </w:p>
    <w:p w14:paraId="135A9628"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Nottingham NG8 1BB</w:t>
      </w:r>
    </w:p>
    <w:p w14:paraId="153F4118"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kevin.amess@nottingham.ac.uk</w:t>
      </w:r>
    </w:p>
    <w:p w14:paraId="36B0F0EA" w14:textId="77777777" w:rsidR="00605EA7" w:rsidRDefault="00605EA7">
      <w:pPr>
        <w:pStyle w:val="Normal1"/>
        <w:spacing w:after="0" w:line="240" w:lineRule="auto"/>
        <w:jc w:val="center"/>
        <w:rPr>
          <w:rFonts w:ascii="Times New Roman" w:eastAsia="Times New Roman" w:hAnsi="Times New Roman" w:cs="Times New Roman"/>
          <w:sz w:val="24"/>
          <w:szCs w:val="24"/>
        </w:rPr>
      </w:pPr>
    </w:p>
    <w:p w14:paraId="3D170784" w14:textId="77777777" w:rsidR="00605EA7" w:rsidRDefault="005A2565">
      <w:pPr>
        <w:pStyle w:val="Normal1"/>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Yan </w:t>
      </w:r>
      <w:proofErr w:type="spellStart"/>
      <w:r>
        <w:rPr>
          <w:rFonts w:ascii="Times New Roman" w:eastAsia="Times New Roman" w:hAnsi="Times New Roman" w:cs="Times New Roman"/>
          <w:b/>
          <w:sz w:val="24"/>
          <w:szCs w:val="24"/>
        </w:rPr>
        <w:t>Alperovych</w:t>
      </w:r>
      <w:proofErr w:type="spellEnd"/>
    </w:p>
    <w:p w14:paraId="378829DF" w14:textId="77777777" w:rsidR="00605EA7" w:rsidRDefault="005A2565">
      <w:pPr>
        <w:pStyle w:val="Normal1"/>
        <w:spacing w:after="0" w:line="240" w:lineRule="auto"/>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emlyon</w:t>
      </w:r>
      <w:proofErr w:type="spellEnd"/>
      <w:proofErr w:type="gramEnd"/>
      <w:r>
        <w:rPr>
          <w:rFonts w:ascii="Times New Roman" w:eastAsia="Times New Roman" w:hAnsi="Times New Roman" w:cs="Times New Roman"/>
          <w:sz w:val="24"/>
          <w:szCs w:val="24"/>
        </w:rPr>
        <w:t xml:space="preserve"> business school,</w:t>
      </w:r>
    </w:p>
    <w:p w14:paraId="7DBB1E75"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Centre for Entrepreneurial Finance</w:t>
      </w:r>
    </w:p>
    <w:p w14:paraId="0E8C7587"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Avenue Guy de </w:t>
      </w:r>
      <w:proofErr w:type="spellStart"/>
      <w:r>
        <w:rPr>
          <w:rFonts w:ascii="Times New Roman" w:eastAsia="Times New Roman" w:hAnsi="Times New Roman" w:cs="Times New Roman"/>
          <w:sz w:val="24"/>
          <w:szCs w:val="24"/>
        </w:rPr>
        <w:t>Collongue</w:t>
      </w:r>
      <w:proofErr w:type="spellEnd"/>
      <w:r>
        <w:rPr>
          <w:rFonts w:ascii="Times New Roman" w:eastAsia="Times New Roman" w:hAnsi="Times New Roman" w:cs="Times New Roman"/>
          <w:sz w:val="24"/>
          <w:szCs w:val="24"/>
        </w:rPr>
        <w:t>, CS 40203</w:t>
      </w:r>
    </w:p>
    <w:p w14:paraId="3D857BCF"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69134 </w:t>
      </w:r>
      <w:proofErr w:type="spellStart"/>
      <w:r>
        <w:rPr>
          <w:rFonts w:ascii="Times New Roman" w:eastAsia="Times New Roman" w:hAnsi="Times New Roman" w:cs="Times New Roman"/>
          <w:sz w:val="24"/>
          <w:szCs w:val="24"/>
        </w:rPr>
        <w:t>Ecully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cedex</w:t>
      </w:r>
      <w:proofErr w:type="spellEnd"/>
      <w:r>
        <w:rPr>
          <w:rFonts w:ascii="Times New Roman" w:eastAsia="Times New Roman" w:hAnsi="Times New Roman" w:cs="Times New Roman"/>
          <w:sz w:val="24"/>
          <w:szCs w:val="24"/>
        </w:rPr>
        <w:t>, France</w:t>
      </w:r>
    </w:p>
    <w:p w14:paraId="44EB7DC7" w14:textId="77777777" w:rsidR="00605EA7" w:rsidRDefault="005A2565">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alperovych@em-lyon.com</w:t>
      </w:r>
    </w:p>
    <w:p w14:paraId="1945235F" w14:textId="77777777" w:rsidR="00605EA7" w:rsidRDefault="00605EA7">
      <w:pPr>
        <w:pStyle w:val="Normal1"/>
        <w:spacing w:after="0" w:line="240" w:lineRule="auto"/>
        <w:rPr>
          <w:rFonts w:ascii="Times New Roman" w:eastAsia="Times New Roman" w:hAnsi="Times New Roman" w:cs="Times New Roman"/>
          <w:sz w:val="24"/>
          <w:szCs w:val="24"/>
        </w:rPr>
      </w:pPr>
    </w:p>
    <w:p w14:paraId="0C6AB274" w14:textId="77777777" w:rsidR="00605EA7" w:rsidRDefault="00605EA7">
      <w:pPr>
        <w:pStyle w:val="Normal1"/>
        <w:spacing w:after="0" w:line="240" w:lineRule="auto"/>
        <w:rPr>
          <w:rFonts w:ascii="Times New Roman" w:eastAsia="Times New Roman" w:hAnsi="Times New Roman" w:cs="Times New Roman"/>
          <w:sz w:val="24"/>
          <w:szCs w:val="24"/>
        </w:rPr>
      </w:pPr>
    </w:p>
    <w:p w14:paraId="744CD5CB" w14:textId="77777777" w:rsidR="00605EA7" w:rsidRDefault="00605EA7">
      <w:pPr>
        <w:pStyle w:val="Normal1"/>
        <w:spacing w:after="0" w:line="240" w:lineRule="auto"/>
        <w:rPr>
          <w:rFonts w:ascii="Times New Roman" w:eastAsia="Times New Roman" w:hAnsi="Times New Roman" w:cs="Times New Roman"/>
          <w:sz w:val="24"/>
          <w:szCs w:val="24"/>
        </w:rPr>
      </w:pPr>
    </w:p>
    <w:p w14:paraId="42B2BBCA" w14:textId="77777777" w:rsidR="00605EA7" w:rsidRDefault="005A2565">
      <w:pPr>
        <w:pStyle w:val="Normal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Authors are listed in reverse alphabetical order; all authors contributed equally</w:t>
      </w:r>
      <w:r>
        <w:rPr>
          <w:rFonts w:ascii="Times New Roman" w:eastAsia="Times New Roman" w:hAnsi="Times New Roman" w:cs="Times New Roman"/>
          <w:sz w:val="24"/>
          <w:szCs w:val="24"/>
        </w:rPr>
        <w:br/>
      </w:r>
    </w:p>
    <w:p w14:paraId="5DDB15B7" w14:textId="77777777" w:rsidR="00605EA7" w:rsidRDefault="005A2565">
      <w:pPr>
        <w:pStyle w:val="Normal1"/>
        <w:spacing w:after="0" w:line="240" w:lineRule="auto"/>
        <w:rPr>
          <w:rFonts w:ascii="Times New Roman" w:eastAsia="Times New Roman" w:hAnsi="Times New Roman" w:cs="Times New Roman"/>
          <w:sz w:val="24"/>
          <w:szCs w:val="24"/>
        </w:rPr>
      </w:pPr>
      <w:r>
        <w:br w:type="page"/>
      </w:r>
    </w:p>
    <w:p w14:paraId="38DCE572" w14:textId="77777777" w:rsidR="00605EA7" w:rsidRDefault="005A2565">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0D5B29B3" w14:textId="77777777" w:rsidR="00605EA7" w:rsidRDefault="005A2565">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provide an overview of the systematic evidence relating to the impact of private equity backed buyouts over the last two decades. We focus on performance; employment and employee relations; innovation, investment and entrepreneurship; longevity and survival. We also explore a future research agenda in the context of a maturing PE industry. </w:t>
      </w:r>
    </w:p>
    <w:p w14:paraId="7D5B5EFD" w14:textId="77777777" w:rsidR="00605EA7" w:rsidRDefault="00605EA7">
      <w:pPr>
        <w:pStyle w:val="Normal1"/>
        <w:spacing w:line="480" w:lineRule="auto"/>
        <w:jc w:val="both"/>
        <w:rPr>
          <w:rFonts w:ascii="Times New Roman" w:eastAsia="Times New Roman" w:hAnsi="Times New Roman" w:cs="Times New Roman"/>
          <w:b/>
          <w:sz w:val="24"/>
          <w:szCs w:val="24"/>
        </w:rPr>
      </w:pPr>
    </w:p>
    <w:p w14:paraId="3557FB22" w14:textId="77777777" w:rsidR="00605EA7" w:rsidRDefault="005A2565">
      <w:pPr>
        <w:pStyle w:val="Normal1"/>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B4A1E7F" w14:textId="50141547"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Private Equity (PE) firms acquire a portfolio of firms via a Leveraged Buyout (LBO). Mature businesses (either listed or </w:t>
      </w:r>
      <w:r w:rsidR="00963590">
        <w:rPr>
          <w:rFonts w:ascii="Times New Roman" w:eastAsia="Times New Roman" w:hAnsi="Times New Roman" w:cs="Times New Roman"/>
          <w:sz w:val="24"/>
          <w:szCs w:val="24"/>
        </w:rPr>
        <w:t>private/family-owned</w:t>
      </w:r>
      <w:r>
        <w:rPr>
          <w:rFonts w:ascii="Times New Roman" w:eastAsia="Times New Roman" w:hAnsi="Times New Roman" w:cs="Times New Roman"/>
          <w:sz w:val="24"/>
          <w:szCs w:val="24"/>
        </w:rPr>
        <w:t xml:space="preserve">) and divisions/subsidiaries of large firms are targeted for such deals. PE-backed LBOs first came to prominence in the US during the 1980s when large listed firms, such as Safeway and RJR Nabisco, were acquired. LBOs attracted controversy and created debate concerning the efficacy of both the public limited company (PLC) and the LBO governance structure that was installed after the deal. Jensen (1989) proposed that the LBO governance structure was superior to that of PLCs. He argued that increased management ownership, high leverage, and monitoring by PE firms after an LBO provided management in portfolio firms with incentives to focus on performance. Moreover, the PLC governance structure had demonstrated itself incapable of providing senior management with such powerful incentives. In response, Rappaport (1990) drew attention to the weaknesses of the LBO governance structure. High levels of debt create strategic inflexibility and PE firms have a business model that leads them to focus on short-term performance improvements prior to their exit. This controversy still persists. </w:t>
      </w:r>
    </w:p>
    <w:p w14:paraId="3580AB21"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2431E549" w14:textId="77777777"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1980s, PE activity has gone through several waves and the LBO governance structure has not superseded the PLC in most large firms in the US or UK. Nevertheless, PE-backed LBOs have become a global phenomenon and are a significant ownership structure in many countries. </w:t>
      </w:r>
      <w:r>
        <w:rPr>
          <w:rFonts w:ascii="Times New Roman" w:eastAsia="Times New Roman" w:hAnsi="Times New Roman" w:cs="Times New Roman"/>
          <w:color w:val="222222"/>
          <w:sz w:val="24"/>
          <w:szCs w:val="24"/>
        </w:rPr>
        <w:t xml:space="preserve">Propelled by low interest rates on other asset classes and a record $1.1tn of cash pledged worldwide by investors, buyout volumes in 2017 were up 27 per cent year on year </w:t>
      </w:r>
      <w:r>
        <w:rPr>
          <w:rFonts w:ascii="Times New Roman" w:eastAsia="Times New Roman" w:hAnsi="Times New Roman" w:cs="Times New Roman"/>
          <w:color w:val="222222"/>
          <w:sz w:val="24"/>
          <w:szCs w:val="24"/>
        </w:rPr>
        <w:lastRenderedPageBreak/>
        <w:t>(Espinoza 2018).</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rPr>
        <w:t>Cross-country patterns also witnessed a substantial change.</w:t>
      </w:r>
      <w:r>
        <w:rPr>
          <w:rFonts w:ascii="Times New Roman" w:eastAsia="Times New Roman" w:hAnsi="Times New Roman" w:cs="Times New Roman"/>
          <w:sz w:val="24"/>
          <w:szCs w:val="24"/>
        </w:rPr>
        <w:t xml:space="preserve"> For example, UK dominance of the European market twenty years ago is being eroded as deal value came neck-and-neck with that in Germany (CMBOR 2017). </w:t>
      </w:r>
    </w:p>
    <w:p w14:paraId="2935E242"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1335D56C" w14:textId="1213B891"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importance of PE as a research topic has similarly grown over the last twenty years. Citations to PE journal articles rose to just below 5,000 by 2006, increasing sharply in 2007 and 2008 around the time the market peaked, with subsequent steady growth to top 10,000 in 2012 (Cumming and Johan, 2017). This could be driven by a curiosity to understand more about PE activity and also by the fact that the impact of PE-backed LBOs continues to be contentious with respect to: performance gains; employment and employee relations; longer term effects on innovation and investment; and the longevity and survival of portfolio firms. In this article we first take a retrospective look at the impact of PE</w:t>
      </w:r>
      <w:r w:rsidR="007C4D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backed buyouts in the two decades since the foundation of this journal, and then set out a vision for future research. </w:t>
      </w:r>
    </w:p>
    <w:p w14:paraId="134942BD"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7C921078" w14:textId="77777777" w:rsidR="00605EA7" w:rsidRDefault="005A2565">
      <w:pPr>
        <w:pStyle w:val="Normal1"/>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Where have we been? Busting the myths</w:t>
      </w:r>
    </w:p>
    <w:p w14:paraId="0A8EB432" w14:textId="2598A3C3"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now extensive academic evidence on the impact of PE-backed LBOs. This systematic examination has enabled a number of myths about the effects, both positive and negative, to be debunked. The following sections provide an overview.</w:t>
      </w:r>
    </w:p>
    <w:p w14:paraId="1FA3AB85" w14:textId="77777777" w:rsidR="00605EA7" w:rsidRDefault="00605EA7">
      <w:pPr>
        <w:pStyle w:val="Normal1"/>
        <w:rPr>
          <w:rFonts w:ascii="Times New Roman" w:eastAsia="Times New Roman" w:hAnsi="Times New Roman" w:cs="Times New Roman"/>
          <w:i/>
          <w:sz w:val="24"/>
          <w:szCs w:val="24"/>
        </w:rPr>
      </w:pPr>
    </w:p>
    <w:p w14:paraId="64F7E07C" w14:textId="77777777" w:rsidR="00605EA7" w:rsidRDefault="005A2565">
      <w:pPr>
        <w:pStyle w:val="Heading2"/>
        <w:rPr>
          <w:b w:val="0"/>
          <w:i w:val="0"/>
        </w:rPr>
      </w:pPr>
      <w:r>
        <w:t>Fund level: performance of the asset class</w:t>
      </w:r>
    </w:p>
    <w:p w14:paraId="146BE6B7" w14:textId="2A6D4B45"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Wealthy individuals and institutions (e.g. pension funds, insurance companies, and endowments) invest in PE funds as Limited Partners (LPs). The PE firm that manages funds is the General Partner (GP). LPs are therefore concerned with how well GPs manage funds and generate performance. There are four main issues concerning the measurement of fund performance: the quality of data available; whether performance is measured gross or net of fees; how continuing and dead funds are valued; and the choice of benchmark to adjust for risk (Kaplan and </w:t>
      </w:r>
      <w:proofErr w:type="spellStart"/>
      <w:r>
        <w:rPr>
          <w:rFonts w:ascii="Times New Roman" w:eastAsia="Times New Roman" w:hAnsi="Times New Roman" w:cs="Times New Roman"/>
          <w:sz w:val="24"/>
          <w:szCs w:val="24"/>
        </w:rPr>
        <w:t>Schoar</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Gottschalg</w:t>
      </w:r>
      <w:proofErr w:type="spellEnd"/>
      <w:r>
        <w:rPr>
          <w:rFonts w:ascii="Times New Roman" w:eastAsia="Times New Roman" w:hAnsi="Times New Roman" w:cs="Times New Roman"/>
          <w:sz w:val="24"/>
          <w:szCs w:val="24"/>
        </w:rPr>
        <w:t xml:space="preserve"> 2009;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2014). Earlier studies tackled these issues to a various extent and reported that PE funds had neutral or superior gross performance compared to investment in public market equivalents (Kaplan and </w:t>
      </w:r>
      <w:proofErr w:type="spellStart"/>
      <w:r>
        <w:rPr>
          <w:rFonts w:ascii="Times New Roman" w:eastAsia="Times New Roman" w:hAnsi="Times New Roman" w:cs="Times New Roman"/>
          <w:sz w:val="24"/>
          <w:szCs w:val="24"/>
        </w:rPr>
        <w:t>Schoar</w:t>
      </w:r>
      <w:proofErr w:type="spellEnd"/>
      <w:r>
        <w:rPr>
          <w:rFonts w:ascii="Times New Roman" w:eastAsia="Times New Roman" w:hAnsi="Times New Roman" w:cs="Times New Roman"/>
          <w:sz w:val="24"/>
          <w:szCs w:val="24"/>
        </w:rPr>
        <w:t xml:space="preserve"> 2005). More recent studies find that investors in PE funds barely break even after fees and carry (</w:t>
      </w:r>
      <w:proofErr w:type="spellStart"/>
      <w:r>
        <w:rPr>
          <w:rFonts w:ascii="Times New Roman" w:eastAsia="Times New Roman" w:hAnsi="Times New Roman" w:cs="Times New Roman"/>
          <w:sz w:val="24"/>
          <w:szCs w:val="24"/>
        </w:rPr>
        <w:t>Driessen</w:t>
      </w:r>
      <w:proofErr w:type="spellEnd"/>
      <w:r>
        <w:rPr>
          <w:rFonts w:ascii="Times New Roman" w:eastAsia="Times New Roman" w:hAnsi="Times New Roman" w:cs="Times New Roman"/>
          <w:sz w:val="24"/>
          <w:szCs w:val="24"/>
        </w:rPr>
        <w:t xml:space="preserve">, Lin and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2012; </w:t>
      </w:r>
      <w:proofErr w:type="spellStart"/>
      <w:r>
        <w:rPr>
          <w:rFonts w:ascii="Times New Roman" w:eastAsia="Times New Roman" w:hAnsi="Times New Roman" w:cs="Times New Roman"/>
          <w:sz w:val="24"/>
          <w:szCs w:val="24"/>
        </w:rPr>
        <w:t>Franzoni</w:t>
      </w:r>
      <w:proofErr w:type="spellEnd"/>
      <w:r>
        <w:rPr>
          <w:rFonts w:ascii="Times New Roman" w:eastAsia="Times New Roman" w:hAnsi="Times New Roman" w:cs="Times New Roman"/>
          <w:sz w:val="24"/>
          <w:szCs w:val="24"/>
        </w:rPr>
        <w:t xml:space="preserve">, Nowak, and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2012; </w:t>
      </w:r>
      <w:proofErr w:type="spellStart"/>
      <w:r>
        <w:rPr>
          <w:rFonts w:ascii="Times New Roman" w:eastAsia="Times New Roman" w:hAnsi="Times New Roman" w:cs="Times New Roman"/>
          <w:sz w:val="24"/>
          <w:szCs w:val="24"/>
        </w:rPr>
        <w:t>Sørensen</w:t>
      </w:r>
      <w:proofErr w:type="spellEnd"/>
      <w:r>
        <w:rPr>
          <w:rFonts w:ascii="Times New Roman" w:eastAsia="Times New Roman" w:hAnsi="Times New Roman" w:cs="Times New Roman"/>
          <w:sz w:val="24"/>
          <w:szCs w:val="24"/>
        </w:rPr>
        <w:t xml:space="preserve">, Wang, and Yang 2014; </w:t>
      </w:r>
      <w:proofErr w:type="spellStart"/>
      <w:r>
        <w:rPr>
          <w:rFonts w:ascii="Times New Roman" w:eastAsia="Times New Roman" w:hAnsi="Times New Roman" w:cs="Times New Roman"/>
          <w:sz w:val="24"/>
          <w:szCs w:val="24"/>
        </w:rPr>
        <w:t>Jegadeesh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Kräussl</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Pollet</w:t>
      </w:r>
      <w:proofErr w:type="spellEnd"/>
      <w:r>
        <w:rPr>
          <w:rFonts w:ascii="Times New Roman" w:eastAsia="Times New Roman" w:hAnsi="Times New Roman" w:cs="Times New Roman"/>
          <w:sz w:val="24"/>
          <w:szCs w:val="24"/>
        </w:rPr>
        <w:t xml:space="preserve"> 2015).</w:t>
      </w:r>
    </w:p>
    <w:p w14:paraId="0A7EC304"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3C0C1D56" w14:textId="199C4EB2" w:rsidR="00605EA7" w:rsidRDefault="005A2565">
      <w:pPr>
        <w:pStyle w:val="Normal1"/>
        <w:spacing w:after="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Another related </w:t>
      </w:r>
      <w:r w:rsidR="003B3D96">
        <w:rPr>
          <w:rFonts w:ascii="Times New Roman" w:eastAsia="Times New Roman" w:hAnsi="Times New Roman" w:cs="Times New Roman"/>
          <w:sz w:val="24"/>
          <w:szCs w:val="24"/>
        </w:rPr>
        <w:t xml:space="preserve">issue is the </w:t>
      </w:r>
      <w:r w:rsidR="00492B03">
        <w:rPr>
          <w:rFonts w:ascii="Times New Roman" w:eastAsia="Times New Roman" w:hAnsi="Times New Roman" w:cs="Times New Roman"/>
          <w:sz w:val="24"/>
          <w:szCs w:val="24"/>
        </w:rPr>
        <w:t xml:space="preserve">persistence in </w:t>
      </w:r>
      <w:r w:rsidR="003B3D96">
        <w:rPr>
          <w:rFonts w:ascii="Times New Roman" w:eastAsia="Times New Roman" w:hAnsi="Times New Roman" w:cs="Times New Roman"/>
          <w:sz w:val="24"/>
          <w:szCs w:val="24"/>
        </w:rPr>
        <w:t xml:space="preserve">performance of </w:t>
      </w:r>
      <w:r>
        <w:rPr>
          <w:rFonts w:ascii="Times New Roman" w:eastAsia="Times New Roman" w:hAnsi="Times New Roman" w:cs="Times New Roman"/>
          <w:sz w:val="24"/>
          <w:szCs w:val="24"/>
        </w:rPr>
        <w:t xml:space="preserve">top PE firms (Hochberg, </w:t>
      </w:r>
      <w:proofErr w:type="spellStart"/>
      <w:r>
        <w:rPr>
          <w:rFonts w:ascii="Times New Roman" w:eastAsia="Times New Roman" w:hAnsi="Times New Roman" w:cs="Times New Roman"/>
          <w:sz w:val="24"/>
          <w:szCs w:val="24"/>
        </w:rPr>
        <w:t>Ljungqvist</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Vissing-Jørgensen</w:t>
      </w:r>
      <w:proofErr w:type="spellEnd"/>
      <w:r>
        <w:rPr>
          <w:rFonts w:ascii="Times New Roman" w:eastAsia="Times New Roman" w:hAnsi="Times New Roman" w:cs="Times New Roman"/>
          <w:sz w:val="24"/>
          <w:szCs w:val="24"/>
        </w:rPr>
        <w:t xml:space="preserve"> 2014). Most recent evidence finds that as the industry has become more competitive, performance has either declined (Lerner, </w:t>
      </w:r>
      <w:proofErr w:type="spellStart"/>
      <w:r>
        <w:rPr>
          <w:rFonts w:ascii="Times New Roman" w:eastAsia="Times New Roman" w:hAnsi="Times New Roman" w:cs="Times New Roman"/>
          <w:sz w:val="24"/>
          <w:szCs w:val="24"/>
        </w:rPr>
        <w:t>Schoar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Wongsunwai</w:t>
      </w:r>
      <w:proofErr w:type="spellEnd"/>
      <w:r>
        <w:rPr>
          <w:rFonts w:ascii="Times New Roman" w:eastAsia="Times New Roman" w:hAnsi="Times New Roman" w:cs="Times New Roman"/>
          <w:sz w:val="24"/>
          <w:szCs w:val="24"/>
        </w:rPr>
        <w:t xml:space="preserve"> 2007; </w:t>
      </w:r>
      <w:proofErr w:type="spellStart"/>
      <w:r>
        <w:rPr>
          <w:rFonts w:ascii="Times New Roman" w:eastAsia="Times New Roman" w:hAnsi="Times New Roman" w:cs="Times New Roman"/>
          <w:sz w:val="24"/>
          <w:szCs w:val="24"/>
        </w:rPr>
        <w:t>Sensoy</w:t>
      </w:r>
      <w:proofErr w:type="spellEnd"/>
      <w:r>
        <w:rPr>
          <w:rFonts w:ascii="Times New Roman" w:eastAsia="Times New Roman" w:hAnsi="Times New Roman" w:cs="Times New Roman"/>
          <w:sz w:val="24"/>
          <w:szCs w:val="24"/>
        </w:rPr>
        <w:t xml:space="preserve">, Wang, and </w:t>
      </w:r>
      <w:proofErr w:type="spellStart"/>
      <w:r>
        <w:rPr>
          <w:rFonts w:ascii="Times New Roman" w:eastAsia="Times New Roman" w:hAnsi="Times New Roman" w:cs="Times New Roman"/>
          <w:sz w:val="24"/>
          <w:szCs w:val="24"/>
        </w:rPr>
        <w:t>Weisbach</w:t>
      </w:r>
      <w:proofErr w:type="spellEnd"/>
      <w:r>
        <w:rPr>
          <w:rFonts w:ascii="Times New Roman" w:eastAsia="Times New Roman" w:hAnsi="Times New Roman" w:cs="Times New Roman"/>
          <w:sz w:val="24"/>
          <w:szCs w:val="24"/>
        </w:rPr>
        <w:t xml:space="preserve"> 2014; Braun, </w:t>
      </w:r>
      <w:proofErr w:type="spellStart"/>
      <w:r>
        <w:rPr>
          <w:rFonts w:ascii="Times New Roman" w:eastAsia="Times New Roman" w:hAnsi="Times New Roman" w:cs="Times New Roman"/>
          <w:sz w:val="24"/>
          <w:szCs w:val="24"/>
        </w:rPr>
        <w:t>Jenkinsson</w:t>
      </w:r>
      <w:proofErr w:type="spellEnd"/>
      <w:r>
        <w:rPr>
          <w:rFonts w:ascii="Times New Roman" w:eastAsia="Times New Roman" w:hAnsi="Times New Roman" w:cs="Times New Roman"/>
          <w:sz w:val="24"/>
          <w:szCs w:val="24"/>
        </w:rPr>
        <w:t xml:space="preserve">, and </w:t>
      </w:r>
      <w:proofErr w:type="spellStart"/>
      <w:proofErr w:type="gramStart"/>
      <w:r>
        <w:rPr>
          <w:rFonts w:ascii="Times New Roman" w:eastAsia="Times New Roman" w:hAnsi="Times New Roman" w:cs="Times New Roman"/>
          <w:sz w:val="24"/>
          <w:szCs w:val="24"/>
        </w:rPr>
        <w:t>Stoff</w:t>
      </w:r>
      <w:proofErr w:type="spellEnd"/>
      <w:r>
        <w:rPr>
          <w:rFonts w:ascii="Times New Roman" w:eastAsia="Times New Roman" w:hAnsi="Times New Roman" w:cs="Times New Roman"/>
          <w:sz w:val="24"/>
          <w:szCs w:val="24"/>
        </w:rPr>
        <w:t xml:space="preserve">  2017</w:t>
      </w:r>
      <w:proofErr w:type="gramEnd"/>
      <w:r>
        <w:rPr>
          <w:rFonts w:ascii="Times New Roman" w:eastAsia="Times New Roman" w:hAnsi="Times New Roman" w:cs="Times New Roman"/>
          <w:sz w:val="24"/>
          <w:szCs w:val="24"/>
        </w:rPr>
        <w:t>) or ‘noise’ has made it difficult for investors to pick the best performers (</w:t>
      </w:r>
      <w:proofErr w:type="spellStart"/>
      <w:r>
        <w:rPr>
          <w:rFonts w:ascii="Times New Roman" w:eastAsia="Times New Roman" w:hAnsi="Times New Roman" w:cs="Times New Roman"/>
          <w:sz w:val="24"/>
          <w:szCs w:val="24"/>
        </w:rPr>
        <w:t>Korteweg</w:t>
      </w:r>
      <w:proofErr w:type="spellEnd"/>
      <w:r>
        <w:rPr>
          <w:rFonts w:ascii="Times New Roman" w:eastAsia="Times New Roman" w:hAnsi="Times New Roman" w:cs="Times New Roman"/>
          <w:sz w:val="24"/>
          <w:szCs w:val="24"/>
        </w:rPr>
        <w:t xml:space="preserve"> and Sorensen 2017). </w:t>
      </w:r>
    </w:p>
    <w:p w14:paraId="37CE3E84" w14:textId="77777777" w:rsidR="00605EA7" w:rsidRDefault="00605EA7">
      <w:pPr>
        <w:pStyle w:val="Normal1"/>
        <w:rPr>
          <w:rFonts w:ascii="Times New Roman" w:eastAsia="Times New Roman" w:hAnsi="Times New Roman" w:cs="Times New Roman"/>
          <w:i/>
          <w:sz w:val="24"/>
          <w:szCs w:val="24"/>
        </w:rPr>
      </w:pPr>
    </w:p>
    <w:p w14:paraId="7E41125C" w14:textId="77777777" w:rsidR="00605EA7" w:rsidRDefault="005A2565">
      <w:pPr>
        <w:pStyle w:val="Heading2"/>
        <w:rPr>
          <w:b w:val="0"/>
          <w:i w:val="0"/>
        </w:rPr>
      </w:pPr>
      <w:r>
        <w:t>Portfolio firm</w:t>
      </w:r>
    </w:p>
    <w:p w14:paraId="216A4D68"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Profitability and productivity</w:t>
      </w:r>
    </w:p>
    <w:p w14:paraId="06285D89" w14:textId="5C911FB3"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firms are active investors in their portfolio firms, seeking to implement strategies for performance improvements. Both firm</w:t>
      </w:r>
      <w:r w:rsidR="00EE03D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2003) and plant</w:t>
      </w:r>
      <w:r w:rsidR="00EE03D6">
        <w:rPr>
          <w:rFonts w:ascii="Times New Roman" w:eastAsia="Times New Roman" w:hAnsi="Times New Roman" w:cs="Times New Roman"/>
          <w:sz w:val="24"/>
          <w:szCs w:val="24"/>
        </w:rPr>
        <w:t>-</w:t>
      </w:r>
      <w:r>
        <w:rPr>
          <w:rFonts w:ascii="Times New Roman" w:eastAsia="Times New Roman" w:hAnsi="Times New Roman" w:cs="Times New Roman"/>
          <w:sz w:val="24"/>
          <w:szCs w:val="24"/>
        </w:rPr>
        <w:t>level studies (Lichtenberg and Siegel 1990) demonstrate improvements in productivity, with buyout plants shifted from under-performing their sector pre-buyout to subsequently outperforming it (Harris, Siegel, and Wright 2005). However, profitability gains in US deals conducted in the 1990s and early 2000s appear to be less than those reported for deals conducted in the 1980s (</w:t>
      </w:r>
      <w:proofErr w:type="spellStart"/>
      <w:r>
        <w:rPr>
          <w:rFonts w:ascii="Times New Roman" w:eastAsia="Times New Roman" w:hAnsi="Times New Roman" w:cs="Times New Roman"/>
          <w:sz w:val="24"/>
          <w:szCs w:val="24"/>
        </w:rPr>
        <w:t>Guo</w:t>
      </w:r>
      <w:proofErr w:type="spellEnd"/>
      <w:r>
        <w:rPr>
          <w:rFonts w:ascii="Times New Roman" w:eastAsia="Times New Roman" w:hAnsi="Times New Roman" w:cs="Times New Roman"/>
          <w:sz w:val="24"/>
          <w:szCs w:val="24"/>
        </w:rPr>
        <w:t>, Hotchkiss, and Song 2011). European studies have also drawn attention to the growth, cost-cutting and efficiency aspects of buyouts (</w:t>
      </w:r>
      <w:proofErr w:type="spellStart"/>
      <w:r>
        <w:rPr>
          <w:rFonts w:ascii="Times New Roman" w:eastAsia="Times New Roman" w:hAnsi="Times New Roman" w:cs="Times New Roman"/>
          <w:sz w:val="24"/>
          <w:szCs w:val="24"/>
        </w:rPr>
        <w:t>Boucly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Sraer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Thesmar</w:t>
      </w:r>
      <w:proofErr w:type="spellEnd"/>
      <w:r>
        <w:rPr>
          <w:rFonts w:ascii="Times New Roman" w:eastAsia="Times New Roman" w:hAnsi="Times New Roman" w:cs="Times New Roman"/>
          <w:sz w:val="24"/>
          <w:szCs w:val="24"/>
        </w:rPr>
        <w:t xml:space="preserve"> 2011; Wilson et al. 2012). Yet, indications are that enhanced profitability has been significantly associated with operating gains, sector-specific expertise of PE firms, and geographic proximity of lead investors to their target companies (Cumming, Siegel, and Wright 2007; </w:t>
      </w:r>
      <w:proofErr w:type="spellStart"/>
      <w:r>
        <w:rPr>
          <w:rFonts w:ascii="Times New Roman" w:eastAsia="Times New Roman" w:hAnsi="Times New Roman" w:cs="Times New Roman"/>
          <w:sz w:val="24"/>
          <w:szCs w:val="24"/>
        </w:rPr>
        <w:t>Cressy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Munari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Malipiero</w:t>
      </w:r>
      <w:proofErr w:type="spellEnd"/>
      <w:r>
        <w:rPr>
          <w:rFonts w:ascii="Times New Roman" w:eastAsia="Times New Roman" w:hAnsi="Times New Roman" w:cs="Times New Roman"/>
          <w:sz w:val="24"/>
          <w:szCs w:val="24"/>
        </w:rPr>
        <w:t xml:space="preserve"> 2007; </w:t>
      </w:r>
      <w:proofErr w:type="spellStart"/>
      <w:r>
        <w:rPr>
          <w:rFonts w:ascii="Times New Roman" w:eastAsia="Times New Roman" w:hAnsi="Times New Roman" w:cs="Times New Roman"/>
          <w:sz w:val="24"/>
          <w:szCs w:val="24"/>
        </w:rPr>
        <w:t>Scellato</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Ughetto</w:t>
      </w:r>
      <w:proofErr w:type="spellEnd"/>
      <w:r>
        <w:rPr>
          <w:rFonts w:ascii="Times New Roman" w:eastAsia="Times New Roman" w:hAnsi="Times New Roman" w:cs="Times New Roman"/>
          <w:sz w:val="24"/>
          <w:szCs w:val="24"/>
        </w:rPr>
        <w:t xml:space="preserve"> 2013; Bernstein and Sheen 2016). </w:t>
      </w:r>
      <w:proofErr w:type="spellStart"/>
      <w:r>
        <w:rPr>
          <w:rFonts w:ascii="Times New Roman" w:eastAsia="Times New Roman" w:hAnsi="Times New Roman" w:cs="Times New Roman"/>
          <w:sz w:val="24"/>
          <w:szCs w:val="24"/>
        </w:rPr>
        <w:t>Ayash</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Schutt</w:t>
      </w:r>
      <w:proofErr w:type="spellEnd"/>
      <w:r>
        <w:rPr>
          <w:rFonts w:ascii="Times New Roman" w:eastAsia="Times New Roman" w:hAnsi="Times New Roman" w:cs="Times New Roman"/>
          <w:sz w:val="24"/>
          <w:szCs w:val="24"/>
        </w:rPr>
        <w:t xml:space="preserve"> (2016) note, however, that accounting ratios used in some studies distort the measurement of LBO performance gains.</w:t>
      </w:r>
    </w:p>
    <w:p w14:paraId="55990093" w14:textId="77777777" w:rsidR="00605EA7" w:rsidRDefault="00605EA7">
      <w:pPr>
        <w:pStyle w:val="Normal1"/>
        <w:rPr>
          <w:rFonts w:ascii="Times New Roman" w:eastAsia="Times New Roman" w:hAnsi="Times New Roman" w:cs="Times New Roman"/>
          <w:sz w:val="24"/>
          <w:szCs w:val="24"/>
          <w:u w:val="single"/>
        </w:rPr>
      </w:pPr>
    </w:p>
    <w:p w14:paraId="69B7DCE5"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Employment and employee relations</w:t>
      </w:r>
    </w:p>
    <w:p w14:paraId="4DA220B2" w14:textId="77777777"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impact of PE on jobs has been highly contentious. Critics claim PE firms boost profits in portfolio firms by cutting jobs. In contrast, proponents argue that PE creates value by pursuing profitable growth strategies, which in turn creates jobs. Determining the relative merits of these competing arguments has motivated academics to conduct empirical analyses using firm-, plant-, and employee-level data from a variety of national and international sources.</w:t>
      </w:r>
    </w:p>
    <w:p w14:paraId="5FCD2EE5"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5D8CE60D" w14:textId="5371B597"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Firm-level evidence is mixed, with some studies reporting that PE involvement in the deal has no statistically significant impact on employment (</w:t>
      </w:r>
      <w:proofErr w:type="spellStart"/>
      <w:r>
        <w:rPr>
          <w:rFonts w:ascii="Times New Roman" w:eastAsia="Times New Roman" w:hAnsi="Times New Roman" w:cs="Times New Roman"/>
          <w:sz w:val="24"/>
          <w:szCs w:val="24"/>
        </w:rPr>
        <w:t>Bergström</w:t>
      </w:r>
      <w:proofErr w:type="spellEnd"/>
      <w:r>
        <w:rPr>
          <w:rFonts w:ascii="Times New Roman" w:eastAsia="Times New Roman" w:hAnsi="Times New Roman" w:cs="Times New Roman"/>
          <w:sz w:val="24"/>
          <w:szCs w:val="24"/>
        </w:rPr>
        <w:t xml:space="preserve">, Grubb, and </w:t>
      </w:r>
      <w:proofErr w:type="spellStart"/>
      <w:r>
        <w:rPr>
          <w:rFonts w:ascii="Times New Roman" w:eastAsia="Times New Roman" w:hAnsi="Times New Roman" w:cs="Times New Roman"/>
          <w:sz w:val="24"/>
          <w:szCs w:val="24"/>
        </w:rPr>
        <w:t>Johnsson</w:t>
      </w:r>
      <w:proofErr w:type="spellEnd"/>
      <w:r>
        <w:rPr>
          <w:rFonts w:ascii="Times New Roman" w:eastAsia="Times New Roman" w:hAnsi="Times New Roman" w:cs="Times New Roman"/>
          <w:sz w:val="24"/>
          <w:szCs w:val="24"/>
        </w:rPr>
        <w:t xml:space="preserve"> 2007;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and Wright 2012), and others pointing to positive impact in both the short- and medium-term (</w:t>
      </w:r>
      <w:proofErr w:type="spellStart"/>
      <w:r>
        <w:rPr>
          <w:rFonts w:ascii="Times New Roman" w:eastAsia="Times New Roman" w:hAnsi="Times New Roman" w:cs="Times New Roman"/>
          <w:sz w:val="24"/>
          <w:szCs w:val="24"/>
        </w:rPr>
        <w:t>Scellato</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Ughetto</w:t>
      </w:r>
      <w:proofErr w:type="spellEnd"/>
      <w:r>
        <w:rPr>
          <w:rFonts w:ascii="Times New Roman" w:eastAsia="Times New Roman" w:hAnsi="Times New Roman" w:cs="Times New Roman"/>
          <w:sz w:val="24"/>
          <w:szCs w:val="24"/>
        </w:rPr>
        <w:t xml:space="preserve"> 2013). Data</w:t>
      </w:r>
      <w:r w:rsidR="00EE03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that account for job creation and destruction at establishment levels reveal that PE-backed buyouts are catalysts for a process of creative destruction not captured in firm-level studies (Davis et al. 2014). Findings on this issue are sensitive to the methods employed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Girma</w:t>
      </w:r>
      <w:proofErr w:type="spellEnd"/>
      <w:r>
        <w:rPr>
          <w:rFonts w:ascii="Times New Roman" w:eastAsia="Times New Roman" w:hAnsi="Times New Roman" w:cs="Times New Roman"/>
          <w:sz w:val="24"/>
          <w:szCs w:val="24"/>
        </w:rPr>
        <w:t>, and Wright 2014).</w:t>
      </w:r>
    </w:p>
    <w:p w14:paraId="016258EB"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34F9DAD5" w14:textId="3D2BAC0B"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Types of buyout deals and their sources </w:t>
      </w:r>
      <w:r w:rsidR="000A64E7">
        <w:rPr>
          <w:rFonts w:ascii="Times New Roman" w:eastAsia="Times New Roman" w:hAnsi="Times New Roman" w:cs="Times New Roman"/>
          <w:sz w:val="24"/>
          <w:szCs w:val="24"/>
        </w:rPr>
        <w:t xml:space="preserve">differentially </w:t>
      </w:r>
      <w:r>
        <w:rPr>
          <w:rFonts w:ascii="Times New Roman" w:eastAsia="Times New Roman" w:hAnsi="Times New Roman" w:cs="Times New Roman"/>
          <w:sz w:val="24"/>
          <w:szCs w:val="24"/>
        </w:rPr>
        <w:t>influence employment. Insider driven deals (Management Buyouts) generally increase employment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and Wright 2007) while outsider driven deals such as Management Buy-Ins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and Wright 2007; </w:t>
      </w:r>
      <w:proofErr w:type="spellStart"/>
      <w:r>
        <w:rPr>
          <w:rFonts w:ascii="Times New Roman" w:eastAsia="Times New Roman" w:hAnsi="Times New Roman" w:cs="Times New Roman"/>
          <w:sz w:val="24"/>
          <w:szCs w:val="24"/>
        </w:rPr>
        <w:t>Goergen</w:t>
      </w:r>
      <w:proofErr w:type="spellEnd"/>
      <w:r>
        <w:rPr>
          <w:rFonts w:ascii="Times New Roman" w:eastAsia="Times New Roman" w:hAnsi="Times New Roman" w:cs="Times New Roman"/>
          <w:sz w:val="24"/>
          <w:szCs w:val="24"/>
        </w:rPr>
        <w:t>, O’Sullivan, and Wood 2014)</w:t>
      </w:r>
      <w:r w:rsidR="000A64E7" w:rsidRPr="000A64E7">
        <w:rPr>
          <w:rFonts w:ascii="Times New Roman" w:eastAsia="Times New Roman" w:hAnsi="Times New Roman" w:cs="Times New Roman"/>
          <w:sz w:val="24"/>
          <w:szCs w:val="24"/>
        </w:rPr>
        <w:t xml:space="preserve"> </w:t>
      </w:r>
      <w:r w:rsidR="000A64E7">
        <w:rPr>
          <w:rFonts w:ascii="Times New Roman" w:eastAsia="Times New Roman" w:hAnsi="Times New Roman" w:cs="Times New Roman"/>
          <w:sz w:val="24"/>
          <w:szCs w:val="24"/>
        </w:rPr>
        <w:t>are associated with a decline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Meuleman</w:t>
      </w:r>
      <w:proofErr w:type="spellEnd"/>
      <w:r>
        <w:rPr>
          <w:rFonts w:ascii="Times New Roman" w:eastAsia="Times New Roman" w:hAnsi="Times New Roman" w:cs="Times New Roman"/>
          <w:sz w:val="24"/>
          <w:szCs w:val="24"/>
        </w:rPr>
        <w:t xml:space="preserve"> et al. (2009) find that employment growth is higher in divisional buyouts compared to secondary, private, and family buyouts. </w:t>
      </w:r>
      <w:proofErr w:type="spellStart"/>
      <w:r>
        <w:rPr>
          <w:rFonts w:ascii="Times New Roman" w:eastAsia="Times New Roman" w:hAnsi="Times New Roman" w:cs="Times New Roman"/>
          <w:sz w:val="24"/>
          <w:szCs w:val="24"/>
        </w:rPr>
        <w:t>Boucly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Sraer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Thesmar</w:t>
      </w:r>
      <w:proofErr w:type="spellEnd"/>
      <w:r>
        <w:rPr>
          <w:rFonts w:ascii="Times New Roman" w:eastAsia="Times New Roman" w:hAnsi="Times New Roman" w:cs="Times New Roman"/>
          <w:sz w:val="24"/>
          <w:szCs w:val="24"/>
        </w:rPr>
        <w:t xml:space="preserve"> (2011) also report that employment grows in private-to-private deals and secondary buyouts (SBOs). </w:t>
      </w:r>
    </w:p>
    <w:p w14:paraId="704CDE57"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4FFAA774" w14:textId="08748DDD"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impact of PE on jobs depends on the type of job and employee characteristics. Lichtenberg and Siegel (1990) found a reduction in the number of non-production workers employed in US buyouts but no significant effect on production workers. Olsson and </w:t>
      </w:r>
      <w:proofErr w:type="spellStart"/>
      <w:r>
        <w:rPr>
          <w:rFonts w:ascii="Times New Roman" w:eastAsia="Times New Roman" w:hAnsi="Times New Roman" w:cs="Times New Roman"/>
          <w:sz w:val="24"/>
          <w:szCs w:val="24"/>
        </w:rPr>
        <w:t>Tåg</w:t>
      </w:r>
      <w:proofErr w:type="spellEnd"/>
      <w:r>
        <w:rPr>
          <w:rFonts w:ascii="Times New Roman" w:eastAsia="Times New Roman" w:hAnsi="Times New Roman" w:cs="Times New Roman"/>
          <w:sz w:val="24"/>
          <w:szCs w:val="24"/>
        </w:rPr>
        <w:t xml:space="preserve"> (2017) report that Swedish employees performing routine jobs experience an increase in employment</w:t>
      </w:r>
      <w:r w:rsidR="007B1B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B1BB9">
        <w:rPr>
          <w:rFonts w:ascii="Times New Roman" w:eastAsia="Times New Roman" w:hAnsi="Times New Roman" w:cs="Times New Roman"/>
          <w:sz w:val="24"/>
          <w:szCs w:val="24"/>
        </w:rPr>
        <w:t>whereas</w:t>
      </w:r>
      <w:r>
        <w:rPr>
          <w:rFonts w:ascii="Times New Roman" w:eastAsia="Times New Roman" w:hAnsi="Times New Roman" w:cs="Times New Roman"/>
          <w:sz w:val="24"/>
          <w:szCs w:val="24"/>
        </w:rPr>
        <w:t xml:space="preserve"> workers performing off-</w:t>
      </w:r>
      <w:proofErr w:type="spellStart"/>
      <w:r>
        <w:rPr>
          <w:rFonts w:ascii="Times New Roman" w:eastAsia="Times New Roman" w:hAnsi="Times New Roman" w:cs="Times New Roman"/>
          <w:sz w:val="24"/>
          <w:szCs w:val="24"/>
        </w:rPr>
        <w:t>shorable</w:t>
      </w:r>
      <w:proofErr w:type="spellEnd"/>
      <w:r w:rsidR="00AB6C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tasks experience </w:t>
      </w:r>
      <w:r w:rsidR="00E76DDA">
        <w:rPr>
          <w:rFonts w:ascii="Times New Roman" w:eastAsia="Times New Roman" w:hAnsi="Times New Roman" w:cs="Times New Roman"/>
          <w:sz w:val="24"/>
          <w:szCs w:val="24"/>
        </w:rPr>
        <w:t>higher unemployment</w:t>
      </w:r>
      <w:r>
        <w:rPr>
          <w:rFonts w:ascii="Times New Roman" w:eastAsia="Times New Roman" w:hAnsi="Times New Roman" w:cs="Times New Roman"/>
          <w:sz w:val="24"/>
          <w:szCs w:val="24"/>
        </w:rPr>
        <w:t xml:space="preserve">. </w:t>
      </w:r>
    </w:p>
    <w:p w14:paraId="5DF6E854"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643BBA87" w14:textId="5CC2F9F2"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of PE-backed LBOs argue that they lead to deterioration in employee work conditions as new owners seek to cut costs to improve profits. Systematic studies, however, find little evidence to support </w:t>
      </w:r>
      <w:r w:rsidR="002C1573">
        <w:rPr>
          <w:rFonts w:ascii="Times New Roman" w:eastAsia="Times New Roman" w:hAnsi="Times New Roman" w:cs="Times New Roman"/>
          <w:sz w:val="24"/>
          <w:szCs w:val="24"/>
        </w:rPr>
        <w:t>the negative</w:t>
      </w:r>
      <w:r w:rsidR="00E76DDA">
        <w:rPr>
          <w:rFonts w:ascii="Times New Roman" w:eastAsia="Times New Roman" w:hAnsi="Times New Roman" w:cs="Times New Roman"/>
          <w:sz w:val="24"/>
          <w:szCs w:val="24"/>
        </w:rPr>
        <w:t xml:space="preserve"> impact </w:t>
      </w:r>
      <w:r w:rsidR="002C1573">
        <w:rPr>
          <w:rFonts w:ascii="Times New Roman" w:eastAsia="Times New Roman" w:hAnsi="Times New Roman" w:cs="Times New Roman"/>
          <w:sz w:val="24"/>
          <w:szCs w:val="24"/>
        </w:rPr>
        <w:t xml:space="preserve">of buyouts on </w:t>
      </w:r>
      <w:r>
        <w:rPr>
          <w:rFonts w:ascii="Times New Roman" w:eastAsia="Times New Roman" w:hAnsi="Times New Roman" w:cs="Times New Roman"/>
          <w:sz w:val="24"/>
          <w:szCs w:val="24"/>
        </w:rPr>
        <w:t>employee and industrial relations practices such as training, job discretion, consultation, role of trade unions, etc.</w:t>
      </w:r>
      <w:r w:rsidR="00E76DD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(Bacon et al. 2013). </w:t>
      </w:r>
      <w:r w:rsidR="007B1BB9">
        <w:rPr>
          <w:rFonts w:ascii="Times New Roman" w:eastAsia="Times New Roman" w:hAnsi="Times New Roman" w:cs="Times New Roman"/>
          <w:sz w:val="24"/>
          <w:szCs w:val="24"/>
        </w:rPr>
        <w:t>R</w:t>
      </w:r>
      <w:r>
        <w:rPr>
          <w:rFonts w:ascii="Times New Roman" w:eastAsia="Times New Roman" w:hAnsi="Times New Roman" w:cs="Times New Roman"/>
          <w:sz w:val="24"/>
          <w:szCs w:val="24"/>
        </w:rPr>
        <w:t>ecent work by Cohn et al. (2017) document</w:t>
      </w:r>
      <w:r w:rsidR="007B1BB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large and persistent reductions in post-buyout workplace injury rates for public-to-private buyouts</w:t>
      </w:r>
      <w:r w:rsidR="007B1B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albeit the effect is absent in private buyouts.</w:t>
      </w:r>
    </w:p>
    <w:p w14:paraId="626FA8FA"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70B27A26"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Innovation, investment, entrepreneurship and growth</w:t>
      </w:r>
    </w:p>
    <w:p w14:paraId="0A050343" w14:textId="58C31389"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PE-backed LBOs may enable managers with an entrepreneurial </w:t>
      </w:r>
      <w:proofErr w:type="spellStart"/>
      <w:r>
        <w:rPr>
          <w:rFonts w:ascii="Times New Roman" w:eastAsia="Times New Roman" w:hAnsi="Times New Roman" w:cs="Times New Roman"/>
          <w:sz w:val="24"/>
          <w:szCs w:val="24"/>
        </w:rPr>
        <w:t>mindset</w:t>
      </w:r>
      <w:proofErr w:type="spellEnd"/>
      <w:r>
        <w:rPr>
          <w:rFonts w:ascii="Times New Roman" w:eastAsia="Times New Roman" w:hAnsi="Times New Roman" w:cs="Times New Roman"/>
          <w:sz w:val="24"/>
          <w:szCs w:val="24"/>
        </w:rPr>
        <w:t xml:space="preserve"> to pursue entrepreneurial opportunities (</w:t>
      </w:r>
      <w:proofErr w:type="spellStart"/>
      <w:r>
        <w:rPr>
          <w:rFonts w:ascii="Times New Roman" w:eastAsia="Times New Roman" w:hAnsi="Times New Roman" w:cs="Times New Roman"/>
          <w:sz w:val="24"/>
          <w:szCs w:val="24"/>
        </w:rPr>
        <w:t>Bruining</w:t>
      </w:r>
      <w:proofErr w:type="spellEnd"/>
      <w:r>
        <w:rPr>
          <w:rFonts w:ascii="Times New Roman" w:eastAsia="Times New Roman" w:hAnsi="Times New Roman" w:cs="Times New Roman"/>
          <w:sz w:val="24"/>
          <w:szCs w:val="24"/>
        </w:rPr>
        <w:t xml:space="preserve"> and Wright 2002; Wright et al. 2000), resulting in increased new product development (Wright, Thompson and Robbie 1992; Zahra 1995). PE- backed LBOs also reduce financial constraints, potentially leading to increased investment (</w:t>
      </w:r>
      <w:proofErr w:type="spellStart"/>
      <w:r>
        <w:rPr>
          <w:rFonts w:ascii="Times New Roman" w:eastAsia="Times New Roman" w:hAnsi="Times New Roman" w:cs="Times New Roman"/>
          <w:sz w:val="24"/>
          <w:szCs w:val="24"/>
        </w:rPr>
        <w:t>Bertoni</w:t>
      </w:r>
      <w:proofErr w:type="spellEnd"/>
      <w:r>
        <w:rPr>
          <w:rFonts w:ascii="Times New Roman" w:eastAsia="Times New Roman" w:hAnsi="Times New Roman" w:cs="Times New Roman"/>
          <w:sz w:val="24"/>
          <w:szCs w:val="24"/>
        </w:rPr>
        <w:t xml:space="preserve">, Ferrer, and Marti 2013; Engel and </w:t>
      </w:r>
      <w:proofErr w:type="spellStart"/>
      <w:r>
        <w:rPr>
          <w:rFonts w:ascii="Times New Roman" w:eastAsia="Times New Roman" w:hAnsi="Times New Roman" w:cs="Times New Roman"/>
          <w:sz w:val="24"/>
          <w:szCs w:val="24"/>
        </w:rPr>
        <w:t>Stiebale</w:t>
      </w:r>
      <w:proofErr w:type="spellEnd"/>
      <w:r>
        <w:rPr>
          <w:rFonts w:ascii="Times New Roman" w:eastAsia="Times New Roman" w:hAnsi="Times New Roman" w:cs="Times New Roman"/>
          <w:sz w:val="24"/>
          <w:szCs w:val="24"/>
        </w:rPr>
        <w:t xml:space="preserve"> 2014; </w:t>
      </w:r>
      <w:proofErr w:type="spellStart"/>
      <w:r>
        <w:rPr>
          <w:rFonts w:ascii="Times New Roman" w:eastAsia="Times New Roman" w:hAnsi="Times New Roman" w:cs="Times New Roman"/>
          <w:sz w:val="24"/>
          <w:szCs w:val="24"/>
        </w:rPr>
        <w:t>Ughetto</w:t>
      </w:r>
      <w:proofErr w:type="spellEnd"/>
      <w:r>
        <w:rPr>
          <w:rFonts w:ascii="Times New Roman" w:eastAsia="Times New Roman" w:hAnsi="Times New Roman" w:cs="Times New Roman"/>
          <w:sz w:val="24"/>
          <w:szCs w:val="24"/>
        </w:rPr>
        <w:t xml:space="preserve"> 2016). For R&amp;D expenditure, evidence is mixed (Lichtenberg and Siegel 1990; Long and </w:t>
      </w:r>
      <w:proofErr w:type="spellStart"/>
      <w:r>
        <w:rPr>
          <w:rFonts w:ascii="Times New Roman" w:eastAsia="Times New Roman" w:hAnsi="Times New Roman" w:cs="Times New Roman"/>
          <w:sz w:val="24"/>
          <w:szCs w:val="24"/>
        </w:rPr>
        <w:t>Ravenscraft</w:t>
      </w:r>
      <w:proofErr w:type="spellEnd"/>
      <w:r>
        <w:rPr>
          <w:rFonts w:ascii="Times New Roman" w:eastAsia="Times New Roman" w:hAnsi="Times New Roman" w:cs="Times New Roman"/>
          <w:sz w:val="24"/>
          <w:szCs w:val="24"/>
        </w:rPr>
        <w:t xml:space="preserve"> 1993). </w:t>
      </w:r>
      <w:r>
        <w:rPr>
          <w:rFonts w:ascii="Times New Roman" w:eastAsia="Times New Roman" w:hAnsi="Times New Roman" w:cs="Times New Roman"/>
          <w:color w:val="000000"/>
          <w:sz w:val="24"/>
          <w:szCs w:val="24"/>
        </w:rPr>
        <w:t>PE and its characteristics ha</w:t>
      </w:r>
      <w:r w:rsidR="00E76DDA">
        <w:rPr>
          <w:rFonts w:ascii="Times New Roman" w:eastAsia="Times New Roman" w:hAnsi="Times New Roman" w:cs="Times New Roman"/>
          <w:color w:val="000000"/>
          <w:sz w:val="24"/>
          <w:szCs w:val="24"/>
        </w:rPr>
        <w:t>ve</w:t>
      </w:r>
      <w:r>
        <w:rPr>
          <w:rFonts w:ascii="Times New Roman" w:eastAsia="Times New Roman" w:hAnsi="Times New Roman" w:cs="Times New Roman"/>
          <w:color w:val="000000"/>
          <w:sz w:val="24"/>
          <w:szCs w:val="24"/>
        </w:rPr>
        <w:t xml:space="preserve"> a positive impact on patenting activity </w:t>
      </w:r>
      <w:r>
        <w:rPr>
          <w:rFonts w:ascii="Times New Roman" w:eastAsia="Times New Roman" w:hAnsi="Times New Roman" w:cs="Times New Roman"/>
          <w:sz w:val="24"/>
          <w:szCs w:val="24"/>
        </w:rPr>
        <w:t>(</w:t>
      </w:r>
      <w:proofErr w:type="spellStart"/>
      <w:r>
        <w:rPr>
          <w:rFonts w:ascii="Times New Roman" w:eastAsia="Times New Roman" w:hAnsi="Times New Roman" w:cs="Times New Roman"/>
          <w:color w:val="000000"/>
          <w:sz w:val="24"/>
          <w:szCs w:val="24"/>
        </w:rPr>
        <w:t>Ughetto</w:t>
      </w:r>
      <w:proofErr w:type="spellEnd"/>
      <w:r>
        <w:rPr>
          <w:rFonts w:ascii="Times New Roman" w:eastAsia="Times New Roman" w:hAnsi="Times New Roman" w:cs="Times New Roman"/>
          <w:color w:val="000000"/>
          <w:sz w:val="24"/>
          <w:szCs w:val="24"/>
        </w:rPr>
        <w:t xml:space="preserve"> 2010; </w:t>
      </w:r>
      <w:r>
        <w:rPr>
          <w:rFonts w:ascii="Times New Roman" w:eastAsia="Times New Roman" w:hAnsi="Times New Roman" w:cs="Times New Roman"/>
          <w:sz w:val="24"/>
          <w:szCs w:val="24"/>
        </w:rPr>
        <w:t xml:space="preserve">Lerner, Sorensen, and Stromberg 2011; </w:t>
      </w:r>
      <w:proofErr w:type="spellStart"/>
      <w:r>
        <w:rPr>
          <w:rFonts w:ascii="Times New Roman" w:eastAsia="Times New Roman" w:hAnsi="Times New Roman" w:cs="Times New Roman"/>
          <w:color w:val="000000"/>
          <w:sz w:val="24"/>
          <w:szCs w:val="24"/>
        </w:rPr>
        <w:t>Amess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Stiebale</w:t>
      </w:r>
      <w:proofErr w:type="spellEnd"/>
      <w:r>
        <w:rPr>
          <w:rFonts w:ascii="Times New Roman" w:eastAsia="Times New Roman" w:hAnsi="Times New Roman" w:cs="Times New Roman"/>
          <w:color w:val="000000"/>
          <w:sz w:val="24"/>
          <w:szCs w:val="24"/>
        </w:rPr>
        <w:t>, and Wright 2015</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Increased patenting activity is strongest in private firms (</w:t>
      </w:r>
      <w:proofErr w:type="spellStart"/>
      <w:r>
        <w:rPr>
          <w:rFonts w:ascii="Times New Roman" w:eastAsia="Times New Roman" w:hAnsi="Times New Roman" w:cs="Times New Roman"/>
          <w:color w:val="000000"/>
          <w:sz w:val="24"/>
          <w:szCs w:val="24"/>
        </w:rPr>
        <w:t>Amess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Stiebale</w:t>
      </w:r>
      <w:proofErr w:type="spellEnd"/>
      <w:r>
        <w:rPr>
          <w:rFonts w:ascii="Times New Roman" w:eastAsia="Times New Roman" w:hAnsi="Times New Roman" w:cs="Times New Roman"/>
          <w:color w:val="000000"/>
          <w:sz w:val="24"/>
          <w:szCs w:val="24"/>
        </w:rPr>
        <w:t>, and Wright 2015</w:t>
      </w:r>
      <w:r>
        <w:rPr>
          <w:rFonts w:ascii="Times New Roman" w:eastAsia="Times New Roman" w:hAnsi="Times New Roman" w:cs="Times New Roman"/>
          <w:sz w:val="24"/>
          <w:szCs w:val="24"/>
        </w:rPr>
        <w:t>)</w:t>
      </w:r>
      <w:r w:rsidR="00E76DDA">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and firm growth </w:t>
      </w:r>
      <w:r>
        <w:rPr>
          <w:rFonts w:ascii="Times New Roman" w:eastAsia="Times New Roman" w:hAnsi="Times New Roman" w:cs="Times New Roman"/>
          <w:sz w:val="24"/>
          <w:szCs w:val="24"/>
        </w:rPr>
        <w:t xml:space="preserve">is strongest in subsidiaries/divisions and private firms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sz w:val="24"/>
          <w:szCs w:val="24"/>
        </w:rPr>
        <w:t>Boucly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Sraer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Thesmar</w:t>
      </w:r>
      <w:proofErr w:type="spellEnd"/>
      <w:r>
        <w:rPr>
          <w:rFonts w:ascii="Times New Roman" w:eastAsia="Times New Roman" w:hAnsi="Times New Roman" w:cs="Times New Roman"/>
          <w:sz w:val="24"/>
          <w:szCs w:val="24"/>
        </w:rPr>
        <w:t xml:space="preserve"> 2011; </w:t>
      </w:r>
      <w:proofErr w:type="spellStart"/>
      <w:r>
        <w:rPr>
          <w:rFonts w:ascii="Times New Roman" w:eastAsia="Times New Roman" w:hAnsi="Times New Roman" w:cs="Times New Roman"/>
          <w:sz w:val="24"/>
          <w:szCs w:val="24"/>
        </w:rPr>
        <w:t>Meuleman</w:t>
      </w:r>
      <w:proofErr w:type="spellEnd"/>
      <w:r>
        <w:rPr>
          <w:rFonts w:ascii="Times New Roman" w:eastAsia="Times New Roman" w:hAnsi="Times New Roman" w:cs="Times New Roman"/>
          <w:sz w:val="24"/>
          <w:szCs w:val="24"/>
        </w:rPr>
        <w:t xml:space="preserve"> et al. 2009), businesses that are most likely to be financially constrained pre-LBO.</w:t>
      </w:r>
    </w:p>
    <w:p w14:paraId="7D5AD3C3" w14:textId="77777777" w:rsidR="00605EA7" w:rsidRDefault="00605EA7">
      <w:pPr>
        <w:pStyle w:val="Normal1"/>
        <w:rPr>
          <w:rFonts w:ascii="Times New Roman" w:eastAsia="Times New Roman" w:hAnsi="Times New Roman" w:cs="Times New Roman"/>
          <w:sz w:val="24"/>
          <w:szCs w:val="24"/>
          <w:u w:val="single"/>
        </w:rPr>
      </w:pPr>
    </w:p>
    <w:p w14:paraId="207AE969"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Life-cycle/Longevity</w:t>
      </w:r>
    </w:p>
    <w:p w14:paraId="26592781" w14:textId="1C83C919"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criticism that the PE business model involves boosting the short-term profit of portfolio firms and exiting within a short time period. However, studies show a heterogeneous time to exit by investors; some portfolio firms indeed assume an LBO governance structure for short periods while others retain it for long periods (Kaplan 1991; Wright et al. 1995). The mean time to investor exit appears to have increased since the financial crash</w:t>
      </w:r>
      <w:r w:rsidR="005B5A68">
        <w:rPr>
          <w:rFonts w:ascii="Times New Roman" w:eastAsia="Times New Roman" w:hAnsi="Times New Roman" w:cs="Times New Roman"/>
          <w:sz w:val="24"/>
          <w:szCs w:val="24"/>
        </w:rPr>
        <w:t xml:space="preserve"> from a little over 5 years in 2007 to over 6 years in 2013</w:t>
      </w:r>
      <w:r>
        <w:rPr>
          <w:rFonts w:ascii="Times New Roman" w:eastAsia="Times New Roman" w:hAnsi="Times New Roman" w:cs="Times New Roman"/>
          <w:sz w:val="24"/>
          <w:szCs w:val="24"/>
        </w:rPr>
        <w:t xml:space="preserve"> (</w:t>
      </w:r>
      <w:r w:rsidR="005B5A68">
        <w:rPr>
          <w:rFonts w:ascii="Times New Roman" w:eastAsia="Times New Roman" w:hAnsi="Times New Roman" w:cs="Times New Roman"/>
          <w:sz w:val="24"/>
          <w:szCs w:val="24"/>
        </w:rPr>
        <w:t>Wright</w:t>
      </w:r>
      <w:r>
        <w:rPr>
          <w:rFonts w:ascii="Times New Roman" w:eastAsia="Times New Roman" w:hAnsi="Times New Roman" w:cs="Times New Roman"/>
          <w:sz w:val="24"/>
          <w:szCs w:val="24"/>
        </w:rPr>
        <w:t xml:space="preserve"> 201</w:t>
      </w:r>
      <w:r w:rsidR="004463C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p>
    <w:p w14:paraId="454D48D8"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40F05D29" w14:textId="24CB6E00"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recently, there has been a rise in follow-on buyouts e.g., secondary buyouts (SBOs), (and also third and fourth time buyouts</w:t>
      </w:r>
      <w:r w:rsidR="002C15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so on), where initial investors exit fully or partially to be replaced by new investors. All or part of the management team may also exit during a follow-on buyout. </w:t>
      </w:r>
      <w:r w:rsidR="009613C4">
        <w:rPr>
          <w:rFonts w:ascii="Times New Roman" w:eastAsia="Times New Roman" w:hAnsi="Times New Roman" w:cs="Times New Roman"/>
          <w:sz w:val="24"/>
          <w:szCs w:val="24"/>
        </w:rPr>
        <w:t>In recent years, t</w:t>
      </w:r>
      <w:r>
        <w:rPr>
          <w:rFonts w:ascii="Times New Roman" w:eastAsia="Times New Roman" w:hAnsi="Times New Roman" w:cs="Times New Roman"/>
          <w:sz w:val="24"/>
          <w:szCs w:val="24"/>
        </w:rPr>
        <w:t xml:space="preserve">he annual value of SBOs has </w:t>
      </w:r>
      <w:r w:rsidR="009613C4">
        <w:rPr>
          <w:rFonts w:ascii="Times New Roman" w:eastAsia="Times New Roman" w:hAnsi="Times New Roman" w:cs="Times New Roman"/>
          <w:sz w:val="24"/>
          <w:szCs w:val="24"/>
        </w:rPr>
        <w:t>been close to</w:t>
      </w:r>
      <w:r>
        <w:rPr>
          <w:rFonts w:ascii="Times New Roman" w:eastAsia="Times New Roman" w:hAnsi="Times New Roman" w:cs="Times New Roman"/>
          <w:sz w:val="24"/>
          <w:szCs w:val="24"/>
        </w:rPr>
        <w:t xml:space="preserve"> that for primary deals</w:t>
      </w:r>
      <w:r w:rsidR="009613C4">
        <w:rPr>
          <w:rFonts w:ascii="Times New Roman" w:eastAsia="Times New Roman" w:hAnsi="Times New Roman" w:cs="Times New Roman"/>
          <w:sz w:val="24"/>
          <w:szCs w:val="24"/>
        </w:rPr>
        <w:t xml:space="preserve"> and in some years has exceeded it, notably in 2017 when SBO deals amounted to £14.8bn compared with £13.4bn for primary deals</w:t>
      </w:r>
      <w:r>
        <w:rPr>
          <w:rFonts w:ascii="Times New Roman" w:eastAsia="Times New Roman" w:hAnsi="Times New Roman" w:cs="Times New Roman"/>
          <w:sz w:val="24"/>
          <w:szCs w:val="24"/>
        </w:rPr>
        <w:t xml:space="preserve"> (CMBOR 201</w:t>
      </w:r>
      <w:r w:rsidR="009613C4">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Evidence on the overall performance of SBOs is mixed. While </w:t>
      </w:r>
      <w:proofErr w:type="spellStart"/>
      <w:r>
        <w:rPr>
          <w:rFonts w:ascii="Times New Roman" w:eastAsia="Times New Roman" w:hAnsi="Times New Roman" w:cs="Times New Roman"/>
          <w:sz w:val="24"/>
          <w:szCs w:val="24"/>
        </w:rPr>
        <w:t>Achleitner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Figge</w:t>
      </w:r>
      <w:proofErr w:type="spellEnd"/>
      <w:r>
        <w:rPr>
          <w:rFonts w:ascii="Times New Roman" w:eastAsia="Times New Roman" w:hAnsi="Times New Roman" w:cs="Times New Roman"/>
          <w:sz w:val="24"/>
          <w:szCs w:val="24"/>
        </w:rPr>
        <w:t xml:space="preserve"> (2014) show improved operational performance, </w:t>
      </w:r>
      <w:proofErr w:type="spellStart"/>
      <w:r>
        <w:rPr>
          <w:rFonts w:ascii="Times New Roman" w:eastAsia="Times New Roman" w:hAnsi="Times New Roman" w:cs="Times New Roman"/>
          <w:sz w:val="24"/>
          <w:szCs w:val="24"/>
        </w:rPr>
        <w:t>Bonini</w:t>
      </w:r>
      <w:proofErr w:type="spellEnd"/>
      <w:r>
        <w:rPr>
          <w:rFonts w:ascii="Times New Roman" w:eastAsia="Times New Roman" w:hAnsi="Times New Roman" w:cs="Times New Roman"/>
          <w:sz w:val="24"/>
          <w:szCs w:val="24"/>
        </w:rPr>
        <w:t xml:space="preserve"> (2015), Zhou, </w:t>
      </w:r>
      <w:proofErr w:type="spellStart"/>
      <w:r>
        <w:rPr>
          <w:rFonts w:ascii="Times New Roman" w:eastAsia="Times New Roman" w:hAnsi="Times New Roman" w:cs="Times New Roman"/>
          <w:sz w:val="24"/>
          <w:szCs w:val="24"/>
        </w:rPr>
        <w:t>Jelic</w:t>
      </w:r>
      <w:proofErr w:type="spellEnd"/>
      <w:r>
        <w:rPr>
          <w:rFonts w:ascii="Times New Roman" w:eastAsia="Times New Roman" w:hAnsi="Times New Roman" w:cs="Times New Roman"/>
          <w:sz w:val="24"/>
          <w:szCs w:val="24"/>
        </w:rPr>
        <w:t xml:space="preserve">, and Wright (2014) and </w:t>
      </w:r>
      <w:proofErr w:type="spellStart"/>
      <w:r>
        <w:rPr>
          <w:rFonts w:ascii="Times New Roman" w:eastAsia="Times New Roman" w:hAnsi="Times New Roman" w:cs="Times New Roman"/>
          <w:sz w:val="24"/>
          <w:szCs w:val="24"/>
        </w:rPr>
        <w:t>Alperovych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and Wright (2013) find that performance deteriorates, </w:t>
      </w:r>
      <w:proofErr w:type="spellStart"/>
      <w:r>
        <w:rPr>
          <w:rFonts w:ascii="Times New Roman" w:eastAsia="Times New Roman" w:hAnsi="Times New Roman" w:cs="Times New Roman"/>
          <w:sz w:val="24"/>
          <w:szCs w:val="24"/>
        </w:rPr>
        <w:t>Jelic</w:t>
      </w:r>
      <w:proofErr w:type="spellEnd"/>
      <w:r>
        <w:rPr>
          <w:rFonts w:ascii="Times New Roman" w:eastAsia="Times New Roman" w:hAnsi="Times New Roman" w:cs="Times New Roman"/>
          <w:sz w:val="24"/>
          <w:szCs w:val="24"/>
        </w:rPr>
        <w:t xml:space="preserve"> and Wright (2011) find positive and negative effects, and Wang (2012) finds no effect. Using PE firm level data, </w:t>
      </w:r>
      <w:proofErr w:type="spellStart"/>
      <w:r>
        <w:rPr>
          <w:rFonts w:ascii="Times New Roman" w:eastAsia="Times New Roman" w:hAnsi="Times New Roman" w:cs="Times New Roman"/>
          <w:sz w:val="24"/>
          <w:szCs w:val="24"/>
        </w:rPr>
        <w:t>Degeorge</w:t>
      </w:r>
      <w:proofErr w:type="spellEnd"/>
      <w:r>
        <w:rPr>
          <w:rFonts w:ascii="Times New Roman" w:eastAsia="Times New Roman" w:hAnsi="Times New Roman" w:cs="Times New Roman"/>
          <w:sz w:val="24"/>
          <w:szCs w:val="24"/>
        </w:rPr>
        <w:t xml:space="preserve">, Martin and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(2016) find </w:t>
      </w:r>
      <w:r w:rsidR="00EE03D6">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SBOs underperform when they are made by PE firms under pressure to spend capital, but perform as well as other buyouts when the buyer is not under pressure to spend funds (</w:t>
      </w:r>
      <w:proofErr w:type="spellStart"/>
      <w:r>
        <w:rPr>
          <w:rFonts w:ascii="Times New Roman" w:eastAsia="Times New Roman" w:hAnsi="Times New Roman" w:cs="Times New Roman"/>
          <w:sz w:val="24"/>
          <w:szCs w:val="24"/>
        </w:rPr>
        <w:t>Arcot</w:t>
      </w:r>
      <w:proofErr w:type="spellEnd"/>
      <w:r>
        <w:rPr>
          <w:rFonts w:ascii="Times New Roman" w:eastAsia="Times New Roman" w:hAnsi="Times New Roman" w:cs="Times New Roman"/>
          <w:sz w:val="24"/>
          <w:szCs w:val="24"/>
        </w:rPr>
        <w:t xml:space="preserve"> et al. 2015).</w:t>
      </w:r>
    </w:p>
    <w:p w14:paraId="6032CDCD"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180E1E7F" w14:textId="79C441E4"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Critics also suggest that PE</w:t>
      </w:r>
      <w:r w:rsidR="00EE03D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backed buyouts are more likely to fail or enter financial distress as a result of leverage. Studies in the US (e.g. Hotchkiss, Smith and Stromberg 2012; Cohn, Mills, and </w:t>
      </w:r>
      <w:proofErr w:type="spellStart"/>
      <w:r>
        <w:rPr>
          <w:rFonts w:ascii="Times New Roman" w:eastAsia="Times New Roman" w:hAnsi="Times New Roman" w:cs="Times New Roman"/>
          <w:sz w:val="24"/>
          <w:szCs w:val="24"/>
        </w:rPr>
        <w:t>Towery</w:t>
      </w:r>
      <w:proofErr w:type="spellEnd"/>
      <w:r>
        <w:rPr>
          <w:rFonts w:ascii="Times New Roman" w:eastAsia="Times New Roman" w:hAnsi="Times New Roman" w:cs="Times New Roman"/>
          <w:sz w:val="24"/>
          <w:szCs w:val="24"/>
        </w:rPr>
        <w:t xml:space="preserve"> 2014), UK (Wilson and Wright, 2013) and Europe (</w:t>
      </w:r>
      <w:proofErr w:type="spellStart"/>
      <w:r>
        <w:rPr>
          <w:rFonts w:ascii="Times New Roman" w:eastAsia="Times New Roman" w:hAnsi="Times New Roman" w:cs="Times New Roman"/>
          <w:sz w:val="24"/>
          <w:szCs w:val="24"/>
        </w:rPr>
        <w:t>Tykvova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Borell</w:t>
      </w:r>
      <w:proofErr w:type="spellEnd"/>
      <w:r>
        <w:rPr>
          <w:rFonts w:ascii="Times New Roman" w:eastAsia="Times New Roman" w:hAnsi="Times New Roman" w:cs="Times New Roman"/>
          <w:sz w:val="24"/>
          <w:szCs w:val="24"/>
        </w:rPr>
        <w:t>, 2012) show that PE-backed buyouts are no more likely to enter financial distress or bankruptcy than other comparable companies. This is partly due to selecting targets that have strong cash flow potential to service the debt but also because PE investors are proactive in negotiating the resolution of distress with creditors. Debt recovery rates of PE</w:t>
      </w:r>
      <w:r w:rsidR="00EE03D6">
        <w:rPr>
          <w:rFonts w:ascii="Times New Roman" w:eastAsia="Times New Roman" w:hAnsi="Times New Roman" w:cs="Times New Roman"/>
          <w:sz w:val="24"/>
          <w:szCs w:val="24"/>
        </w:rPr>
        <w:t>-</w:t>
      </w:r>
      <w:r>
        <w:rPr>
          <w:rFonts w:ascii="Times New Roman" w:eastAsia="Times New Roman" w:hAnsi="Times New Roman" w:cs="Times New Roman"/>
          <w:sz w:val="24"/>
          <w:szCs w:val="24"/>
        </w:rPr>
        <w:t>backed buyouts that enter bankruptcy proceedings are also greater than for non-buyouts (Wright et al. 2014).</w:t>
      </w:r>
    </w:p>
    <w:p w14:paraId="70B4ACA0"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5E4F62B2" w14:textId="77777777" w:rsidR="00605EA7" w:rsidRDefault="005A2565">
      <w:pPr>
        <w:pStyle w:val="Normal1"/>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road ahead</w:t>
      </w:r>
    </w:p>
    <w:p w14:paraId="268A2826" w14:textId="77777777"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firms face challenges as the industry matures beyond its initial beginnings as an emerging and unfamiliar asset class</w:t>
      </w:r>
      <w:r>
        <w:rPr>
          <w:rFonts w:ascii="Times New Roman" w:eastAsia="Times New Roman" w:hAnsi="Times New Roman" w:cs="Times New Roman"/>
          <w:color w:val="221E1F"/>
          <w:sz w:val="24"/>
          <w:szCs w:val="24"/>
        </w:rPr>
        <w:t>. Below, we outline a research agenda relating to PE firms, portfolio firms, and individuals. We also discuss data challenges in the conduct of future PE research.</w:t>
      </w:r>
    </w:p>
    <w:p w14:paraId="1D32F959" w14:textId="77777777" w:rsidR="00605EA7" w:rsidRDefault="00605EA7">
      <w:pPr>
        <w:pStyle w:val="Normal1"/>
        <w:spacing w:after="0" w:line="480" w:lineRule="auto"/>
        <w:jc w:val="both"/>
        <w:rPr>
          <w:rFonts w:ascii="Times New Roman" w:eastAsia="Times New Roman" w:hAnsi="Times New Roman" w:cs="Times New Roman"/>
          <w:i/>
          <w:sz w:val="24"/>
          <w:szCs w:val="24"/>
        </w:rPr>
      </w:pPr>
    </w:p>
    <w:p w14:paraId="47948002" w14:textId="77777777" w:rsidR="00605EA7" w:rsidRDefault="005A2565">
      <w:pPr>
        <w:pStyle w:val="Heading2"/>
        <w:rPr>
          <w:b w:val="0"/>
          <w:i w:val="0"/>
        </w:rPr>
      </w:pPr>
      <w:r>
        <w:t>PE firms</w:t>
      </w:r>
    </w:p>
    <w:p w14:paraId="26FF9ACE"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Financing</w:t>
      </w:r>
    </w:p>
    <w:p w14:paraId="36E28EA7" w14:textId="58211278" w:rsidR="00605EA7" w:rsidRDefault="005A2565">
      <w:pPr>
        <w:pStyle w:val="Normal1"/>
        <w:spacing w:after="0"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maturity of the PE industry has changed access to funds for PE firms, and altered the relationship between LPs, GPs, and portfolio companies (</w:t>
      </w:r>
      <w:proofErr w:type="spellStart"/>
      <w:r>
        <w:rPr>
          <w:rFonts w:ascii="Times New Roman" w:eastAsia="Times New Roman" w:hAnsi="Times New Roman" w:cs="Times New Roman"/>
          <w:sz w:val="24"/>
          <w:szCs w:val="24"/>
        </w:rPr>
        <w:t>Sensoy</w:t>
      </w:r>
      <w:proofErr w:type="spellEnd"/>
      <w:r>
        <w:rPr>
          <w:rFonts w:ascii="Times New Roman" w:eastAsia="Times New Roman" w:hAnsi="Times New Roman" w:cs="Times New Roman"/>
          <w:sz w:val="24"/>
          <w:szCs w:val="24"/>
        </w:rPr>
        <w:t xml:space="preserve">, Wang, and </w:t>
      </w:r>
      <w:proofErr w:type="spellStart"/>
      <w:r>
        <w:rPr>
          <w:rFonts w:ascii="Times New Roman" w:eastAsia="Times New Roman" w:hAnsi="Times New Roman" w:cs="Times New Roman"/>
          <w:sz w:val="24"/>
          <w:szCs w:val="24"/>
        </w:rPr>
        <w:t>Weisbach</w:t>
      </w:r>
      <w:proofErr w:type="spellEnd"/>
      <w:r>
        <w:rPr>
          <w:rFonts w:ascii="Times New Roman" w:eastAsia="Times New Roman" w:hAnsi="Times New Roman" w:cs="Times New Roman"/>
          <w:sz w:val="24"/>
          <w:szCs w:val="24"/>
        </w:rPr>
        <w:t xml:space="preserve"> 2014</w:t>
      </w:r>
      <w:r>
        <w:rPr>
          <w:rFonts w:ascii="Times New Roman" w:eastAsia="Times New Roman" w:hAnsi="Times New Roman" w:cs="Times New Roman"/>
          <w:color w:val="222222"/>
          <w:sz w:val="24"/>
          <w:szCs w:val="24"/>
        </w:rPr>
        <w:t>). Over the past twenty years many institutional investors have included PE as part of their portfolio</w:t>
      </w:r>
      <w:r w:rsidR="003E27AF">
        <w:rPr>
          <w:rFonts w:ascii="Times New Roman" w:eastAsia="Times New Roman" w:hAnsi="Times New Roman" w:cs="Times New Roman"/>
          <w:color w:val="222222"/>
          <w:sz w:val="24"/>
          <w:szCs w:val="24"/>
        </w:rPr>
        <w:t>s</w:t>
      </w:r>
      <w:r>
        <w:rPr>
          <w:rFonts w:ascii="Times New Roman" w:eastAsia="Times New Roman" w:hAnsi="Times New Roman" w:cs="Times New Roman"/>
          <w:color w:val="222222"/>
          <w:sz w:val="24"/>
          <w:szCs w:val="24"/>
        </w:rPr>
        <w:t>, allowing PE funds to raise large amounts of cash; however, the increased number of funds makes it hard to find attractively priced companies to invest in (Espinoza 2018). The massive amounts of existing dry powder, the continuing inflow of funds to the industry</w:t>
      </w:r>
      <w:r w:rsidR="003E27AF">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and the resulting competition between LPs to subscribe to the top PE funds</w:t>
      </w:r>
      <w:r w:rsidR="003E27AF">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has also raised questions concerning the scalability of PE (Lopez-de-</w:t>
      </w:r>
      <w:proofErr w:type="spellStart"/>
      <w:r>
        <w:rPr>
          <w:rFonts w:ascii="Times New Roman" w:eastAsia="Times New Roman" w:hAnsi="Times New Roman" w:cs="Times New Roman"/>
          <w:color w:val="222222"/>
          <w:sz w:val="24"/>
          <w:szCs w:val="24"/>
        </w:rPr>
        <w:t>Silanes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Phalippou</w:t>
      </w:r>
      <w:proofErr w:type="spellEnd"/>
      <w:r>
        <w:rPr>
          <w:rFonts w:ascii="Times New Roman" w:eastAsia="Times New Roman" w:hAnsi="Times New Roman" w:cs="Times New Roman"/>
          <w:color w:val="222222"/>
          <w:sz w:val="24"/>
          <w:szCs w:val="24"/>
        </w:rPr>
        <w:t xml:space="preserve">, and </w:t>
      </w:r>
      <w:proofErr w:type="spellStart"/>
      <w:r>
        <w:rPr>
          <w:rFonts w:ascii="Times New Roman" w:eastAsia="Times New Roman" w:hAnsi="Times New Roman" w:cs="Times New Roman"/>
          <w:color w:val="222222"/>
          <w:sz w:val="24"/>
          <w:szCs w:val="24"/>
        </w:rPr>
        <w:t>Gottschalg</w:t>
      </w:r>
      <w:proofErr w:type="spellEnd"/>
      <w:r>
        <w:rPr>
          <w:rFonts w:ascii="Times New Roman" w:eastAsia="Times New Roman" w:hAnsi="Times New Roman" w:cs="Times New Roman"/>
          <w:color w:val="222222"/>
          <w:sz w:val="24"/>
          <w:szCs w:val="24"/>
        </w:rPr>
        <w:t xml:space="preserve"> 2015). Moreover, direct investing by experienced institutional investors apparently produces better returns than co-investing through PE firms (Fang et al., 2015). Many sovereign wealth funds (SWFs) are also directly investing in firms</w:t>
      </w:r>
      <w:r w:rsidR="0009538C">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rather than hiring GPs, to avoid management fees (Wright and </w:t>
      </w:r>
      <w:proofErr w:type="spellStart"/>
      <w:r>
        <w:rPr>
          <w:rFonts w:ascii="Times New Roman" w:eastAsia="Times New Roman" w:hAnsi="Times New Roman" w:cs="Times New Roman"/>
          <w:color w:val="222222"/>
          <w:sz w:val="24"/>
          <w:szCs w:val="24"/>
        </w:rPr>
        <w:t>Amess</w:t>
      </w:r>
      <w:proofErr w:type="spellEnd"/>
      <w:r>
        <w:rPr>
          <w:rFonts w:ascii="Times New Roman" w:eastAsia="Times New Roman" w:hAnsi="Times New Roman" w:cs="Times New Roman"/>
          <w:color w:val="222222"/>
          <w:sz w:val="24"/>
          <w:szCs w:val="24"/>
        </w:rPr>
        <w:t xml:space="preserve"> 2017). Yet, the literature studying these issues focuses mainly on the returns of financial intermediaries. Research is needed to explore the strategies GPs adopt in a mature market rather than relying on past practices. How do GPs cope with increased competition? How do GPs remain attractive to LPs? How does competition impact PE investment decisions?</w:t>
      </w:r>
    </w:p>
    <w:p w14:paraId="2C8770E4" w14:textId="77777777" w:rsidR="00605EA7" w:rsidRDefault="00605EA7">
      <w:pPr>
        <w:pStyle w:val="Normal1"/>
        <w:spacing w:after="0" w:line="480" w:lineRule="auto"/>
        <w:jc w:val="both"/>
        <w:rPr>
          <w:rFonts w:ascii="Times New Roman" w:eastAsia="Times New Roman" w:hAnsi="Times New Roman" w:cs="Times New Roman"/>
          <w:color w:val="222222"/>
          <w:sz w:val="24"/>
          <w:szCs w:val="24"/>
        </w:rPr>
      </w:pPr>
    </w:p>
    <w:p w14:paraId="63029499" w14:textId="104628A9" w:rsidR="00605EA7" w:rsidRDefault="005A2565">
      <w:pPr>
        <w:pStyle w:val="Normal1"/>
        <w:spacing w:after="0"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As dependence on debt nears record levels, and aggressive and rapid deal making leads to soaring prices for companies, a prospective increase in interest rates might lead to a collapse of highly leveraged PE structures. What is then the impact of a combination of overpricing and high leverage on LPs returns and the consequences for stakeholders, including: employees, customers, and pensioners?</w:t>
      </w:r>
      <w:r w:rsidR="00305B23">
        <w:rPr>
          <w:rFonts w:ascii="Times New Roman" w:eastAsia="Times New Roman" w:hAnsi="Times New Roman" w:cs="Times New Roman"/>
          <w:color w:val="222222"/>
          <w:sz w:val="24"/>
          <w:szCs w:val="24"/>
        </w:rPr>
        <w:t xml:space="preserve"> An emerging trend seems to be for PE firms to attempt to mitigate these problems by developing proprietary deal flow and concluding so-called ‘bilateral’ deals between themselves and vendors rather than engaging in auctions. Future research might usefully explore the extent and effectiveness of such a strategy.</w:t>
      </w:r>
    </w:p>
    <w:p w14:paraId="750B8D24"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57329CEE" w14:textId="42BBFED0"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Earlier evidence of outperformance of different types of LPs is no longer apparent. For example, Lerner et al. (2007) reported the outperformance of endowments as an investor class; however, </w:t>
      </w:r>
      <w:proofErr w:type="spellStart"/>
      <w:r>
        <w:rPr>
          <w:rFonts w:ascii="Times New Roman" w:eastAsia="Times New Roman" w:hAnsi="Times New Roman" w:cs="Times New Roman"/>
          <w:sz w:val="24"/>
          <w:szCs w:val="24"/>
        </w:rPr>
        <w:t>Sensoy</w:t>
      </w:r>
      <w:proofErr w:type="spellEnd"/>
      <w:r>
        <w:rPr>
          <w:rFonts w:ascii="Times New Roman" w:eastAsia="Times New Roman" w:hAnsi="Times New Roman" w:cs="Times New Roman"/>
          <w:sz w:val="24"/>
          <w:szCs w:val="24"/>
        </w:rPr>
        <w:t xml:space="preserve"> et al. (2014) challenge this conclusion by documenting endowments’ access to the best funds, rather than superior skill at picking funds, as likely driving their performance. Research on investor characteristics suggests that LP size is an influential variable impacting variation in investor behaviour and investor criteria (Da </w:t>
      </w:r>
      <w:proofErr w:type="spellStart"/>
      <w:r>
        <w:rPr>
          <w:rFonts w:ascii="Times New Roman" w:eastAsia="Times New Roman" w:hAnsi="Times New Roman" w:cs="Times New Roman"/>
          <w:sz w:val="24"/>
          <w:szCs w:val="24"/>
        </w:rPr>
        <w:t>Rin</w:t>
      </w:r>
      <w:proofErr w:type="spellEnd"/>
      <w:r>
        <w:rPr>
          <w:rFonts w:ascii="Times New Roman" w:eastAsia="Times New Roman" w:hAnsi="Times New Roman" w:cs="Times New Roman"/>
          <w:sz w:val="24"/>
          <w:szCs w:val="24"/>
        </w:rPr>
        <w:t xml:space="preserve"> et al 2017). Further research is needed on the interaction between investor types (e.g. size, location, experience), and their strategy and performance.</w:t>
      </w:r>
    </w:p>
    <w:p w14:paraId="4BBB443B"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6A35693E" w14:textId="77777777" w:rsidR="00605EA7" w:rsidRDefault="005A2565">
      <w:pPr>
        <w:pStyle w:val="Normal1"/>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Traditionally, syndication has been analysed in terms of co-investments between PE firms. Recent years have seen a marked rise in the entry of debt funds that are fuelling market growth and an increase in leverage in deal structures.</w:t>
      </w:r>
      <w:r>
        <w:rPr>
          <w:rFonts w:ascii="Times New Roman" w:eastAsia="Times New Roman" w:hAnsi="Times New Roman" w:cs="Times New Roman"/>
          <w:color w:val="000000"/>
          <w:sz w:val="24"/>
          <w:szCs w:val="24"/>
        </w:rPr>
        <w:t xml:space="preserve"> What are the implications of increasing leverage for syndication between traditional PE firms and other forms of fund providers such as SWFs and debt funds? Does the relatively large size, and hence potentially higher bargaining power, of SWFs influence PE firm behaviour? </w:t>
      </w:r>
    </w:p>
    <w:p w14:paraId="1E135940" w14:textId="77777777" w:rsidR="00605EA7" w:rsidRDefault="00605EA7">
      <w:pPr>
        <w:pStyle w:val="Normal1"/>
        <w:spacing w:after="0" w:line="480" w:lineRule="auto"/>
        <w:jc w:val="both"/>
        <w:rPr>
          <w:rFonts w:ascii="Times New Roman" w:eastAsia="Times New Roman" w:hAnsi="Times New Roman" w:cs="Times New Roman"/>
          <w:color w:val="000000"/>
          <w:sz w:val="24"/>
          <w:szCs w:val="24"/>
        </w:rPr>
      </w:pPr>
    </w:p>
    <w:p w14:paraId="6753AB0A" w14:textId="77777777"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the evidence reviewed above indicates that overall PE fund performance is not extraordinary. Large amounts of dry powder and favourable debt market conditions are factors responsible for intense competition for deals and their soaring prices. It is therefore unclear whether the PE business model is sustainable. How and from what sources will PE generate further returns if the aggregate supply of profitable deals does not change over time? If operational and financial engineering are not enough to create value, what other channels are available?</w:t>
      </w:r>
    </w:p>
    <w:p w14:paraId="0FD580B8"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0CB7BD68"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Transparency</w:t>
      </w:r>
    </w:p>
    <w:p w14:paraId="7FE9F8D9" w14:textId="37262700" w:rsidR="00605EA7" w:rsidRDefault="005A2565">
      <w:pPr>
        <w:pStyle w:val="Normal1"/>
        <w:spacing w:after="0" w:line="480" w:lineRule="auto"/>
        <w:jc w:val="both"/>
        <w:rPr>
          <w:rFonts w:ascii="Times New Roman" w:eastAsia="Times New Roman" w:hAnsi="Times New Roman" w:cs="Times New Roman"/>
          <w:color w:val="353535"/>
          <w:sz w:val="24"/>
          <w:szCs w:val="24"/>
        </w:rPr>
      </w:pPr>
      <w:r>
        <w:rPr>
          <w:rFonts w:ascii="Times New Roman" w:eastAsia="Times New Roman" w:hAnsi="Times New Roman" w:cs="Times New Roman"/>
          <w:color w:val="353535"/>
          <w:sz w:val="24"/>
          <w:szCs w:val="24"/>
        </w:rPr>
        <w:t>PE firms have developed a variety of ways to generate revenues. These include management fees imposed on LPs (</w:t>
      </w:r>
      <w:proofErr w:type="spellStart"/>
      <w:r>
        <w:rPr>
          <w:rFonts w:ascii="Times New Roman" w:eastAsia="Times New Roman" w:hAnsi="Times New Roman" w:cs="Times New Roman"/>
          <w:color w:val="353535"/>
          <w:sz w:val="24"/>
          <w:szCs w:val="24"/>
        </w:rPr>
        <w:t>Mertick</w:t>
      </w:r>
      <w:proofErr w:type="spellEnd"/>
      <w:r>
        <w:rPr>
          <w:rFonts w:ascii="Times New Roman" w:eastAsia="Times New Roman" w:hAnsi="Times New Roman" w:cs="Times New Roman"/>
          <w:color w:val="353535"/>
          <w:sz w:val="24"/>
          <w:szCs w:val="24"/>
        </w:rPr>
        <w:t xml:space="preserve"> and Yasuda 2010), as well as transaction and monitoring fees imposed on portfolio companies (</w:t>
      </w:r>
      <w:proofErr w:type="spellStart"/>
      <w:r>
        <w:rPr>
          <w:rFonts w:ascii="Times New Roman" w:eastAsia="Times New Roman" w:hAnsi="Times New Roman" w:cs="Times New Roman"/>
          <w:color w:val="353535"/>
          <w:sz w:val="24"/>
          <w:szCs w:val="24"/>
        </w:rPr>
        <w:t>Phalippou</w:t>
      </w:r>
      <w:proofErr w:type="spellEnd"/>
      <w:r>
        <w:rPr>
          <w:rFonts w:ascii="Times New Roman" w:eastAsia="Times New Roman" w:hAnsi="Times New Roman" w:cs="Times New Roman"/>
          <w:color w:val="353535"/>
          <w:sz w:val="24"/>
          <w:szCs w:val="24"/>
        </w:rPr>
        <w:t xml:space="preserve">, Rauch, and Umber </w:t>
      </w:r>
      <w:r>
        <w:rPr>
          <w:rFonts w:ascii="Times New Roman" w:eastAsia="Times New Roman" w:hAnsi="Times New Roman" w:cs="Times New Roman"/>
          <w:i/>
          <w:color w:val="353535"/>
          <w:sz w:val="24"/>
          <w:szCs w:val="24"/>
        </w:rPr>
        <w:t>forthcoming</w:t>
      </w:r>
      <w:r>
        <w:rPr>
          <w:rFonts w:ascii="Times New Roman" w:eastAsia="Times New Roman" w:hAnsi="Times New Roman" w:cs="Times New Roman"/>
          <w:color w:val="353535"/>
          <w:sz w:val="24"/>
          <w:szCs w:val="24"/>
        </w:rPr>
        <w:t>). Obscure PE arrangements and compensation structures seem to create room for various agency issues involv</w:t>
      </w:r>
      <w:r w:rsidR="006805F0">
        <w:rPr>
          <w:rFonts w:ascii="Times New Roman" w:eastAsia="Times New Roman" w:hAnsi="Times New Roman" w:cs="Times New Roman"/>
          <w:color w:val="353535"/>
          <w:sz w:val="24"/>
          <w:szCs w:val="24"/>
        </w:rPr>
        <w:t>ing</w:t>
      </w:r>
      <w:r>
        <w:rPr>
          <w:rFonts w:ascii="Times New Roman" w:eastAsia="Times New Roman" w:hAnsi="Times New Roman" w:cs="Times New Roman"/>
          <w:color w:val="353535"/>
          <w:sz w:val="24"/>
          <w:szCs w:val="24"/>
        </w:rPr>
        <w:t xml:space="preserve"> excessive risk taking (Magnuson </w:t>
      </w:r>
      <w:r>
        <w:rPr>
          <w:rFonts w:ascii="Times New Roman" w:eastAsia="Times New Roman" w:hAnsi="Times New Roman" w:cs="Times New Roman"/>
          <w:i/>
          <w:color w:val="353535"/>
          <w:sz w:val="24"/>
          <w:szCs w:val="24"/>
        </w:rPr>
        <w:t xml:space="preserve">forthcoming; </w:t>
      </w:r>
      <w:proofErr w:type="spellStart"/>
      <w:r>
        <w:rPr>
          <w:rFonts w:ascii="Times New Roman" w:eastAsia="Times New Roman" w:hAnsi="Times New Roman" w:cs="Times New Roman"/>
          <w:color w:val="353535"/>
          <w:sz w:val="24"/>
          <w:szCs w:val="24"/>
        </w:rPr>
        <w:t>Gredil</w:t>
      </w:r>
      <w:proofErr w:type="spellEnd"/>
      <w:r>
        <w:rPr>
          <w:rFonts w:ascii="Times New Roman" w:eastAsia="Times New Roman" w:hAnsi="Times New Roman" w:cs="Times New Roman"/>
          <w:color w:val="353535"/>
          <w:sz w:val="24"/>
          <w:szCs w:val="24"/>
        </w:rPr>
        <w:t xml:space="preserve"> 2017), and misreporting of returns and Net Asset Values, especially during fundraising periods (Barber and Yasuda 2017; Brown, </w:t>
      </w:r>
      <w:proofErr w:type="spellStart"/>
      <w:r>
        <w:rPr>
          <w:rFonts w:ascii="Times New Roman" w:eastAsia="Times New Roman" w:hAnsi="Times New Roman" w:cs="Times New Roman"/>
          <w:color w:val="353535"/>
          <w:sz w:val="24"/>
          <w:szCs w:val="24"/>
        </w:rPr>
        <w:t>Gredil</w:t>
      </w:r>
      <w:proofErr w:type="spellEnd"/>
      <w:r>
        <w:rPr>
          <w:rFonts w:ascii="Times New Roman" w:eastAsia="Times New Roman" w:hAnsi="Times New Roman" w:cs="Times New Roman"/>
          <w:color w:val="353535"/>
          <w:sz w:val="24"/>
          <w:szCs w:val="24"/>
        </w:rPr>
        <w:t xml:space="preserve"> and Kaplan </w:t>
      </w:r>
      <w:r>
        <w:rPr>
          <w:rFonts w:ascii="Times New Roman" w:eastAsia="Times New Roman" w:hAnsi="Times New Roman" w:cs="Times New Roman"/>
          <w:i/>
          <w:color w:val="353535"/>
          <w:sz w:val="24"/>
          <w:szCs w:val="24"/>
        </w:rPr>
        <w:t>forthcoming</w:t>
      </w:r>
      <w:r>
        <w:rPr>
          <w:rFonts w:ascii="Times New Roman" w:eastAsia="Times New Roman" w:hAnsi="Times New Roman" w:cs="Times New Roman"/>
          <w:color w:val="353535"/>
          <w:sz w:val="24"/>
          <w:szCs w:val="24"/>
        </w:rPr>
        <w:t>), and overall reduction in the ways LPs can effectively monitor and control GPs. A recent EU MIFID 2 initiative (BVCA 2017) now applicable to PE firms operating in Europe seeks to enhance investor protection, though the consequences of this for LPs</w:t>
      </w:r>
      <w:r w:rsidR="006805F0">
        <w:rPr>
          <w:rFonts w:ascii="Times New Roman" w:eastAsia="Times New Roman" w:hAnsi="Times New Roman" w:cs="Times New Roman"/>
          <w:color w:val="353535"/>
          <w:sz w:val="24"/>
          <w:szCs w:val="24"/>
        </w:rPr>
        <w:t>,</w:t>
      </w:r>
      <w:r>
        <w:rPr>
          <w:rFonts w:ascii="Times New Roman" w:eastAsia="Times New Roman" w:hAnsi="Times New Roman" w:cs="Times New Roman"/>
          <w:color w:val="353535"/>
          <w:sz w:val="24"/>
          <w:szCs w:val="24"/>
        </w:rPr>
        <w:t xml:space="preserve"> and their relationship with GPs</w:t>
      </w:r>
      <w:r w:rsidR="006805F0">
        <w:rPr>
          <w:rFonts w:ascii="Times New Roman" w:eastAsia="Times New Roman" w:hAnsi="Times New Roman" w:cs="Times New Roman"/>
          <w:color w:val="353535"/>
          <w:sz w:val="24"/>
          <w:szCs w:val="24"/>
        </w:rPr>
        <w:t>,</w:t>
      </w:r>
      <w:r>
        <w:rPr>
          <w:rFonts w:ascii="Times New Roman" w:eastAsia="Times New Roman" w:hAnsi="Times New Roman" w:cs="Times New Roman"/>
          <w:color w:val="353535"/>
          <w:sz w:val="24"/>
          <w:szCs w:val="24"/>
        </w:rPr>
        <w:t xml:space="preserve"> are yet to be observed and studied.</w:t>
      </w:r>
    </w:p>
    <w:p w14:paraId="4DFC9444" w14:textId="77777777" w:rsidR="00605EA7" w:rsidRDefault="005A2565">
      <w:pPr>
        <w:pStyle w:val="Normal1"/>
        <w:spacing w:after="0" w:line="480" w:lineRule="auto"/>
        <w:jc w:val="both"/>
        <w:rPr>
          <w:rFonts w:ascii="Times New Roman" w:eastAsia="Times New Roman" w:hAnsi="Times New Roman" w:cs="Times New Roman"/>
          <w:color w:val="353535"/>
          <w:sz w:val="24"/>
          <w:szCs w:val="24"/>
        </w:rPr>
      </w:pPr>
      <w:r>
        <w:rPr>
          <w:rFonts w:ascii="Times New Roman" w:eastAsia="Times New Roman" w:hAnsi="Times New Roman" w:cs="Times New Roman"/>
          <w:color w:val="353535"/>
          <w:sz w:val="24"/>
          <w:szCs w:val="24"/>
        </w:rPr>
        <w:t xml:space="preserve"> </w:t>
      </w:r>
    </w:p>
    <w:p w14:paraId="6DD0E338" w14:textId="7316E00E"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53535"/>
          <w:sz w:val="24"/>
          <w:szCs w:val="24"/>
        </w:rPr>
        <w:t>Greater transparency is necessary to facilitate new investigations of the agency between LPs and GPs. Such inquiries can shed light on various contractual issues between different kinds of investors and PE firms. What terms and provisions are still necessary and which ones are outdated? Are the contracts ensuring that LPs</w:t>
      </w:r>
      <w:r w:rsidR="0009538C">
        <w:rPr>
          <w:rFonts w:ascii="Times New Roman" w:eastAsia="Times New Roman" w:hAnsi="Times New Roman" w:cs="Times New Roman"/>
          <w:color w:val="353535"/>
          <w:sz w:val="24"/>
          <w:szCs w:val="24"/>
        </w:rPr>
        <w:t>,</w:t>
      </w:r>
      <w:r>
        <w:rPr>
          <w:rFonts w:ascii="Times New Roman" w:eastAsia="Times New Roman" w:hAnsi="Times New Roman" w:cs="Times New Roman"/>
          <w:color w:val="353535"/>
          <w:sz w:val="24"/>
          <w:szCs w:val="24"/>
        </w:rPr>
        <w:t xml:space="preserve"> who lock their investments for extended periods</w:t>
      </w:r>
      <w:r w:rsidR="0009538C">
        <w:rPr>
          <w:rFonts w:ascii="Times New Roman" w:eastAsia="Times New Roman" w:hAnsi="Times New Roman" w:cs="Times New Roman"/>
          <w:color w:val="353535"/>
          <w:sz w:val="24"/>
          <w:szCs w:val="24"/>
        </w:rPr>
        <w:t>,</w:t>
      </w:r>
      <w:r>
        <w:rPr>
          <w:rFonts w:ascii="Times New Roman" w:eastAsia="Times New Roman" w:hAnsi="Times New Roman" w:cs="Times New Roman"/>
          <w:color w:val="353535"/>
          <w:sz w:val="24"/>
          <w:szCs w:val="24"/>
        </w:rPr>
        <w:t xml:space="preserve"> sufficiently protected from the moral hazard of PE managers? Better transparency can also stimulate the liquidity of secondary PE markets. Is this liquidity valuable to investors, as </w:t>
      </w:r>
      <w:proofErr w:type="spellStart"/>
      <w:r>
        <w:rPr>
          <w:rFonts w:ascii="Times New Roman" w:eastAsia="Times New Roman" w:hAnsi="Times New Roman" w:cs="Times New Roman"/>
          <w:color w:val="353535"/>
          <w:sz w:val="24"/>
          <w:szCs w:val="24"/>
        </w:rPr>
        <w:t>Bollen</w:t>
      </w:r>
      <w:proofErr w:type="spellEnd"/>
      <w:r>
        <w:rPr>
          <w:rFonts w:ascii="Times New Roman" w:eastAsia="Times New Roman" w:hAnsi="Times New Roman" w:cs="Times New Roman"/>
          <w:color w:val="353535"/>
          <w:sz w:val="24"/>
          <w:szCs w:val="24"/>
        </w:rPr>
        <w:t xml:space="preserve"> and </w:t>
      </w:r>
      <w:proofErr w:type="spellStart"/>
      <w:r>
        <w:rPr>
          <w:rFonts w:ascii="Times New Roman" w:eastAsia="Times New Roman" w:hAnsi="Times New Roman" w:cs="Times New Roman"/>
          <w:color w:val="353535"/>
          <w:sz w:val="24"/>
          <w:szCs w:val="24"/>
        </w:rPr>
        <w:t>Sensoy</w:t>
      </w:r>
      <w:proofErr w:type="spellEnd"/>
      <w:r>
        <w:rPr>
          <w:rFonts w:ascii="Times New Roman" w:eastAsia="Times New Roman" w:hAnsi="Times New Roman" w:cs="Times New Roman"/>
          <w:color w:val="353535"/>
          <w:sz w:val="24"/>
          <w:szCs w:val="24"/>
        </w:rPr>
        <w:t xml:space="preserve"> (2016) seem to suggest?</w:t>
      </w:r>
      <w:r>
        <w:rPr>
          <w:rFonts w:ascii="Times New Roman" w:eastAsia="Times New Roman" w:hAnsi="Times New Roman" w:cs="Times New Roman"/>
          <w:sz w:val="24"/>
          <w:szCs w:val="24"/>
        </w:rPr>
        <w:t xml:space="preserve"> </w:t>
      </w:r>
    </w:p>
    <w:p w14:paraId="01A9D87A"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6BE280FB"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Regional distribution of funding and deals</w:t>
      </w:r>
    </w:p>
    <w:p w14:paraId="6B7B1405" w14:textId="68A7F3F2"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Regional imbalances in finance provision have been a policy concern because firms with growth potential can lack investment (Martin et al. 2015;</w:t>
      </w:r>
      <w:r>
        <w:t xml:space="preserve"> </w:t>
      </w:r>
      <w:r>
        <w:rPr>
          <w:rFonts w:ascii="Times New Roman" w:eastAsia="Times New Roman" w:hAnsi="Times New Roman" w:cs="Times New Roman"/>
          <w:sz w:val="24"/>
          <w:szCs w:val="24"/>
        </w:rPr>
        <w:t xml:space="preserve">Mason and Harrison 2003; Mason and </w:t>
      </w:r>
      <w:proofErr w:type="spellStart"/>
      <w:r>
        <w:rPr>
          <w:rFonts w:ascii="Times New Roman" w:eastAsia="Times New Roman" w:hAnsi="Times New Roman" w:cs="Times New Roman"/>
          <w:sz w:val="24"/>
          <w:szCs w:val="24"/>
        </w:rPr>
        <w:t>Pierrakis</w:t>
      </w:r>
      <w:proofErr w:type="spellEnd"/>
      <w:r>
        <w:rPr>
          <w:rFonts w:ascii="Times New Roman" w:eastAsia="Times New Roman" w:hAnsi="Times New Roman" w:cs="Times New Roman"/>
          <w:sz w:val="24"/>
          <w:szCs w:val="24"/>
        </w:rPr>
        <w:t xml:space="preserve"> 2013). Although much attention has focused on the initial equity gap for small early-stage firms, there is growing recognition of an equity gap for older firms (Wilson, Wright and </w:t>
      </w:r>
      <w:proofErr w:type="spellStart"/>
      <w:r>
        <w:rPr>
          <w:rFonts w:ascii="Times New Roman" w:eastAsia="Times New Roman" w:hAnsi="Times New Roman" w:cs="Times New Roman"/>
          <w:sz w:val="24"/>
          <w:szCs w:val="24"/>
        </w:rPr>
        <w:t>Kacer</w:t>
      </w:r>
      <w:proofErr w:type="spellEnd"/>
      <w:r>
        <w:rPr>
          <w:rFonts w:ascii="Times New Roman" w:eastAsia="Times New Roman" w:hAnsi="Times New Roman" w:cs="Times New Roman"/>
          <w:sz w:val="24"/>
          <w:szCs w:val="24"/>
        </w:rPr>
        <w:t xml:space="preserve"> </w:t>
      </w:r>
      <w:r w:rsidR="00A65871">
        <w:rPr>
          <w:rFonts w:ascii="Times New Roman" w:eastAsia="Times New Roman" w:hAnsi="Times New Roman" w:cs="Times New Roman"/>
          <w:sz w:val="24"/>
          <w:szCs w:val="24"/>
        </w:rPr>
        <w:t>2018</w:t>
      </w:r>
      <w:r>
        <w:rPr>
          <w:rFonts w:ascii="Times New Roman" w:eastAsia="Times New Roman" w:hAnsi="Times New Roman" w:cs="Times New Roman"/>
          <w:sz w:val="24"/>
          <w:szCs w:val="24"/>
        </w:rPr>
        <w:t>). PE</w:t>
      </w:r>
      <w:r w:rsidR="006805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backed buyouts contribute to regional growth and regeneration but evidence is needed on the extent of the gap in provision in different regions. We know that business angel (Harrison, Mason, and Robson 2010) and venture capital (Mueller, </w:t>
      </w:r>
      <w:proofErr w:type="spellStart"/>
      <w:r>
        <w:rPr>
          <w:rFonts w:ascii="Times New Roman" w:eastAsia="Times New Roman" w:hAnsi="Times New Roman" w:cs="Times New Roman"/>
          <w:sz w:val="24"/>
          <w:szCs w:val="24"/>
        </w:rPr>
        <w:t>Westhead</w:t>
      </w:r>
      <w:proofErr w:type="spellEnd"/>
      <w:r>
        <w:rPr>
          <w:rFonts w:ascii="Times New Roman" w:eastAsia="Times New Roman" w:hAnsi="Times New Roman" w:cs="Times New Roman"/>
          <w:sz w:val="24"/>
          <w:szCs w:val="24"/>
        </w:rPr>
        <w:t>, and Wright 2012) investors are prepared to cross regional borders, but analysis is also needed of the extent to which buyout funding needs to be physically located within a particular region. Such analysis needs also to explore the role of intermediaries rather than simply finance providers themselves. For example, advisors may often take deals directly to national financial centres – does this undermine regional financial centres or is it a reflection of the inability of these centres to fund deals?</w:t>
      </w:r>
    </w:p>
    <w:p w14:paraId="6BBBEC57" w14:textId="77777777" w:rsidR="00605EA7" w:rsidRDefault="00605EA7">
      <w:pPr>
        <w:pStyle w:val="Normal1"/>
        <w:spacing w:after="0" w:line="480" w:lineRule="auto"/>
        <w:jc w:val="both"/>
        <w:rPr>
          <w:rFonts w:ascii="Times New Roman" w:eastAsia="Times New Roman" w:hAnsi="Times New Roman" w:cs="Times New Roman"/>
          <w:i/>
          <w:sz w:val="24"/>
          <w:szCs w:val="24"/>
        </w:rPr>
      </w:pPr>
    </w:p>
    <w:p w14:paraId="2366AE6F" w14:textId="77777777" w:rsidR="00605EA7" w:rsidRDefault="005A2565">
      <w:pPr>
        <w:pStyle w:val="Heading2"/>
        <w:rPr>
          <w:b w:val="0"/>
        </w:rPr>
      </w:pPr>
      <w:r>
        <w:t>Portfolio firms</w:t>
      </w:r>
    </w:p>
    <w:p w14:paraId="353E904C"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Deal sources</w:t>
      </w:r>
    </w:p>
    <w:p w14:paraId="3C328163" w14:textId="0E468460"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we have seen above, the performance evidence on SBOs is mixed but studies typically say little about the impact of incoming and outgoing board members’ expertise on deal performance. Do primary (outgoing) PE sponsors sell too early or do follow-on (incoming) PE sponsors have different skills from those of primary sponsors? This is an important area where deal-level board evidence is needed since a shift from financial (monitoring) expertise in the primary buyout to entrepreneurial (value</w:t>
      </w:r>
      <w:r w:rsidR="00205610">
        <w:rPr>
          <w:rFonts w:ascii="Times New Roman" w:eastAsia="Times New Roman" w:hAnsi="Times New Roman" w:cs="Times New Roman"/>
          <w:sz w:val="24"/>
          <w:szCs w:val="24"/>
        </w:rPr>
        <w:t>-</w:t>
      </w:r>
      <w:r w:rsidR="0009538C">
        <w:rPr>
          <w:rFonts w:ascii="Times New Roman" w:eastAsia="Times New Roman" w:hAnsi="Times New Roman" w:cs="Times New Roman"/>
          <w:sz w:val="24"/>
          <w:szCs w:val="24"/>
        </w:rPr>
        <w:t>adding</w:t>
      </w:r>
      <w:r>
        <w:rPr>
          <w:rFonts w:ascii="Times New Roman" w:eastAsia="Times New Roman" w:hAnsi="Times New Roman" w:cs="Times New Roman"/>
          <w:sz w:val="24"/>
          <w:szCs w:val="24"/>
        </w:rPr>
        <w:t>) expertise in the SBO may be required for further gains to be achieved. Many so-called SBOs are in fact third or fourth time around deals, but little is known about them. To what extent do consecutive deals simply involve a continuation of previous strategies, or efforts to be more entrepreneurial, or perhaps turnarounds of struggling firms?</w:t>
      </w:r>
    </w:p>
    <w:p w14:paraId="789A7B44"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5977EAC5" w14:textId="3C8DB345"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private family-owned firms are often viewed as a vendor source with potential for growth in LBO activity, the volume and value of this potential vendor source generally remains rather flat. Further, there are instances where founders have bought back for nominal sums the companies they sold as buyouts because the companies got into trading difficulties. Analysis is needed of the extent and drivers of this phenomenon. For example, to what extent are trading difficulties due to the loss of the specific human capital expertise once founder</w:t>
      </w:r>
      <w:r w:rsidR="0009538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w:t>
      </w:r>
      <w:r w:rsidR="0009538C">
        <w:rPr>
          <w:rFonts w:ascii="Times New Roman" w:eastAsia="Times New Roman" w:hAnsi="Times New Roman" w:cs="Times New Roman"/>
          <w:sz w:val="24"/>
          <w:szCs w:val="24"/>
        </w:rPr>
        <w:t>ave</w:t>
      </w:r>
      <w:r>
        <w:rPr>
          <w:rFonts w:ascii="Times New Roman" w:eastAsia="Times New Roman" w:hAnsi="Times New Roman" w:cs="Times New Roman"/>
          <w:sz w:val="24"/>
          <w:szCs w:val="24"/>
        </w:rPr>
        <w:t xml:space="preserve"> exited, or their failure to develop a competent managerial team before selling the business? Is their desire to buyback the company related to altruistic and reputational reasons, which means that they do not want the business they have been associated with to fail?</w:t>
      </w:r>
    </w:p>
    <w:p w14:paraId="68766633" w14:textId="77777777" w:rsidR="00605EA7" w:rsidRDefault="00605EA7">
      <w:pPr>
        <w:pStyle w:val="Normal1"/>
        <w:spacing w:after="0" w:line="480" w:lineRule="auto"/>
        <w:jc w:val="both"/>
        <w:rPr>
          <w:rFonts w:ascii="Times New Roman" w:eastAsia="Times New Roman" w:hAnsi="Times New Roman" w:cs="Times New Roman"/>
          <w:sz w:val="24"/>
          <w:szCs w:val="24"/>
        </w:rPr>
      </w:pPr>
    </w:p>
    <w:p w14:paraId="213B9C2E"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 xml:space="preserve">Innovation and entrepreneurship </w:t>
      </w:r>
    </w:p>
    <w:p w14:paraId="06E34889" w14:textId="4B097046" w:rsidR="00605EA7" w:rsidRDefault="005A2565">
      <w:pPr>
        <w:pStyle w:val="Normal1"/>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Prior research has found that PE has a positive impact on patenting activity. We have little evidence on whether this is a result of an increase in R&amp;D expenditure, more productive use of R&amp;D expenditure, or a more active patenting strategy. </w:t>
      </w:r>
      <w:r w:rsidR="0009538C">
        <w:rPr>
          <w:rFonts w:ascii="Times New Roman" w:eastAsia="Times New Roman" w:hAnsi="Times New Roman" w:cs="Times New Roman"/>
          <w:color w:val="000000"/>
          <w:sz w:val="24"/>
          <w:szCs w:val="24"/>
        </w:rPr>
        <w:t xml:space="preserve">An understanding of these issues </w:t>
      </w:r>
      <w:r>
        <w:rPr>
          <w:rFonts w:ascii="Times New Roman" w:eastAsia="Times New Roman" w:hAnsi="Times New Roman" w:cs="Times New Roman"/>
          <w:color w:val="000000"/>
          <w:sz w:val="24"/>
          <w:szCs w:val="24"/>
        </w:rPr>
        <w:t xml:space="preserve">would aid </w:t>
      </w:r>
      <w:r w:rsidR="008F2C94">
        <w:rPr>
          <w:rFonts w:ascii="Times New Roman" w:eastAsia="Times New Roman" w:hAnsi="Times New Roman" w:cs="Times New Roman"/>
          <w:color w:val="000000"/>
          <w:sz w:val="24"/>
          <w:szCs w:val="24"/>
        </w:rPr>
        <w:t xml:space="preserve">interpretation </w:t>
      </w:r>
      <w:r>
        <w:rPr>
          <w:rFonts w:ascii="Times New Roman" w:eastAsia="Times New Roman" w:hAnsi="Times New Roman" w:cs="Times New Roman"/>
          <w:color w:val="000000"/>
          <w:sz w:val="24"/>
          <w:szCs w:val="24"/>
        </w:rPr>
        <w:t>of PE’s contribution to better resource utilisation and/or increased investment. Increased market size and maturity in the sector will lead to increased PE firm specialisation with respect to portfolio management. Thus, we could expect to observe specific PE firm types targeting innovative firms and deals in more innovative sectors.</w:t>
      </w:r>
    </w:p>
    <w:p w14:paraId="58626F9B" w14:textId="77777777" w:rsidR="00605EA7" w:rsidRDefault="00605EA7">
      <w:pPr>
        <w:pStyle w:val="Normal1"/>
        <w:spacing w:after="0" w:line="480" w:lineRule="auto"/>
        <w:jc w:val="both"/>
        <w:rPr>
          <w:rFonts w:ascii="Times New Roman" w:eastAsia="Times New Roman" w:hAnsi="Times New Roman" w:cs="Times New Roman"/>
          <w:color w:val="000000"/>
          <w:sz w:val="24"/>
          <w:szCs w:val="24"/>
        </w:rPr>
      </w:pPr>
    </w:p>
    <w:p w14:paraId="53608438" w14:textId="77777777" w:rsidR="00605EA7" w:rsidRDefault="005A2565">
      <w:pPr>
        <w:pStyle w:val="Normal1"/>
        <w:widowControl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Sources of post-buyout productivity gains are still unclear. To what extent are they the result of cost-cutting or improved innovative practices? Research examining a direct link between innovation and productivity would be useful. In such analysis, distinguishing between product and process innovation would help identify a potential driver of productivity gains. A link with process innovation could increase productivity while also cutting production costs. M</w:t>
      </w:r>
      <w:r>
        <w:rPr>
          <w:rFonts w:ascii="Times New Roman" w:eastAsia="Times New Roman" w:hAnsi="Times New Roman" w:cs="Times New Roman"/>
          <w:sz w:val="24"/>
          <w:szCs w:val="24"/>
        </w:rPr>
        <w:t>ore informal and managerial innovations beyond formal patenting activity have received limited research attention.</w:t>
      </w:r>
    </w:p>
    <w:p w14:paraId="38BD3C4D" w14:textId="77777777" w:rsidR="00605EA7" w:rsidRDefault="00605EA7">
      <w:pPr>
        <w:pStyle w:val="Normal1"/>
        <w:widowControl w:val="0"/>
        <w:spacing w:after="0" w:line="480" w:lineRule="auto"/>
        <w:jc w:val="both"/>
        <w:rPr>
          <w:rFonts w:ascii="Times New Roman" w:eastAsia="Times New Roman" w:hAnsi="Times New Roman" w:cs="Times New Roman"/>
          <w:sz w:val="24"/>
          <w:szCs w:val="24"/>
        </w:rPr>
      </w:pPr>
    </w:p>
    <w:p w14:paraId="4EBF1549" w14:textId="06C69409"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Internationalization by PE and PE</w:t>
      </w:r>
      <w:r w:rsidR="007C4D8C">
        <w:rPr>
          <w:rFonts w:ascii="Times New Roman" w:eastAsia="Times New Roman" w:hAnsi="Times New Roman" w:cs="Times New Roman"/>
          <w:i/>
        </w:rPr>
        <w:t>-</w:t>
      </w:r>
      <w:r>
        <w:rPr>
          <w:rFonts w:ascii="Times New Roman" w:eastAsia="Times New Roman" w:hAnsi="Times New Roman" w:cs="Times New Roman"/>
          <w:i/>
        </w:rPr>
        <w:t>backed firms</w:t>
      </w:r>
    </w:p>
    <w:p w14:paraId="13A07E05" w14:textId="49D366DA" w:rsidR="00605EA7" w:rsidRDefault="005A2565">
      <w:pPr>
        <w:pStyle w:val="Normal1"/>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is an increasing trend of cross-border investing by PE firms, more recently involving PE firms from developed markets targeting new industry sectors in emerging markets (Wright, </w:t>
      </w:r>
      <w:proofErr w:type="spellStart"/>
      <w:r>
        <w:rPr>
          <w:rFonts w:ascii="Times New Roman" w:eastAsia="Times New Roman" w:hAnsi="Times New Roman" w:cs="Times New Roman"/>
          <w:color w:val="000000"/>
          <w:sz w:val="24"/>
          <w:szCs w:val="24"/>
        </w:rPr>
        <w:t>Pruthi</w:t>
      </w:r>
      <w:proofErr w:type="spellEnd"/>
      <w:r>
        <w:rPr>
          <w:rFonts w:ascii="Times New Roman" w:eastAsia="Times New Roman" w:hAnsi="Times New Roman" w:cs="Times New Roman"/>
          <w:color w:val="000000"/>
          <w:sz w:val="24"/>
          <w:szCs w:val="24"/>
        </w:rPr>
        <w:t>, and Lockett 2005; Groh and Liechtenstein 2009). Strategic alliances through co-investment or joint ventures can help PE firms to strategically position themselves and maximize value in an increasingly competitive global landscape (Roy 2015). Research on both the historical and forecasted impact of strategic alliances on PE could offer insights into the industry as a whole, where it is headed, and where it should perhaps be headed. How PE firms use strategic alliances, especially in a scenario of new regulations in emerging economies such as restrictions on foreign investors’ equity participation in strategic sectors, or foreign investment through ‘portfolio investments’ traded on stock, futures or commodities exchanges, OTC markets, or via clearing and custody systems duly registered with and recognized by local authorities (</w:t>
      </w:r>
      <w:proofErr w:type="spellStart"/>
      <w:r>
        <w:rPr>
          <w:rFonts w:ascii="Times New Roman" w:eastAsia="Times New Roman" w:hAnsi="Times New Roman" w:cs="Times New Roman"/>
          <w:color w:val="000000"/>
          <w:sz w:val="24"/>
          <w:szCs w:val="24"/>
        </w:rPr>
        <w:t>Binnie</w:t>
      </w:r>
      <w:proofErr w:type="spellEnd"/>
      <w:r>
        <w:rPr>
          <w:rFonts w:ascii="Times New Roman" w:eastAsia="Times New Roman" w:hAnsi="Times New Roman" w:cs="Times New Roman"/>
          <w:color w:val="000000"/>
          <w:sz w:val="24"/>
          <w:szCs w:val="24"/>
        </w:rPr>
        <w:t xml:space="preserve"> 2013), is a fertile research area. Studies should consider the effect of different institutional contexts on the types of PE investors that dominate, and the consequent implications for longevity of investment and performance (Cumming, Siegel, and Wright 2007).</w:t>
      </w:r>
    </w:p>
    <w:p w14:paraId="0F0F39E5" w14:textId="77777777" w:rsidR="00605EA7" w:rsidRDefault="00605EA7">
      <w:pPr>
        <w:pStyle w:val="Normal1"/>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562CC2E2" w14:textId="293938D8"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there is an extensive literature on exporting propensity and intensity by entrepreneurial firms (Wright, </w:t>
      </w:r>
      <w:proofErr w:type="spellStart"/>
      <w:r>
        <w:rPr>
          <w:rFonts w:ascii="Times New Roman" w:eastAsia="Times New Roman" w:hAnsi="Times New Roman" w:cs="Times New Roman"/>
          <w:sz w:val="24"/>
          <w:szCs w:val="24"/>
        </w:rPr>
        <w:t>Westhead</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Ucbasaran</w:t>
      </w:r>
      <w:proofErr w:type="spellEnd"/>
      <w:r>
        <w:rPr>
          <w:rFonts w:ascii="Times New Roman" w:eastAsia="Times New Roman" w:hAnsi="Times New Roman" w:cs="Times New Roman"/>
          <w:sz w:val="24"/>
          <w:szCs w:val="24"/>
        </w:rPr>
        <w:t xml:space="preserve"> 2007), there is limited analysis of such internationalization behaviour by PE-backed buyouts and whether PE-backed buyouts differ from other firms in this respect. In principle, a buyout provides incentives for new owner-managers to be more entrepreneurial in seeking out new revenue sources from international markets. PE firm involvement may include monitoring to bring financial discipline over the costs of internationalization as well as expertise and contacts that can facilitate exporting for the first time or increase the intensity of exporting.</w:t>
      </w:r>
      <w:r>
        <w:t xml:space="preserve"> </w:t>
      </w:r>
      <w:r>
        <w:rPr>
          <w:rFonts w:ascii="Times New Roman" w:eastAsia="Times New Roman" w:hAnsi="Times New Roman" w:cs="Times New Roman"/>
          <w:sz w:val="24"/>
          <w:szCs w:val="24"/>
        </w:rPr>
        <w:t xml:space="preserve">Evidence suggests that monitoring, rather than value-adding inputs, by PE firms </w:t>
      </w:r>
      <w:r w:rsidR="008F2C94">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significantly more important for buyouts than for early stage VC</w:t>
      </w:r>
      <w:r w:rsidR="008F2C94">
        <w:rPr>
          <w:rFonts w:ascii="Times New Roman" w:eastAsia="Times New Roman" w:hAnsi="Times New Roman" w:cs="Times New Roman"/>
          <w:sz w:val="24"/>
          <w:szCs w:val="24"/>
        </w:rPr>
        <w:t>-</w:t>
      </w:r>
      <w:r>
        <w:rPr>
          <w:rFonts w:ascii="Times New Roman" w:eastAsia="Times New Roman" w:hAnsi="Times New Roman" w:cs="Times New Roman"/>
          <w:sz w:val="24"/>
          <w:szCs w:val="24"/>
        </w:rPr>
        <w:t>backed firms in helping internationalize the firm (Lockett et al. 2008). Further research is ne</w:t>
      </w:r>
      <w:r w:rsidR="008F2C94">
        <w:rPr>
          <w:rFonts w:ascii="Times New Roman" w:eastAsia="Times New Roman" w:hAnsi="Times New Roman" w:cs="Times New Roman"/>
          <w:sz w:val="24"/>
          <w:szCs w:val="24"/>
        </w:rPr>
        <w:t>cessary</w:t>
      </w:r>
      <w:r>
        <w:rPr>
          <w:rFonts w:ascii="Times New Roman" w:eastAsia="Times New Roman" w:hAnsi="Times New Roman" w:cs="Times New Roman"/>
          <w:sz w:val="24"/>
          <w:szCs w:val="24"/>
        </w:rPr>
        <w:t xml:space="preserve"> </w:t>
      </w:r>
      <w:r w:rsidR="008F2C94">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explore pre-</w:t>
      </w:r>
      <w:r w:rsidR="002056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post-buyout</w:t>
      </w:r>
      <w:r w:rsidR="008F2C94">
        <w:rPr>
          <w:rFonts w:ascii="Times New Roman" w:eastAsia="Times New Roman" w:hAnsi="Times New Roman" w:cs="Times New Roman"/>
          <w:sz w:val="24"/>
          <w:szCs w:val="24"/>
        </w:rPr>
        <w:t xml:space="preserve"> dynamics of internationalization. </w:t>
      </w:r>
      <w:r>
        <w:rPr>
          <w:rFonts w:ascii="Times New Roman" w:eastAsia="Times New Roman" w:hAnsi="Times New Roman" w:cs="Times New Roman"/>
          <w:sz w:val="24"/>
          <w:szCs w:val="24"/>
        </w:rPr>
        <w:t>Studies are also needed to ex</w:t>
      </w:r>
      <w:r w:rsidR="008F2C94">
        <w:rPr>
          <w:rFonts w:ascii="Times New Roman" w:eastAsia="Times New Roman" w:hAnsi="Times New Roman" w:cs="Times New Roman"/>
          <w:sz w:val="24"/>
          <w:szCs w:val="24"/>
        </w:rPr>
        <w:t>amine</w:t>
      </w:r>
      <w:r>
        <w:rPr>
          <w:rFonts w:ascii="Times New Roman" w:eastAsia="Times New Roman" w:hAnsi="Times New Roman" w:cs="Times New Roman"/>
          <w:sz w:val="24"/>
          <w:szCs w:val="24"/>
        </w:rPr>
        <w:t xml:space="preserve"> the direction and modes of internationalization, and provide insights into the relationship between the type of PE firm investor</w:t>
      </w:r>
      <w:r w:rsidR="008F2C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well as the international experience of portfolio company board members on internationalization.</w:t>
      </w:r>
    </w:p>
    <w:p w14:paraId="0E3D36E4" w14:textId="77777777" w:rsidR="00605EA7" w:rsidRDefault="00605EA7">
      <w:pPr>
        <w:pStyle w:val="Normal1"/>
        <w:spacing w:after="0" w:line="480" w:lineRule="auto"/>
        <w:jc w:val="both"/>
        <w:rPr>
          <w:rFonts w:ascii="Times New Roman" w:eastAsia="Times New Roman" w:hAnsi="Times New Roman" w:cs="Times New Roman"/>
          <w:i/>
          <w:sz w:val="24"/>
          <w:szCs w:val="24"/>
        </w:rPr>
      </w:pPr>
    </w:p>
    <w:p w14:paraId="5D6F73B0" w14:textId="77777777" w:rsidR="00605EA7" w:rsidRDefault="005A2565">
      <w:pPr>
        <w:pStyle w:val="Heading2"/>
        <w:rPr>
          <w:b w:val="0"/>
          <w:i w:val="0"/>
        </w:rPr>
      </w:pPr>
      <w:r>
        <w:t>Individual level</w:t>
      </w:r>
    </w:p>
    <w:p w14:paraId="17B5FCE2" w14:textId="77777777" w:rsidR="00605EA7" w:rsidRDefault="005A2565">
      <w:pPr>
        <w:pStyle w:val="Heading3"/>
        <w:rPr>
          <w:rFonts w:ascii="Times New Roman" w:eastAsia="Times New Roman" w:hAnsi="Times New Roman" w:cs="Times New Roman"/>
          <w:i/>
        </w:rPr>
      </w:pPr>
      <w:r>
        <w:rPr>
          <w:rFonts w:ascii="Times New Roman" w:eastAsia="Times New Roman" w:hAnsi="Times New Roman" w:cs="Times New Roman"/>
          <w:i/>
        </w:rPr>
        <w:t>Board, and TMT composition and cognition</w:t>
      </w:r>
    </w:p>
    <w:p w14:paraId="3BB32AB1" w14:textId="5DADB8C6" w:rsidR="00605EA7" w:rsidRDefault="005A2565">
      <w:pPr>
        <w:pStyle w:val="Normal1"/>
        <w:widowControl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imperative in the context of a maturing PE industry is an understanding of individual-level factors differentiating the performance of various PE funds. Future research is needed to explore aspects of prior entrepreneurial or PE investing experience of individual partners in PE firms and their role in the exit potential of their portfolio companies. </w:t>
      </w:r>
    </w:p>
    <w:p w14:paraId="637991CE" w14:textId="77777777" w:rsidR="00605EA7" w:rsidRDefault="00605EA7">
      <w:pPr>
        <w:pStyle w:val="Normal1"/>
        <w:widowControl w:val="0"/>
        <w:spacing w:after="0" w:line="480" w:lineRule="auto"/>
        <w:jc w:val="both"/>
        <w:rPr>
          <w:rFonts w:ascii="Times New Roman" w:eastAsia="Times New Roman" w:hAnsi="Times New Roman" w:cs="Times New Roman"/>
          <w:sz w:val="24"/>
          <w:szCs w:val="24"/>
        </w:rPr>
      </w:pPr>
    </w:p>
    <w:p w14:paraId="49DB6CF1" w14:textId="77777777" w:rsidR="00605EA7" w:rsidRDefault="005A2565">
      <w:pPr>
        <w:pStyle w:val="Normal1"/>
        <w:widowControl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portfolio firm founder characteristics influence PE strategies (Gompers et al. 2016), a related research issue is the nature of portfolio firms’ top management teams (TMTs), and role of their size and composition on PE firms’ strategies. Additionally, career trajectories of managers post-exit require examination. There is research on entrepreneurial exit relating to its drivers and what happens to entrepreneurs after exit (</w:t>
      </w:r>
      <w:proofErr w:type="spellStart"/>
      <w:r>
        <w:rPr>
          <w:rFonts w:ascii="Times New Roman" w:eastAsia="Times New Roman" w:hAnsi="Times New Roman" w:cs="Times New Roman"/>
          <w:sz w:val="24"/>
          <w:szCs w:val="24"/>
        </w:rPr>
        <w:t>Wennberg</w:t>
      </w:r>
      <w:proofErr w:type="spellEnd"/>
      <w:r>
        <w:rPr>
          <w:rFonts w:ascii="Times New Roman" w:eastAsia="Times New Roman" w:hAnsi="Times New Roman" w:cs="Times New Roman"/>
          <w:sz w:val="24"/>
          <w:szCs w:val="24"/>
        </w:rPr>
        <w:t xml:space="preserve"> et al. 2010). For example, acquisitions trigger a process of ‘entrepreneurial re-cycling’ in which entrepreneurs use their newly acquired wealth, allied to the experience they have accumulated, to engage in other entrepreneurial activities, notably starting new business ventures and investing in other businesses as business angels or venture capitalists (Mason and Harrison 2006). Beyond limited indirect evidence that some managers of buyout firms may become serial entrepreneurs by buying into other businesses post-exit (Wright, Robbie, and </w:t>
      </w:r>
      <w:proofErr w:type="spellStart"/>
      <w:r>
        <w:rPr>
          <w:rFonts w:ascii="Times New Roman" w:eastAsia="Times New Roman" w:hAnsi="Times New Roman" w:cs="Times New Roman"/>
          <w:sz w:val="24"/>
          <w:szCs w:val="24"/>
        </w:rPr>
        <w:t>Ennew</w:t>
      </w:r>
      <w:proofErr w:type="spellEnd"/>
      <w:r>
        <w:rPr>
          <w:rFonts w:ascii="Times New Roman" w:eastAsia="Times New Roman" w:hAnsi="Times New Roman" w:cs="Times New Roman"/>
          <w:sz w:val="24"/>
          <w:szCs w:val="24"/>
        </w:rPr>
        <w:t xml:space="preserve"> 1997), we have little analysis of post-exit behaviour of buyout firm managers, either in circumstances of success or failure. </w:t>
      </w:r>
    </w:p>
    <w:p w14:paraId="01EF42FB" w14:textId="77777777" w:rsidR="00605EA7" w:rsidRDefault="00605EA7">
      <w:pPr>
        <w:pStyle w:val="Normal1"/>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
    <w:p w14:paraId="52E93A19" w14:textId="77777777" w:rsidR="00605EA7" w:rsidRDefault="005A2565">
      <w:pPr>
        <w:pStyle w:val="Heading2"/>
        <w:rPr>
          <w:b w:val="0"/>
          <w:i w:val="0"/>
        </w:rPr>
      </w:pPr>
      <w:bookmarkStart w:id="1" w:name="_gjdgxs" w:colFirst="0" w:colLast="0"/>
      <w:bookmarkEnd w:id="1"/>
      <w:r>
        <w:t>Data challenges</w:t>
      </w:r>
    </w:p>
    <w:p w14:paraId="5866C3A6" w14:textId="0B29C97B"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major problem for PE research concerns the availability of data</w:t>
      </w:r>
      <w:r w:rsidR="00631D41">
        <w:rPr>
          <w:rFonts w:ascii="Times New Roman" w:eastAsia="Times New Roman" w:hAnsi="Times New Roman" w:cs="Times New Roman"/>
          <w:sz w:val="24"/>
          <w:szCs w:val="24"/>
        </w:rPr>
        <w:t xml:space="preserve"> (Cumming and Johan 2017)</w:t>
      </w:r>
      <w:r>
        <w:rPr>
          <w:rFonts w:ascii="Times New Roman" w:eastAsia="Times New Roman" w:hAnsi="Times New Roman" w:cs="Times New Roman"/>
          <w:sz w:val="24"/>
          <w:szCs w:val="24"/>
        </w:rPr>
        <w:t>. Many studies analysing funds use proprietary private data, making it difficult to verify findings, as well as possibly being success biased. Analysis of the impact on portfolio firms typically involves combining at least two datasets, one that identifies deals and the other containing data (e.g. profitability, employment, and patents) to analyse outcomes from PE</w:t>
      </w:r>
      <w:r w:rsidR="007C4D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backed deals. Combining datasets sometimes involves merging on name, which can introduce error unless other data such as post/zip codes are available. Available datasets may also be biased because of their reliance on publicly available data; even if they are compiled from thoroughly scraping the web, non-publicised deals are not captured. These databases are also more likely to identify larger deals than smaller ones, which introduces further bias. </w:t>
      </w:r>
    </w:p>
    <w:p w14:paraId="796C9DBA" w14:textId="5FD2CAF4" w:rsidR="00605EA7" w:rsidRDefault="00605EA7">
      <w:pPr>
        <w:pStyle w:val="Normal1"/>
        <w:spacing w:after="0" w:line="480" w:lineRule="auto"/>
        <w:jc w:val="both"/>
        <w:rPr>
          <w:rFonts w:ascii="Times New Roman" w:eastAsia="Times New Roman" w:hAnsi="Times New Roman" w:cs="Times New Roman"/>
          <w:sz w:val="24"/>
          <w:szCs w:val="24"/>
        </w:rPr>
      </w:pPr>
    </w:p>
    <w:p w14:paraId="56EBF463" w14:textId="134680F4" w:rsidR="00605EA7" w:rsidRDefault="005A2565">
      <w:pPr>
        <w:pStyle w:val="Normal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Government databases can be connected to PE databases, subject to strict confidentiality conditions. Governments collect a variety of data on firms through comprehensive surveys and submission of company reports. Detailed survey questions or a requirement in company filings to provide information on the nature of ownership or organisational change would help research, which often informs policy. Although many papers have increasingly used worldwide datasets, exploration of the contextual differences between different countries has been limited. Most PE studies focus on mature Anglo-Saxon markets and on relatively large transactions. To some extent this may be down to the coverage of worldwide datasets. Sourcing quality data from developing countries can be problematic. Further, idiosyncrasies in some countries will make some research impossible. For instance, Indian firms have no requirement to report employment data. </w:t>
      </w:r>
    </w:p>
    <w:p w14:paraId="350B51B5" w14:textId="77777777" w:rsidR="00605EA7" w:rsidRDefault="00605EA7">
      <w:pPr>
        <w:pStyle w:val="Normal1"/>
        <w:spacing w:after="0" w:line="480" w:lineRule="auto"/>
        <w:jc w:val="both"/>
        <w:rPr>
          <w:rFonts w:ascii="Times New Roman" w:eastAsia="Times New Roman" w:hAnsi="Times New Roman" w:cs="Times New Roman"/>
          <w:b/>
          <w:sz w:val="24"/>
          <w:szCs w:val="24"/>
        </w:rPr>
      </w:pPr>
    </w:p>
    <w:p w14:paraId="0E4A5B22" w14:textId="77777777" w:rsidR="00605EA7" w:rsidRDefault="005A2565">
      <w:pPr>
        <w:pStyle w:val="Normal1"/>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Conclusions</w:t>
      </w:r>
    </w:p>
    <w:p w14:paraId="5596DAAD" w14:textId="2BED7158" w:rsidR="00605EA7" w:rsidRDefault="005A2565">
      <w:pPr>
        <w:pStyle w:val="Normal1"/>
        <w:widowControl w:val="0"/>
        <w:spacing w:after="0" w:line="480" w:lineRule="auto"/>
        <w:jc w:val="both"/>
        <w:rPr>
          <w:rFonts w:ascii="Times New Roman" w:eastAsia="Times New Roman" w:hAnsi="Times New Roman" w:cs="Times New Roman"/>
          <w:color w:val="221E1F"/>
          <w:sz w:val="24"/>
          <w:szCs w:val="24"/>
        </w:rPr>
      </w:pPr>
      <w:r>
        <w:rPr>
          <w:rFonts w:ascii="Times New Roman" w:eastAsia="Times New Roman" w:hAnsi="Times New Roman" w:cs="Times New Roman"/>
          <w:sz w:val="24"/>
          <w:szCs w:val="24"/>
        </w:rPr>
        <w:t>In this article we have taken stock of the systematic evidence relating to PE-backed buyouts over the last two decades. We use evidence to debunk myths and explore opportunities for future research. The PE market has demonstrated considerable resilience and adaptability over the past twenty years. The now substantial body of evidence relating to the impact of leveraged buyouts and PE has provided considerable support for both agency</w:t>
      </w:r>
      <w:r w:rsidR="00682B09">
        <w:rPr>
          <w:rFonts w:ascii="Times New Roman" w:eastAsia="Times New Roman" w:hAnsi="Times New Roman" w:cs="Times New Roman"/>
          <w:sz w:val="24"/>
          <w:szCs w:val="24"/>
        </w:rPr>
        <w:t>-</w:t>
      </w:r>
      <w:r>
        <w:rPr>
          <w:rFonts w:ascii="Times New Roman" w:eastAsia="Times New Roman" w:hAnsi="Times New Roman" w:cs="Times New Roman"/>
          <w:sz w:val="24"/>
          <w:szCs w:val="24"/>
        </w:rPr>
        <w:t>theoretic and entrepreneurial explanations. The market has matured</w:t>
      </w:r>
      <w:r w:rsidR="00682B0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increased competition brings challenges to fund raisers and value creation in portfolio firms. Nevertheless, the last 20 years have shown that the PE industry is robust to financial shocks and the business model continues to evolve, which provides </w:t>
      </w:r>
      <w:r w:rsidR="00682B09">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basis to extend the buyout and PE research programme.</w:t>
      </w:r>
    </w:p>
    <w:p w14:paraId="175008F3" w14:textId="77777777" w:rsidR="00605EA7" w:rsidRDefault="005A2565">
      <w:pPr>
        <w:pStyle w:val="Normal1"/>
        <w:spacing w:line="480" w:lineRule="auto"/>
        <w:jc w:val="both"/>
        <w:rPr>
          <w:rFonts w:ascii="Times New Roman" w:eastAsia="Times New Roman" w:hAnsi="Times New Roman" w:cs="Times New Roman"/>
          <w:sz w:val="24"/>
          <w:szCs w:val="24"/>
        </w:rPr>
      </w:pPr>
      <w:r>
        <w:br w:type="page"/>
      </w:r>
    </w:p>
    <w:p w14:paraId="74740D8B" w14:textId="77777777" w:rsidR="00605EA7" w:rsidRDefault="005A2565">
      <w:pPr>
        <w:pStyle w:val="Normal1"/>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23388156"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Achleitner</w:t>
      </w:r>
      <w:proofErr w:type="spellEnd"/>
      <w:r>
        <w:rPr>
          <w:rFonts w:ascii="Times New Roman" w:eastAsia="Times New Roman" w:hAnsi="Times New Roman" w:cs="Times New Roman"/>
          <w:color w:val="000000"/>
          <w:sz w:val="24"/>
          <w:szCs w:val="24"/>
        </w:rPr>
        <w:t xml:space="preserve">, A. K. and C. </w:t>
      </w:r>
      <w:proofErr w:type="spellStart"/>
      <w:r>
        <w:rPr>
          <w:rFonts w:ascii="Times New Roman" w:eastAsia="Times New Roman" w:hAnsi="Times New Roman" w:cs="Times New Roman"/>
          <w:color w:val="000000"/>
          <w:sz w:val="24"/>
          <w:szCs w:val="24"/>
        </w:rPr>
        <w:t>Figge</w:t>
      </w:r>
      <w:proofErr w:type="spellEnd"/>
      <w:r>
        <w:rPr>
          <w:rFonts w:ascii="Times New Roman" w:eastAsia="Times New Roman" w:hAnsi="Times New Roman" w:cs="Times New Roman"/>
          <w:color w:val="000000"/>
          <w:sz w:val="24"/>
          <w:szCs w:val="24"/>
        </w:rPr>
        <w:t xml:space="preserve"> 2014. “Private Equity Lemons? Evidence on Value Creation in Secondary Buyouts.” </w:t>
      </w:r>
      <w:r>
        <w:rPr>
          <w:rFonts w:ascii="Times New Roman" w:eastAsia="Times New Roman" w:hAnsi="Times New Roman" w:cs="Times New Roman"/>
          <w:i/>
          <w:color w:val="000000"/>
          <w:sz w:val="24"/>
          <w:szCs w:val="24"/>
        </w:rPr>
        <w:t>European Financial Management</w:t>
      </w:r>
      <w:r>
        <w:rPr>
          <w:rFonts w:ascii="Times New Roman" w:eastAsia="Times New Roman" w:hAnsi="Times New Roman" w:cs="Times New Roman"/>
          <w:color w:val="000000"/>
          <w:sz w:val="24"/>
          <w:szCs w:val="24"/>
        </w:rPr>
        <w:t xml:space="preserve"> 20: 406-433.</w:t>
      </w:r>
    </w:p>
    <w:p w14:paraId="49C69330"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Alperovych</w:t>
      </w:r>
      <w:proofErr w:type="spellEnd"/>
      <w:r>
        <w:rPr>
          <w:rFonts w:ascii="Times New Roman" w:eastAsia="Times New Roman" w:hAnsi="Times New Roman" w:cs="Times New Roman"/>
          <w:sz w:val="24"/>
          <w:szCs w:val="24"/>
        </w:rPr>
        <w:t xml:space="preserve">, Y., K.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and M. Wright. 2013. “Private Equity Firm Experience and Buy-out Vendor Source: What is their Impact on Efficiency?” </w:t>
      </w:r>
      <w:r>
        <w:rPr>
          <w:rFonts w:ascii="Times New Roman" w:eastAsia="Times New Roman" w:hAnsi="Times New Roman" w:cs="Times New Roman"/>
          <w:i/>
          <w:sz w:val="24"/>
          <w:szCs w:val="24"/>
        </w:rPr>
        <w:t>European Journal of Operational Research</w:t>
      </w:r>
      <w:r>
        <w:rPr>
          <w:rFonts w:ascii="Times New Roman" w:eastAsia="Times New Roman" w:hAnsi="Times New Roman" w:cs="Times New Roman"/>
          <w:sz w:val="24"/>
          <w:szCs w:val="24"/>
        </w:rPr>
        <w:t xml:space="preserve"> 228: 601-611.</w:t>
      </w:r>
    </w:p>
    <w:p w14:paraId="62097532"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K. 2003. “The Effect of Management Buyouts on Firm-level Technical Efficiency: Evidence from a Panel of UK Machinery and Equipment Manufacturers.” </w:t>
      </w:r>
      <w:r>
        <w:rPr>
          <w:rFonts w:ascii="Times New Roman" w:eastAsia="Times New Roman" w:hAnsi="Times New Roman" w:cs="Times New Roman"/>
          <w:i/>
          <w:sz w:val="24"/>
          <w:szCs w:val="24"/>
        </w:rPr>
        <w:t>Journal of Industrial Economics</w:t>
      </w:r>
      <w:r>
        <w:rPr>
          <w:rFonts w:ascii="Times New Roman" w:eastAsia="Times New Roman" w:hAnsi="Times New Roman" w:cs="Times New Roman"/>
          <w:sz w:val="24"/>
          <w:szCs w:val="24"/>
        </w:rPr>
        <w:t xml:space="preserve"> 51(1): 35-44.</w:t>
      </w:r>
    </w:p>
    <w:p w14:paraId="1FE1FA6C"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K. and M. Wright. 2007. “The Wage and Employment Effects of Leveraged Buyouts in the UK.” </w:t>
      </w:r>
      <w:r>
        <w:rPr>
          <w:rFonts w:ascii="Times New Roman" w:eastAsia="Times New Roman" w:hAnsi="Times New Roman" w:cs="Times New Roman"/>
          <w:i/>
          <w:sz w:val="24"/>
          <w:szCs w:val="24"/>
        </w:rPr>
        <w:t>International Journal of the Economics of Business</w:t>
      </w:r>
      <w:r>
        <w:rPr>
          <w:rFonts w:ascii="Times New Roman" w:eastAsia="Times New Roman" w:hAnsi="Times New Roman" w:cs="Times New Roman"/>
          <w:sz w:val="24"/>
          <w:szCs w:val="24"/>
        </w:rPr>
        <w:t xml:space="preserve"> 14(2): 179-95.</w:t>
      </w:r>
    </w:p>
    <w:p w14:paraId="3B50D35B"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K. and M. Wright. 2012. “Leveraged Buyouts, Private Equity and Jobs.” </w:t>
      </w:r>
      <w:r>
        <w:rPr>
          <w:rFonts w:ascii="Times New Roman" w:eastAsia="Times New Roman" w:hAnsi="Times New Roman" w:cs="Times New Roman"/>
          <w:i/>
          <w:sz w:val="24"/>
          <w:szCs w:val="24"/>
        </w:rPr>
        <w:t>Small Business Economics</w:t>
      </w:r>
      <w:r>
        <w:rPr>
          <w:rFonts w:ascii="Times New Roman" w:eastAsia="Times New Roman" w:hAnsi="Times New Roman" w:cs="Times New Roman"/>
          <w:sz w:val="24"/>
          <w:szCs w:val="24"/>
        </w:rPr>
        <w:t xml:space="preserve"> 38: 419-430.</w:t>
      </w:r>
    </w:p>
    <w:p w14:paraId="26C926E6"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K., S. </w:t>
      </w:r>
      <w:proofErr w:type="spellStart"/>
      <w:r>
        <w:rPr>
          <w:rFonts w:ascii="Times New Roman" w:eastAsia="Times New Roman" w:hAnsi="Times New Roman" w:cs="Times New Roman"/>
          <w:sz w:val="24"/>
          <w:szCs w:val="24"/>
        </w:rPr>
        <w:t>Girma</w:t>
      </w:r>
      <w:proofErr w:type="spellEnd"/>
      <w:r>
        <w:rPr>
          <w:rFonts w:ascii="Times New Roman" w:eastAsia="Times New Roman" w:hAnsi="Times New Roman" w:cs="Times New Roman"/>
          <w:sz w:val="24"/>
          <w:szCs w:val="24"/>
        </w:rPr>
        <w:t xml:space="preserve">, and Wright, M. 2014. “The Wage and Employment Consequences of Ownership Change.” </w:t>
      </w:r>
      <w:r>
        <w:rPr>
          <w:rFonts w:ascii="Times New Roman" w:eastAsia="Times New Roman" w:hAnsi="Times New Roman" w:cs="Times New Roman"/>
          <w:i/>
          <w:sz w:val="24"/>
          <w:szCs w:val="24"/>
        </w:rPr>
        <w:t>Managerial and Decision Economics</w:t>
      </w:r>
      <w:r>
        <w:rPr>
          <w:rFonts w:ascii="Times New Roman" w:eastAsia="Times New Roman" w:hAnsi="Times New Roman" w:cs="Times New Roman"/>
          <w:sz w:val="24"/>
          <w:szCs w:val="24"/>
        </w:rPr>
        <w:t xml:space="preserve"> 35(2): 161-171.</w:t>
      </w:r>
    </w:p>
    <w:p w14:paraId="0DE5FB0F" w14:textId="77777777" w:rsidR="00605EA7" w:rsidRDefault="005A2565">
      <w:pPr>
        <w:pStyle w:val="Normal1"/>
        <w:spacing w:after="240" w:line="240" w:lineRule="auto"/>
        <w:ind w:left="567" w:hanging="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K., J. </w:t>
      </w:r>
      <w:proofErr w:type="spellStart"/>
      <w:r>
        <w:rPr>
          <w:rFonts w:ascii="Times New Roman" w:eastAsia="Times New Roman" w:hAnsi="Times New Roman" w:cs="Times New Roman"/>
          <w:sz w:val="24"/>
          <w:szCs w:val="24"/>
        </w:rPr>
        <w:t>Stiebale</w:t>
      </w:r>
      <w:proofErr w:type="spellEnd"/>
      <w:r>
        <w:rPr>
          <w:rFonts w:ascii="Times New Roman" w:eastAsia="Times New Roman" w:hAnsi="Times New Roman" w:cs="Times New Roman"/>
          <w:sz w:val="24"/>
          <w:szCs w:val="24"/>
        </w:rPr>
        <w:t>, and M. Wright. 2015. “</w:t>
      </w:r>
      <w:hyperlink r:id="rId6">
        <w:r>
          <w:rPr>
            <w:rFonts w:ascii="Times New Roman" w:eastAsia="Times New Roman" w:hAnsi="Times New Roman" w:cs="Times New Roman"/>
            <w:color w:val="000000"/>
            <w:sz w:val="24"/>
            <w:szCs w:val="24"/>
          </w:rPr>
          <w:t>The</w:t>
        </w:r>
      </w:hyperlink>
      <w:hyperlink r:id="rId7">
        <w:r>
          <w:rPr>
            <w:rFonts w:ascii="Times New Roman" w:eastAsia="Times New Roman" w:hAnsi="Times New Roman" w:cs="Times New Roman"/>
            <w:color w:val="000000"/>
            <w:sz w:val="24"/>
            <w:szCs w:val="24"/>
          </w:rPr>
          <w:t xml:space="preserve"> </w:t>
        </w:r>
      </w:hyperlink>
      <w:hyperlink r:id="rId8">
        <w:r>
          <w:rPr>
            <w:rFonts w:ascii="Times New Roman" w:eastAsia="Times New Roman" w:hAnsi="Times New Roman" w:cs="Times New Roman"/>
            <w:color w:val="000000"/>
            <w:sz w:val="24"/>
            <w:szCs w:val="24"/>
          </w:rPr>
          <w:t>Impact</w:t>
        </w:r>
      </w:hyperlink>
      <w:hyperlink r:id="rId9">
        <w:r>
          <w:rPr>
            <w:rFonts w:ascii="Times New Roman" w:eastAsia="Times New Roman" w:hAnsi="Times New Roman" w:cs="Times New Roman"/>
            <w:color w:val="000000"/>
            <w:sz w:val="24"/>
            <w:szCs w:val="24"/>
          </w:rPr>
          <w:t xml:space="preserve"> </w:t>
        </w:r>
      </w:hyperlink>
      <w:hyperlink r:id="rId10">
        <w:r>
          <w:rPr>
            <w:rFonts w:ascii="Times New Roman" w:eastAsia="Times New Roman" w:hAnsi="Times New Roman" w:cs="Times New Roman"/>
            <w:color w:val="000000"/>
            <w:sz w:val="24"/>
            <w:szCs w:val="24"/>
          </w:rPr>
          <w:t>of</w:t>
        </w:r>
      </w:hyperlink>
      <w:hyperlink r:id="rId11">
        <w:r>
          <w:rPr>
            <w:rFonts w:ascii="Times New Roman" w:eastAsia="Times New Roman" w:hAnsi="Times New Roman" w:cs="Times New Roman"/>
            <w:color w:val="000000"/>
            <w:sz w:val="24"/>
            <w:szCs w:val="24"/>
          </w:rPr>
          <w:t xml:space="preserve"> </w:t>
        </w:r>
      </w:hyperlink>
      <w:hyperlink r:id="rId12">
        <w:r>
          <w:rPr>
            <w:rFonts w:ascii="Times New Roman" w:eastAsia="Times New Roman" w:hAnsi="Times New Roman" w:cs="Times New Roman"/>
            <w:color w:val="000000"/>
            <w:sz w:val="24"/>
            <w:szCs w:val="24"/>
          </w:rPr>
          <w:t>Private</w:t>
        </w:r>
      </w:hyperlink>
      <w:hyperlink r:id="rId13">
        <w:r>
          <w:rPr>
            <w:rFonts w:ascii="Times New Roman" w:eastAsia="Times New Roman" w:hAnsi="Times New Roman" w:cs="Times New Roman"/>
            <w:color w:val="000000"/>
            <w:sz w:val="24"/>
            <w:szCs w:val="24"/>
          </w:rPr>
          <w:t xml:space="preserve"> </w:t>
        </w:r>
      </w:hyperlink>
      <w:hyperlink r:id="rId14">
        <w:r>
          <w:rPr>
            <w:rFonts w:ascii="Times New Roman" w:eastAsia="Times New Roman" w:hAnsi="Times New Roman" w:cs="Times New Roman"/>
            <w:color w:val="000000"/>
            <w:sz w:val="24"/>
            <w:szCs w:val="24"/>
          </w:rPr>
          <w:t>Equity</w:t>
        </w:r>
      </w:hyperlink>
      <w:hyperlink r:id="rId15">
        <w:r>
          <w:rPr>
            <w:rFonts w:ascii="Times New Roman" w:eastAsia="Times New Roman" w:hAnsi="Times New Roman" w:cs="Times New Roman"/>
            <w:color w:val="000000"/>
            <w:sz w:val="24"/>
            <w:szCs w:val="24"/>
          </w:rPr>
          <w:t xml:space="preserve"> </w:t>
        </w:r>
      </w:hyperlink>
      <w:hyperlink r:id="rId16">
        <w:r>
          <w:rPr>
            <w:rFonts w:ascii="Times New Roman" w:eastAsia="Times New Roman" w:hAnsi="Times New Roman" w:cs="Times New Roman"/>
            <w:color w:val="000000"/>
            <w:sz w:val="24"/>
            <w:szCs w:val="24"/>
          </w:rPr>
          <w:t>on</w:t>
        </w:r>
      </w:hyperlink>
      <w:hyperlink r:id="rId17">
        <w:r>
          <w:rPr>
            <w:rFonts w:ascii="Times New Roman" w:eastAsia="Times New Roman" w:hAnsi="Times New Roman" w:cs="Times New Roman"/>
            <w:color w:val="000000"/>
            <w:sz w:val="24"/>
            <w:szCs w:val="24"/>
          </w:rPr>
          <w:t xml:space="preserve"> </w:t>
        </w:r>
      </w:hyperlink>
      <w:hyperlink r:id="rId18">
        <w:r>
          <w:rPr>
            <w:rFonts w:ascii="Times New Roman" w:eastAsia="Times New Roman" w:hAnsi="Times New Roman" w:cs="Times New Roman"/>
            <w:color w:val="000000"/>
            <w:sz w:val="24"/>
            <w:szCs w:val="24"/>
          </w:rPr>
          <w:t>Firms</w:t>
        </w:r>
      </w:hyperlink>
      <w:hyperlink r:id="rId19">
        <w:r>
          <w:rPr>
            <w:rFonts w:ascii="Times New Roman" w:eastAsia="Times New Roman" w:hAnsi="Times New Roman" w:cs="Times New Roman"/>
            <w:color w:val="000000"/>
            <w:sz w:val="24"/>
            <w:szCs w:val="24"/>
          </w:rPr>
          <w:t xml:space="preserve">׳ </w:t>
        </w:r>
      </w:hyperlink>
      <w:hyperlink r:id="rId20">
        <w:r>
          <w:rPr>
            <w:rFonts w:ascii="Times New Roman" w:eastAsia="Times New Roman" w:hAnsi="Times New Roman" w:cs="Times New Roman"/>
            <w:color w:val="000000"/>
            <w:sz w:val="24"/>
            <w:szCs w:val="24"/>
          </w:rPr>
          <w:t>Patenting</w:t>
        </w:r>
      </w:hyperlink>
      <w:hyperlink r:id="rId21">
        <w:r>
          <w:rPr>
            <w:rFonts w:ascii="Times New Roman" w:eastAsia="Times New Roman" w:hAnsi="Times New Roman" w:cs="Times New Roman"/>
            <w:color w:val="000000"/>
            <w:sz w:val="24"/>
            <w:szCs w:val="24"/>
          </w:rPr>
          <w:t xml:space="preserve"> </w:t>
        </w:r>
      </w:hyperlink>
      <w:hyperlink r:id="rId22">
        <w:r>
          <w:rPr>
            <w:rFonts w:ascii="Times New Roman" w:eastAsia="Times New Roman" w:hAnsi="Times New Roman" w:cs="Times New Roman"/>
            <w:color w:val="000000"/>
            <w:sz w:val="24"/>
            <w:szCs w:val="24"/>
          </w:rPr>
          <w:t>Activity</w:t>
        </w:r>
      </w:hyperlink>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European Economic Review</w:t>
      </w:r>
      <w:r>
        <w:rPr>
          <w:rFonts w:ascii="Times New Roman" w:eastAsia="Times New Roman" w:hAnsi="Times New Roman" w:cs="Times New Roman"/>
          <w:color w:val="000000"/>
          <w:sz w:val="24"/>
          <w:szCs w:val="24"/>
        </w:rPr>
        <w:t xml:space="preserve"> 86: 147-160.</w:t>
      </w:r>
    </w:p>
    <w:p w14:paraId="4ADD1616"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Arcot</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Fluck</w:t>
      </w:r>
      <w:proofErr w:type="spellEnd"/>
      <w:r>
        <w:rPr>
          <w:rFonts w:ascii="Times New Roman" w:eastAsia="Times New Roman" w:hAnsi="Times New Roman" w:cs="Times New Roman"/>
          <w:sz w:val="24"/>
          <w:szCs w:val="24"/>
        </w:rPr>
        <w:t xml:space="preserve">, Z., Gaspar, J.-M., and </w:t>
      </w:r>
      <w:proofErr w:type="spellStart"/>
      <w:r>
        <w:rPr>
          <w:rFonts w:ascii="Times New Roman" w:eastAsia="Times New Roman" w:hAnsi="Times New Roman" w:cs="Times New Roman"/>
          <w:sz w:val="24"/>
          <w:szCs w:val="24"/>
        </w:rPr>
        <w:t>Hege</w:t>
      </w:r>
      <w:proofErr w:type="spellEnd"/>
      <w:r>
        <w:rPr>
          <w:rFonts w:ascii="Times New Roman" w:eastAsia="Times New Roman" w:hAnsi="Times New Roman" w:cs="Times New Roman"/>
          <w:sz w:val="24"/>
          <w:szCs w:val="24"/>
        </w:rPr>
        <w:t xml:space="preserve">, U. 2015. “Fund managers under pressure: rationale and determinants of secondary buyouts.”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115(1): 102-135.</w:t>
      </w:r>
    </w:p>
    <w:p w14:paraId="1EA5273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Bacon, N., M. Wright, R. Ball, and M. </w:t>
      </w:r>
      <w:proofErr w:type="spellStart"/>
      <w:r>
        <w:rPr>
          <w:rFonts w:ascii="Times New Roman" w:eastAsia="Times New Roman" w:hAnsi="Times New Roman" w:cs="Times New Roman"/>
          <w:sz w:val="24"/>
          <w:szCs w:val="24"/>
        </w:rPr>
        <w:t>Meuleman</w:t>
      </w:r>
      <w:proofErr w:type="spellEnd"/>
      <w:r>
        <w:rPr>
          <w:rFonts w:ascii="Times New Roman" w:eastAsia="Times New Roman" w:hAnsi="Times New Roman" w:cs="Times New Roman"/>
          <w:sz w:val="24"/>
          <w:szCs w:val="24"/>
        </w:rPr>
        <w:t xml:space="preserve">. 2013. “Private Equity, HRM and Employment.” </w:t>
      </w:r>
      <w:r>
        <w:rPr>
          <w:rFonts w:ascii="Times New Roman" w:eastAsia="Times New Roman" w:hAnsi="Times New Roman" w:cs="Times New Roman"/>
          <w:i/>
          <w:sz w:val="24"/>
          <w:szCs w:val="24"/>
        </w:rPr>
        <w:t>Academy of Management Perspectives</w:t>
      </w:r>
      <w:r>
        <w:rPr>
          <w:rFonts w:ascii="Times New Roman" w:eastAsia="Times New Roman" w:hAnsi="Times New Roman" w:cs="Times New Roman"/>
          <w:sz w:val="24"/>
          <w:szCs w:val="24"/>
        </w:rPr>
        <w:t xml:space="preserve"> 27: 7-21.</w:t>
      </w:r>
    </w:p>
    <w:p w14:paraId="40DDCE3B" w14:textId="77777777" w:rsidR="00605EA7" w:rsidRDefault="005A2565">
      <w:pPr>
        <w:pStyle w:val="Normal1"/>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Barber, B. M., and A. Yasuda, A. 2017. “Interim Fund Performance and Fundraising in Private Equity.” </w:t>
      </w:r>
      <w:r>
        <w:rPr>
          <w:rFonts w:ascii="Times New Roman" w:eastAsia="Times New Roman" w:hAnsi="Times New Roman" w:cs="Times New Roman"/>
          <w:i/>
          <w:color w:val="000000"/>
          <w:sz w:val="24"/>
          <w:szCs w:val="24"/>
        </w:rPr>
        <w:t>Journal of Financial Economics</w:t>
      </w:r>
      <w:r>
        <w:rPr>
          <w:rFonts w:ascii="Times New Roman" w:eastAsia="Times New Roman" w:hAnsi="Times New Roman" w:cs="Times New Roman"/>
          <w:color w:val="000000"/>
          <w:sz w:val="24"/>
          <w:szCs w:val="24"/>
        </w:rPr>
        <w:t xml:space="preserve"> 124:172-194.</w:t>
      </w:r>
    </w:p>
    <w:p w14:paraId="183D8D32"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Bergström</w:t>
      </w:r>
      <w:proofErr w:type="spellEnd"/>
      <w:r>
        <w:rPr>
          <w:rFonts w:ascii="Times New Roman" w:eastAsia="Times New Roman" w:hAnsi="Times New Roman" w:cs="Times New Roman"/>
          <w:sz w:val="24"/>
          <w:szCs w:val="24"/>
        </w:rPr>
        <w:t xml:space="preserve">, C., M. Grubb, and </w:t>
      </w:r>
      <w:proofErr w:type="spellStart"/>
      <w:r>
        <w:rPr>
          <w:rFonts w:ascii="Times New Roman" w:eastAsia="Times New Roman" w:hAnsi="Times New Roman" w:cs="Times New Roman"/>
          <w:sz w:val="24"/>
          <w:szCs w:val="24"/>
        </w:rPr>
        <w:t>Jonsson</w:t>
      </w:r>
      <w:proofErr w:type="spellEnd"/>
      <w:r>
        <w:rPr>
          <w:rFonts w:ascii="Times New Roman" w:eastAsia="Times New Roman" w:hAnsi="Times New Roman" w:cs="Times New Roman"/>
          <w:sz w:val="24"/>
          <w:szCs w:val="24"/>
        </w:rPr>
        <w:t xml:space="preserve">, S. 2007. “The Operating Impact of Buyouts in Sweden: a Study of Value Creation.” </w:t>
      </w:r>
      <w:r>
        <w:rPr>
          <w:rFonts w:ascii="Times New Roman" w:eastAsia="Times New Roman" w:hAnsi="Times New Roman" w:cs="Times New Roman"/>
          <w:i/>
          <w:sz w:val="24"/>
          <w:szCs w:val="24"/>
        </w:rPr>
        <w:t>Journal of Private Equity</w:t>
      </w:r>
      <w:r>
        <w:rPr>
          <w:rFonts w:ascii="Times New Roman" w:eastAsia="Times New Roman" w:hAnsi="Times New Roman" w:cs="Times New Roman"/>
          <w:sz w:val="24"/>
          <w:szCs w:val="24"/>
        </w:rPr>
        <w:t xml:space="preserve"> 11 (1): 22-39.</w:t>
      </w:r>
    </w:p>
    <w:p w14:paraId="0C5E6FE3"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Bernstein, S. and A. Sheen. 2016. “The operational consequences of private equity buyouts: Evidence from the restaurant industry.” </w:t>
      </w:r>
      <w:r>
        <w:rPr>
          <w:rFonts w:ascii="Times New Roman" w:eastAsia="Times New Roman" w:hAnsi="Times New Roman" w:cs="Times New Roman"/>
          <w:i/>
          <w:sz w:val="24"/>
          <w:szCs w:val="24"/>
        </w:rPr>
        <w:t>Review of Financial Studies</w:t>
      </w:r>
      <w:r>
        <w:rPr>
          <w:rFonts w:ascii="Times New Roman" w:eastAsia="Times New Roman" w:hAnsi="Times New Roman" w:cs="Times New Roman"/>
          <w:sz w:val="24"/>
          <w:szCs w:val="24"/>
        </w:rPr>
        <w:t xml:space="preserve"> 29: 2387–2418.</w:t>
      </w:r>
    </w:p>
    <w:p w14:paraId="1DF71E33" w14:textId="77777777" w:rsidR="00605EA7" w:rsidRDefault="005A2565">
      <w:pPr>
        <w:pStyle w:val="Normal1"/>
        <w:widowControl w:val="0"/>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Bertoni</w:t>
      </w:r>
      <w:proofErr w:type="spellEnd"/>
      <w:r>
        <w:rPr>
          <w:rFonts w:ascii="Times New Roman" w:eastAsia="Times New Roman" w:hAnsi="Times New Roman" w:cs="Times New Roman"/>
          <w:sz w:val="24"/>
          <w:szCs w:val="24"/>
        </w:rPr>
        <w:t xml:space="preserve">, F., M. </w:t>
      </w:r>
      <w:proofErr w:type="spellStart"/>
      <w:r>
        <w:rPr>
          <w:rFonts w:ascii="Times New Roman" w:eastAsia="Times New Roman" w:hAnsi="Times New Roman" w:cs="Times New Roman"/>
          <w:sz w:val="24"/>
          <w:szCs w:val="24"/>
        </w:rPr>
        <w:t>A.Ferrer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and  J</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Martí</w:t>
      </w:r>
      <w:proofErr w:type="spellEnd"/>
      <w:r>
        <w:rPr>
          <w:rFonts w:ascii="Times New Roman" w:eastAsia="Times New Roman" w:hAnsi="Times New Roman" w:cs="Times New Roman"/>
          <w:sz w:val="24"/>
          <w:szCs w:val="24"/>
        </w:rPr>
        <w:t xml:space="preserve">. 2013. “The Different Roles Played by Venture Capital and Private Equity Investors on the investment activity of their portfolio firms.” </w:t>
      </w:r>
      <w:r>
        <w:rPr>
          <w:rFonts w:ascii="Times New Roman" w:eastAsia="Times New Roman" w:hAnsi="Times New Roman" w:cs="Times New Roman"/>
          <w:i/>
          <w:sz w:val="24"/>
          <w:szCs w:val="24"/>
        </w:rPr>
        <w:t>Small Business Economics</w:t>
      </w:r>
      <w:r>
        <w:rPr>
          <w:rFonts w:ascii="Times New Roman" w:eastAsia="Times New Roman" w:hAnsi="Times New Roman" w:cs="Times New Roman"/>
          <w:sz w:val="24"/>
          <w:szCs w:val="24"/>
        </w:rPr>
        <w:t xml:space="preserve"> 40: 607-633.</w:t>
      </w:r>
    </w:p>
    <w:p w14:paraId="2C4E4FFD" w14:textId="77777777" w:rsidR="00605EA7" w:rsidRDefault="005A2565">
      <w:pPr>
        <w:pStyle w:val="Normal1"/>
        <w:widowControl w:val="0"/>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Binnie</w:t>
      </w:r>
      <w:proofErr w:type="spellEnd"/>
      <w:r>
        <w:rPr>
          <w:rFonts w:ascii="Times New Roman" w:eastAsia="Times New Roman" w:hAnsi="Times New Roman" w:cs="Times New Roman"/>
          <w:sz w:val="24"/>
          <w:szCs w:val="24"/>
        </w:rPr>
        <w:t xml:space="preserve">, R. 2013. “Private Equity Market in Brazil: Key Legal Issues in Fund Formation.” </w:t>
      </w:r>
      <w:r>
        <w:rPr>
          <w:rFonts w:ascii="Times New Roman" w:eastAsia="Times New Roman" w:hAnsi="Times New Roman" w:cs="Times New Roman"/>
          <w:i/>
          <w:sz w:val="24"/>
          <w:szCs w:val="24"/>
        </w:rPr>
        <w:t>Journal of Private Equity</w:t>
      </w:r>
      <w:r>
        <w:rPr>
          <w:rFonts w:ascii="Times New Roman" w:eastAsia="Times New Roman" w:hAnsi="Times New Roman" w:cs="Times New Roman"/>
          <w:sz w:val="24"/>
          <w:szCs w:val="24"/>
        </w:rPr>
        <w:t xml:space="preserve"> 16 (4): 67-68.</w:t>
      </w:r>
    </w:p>
    <w:p w14:paraId="535F5EFF" w14:textId="77777777" w:rsidR="00605EA7" w:rsidRDefault="005A2565">
      <w:pPr>
        <w:pStyle w:val="Normal1"/>
        <w:widowControl w:val="0"/>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Bollen</w:t>
      </w:r>
      <w:proofErr w:type="spellEnd"/>
      <w:r>
        <w:rPr>
          <w:rFonts w:ascii="Times New Roman" w:eastAsia="Times New Roman" w:hAnsi="Times New Roman" w:cs="Times New Roman"/>
          <w:sz w:val="24"/>
          <w:szCs w:val="24"/>
        </w:rPr>
        <w:t xml:space="preserve">, N. P. B. A. and </w:t>
      </w:r>
      <w:proofErr w:type="spellStart"/>
      <w:r>
        <w:rPr>
          <w:rFonts w:ascii="Times New Roman" w:eastAsia="Times New Roman" w:hAnsi="Times New Roman" w:cs="Times New Roman"/>
          <w:sz w:val="24"/>
          <w:szCs w:val="24"/>
        </w:rPr>
        <w:t>Sensoy</w:t>
      </w:r>
      <w:proofErr w:type="spellEnd"/>
      <w:r>
        <w:rPr>
          <w:rFonts w:ascii="Times New Roman" w:eastAsia="Times New Roman" w:hAnsi="Times New Roman" w:cs="Times New Roman"/>
          <w:sz w:val="24"/>
          <w:szCs w:val="24"/>
        </w:rPr>
        <w:t xml:space="preserve">. 2016. “How Much for a Haircut? Illiquidity, Secondary Markets, and the Value of Private Equity.” </w:t>
      </w:r>
      <w:r>
        <w:rPr>
          <w:rFonts w:ascii="NexusSansWebPro" w:eastAsia="NexusSansWebPro" w:hAnsi="NexusSansWebPro" w:cs="NexusSansWebPro"/>
          <w:color w:val="505050"/>
          <w:highlight w:val="white"/>
        </w:rPr>
        <w:t> </w:t>
      </w:r>
      <w:hyperlink r:id="rId23">
        <w:r>
          <w:rPr>
            <w:rFonts w:ascii="Times New Roman" w:eastAsia="Times New Roman" w:hAnsi="Times New Roman" w:cs="Times New Roman"/>
            <w:color w:val="505050"/>
            <w:sz w:val="24"/>
            <w:szCs w:val="24"/>
            <w:highlight w:val="white"/>
          </w:rPr>
          <w:t>http://dx.doi.org/10.2139/ssrn.2608549</w:t>
        </w:r>
      </w:hyperlink>
    </w:p>
    <w:p w14:paraId="0CCC3E6C"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Bonini</w:t>
      </w:r>
      <w:proofErr w:type="spellEnd"/>
      <w:r>
        <w:rPr>
          <w:rFonts w:ascii="Times New Roman" w:eastAsia="Times New Roman" w:hAnsi="Times New Roman" w:cs="Times New Roman"/>
          <w:color w:val="000000"/>
          <w:sz w:val="24"/>
          <w:szCs w:val="24"/>
        </w:rPr>
        <w:t xml:space="preserve">, S. 2015. “Secondary Buyouts: Operating Performance and Investment Determinants.” </w:t>
      </w:r>
      <w:r>
        <w:rPr>
          <w:rFonts w:ascii="Times New Roman" w:eastAsia="Times New Roman" w:hAnsi="Times New Roman" w:cs="Times New Roman"/>
          <w:i/>
          <w:color w:val="000000"/>
          <w:sz w:val="24"/>
          <w:szCs w:val="24"/>
        </w:rPr>
        <w:t>Financial Management</w:t>
      </w:r>
      <w:r>
        <w:rPr>
          <w:rFonts w:ascii="Times New Roman" w:eastAsia="Times New Roman" w:hAnsi="Times New Roman" w:cs="Times New Roman"/>
          <w:color w:val="000000"/>
          <w:sz w:val="24"/>
          <w:szCs w:val="24"/>
        </w:rPr>
        <w:t xml:space="preserve"> 44: 431-470.</w:t>
      </w:r>
    </w:p>
    <w:p w14:paraId="12836A49"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Boucly</w:t>
      </w:r>
      <w:proofErr w:type="spellEnd"/>
      <w:r>
        <w:rPr>
          <w:rFonts w:ascii="Times New Roman" w:eastAsia="Times New Roman" w:hAnsi="Times New Roman" w:cs="Times New Roman"/>
          <w:sz w:val="24"/>
          <w:szCs w:val="24"/>
        </w:rPr>
        <w:t xml:space="preserve">, Q., D. </w:t>
      </w:r>
      <w:proofErr w:type="spellStart"/>
      <w:r>
        <w:rPr>
          <w:rFonts w:ascii="Times New Roman" w:eastAsia="Times New Roman" w:hAnsi="Times New Roman" w:cs="Times New Roman"/>
          <w:sz w:val="24"/>
          <w:szCs w:val="24"/>
        </w:rPr>
        <w:t>Sraer</w:t>
      </w:r>
      <w:proofErr w:type="spellEnd"/>
      <w:r>
        <w:rPr>
          <w:rFonts w:ascii="Times New Roman" w:eastAsia="Times New Roman" w:hAnsi="Times New Roman" w:cs="Times New Roman"/>
          <w:sz w:val="24"/>
          <w:szCs w:val="24"/>
        </w:rPr>
        <w:t xml:space="preserve">, and D. </w:t>
      </w:r>
      <w:proofErr w:type="spellStart"/>
      <w:r>
        <w:rPr>
          <w:rFonts w:ascii="Times New Roman" w:eastAsia="Times New Roman" w:hAnsi="Times New Roman" w:cs="Times New Roman"/>
          <w:sz w:val="24"/>
          <w:szCs w:val="24"/>
        </w:rPr>
        <w:t>Thesmar</w:t>
      </w:r>
      <w:proofErr w:type="spellEnd"/>
      <w:r>
        <w:rPr>
          <w:rFonts w:ascii="Times New Roman" w:eastAsia="Times New Roman" w:hAnsi="Times New Roman" w:cs="Times New Roman"/>
          <w:sz w:val="24"/>
          <w:szCs w:val="24"/>
        </w:rPr>
        <w:t xml:space="preserve">. 2011. “Growth LBOs.”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102: 432-453.</w:t>
      </w:r>
    </w:p>
    <w:p w14:paraId="56913D12" w14:textId="77777777" w:rsidR="00605EA7" w:rsidRDefault="005A2565">
      <w:pPr>
        <w:pStyle w:val="Normal1"/>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Brown, G. W., O. R </w:t>
      </w:r>
      <w:proofErr w:type="spellStart"/>
      <w:r>
        <w:rPr>
          <w:rFonts w:ascii="Times New Roman" w:eastAsia="Times New Roman" w:hAnsi="Times New Roman" w:cs="Times New Roman"/>
          <w:color w:val="000000"/>
          <w:sz w:val="24"/>
          <w:szCs w:val="24"/>
        </w:rPr>
        <w:t>Gredil</w:t>
      </w:r>
      <w:proofErr w:type="spellEnd"/>
      <w:r>
        <w:rPr>
          <w:rFonts w:ascii="Times New Roman" w:eastAsia="Times New Roman" w:hAnsi="Times New Roman" w:cs="Times New Roman"/>
          <w:color w:val="000000"/>
          <w:sz w:val="24"/>
          <w:szCs w:val="24"/>
        </w:rPr>
        <w:t xml:space="preserve">, and S. N. Kaplan. </w:t>
      </w:r>
      <w:r>
        <w:rPr>
          <w:rFonts w:ascii="Times New Roman" w:eastAsia="Times New Roman" w:hAnsi="Times New Roman" w:cs="Times New Roman"/>
          <w:i/>
          <w:color w:val="000000"/>
          <w:sz w:val="24"/>
          <w:szCs w:val="24"/>
        </w:rPr>
        <w:t>Forthcoming</w:t>
      </w:r>
      <w:r>
        <w:rPr>
          <w:rFonts w:ascii="Times New Roman" w:eastAsia="Times New Roman" w:hAnsi="Times New Roman" w:cs="Times New Roman"/>
          <w:color w:val="000000"/>
          <w:sz w:val="24"/>
          <w:szCs w:val="24"/>
        </w:rPr>
        <w:t xml:space="preserve">. “Do Private Equity Funds Manipulate Reported Returns?” </w:t>
      </w:r>
      <w:r>
        <w:rPr>
          <w:rFonts w:ascii="Times New Roman" w:eastAsia="Times New Roman" w:hAnsi="Times New Roman" w:cs="Times New Roman"/>
          <w:i/>
          <w:color w:val="000000"/>
          <w:sz w:val="24"/>
          <w:szCs w:val="24"/>
        </w:rPr>
        <w:t>Journal of Financial Economics</w:t>
      </w:r>
      <w:r>
        <w:rPr>
          <w:rFonts w:ascii="Times New Roman" w:eastAsia="Times New Roman" w:hAnsi="Times New Roman" w:cs="Times New Roman"/>
          <w:color w:val="000000"/>
          <w:sz w:val="24"/>
          <w:szCs w:val="24"/>
        </w:rPr>
        <w:t>.</w:t>
      </w:r>
    </w:p>
    <w:p w14:paraId="1CE0D17B"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Braun, R., T. </w:t>
      </w:r>
      <w:proofErr w:type="spellStart"/>
      <w:r>
        <w:rPr>
          <w:rFonts w:ascii="Times New Roman" w:eastAsia="Times New Roman" w:hAnsi="Times New Roman" w:cs="Times New Roman"/>
          <w:sz w:val="24"/>
          <w:szCs w:val="24"/>
        </w:rPr>
        <w:t>Jenkinson</w:t>
      </w:r>
      <w:proofErr w:type="spellEnd"/>
      <w:r>
        <w:rPr>
          <w:rFonts w:ascii="Times New Roman" w:eastAsia="Times New Roman" w:hAnsi="Times New Roman" w:cs="Times New Roman"/>
          <w:sz w:val="24"/>
          <w:szCs w:val="24"/>
        </w:rPr>
        <w:t xml:space="preserve">, and I. </w:t>
      </w:r>
      <w:proofErr w:type="spellStart"/>
      <w:r>
        <w:rPr>
          <w:rFonts w:ascii="Times New Roman" w:eastAsia="Times New Roman" w:hAnsi="Times New Roman" w:cs="Times New Roman"/>
          <w:sz w:val="24"/>
          <w:szCs w:val="24"/>
        </w:rPr>
        <w:t>Stoff</w:t>
      </w:r>
      <w:proofErr w:type="spellEnd"/>
      <w:r>
        <w:rPr>
          <w:rFonts w:ascii="Times New Roman" w:eastAsia="Times New Roman" w:hAnsi="Times New Roman" w:cs="Times New Roman"/>
          <w:sz w:val="24"/>
          <w:szCs w:val="24"/>
        </w:rPr>
        <w:t xml:space="preserve">, I. 2017. “How Persistent is Private Equity Performance? Evidence from Deal-level Data.”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123: 193-205.</w:t>
      </w:r>
    </w:p>
    <w:p w14:paraId="77D10B69"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Bruining</w:t>
      </w:r>
      <w:proofErr w:type="spellEnd"/>
      <w:r>
        <w:rPr>
          <w:rFonts w:ascii="Times New Roman" w:eastAsia="Times New Roman" w:hAnsi="Times New Roman" w:cs="Times New Roman"/>
          <w:color w:val="000000"/>
          <w:sz w:val="24"/>
          <w:szCs w:val="24"/>
        </w:rPr>
        <w:t xml:space="preserve">, H., and M. Wright. 2002. “Entrepreneurial Orientation in Management Buy-outs and the Contribution of Venture Capital.” </w:t>
      </w:r>
      <w:r>
        <w:rPr>
          <w:rFonts w:ascii="Times New Roman" w:eastAsia="Times New Roman" w:hAnsi="Times New Roman" w:cs="Times New Roman"/>
          <w:i/>
          <w:color w:val="000000"/>
          <w:sz w:val="24"/>
          <w:szCs w:val="24"/>
        </w:rPr>
        <w:t>Venture Capital</w:t>
      </w:r>
      <w:r>
        <w:rPr>
          <w:rFonts w:ascii="Times New Roman" w:eastAsia="Times New Roman" w:hAnsi="Times New Roman" w:cs="Times New Roman"/>
          <w:color w:val="000000"/>
          <w:sz w:val="24"/>
          <w:szCs w:val="24"/>
        </w:rPr>
        <w:t xml:space="preserve"> 4: 147-168. </w:t>
      </w:r>
    </w:p>
    <w:p w14:paraId="704D48F2" w14:textId="77777777" w:rsidR="00492B03"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BVCA. 2017. Markets in Financial Instruments Directive and Capital Requirements Directive, </w:t>
      </w:r>
      <w:hyperlink r:id="rId24">
        <w:r>
          <w:rPr>
            <w:rFonts w:ascii="Times New Roman" w:eastAsia="Times New Roman" w:hAnsi="Times New Roman" w:cs="Times New Roman"/>
            <w:color w:val="0563C1"/>
            <w:sz w:val="24"/>
            <w:szCs w:val="24"/>
            <w:u w:val="single"/>
          </w:rPr>
          <w:t>https://www.bvca.co.uk/Policy/Tax-Legal-and-Regulatory/Matters-on-our-agenda/Other-financial-markets-regulation/MiFID-and-CRD</w:t>
        </w:r>
      </w:hyperlink>
      <w:r>
        <w:rPr>
          <w:rFonts w:ascii="Times New Roman" w:eastAsia="Times New Roman" w:hAnsi="Times New Roman" w:cs="Times New Roman"/>
          <w:color w:val="000000"/>
          <w:sz w:val="24"/>
          <w:szCs w:val="24"/>
        </w:rPr>
        <w:t>, accessed on Jan. 25, 2018.</w:t>
      </w:r>
    </w:p>
    <w:p w14:paraId="76A9DF30" w14:textId="5FF45257" w:rsidR="009613C4" w:rsidRDefault="009613C4">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r w:rsidRPr="009613C4">
        <w:rPr>
          <w:rFonts w:ascii="Times New Roman" w:eastAsia="Times New Roman" w:hAnsi="Times New Roman" w:cs="Times New Roman"/>
          <w:color w:val="000000"/>
          <w:sz w:val="24"/>
          <w:szCs w:val="24"/>
        </w:rPr>
        <w:t xml:space="preserve">CMBOR. 2017. </w:t>
      </w:r>
      <w:r w:rsidRPr="009613C4">
        <w:rPr>
          <w:rFonts w:ascii="Times New Roman" w:eastAsia="Times New Roman" w:hAnsi="Times New Roman" w:cs="Times New Roman"/>
          <w:i/>
          <w:color w:val="000000"/>
          <w:sz w:val="24"/>
          <w:szCs w:val="24"/>
        </w:rPr>
        <w:t>European Management Buyouts</w:t>
      </w:r>
      <w:r w:rsidRPr="009613C4">
        <w:rPr>
          <w:rFonts w:ascii="Times New Roman" w:eastAsia="Times New Roman" w:hAnsi="Times New Roman" w:cs="Times New Roman"/>
          <w:color w:val="000000"/>
          <w:sz w:val="24"/>
          <w:szCs w:val="24"/>
        </w:rPr>
        <w:t xml:space="preserve">. Imperial College London: </w:t>
      </w:r>
      <w:proofErr w:type="spellStart"/>
      <w:r w:rsidRPr="009613C4">
        <w:rPr>
          <w:rFonts w:ascii="Times New Roman" w:eastAsia="Times New Roman" w:hAnsi="Times New Roman" w:cs="Times New Roman"/>
          <w:color w:val="000000"/>
          <w:sz w:val="24"/>
          <w:szCs w:val="24"/>
        </w:rPr>
        <w:t>Center</w:t>
      </w:r>
      <w:proofErr w:type="spellEnd"/>
      <w:r w:rsidRPr="009613C4">
        <w:rPr>
          <w:rFonts w:ascii="Times New Roman" w:eastAsia="Times New Roman" w:hAnsi="Times New Roman" w:cs="Times New Roman"/>
          <w:color w:val="000000"/>
          <w:sz w:val="24"/>
          <w:szCs w:val="24"/>
        </w:rPr>
        <w:t xml:space="preserve"> for Management Buyout Research, </w:t>
      </w:r>
      <w:proofErr w:type="gramStart"/>
      <w:r w:rsidRPr="009613C4">
        <w:rPr>
          <w:rFonts w:ascii="Times New Roman" w:eastAsia="Times New Roman" w:hAnsi="Times New Roman" w:cs="Times New Roman"/>
          <w:color w:val="000000"/>
          <w:sz w:val="24"/>
          <w:szCs w:val="24"/>
        </w:rPr>
        <w:t>Autumn</w:t>
      </w:r>
      <w:proofErr w:type="gramEnd"/>
      <w:r w:rsidRPr="009613C4">
        <w:rPr>
          <w:rFonts w:ascii="Times New Roman" w:eastAsia="Times New Roman" w:hAnsi="Times New Roman" w:cs="Times New Roman"/>
          <w:color w:val="000000"/>
          <w:sz w:val="24"/>
          <w:szCs w:val="24"/>
        </w:rPr>
        <w:t>.</w:t>
      </w:r>
    </w:p>
    <w:p w14:paraId="4A7AA600" w14:textId="1C331248" w:rsidR="009613C4" w:rsidRDefault="009613C4" w:rsidP="009613C4">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CMBOR. 2018. </w:t>
      </w:r>
      <w:r>
        <w:rPr>
          <w:rFonts w:ascii="Times New Roman" w:eastAsia="Times New Roman" w:hAnsi="Times New Roman" w:cs="Times New Roman"/>
          <w:i/>
          <w:color w:val="000000"/>
          <w:sz w:val="24"/>
          <w:szCs w:val="24"/>
        </w:rPr>
        <w:t>UK Management Buyouts</w:t>
      </w:r>
      <w:r>
        <w:rPr>
          <w:rFonts w:ascii="Times New Roman" w:eastAsia="Times New Roman" w:hAnsi="Times New Roman" w:cs="Times New Roman"/>
          <w:color w:val="000000"/>
          <w:sz w:val="24"/>
          <w:szCs w:val="24"/>
        </w:rPr>
        <w:t xml:space="preserve">. Imperial College London: </w:t>
      </w:r>
      <w:proofErr w:type="spellStart"/>
      <w:r>
        <w:rPr>
          <w:rFonts w:ascii="Times New Roman" w:eastAsia="Times New Roman" w:hAnsi="Times New Roman" w:cs="Times New Roman"/>
          <w:color w:val="000000"/>
          <w:sz w:val="24"/>
          <w:szCs w:val="24"/>
        </w:rPr>
        <w:t>Center</w:t>
      </w:r>
      <w:proofErr w:type="spellEnd"/>
      <w:r>
        <w:rPr>
          <w:rFonts w:ascii="Times New Roman" w:eastAsia="Times New Roman" w:hAnsi="Times New Roman" w:cs="Times New Roman"/>
          <w:color w:val="000000"/>
          <w:sz w:val="24"/>
          <w:szCs w:val="24"/>
        </w:rPr>
        <w:t xml:space="preserve"> for Management Buyout Research, </w:t>
      </w:r>
      <w:proofErr w:type="gramStart"/>
      <w:r>
        <w:rPr>
          <w:rFonts w:ascii="Times New Roman" w:eastAsia="Times New Roman" w:hAnsi="Times New Roman" w:cs="Times New Roman"/>
          <w:color w:val="000000"/>
          <w:sz w:val="24"/>
          <w:szCs w:val="24"/>
        </w:rPr>
        <w:t>Summer</w:t>
      </w:r>
      <w:proofErr w:type="gramEnd"/>
      <w:r>
        <w:rPr>
          <w:rFonts w:ascii="Times New Roman" w:eastAsia="Times New Roman" w:hAnsi="Times New Roman" w:cs="Times New Roman"/>
          <w:color w:val="000000"/>
          <w:sz w:val="24"/>
          <w:szCs w:val="24"/>
        </w:rPr>
        <w:t>.</w:t>
      </w:r>
    </w:p>
    <w:p w14:paraId="54010A88"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Cohn, J. B., L. F. Mills, and E. M. </w:t>
      </w:r>
      <w:proofErr w:type="spellStart"/>
      <w:r>
        <w:rPr>
          <w:rFonts w:ascii="Times New Roman" w:eastAsia="Times New Roman" w:hAnsi="Times New Roman" w:cs="Times New Roman"/>
          <w:color w:val="000000"/>
          <w:sz w:val="24"/>
          <w:szCs w:val="24"/>
        </w:rPr>
        <w:t>Towery</w:t>
      </w:r>
      <w:proofErr w:type="spellEnd"/>
      <w:r>
        <w:rPr>
          <w:rFonts w:ascii="Times New Roman" w:eastAsia="Times New Roman" w:hAnsi="Times New Roman" w:cs="Times New Roman"/>
          <w:color w:val="000000"/>
          <w:sz w:val="24"/>
          <w:szCs w:val="24"/>
        </w:rPr>
        <w:t xml:space="preserve">. 2014. “The Evolution of Capital Structure and Operating Performance after Leveraged Buyouts: Evidence from US Corporate Tax Returns.” </w:t>
      </w:r>
      <w:r>
        <w:rPr>
          <w:rFonts w:ascii="Times New Roman" w:eastAsia="Times New Roman" w:hAnsi="Times New Roman" w:cs="Times New Roman"/>
          <w:i/>
          <w:color w:val="000000"/>
          <w:sz w:val="24"/>
          <w:szCs w:val="24"/>
        </w:rPr>
        <w:t xml:space="preserve">Journal of Financial Economics </w:t>
      </w:r>
      <w:r>
        <w:rPr>
          <w:rFonts w:ascii="Times New Roman" w:eastAsia="Times New Roman" w:hAnsi="Times New Roman" w:cs="Times New Roman"/>
          <w:color w:val="000000"/>
          <w:sz w:val="24"/>
          <w:szCs w:val="24"/>
        </w:rPr>
        <w:t>111:</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469-494.</w:t>
      </w:r>
      <w:r>
        <w:rPr>
          <w:rFonts w:ascii="Times New Roman" w:eastAsia="Times New Roman" w:hAnsi="Times New Roman" w:cs="Times New Roman"/>
          <w:i/>
          <w:color w:val="000000"/>
          <w:sz w:val="24"/>
          <w:szCs w:val="24"/>
        </w:rPr>
        <w:t xml:space="preserve"> </w:t>
      </w:r>
    </w:p>
    <w:p w14:paraId="63EE08A3" w14:textId="2EDF6C54"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Cohn, J., </w:t>
      </w:r>
      <w:proofErr w:type="spellStart"/>
      <w:r>
        <w:rPr>
          <w:rFonts w:ascii="Times New Roman" w:eastAsia="Times New Roman" w:hAnsi="Times New Roman" w:cs="Times New Roman"/>
          <w:color w:val="000000"/>
          <w:sz w:val="24"/>
          <w:szCs w:val="24"/>
        </w:rPr>
        <w:t>Nestoriak</w:t>
      </w:r>
      <w:proofErr w:type="spellEnd"/>
      <w:r>
        <w:rPr>
          <w:rFonts w:ascii="Times New Roman" w:eastAsia="Times New Roman" w:hAnsi="Times New Roman" w:cs="Times New Roman"/>
          <w:color w:val="000000"/>
          <w:sz w:val="24"/>
          <w:szCs w:val="24"/>
        </w:rPr>
        <w:t xml:space="preserve">, N., and </w:t>
      </w:r>
      <w:proofErr w:type="spellStart"/>
      <w:r>
        <w:rPr>
          <w:rFonts w:ascii="Times New Roman" w:eastAsia="Times New Roman" w:hAnsi="Times New Roman" w:cs="Times New Roman"/>
          <w:color w:val="000000"/>
          <w:sz w:val="24"/>
          <w:szCs w:val="24"/>
        </w:rPr>
        <w:t>Wardlaw</w:t>
      </w:r>
      <w:proofErr w:type="spellEnd"/>
      <w:r>
        <w:rPr>
          <w:rFonts w:ascii="Times New Roman" w:eastAsia="Times New Roman" w:hAnsi="Times New Roman" w:cs="Times New Roman"/>
          <w:color w:val="000000"/>
          <w:sz w:val="24"/>
          <w:szCs w:val="24"/>
        </w:rPr>
        <w:t xml:space="preserve">, M. 2017. “Private equity buyouts and workplace safety.” Working </w:t>
      </w:r>
      <w:proofErr w:type="spellStart"/>
      <w:r>
        <w:rPr>
          <w:rFonts w:ascii="Times New Roman" w:eastAsia="Times New Roman" w:hAnsi="Times New Roman" w:cs="Times New Roman"/>
          <w:color w:val="000000"/>
          <w:sz w:val="24"/>
          <w:szCs w:val="24"/>
        </w:rPr>
        <w:t>paper.Cressy</w:t>
      </w:r>
      <w:proofErr w:type="spellEnd"/>
      <w:r>
        <w:rPr>
          <w:rFonts w:ascii="Times New Roman" w:eastAsia="Times New Roman" w:hAnsi="Times New Roman" w:cs="Times New Roman"/>
          <w:color w:val="000000"/>
          <w:sz w:val="24"/>
          <w:szCs w:val="24"/>
        </w:rPr>
        <w:t xml:space="preserve">, R., F. </w:t>
      </w:r>
      <w:proofErr w:type="spellStart"/>
      <w:r>
        <w:rPr>
          <w:rFonts w:ascii="Times New Roman" w:eastAsia="Times New Roman" w:hAnsi="Times New Roman" w:cs="Times New Roman"/>
          <w:color w:val="000000"/>
          <w:sz w:val="24"/>
          <w:szCs w:val="24"/>
        </w:rPr>
        <w:t>Munari</w:t>
      </w:r>
      <w:proofErr w:type="spellEnd"/>
      <w:r>
        <w:rPr>
          <w:rFonts w:ascii="Times New Roman" w:eastAsia="Times New Roman" w:hAnsi="Times New Roman" w:cs="Times New Roman"/>
          <w:color w:val="000000"/>
          <w:sz w:val="24"/>
          <w:szCs w:val="24"/>
        </w:rPr>
        <w:t xml:space="preserve">, and A. </w:t>
      </w:r>
      <w:proofErr w:type="spellStart"/>
      <w:r>
        <w:rPr>
          <w:rFonts w:ascii="Times New Roman" w:eastAsia="Times New Roman" w:hAnsi="Times New Roman" w:cs="Times New Roman"/>
          <w:color w:val="000000"/>
          <w:sz w:val="24"/>
          <w:szCs w:val="24"/>
        </w:rPr>
        <w:t>Malipiero</w:t>
      </w:r>
      <w:proofErr w:type="spellEnd"/>
      <w:r>
        <w:rPr>
          <w:rFonts w:ascii="Times New Roman" w:eastAsia="Times New Roman" w:hAnsi="Times New Roman" w:cs="Times New Roman"/>
          <w:color w:val="000000"/>
          <w:sz w:val="24"/>
          <w:szCs w:val="24"/>
        </w:rPr>
        <w:t xml:space="preserve">. 2007. “Playing to their Strengths? Evidence that Specialization in the Private Equity Industry Confers competitive advantage. </w:t>
      </w:r>
      <w:r>
        <w:rPr>
          <w:rFonts w:ascii="Times New Roman" w:eastAsia="Times New Roman" w:hAnsi="Times New Roman" w:cs="Times New Roman"/>
          <w:i/>
          <w:color w:val="000000"/>
          <w:sz w:val="24"/>
          <w:szCs w:val="24"/>
        </w:rPr>
        <w:t>Journal of Corporate Finance</w:t>
      </w:r>
      <w:r>
        <w:rPr>
          <w:rFonts w:ascii="Times New Roman" w:eastAsia="Times New Roman" w:hAnsi="Times New Roman" w:cs="Times New Roman"/>
          <w:color w:val="000000"/>
          <w:sz w:val="24"/>
          <w:szCs w:val="24"/>
        </w:rPr>
        <w:t xml:space="preserve"> 13:</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647-669.</w:t>
      </w:r>
    </w:p>
    <w:p w14:paraId="3DCE4B8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Cumming, D. and S. Johan. 2017. “The Problems with and Promise of Entrepreneurial Finance.” </w:t>
      </w:r>
      <w:r>
        <w:rPr>
          <w:rFonts w:ascii="Times New Roman" w:eastAsia="Times New Roman" w:hAnsi="Times New Roman" w:cs="Times New Roman"/>
          <w:i/>
          <w:sz w:val="24"/>
          <w:szCs w:val="24"/>
        </w:rPr>
        <w:t xml:space="preserve">Strategic Entrepreneurship Journal </w:t>
      </w:r>
      <w:r>
        <w:rPr>
          <w:rFonts w:ascii="Times New Roman" w:eastAsia="Times New Roman" w:hAnsi="Times New Roman" w:cs="Times New Roman"/>
          <w:sz w:val="24"/>
          <w:szCs w:val="24"/>
        </w:rPr>
        <w:t>11: 357-370.</w:t>
      </w:r>
    </w:p>
    <w:p w14:paraId="2E344C9E" w14:textId="77777777" w:rsidR="00605EA7" w:rsidRDefault="005A2565">
      <w:pPr>
        <w:pStyle w:val="Normal1"/>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Cumming, D., D. S. Siegel, and M. Wright. 2007. “Private Equity, Leveraged Buyouts and Governance.” </w:t>
      </w:r>
      <w:r>
        <w:rPr>
          <w:rFonts w:ascii="Times New Roman" w:eastAsia="Times New Roman" w:hAnsi="Times New Roman" w:cs="Times New Roman"/>
          <w:i/>
          <w:color w:val="000000"/>
          <w:sz w:val="24"/>
          <w:szCs w:val="24"/>
        </w:rPr>
        <w:t>Journal of Corporate Finance</w:t>
      </w:r>
      <w:r>
        <w:rPr>
          <w:rFonts w:ascii="Times New Roman" w:eastAsia="Times New Roman" w:hAnsi="Times New Roman" w:cs="Times New Roman"/>
          <w:color w:val="000000"/>
          <w:sz w:val="24"/>
          <w:szCs w:val="24"/>
        </w:rPr>
        <w:t xml:space="preserve"> 13: 439-460. </w:t>
      </w:r>
    </w:p>
    <w:p w14:paraId="276C0352"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 </w:t>
      </w:r>
      <w:proofErr w:type="spellStart"/>
      <w:r>
        <w:rPr>
          <w:rFonts w:ascii="Times New Roman" w:eastAsia="Times New Roman" w:hAnsi="Times New Roman" w:cs="Times New Roman"/>
          <w:sz w:val="24"/>
          <w:szCs w:val="24"/>
        </w:rPr>
        <w:t>Rin</w:t>
      </w:r>
      <w:proofErr w:type="spellEnd"/>
      <w:r>
        <w:rPr>
          <w:rFonts w:ascii="Times New Roman" w:eastAsia="Times New Roman" w:hAnsi="Times New Roman" w:cs="Times New Roman"/>
          <w:sz w:val="24"/>
          <w:szCs w:val="24"/>
        </w:rPr>
        <w:t xml:space="preserve">, M and L.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2017. “The importance of size in private equity: Evidence from a survey of limited partners.” </w:t>
      </w:r>
      <w:r>
        <w:rPr>
          <w:rFonts w:ascii="Times New Roman" w:eastAsia="Times New Roman" w:hAnsi="Times New Roman" w:cs="Times New Roman"/>
          <w:i/>
          <w:sz w:val="24"/>
          <w:szCs w:val="24"/>
        </w:rPr>
        <w:t>Journal of Financial Intermediation</w:t>
      </w:r>
      <w:r>
        <w:rPr>
          <w:rFonts w:ascii="Times New Roman" w:eastAsia="Times New Roman" w:hAnsi="Times New Roman" w:cs="Times New Roman"/>
          <w:sz w:val="24"/>
          <w:szCs w:val="24"/>
        </w:rPr>
        <w:t xml:space="preserve"> 31: 64-76.</w:t>
      </w:r>
    </w:p>
    <w:p w14:paraId="75C823EC"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Davis, S. J., J. </w:t>
      </w:r>
      <w:proofErr w:type="spellStart"/>
      <w:r>
        <w:rPr>
          <w:rFonts w:ascii="Times New Roman" w:eastAsia="Times New Roman" w:hAnsi="Times New Roman" w:cs="Times New Roman"/>
          <w:sz w:val="24"/>
          <w:szCs w:val="24"/>
        </w:rPr>
        <w:t>Haltiwanger</w:t>
      </w:r>
      <w:proofErr w:type="spellEnd"/>
      <w:r>
        <w:rPr>
          <w:rFonts w:ascii="Times New Roman" w:eastAsia="Times New Roman" w:hAnsi="Times New Roman" w:cs="Times New Roman"/>
          <w:sz w:val="24"/>
          <w:szCs w:val="24"/>
        </w:rPr>
        <w:t xml:space="preserve">, K. Handley, R. </w:t>
      </w:r>
      <w:proofErr w:type="spellStart"/>
      <w:r>
        <w:rPr>
          <w:rFonts w:ascii="Times New Roman" w:eastAsia="Times New Roman" w:hAnsi="Times New Roman" w:cs="Times New Roman"/>
          <w:sz w:val="24"/>
          <w:szCs w:val="24"/>
        </w:rPr>
        <w:t>Jarmin</w:t>
      </w:r>
      <w:proofErr w:type="spellEnd"/>
      <w:r>
        <w:rPr>
          <w:rFonts w:ascii="Times New Roman" w:eastAsia="Times New Roman" w:hAnsi="Times New Roman" w:cs="Times New Roman"/>
          <w:sz w:val="24"/>
          <w:szCs w:val="24"/>
        </w:rPr>
        <w:t xml:space="preserve">, J. Lerner, and J. Miranda. 2014. “Private Equity, Jobs, and Productivity.” </w:t>
      </w:r>
      <w:r>
        <w:rPr>
          <w:rFonts w:ascii="Times New Roman" w:eastAsia="Times New Roman" w:hAnsi="Times New Roman" w:cs="Times New Roman"/>
          <w:i/>
          <w:sz w:val="24"/>
          <w:szCs w:val="24"/>
        </w:rPr>
        <w:t>American Economic Review</w:t>
      </w:r>
      <w:r>
        <w:rPr>
          <w:rFonts w:ascii="Times New Roman" w:eastAsia="Times New Roman" w:hAnsi="Times New Roman" w:cs="Times New Roman"/>
          <w:sz w:val="24"/>
          <w:szCs w:val="24"/>
        </w:rPr>
        <w:t xml:space="preserve"> 104: 3956-3990.</w:t>
      </w:r>
    </w:p>
    <w:p w14:paraId="1A170B59"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Degeorge</w:t>
      </w:r>
      <w:proofErr w:type="spellEnd"/>
      <w:r>
        <w:rPr>
          <w:rFonts w:ascii="Times New Roman" w:eastAsia="Times New Roman" w:hAnsi="Times New Roman" w:cs="Times New Roman"/>
          <w:color w:val="000000"/>
          <w:sz w:val="24"/>
          <w:szCs w:val="24"/>
        </w:rPr>
        <w:t xml:space="preserve">, F., J. Martin. </w:t>
      </w:r>
      <w:proofErr w:type="gramStart"/>
      <w:r>
        <w:rPr>
          <w:rFonts w:ascii="Times New Roman" w:eastAsia="Times New Roman" w:hAnsi="Times New Roman" w:cs="Times New Roman"/>
          <w:color w:val="000000"/>
          <w:sz w:val="24"/>
          <w:szCs w:val="24"/>
        </w:rPr>
        <w:t>and</w:t>
      </w:r>
      <w:proofErr w:type="gramEnd"/>
      <w:r>
        <w:rPr>
          <w:rFonts w:ascii="Times New Roman" w:eastAsia="Times New Roman" w:hAnsi="Times New Roman" w:cs="Times New Roman"/>
          <w:color w:val="000000"/>
          <w:sz w:val="24"/>
          <w:szCs w:val="24"/>
        </w:rPr>
        <w:t xml:space="preserve"> L. </w:t>
      </w:r>
      <w:proofErr w:type="spellStart"/>
      <w:r>
        <w:rPr>
          <w:rFonts w:ascii="Times New Roman" w:eastAsia="Times New Roman" w:hAnsi="Times New Roman" w:cs="Times New Roman"/>
          <w:color w:val="000000"/>
          <w:sz w:val="24"/>
          <w:szCs w:val="24"/>
        </w:rPr>
        <w:t>Phalippou</w:t>
      </w:r>
      <w:proofErr w:type="spellEnd"/>
      <w:r>
        <w:rPr>
          <w:rFonts w:ascii="Times New Roman" w:eastAsia="Times New Roman" w:hAnsi="Times New Roman" w:cs="Times New Roman"/>
          <w:color w:val="000000"/>
          <w:sz w:val="24"/>
          <w:szCs w:val="24"/>
        </w:rPr>
        <w:t xml:space="preserve">. 2016. “On Secondary Buyouts.” </w:t>
      </w:r>
      <w:r>
        <w:rPr>
          <w:rFonts w:ascii="Times New Roman" w:eastAsia="Times New Roman" w:hAnsi="Times New Roman" w:cs="Times New Roman"/>
          <w:i/>
          <w:color w:val="000000"/>
          <w:sz w:val="24"/>
          <w:szCs w:val="24"/>
        </w:rPr>
        <w:t>Journal of Financial Economics</w:t>
      </w:r>
      <w:r>
        <w:rPr>
          <w:rFonts w:ascii="Times New Roman" w:eastAsia="Times New Roman" w:hAnsi="Times New Roman" w:cs="Times New Roman"/>
          <w:color w:val="000000"/>
          <w:sz w:val="24"/>
          <w:szCs w:val="24"/>
        </w:rPr>
        <w:t xml:space="preserve"> 120:</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124-145.</w:t>
      </w:r>
    </w:p>
    <w:p w14:paraId="011B1D7E"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Driessen</w:t>
      </w:r>
      <w:proofErr w:type="spellEnd"/>
      <w:r>
        <w:rPr>
          <w:rFonts w:ascii="Times New Roman" w:eastAsia="Times New Roman" w:hAnsi="Times New Roman" w:cs="Times New Roman"/>
          <w:sz w:val="24"/>
          <w:szCs w:val="24"/>
        </w:rPr>
        <w:t xml:space="preserve">, J., T.-C Lin, and L.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2012. “A New Method to Estimate Risk and Return of </w:t>
      </w:r>
      <w:proofErr w:type="spellStart"/>
      <w:r>
        <w:rPr>
          <w:rFonts w:ascii="Times New Roman" w:eastAsia="Times New Roman" w:hAnsi="Times New Roman" w:cs="Times New Roman"/>
          <w:sz w:val="24"/>
          <w:szCs w:val="24"/>
        </w:rPr>
        <w:t>Nontraded</w:t>
      </w:r>
      <w:proofErr w:type="spellEnd"/>
      <w:r>
        <w:rPr>
          <w:rFonts w:ascii="Times New Roman" w:eastAsia="Times New Roman" w:hAnsi="Times New Roman" w:cs="Times New Roman"/>
          <w:sz w:val="24"/>
          <w:szCs w:val="24"/>
        </w:rPr>
        <w:t xml:space="preserve"> Assets from Cash Flows: The Case of Private Equity Funds.” </w:t>
      </w:r>
      <w:r>
        <w:rPr>
          <w:rFonts w:ascii="Times New Roman" w:eastAsia="Times New Roman" w:hAnsi="Times New Roman" w:cs="Times New Roman"/>
          <w:i/>
          <w:sz w:val="24"/>
          <w:szCs w:val="24"/>
        </w:rPr>
        <w:t>Journal of Financial and Quantitative Analysis</w:t>
      </w:r>
      <w:r>
        <w:rPr>
          <w:rFonts w:ascii="Times New Roman" w:eastAsia="Times New Roman" w:hAnsi="Times New Roman" w:cs="Times New Roman"/>
          <w:sz w:val="24"/>
          <w:szCs w:val="24"/>
        </w:rPr>
        <w:t xml:space="preserve"> 47: 511-535.</w:t>
      </w:r>
    </w:p>
    <w:p w14:paraId="08471B2E" w14:textId="77777777" w:rsidR="00605EA7" w:rsidRDefault="005A2565">
      <w:pPr>
        <w:pStyle w:val="Normal1"/>
        <w:tabs>
          <w:tab w:val="left" w:pos="680"/>
        </w:tabs>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Engel, D. and J. </w:t>
      </w:r>
      <w:proofErr w:type="spellStart"/>
      <w:r>
        <w:rPr>
          <w:rFonts w:ascii="Times New Roman" w:eastAsia="Times New Roman" w:hAnsi="Times New Roman" w:cs="Times New Roman"/>
          <w:sz w:val="24"/>
          <w:szCs w:val="24"/>
        </w:rPr>
        <w:t>Stiebale</w:t>
      </w:r>
      <w:proofErr w:type="spellEnd"/>
      <w:r>
        <w:rPr>
          <w:rFonts w:ascii="Times New Roman" w:eastAsia="Times New Roman" w:hAnsi="Times New Roman" w:cs="Times New Roman"/>
          <w:sz w:val="24"/>
          <w:szCs w:val="24"/>
        </w:rPr>
        <w:t xml:space="preserve">. 2014. “Private Equity, Investment and Financial Constraints: Firm-level Evidence for France and the United Kingdom.” </w:t>
      </w:r>
      <w:r>
        <w:rPr>
          <w:rFonts w:ascii="Times New Roman" w:eastAsia="Times New Roman" w:hAnsi="Times New Roman" w:cs="Times New Roman"/>
          <w:i/>
          <w:sz w:val="24"/>
          <w:szCs w:val="24"/>
        </w:rPr>
        <w:t>Small Business Economics</w:t>
      </w:r>
      <w:r>
        <w:rPr>
          <w:rFonts w:ascii="Times New Roman" w:eastAsia="Times New Roman" w:hAnsi="Times New Roman" w:cs="Times New Roman"/>
          <w:sz w:val="24"/>
          <w:szCs w:val="24"/>
        </w:rPr>
        <w:t xml:space="preserve"> 43: 197–212.</w:t>
      </w:r>
    </w:p>
    <w:p w14:paraId="2AEA743A" w14:textId="77777777" w:rsidR="00605EA7" w:rsidRDefault="005A2565">
      <w:pPr>
        <w:pStyle w:val="Normal1"/>
        <w:spacing w:after="240" w:line="240" w:lineRule="auto"/>
        <w:ind w:left="567" w:hanging="567"/>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Espinoza, J. 2018. “</w:t>
      </w:r>
      <w:hyperlink r:id="rId25">
        <w:r>
          <w:rPr>
            <w:rFonts w:ascii="Times New Roman" w:eastAsia="Times New Roman" w:hAnsi="Times New Roman" w:cs="Times New Roman"/>
            <w:color w:val="000000"/>
            <w:sz w:val="24"/>
            <w:szCs w:val="24"/>
          </w:rPr>
          <w:t>Private Equity: Flood of Cash Triggers Buyout Bubble Fears</w:t>
        </w:r>
      </w:hyperlink>
      <w:r>
        <w:rPr>
          <w:rFonts w:ascii="Times New Roman" w:eastAsia="Times New Roman" w:hAnsi="Times New Roman" w:cs="Times New Roman"/>
          <w:sz w:val="24"/>
          <w:szCs w:val="24"/>
        </w:rPr>
        <w: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Financial Times</w:t>
      </w:r>
      <w:r>
        <w:rPr>
          <w:rFonts w:ascii="Times New Roman" w:eastAsia="Times New Roman" w:hAnsi="Times New Roman" w:cs="Times New Roman"/>
          <w:color w:val="222222"/>
          <w:sz w:val="24"/>
          <w:szCs w:val="24"/>
        </w:rPr>
        <w:t>, 23 January 2018.</w:t>
      </w:r>
    </w:p>
    <w:p w14:paraId="7F79A31B"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Fang, L., V. </w:t>
      </w:r>
      <w:proofErr w:type="spellStart"/>
      <w:r>
        <w:rPr>
          <w:rFonts w:ascii="Times New Roman" w:eastAsia="Times New Roman" w:hAnsi="Times New Roman" w:cs="Times New Roman"/>
          <w:sz w:val="24"/>
          <w:szCs w:val="24"/>
        </w:rPr>
        <w:t>Ivashina</w:t>
      </w:r>
      <w:proofErr w:type="spellEnd"/>
      <w:r>
        <w:rPr>
          <w:rFonts w:ascii="Times New Roman" w:eastAsia="Times New Roman" w:hAnsi="Times New Roman" w:cs="Times New Roman"/>
          <w:sz w:val="24"/>
          <w:szCs w:val="24"/>
        </w:rPr>
        <w:t xml:space="preserve">, and J. Lerner. 2015. “The disintermediation of financial markets: Direct investing in private equity.”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116: 160-178.</w:t>
      </w:r>
    </w:p>
    <w:p w14:paraId="787336AF"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Franzoni</w:t>
      </w:r>
      <w:proofErr w:type="spellEnd"/>
      <w:r>
        <w:rPr>
          <w:rFonts w:ascii="Times New Roman" w:eastAsia="Times New Roman" w:hAnsi="Times New Roman" w:cs="Times New Roman"/>
          <w:sz w:val="24"/>
          <w:szCs w:val="24"/>
        </w:rPr>
        <w:t xml:space="preserve">, F., E. Nowak, and L. </w:t>
      </w: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2012. “Private Equity Performance and Liquidity Risk.” </w:t>
      </w:r>
      <w:r>
        <w:rPr>
          <w:rFonts w:ascii="Times New Roman" w:eastAsia="Times New Roman" w:hAnsi="Times New Roman" w:cs="Times New Roman"/>
          <w:i/>
          <w:sz w:val="24"/>
          <w:szCs w:val="24"/>
        </w:rPr>
        <w:t>Journal of Finance</w:t>
      </w:r>
      <w:r>
        <w:rPr>
          <w:rFonts w:ascii="Times New Roman" w:eastAsia="Times New Roman" w:hAnsi="Times New Roman" w:cs="Times New Roman"/>
          <w:sz w:val="24"/>
          <w:szCs w:val="24"/>
        </w:rPr>
        <w:t xml:space="preserve"> 67: 2341-2373.</w:t>
      </w:r>
    </w:p>
    <w:p w14:paraId="7705C12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Gompers, P., W. </w:t>
      </w:r>
      <w:proofErr w:type="spellStart"/>
      <w:r>
        <w:rPr>
          <w:rFonts w:ascii="Times New Roman" w:eastAsia="Times New Roman" w:hAnsi="Times New Roman" w:cs="Times New Roman"/>
          <w:sz w:val="24"/>
          <w:szCs w:val="24"/>
        </w:rPr>
        <w:t>Gornall</w:t>
      </w:r>
      <w:proofErr w:type="spellEnd"/>
      <w:r>
        <w:rPr>
          <w:rFonts w:ascii="Times New Roman" w:eastAsia="Times New Roman" w:hAnsi="Times New Roman" w:cs="Times New Roman"/>
          <w:sz w:val="24"/>
          <w:szCs w:val="24"/>
        </w:rPr>
        <w:t xml:space="preserve">, S. N. Kaplan, I. A. and </w:t>
      </w:r>
      <w:proofErr w:type="spellStart"/>
      <w:r>
        <w:rPr>
          <w:rFonts w:ascii="Times New Roman" w:eastAsia="Times New Roman" w:hAnsi="Times New Roman" w:cs="Times New Roman"/>
          <w:sz w:val="24"/>
          <w:szCs w:val="24"/>
        </w:rPr>
        <w:t>Strebulaev</w:t>
      </w:r>
      <w:proofErr w:type="spellEnd"/>
      <w:r>
        <w:rPr>
          <w:rFonts w:ascii="Times New Roman" w:eastAsia="Times New Roman" w:hAnsi="Times New Roman" w:cs="Times New Roman"/>
          <w:sz w:val="24"/>
          <w:szCs w:val="24"/>
        </w:rPr>
        <w:t>. 2016. “How do Venture Capitalists make Decisions?” NBER Working Paper No. 22587.</w:t>
      </w:r>
    </w:p>
    <w:p w14:paraId="32CFA619"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Gredil</w:t>
      </w:r>
      <w:proofErr w:type="spellEnd"/>
      <w:r>
        <w:rPr>
          <w:rFonts w:ascii="Times New Roman" w:eastAsia="Times New Roman" w:hAnsi="Times New Roman" w:cs="Times New Roman"/>
          <w:color w:val="000000"/>
          <w:sz w:val="24"/>
          <w:szCs w:val="24"/>
        </w:rPr>
        <w:t xml:space="preserve">, O. R. 2017. “Do private equity managers have superior information on public </w:t>
      </w:r>
      <w:proofErr w:type="gramStart"/>
      <w:r>
        <w:rPr>
          <w:rFonts w:ascii="Times New Roman" w:eastAsia="Times New Roman" w:hAnsi="Times New Roman" w:cs="Times New Roman"/>
          <w:color w:val="000000"/>
          <w:sz w:val="24"/>
          <w:szCs w:val="24"/>
        </w:rPr>
        <w:t>markets.</w:t>
      </w:r>
      <w:proofErr w:type="gramEnd"/>
      <w:r>
        <w:rPr>
          <w:rFonts w:ascii="Times New Roman" w:eastAsia="Times New Roman" w:hAnsi="Times New Roman" w:cs="Times New Roman"/>
          <w:color w:val="000000"/>
          <w:sz w:val="24"/>
          <w:szCs w:val="24"/>
        </w:rPr>
        <w:t>” Available at SSRN: https://ssrn.com/abstract=2802640</w:t>
      </w:r>
    </w:p>
    <w:p w14:paraId="6323D81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Groh, A. P. and H. Liechtenstein 2009. “How Attractive is Central Eastern Europe for Risk Capital Investors?” </w:t>
      </w:r>
      <w:r>
        <w:rPr>
          <w:rFonts w:ascii="Times New Roman" w:eastAsia="Times New Roman" w:hAnsi="Times New Roman" w:cs="Times New Roman"/>
          <w:i/>
          <w:sz w:val="24"/>
          <w:szCs w:val="24"/>
        </w:rPr>
        <w:t>Journal of International Money and Finance</w:t>
      </w:r>
      <w:r>
        <w:rPr>
          <w:rFonts w:ascii="Times New Roman" w:eastAsia="Times New Roman" w:hAnsi="Times New Roman" w:cs="Times New Roman"/>
          <w:sz w:val="24"/>
          <w:szCs w:val="24"/>
        </w:rPr>
        <w:t xml:space="preserve"> 28: 625–647.</w:t>
      </w:r>
    </w:p>
    <w:p w14:paraId="71259703"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Guo</w:t>
      </w:r>
      <w:proofErr w:type="spellEnd"/>
      <w:r>
        <w:rPr>
          <w:rFonts w:ascii="Times New Roman" w:eastAsia="Times New Roman" w:hAnsi="Times New Roman" w:cs="Times New Roman"/>
          <w:sz w:val="24"/>
          <w:szCs w:val="24"/>
        </w:rPr>
        <w:t xml:space="preserve">, S., E. S. Hotchkiss, and Song, W. 2011. “Do Buyouts (Still) Create Value?” </w:t>
      </w:r>
      <w:r>
        <w:rPr>
          <w:rFonts w:ascii="Times New Roman" w:eastAsia="Times New Roman" w:hAnsi="Times New Roman" w:cs="Times New Roman"/>
          <w:i/>
          <w:sz w:val="24"/>
          <w:szCs w:val="24"/>
        </w:rPr>
        <w:t>Journal of Finance</w:t>
      </w:r>
      <w:r>
        <w:rPr>
          <w:rFonts w:ascii="Times New Roman" w:eastAsia="Times New Roman" w:hAnsi="Times New Roman" w:cs="Times New Roman"/>
          <w:sz w:val="24"/>
          <w:szCs w:val="24"/>
        </w:rPr>
        <w:t xml:space="preserve"> 66: 479–517.</w:t>
      </w:r>
    </w:p>
    <w:p w14:paraId="4A1F31D2"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 R., D. S. Siegel, and M. Wright. 2005. “Assessing the Impact of Management Buyouts on Economic Efficiency: Plant-level Evidence from the United Kingdom.” </w:t>
      </w:r>
      <w:r>
        <w:rPr>
          <w:rFonts w:ascii="Times New Roman" w:eastAsia="Times New Roman" w:hAnsi="Times New Roman" w:cs="Times New Roman"/>
          <w:i/>
          <w:sz w:val="24"/>
          <w:szCs w:val="24"/>
        </w:rPr>
        <w:t>Review of Economics and Statistics</w:t>
      </w:r>
      <w:r>
        <w:rPr>
          <w:rFonts w:ascii="Times New Roman" w:eastAsia="Times New Roman" w:hAnsi="Times New Roman" w:cs="Times New Roman"/>
          <w:sz w:val="24"/>
          <w:szCs w:val="24"/>
        </w:rPr>
        <w:t xml:space="preserve"> 87: 148-153.</w:t>
      </w:r>
    </w:p>
    <w:p w14:paraId="29C71623"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Harrison, R., C. Mason, and P. Robson. 2010. “Determinants of Long-Distance Investing by Business Angels in the UK.” </w:t>
      </w:r>
      <w:r>
        <w:rPr>
          <w:rFonts w:ascii="Times New Roman" w:eastAsia="Times New Roman" w:hAnsi="Times New Roman" w:cs="Times New Roman"/>
          <w:i/>
          <w:sz w:val="24"/>
          <w:szCs w:val="24"/>
        </w:rPr>
        <w:t>Entrepreneurship and Regional Development</w:t>
      </w:r>
      <w:r>
        <w:rPr>
          <w:rFonts w:ascii="Times New Roman" w:eastAsia="Times New Roman" w:hAnsi="Times New Roman" w:cs="Times New Roman"/>
          <w:sz w:val="24"/>
          <w:szCs w:val="24"/>
        </w:rPr>
        <w:t xml:space="preserve"> 22 (2): 113-137.</w:t>
      </w:r>
    </w:p>
    <w:p w14:paraId="55A9162E"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Hochberg, Y., A. </w:t>
      </w:r>
      <w:proofErr w:type="spellStart"/>
      <w:r>
        <w:rPr>
          <w:rFonts w:ascii="Times New Roman" w:eastAsia="Times New Roman" w:hAnsi="Times New Roman" w:cs="Times New Roman"/>
          <w:sz w:val="24"/>
          <w:szCs w:val="24"/>
        </w:rPr>
        <w:t>Ljungqvist</w:t>
      </w:r>
      <w:proofErr w:type="spellEnd"/>
      <w:r>
        <w:rPr>
          <w:rFonts w:ascii="Times New Roman" w:eastAsia="Times New Roman" w:hAnsi="Times New Roman" w:cs="Times New Roman"/>
          <w:sz w:val="24"/>
          <w:szCs w:val="24"/>
        </w:rPr>
        <w:t xml:space="preserve">, and A. </w:t>
      </w:r>
      <w:proofErr w:type="spellStart"/>
      <w:r>
        <w:rPr>
          <w:rFonts w:ascii="Times New Roman" w:eastAsia="Times New Roman" w:hAnsi="Times New Roman" w:cs="Times New Roman"/>
          <w:sz w:val="24"/>
          <w:szCs w:val="24"/>
        </w:rPr>
        <w:t>Vissing-Jørgensen</w:t>
      </w:r>
      <w:proofErr w:type="spellEnd"/>
      <w:r>
        <w:rPr>
          <w:rFonts w:ascii="Times New Roman" w:eastAsia="Times New Roman" w:hAnsi="Times New Roman" w:cs="Times New Roman"/>
          <w:sz w:val="24"/>
          <w:szCs w:val="24"/>
        </w:rPr>
        <w:t xml:space="preserve">. 2014. “Informational Holdup and Performance Persistence in Venture Capital.” </w:t>
      </w:r>
      <w:r>
        <w:rPr>
          <w:rFonts w:ascii="Times New Roman" w:eastAsia="Times New Roman" w:hAnsi="Times New Roman" w:cs="Times New Roman"/>
          <w:i/>
          <w:sz w:val="24"/>
          <w:szCs w:val="24"/>
        </w:rPr>
        <w:t>Review of Financial Studies</w:t>
      </w:r>
      <w:r>
        <w:rPr>
          <w:rFonts w:ascii="Times New Roman" w:eastAsia="Times New Roman" w:hAnsi="Times New Roman" w:cs="Times New Roman"/>
          <w:sz w:val="24"/>
          <w:szCs w:val="24"/>
        </w:rPr>
        <w:t xml:space="preserve"> 27: 102-152.</w:t>
      </w:r>
    </w:p>
    <w:p w14:paraId="52C4B7E7" w14:textId="77777777" w:rsidR="00605EA7" w:rsidRDefault="005A2565">
      <w:pPr>
        <w:pStyle w:val="Normal1"/>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Hotchkiss E., D. C. Smith, and P. Stromberg. 2012. “Private Equity and the Resolution of Financial Distress.” Research Note 3 in </w:t>
      </w:r>
      <w:hyperlink r:id="rId26">
        <w:r>
          <w:rPr>
            <w:rFonts w:ascii="Times New Roman" w:eastAsia="Times New Roman" w:hAnsi="Times New Roman" w:cs="Times New Roman"/>
            <w:sz w:val="24"/>
            <w:szCs w:val="24"/>
          </w:rPr>
          <w:t>Market Institutions and Financial Market Risk</w:t>
        </w:r>
      </w:hyperlink>
      <w:r>
        <w:rPr>
          <w:rFonts w:ascii="Times New Roman" w:eastAsia="Times New Roman" w:hAnsi="Times New Roman" w:cs="Times New Roman"/>
          <w:sz w:val="24"/>
          <w:szCs w:val="24"/>
        </w:rPr>
        <w:t xml:space="preserve">. NBER. </w:t>
      </w:r>
    </w:p>
    <w:p w14:paraId="5FD006E9"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Jegadeesh</w:t>
      </w:r>
      <w:proofErr w:type="spellEnd"/>
      <w:r>
        <w:rPr>
          <w:rFonts w:ascii="Times New Roman" w:eastAsia="Times New Roman" w:hAnsi="Times New Roman" w:cs="Times New Roman"/>
          <w:sz w:val="24"/>
          <w:szCs w:val="24"/>
        </w:rPr>
        <w:t xml:space="preserve">, N., R. </w:t>
      </w:r>
      <w:proofErr w:type="spellStart"/>
      <w:r>
        <w:rPr>
          <w:rFonts w:ascii="Times New Roman" w:eastAsia="Times New Roman" w:hAnsi="Times New Roman" w:cs="Times New Roman"/>
          <w:sz w:val="24"/>
          <w:szCs w:val="24"/>
        </w:rPr>
        <w:t>Kräussl</w:t>
      </w:r>
      <w:proofErr w:type="spellEnd"/>
      <w:r>
        <w:rPr>
          <w:rFonts w:ascii="Times New Roman" w:eastAsia="Times New Roman" w:hAnsi="Times New Roman" w:cs="Times New Roman"/>
          <w:sz w:val="24"/>
          <w:szCs w:val="24"/>
        </w:rPr>
        <w:t xml:space="preserve">, and J. M. </w:t>
      </w:r>
      <w:proofErr w:type="spellStart"/>
      <w:r>
        <w:rPr>
          <w:rFonts w:ascii="Times New Roman" w:eastAsia="Times New Roman" w:hAnsi="Times New Roman" w:cs="Times New Roman"/>
          <w:sz w:val="24"/>
          <w:szCs w:val="24"/>
        </w:rPr>
        <w:t>Pollet</w:t>
      </w:r>
      <w:proofErr w:type="spellEnd"/>
      <w:r>
        <w:rPr>
          <w:rFonts w:ascii="Times New Roman" w:eastAsia="Times New Roman" w:hAnsi="Times New Roman" w:cs="Times New Roman"/>
          <w:sz w:val="24"/>
          <w:szCs w:val="24"/>
        </w:rPr>
        <w:t xml:space="preserve">. 2015. “Risk and Expected Returns of Private Equity Investments: Evidence Based on Market Prices.” </w:t>
      </w:r>
      <w:r>
        <w:rPr>
          <w:rFonts w:ascii="Times New Roman" w:eastAsia="Times New Roman" w:hAnsi="Times New Roman" w:cs="Times New Roman"/>
          <w:i/>
          <w:sz w:val="24"/>
          <w:szCs w:val="24"/>
        </w:rPr>
        <w:t>Review of Financial Studies</w:t>
      </w:r>
      <w:r>
        <w:rPr>
          <w:rFonts w:ascii="Times New Roman" w:eastAsia="Times New Roman" w:hAnsi="Times New Roman" w:cs="Times New Roman"/>
          <w:sz w:val="24"/>
          <w:szCs w:val="24"/>
        </w:rPr>
        <w:t xml:space="preserve"> 28: 3269-3302.</w:t>
      </w:r>
    </w:p>
    <w:p w14:paraId="4AA60B5C"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Jelic</w:t>
      </w:r>
      <w:proofErr w:type="spellEnd"/>
      <w:r>
        <w:rPr>
          <w:rFonts w:ascii="Times New Roman" w:eastAsia="Times New Roman" w:hAnsi="Times New Roman" w:cs="Times New Roman"/>
          <w:color w:val="000000"/>
          <w:sz w:val="24"/>
          <w:szCs w:val="24"/>
        </w:rPr>
        <w:t>, R. and M. Wright. 2011. “Exits, Performance, and Late Stage Private Equity: the Case of UK Management Buy</w:t>
      </w:r>
      <w:r>
        <w:rPr>
          <w:rFonts w:ascii="Cambria" w:eastAsia="Cambria" w:hAnsi="Cambria" w:cs="Cambria"/>
          <w:color w:val="000000"/>
          <w:sz w:val="24"/>
          <w:szCs w:val="24"/>
        </w:rPr>
        <w:t>‐</w:t>
      </w:r>
      <w:r>
        <w:rPr>
          <w:rFonts w:ascii="Times New Roman" w:eastAsia="Times New Roman" w:hAnsi="Times New Roman" w:cs="Times New Roman"/>
          <w:color w:val="000000"/>
          <w:sz w:val="24"/>
          <w:szCs w:val="24"/>
        </w:rPr>
        <w:t xml:space="preserve">outs.” </w:t>
      </w:r>
      <w:r>
        <w:rPr>
          <w:rFonts w:ascii="Times New Roman" w:eastAsia="Times New Roman" w:hAnsi="Times New Roman" w:cs="Times New Roman"/>
          <w:i/>
          <w:color w:val="000000"/>
          <w:sz w:val="24"/>
          <w:szCs w:val="24"/>
        </w:rPr>
        <w:t>European Financial Management</w:t>
      </w:r>
      <w:r>
        <w:rPr>
          <w:rFonts w:ascii="Times New Roman" w:eastAsia="Times New Roman" w:hAnsi="Times New Roman" w:cs="Times New Roman"/>
          <w:color w:val="000000"/>
          <w:sz w:val="24"/>
          <w:szCs w:val="24"/>
        </w:rPr>
        <w:t xml:space="preserve"> 17: 560-593.</w:t>
      </w:r>
    </w:p>
    <w:p w14:paraId="5F0EA5C8" w14:textId="77777777" w:rsidR="00605EA7" w:rsidRDefault="005A2565">
      <w:pPr>
        <w:pStyle w:val="Normal1"/>
        <w:widowControl w:val="0"/>
        <w:pBdr>
          <w:top w:val="nil"/>
          <w:left w:val="nil"/>
          <w:bottom w:val="nil"/>
          <w:right w:val="nil"/>
          <w:between w:val="nil"/>
        </w:pBdr>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Jensen, M. C. 1989. “Eclipse of the Public Corporation.” </w:t>
      </w:r>
      <w:r>
        <w:rPr>
          <w:rFonts w:ascii="Times New Roman" w:eastAsia="Times New Roman" w:hAnsi="Times New Roman" w:cs="Times New Roman"/>
          <w:i/>
          <w:color w:val="000000"/>
          <w:sz w:val="24"/>
          <w:szCs w:val="24"/>
        </w:rPr>
        <w:t>Harvard Business Review</w:t>
      </w:r>
      <w:r>
        <w:rPr>
          <w:rFonts w:ascii="Times New Roman" w:eastAsia="Times New Roman" w:hAnsi="Times New Roman" w:cs="Times New Roman"/>
          <w:color w:val="000000"/>
          <w:sz w:val="24"/>
          <w:szCs w:val="24"/>
        </w:rPr>
        <w:t xml:space="preserve"> 67(5): 61-74.</w:t>
      </w:r>
    </w:p>
    <w:p w14:paraId="4FFACFEF"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Kaplan, S. 1991. “The Staying Power of Leveraged Buyouts.”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29: 287-314.</w:t>
      </w:r>
    </w:p>
    <w:p w14:paraId="6407DB5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Kaplan S. and A. </w:t>
      </w:r>
      <w:proofErr w:type="spellStart"/>
      <w:r>
        <w:rPr>
          <w:rFonts w:ascii="Times New Roman" w:eastAsia="Times New Roman" w:hAnsi="Times New Roman" w:cs="Times New Roman"/>
          <w:sz w:val="24"/>
          <w:szCs w:val="24"/>
        </w:rPr>
        <w:t>Schoar</w:t>
      </w:r>
      <w:proofErr w:type="spellEnd"/>
      <w:r>
        <w:rPr>
          <w:rFonts w:ascii="Times New Roman" w:eastAsia="Times New Roman" w:hAnsi="Times New Roman" w:cs="Times New Roman"/>
          <w:sz w:val="24"/>
          <w:szCs w:val="24"/>
        </w:rPr>
        <w:t xml:space="preserve">. 2005. “Private Equity Performance: Returns, Persistence, and Capital Flows.” </w:t>
      </w:r>
      <w:r>
        <w:rPr>
          <w:rFonts w:ascii="Times New Roman" w:eastAsia="Times New Roman" w:hAnsi="Times New Roman" w:cs="Times New Roman"/>
          <w:i/>
          <w:sz w:val="24"/>
          <w:szCs w:val="24"/>
        </w:rPr>
        <w:t>Journal of Finance</w:t>
      </w:r>
      <w:r>
        <w:rPr>
          <w:rFonts w:ascii="Times New Roman" w:eastAsia="Times New Roman" w:hAnsi="Times New Roman" w:cs="Times New Roman"/>
          <w:sz w:val="24"/>
          <w:szCs w:val="24"/>
        </w:rPr>
        <w:t xml:space="preserve"> 60: 1791–1822.</w:t>
      </w:r>
    </w:p>
    <w:p w14:paraId="1C767871"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Korteweg</w:t>
      </w:r>
      <w:proofErr w:type="spellEnd"/>
      <w:r>
        <w:rPr>
          <w:rFonts w:ascii="Times New Roman" w:eastAsia="Times New Roman" w:hAnsi="Times New Roman" w:cs="Times New Roman"/>
          <w:sz w:val="24"/>
          <w:szCs w:val="24"/>
        </w:rPr>
        <w:t xml:space="preserve">, A. and M. Sorensen. 2017. “Skill and luck in private equity performance”.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124(3): 535-562.</w:t>
      </w:r>
    </w:p>
    <w:p w14:paraId="07F746BE"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Lerner, J, A. </w:t>
      </w:r>
      <w:proofErr w:type="spellStart"/>
      <w:r>
        <w:rPr>
          <w:rFonts w:ascii="Times New Roman" w:eastAsia="Times New Roman" w:hAnsi="Times New Roman" w:cs="Times New Roman"/>
          <w:sz w:val="24"/>
          <w:szCs w:val="24"/>
        </w:rPr>
        <w:t>Schoar</w:t>
      </w:r>
      <w:proofErr w:type="spellEnd"/>
      <w:r>
        <w:rPr>
          <w:rFonts w:ascii="Times New Roman" w:eastAsia="Times New Roman" w:hAnsi="Times New Roman" w:cs="Times New Roman"/>
          <w:sz w:val="24"/>
          <w:szCs w:val="24"/>
        </w:rPr>
        <w:t xml:space="preserve">, and W. </w:t>
      </w:r>
      <w:proofErr w:type="spellStart"/>
      <w:r>
        <w:rPr>
          <w:rFonts w:ascii="Times New Roman" w:eastAsia="Times New Roman" w:hAnsi="Times New Roman" w:cs="Times New Roman"/>
          <w:sz w:val="24"/>
          <w:szCs w:val="24"/>
        </w:rPr>
        <w:t>Wongsunwai</w:t>
      </w:r>
      <w:proofErr w:type="spellEnd"/>
      <w:r>
        <w:rPr>
          <w:rFonts w:ascii="Times New Roman" w:eastAsia="Times New Roman" w:hAnsi="Times New Roman" w:cs="Times New Roman"/>
          <w:sz w:val="24"/>
          <w:szCs w:val="24"/>
        </w:rPr>
        <w:t xml:space="preserve">. 2007. “Smart Institutions, Foolish Choices: The Limited Partner Performance Puzzle.” </w:t>
      </w:r>
      <w:r>
        <w:rPr>
          <w:rFonts w:ascii="Times New Roman" w:eastAsia="Times New Roman" w:hAnsi="Times New Roman" w:cs="Times New Roman"/>
          <w:i/>
          <w:sz w:val="24"/>
          <w:szCs w:val="24"/>
        </w:rPr>
        <w:t>Journal of Finance</w:t>
      </w:r>
      <w:r>
        <w:rPr>
          <w:rFonts w:ascii="Times New Roman" w:eastAsia="Times New Roman" w:hAnsi="Times New Roman" w:cs="Times New Roman"/>
          <w:sz w:val="24"/>
          <w:szCs w:val="24"/>
        </w:rPr>
        <w:t xml:space="preserve"> 62: 731-764.</w:t>
      </w:r>
    </w:p>
    <w:p w14:paraId="3461A9A3"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Lerner, J., M. Sorensen, and P. Stromberg. 2011. “Private Equity and Long-Run Investment: The Case of Innovation.” </w:t>
      </w:r>
      <w:r>
        <w:rPr>
          <w:rFonts w:ascii="Times New Roman" w:eastAsia="Times New Roman" w:hAnsi="Times New Roman" w:cs="Times New Roman"/>
          <w:i/>
          <w:sz w:val="24"/>
          <w:szCs w:val="24"/>
        </w:rPr>
        <w:t>Journal of Finance</w:t>
      </w:r>
      <w:r>
        <w:rPr>
          <w:rFonts w:ascii="Times New Roman" w:eastAsia="Times New Roman" w:hAnsi="Times New Roman" w:cs="Times New Roman"/>
          <w:sz w:val="24"/>
          <w:szCs w:val="24"/>
        </w:rPr>
        <w:t xml:space="preserve"> 66, 445-477.</w:t>
      </w:r>
    </w:p>
    <w:p w14:paraId="21B5980D"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Lichtenberg, F. R. and D. Siegel. 1990. “The Effects of Leveraged Buyouts on Productivity and Related Aspects of Firm Behaviour.”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27: 165-194.</w:t>
      </w:r>
    </w:p>
    <w:p w14:paraId="4E96E94A"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Lockett, A., M. Wright, A. Burrows, L. M. Scholes, D. and Paton. 2008. “The Export Intensity of Venture Backed Companies.” </w:t>
      </w:r>
      <w:r>
        <w:rPr>
          <w:rFonts w:ascii="Times New Roman" w:eastAsia="Times New Roman" w:hAnsi="Times New Roman" w:cs="Times New Roman"/>
          <w:i/>
          <w:sz w:val="24"/>
          <w:szCs w:val="24"/>
        </w:rPr>
        <w:t>Small Business Economics</w:t>
      </w:r>
      <w:r>
        <w:rPr>
          <w:rFonts w:ascii="Times New Roman" w:eastAsia="Times New Roman" w:hAnsi="Times New Roman" w:cs="Times New Roman"/>
          <w:sz w:val="24"/>
          <w:szCs w:val="24"/>
        </w:rPr>
        <w:t xml:space="preserve"> 31: 39-58.</w:t>
      </w:r>
    </w:p>
    <w:p w14:paraId="0E808910"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Long, W. F. and D. J. </w:t>
      </w:r>
      <w:proofErr w:type="spellStart"/>
      <w:r>
        <w:rPr>
          <w:rFonts w:ascii="Times New Roman" w:eastAsia="Times New Roman" w:hAnsi="Times New Roman" w:cs="Times New Roman"/>
          <w:sz w:val="24"/>
          <w:szCs w:val="24"/>
        </w:rPr>
        <w:t>Ravenscraft</w:t>
      </w:r>
      <w:proofErr w:type="spellEnd"/>
      <w:r>
        <w:rPr>
          <w:rFonts w:ascii="Times New Roman" w:eastAsia="Times New Roman" w:hAnsi="Times New Roman" w:cs="Times New Roman"/>
          <w:sz w:val="24"/>
          <w:szCs w:val="24"/>
        </w:rPr>
        <w:t xml:space="preserve">. 1993. “LBOs, Debt and R&amp;D Intensity.” </w:t>
      </w:r>
      <w:r>
        <w:rPr>
          <w:rFonts w:ascii="Times New Roman" w:eastAsia="Times New Roman" w:hAnsi="Times New Roman" w:cs="Times New Roman"/>
          <w:i/>
          <w:sz w:val="24"/>
          <w:szCs w:val="24"/>
        </w:rPr>
        <w:t>Strategic Management Journal</w:t>
      </w:r>
      <w:r>
        <w:rPr>
          <w:rFonts w:ascii="Times New Roman" w:eastAsia="Times New Roman" w:hAnsi="Times New Roman" w:cs="Times New Roman"/>
          <w:sz w:val="24"/>
          <w:szCs w:val="24"/>
        </w:rPr>
        <w:t xml:space="preserve"> 14 (S1): 119-135.</w:t>
      </w:r>
    </w:p>
    <w:p w14:paraId="7416E1BB"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Lopez-de-</w:t>
      </w:r>
      <w:proofErr w:type="spellStart"/>
      <w:r>
        <w:rPr>
          <w:rFonts w:ascii="Times New Roman" w:eastAsia="Times New Roman" w:hAnsi="Times New Roman" w:cs="Times New Roman"/>
          <w:color w:val="000000"/>
          <w:sz w:val="24"/>
          <w:szCs w:val="24"/>
        </w:rPr>
        <w:t>Silanes</w:t>
      </w:r>
      <w:proofErr w:type="spellEnd"/>
      <w:r>
        <w:rPr>
          <w:rFonts w:ascii="Times New Roman" w:eastAsia="Times New Roman" w:hAnsi="Times New Roman" w:cs="Times New Roman"/>
          <w:color w:val="000000"/>
          <w:sz w:val="24"/>
          <w:szCs w:val="24"/>
        </w:rPr>
        <w:t xml:space="preserve">, F., L. </w:t>
      </w:r>
      <w:proofErr w:type="spellStart"/>
      <w:r>
        <w:rPr>
          <w:rFonts w:ascii="Times New Roman" w:eastAsia="Times New Roman" w:hAnsi="Times New Roman" w:cs="Times New Roman"/>
          <w:color w:val="000000"/>
          <w:sz w:val="24"/>
          <w:szCs w:val="24"/>
        </w:rPr>
        <w:t>Phalippou</w:t>
      </w:r>
      <w:proofErr w:type="spellEnd"/>
      <w:r>
        <w:rPr>
          <w:rFonts w:ascii="Times New Roman" w:eastAsia="Times New Roman" w:hAnsi="Times New Roman" w:cs="Times New Roman"/>
          <w:color w:val="000000"/>
          <w:sz w:val="24"/>
          <w:szCs w:val="24"/>
        </w:rPr>
        <w:t xml:space="preserve">, and O. </w:t>
      </w:r>
      <w:proofErr w:type="spellStart"/>
      <w:r>
        <w:rPr>
          <w:rFonts w:ascii="Times New Roman" w:eastAsia="Times New Roman" w:hAnsi="Times New Roman" w:cs="Times New Roman"/>
          <w:color w:val="000000"/>
          <w:sz w:val="24"/>
          <w:szCs w:val="24"/>
        </w:rPr>
        <w:t>Gottschalg</w:t>
      </w:r>
      <w:proofErr w:type="spellEnd"/>
      <w:r>
        <w:rPr>
          <w:rFonts w:ascii="Times New Roman" w:eastAsia="Times New Roman" w:hAnsi="Times New Roman" w:cs="Times New Roman"/>
          <w:color w:val="000000"/>
          <w:sz w:val="24"/>
          <w:szCs w:val="24"/>
        </w:rPr>
        <w:t xml:space="preserve">. 2015. “Giants at the Gate: Investment Returns and </w:t>
      </w:r>
      <w:r>
        <w:rPr>
          <w:rFonts w:ascii="Times New Roman" w:eastAsia="Times New Roman" w:hAnsi="Times New Roman" w:cs="Times New Roman"/>
          <w:sz w:val="24"/>
          <w:szCs w:val="24"/>
        </w:rPr>
        <w:t xml:space="preserve">Diseconomies of Scale in Private Equity.” </w:t>
      </w:r>
      <w:r>
        <w:rPr>
          <w:rFonts w:ascii="Times New Roman" w:eastAsia="Times New Roman" w:hAnsi="Times New Roman" w:cs="Times New Roman"/>
          <w:i/>
          <w:sz w:val="24"/>
          <w:szCs w:val="24"/>
        </w:rPr>
        <w:t>Journal of Financial and Quantitative Analysis</w:t>
      </w:r>
      <w:r>
        <w:rPr>
          <w:rFonts w:ascii="Times New Roman" w:eastAsia="Times New Roman" w:hAnsi="Times New Roman" w:cs="Times New Roman"/>
          <w:sz w:val="24"/>
          <w:szCs w:val="24"/>
        </w:rPr>
        <w:t xml:space="preserve"> 50: 377–411.</w:t>
      </w:r>
    </w:p>
    <w:p w14:paraId="2CDEC89B" w14:textId="77777777" w:rsidR="00605EA7" w:rsidRDefault="005A2565">
      <w:pPr>
        <w:pStyle w:val="Normal1"/>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Magnuson, W. J. Forthcoming. “The Public Cost of Private Equity.” </w:t>
      </w:r>
      <w:r>
        <w:rPr>
          <w:rFonts w:ascii="Times New Roman" w:eastAsia="Times New Roman" w:hAnsi="Times New Roman" w:cs="Times New Roman"/>
          <w:i/>
          <w:color w:val="000000"/>
          <w:sz w:val="24"/>
          <w:szCs w:val="24"/>
        </w:rPr>
        <w:t>Minnesota Law Review</w:t>
      </w:r>
      <w:r>
        <w:rPr>
          <w:rFonts w:ascii="Times New Roman" w:eastAsia="Times New Roman" w:hAnsi="Times New Roman" w:cs="Times New Roman"/>
          <w:color w:val="000000"/>
          <w:sz w:val="24"/>
          <w:szCs w:val="24"/>
        </w:rPr>
        <w:t xml:space="preserve"> 102.</w:t>
      </w:r>
    </w:p>
    <w:p w14:paraId="79C2BDF1"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Martin, R.L., A. Pike, P. Tyler, and B Gardiner. 2015. </w:t>
      </w:r>
      <w:r>
        <w:rPr>
          <w:rFonts w:ascii="Times New Roman" w:eastAsia="Times New Roman" w:hAnsi="Times New Roman" w:cs="Times New Roman"/>
          <w:i/>
          <w:sz w:val="24"/>
          <w:szCs w:val="24"/>
        </w:rPr>
        <w:t>Spatial Rebalancing the UK Economy: the Need for a New Policy Model.</w:t>
      </w:r>
      <w:r>
        <w:rPr>
          <w:rFonts w:ascii="Times New Roman" w:eastAsia="Times New Roman" w:hAnsi="Times New Roman" w:cs="Times New Roman"/>
          <w:sz w:val="24"/>
          <w:szCs w:val="24"/>
        </w:rPr>
        <w:t xml:space="preserve"> Regional Studies Association.</w:t>
      </w:r>
    </w:p>
    <w:p w14:paraId="3EFDCC60"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Mason, C. and R. Harrison. 2003. “Closing the Regional Equity Gap? A Critique of the Department of Trade and Industry's Regional Venture Capital Funds Initiative.” </w:t>
      </w:r>
      <w:r>
        <w:rPr>
          <w:rFonts w:ascii="Times New Roman" w:eastAsia="Times New Roman" w:hAnsi="Times New Roman" w:cs="Times New Roman"/>
          <w:i/>
          <w:sz w:val="24"/>
          <w:szCs w:val="24"/>
        </w:rPr>
        <w:t>Regional Studies</w:t>
      </w:r>
      <w:r>
        <w:rPr>
          <w:rFonts w:ascii="Times New Roman" w:eastAsia="Times New Roman" w:hAnsi="Times New Roman" w:cs="Times New Roman"/>
          <w:sz w:val="24"/>
          <w:szCs w:val="24"/>
        </w:rPr>
        <w:t xml:space="preserve"> 37: 855-868.</w:t>
      </w:r>
    </w:p>
    <w:p w14:paraId="2996423D" w14:textId="77777777" w:rsidR="00605EA7" w:rsidRDefault="005A2565">
      <w:pPr>
        <w:pStyle w:val="Normal1"/>
        <w:spacing w:after="24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Mason, C. and R. Harrison. 2006.  “After the Exit: Acquisitions, Entrepreneurial Re-Cycling and Regional Economic Development.” </w:t>
      </w:r>
      <w:r>
        <w:rPr>
          <w:rFonts w:ascii="Times New Roman" w:eastAsia="Times New Roman" w:hAnsi="Times New Roman" w:cs="Times New Roman"/>
          <w:i/>
          <w:color w:val="000000"/>
          <w:sz w:val="24"/>
          <w:szCs w:val="24"/>
        </w:rPr>
        <w:t xml:space="preserve">Regional Studies </w:t>
      </w:r>
      <w:r>
        <w:rPr>
          <w:rFonts w:ascii="Times New Roman" w:eastAsia="Times New Roman" w:hAnsi="Times New Roman" w:cs="Times New Roman"/>
          <w:color w:val="000000"/>
          <w:sz w:val="24"/>
          <w:szCs w:val="24"/>
        </w:rPr>
        <w:t>40:</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55-73.</w:t>
      </w:r>
    </w:p>
    <w:p w14:paraId="0477DCF4" w14:textId="77777777" w:rsidR="00605EA7" w:rsidRDefault="005A2565">
      <w:pPr>
        <w:pStyle w:val="Normal1"/>
        <w:spacing w:after="240" w:line="240" w:lineRule="auto"/>
        <w:ind w:left="567" w:hanging="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Mason, C. and Y. </w:t>
      </w:r>
      <w:proofErr w:type="spellStart"/>
      <w:r>
        <w:rPr>
          <w:rFonts w:ascii="Times New Roman" w:eastAsia="Times New Roman" w:hAnsi="Times New Roman" w:cs="Times New Roman"/>
          <w:sz w:val="24"/>
          <w:szCs w:val="24"/>
        </w:rPr>
        <w:t>Pierrakis</w:t>
      </w:r>
      <w:proofErr w:type="spellEnd"/>
      <w:r>
        <w:rPr>
          <w:rFonts w:ascii="Times New Roman" w:eastAsia="Times New Roman" w:hAnsi="Times New Roman" w:cs="Times New Roman"/>
          <w:sz w:val="24"/>
          <w:szCs w:val="24"/>
        </w:rPr>
        <w:t xml:space="preserve">.  2013. “Venture Capital, the Regions and Public Policy: The United Kingdom Since the post-2000 Technology Crash.” </w:t>
      </w:r>
      <w:r>
        <w:rPr>
          <w:rFonts w:ascii="Times New Roman" w:eastAsia="Times New Roman" w:hAnsi="Times New Roman" w:cs="Times New Roman"/>
          <w:i/>
          <w:sz w:val="24"/>
          <w:szCs w:val="24"/>
        </w:rPr>
        <w:t xml:space="preserve">Regional Studies </w:t>
      </w:r>
      <w:r>
        <w:rPr>
          <w:rFonts w:ascii="Times New Roman" w:eastAsia="Times New Roman" w:hAnsi="Times New Roman" w:cs="Times New Roman"/>
          <w:sz w:val="24"/>
          <w:szCs w:val="24"/>
        </w:rPr>
        <w:t>47: 1156-1171</w:t>
      </w:r>
    </w:p>
    <w:p w14:paraId="0564385D"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Meuleman</w:t>
      </w:r>
      <w:proofErr w:type="spellEnd"/>
      <w:r>
        <w:rPr>
          <w:rFonts w:ascii="Times New Roman" w:eastAsia="Times New Roman" w:hAnsi="Times New Roman" w:cs="Times New Roman"/>
          <w:sz w:val="24"/>
          <w:szCs w:val="24"/>
        </w:rPr>
        <w:t xml:space="preserve">, M., K.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M. Wright, and L. Scholes. 2009. “Agency, Strategic Entrepreneurship, and the Performance of Private Equity-Backed Buyouts.” </w:t>
      </w:r>
      <w:r>
        <w:rPr>
          <w:rFonts w:ascii="Times New Roman" w:eastAsia="Times New Roman" w:hAnsi="Times New Roman" w:cs="Times New Roman"/>
          <w:i/>
          <w:sz w:val="24"/>
          <w:szCs w:val="24"/>
        </w:rPr>
        <w:t>Entrepreneurship: Theory &amp; Practice</w:t>
      </w:r>
      <w:r>
        <w:rPr>
          <w:rFonts w:ascii="Times New Roman" w:eastAsia="Times New Roman" w:hAnsi="Times New Roman" w:cs="Times New Roman"/>
          <w:sz w:val="24"/>
          <w:szCs w:val="24"/>
        </w:rPr>
        <w:t xml:space="preserve"> 33: 213-239.</w:t>
      </w:r>
    </w:p>
    <w:p w14:paraId="70D2F25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Meuleman</w:t>
      </w:r>
      <w:proofErr w:type="spellEnd"/>
      <w:r>
        <w:rPr>
          <w:rFonts w:ascii="Times New Roman" w:eastAsia="Times New Roman" w:hAnsi="Times New Roman" w:cs="Times New Roman"/>
          <w:color w:val="000000"/>
          <w:sz w:val="24"/>
          <w:szCs w:val="24"/>
        </w:rPr>
        <w:t xml:space="preserve">, M. and Wright, M. 2011. “Cross-border private equity syndication: institutional context and learning.” </w:t>
      </w:r>
      <w:r>
        <w:rPr>
          <w:rFonts w:ascii="Times New Roman" w:eastAsia="Times New Roman" w:hAnsi="Times New Roman" w:cs="Times New Roman"/>
          <w:i/>
          <w:color w:val="000000"/>
          <w:sz w:val="24"/>
          <w:szCs w:val="24"/>
        </w:rPr>
        <w:t>Journal of Business Venturing</w:t>
      </w:r>
      <w:r>
        <w:rPr>
          <w:rFonts w:ascii="Times New Roman" w:eastAsia="Times New Roman" w:hAnsi="Times New Roman" w:cs="Times New Roman"/>
          <w:color w:val="000000"/>
          <w:sz w:val="24"/>
          <w:szCs w:val="24"/>
        </w:rPr>
        <w:t>, 26:35–48.</w:t>
      </w:r>
    </w:p>
    <w:p w14:paraId="67A7FA66"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Mueller, C., P. </w:t>
      </w:r>
      <w:proofErr w:type="spellStart"/>
      <w:r>
        <w:rPr>
          <w:rFonts w:ascii="Times New Roman" w:eastAsia="Times New Roman" w:hAnsi="Times New Roman" w:cs="Times New Roman"/>
          <w:sz w:val="24"/>
          <w:szCs w:val="24"/>
        </w:rPr>
        <w:t>Westhead</w:t>
      </w:r>
      <w:proofErr w:type="spellEnd"/>
      <w:r>
        <w:rPr>
          <w:rFonts w:ascii="Times New Roman" w:eastAsia="Times New Roman" w:hAnsi="Times New Roman" w:cs="Times New Roman"/>
          <w:sz w:val="24"/>
          <w:szCs w:val="24"/>
        </w:rPr>
        <w:t>, and M. Wright. 2012. “</w:t>
      </w:r>
      <w:hyperlink r:id="rId27">
        <w:r>
          <w:rPr>
            <w:rFonts w:ascii="Times New Roman" w:eastAsia="Times New Roman" w:hAnsi="Times New Roman" w:cs="Times New Roman"/>
            <w:color w:val="000000"/>
            <w:sz w:val="24"/>
            <w:szCs w:val="24"/>
          </w:rPr>
          <w:t>Formal Venture Capital Acquisition: Can Entrepreneurs Compensate for the Spatial Proximity Benefits of South East England and 'Star' Golden-Triangle Universities?</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Environment and Planning </w:t>
      </w:r>
      <w:proofErr w:type="gramStart"/>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xml:space="preserve">  44</w:t>
      </w:r>
      <w:proofErr w:type="gramEnd"/>
      <w:r>
        <w:rPr>
          <w:rFonts w:ascii="Times New Roman" w:eastAsia="Times New Roman" w:hAnsi="Times New Roman" w:cs="Times New Roman"/>
          <w:sz w:val="24"/>
          <w:szCs w:val="24"/>
        </w:rPr>
        <w:t>: 281-296.</w:t>
      </w:r>
    </w:p>
    <w:p w14:paraId="323E1291"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Olsson, M. and J. </w:t>
      </w:r>
      <w:proofErr w:type="spellStart"/>
      <w:r>
        <w:rPr>
          <w:rFonts w:ascii="Times New Roman" w:eastAsia="Times New Roman" w:hAnsi="Times New Roman" w:cs="Times New Roman"/>
          <w:sz w:val="24"/>
          <w:szCs w:val="24"/>
        </w:rPr>
        <w:t>Tåg</w:t>
      </w:r>
      <w:proofErr w:type="spellEnd"/>
      <w:r>
        <w:rPr>
          <w:rFonts w:ascii="Times New Roman" w:eastAsia="Times New Roman" w:hAnsi="Times New Roman" w:cs="Times New Roman"/>
          <w:sz w:val="24"/>
          <w:szCs w:val="24"/>
        </w:rPr>
        <w:t xml:space="preserve">. 2017. “Private Equity, </w:t>
      </w:r>
      <w:proofErr w:type="spellStart"/>
      <w:r>
        <w:rPr>
          <w:rFonts w:ascii="Times New Roman" w:eastAsia="Times New Roman" w:hAnsi="Times New Roman" w:cs="Times New Roman"/>
          <w:sz w:val="24"/>
          <w:szCs w:val="24"/>
        </w:rPr>
        <w:t>Lay offs</w:t>
      </w:r>
      <w:proofErr w:type="spellEnd"/>
      <w:r>
        <w:rPr>
          <w:rFonts w:ascii="Times New Roman" w:eastAsia="Times New Roman" w:hAnsi="Times New Roman" w:cs="Times New Roman"/>
          <w:sz w:val="24"/>
          <w:szCs w:val="24"/>
        </w:rPr>
        <w:t xml:space="preserve"> and Job Polarization.” </w:t>
      </w:r>
      <w:r>
        <w:rPr>
          <w:rFonts w:ascii="Times New Roman" w:eastAsia="Times New Roman" w:hAnsi="Times New Roman" w:cs="Times New Roman"/>
          <w:i/>
          <w:sz w:val="24"/>
          <w:szCs w:val="24"/>
        </w:rPr>
        <w:t xml:space="preserve">Journal of </w:t>
      </w:r>
      <w:proofErr w:type="spellStart"/>
      <w:r>
        <w:rPr>
          <w:rFonts w:ascii="Times New Roman" w:eastAsia="Times New Roman" w:hAnsi="Times New Roman" w:cs="Times New Roman"/>
          <w:i/>
          <w:sz w:val="24"/>
          <w:szCs w:val="24"/>
        </w:rPr>
        <w:t>Labor</w:t>
      </w:r>
      <w:proofErr w:type="spellEnd"/>
      <w:r>
        <w:rPr>
          <w:rFonts w:ascii="Times New Roman" w:eastAsia="Times New Roman" w:hAnsi="Times New Roman" w:cs="Times New Roman"/>
          <w:i/>
          <w:sz w:val="24"/>
          <w:szCs w:val="24"/>
        </w:rPr>
        <w:t xml:space="preserve"> Economics</w:t>
      </w:r>
      <w:r>
        <w:rPr>
          <w:rFonts w:ascii="Times New Roman" w:eastAsia="Times New Roman" w:hAnsi="Times New Roman" w:cs="Times New Roman"/>
          <w:sz w:val="24"/>
          <w:szCs w:val="24"/>
        </w:rPr>
        <w:t xml:space="preserve"> 35: 697-754.</w:t>
      </w:r>
    </w:p>
    <w:p w14:paraId="125B13A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L. 2014. “Performance of Buyout Funds Revisited?” </w:t>
      </w:r>
      <w:r>
        <w:rPr>
          <w:rFonts w:ascii="Times New Roman" w:eastAsia="Times New Roman" w:hAnsi="Times New Roman" w:cs="Times New Roman"/>
          <w:i/>
          <w:sz w:val="24"/>
          <w:szCs w:val="24"/>
        </w:rPr>
        <w:t>Review of Finance</w:t>
      </w:r>
      <w:r>
        <w:rPr>
          <w:rFonts w:ascii="Times New Roman" w:eastAsia="Times New Roman" w:hAnsi="Times New Roman" w:cs="Times New Roman"/>
          <w:sz w:val="24"/>
          <w:szCs w:val="24"/>
        </w:rPr>
        <w:t xml:space="preserve"> 18: 189-218.</w:t>
      </w:r>
    </w:p>
    <w:p w14:paraId="4B0DB260"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L. and O. </w:t>
      </w:r>
      <w:proofErr w:type="spellStart"/>
      <w:r>
        <w:rPr>
          <w:rFonts w:ascii="Times New Roman" w:eastAsia="Times New Roman" w:hAnsi="Times New Roman" w:cs="Times New Roman"/>
          <w:sz w:val="24"/>
          <w:szCs w:val="24"/>
        </w:rPr>
        <w:t>Gottschalg</w:t>
      </w:r>
      <w:proofErr w:type="spellEnd"/>
      <w:r>
        <w:rPr>
          <w:rFonts w:ascii="Times New Roman" w:eastAsia="Times New Roman" w:hAnsi="Times New Roman" w:cs="Times New Roman"/>
          <w:sz w:val="24"/>
          <w:szCs w:val="24"/>
        </w:rPr>
        <w:t xml:space="preserve">. 2009. “The Performance of Private Equity Funds.” </w:t>
      </w:r>
      <w:r>
        <w:rPr>
          <w:rFonts w:ascii="Times New Roman" w:eastAsia="Times New Roman" w:hAnsi="Times New Roman" w:cs="Times New Roman"/>
          <w:i/>
          <w:sz w:val="24"/>
          <w:szCs w:val="24"/>
        </w:rPr>
        <w:t>Review of Financial Studies</w:t>
      </w:r>
      <w:r>
        <w:rPr>
          <w:rFonts w:ascii="Times New Roman" w:eastAsia="Times New Roman" w:hAnsi="Times New Roman" w:cs="Times New Roman"/>
          <w:sz w:val="24"/>
          <w:szCs w:val="24"/>
        </w:rPr>
        <w:t xml:space="preserve"> 22: 1747-1776.</w:t>
      </w:r>
    </w:p>
    <w:p w14:paraId="6780FC5E"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Phalippou</w:t>
      </w:r>
      <w:proofErr w:type="spellEnd"/>
      <w:r>
        <w:rPr>
          <w:rFonts w:ascii="Times New Roman" w:eastAsia="Times New Roman" w:hAnsi="Times New Roman" w:cs="Times New Roman"/>
          <w:sz w:val="24"/>
          <w:szCs w:val="24"/>
        </w:rPr>
        <w:t xml:space="preserve">, L., C. Rauch, and M. Umber. Forthcoming. “Transaction Fees and Monitoring Fees in Private Equity.”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w:t>
      </w:r>
    </w:p>
    <w:p w14:paraId="5A5E86C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Rappaport, A. 1990. “The Staying Power of the Public Corporation.” </w:t>
      </w:r>
      <w:r>
        <w:rPr>
          <w:rFonts w:ascii="Times New Roman" w:eastAsia="Times New Roman" w:hAnsi="Times New Roman" w:cs="Times New Roman"/>
          <w:i/>
          <w:sz w:val="24"/>
          <w:szCs w:val="24"/>
        </w:rPr>
        <w:t>Harvard Business Review</w:t>
      </w:r>
      <w:r>
        <w:rPr>
          <w:rFonts w:ascii="Times New Roman" w:eastAsia="Times New Roman" w:hAnsi="Times New Roman" w:cs="Times New Roman"/>
          <w:sz w:val="24"/>
          <w:szCs w:val="24"/>
        </w:rPr>
        <w:t xml:space="preserve"> 68(1): 96-104.</w:t>
      </w:r>
    </w:p>
    <w:p w14:paraId="776557F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Roy, P. 2015. “Maximizing Value in the Real Estate Private Equity Space: Expansion, Competition, and Alliance.” Journal of Private Equity, 18 (2): 59-70. </w:t>
      </w:r>
    </w:p>
    <w:p w14:paraId="05EC3FC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Scellato</w:t>
      </w:r>
      <w:proofErr w:type="spellEnd"/>
      <w:r>
        <w:rPr>
          <w:rFonts w:ascii="Times New Roman" w:eastAsia="Times New Roman" w:hAnsi="Times New Roman" w:cs="Times New Roman"/>
          <w:sz w:val="24"/>
          <w:szCs w:val="24"/>
        </w:rPr>
        <w:t xml:space="preserve">, G and E. </w:t>
      </w:r>
      <w:proofErr w:type="spellStart"/>
      <w:r>
        <w:rPr>
          <w:rFonts w:ascii="Times New Roman" w:eastAsia="Times New Roman" w:hAnsi="Times New Roman" w:cs="Times New Roman"/>
          <w:sz w:val="24"/>
          <w:szCs w:val="24"/>
        </w:rPr>
        <w:t>Ughetto</w:t>
      </w:r>
      <w:proofErr w:type="spellEnd"/>
      <w:r>
        <w:rPr>
          <w:rFonts w:ascii="Times New Roman" w:eastAsia="Times New Roman" w:hAnsi="Times New Roman" w:cs="Times New Roman"/>
          <w:sz w:val="24"/>
          <w:szCs w:val="24"/>
        </w:rPr>
        <w:t xml:space="preserve">. 2013. “Real Effects of Private Equity Investments: Evidence from European Buyouts.” </w:t>
      </w:r>
      <w:r>
        <w:rPr>
          <w:rFonts w:ascii="Times New Roman" w:eastAsia="Times New Roman" w:hAnsi="Times New Roman" w:cs="Times New Roman"/>
          <w:i/>
          <w:sz w:val="24"/>
          <w:szCs w:val="24"/>
        </w:rPr>
        <w:t>Journal of Business Research</w:t>
      </w:r>
      <w:r>
        <w:rPr>
          <w:rFonts w:ascii="Times New Roman" w:eastAsia="Times New Roman" w:hAnsi="Times New Roman" w:cs="Times New Roman"/>
          <w:sz w:val="24"/>
          <w:szCs w:val="24"/>
        </w:rPr>
        <w:t xml:space="preserve"> 66: 2642-2649.</w:t>
      </w:r>
    </w:p>
    <w:p w14:paraId="53576CD0"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Sensoy</w:t>
      </w:r>
      <w:proofErr w:type="spellEnd"/>
      <w:r>
        <w:rPr>
          <w:rFonts w:ascii="Times New Roman" w:eastAsia="Times New Roman" w:hAnsi="Times New Roman" w:cs="Times New Roman"/>
          <w:sz w:val="24"/>
          <w:szCs w:val="24"/>
        </w:rPr>
        <w:t xml:space="preserve">, B. A., Y. Wang, and M. S. </w:t>
      </w:r>
      <w:proofErr w:type="spellStart"/>
      <w:r>
        <w:rPr>
          <w:rFonts w:ascii="Times New Roman" w:eastAsia="Times New Roman" w:hAnsi="Times New Roman" w:cs="Times New Roman"/>
          <w:sz w:val="24"/>
          <w:szCs w:val="24"/>
        </w:rPr>
        <w:t>Weisbach</w:t>
      </w:r>
      <w:proofErr w:type="spellEnd"/>
      <w:r>
        <w:rPr>
          <w:rFonts w:ascii="Times New Roman" w:eastAsia="Times New Roman" w:hAnsi="Times New Roman" w:cs="Times New Roman"/>
          <w:sz w:val="24"/>
          <w:szCs w:val="24"/>
        </w:rPr>
        <w:t xml:space="preserve">. 2014. “Limited Partner Performance and the Maturing of the Private Equity Industry.”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rPr>
        <w:t xml:space="preserve"> 112: 320-343.</w:t>
      </w:r>
    </w:p>
    <w:p w14:paraId="5BF65841"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Sørensen</w:t>
      </w:r>
      <w:proofErr w:type="spellEnd"/>
      <w:r>
        <w:rPr>
          <w:rFonts w:ascii="Times New Roman" w:eastAsia="Times New Roman" w:hAnsi="Times New Roman" w:cs="Times New Roman"/>
          <w:sz w:val="24"/>
          <w:szCs w:val="24"/>
        </w:rPr>
        <w:t xml:space="preserve">, M., N. Wang, and J. Yang. 2014. “Valuing private equity”. </w:t>
      </w:r>
      <w:r>
        <w:rPr>
          <w:rFonts w:ascii="Times New Roman" w:eastAsia="Times New Roman" w:hAnsi="Times New Roman" w:cs="Times New Roman"/>
          <w:i/>
          <w:sz w:val="24"/>
          <w:szCs w:val="24"/>
        </w:rPr>
        <w:t>Review of Financial Studies</w:t>
      </w:r>
      <w:r>
        <w:rPr>
          <w:rFonts w:ascii="Times New Roman" w:eastAsia="Times New Roman" w:hAnsi="Times New Roman" w:cs="Times New Roman"/>
          <w:sz w:val="24"/>
          <w:szCs w:val="24"/>
        </w:rPr>
        <w:t>, 27(7): 1977-2021.</w:t>
      </w:r>
    </w:p>
    <w:p w14:paraId="14A496A6"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Treasury Select Committee (TSC). 2007. </w:t>
      </w:r>
      <w:r>
        <w:rPr>
          <w:rFonts w:ascii="Times New Roman" w:eastAsia="Times New Roman" w:hAnsi="Times New Roman" w:cs="Times New Roman"/>
          <w:i/>
          <w:sz w:val="24"/>
          <w:szCs w:val="24"/>
        </w:rPr>
        <w:t>Private Equity: Tenth Report of Session 2006-07</w:t>
      </w:r>
      <w:r>
        <w:rPr>
          <w:rFonts w:ascii="Times New Roman" w:eastAsia="Times New Roman" w:hAnsi="Times New Roman" w:cs="Times New Roman"/>
          <w:sz w:val="24"/>
          <w:szCs w:val="24"/>
        </w:rPr>
        <w:t>. London: The Stationery Office Limited.</w:t>
      </w:r>
    </w:p>
    <w:p w14:paraId="09341A6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t>Tykvova</w:t>
      </w:r>
      <w:proofErr w:type="spellEnd"/>
      <w:r>
        <w:rPr>
          <w:rFonts w:ascii="Times New Roman" w:eastAsia="Times New Roman" w:hAnsi="Times New Roman" w:cs="Times New Roman"/>
          <w:sz w:val="24"/>
          <w:szCs w:val="24"/>
        </w:rPr>
        <w:t xml:space="preserve">, T. and M. </w:t>
      </w:r>
      <w:proofErr w:type="spellStart"/>
      <w:r>
        <w:rPr>
          <w:rFonts w:ascii="Times New Roman" w:eastAsia="Times New Roman" w:hAnsi="Times New Roman" w:cs="Times New Roman"/>
          <w:sz w:val="24"/>
          <w:szCs w:val="24"/>
        </w:rPr>
        <w:t>Borell</w:t>
      </w:r>
      <w:proofErr w:type="spellEnd"/>
      <w:r>
        <w:rPr>
          <w:rFonts w:ascii="Times New Roman" w:eastAsia="Times New Roman" w:hAnsi="Times New Roman" w:cs="Times New Roman"/>
          <w:sz w:val="24"/>
          <w:szCs w:val="24"/>
        </w:rPr>
        <w:t xml:space="preserve">. 2012. “Do Private Equity Owners Increase the Risk of Financial Distress and Bankruptcy?” </w:t>
      </w:r>
      <w:r>
        <w:rPr>
          <w:rFonts w:ascii="Times New Roman" w:eastAsia="Times New Roman" w:hAnsi="Times New Roman" w:cs="Times New Roman"/>
          <w:i/>
          <w:sz w:val="24"/>
          <w:szCs w:val="24"/>
        </w:rPr>
        <w:t xml:space="preserve">Journal of Corporate Finance </w:t>
      </w:r>
      <w:r>
        <w:rPr>
          <w:rFonts w:ascii="Times New Roman" w:eastAsia="Times New Roman" w:hAnsi="Times New Roman" w:cs="Times New Roman"/>
          <w:sz w:val="24"/>
          <w:szCs w:val="24"/>
        </w:rPr>
        <w:t>18: 138-150.</w:t>
      </w:r>
    </w:p>
    <w:p w14:paraId="2EE5887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Ughetto</w:t>
      </w:r>
      <w:proofErr w:type="spellEnd"/>
      <w:r>
        <w:rPr>
          <w:rFonts w:ascii="Times New Roman" w:eastAsia="Times New Roman" w:hAnsi="Times New Roman" w:cs="Times New Roman"/>
          <w:sz w:val="24"/>
          <w:szCs w:val="24"/>
        </w:rPr>
        <w:t xml:space="preserve">, E. 2016. “Investments, Financing Constraints and Buyouts: the Effect of Private Equity Investors on the Sensitivity of Investments to Cash Flow.” </w:t>
      </w:r>
      <w:r>
        <w:rPr>
          <w:rFonts w:ascii="Times New Roman" w:eastAsia="Times New Roman" w:hAnsi="Times New Roman" w:cs="Times New Roman"/>
          <w:i/>
          <w:sz w:val="24"/>
          <w:szCs w:val="24"/>
        </w:rPr>
        <w:t>The Manchester School</w:t>
      </w:r>
      <w:r>
        <w:rPr>
          <w:rFonts w:ascii="Times New Roman" w:eastAsia="Times New Roman" w:hAnsi="Times New Roman" w:cs="Times New Roman"/>
          <w:sz w:val="24"/>
          <w:szCs w:val="24"/>
        </w:rPr>
        <w:t xml:space="preserve"> 84: 25-54.</w:t>
      </w:r>
    </w:p>
    <w:p w14:paraId="36B0BC5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Ughetto</w:t>
      </w:r>
      <w:proofErr w:type="spellEnd"/>
      <w:r>
        <w:rPr>
          <w:rFonts w:ascii="Times New Roman" w:eastAsia="Times New Roman" w:hAnsi="Times New Roman" w:cs="Times New Roman"/>
          <w:sz w:val="24"/>
          <w:szCs w:val="24"/>
        </w:rPr>
        <w:t xml:space="preserve">, E. 2010. “Assessing the Contribution to Innovation of Private Equity Investors: A Study on European Buyouts.” </w:t>
      </w:r>
      <w:r>
        <w:rPr>
          <w:rFonts w:ascii="Times New Roman" w:eastAsia="Times New Roman" w:hAnsi="Times New Roman" w:cs="Times New Roman"/>
          <w:i/>
          <w:sz w:val="24"/>
          <w:szCs w:val="24"/>
        </w:rPr>
        <w:t>Research Policy</w:t>
      </w:r>
      <w:r>
        <w:rPr>
          <w:rFonts w:ascii="Times New Roman" w:eastAsia="Times New Roman" w:hAnsi="Times New Roman" w:cs="Times New Roman"/>
          <w:sz w:val="24"/>
          <w:szCs w:val="24"/>
        </w:rPr>
        <w:t xml:space="preserve"> 39: 126-140.</w:t>
      </w:r>
    </w:p>
    <w:p w14:paraId="3535DBD3"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Wang, Y. 2012. “Secondary Buyouts: What Buy and at What Price?” </w:t>
      </w:r>
      <w:r>
        <w:rPr>
          <w:rFonts w:ascii="Times New Roman" w:eastAsia="Times New Roman" w:hAnsi="Times New Roman" w:cs="Times New Roman"/>
          <w:i/>
          <w:sz w:val="24"/>
          <w:szCs w:val="24"/>
        </w:rPr>
        <w:t>Journal of Corporate Finance,</w:t>
      </w:r>
      <w:r>
        <w:rPr>
          <w:rFonts w:ascii="Times New Roman" w:eastAsia="Times New Roman" w:hAnsi="Times New Roman" w:cs="Times New Roman"/>
          <w:sz w:val="24"/>
          <w:szCs w:val="24"/>
        </w:rPr>
        <w:t xml:space="preserve"> 18: 1306-1325.</w:t>
      </w:r>
    </w:p>
    <w:p w14:paraId="6E3F0A69"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Wennberg</w:t>
      </w:r>
      <w:proofErr w:type="spellEnd"/>
      <w:r>
        <w:rPr>
          <w:rFonts w:ascii="Times New Roman" w:eastAsia="Times New Roman" w:hAnsi="Times New Roman" w:cs="Times New Roman"/>
          <w:sz w:val="24"/>
          <w:szCs w:val="24"/>
        </w:rPr>
        <w:t xml:space="preserve">, K., J. </w:t>
      </w:r>
      <w:proofErr w:type="spellStart"/>
      <w:r>
        <w:rPr>
          <w:rFonts w:ascii="Times New Roman" w:eastAsia="Times New Roman" w:hAnsi="Times New Roman" w:cs="Times New Roman"/>
          <w:sz w:val="24"/>
          <w:szCs w:val="24"/>
        </w:rPr>
        <w:t>Wiklund</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DeTienne</w:t>
      </w:r>
      <w:proofErr w:type="spellEnd"/>
      <w:r>
        <w:rPr>
          <w:rFonts w:ascii="Times New Roman" w:eastAsia="Times New Roman" w:hAnsi="Times New Roman" w:cs="Times New Roman"/>
          <w:sz w:val="24"/>
          <w:szCs w:val="24"/>
        </w:rPr>
        <w:t xml:space="preserve">, and M. </w:t>
      </w:r>
      <w:proofErr w:type="spellStart"/>
      <w:r>
        <w:rPr>
          <w:rFonts w:ascii="Times New Roman" w:eastAsia="Times New Roman" w:hAnsi="Times New Roman" w:cs="Times New Roman"/>
          <w:sz w:val="24"/>
          <w:szCs w:val="24"/>
        </w:rPr>
        <w:t>Cardon</w:t>
      </w:r>
      <w:proofErr w:type="spellEnd"/>
      <w:r>
        <w:rPr>
          <w:rFonts w:ascii="Times New Roman" w:eastAsia="Times New Roman" w:hAnsi="Times New Roman" w:cs="Times New Roman"/>
          <w:sz w:val="24"/>
          <w:szCs w:val="24"/>
        </w:rPr>
        <w:t>. 2010. “</w:t>
      </w:r>
      <w:proofErr w:type="spellStart"/>
      <w:r>
        <w:rPr>
          <w:rFonts w:ascii="Times New Roman" w:eastAsia="Times New Roman" w:hAnsi="Times New Roman" w:cs="Times New Roman"/>
          <w:sz w:val="24"/>
          <w:szCs w:val="24"/>
        </w:rPr>
        <w:t>Reconceptualizing</w:t>
      </w:r>
      <w:proofErr w:type="spellEnd"/>
      <w:r>
        <w:rPr>
          <w:rFonts w:ascii="Times New Roman" w:eastAsia="Times New Roman" w:hAnsi="Times New Roman" w:cs="Times New Roman"/>
          <w:sz w:val="24"/>
          <w:szCs w:val="24"/>
        </w:rPr>
        <w:t xml:space="preserve"> Entrepreneurial Exit: Divergent Exit Routes and their Drivers.” </w:t>
      </w:r>
      <w:r>
        <w:rPr>
          <w:rFonts w:ascii="Times New Roman" w:eastAsia="Times New Roman" w:hAnsi="Times New Roman" w:cs="Times New Roman"/>
          <w:i/>
          <w:sz w:val="24"/>
          <w:szCs w:val="24"/>
        </w:rPr>
        <w:t>Journal of Business Venturing</w:t>
      </w:r>
      <w:r>
        <w:rPr>
          <w:rFonts w:ascii="Times New Roman" w:eastAsia="Times New Roman" w:hAnsi="Times New Roman" w:cs="Times New Roman"/>
          <w:sz w:val="24"/>
          <w:szCs w:val="24"/>
        </w:rPr>
        <w:t>,</w:t>
      </w:r>
      <w:r>
        <w:t xml:space="preserve"> </w:t>
      </w:r>
      <w:r>
        <w:rPr>
          <w:rFonts w:ascii="Times New Roman" w:eastAsia="Times New Roman" w:hAnsi="Times New Roman" w:cs="Times New Roman"/>
          <w:sz w:val="24"/>
          <w:szCs w:val="24"/>
        </w:rPr>
        <w:t>25: 361-375.</w:t>
      </w:r>
    </w:p>
    <w:p w14:paraId="037F5968"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Wilson, N., M. Wright, D. S. Siegel, and L. Scholes. 2012. “Private Equity Portfolio Performance during the Global Recession.” </w:t>
      </w:r>
      <w:r>
        <w:rPr>
          <w:rFonts w:ascii="Times New Roman" w:eastAsia="Times New Roman" w:hAnsi="Times New Roman" w:cs="Times New Roman"/>
          <w:i/>
          <w:sz w:val="24"/>
          <w:szCs w:val="24"/>
        </w:rPr>
        <w:t>Journal of Corporate Finance</w:t>
      </w:r>
      <w:r>
        <w:rPr>
          <w:rFonts w:ascii="Times New Roman" w:eastAsia="Times New Roman" w:hAnsi="Times New Roman" w:cs="Times New Roman"/>
          <w:sz w:val="24"/>
          <w:szCs w:val="24"/>
        </w:rPr>
        <w:t xml:space="preserve"> 18: 193-205.   </w:t>
      </w:r>
    </w:p>
    <w:p w14:paraId="4795969D"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Wilson N. and M. Wright. 2013. “Private Equity and Insolvency Risk.” </w:t>
      </w:r>
      <w:r>
        <w:rPr>
          <w:rFonts w:ascii="Times New Roman" w:eastAsia="Times New Roman" w:hAnsi="Times New Roman" w:cs="Times New Roman"/>
          <w:i/>
          <w:sz w:val="24"/>
          <w:szCs w:val="24"/>
        </w:rPr>
        <w:t>Journal of Business Finance and Accounting</w:t>
      </w:r>
      <w:r>
        <w:rPr>
          <w:rFonts w:ascii="Times New Roman" w:eastAsia="Times New Roman" w:hAnsi="Times New Roman" w:cs="Times New Roman"/>
          <w:sz w:val="24"/>
          <w:szCs w:val="24"/>
        </w:rPr>
        <w:t xml:space="preserve"> 40: 949-900.</w:t>
      </w:r>
    </w:p>
    <w:p w14:paraId="29995672" w14:textId="77777777" w:rsidR="00D0209E" w:rsidRDefault="005A2565" w:rsidP="00D0209E">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Wilson, N., M. Wright, and M. </w:t>
      </w:r>
      <w:proofErr w:type="spellStart"/>
      <w:r>
        <w:rPr>
          <w:rFonts w:ascii="Times New Roman" w:eastAsia="Times New Roman" w:hAnsi="Times New Roman" w:cs="Times New Roman"/>
          <w:sz w:val="24"/>
          <w:szCs w:val="24"/>
        </w:rPr>
        <w:t>Kacer</w:t>
      </w:r>
      <w:proofErr w:type="spellEnd"/>
      <w:r>
        <w:rPr>
          <w:rFonts w:ascii="Times New Roman" w:eastAsia="Times New Roman" w:hAnsi="Times New Roman" w:cs="Times New Roman"/>
          <w:sz w:val="24"/>
          <w:szCs w:val="24"/>
        </w:rPr>
        <w:t xml:space="preserve">. </w:t>
      </w:r>
      <w:r w:rsidR="00A65871">
        <w:rPr>
          <w:rFonts w:ascii="Times New Roman" w:eastAsia="Times New Roman" w:hAnsi="Times New Roman" w:cs="Times New Roman"/>
          <w:sz w:val="24"/>
          <w:szCs w:val="24"/>
        </w:rPr>
        <w:t>2018</w:t>
      </w:r>
      <w:r>
        <w:rPr>
          <w:rFonts w:ascii="Times New Roman" w:eastAsia="Times New Roman" w:hAnsi="Times New Roman" w:cs="Times New Roman"/>
          <w:sz w:val="24"/>
          <w:szCs w:val="24"/>
        </w:rPr>
        <w:t xml:space="preserve">. “The Equity Gap and Knowledge-Based Firms.” </w:t>
      </w:r>
      <w:r>
        <w:rPr>
          <w:rFonts w:ascii="Times New Roman" w:eastAsia="Times New Roman" w:hAnsi="Times New Roman" w:cs="Times New Roman"/>
          <w:i/>
          <w:sz w:val="24"/>
          <w:szCs w:val="24"/>
        </w:rPr>
        <w:t>Journal of Corporate Finance</w:t>
      </w:r>
      <w:r w:rsidR="00A65871">
        <w:rPr>
          <w:rFonts w:ascii="Times New Roman" w:eastAsia="Times New Roman" w:hAnsi="Times New Roman" w:cs="Times New Roman"/>
          <w:i/>
          <w:sz w:val="24"/>
          <w:szCs w:val="24"/>
        </w:rPr>
        <w:t xml:space="preserve"> </w:t>
      </w:r>
      <w:r w:rsidR="00A65871" w:rsidRPr="00C57D06">
        <w:rPr>
          <w:rFonts w:ascii="Times New Roman" w:eastAsia="Times New Roman" w:hAnsi="Times New Roman" w:cs="Times New Roman"/>
          <w:sz w:val="24"/>
          <w:szCs w:val="24"/>
        </w:rPr>
        <w:t>50:</w:t>
      </w:r>
      <w:r w:rsidR="00C57D06">
        <w:rPr>
          <w:rFonts w:ascii="Times New Roman" w:eastAsia="Times New Roman" w:hAnsi="Times New Roman" w:cs="Times New Roman"/>
          <w:sz w:val="24"/>
          <w:szCs w:val="24"/>
        </w:rPr>
        <w:t xml:space="preserve"> </w:t>
      </w:r>
      <w:r w:rsidR="00A65871" w:rsidRPr="00C57D06">
        <w:rPr>
          <w:rFonts w:ascii="Times New Roman" w:eastAsia="Times New Roman" w:hAnsi="Times New Roman" w:cs="Times New Roman"/>
          <w:sz w:val="24"/>
          <w:szCs w:val="24"/>
        </w:rPr>
        <w:t>626-649</w:t>
      </w:r>
      <w:r>
        <w:rPr>
          <w:rFonts w:ascii="Times New Roman" w:eastAsia="Times New Roman" w:hAnsi="Times New Roman" w:cs="Times New Roman"/>
          <w:sz w:val="24"/>
          <w:szCs w:val="24"/>
        </w:rPr>
        <w:t>.</w:t>
      </w:r>
    </w:p>
    <w:p w14:paraId="659FD963" w14:textId="7A9623A9" w:rsidR="004463C7" w:rsidRPr="004463C7" w:rsidRDefault="004463C7" w:rsidP="00D0209E">
      <w:pPr>
        <w:pStyle w:val="Normal1"/>
        <w:spacing w:after="240" w:line="240" w:lineRule="auto"/>
        <w:ind w:left="567" w:hanging="567"/>
        <w:jc w:val="both"/>
        <w:rPr>
          <w:rFonts w:ascii="Times New Roman" w:eastAsia="Times New Roman" w:hAnsi="Times New Roman" w:cs="Times New Roman"/>
          <w:sz w:val="24"/>
          <w:szCs w:val="24"/>
        </w:rPr>
      </w:pPr>
      <w:r w:rsidRPr="004463C7">
        <w:rPr>
          <w:rFonts w:ascii="Times New Roman" w:eastAsia="Times New Roman" w:hAnsi="Times New Roman" w:cs="Times New Roman"/>
          <w:sz w:val="24"/>
          <w:szCs w:val="24"/>
        </w:rPr>
        <w:t xml:space="preserve">Wright, M. 2016 “Entrepreneurial Sustainability and Ownership Mobility”. Keynote Paper presented at the Entrepreneurial Finance Conference, Lyon, </w:t>
      </w:r>
      <w:proofErr w:type="gramStart"/>
      <w:r w:rsidRPr="004463C7">
        <w:rPr>
          <w:rFonts w:ascii="Times New Roman" w:eastAsia="Times New Roman" w:hAnsi="Times New Roman" w:cs="Times New Roman"/>
          <w:sz w:val="24"/>
          <w:szCs w:val="24"/>
        </w:rPr>
        <w:t>July</w:t>
      </w:r>
      <w:proofErr w:type="gramEnd"/>
      <w:r w:rsidRPr="004463C7">
        <w:rPr>
          <w:rFonts w:ascii="Times New Roman" w:eastAsia="Times New Roman" w:hAnsi="Times New Roman" w:cs="Times New Roman"/>
          <w:sz w:val="24"/>
          <w:szCs w:val="24"/>
        </w:rPr>
        <w:t xml:space="preserve"> 7.</w:t>
      </w:r>
    </w:p>
    <w:p w14:paraId="6D5457D8"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and K. </w:t>
      </w:r>
      <w:proofErr w:type="spellStart"/>
      <w:r>
        <w:rPr>
          <w:rFonts w:ascii="Times New Roman" w:eastAsia="Times New Roman" w:hAnsi="Times New Roman" w:cs="Times New Roman"/>
          <w:sz w:val="24"/>
          <w:szCs w:val="24"/>
        </w:rPr>
        <w:t>Amess</w:t>
      </w:r>
      <w:proofErr w:type="spellEnd"/>
      <w:r>
        <w:rPr>
          <w:rFonts w:ascii="Times New Roman" w:eastAsia="Times New Roman" w:hAnsi="Times New Roman" w:cs="Times New Roman"/>
          <w:sz w:val="24"/>
          <w:szCs w:val="24"/>
        </w:rPr>
        <w:t xml:space="preserve">. 2017 Sovereign Wealth Funds and Private Equity, in Cumming, D., G. Wood, I. </w:t>
      </w:r>
      <w:proofErr w:type="spellStart"/>
      <w:r>
        <w:rPr>
          <w:rFonts w:ascii="Times New Roman" w:eastAsia="Times New Roman" w:hAnsi="Times New Roman" w:cs="Times New Roman"/>
          <w:sz w:val="24"/>
          <w:szCs w:val="24"/>
        </w:rPr>
        <w:t>Filatotchev</w:t>
      </w:r>
      <w:proofErr w:type="spellEnd"/>
      <w:r>
        <w:rPr>
          <w:rFonts w:ascii="Times New Roman" w:eastAsia="Times New Roman" w:hAnsi="Times New Roman" w:cs="Times New Roman"/>
          <w:sz w:val="24"/>
          <w:szCs w:val="24"/>
        </w:rPr>
        <w:t xml:space="preserve"> and J. </w:t>
      </w:r>
      <w:proofErr w:type="spellStart"/>
      <w:r>
        <w:rPr>
          <w:rFonts w:ascii="Times New Roman" w:eastAsia="Times New Roman" w:hAnsi="Times New Roman" w:cs="Times New Roman"/>
          <w:sz w:val="24"/>
          <w:szCs w:val="24"/>
        </w:rPr>
        <w:t>Reinecke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Oxford Handbook of Sovereign Wealth Funds</w:t>
      </w:r>
      <w:r>
        <w:rPr>
          <w:rFonts w:ascii="Times New Roman" w:eastAsia="Times New Roman" w:hAnsi="Times New Roman" w:cs="Times New Roman"/>
          <w:sz w:val="24"/>
          <w:szCs w:val="24"/>
        </w:rPr>
        <w:t>, Oxford: OUP.</w:t>
      </w:r>
    </w:p>
    <w:p w14:paraId="57BAEE3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R. </w:t>
      </w:r>
      <w:proofErr w:type="spellStart"/>
      <w:r>
        <w:rPr>
          <w:rFonts w:ascii="Times New Roman" w:eastAsia="Times New Roman" w:hAnsi="Times New Roman" w:cs="Times New Roman"/>
          <w:sz w:val="24"/>
          <w:szCs w:val="24"/>
        </w:rPr>
        <w:t>Hoskisson</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Busenitz</w:t>
      </w:r>
      <w:proofErr w:type="spellEnd"/>
      <w:r>
        <w:rPr>
          <w:rFonts w:ascii="Times New Roman" w:eastAsia="Times New Roman" w:hAnsi="Times New Roman" w:cs="Times New Roman"/>
          <w:sz w:val="24"/>
          <w:szCs w:val="24"/>
        </w:rPr>
        <w:t xml:space="preserve">, and J. Dial. 2000. “Entrepreneurial Growth through Privatization: The Upside of Management Buyouts.” </w:t>
      </w:r>
      <w:r>
        <w:rPr>
          <w:rFonts w:ascii="Times New Roman" w:eastAsia="Times New Roman" w:hAnsi="Times New Roman" w:cs="Times New Roman"/>
          <w:i/>
          <w:sz w:val="24"/>
          <w:szCs w:val="24"/>
        </w:rPr>
        <w:t>Academy of Management Review</w:t>
      </w:r>
      <w:r>
        <w:rPr>
          <w:rFonts w:ascii="Times New Roman" w:eastAsia="Times New Roman" w:hAnsi="Times New Roman" w:cs="Times New Roman"/>
          <w:sz w:val="24"/>
          <w:szCs w:val="24"/>
        </w:rPr>
        <w:t xml:space="preserve"> 25:</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591-601.</w:t>
      </w:r>
    </w:p>
    <w:p w14:paraId="39514118"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S. </w:t>
      </w:r>
      <w:proofErr w:type="spellStart"/>
      <w:r>
        <w:rPr>
          <w:rFonts w:ascii="Times New Roman" w:eastAsia="Times New Roman" w:hAnsi="Times New Roman" w:cs="Times New Roman"/>
          <w:sz w:val="24"/>
          <w:szCs w:val="24"/>
        </w:rPr>
        <w:t>Pruthi</w:t>
      </w:r>
      <w:proofErr w:type="spellEnd"/>
      <w:r>
        <w:rPr>
          <w:rFonts w:ascii="Times New Roman" w:eastAsia="Times New Roman" w:hAnsi="Times New Roman" w:cs="Times New Roman"/>
          <w:sz w:val="24"/>
          <w:szCs w:val="24"/>
        </w:rPr>
        <w:t xml:space="preserve"> and A. Lockett. 2005. “Internationalisation of Venture Capital.” </w:t>
      </w:r>
      <w:r>
        <w:rPr>
          <w:rFonts w:ascii="Times New Roman" w:eastAsia="Times New Roman" w:hAnsi="Times New Roman" w:cs="Times New Roman"/>
          <w:i/>
          <w:sz w:val="24"/>
          <w:szCs w:val="24"/>
        </w:rPr>
        <w:t>International Journal of Management Reviews</w:t>
      </w:r>
      <w:r>
        <w:rPr>
          <w:rFonts w:ascii="Times New Roman" w:eastAsia="Times New Roman" w:hAnsi="Times New Roman" w:cs="Times New Roman"/>
          <w:sz w:val="24"/>
          <w:szCs w:val="24"/>
        </w:rPr>
        <w:t xml:space="preserve"> 7: 135-166.</w:t>
      </w:r>
    </w:p>
    <w:p w14:paraId="7D3B0763"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Wright, M., S. Thompson, and K. Robbie. 1992. “Venture Capital and Management-Led Leveraged Buy-Outs.” </w:t>
      </w:r>
      <w:r>
        <w:rPr>
          <w:rFonts w:ascii="Times New Roman" w:eastAsia="Times New Roman" w:hAnsi="Times New Roman" w:cs="Times New Roman"/>
          <w:i/>
          <w:sz w:val="24"/>
          <w:szCs w:val="24"/>
        </w:rPr>
        <w:t>Journal of Business Venturing</w:t>
      </w:r>
      <w:r>
        <w:rPr>
          <w:rFonts w:ascii="Times New Roman" w:eastAsia="Times New Roman" w:hAnsi="Times New Roman" w:cs="Times New Roman"/>
          <w:sz w:val="24"/>
          <w:szCs w:val="24"/>
        </w:rPr>
        <w:t xml:space="preserve"> 7: 47-71.</w:t>
      </w:r>
      <w:r>
        <w:rPr>
          <w:rFonts w:ascii="Times New Roman" w:eastAsia="Times New Roman" w:hAnsi="Times New Roman" w:cs="Times New Roman"/>
          <w:sz w:val="24"/>
          <w:szCs w:val="24"/>
          <w:u w:val="single"/>
        </w:rPr>
        <w:t xml:space="preserve"> </w:t>
      </w:r>
    </w:p>
    <w:p w14:paraId="5C9760B7"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P. </w:t>
      </w:r>
      <w:proofErr w:type="spellStart"/>
      <w:r>
        <w:rPr>
          <w:rFonts w:ascii="Times New Roman" w:eastAsia="Times New Roman" w:hAnsi="Times New Roman" w:cs="Times New Roman"/>
          <w:sz w:val="24"/>
          <w:szCs w:val="24"/>
        </w:rPr>
        <w:t>Westhead</w:t>
      </w:r>
      <w:proofErr w:type="spellEnd"/>
      <w:r>
        <w:rPr>
          <w:rFonts w:ascii="Times New Roman" w:eastAsia="Times New Roman" w:hAnsi="Times New Roman" w:cs="Times New Roman"/>
          <w:sz w:val="24"/>
          <w:szCs w:val="24"/>
        </w:rPr>
        <w:t xml:space="preserve">, and D. </w:t>
      </w:r>
      <w:proofErr w:type="spellStart"/>
      <w:r>
        <w:rPr>
          <w:rFonts w:ascii="Times New Roman" w:eastAsia="Times New Roman" w:hAnsi="Times New Roman" w:cs="Times New Roman"/>
          <w:sz w:val="24"/>
          <w:szCs w:val="24"/>
        </w:rPr>
        <w:t>Ucbasaran</w:t>
      </w:r>
      <w:proofErr w:type="spellEnd"/>
      <w:r>
        <w:rPr>
          <w:rFonts w:ascii="Times New Roman" w:eastAsia="Times New Roman" w:hAnsi="Times New Roman" w:cs="Times New Roman"/>
          <w:sz w:val="24"/>
          <w:szCs w:val="24"/>
        </w:rPr>
        <w:t xml:space="preserve">. 2007. “Internationalisation by SMEs: A Critique and Policy Implications.” </w:t>
      </w:r>
      <w:r>
        <w:rPr>
          <w:rFonts w:ascii="Times New Roman" w:eastAsia="Times New Roman" w:hAnsi="Times New Roman" w:cs="Times New Roman"/>
          <w:i/>
          <w:sz w:val="24"/>
          <w:szCs w:val="24"/>
        </w:rPr>
        <w:t>Regional Studies</w:t>
      </w:r>
      <w:r>
        <w:rPr>
          <w:rFonts w:ascii="Times New Roman" w:eastAsia="Times New Roman" w:hAnsi="Times New Roman" w:cs="Times New Roman"/>
          <w:sz w:val="24"/>
          <w:szCs w:val="24"/>
        </w:rPr>
        <w:t xml:space="preserve"> 41: 1013-1030.</w:t>
      </w:r>
    </w:p>
    <w:p w14:paraId="36664125"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S. Thompson, K. Robbie and P. Wong. 1995. “Management Buy-Outs in the Short and Long Term.” </w:t>
      </w:r>
      <w:r>
        <w:rPr>
          <w:rFonts w:ascii="Times New Roman" w:eastAsia="Times New Roman" w:hAnsi="Times New Roman" w:cs="Times New Roman"/>
          <w:i/>
          <w:sz w:val="24"/>
          <w:szCs w:val="24"/>
        </w:rPr>
        <w:t>Journal of Business Finance and Accounting</w:t>
      </w:r>
      <w:r>
        <w:rPr>
          <w:rFonts w:ascii="Times New Roman" w:eastAsia="Times New Roman" w:hAnsi="Times New Roman" w:cs="Times New Roman"/>
          <w:sz w:val="24"/>
          <w:szCs w:val="24"/>
        </w:rPr>
        <w:t xml:space="preserve"> 22: 461-482.</w:t>
      </w:r>
    </w:p>
    <w:p w14:paraId="0BDDFB2A" w14:textId="77777777" w:rsidR="00605EA7" w:rsidRDefault="005A2565">
      <w:pPr>
        <w:pStyle w:val="Normal1"/>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K. Robbie, and C. </w:t>
      </w:r>
      <w:proofErr w:type="spellStart"/>
      <w:r>
        <w:rPr>
          <w:rFonts w:ascii="Times New Roman" w:eastAsia="Times New Roman" w:hAnsi="Times New Roman" w:cs="Times New Roman"/>
          <w:sz w:val="24"/>
          <w:szCs w:val="24"/>
        </w:rPr>
        <w:t>Ennew</w:t>
      </w:r>
      <w:proofErr w:type="spellEnd"/>
      <w:r>
        <w:rPr>
          <w:rFonts w:ascii="Times New Roman" w:eastAsia="Times New Roman" w:hAnsi="Times New Roman" w:cs="Times New Roman"/>
          <w:sz w:val="24"/>
          <w:szCs w:val="24"/>
        </w:rPr>
        <w:t xml:space="preserve">. 1997. “Venture Capitalists and Serial Entrepreneurs.” </w:t>
      </w:r>
      <w:r>
        <w:rPr>
          <w:rFonts w:ascii="Times New Roman" w:eastAsia="Times New Roman" w:hAnsi="Times New Roman" w:cs="Times New Roman"/>
          <w:i/>
          <w:sz w:val="24"/>
          <w:szCs w:val="24"/>
        </w:rPr>
        <w:t>Journal of Business Venturing</w:t>
      </w:r>
      <w:r>
        <w:rPr>
          <w:rFonts w:ascii="Times New Roman" w:eastAsia="Times New Roman" w:hAnsi="Times New Roman" w:cs="Times New Roman"/>
          <w:sz w:val="24"/>
          <w:szCs w:val="24"/>
        </w:rPr>
        <w:t>, 12: 227-249.</w:t>
      </w:r>
    </w:p>
    <w:p w14:paraId="5DF9421D" w14:textId="77777777" w:rsidR="00605EA7" w:rsidRDefault="005A2565">
      <w:pPr>
        <w:pStyle w:val="Normal1"/>
        <w:widowControl w:val="0"/>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M., R. </w:t>
      </w:r>
      <w:proofErr w:type="spellStart"/>
      <w:r>
        <w:rPr>
          <w:rFonts w:ascii="Times New Roman" w:eastAsia="Times New Roman" w:hAnsi="Times New Roman" w:cs="Times New Roman"/>
          <w:sz w:val="24"/>
          <w:szCs w:val="24"/>
        </w:rPr>
        <w:t>Cressy</w:t>
      </w:r>
      <w:proofErr w:type="spellEnd"/>
      <w:r>
        <w:rPr>
          <w:rFonts w:ascii="Times New Roman" w:eastAsia="Times New Roman" w:hAnsi="Times New Roman" w:cs="Times New Roman"/>
          <w:sz w:val="24"/>
          <w:szCs w:val="24"/>
        </w:rPr>
        <w:t xml:space="preserve">, N. Wilson, and H.  </w:t>
      </w:r>
      <w:proofErr w:type="spellStart"/>
      <w:r>
        <w:rPr>
          <w:rFonts w:ascii="Times New Roman" w:eastAsia="Times New Roman" w:hAnsi="Times New Roman" w:cs="Times New Roman"/>
          <w:sz w:val="24"/>
          <w:szCs w:val="24"/>
        </w:rPr>
        <w:t>Farag</w:t>
      </w:r>
      <w:proofErr w:type="spellEnd"/>
      <w:r>
        <w:rPr>
          <w:rFonts w:ascii="Times New Roman" w:eastAsia="Times New Roman" w:hAnsi="Times New Roman" w:cs="Times New Roman"/>
          <w:sz w:val="24"/>
          <w:szCs w:val="24"/>
        </w:rPr>
        <w:t xml:space="preserve">. 2014. “Financial Restructuring and Recovery in Private Equity Buyouts: The UK Evidence.” </w:t>
      </w:r>
      <w:r>
        <w:rPr>
          <w:rFonts w:ascii="Times New Roman" w:eastAsia="Times New Roman" w:hAnsi="Times New Roman" w:cs="Times New Roman"/>
          <w:i/>
          <w:sz w:val="24"/>
          <w:szCs w:val="24"/>
        </w:rPr>
        <w:t>Venture Capital: An International Journal</w:t>
      </w:r>
      <w:r>
        <w:rPr>
          <w:rFonts w:ascii="Times New Roman" w:eastAsia="Times New Roman" w:hAnsi="Times New Roman" w:cs="Times New Roman"/>
          <w:sz w:val="24"/>
          <w:szCs w:val="24"/>
        </w:rPr>
        <w:t xml:space="preserve"> 6:109-129.</w:t>
      </w:r>
    </w:p>
    <w:p w14:paraId="3E6A33CB" w14:textId="77777777" w:rsidR="00605EA7" w:rsidRDefault="005A2565">
      <w:pPr>
        <w:pStyle w:val="Normal1"/>
        <w:widowControl w:val="0"/>
        <w:spacing w:after="240" w:line="240" w:lineRule="auto"/>
        <w:ind w:left="567" w:hanging="567"/>
        <w:jc w:val="both"/>
        <w:rPr>
          <w:sz w:val="24"/>
          <w:szCs w:val="24"/>
        </w:rPr>
      </w:pPr>
      <w:r>
        <w:rPr>
          <w:rFonts w:ascii="Times New Roman" w:eastAsia="Times New Roman" w:hAnsi="Times New Roman" w:cs="Times New Roman"/>
          <w:sz w:val="24"/>
          <w:szCs w:val="24"/>
        </w:rPr>
        <w:t xml:space="preserve">Zahra, S. 1995. “Corporate Entrepreneurship and Financial Performance: the Case of Management Leveraged Buy-Outs.” </w:t>
      </w:r>
      <w:r>
        <w:rPr>
          <w:rFonts w:ascii="Times New Roman" w:eastAsia="Times New Roman" w:hAnsi="Times New Roman" w:cs="Times New Roman"/>
          <w:i/>
          <w:sz w:val="24"/>
          <w:szCs w:val="24"/>
        </w:rPr>
        <w:t>Journal of Business Venturing</w:t>
      </w:r>
      <w:r>
        <w:rPr>
          <w:rFonts w:ascii="Times New Roman" w:eastAsia="Times New Roman" w:hAnsi="Times New Roman" w:cs="Times New Roman"/>
          <w:sz w:val="24"/>
          <w:szCs w:val="24"/>
        </w:rPr>
        <w:t xml:space="preserve"> 10: 225- 247.</w:t>
      </w:r>
    </w:p>
    <w:p w14:paraId="0B51C3BF" w14:textId="77777777" w:rsidR="00605EA7" w:rsidRDefault="005A2565">
      <w:pPr>
        <w:pStyle w:val="Normal1"/>
        <w:widowControl w:val="0"/>
        <w:spacing w:after="240" w:line="240" w:lineRule="auto"/>
        <w:ind w:left="567" w:hanging="567"/>
        <w:jc w:val="both"/>
      </w:pPr>
      <w:r>
        <w:rPr>
          <w:rFonts w:ascii="Times New Roman" w:eastAsia="Times New Roman" w:hAnsi="Times New Roman" w:cs="Times New Roman"/>
          <w:sz w:val="24"/>
          <w:szCs w:val="24"/>
        </w:rPr>
        <w:t xml:space="preserve">Zhou, D., R. </w:t>
      </w:r>
      <w:proofErr w:type="spellStart"/>
      <w:r>
        <w:rPr>
          <w:rFonts w:ascii="Times New Roman" w:eastAsia="Times New Roman" w:hAnsi="Times New Roman" w:cs="Times New Roman"/>
          <w:sz w:val="24"/>
          <w:szCs w:val="24"/>
        </w:rPr>
        <w:t>Jelic</w:t>
      </w:r>
      <w:proofErr w:type="spellEnd"/>
      <w:r>
        <w:rPr>
          <w:rFonts w:ascii="Times New Roman" w:eastAsia="Times New Roman" w:hAnsi="Times New Roman" w:cs="Times New Roman"/>
          <w:sz w:val="24"/>
          <w:szCs w:val="24"/>
        </w:rPr>
        <w:t xml:space="preserve"> and M. Wright. 2014. “SMBOs: Buying Time or Improving Performance?” </w:t>
      </w:r>
      <w:r>
        <w:rPr>
          <w:rFonts w:ascii="Times New Roman" w:eastAsia="Times New Roman" w:hAnsi="Times New Roman" w:cs="Times New Roman"/>
          <w:i/>
          <w:sz w:val="24"/>
          <w:szCs w:val="24"/>
        </w:rPr>
        <w:t>Managerial and Decision Economics</w:t>
      </w:r>
      <w:r>
        <w:rPr>
          <w:rFonts w:ascii="Times New Roman" w:eastAsia="Times New Roman" w:hAnsi="Times New Roman" w:cs="Times New Roman"/>
          <w:sz w:val="24"/>
          <w:szCs w:val="24"/>
        </w:rPr>
        <w:t xml:space="preserve"> 35: 88-102.</w:t>
      </w:r>
    </w:p>
    <w:sectPr w:rsidR="00605EA7">
      <w:footerReference w:type="even" r:id="rId28"/>
      <w:footerReference w:type="default" r:id="rId29"/>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1A3D8" w14:textId="77777777" w:rsidR="009008F2" w:rsidRDefault="009008F2">
      <w:pPr>
        <w:spacing w:after="0" w:line="240" w:lineRule="auto"/>
      </w:pPr>
      <w:r>
        <w:separator/>
      </w:r>
    </w:p>
  </w:endnote>
  <w:endnote w:type="continuationSeparator" w:id="0">
    <w:p w14:paraId="226A717D" w14:textId="77777777" w:rsidR="009008F2" w:rsidRDefault="00900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NexusSansWebPr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B35B7" w14:textId="77777777" w:rsidR="00EE03D6" w:rsidRDefault="00EE03D6">
    <w:pPr>
      <w:pStyle w:val="Normal1"/>
      <w:pBdr>
        <w:top w:val="nil"/>
        <w:left w:val="nil"/>
        <w:bottom w:val="nil"/>
        <w:right w:val="nil"/>
        <w:between w:val="nil"/>
      </w:pBdr>
      <w:tabs>
        <w:tab w:val="center" w:pos="4320"/>
        <w:tab w:val="right" w:pos="864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8A2F7" w14:textId="77777777" w:rsidR="00EE03D6" w:rsidRDefault="00EE03D6">
    <w:pPr>
      <w:pStyle w:val="Normal1"/>
      <w:pBdr>
        <w:top w:val="nil"/>
        <w:left w:val="nil"/>
        <w:bottom w:val="nil"/>
        <w:right w:val="nil"/>
        <w:between w:val="nil"/>
      </w:pBdr>
      <w:tabs>
        <w:tab w:val="center" w:pos="4320"/>
        <w:tab w:val="right" w:pos="8640"/>
      </w:tabs>
      <w:spacing w:after="0" w:line="240" w:lineRule="auto"/>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AF7FD" w14:textId="77777777" w:rsidR="00EE03D6" w:rsidRDefault="00EE03D6">
    <w:pPr>
      <w:pStyle w:val="Normal1"/>
      <w:pBdr>
        <w:top w:val="nil"/>
        <w:left w:val="nil"/>
        <w:bottom w:val="nil"/>
        <w:right w:val="nil"/>
        <w:between w:val="nil"/>
      </w:pBdr>
      <w:tabs>
        <w:tab w:val="center" w:pos="4320"/>
        <w:tab w:val="right" w:pos="864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54504">
      <w:rPr>
        <w:rFonts w:ascii="Times New Roman" w:eastAsia="Times New Roman" w:hAnsi="Times New Roman" w:cs="Times New Roman"/>
        <w:noProof/>
        <w:color w:val="000000"/>
        <w:sz w:val="20"/>
        <w:szCs w:val="20"/>
      </w:rPr>
      <w:t>22</w:t>
    </w:r>
    <w:r>
      <w:rPr>
        <w:rFonts w:ascii="Times New Roman" w:eastAsia="Times New Roman" w:hAnsi="Times New Roman" w:cs="Times New Roman"/>
        <w:color w:val="000000"/>
        <w:sz w:val="20"/>
        <w:szCs w:val="20"/>
      </w:rPr>
      <w:fldChar w:fldCharType="end"/>
    </w:r>
  </w:p>
  <w:p w14:paraId="15286AF9" w14:textId="77777777" w:rsidR="00EE03D6" w:rsidRDefault="00EE03D6">
    <w:pPr>
      <w:pStyle w:val="Normal1"/>
      <w:pBdr>
        <w:top w:val="nil"/>
        <w:left w:val="nil"/>
        <w:bottom w:val="nil"/>
        <w:right w:val="nil"/>
        <w:between w:val="nil"/>
      </w:pBdr>
      <w:tabs>
        <w:tab w:val="center" w:pos="4320"/>
        <w:tab w:val="right" w:pos="8640"/>
      </w:tabs>
      <w:spacing w:after="0" w:line="240" w:lineRule="auto"/>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4184D" w14:textId="77777777" w:rsidR="009008F2" w:rsidRDefault="009008F2">
      <w:pPr>
        <w:spacing w:after="0" w:line="240" w:lineRule="auto"/>
      </w:pPr>
      <w:r>
        <w:separator/>
      </w:r>
    </w:p>
  </w:footnote>
  <w:footnote w:type="continuationSeparator" w:id="0">
    <w:p w14:paraId="1153A3D5" w14:textId="77777777" w:rsidR="009008F2" w:rsidRDefault="009008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EA7"/>
    <w:rsid w:val="0009538C"/>
    <w:rsid w:val="000A64E7"/>
    <w:rsid w:val="00205610"/>
    <w:rsid w:val="00284EA9"/>
    <w:rsid w:val="002C1573"/>
    <w:rsid w:val="002E0754"/>
    <w:rsid w:val="00305B23"/>
    <w:rsid w:val="003B3D96"/>
    <w:rsid w:val="003E27AF"/>
    <w:rsid w:val="004463C7"/>
    <w:rsid w:val="00492B03"/>
    <w:rsid w:val="004F4667"/>
    <w:rsid w:val="005A2565"/>
    <w:rsid w:val="005B5A68"/>
    <w:rsid w:val="00605EA7"/>
    <w:rsid w:val="00631D41"/>
    <w:rsid w:val="006805F0"/>
    <w:rsid w:val="00682B09"/>
    <w:rsid w:val="007B1BB9"/>
    <w:rsid w:val="007C4D8C"/>
    <w:rsid w:val="00803404"/>
    <w:rsid w:val="008C705D"/>
    <w:rsid w:val="008F2C94"/>
    <w:rsid w:val="009008F2"/>
    <w:rsid w:val="00954504"/>
    <w:rsid w:val="009613C4"/>
    <w:rsid w:val="00963590"/>
    <w:rsid w:val="0096616A"/>
    <w:rsid w:val="009F0335"/>
    <w:rsid w:val="00A22A81"/>
    <w:rsid w:val="00A65871"/>
    <w:rsid w:val="00AB6C66"/>
    <w:rsid w:val="00B01E98"/>
    <w:rsid w:val="00B023C8"/>
    <w:rsid w:val="00C57D06"/>
    <w:rsid w:val="00CF0125"/>
    <w:rsid w:val="00D0209E"/>
    <w:rsid w:val="00DE0A7C"/>
    <w:rsid w:val="00DE5936"/>
    <w:rsid w:val="00E76DDA"/>
    <w:rsid w:val="00EE03D6"/>
    <w:rsid w:val="00EE4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4F009"/>
  <w15:docId w15:val="{3DEBAF6E-DBD5-4AD8-9B46-677D4770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240" w:after="0"/>
      <w:outlineLvl w:val="0"/>
    </w:pPr>
    <w:rPr>
      <w:color w:val="2E75B5"/>
      <w:sz w:val="32"/>
      <w:szCs w:val="32"/>
    </w:rPr>
  </w:style>
  <w:style w:type="paragraph" w:styleId="Heading2">
    <w:name w:val="heading 2"/>
    <w:basedOn w:val="Normal1"/>
    <w:next w:val="Normal1"/>
    <w:pPr>
      <w:keepNext/>
      <w:keepLines/>
      <w:spacing w:after="0" w:line="480" w:lineRule="auto"/>
      <w:outlineLvl w:val="1"/>
    </w:pPr>
    <w:rPr>
      <w:rFonts w:ascii="Times New Roman" w:eastAsia="Times New Roman" w:hAnsi="Times New Roman" w:cs="Times New Roman"/>
      <w:b/>
      <w:i/>
      <w:color w:val="000000"/>
      <w:sz w:val="24"/>
      <w:szCs w:val="24"/>
    </w:rPr>
  </w:style>
  <w:style w:type="paragraph" w:styleId="Heading3">
    <w:name w:val="heading 3"/>
    <w:basedOn w:val="Normal1"/>
    <w:next w:val="Normal1"/>
    <w:pPr>
      <w:keepNext/>
      <w:keepLines/>
      <w:spacing w:after="0" w:line="480" w:lineRule="auto"/>
      <w:outlineLvl w:val="2"/>
    </w:pPr>
    <w:rPr>
      <w:color w:val="000000"/>
      <w:sz w:val="24"/>
      <w:szCs w:val="24"/>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A256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A256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014292115001300" TargetMode="External"/><Relationship Id="rId13" Type="http://schemas.openxmlformats.org/officeDocument/2006/relationships/hyperlink" Target="http://www.sciencedirect.com/science/article/pii/S0014292115001300" TargetMode="External"/><Relationship Id="rId18" Type="http://schemas.openxmlformats.org/officeDocument/2006/relationships/hyperlink" Target="http://www.sciencedirect.com/science/article/pii/S0014292115001300" TargetMode="External"/><Relationship Id="rId26" Type="http://schemas.openxmlformats.org/officeDocument/2006/relationships/hyperlink" Target="http://www.nber.org/books/care10-1" TargetMode="External"/><Relationship Id="rId3" Type="http://schemas.openxmlformats.org/officeDocument/2006/relationships/webSettings" Target="webSettings.xml"/><Relationship Id="rId21" Type="http://schemas.openxmlformats.org/officeDocument/2006/relationships/hyperlink" Target="http://www.sciencedirect.com/science/article/pii/S0014292115001300" TargetMode="External"/><Relationship Id="rId7" Type="http://schemas.openxmlformats.org/officeDocument/2006/relationships/hyperlink" Target="http://www.sciencedirect.com/science/article/pii/S0014292115001300" TargetMode="External"/><Relationship Id="rId12" Type="http://schemas.openxmlformats.org/officeDocument/2006/relationships/hyperlink" Target="http://www.sciencedirect.com/science/article/pii/S0014292115001300" TargetMode="External"/><Relationship Id="rId17" Type="http://schemas.openxmlformats.org/officeDocument/2006/relationships/hyperlink" Target="http://www.sciencedirect.com/science/article/pii/S0014292115001300" TargetMode="External"/><Relationship Id="rId25" Type="http://schemas.openxmlformats.org/officeDocument/2006/relationships/hyperlink" Target="https://www.ft.com/content/3d13da34-f6bb-11e7-8715-e94187b3017e" TargetMode="External"/><Relationship Id="rId2" Type="http://schemas.openxmlformats.org/officeDocument/2006/relationships/settings" Target="settings.xml"/><Relationship Id="rId16" Type="http://schemas.openxmlformats.org/officeDocument/2006/relationships/hyperlink" Target="http://www.sciencedirect.com/science/article/pii/S0014292115001300" TargetMode="External"/><Relationship Id="rId20" Type="http://schemas.openxmlformats.org/officeDocument/2006/relationships/hyperlink" Target="http://www.sciencedirect.com/science/article/pii/S0014292115001300"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www.sciencedirect.com/science/article/pii/S0014292115001300" TargetMode="External"/><Relationship Id="rId11" Type="http://schemas.openxmlformats.org/officeDocument/2006/relationships/hyperlink" Target="http://www.sciencedirect.com/science/article/pii/S0014292115001300" TargetMode="External"/><Relationship Id="rId24" Type="http://schemas.openxmlformats.org/officeDocument/2006/relationships/hyperlink" Target="https://www.bvca.co.uk/Policy/Tax-Legal-and-Regulatory/Matters-on-our-agenda/Other-financial-markets-regulation/MiFID-and-CRD" TargetMode="External"/><Relationship Id="rId5" Type="http://schemas.openxmlformats.org/officeDocument/2006/relationships/endnotes" Target="endnotes.xml"/><Relationship Id="rId15" Type="http://schemas.openxmlformats.org/officeDocument/2006/relationships/hyperlink" Target="http://www.sciencedirect.com/science/article/pii/S0014292115001300" TargetMode="External"/><Relationship Id="rId23" Type="http://schemas.openxmlformats.org/officeDocument/2006/relationships/hyperlink" Target="https://dx.doi.org/10.2139/ssrn.2608549" TargetMode="External"/><Relationship Id="rId28" Type="http://schemas.openxmlformats.org/officeDocument/2006/relationships/footer" Target="footer1.xml"/><Relationship Id="rId10" Type="http://schemas.openxmlformats.org/officeDocument/2006/relationships/hyperlink" Target="http://www.sciencedirect.com/science/article/pii/S0014292115001300" TargetMode="External"/><Relationship Id="rId19" Type="http://schemas.openxmlformats.org/officeDocument/2006/relationships/hyperlink" Target="http://www.sciencedirect.com/science/article/pii/S0014292115001300"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sciencedirect.com/science/article/pii/S0014292115001300" TargetMode="External"/><Relationship Id="rId14" Type="http://schemas.openxmlformats.org/officeDocument/2006/relationships/hyperlink" Target="http://www.sciencedirect.com/science/article/pii/S0014292115001300" TargetMode="External"/><Relationship Id="rId22" Type="http://schemas.openxmlformats.org/officeDocument/2006/relationships/hyperlink" Target="http://www.sciencedirect.com/science/article/pii/S0014292115001300" TargetMode="External"/><Relationship Id="rId27" Type="http://schemas.openxmlformats.org/officeDocument/2006/relationships/hyperlink" Target="http://dx.doi.org/10.1068/a44268"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6882</Words>
  <Characters>39232</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Mike</dc:creator>
  <cp:lastModifiedBy>Wright, Mike</cp:lastModifiedBy>
  <cp:revision>3</cp:revision>
  <dcterms:created xsi:type="dcterms:W3CDTF">2018-07-05T13:15:00Z</dcterms:created>
  <dcterms:modified xsi:type="dcterms:W3CDTF">2018-07-05T13:15:00Z</dcterms:modified>
</cp:coreProperties>
</file>