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5F9A" w14:textId="32A9F791" w:rsidR="002F20AF" w:rsidRPr="00DC55B0" w:rsidRDefault="002F20AF" w:rsidP="001F3ACA">
      <w:pPr>
        <w:jc w:val="center"/>
        <w:rPr>
          <w:rFonts w:ascii="Calibri" w:hAnsi="Calibri" w:cs="Calibri"/>
          <w:b/>
          <w:bCs/>
        </w:rPr>
      </w:pPr>
      <w:r w:rsidRPr="00DC55B0">
        <w:rPr>
          <w:rFonts w:ascii="Calibri" w:hAnsi="Calibri" w:cs="Calibri"/>
          <w:b/>
          <w:bCs/>
        </w:rPr>
        <w:t>Vaccination</w:t>
      </w:r>
      <w:r w:rsidR="00005B6D" w:rsidRPr="00DC55B0">
        <w:rPr>
          <w:rFonts w:ascii="Calibri" w:hAnsi="Calibri" w:cs="Calibri"/>
          <w:b/>
          <w:bCs/>
        </w:rPr>
        <w:t xml:space="preserve"> in pregnancy</w:t>
      </w:r>
      <w:r w:rsidRPr="00DC55B0">
        <w:rPr>
          <w:rFonts w:ascii="Calibri" w:hAnsi="Calibri" w:cs="Calibri"/>
          <w:b/>
          <w:bCs/>
        </w:rPr>
        <w:t xml:space="preserve"> to protect the newborn</w:t>
      </w:r>
    </w:p>
    <w:p w14:paraId="3092E261" w14:textId="4525AAC1" w:rsidR="008A4DB6" w:rsidRPr="00DC55B0" w:rsidRDefault="000D3C18" w:rsidP="001F3ACA">
      <w:pPr>
        <w:jc w:val="center"/>
        <w:rPr>
          <w:rFonts w:ascii="Calibri" w:hAnsi="Calibri" w:cs="Calibri"/>
        </w:rPr>
      </w:pPr>
      <w:r w:rsidRPr="00DC55B0">
        <w:rPr>
          <w:rFonts w:ascii="Calibri" w:hAnsi="Calibri" w:cs="Calibri"/>
        </w:rPr>
        <w:t>Victoria Male</w:t>
      </w:r>
      <w:r w:rsidR="008A4DB6" w:rsidRPr="00DC55B0">
        <w:rPr>
          <w:rFonts w:ascii="Calibri" w:hAnsi="Calibri" w:cs="Calibri"/>
          <w:vertAlign w:val="superscript"/>
        </w:rPr>
        <w:t>1</w:t>
      </w:r>
      <w:r w:rsidRPr="00DC55B0">
        <w:rPr>
          <w:rFonts w:ascii="Calibri" w:hAnsi="Calibri" w:cs="Calibri"/>
        </w:rPr>
        <w:t xml:space="preserve"> </w:t>
      </w:r>
      <w:r w:rsidR="0083617F" w:rsidRPr="00DC55B0">
        <w:rPr>
          <w:rFonts w:ascii="Calibri" w:hAnsi="Calibri" w:cs="Calibri"/>
        </w:rPr>
        <w:t>&amp; Christine E. Jones</w:t>
      </w:r>
      <w:r w:rsidR="008A4DB6" w:rsidRPr="00DC55B0">
        <w:rPr>
          <w:rFonts w:ascii="Calibri" w:hAnsi="Calibri" w:cs="Calibri"/>
          <w:vertAlign w:val="superscript"/>
        </w:rPr>
        <w:t>2</w:t>
      </w:r>
      <w:r w:rsidR="004B1D3C" w:rsidRPr="00DC55B0">
        <w:rPr>
          <w:rFonts w:ascii="Calibri" w:hAnsi="Calibri" w:cs="Calibri"/>
          <w:vertAlign w:val="superscript"/>
        </w:rPr>
        <w:t>,3</w:t>
      </w:r>
    </w:p>
    <w:p w14:paraId="3252767F" w14:textId="77777777" w:rsidR="008A4DB6" w:rsidRPr="00DC55B0" w:rsidRDefault="008A4DB6" w:rsidP="001F3ACA">
      <w:pPr>
        <w:jc w:val="center"/>
        <w:rPr>
          <w:rFonts w:ascii="Calibri" w:hAnsi="Calibri" w:cs="Calibri"/>
        </w:rPr>
      </w:pPr>
    </w:p>
    <w:p w14:paraId="697BC228" w14:textId="6CBD5A2A" w:rsidR="000D3C18" w:rsidRPr="00DC55B0" w:rsidRDefault="008A4DB6" w:rsidP="001F3ACA">
      <w:pPr>
        <w:pStyle w:val="ListParagraph"/>
        <w:numPr>
          <w:ilvl w:val="0"/>
          <w:numId w:val="18"/>
        </w:numPr>
        <w:rPr>
          <w:rFonts w:ascii="Calibri" w:hAnsi="Calibri" w:cs="Calibri"/>
        </w:rPr>
      </w:pPr>
      <w:r w:rsidRPr="00DC55B0">
        <w:rPr>
          <w:rFonts w:ascii="Calibri" w:hAnsi="Calibri" w:cs="Calibri"/>
        </w:rPr>
        <w:t>De</w:t>
      </w:r>
      <w:r w:rsidR="004B1D3C" w:rsidRPr="00DC55B0">
        <w:rPr>
          <w:rFonts w:ascii="Calibri" w:hAnsi="Calibri" w:cs="Calibri"/>
        </w:rPr>
        <w:t>partment of Metabolism, Digestion and Reproduction, Imperial College London, London, United Kingdom.</w:t>
      </w:r>
    </w:p>
    <w:p w14:paraId="20F66CE4" w14:textId="6DBFC558" w:rsidR="004B1D3C" w:rsidRPr="00DC55B0" w:rsidRDefault="004B1D3C" w:rsidP="001F3ACA">
      <w:pPr>
        <w:pStyle w:val="ListParagraph"/>
        <w:numPr>
          <w:ilvl w:val="0"/>
          <w:numId w:val="18"/>
        </w:numPr>
        <w:rPr>
          <w:rFonts w:ascii="Calibri" w:hAnsi="Calibri" w:cs="Calibri"/>
        </w:rPr>
      </w:pPr>
      <w:r w:rsidRPr="00DC55B0">
        <w:rPr>
          <w:rFonts w:ascii="Calibri" w:hAnsi="Calibri" w:cs="Calibri"/>
        </w:rPr>
        <w:t>Faculty of Medicine and Institute for Life Sciences, University of Southampton, Southampton, United Kingdom.</w:t>
      </w:r>
    </w:p>
    <w:p w14:paraId="190A0BD6" w14:textId="13D3D12A" w:rsidR="004B1D3C" w:rsidRPr="00DC55B0" w:rsidRDefault="004B1D3C" w:rsidP="001F3ACA">
      <w:pPr>
        <w:pStyle w:val="ListParagraph"/>
        <w:numPr>
          <w:ilvl w:val="0"/>
          <w:numId w:val="18"/>
        </w:numPr>
        <w:rPr>
          <w:rFonts w:ascii="Calibri" w:hAnsi="Calibri" w:cs="Calibri"/>
        </w:rPr>
      </w:pPr>
      <w:r w:rsidRPr="00DC55B0">
        <w:rPr>
          <w:rFonts w:ascii="Calibri" w:hAnsi="Calibri" w:cs="Calibri"/>
        </w:rPr>
        <w:t>NIHR Southampton Clinical Research Facility and Southampton Biomedical Research Centre, University Hospital Southampton, Southampton, United Kingdom.</w:t>
      </w:r>
    </w:p>
    <w:p w14:paraId="16415B26" w14:textId="77777777" w:rsidR="002F20AF" w:rsidRPr="00DC55B0" w:rsidRDefault="002F20AF" w:rsidP="001F3ACA">
      <w:pPr>
        <w:rPr>
          <w:rFonts w:ascii="Calibri" w:hAnsi="Calibri" w:cs="Calibri"/>
          <w:b/>
          <w:bCs/>
        </w:rPr>
      </w:pPr>
    </w:p>
    <w:p w14:paraId="35288587" w14:textId="57ACF3EA" w:rsidR="00A573A8" w:rsidRPr="00DC55B0" w:rsidRDefault="00A573A8" w:rsidP="001F3ACA">
      <w:pPr>
        <w:rPr>
          <w:rFonts w:ascii="Calibri" w:hAnsi="Calibri" w:cs="Calibri"/>
          <w:b/>
          <w:bCs/>
        </w:rPr>
      </w:pPr>
      <w:r w:rsidRPr="00DC55B0">
        <w:rPr>
          <w:rFonts w:ascii="Calibri" w:hAnsi="Calibri" w:cs="Calibri"/>
          <w:b/>
          <w:bCs/>
        </w:rPr>
        <w:t>Abstract</w:t>
      </w:r>
    </w:p>
    <w:p w14:paraId="3E2A1D9E" w14:textId="1AD79FF6" w:rsidR="00005B6D" w:rsidRPr="00DC55B0" w:rsidRDefault="00A546C2" w:rsidP="001F3ACA">
      <w:pPr>
        <w:rPr>
          <w:rFonts w:ascii="Calibri" w:hAnsi="Calibri" w:cs="Calibri"/>
        </w:rPr>
      </w:pPr>
      <w:r w:rsidRPr="00DC55B0">
        <w:rPr>
          <w:rFonts w:ascii="Calibri" w:hAnsi="Calibri" w:cs="Calibri"/>
        </w:rPr>
        <w:t>Infectious disease</w:t>
      </w:r>
      <w:r w:rsidR="00005B6D" w:rsidRPr="00DC55B0">
        <w:rPr>
          <w:rFonts w:ascii="Calibri" w:hAnsi="Calibri" w:cs="Calibri"/>
        </w:rPr>
        <w:t>s</w:t>
      </w:r>
      <w:r w:rsidRPr="00DC55B0">
        <w:rPr>
          <w:rFonts w:ascii="Calibri" w:hAnsi="Calibri" w:cs="Calibri"/>
        </w:rPr>
        <w:t xml:space="preserve"> pose a particular risk to newborns and there is a global need to protect this vulnerable group. Because of the challenges of developing vaccines that are effective in newborns, only </w:t>
      </w:r>
      <w:r w:rsidR="00005B6D" w:rsidRPr="00DC55B0">
        <w:rPr>
          <w:rFonts w:ascii="Calibri" w:hAnsi="Calibri" w:cs="Calibri"/>
        </w:rPr>
        <w:t>the h</w:t>
      </w:r>
      <w:r w:rsidRPr="00DC55B0">
        <w:rPr>
          <w:rFonts w:ascii="Calibri" w:hAnsi="Calibri" w:cs="Calibri"/>
        </w:rPr>
        <w:t xml:space="preserve">epatitis B and tuberculosis (BCG) vaccines are given in the first 28 days of life, and </w:t>
      </w:r>
      <w:r w:rsidR="00005B6D" w:rsidRPr="00DC55B0">
        <w:rPr>
          <w:rFonts w:ascii="Calibri" w:hAnsi="Calibri" w:cs="Calibri"/>
        </w:rPr>
        <w:t xml:space="preserve">even </w:t>
      </w:r>
      <w:r w:rsidRPr="00DC55B0">
        <w:rPr>
          <w:rFonts w:ascii="Calibri" w:hAnsi="Calibri" w:cs="Calibri"/>
        </w:rPr>
        <w:t xml:space="preserve">those </w:t>
      </w:r>
      <w:r w:rsidR="00005B6D" w:rsidRPr="00DC55B0">
        <w:rPr>
          <w:rFonts w:ascii="Calibri" w:hAnsi="Calibri" w:cs="Calibri"/>
        </w:rPr>
        <w:t xml:space="preserve">vaccines are </w:t>
      </w:r>
      <w:r w:rsidRPr="00DC55B0">
        <w:rPr>
          <w:rFonts w:ascii="Calibri" w:hAnsi="Calibri" w:cs="Calibri"/>
        </w:rPr>
        <w:t xml:space="preserve">mainly </w:t>
      </w:r>
      <w:r w:rsidR="00005B6D" w:rsidRPr="00DC55B0">
        <w:rPr>
          <w:rFonts w:ascii="Calibri" w:hAnsi="Calibri" w:cs="Calibri"/>
        </w:rPr>
        <w:t>only offered to</w:t>
      </w:r>
      <w:r w:rsidRPr="00DC55B0">
        <w:rPr>
          <w:rFonts w:ascii="Calibri" w:hAnsi="Calibri" w:cs="Calibri"/>
        </w:rPr>
        <w:t xml:space="preserve"> high-risk </w:t>
      </w:r>
      <w:r w:rsidR="00004AA5" w:rsidRPr="00DC55B0">
        <w:rPr>
          <w:rFonts w:ascii="Calibri" w:hAnsi="Calibri" w:cs="Calibri"/>
        </w:rPr>
        <w:t>groups</w:t>
      </w:r>
      <w:r w:rsidRPr="00DC55B0">
        <w:rPr>
          <w:rFonts w:ascii="Calibri" w:hAnsi="Calibri" w:cs="Calibri"/>
        </w:rPr>
        <w:t>. Maternal antibod</w:t>
      </w:r>
      <w:r w:rsidR="00005B6D" w:rsidRPr="00DC55B0">
        <w:rPr>
          <w:rFonts w:ascii="Calibri" w:hAnsi="Calibri" w:cs="Calibri"/>
        </w:rPr>
        <w:t>ies</w:t>
      </w:r>
      <w:r w:rsidRPr="00DC55B0">
        <w:rPr>
          <w:rFonts w:ascii="Calibri" w:hAnsi="Calibri" w:cs="Calibri"/>
        </w:rPr>
        <w:t xml:space="preserve"> cross the placenta and </w:t>
      </w:r>
      <w:r w:rsidR="00005B6D" w:rsidRPr="00DC55B0">
        <w:rPr>
          <w:rFonts w:ascii="Calibri" w:hAnsi="Calibri" w:cs="Calibri"/>
        </w:rPr>
        <w:t xml:space="preserve">can </w:t>
      </w:r>
      <w:r w:rsidRPr="00DC55B0">
        <w:rPr>
          <w:rFonts w:ascii="Calibri" w:hAnsi="Calibri" w:cs="Calibri"/>
        </w:rPr>
        <w:t xml:space="preserve">afford some protection to the newborn, so an alternative strategy is vaccination in pregnancy. This </w:t>
      </w:r>
      <w:r w:rsidR="00005B6D" w:rsidRPr="00DC55B0">
        <w:rPr>
          <w:rFonts w:ascii="Calibri" w:hAnsi="Calibri" w:cs="Calibri"/>
        </w:rPr>
        <w:t xml:space="preserve">approach </w:t>
      </w:r>
      <w:r w:rsidRPr="00DC55B0">
        <w:rPr>
          <w:rFonts w:ascii="Calibri" w:hAnsi="Calibri" w:cs="Calibri"/>
        </w:rPr>
        <w:t xml:space="preserve">has been successfully used </w:t>
      </w:r>
      <w:r w:rsidR="00005B6D" w:rsidRPr="00DC55B0">
        <w:rPr>
          <w:rFonts w:ascii="Calibri" w:hAnsi="Calibri" w:cs="Calibri"/>
        </w:rPr>
        <w:t>to protect newborns against</w:t>
      </w:r>
      <w:r w:rsidRPr="00DC55B0">
        <w:rPr>
          <w:rFonts w:ascii="Calibri" w:hAnsi="Calibri" w:cs="Calibri"/>
        </w:rPr>
        <w:t xml:space="preserve"> tetanus and </w:t>
      </w:r>
      <w:r w:rsidR="00753176" w:rsidRPr="00DC55B0">
        <w:rPr>
          <w:rFonts w:ascii="Calibri" w:hAnsi="Calibri" w:cs="Calibri"/>
        </w:rPr>
        <w:t>pertussis</w:t>
      </w:r>
      <w:r w:rsidRPr="00DC55B0">
        <w:rPr>
          <w:rFonts w:ascii="Calibri" w:hAnsi="Calibri" w:cs="Calibri"/>
        </w:rPr>
        <w:t>, and vaccines</w:t>
      </w:r>
      <w:r w:rsidR="00005B6D" w:rsidRPr="00DC55B0">
        <w:rPr>
          <w:rFonts w:ascii="Calibri" w:hAnsi="Calibri" w:cs="Calibri"/>
        </w:rPr>
        <w:t xml:space="preserve"> that are</w:t>
      </w:r>
      <w:r w:rsidRPr="00DC55B0">
        <w:rPr>
          <w:rFonts w:ascii="Calibri" w:hAnsi="Calibri" w:cs="Calibri"/>
        </w:rPr>
        <w:t xml:space="preserve"> primarily </w:t>
      </w:r>
      <w:r w:rsidR="00005B6D" w:rsidRPr="00DC55B0">
        <w:rPr>
          <w:rFonts w:ascii="Calibri" w:hAnsi="Calibri" w:cs="Calibri"/>
        </w:rPr>
        <w:t>offered to</w:t>
      </w:r>
      <w:r w:rsidRPr="00DC55B0">
        <w:rPr>
          <w:rFonts w:ascii="Calibri" w:hAnsi="Calibri" w:cs="Calibri"/>
        </w:rPr>
        <w:t xml:space="preserve"> protect</w:t>
      </w:r>
      <w:r w:rsidR="00005B6D" w:rsidRPr="00DC55B0">
        <w:rPr>
          <w:rFonts w:ascii="Calibri" w:hAnsi="Calibri" w:cs="Calibri"/>
        </w:rPr>
        <w:t xml:space="preserve"> the mother</w:t>
      </w:r>
      <w:r w:rsidRPr="00DC55B0">
        <w:rPr>
          <w:rFonts w:ascii="Calibri" w:hAnsi="Calibri" w:cs="Calibri"/>
        </w:rPr>
        <w:t xml:space="preserve"> during pregnancy, such as influenza and COVID-19</w:t>
      </w:r>
      <w:r w:rsidR="00005B6D" w:rsidRPr="00DC55B0">
        <w:rPr>
          <w:rFonts w:ascii="Calibri" w:hAnsi="Calibri" w:cs="Calibri"/>
        </w:rPr>
        <w:t xml:space="preserve"> vaccines</w:t>
      </w:r>
      <w:r w:rsidRPr="00DC55B0">
        <w:rPr>
          <w:rFonts w:ascii="Calibri" w:hAnsi="Calibri" w:cs="Calibri"/>
        </w:rPr>
        <w:t xml:space="preserve">, also provide some protection </w:t>
      </w:r>
      <w:r w:rsidR="00005B6D" w:rsidRPr="00DC55B0">
        <w:rPr>
          <w:rFonts w:ascii="Calibri" w:hAnsi="Calibri" w:cs="Calibri"/>
        </w:rPr>
        <w:t>to</w:t>
      </w:r>
      <w:r w:rsidRPr="00DC55B0">
        <w:rPr>
          <w:rFonts w:ascii="Calibri" w:hAnsi="Calibri" w:cs="Calibri"/>
        </w:rPr>
        <w:t xml:space="preserve"> newborns. A respiratory syncytial virus (RSV) vaccine has recently been approved for </w:t>
      </w:r>
      <w:r w:rsidR="00005B6D" w:rsidRPr="00DC55B0">
        <w:rPr>
          <w:rFonts w:ascii="Calibri" w:hAnsi="Calibri" w:cs="Calibri"/>
        </w:rPr>
        <w:t>use</w:t>
      </w:r>
      <w:r w:rsidRPr="00DC55B0">
        <w:rPr>
          <w:rFonts w:ascii="Calibri" w:hAnsi="Calibri" w:cs="Calibri"/>
        </w:rPr>
        <w:t xml:space="preserve"> in pregnancy </w:t>
      </w:r>
      <w:r w:rsidR="00005B6D" w:rsidRPr="00DC55B0">
        <w:rPr>
          <w:rFonts w:ascii="Calibri" w:hAnsi="Calibri" w:cs="Calibri"/>
        </w:rPr>
        <w:t xml:space="preserve">to protect newborns, </w:t>
      </w:r>
      <w:r w:rsidRPr="00DC55B0">
        <w:rPr>
          <w:rFonts w:ascii="Calibri" w:hAnsi="Calibri" w:cs="Calibri"/>
        </w:rPr>
        <w:t xml:space="preserve">and a </w:t>
      </w:r>
      <w:r w:rsidR="00005B6D" w:rsidRPr="00DC55B0">
        <w:rPr>
          <w:rFonts w:ascii="Calibri" w:hAnsi="Calibri" w:cs="Calibri"/>
        </w:rPr>
        <w:t>new vaccine that will</w:t>
      </w:r>
      <w:r w:rsidRPr="00DC55B0">
        <w:rPr>
          <w:rFonts w:ascii="Calibri" w:hAnsi="Calibri" w:cs="Calibri"/>
        </w:rPr>
        <w:t xml:space="preserve"> </w:t>
      </w:r>
      <w:r w:rsidR="00005B6D" w:rsidRPr="00DC55B0">
        <w:rPr>
          <w:rFonts w:ascii="Calibri" w:hAnsi="Calibri" w:cs="Calibri"/>
        </w:rPr>
        <w:t xml:space="preserve">be offered during pregnancy to </w:t>
      </w:r>
      <w:r w:rsidRPr="00DC55B0">
        <w:rPr>
          <w:rFonts w:ascii="Calibri" w:hAnsi="Calibri" w:cs="Calibri"/>
        </w:rPr>
        <w:t xml:space="preserve">prevent Group B Streptococcus (GBS) infection </w:t>
      </w:r>
      <w:r w:rsidR="00005B6D" w:rsidRPr="00DC55B0">
        <w:rPr>
          <w:rFonts w:ascii="Calibri" w:hAnsi="Calibri" w:cs="Calibri"/>
        </w:rPr>
        <w:t xml:space="preserve">in infants </w:t>
      </w:r>
      <w:r w:rsidRPr="00DC55B0">
        <w:rPr>
          <w:rFonts w:ascii="Calibri" w:hAnsi="Calibri" w:cs="Calibri"/>
        </w:rPr>
        <w:t xml:space="preserve">is on the horizon. </w:t>
      </w:r>
      <w:r w:rsidR="00005B6D" w:rsidRPr="00DC55B0">
        <w:rPr>
          <w:rFonts w:ascii="Calibri" w:hAnsi="Calibri" w:cs="Calibri"/>
        </w:rPr>
        <w:t>Here, we discuss the current vaccines that are offered during pregnancy</w:t>
      </w:r>
      <w:r w:rsidR="00B37EB7" w:rsidRPr="00DC55B0">
        <w:rPr>
          <w:rFonts w:ascii="Calibri" w:hAnsi="Calibri" w:cs="Calibri"/>
        </w:rPr>
        <w:t xml:space="preserve"> and to newborns</w:t>
      </w:r>
      <w:r w:rsidR="00005B6D" w:rsidRPr="00DC55B0">
        <w:rPr>
          <w:rFonts w:ascii="Calibri" w:hAnsi="Calibri" w:cs="Calibri"/>
        </w:rPr>
        <w:t xml:space="preserve">, vaccines in development for use in </w:t>
      </w:r>
      <w:r w:rsidR="00B37EB7" w:rsidRPr="00DC55B0">
        <w:rPr>
          <w:rFonts w:ascii="Calibri" w:hAnsi="Calibri" w:cs="Calibri"/>
        </w:rPr>
        <w:t>these groups</w:t>
      </w:r>
      <w:r w:rsidR="00005B6D" w:rsidRPr="00DC55B0">
        <w:rPr>
          <w:rFonts w:ascii="Calibri" w:hAnsi="Calibri" w:cs="Calibri"/>
        </w:rPr>
        <w:t xml:space="preserve"> and the challenges that remain concerning </w:t>
      </w:r>
      <w:r w:rsidR="00B37EB7" w:rsidRPr="00DC55B0">
        <w:rPr>
          <w:rFonts w:ascii="Calibri" w:hAnsi="Calibri" w:cs="Calibri"/>
        </w:rPr>
        <w:t>the</w:t>
      </w:r>
      <w:r w:rsidRPr="00DC55B0">
        <w:rPr>
          <w:rFonts w:ascii="Calibri" w:hAnsi="Calibri" w:cs="Calibri"/>
        </w:rPr>
        <w:t xml:space="preserve"> delivery and uptake</w:t>
      </w:r>
      <w:r w:rsidR="00B37EB7" w:rsidRPr="00DC55B0">
        <w:rPr>
          <w:rFonts w:ascii="Calibri" w:hAnsi="Calibri" w:cs="Calibri"/>
        </w:rPr>
        <w:t xml:space="preserve"> of such vaccines</w:t>
      </w:r>
      <w:r w:rsidR="00005B6D" w:rsidRPr="00DC55B0">
        <w:rPr>
          <w:rFonts w:ascii="Calibri" w:hAnsi="Calibri" w:cs="Calibri"/>
        </w:rPr>
        <w:t>.</w:t>
      </w:r>
      <w:r w:rsidR="00005B6D" w:rsidRPr="00DC55B0">
        <w:rPr>
          <w:rFonts w:ascii="Calibri" w:hAnsi="Calibri" w:cs="Calibri"/>
          <w:b/>
          <w:bCs/>
        </w:rPr>
        <w:br w:type="page"/>
      </w:r>
    </w:p>
    <w:p w14:paraId="79C5B42C" w14:textId="739822B4" w:rsidR="00082DEB" w:rsidRPr="00DC55B0" w:rsidRDefault="00082DEB" w:rsidP="001F3ACA">
      <w:pPr>
        <w:rPr>
          <w:rFonts w:ascii="Calibri" w:hAnsi="Calibri" w:cs="Calibri"/>
          <w:b/>
          <w:bCs/>
        </w:rPr>
      </w:pPr>
      <w:r w:rsidRPr="00DC55B0">
        <w:rPr>
          <w:rFonts w:ascii="Calibri" w:hAnsi="Calibri" w:cs="Calibri"/>
          <w:b/>
          <w:bCs/>
        </w:rPr>
        <w:lastRenderedPageBreak/>
        <w:t xml:space="preserve">Introduction </w:t>
      </w:r>
    </w:p>
    <w:p w14:paraId="73469111" w14:textId="7BDFCE34" w:rsidR="00651472" w:rsidRPr="00DC55B0" w:rsidRDefault="004954DA" w:rsidP="001F3ACA">
      <w:pPr>
        <w:rPr>
          <w:rFonts w:ascii="Calibri" w:hAnsi="Calibri" w:cs="Calibri"/>
        </w:rPr>
      </w:pPr>
      <w:r w:rsidRPr="00DC55B0">
        <w:rPr>
          <w:rFonts w:ascii="Calibri" w:hAnsi="Calibri" w:cs="Calibri"/>
        </w:rPr>
        <w:t>Newborns</w:t>
      </w:r>
      <w:r w:rsidR="00471903" w:rsidRPr="00DC55B0">
        <w:rPr>
          <w:rFonts w:ascii="Calibri" w:hAnsi="Calibri" w:cs="Calibri"/>
        </w:rPr>
        <w:t xml:space="preserve"> are particularly </w:t>
      </w:r>
      <w:r w:rsidR="009054B3" w:rsidRPr="00DC55B0">
        <w:rPr>
          <w:rFonts w:ascii="Calibri" w:hAnsi="Calibri" w:cs="Calibri"/>
        </w:rPr>
        <w:t>vulnerable to infectious diseases due to their developing immune systems</w:t>
      </w:r>
      <w:r w:rsidR="00005B6D" w:rsidRPr="00DC55B0">
        <w:rPr>
          <w:rFonts w:ascii="Calibri" w:hAnsi="Calibri" w:cs="Calibri"/>
        </w:rPr>
        <w:t>. In particular, they lack</w:t>
      </w:r>
      <w:r w:rsidR="009054B3" w:rsidRPr="00DC55B0">
        <w:rPr>
          <w:rFonts w:ascii="Calibri" w:hAnsi="Calibri" w:cs="Calibri"/>
        </w:rPr>
        <w:t xml:space="preserve"> </w:t>
      </w:r>
      <w:r w:rsidR="00005B6D" w:rsidRPr="00DC55B0">
        <w:rPr>
          <w:rFonts w:ascii="Calibri" w:hAnsi="Calibri" w:cs="Calibri"/>
        </w:rPr>
        <w:t xml:space="preserve">protective </w:t>
      </w:r>
      <w:r w:rsidR="00F31CAD" w:rsidRPr="00DC55B0">
        <w:rPr>
          <w:rFonts w:ascii="Calibri" w:hAnsi="Calibri" w:cs="Calibri"/>
        </w:rPr>
        <w:t xml:space="preserve">immune memory due to limited </w:t>
      </w:r>
      <w:r w:rsidR="001C5EC7" w:rsidRPr="00DC55B0">
        <w:rPr>
          <w:rFonts w:ascii="Calibri" w:hAnsi="Calibri" w:cs="Calibri"/>
        </w:rPr>
        <w:t xml:space="preserve">previous </w:t>
      </w:r>
      <w:r w:rsidR="00F31CAD" w:rsidRPr="00DC55B0">
        <w:rPr>
          <w:rFonts w:ascii="Calibri" w:hAnsi="Calibri" w:cs="Calibri"/>
        </w:rPr>
        <w:t>exposure to pathogens.</w:t>
      </w:r>
      <w:r w:rsidR="00C84D7D" w:rsidRPr="00DC55B0">
        <w:rPr>
          <w:rFonts w:ascii="Calibri" w:hAnsi="Calibri" w:cs="Calibri"/>
        </w:rPr>
        <w:t xml:space="preserve"> </w:t>
      </w:r>
      <w:r w:rsidR="00955702" w:rsidRPr="00DC55B0">
        <w:rPr>
          <w:rFonts w:ascii="Calibri" w:hAnsi="Calibri" w:cs="Calibri"/>
        </w:rPr>
        <w:t>I</w:t>
      </w:r>
      <w:r w:rsidR="00C84D7D" w:rsidRPr="00DC55B0">
        <w:rPr>
          <w:rFonts w:ascii="Calibri" w:hAnsi="Calibri" w:cs="Calibri"/>
        </w:rPr>
        <w:t>n 2015, approximately 610,000</w:t>
      </w:r>
      <w:r w:rsidR="00D0496E" w:rsidRPr="00DC55B0">
        <w:rPr>
          <w:rFonts w:ascii="Calibri" w:hAnsi="Calibri" w:cs="Calibri"/>
        </w:rPr>
        <w:t xml:space="preserve"> newborns died from infectious disease</w:t>
      </w:r>
      <w:r w:rsidR="00955702" w:rsidRPr="00DC55B0">
        <w:rPr>
          <w:rFonts w:ascii="Calibri" w:hAnsi="Calibri" w:cs="Calibri"/>
        </w:rPr>
        <w:t xml:space="preserve"> worldwide</w:t>
      </w:r>
      <w:r w:rsidR="00D0496E" w:rsidRPr="00DC55B0">
        <w:rPr>
          <w:rFonts w:ascii="Calibri" w:hAnsi="Calibri" w:cs="Calibri"/>
        </w:rPr>
        <w:t xml:space="preserve">, </w:t>
      </w:r>
      <w:r w:rsidR="00E0141B" w:rsidRPr="00DC55B0">
        <w:rPr>
          <w:rFonts w:ascii="Calibri" w:hAnsi="Calibri" w:cs="Calibri"/>
        </w:rPr>
        <w:t xml:space="preserve">a rate of </w:t>
      </w:r>
      <w:r w:rsidR="00C027F8" w:rsidRPr="00DC55B0">
        <w:rPr>
          <w:rFonts w:ascii="Calibri" w:hAnsi="Calibri" w:cs="Calibri"/>
        </w:rPr>
        <w:t xml:space="preserve">4.4 </w:t>
      </w:r>
      <w:r w:rsidR="00005B6D" w:rsidRPr="00DC55B0">
        <w:rPr>
          <w:rFonts w:ascii="Calibri" w:hAnsi="Calibri" w:cs="Calibri"/>
        </w:rPr>
        <w:t xml:space="preserve">deaths </w:t>
      </w:r>
      <w:r w:rsidR="00C027F8" w:rsidRPr="00DC55B0">
        <w:rPr>
          <w:rFonts w:ascii="Calibri" w:hAnsi="Calibri" w:cs="Calibri"/>
        </w:rPr>
        <w:t>per 100,000 livebirths</w:t>
      </w:r>
      <w:r w:rsidR="00160C0F" w:rsidRPr="00DC55B0">
        <w:rPr>
          <w:rFonts w:ascii="Calibri" w:hAnsi="Calibri" w:cs="Calibri"/>
        </w:rPr>
        <w:t>.</w:t>
      </w:r>
      <w:r w:rsidR="00E81EEC" w:rsidRPr="00DC55B0">
        <w:rPr>
          <w:rFonts w:ascii="Calibri" w:hAnsi="Calibri" w:cs="Calibri"/>
        </w:rPr>
        <w:fldChar w:fldCharType="begin"/>
      </w:r>
      <w:r w:rsidR="00E81EEC" w:rsidRPr="00DC55B0">
        <w:rPr>
          <w:rFonts w:ascii="Calibri" w:hAnsi="Calibri" w:cs="Calibri"/>
        </w:rPr>
        <w:instrText xml:space="preserve"> ADDIN ZOTERO_ITEM CSL_CITATION {"citationID":"d69vVaIE","properties":{"formattedCitation":"\\super 1\\nosupersub{}","plainCitation":"1","noteIndex":0},"citationItems":[{"id":188,"uris":["http://zotero.org/users/14445769/items/9FXSWXBF"],"itemData":{"id":188,"type":"article-journal","container-title":"The Lancet","DOI":"10.1016/S0140-6736(16)31593-8","ISSN":"01406736","issue":"10063","journalAbbreviation":"The Lancet","language":"en","page":"3027-3035","source":"DOI.org (Crossref)","title":"Global, regional, and national causes of under-5 mortality in 2000–15: an updated systematic analysis with implications for the Sustainable Development Goals","title-short":"Global, regional, and national causes of under-5 mortality in 2000–15","volume":"388","author":[{"family":"Liu","given":"Li"},{"family":"Oza","given":"Shefali"},{"family":"Hogan","given":"Dan"},{"family":"Chu","given":"Yue"},{"family":"Perin","given":"Jamie"},{"family":"Zhu","given":"Jun"},{"family":"Lawn","given":"Joy E"},{"family":"Cousens","given":"Simon"},{"family":"Mathers","given":"Colin"},{"family":"Black","given":"Robert E"}],"issued":{"date-parts":[["2016",12]]}}}],"schema":"https://github.com/citation-style-language/schema/raw/master/csl-citation.json"} </w:instrText>
      </w:r>
      <w:r w:rsidR="00E81EEC" w:rsidRPr="00DC55B0">
        <w:rPr>
          <w:rFonts w:ascii="Calibri" w:hAnsi="Calibri" w:cs="Calibri"/>
        </w:rPr>
        <w:fldChar w:fldCharType="separate"/>
      </w:r>
      <w:r w:rsidR="00E81EEC" w:rsidRPr="00DC55B0">
        <w:rPr>
          <w:rFonts w:ascii="Calibri" w:hAnsi="Calibri" w:cs="Calibri"/>
          <w:kern w:val="0"/>
          <w:vertAlign w:val="superscript"/>
        </w:rPr>
        <w:t>1</w:t>
      </w:r>
      <w:r w:rsidR="00E81EEC" w:rsidRPr="00DC55B0">
        <w:rPr>
          <w:rFonts w:ascii="Calibri" w:hAnsi="Calibri" w:cs="Calibri"/>
        </w:rPr>
        <w:fldChar w:fldCharType="end"/>
      </w:r>
      <w:r w:rsidR="0048539A" w:rsidRPr="00DC55B0">
        <w:rPr>
          <w:rFonts w:ascii="Calibri" w:hAnsi="Calibri" w:cs="Calibri"/>
        </w:rPr>
        <w:t xml:space="preserve"> </w:t>
      </w:r>
      <w:r w:rsidR="00045240" w:rsidRPr="00DC55B0">
        <w:rPr>
          <w:rFonts w:ascii="Calibri" w:hAnsi="Calibri" w:cs="Calibri"/>
        </w:rPr>
        <w:t>The vast</w:t>
      </w:r>
      <w:r w:rsidR="0048539A" w:rsidRPr="00DC55B0">
        <w:rPr>
          <w:rFonts w:ascii="Calibri" w:hAnsi="Calibri" w:cs="Calibri"/>
        </w:rPr>
        <w:t xml:space="preserve"> majority of deaths tak</w:t>
      </w:r>
      <w:r w:rsidR="00045240" w:rsidRPr="00DC55B0">
        <w:rPr>
          <w:rFonts w:ascii="Calibri" w:hAnsi="Calibri" w:cs="Calibri"/>
        </w:rPr>
        <w:t>e</w:t>
      </w:r>
      <w:r w:rsidR="0048539A" w:rsidRPr="00DC55B0">
        <w:rPr>
          <w:rFonts w:ascii="Calibri" w:hAnsi="Calibri" w:cs="Calibri"/>
        </w:rPr>
        <w:t xml:space="preserve"> place in low</w:t>
      </w:r>
      <w:r w:rsidR="00005B6D" w:rsidRPr="00DC55B0">
        <w:rPr>
          <w:rFonts w:ascii="Calibri" w:hAnsi="Calibri" w:cs="Calibri"/>
        </w:rPr>
        <w:t>-</w:t>
      </w:r>
      <w:r w:rsidR="0048539A" w:rsidRPr="00DC55B0">
        <w:rPr>
          <w:rFonts w:ascii="Calibri" w:hAnsi="Calibri" w:cs="Calibri"/>
        </w:rPr>
        <w:t xml:space="preserve"> and middle-income countries</w:t>
      </w:r>
      <w:r w:rsidR="00045240" w:rsidRPr="00DC55B0">
        <w:rPr>
          <w:rFonts w:ascii="Calibri" w:hAnsi="Calibri" w:cs="Calibri"/>
        </w:rPr>
        <w:t>;</w:t>
      </w:r>
      <w:r w:rsidR="00C027F8" w:rsidRPr="00DC55B0">
        <w:rPr>
          <w:rFonts w:ascii="Calibri" w:hAnsi="Calibri" w:cs="Calibri"/>
        </w:rPr>
        <w:t xml:space="preserve"> </w:t>
      </w:r>
      <w:r w:rsidR="00045240" w:rsidRPr="00DC55B0">
        <w:rPr>
          <w:rFonts w:ascii="Calibri" w:hAnsi="Calibri" w:cs="Calibri"/>
        </w:rPr>
        <w:t>i</w:t>
      </w:r>
      <w:r w:rsidR="00BD0A07" w:rsidRPr="00DC55B0">
        <w:rPr>
          <w:rFonts w:ascii="Calibri" w:hAnsi="Calibri" w:cs="Calibri"/>
        </w:rPr>
        <w:t>n higher income countries</w:t>
      </w:r>
      <w:r w:rsidR="006940C4" w:rsidRPr="00DC55B0">
        <w:rPr>
          <w:rFonts w:ascii="Calibri" w:hAnsi="Calibri" w:cs="Calibri"/>
        </w:rPr>
        <w:t>, infectious disease</w:t>
      </w:r>
      <w:r w:rsidR="00005B6D" w:rsidRPr="00DC55B0">
        <w:rPr>
          <w:rFonts w:ascii="Calibri" w:hAnsi="Calibri" w:cs="Calibri"/>
        </w:rPr>
        <w:t>s are</w:t>
      </w:r>
      <w:r w:rsidR="006940C4" w:rsidRPr="00DC55B0">
        <w:rPr>
          <w:rFonts w:ascii="Calibri" w:hAnsi="Calibri" w:cs="Calibri"/>
        </w:rPr>
        <w:t xml:space="preserve"> </w:t>
      </w:r>
      <w:r w:rsidR="00045240" w:rsidRPr="00DC55B0">
        <w:rPr>
          <w:rFonts w:ascii="Calibri" w:hAnsi="Calibri" w:cs="Calibri"/>
        </w:rPr>
        <w:t xml:space="preserve">more </w:t>
      </w:r>
      <w:r w:rsidR="00005B6D" w:rsidRPr="00DC55B0">
        <w:rPr>
          <w:rFonts w:ascii="Calibri" w:hAnsi="Calibri" w:cs="Calibri"/>
        </w:rPr>
        <w:t>likely to</w:t>
      </w:r>
      <w:r w:rsidR="00045240" w:rsidRPr="00DC55B0">
        <w:rPr>
          <w:rFonts w:ascii="Calibri" w:hAnsi="Calibri" w:cs="Calibri"/>
        </w:rPr>
        <w:t xml:space="preserve"> result in</w:t>
      </w:r>
      <w:r w:rsidR="006940C4" w:rsidRPr="00DC55B0">
        <w:rPr>
          <w:rFonts w:ascii="Calibri" w:hAnsi="Calibri" w:cs="Calibri"/>
        </w:rPr>
        <w:t xml:space="preserve"> hospitalisation</w:t>
      </w:r>
      <w:r w:rsidR="00005B6D" w:rsidRPr="00DC55B0">
        <w:rPr>
          <w:rFonts w:ascii="Calibri" w:hAnsi="Calibri" w:cs="Calibri"/>
        </w:rPr>
        <w:t xml:space="preserve"> than death,</w:t>
      </w:r>
      <w:r w:rsidR="006940C4" w:rsidRPr="00DC55B0">
        <w:rPr>
          <w:rFonts w:ascii="Calibri" w:hAnsi="Calibri" w:cs="Calibri"/>
        </w:rPr>
        <w:t xml:space="preserve"> </w:t>
      </w:r>
      <w:r w:rsidR="00942B8C" w:rsidRPr="00DC55B0">
        <w:rPr>
          <w:rFonts w:ascii="Calibri" w:hAnsi="Calibri" w:cs="Calibri"/>
        </w:rPr>
        <w:t xml:space="preserve">but this still </w:t>
      </w:r>
      <w:r w:rsidR="00A548AD" w:rsidRPr="00DC55B0">
        <w:rPr>
          <w:rFonts w:ascii="Calibri" w:hAnsi="Calibri" w:cs="Calibri"/>
        </w:rPr>
        <w:t xml:space="preserve">imposes a significant burden on families and healthcare systems and </w:t>
      </w:r>
      <w:r w:rsidR="00E959A5" w:rsidRPr="00DC55B0">
        <w:rPr>
          <w:rFonts w:ascii="Calibri" w:hAnsi="Calibri" w:cs="Calibri"/>
        </w:rPr>
        <w:t>can have long-term consequences for the infant. Therefore, there is a global need to protect newborns from infectious disease</w:t>
      </w:r>
      <w:r w:rsidR="00005B6D" w:rsidRPr="00DC55B0">
        <w:rPr>
          <w:rFonts w:ascii="Calibri" w:hAnsi="Calibri" w:cs="Calibri"/>
        </w:rPr>
        <w:t>s</w:t>
      </w:r>
      <w:r w:rsidR="008546FB" w:rsidRPr="00DC55B0">
        <w:rPr>
          <w:rFonts w:ascii="Calibri" w:hAnsi="Calibri" w:cs="Calibri"/>
        </w:rPr>
        <w:t>.</w:t>
      </w:r>
    </w:p>
    <w:p w14:paraId="0CE143D1" w14:textId="77777777" w:rsidR="00D95DA2" w:rsidRPr="00DC55B0" w:rsidRDefault="00D95DA2" w:rsidP="001F3ACA">
      <w:pPr>
        <w:rPr>
          <w:rFonts w:ascii="Calibri" w:hAnsi="Calibri" w:cs="Calibri"/>
        </w:rPr>
      </w:pPr>
    </w:p>
    <w:p w14:paraId="7374CD47" w14:textId="753F6516" w:rsidR="004F4E1F" w:rsidRPr="00DC55B0" w:rsidRDefault="00B37EB7" w:rsidP="001F3ACA">
      <w:pPr>
        <w:rPr>
          <w:rFonts w:ascii="Calibri" w:hAnsi="Calibri" w:cs="Calibri"/>
        </w:rPr>
      </w:pPr>
      <w:r w:rsidRPr="00DC55B0">
        <w:rPr>
          <w:rFonts w:ascii="Calibri" w:hAnsi="Calibri" w:cs="Calibri"/>
        </w:rPr>
        <w:t>In this Review</w:t>
      </w:r>
      <w:r w:rsidR="004F4E1F" w:rsidRPr="00DC55B0">
        <w:rPr>
          <w:rFonts w:ascii="Calibri" w:hAnsi="Calibri" w:cs="Calibri"/>
        </w:rPr>
        <w:t xml:space="preserve">, we </w:t>
      </w:r>
      <w:r w:rsidRPr="00DC55B0">
        <w:rPr>
          <w:rFonts w:ascii="Calibri" w:hAnsi="Calibri" w:cs="Calibri"/>
        </w:rPr>
        <w:t xml:space="preserve">will </w:t>
      </w:r>
      <w:r w:rsidR="004F4E1F" w:rsidRPr="00DC55B0">
        <w:rPr>
          <w:rFonts w:ascii="Calibri" w:hAnsi="Calibri" w:cs="Calibri"/>
        </w:rPr>
        <w:t xml:space="preserve">discuss how vaccination </w:t>
      </w:r>
      <w:r w:rsidR="00AB6A2F" w:rsidRPr="00DC55B0">
        <w:rPr>
          <w:rFonts w:ascii="Calibri" w:hAnsi="Calibri" w:cs="Calibri"/>
        </w:rPr>
        <w:t>in pregnancy and at birth can protect</w:t>
      </w:r>
      <w:r w:rsidR="005754DE" w:rsidRPr="00DC55B0">
        <w:rPr>
          <w:rFonts w:ascii="Calibri" w:hAnsi="Calibri" w:cs="Calibri"/>
        </w:rPr>
        <w:t xml:space="preserve"> the newborn</w:t>
      </w:r>
      <w:r w:rsidRPr="00DC55B0">
        <w:rPr>
          <w:rFonts w:ascii="Calibri" w:hAnsi="Calibri" w:cs="Calibri"/>
        </w:rPr>
        <w:t xml:space="preserve"> from infectious disease</w:t>
      </w:r>
      <w:r w:rsidR="004759ED" w:rsidRPr="00DC55B0">
        <w:rPr>
          <w:rFonts w:ascii="Calibri" w:hAnsi="Calibri" w:cs="Calibri"/>
        </w:rPr>
        <w:t xml:space="preserve">, </w:t>
      </w:r>
      <w:r w:rsidR="008C5D8D" w:rsidRPr="00DC55B0">
        <w:rPr>
          <w:rFonts w:ascii="Calibri" w:hAnsi="Calibri" w:cs="Calibri"/>
        </w:rPr>
        <w:t>preventing infection or attenuating disease</w:t>
      </w:r>
      <w:r w:rsidR="004C1559" w:rsidRPr="00DC55B0">
        <w:rPr>
          <w:rFonts w:ascii="Calibri" w:hAnsi="Calibri" w:cs="Calibri"/>
        </w:rPr>
        <w:t xml:space="preserve"> when infection is not prevented</w:t>
      </w:r>
      <w:r w:rsidR="005754DE" w:rsidRPr="00DC55B0">
        <w:rPr>
          <w:rFonts w:ascii="Calibri" w:hAnsi="Calibri" w:cs="Calibri"/>
        </w:rPr>
        <w:t>. Our focus</w:t>
      </w:r>
      <w:r w:rsidRPr="00DC55B0">
        <w:rPr>
          <w:rFonts w:ascii="Calibri" w:hAnsi="Calibri" w:cs="Calibri"/>
        </w:rPr>
        <w:t xml:space="preserve"> here</w:t>
      </w:r>
      <w:r w:rsidR="005754DE" w:rsidRPr="00DC55B0">
        <w:rPr>
          <w:rFonts w:ascii="Calibri" w:hAnsi="Calibri" w:cs="Calibri"/>
        </w:rPr>
        <w:t xml:space="preserve"> is on </w:t>
      </w:r>
      <w:r w:rsidRPr="00DC55B0">
        <w:rPr>
          <w:rFonts w:ascii="Calibri" w:hAnsi="Calibri" w:cs="Calibri"/>
        </w:rPr>
        <w:t xml:space="preserve">vaccines developed to protect </w:t>
      </w:r>
      <w:r w:rsidR="00403A6A" w:rsidRPr="00DC55B0">
        <w:rPr>
          <w:rFonts w:ascii="Calibri" w:hAnsi="Calibri" w:cs="Calibri"/>
        </w:rPr>
        <w:t>newborns (infants</w:t>
      </w:r>
      <w:r w:rsidR="005754DE" w:rsidRPr="00DC55B0">
        <w:rPr>
          <w:rFonts w:ascii="Calibri" w:hAnsi="Calibri" w:cs="Calibri"/>
        </w:rPr>
        <w:t xml:space="preserve"> under </w:t>
      </w:r>
      <w:r w:rsidR="00403A6A" w:rsidRPr="00DC55B0">
        <w:rPr>
          <w:rFonts w:ascii="Calibri" w:hAnsi="Calibri" w:cs="Calibri"/>
        </w:rPr>
        <w:t>28 days</w:t>
      </w:r>
      <w:r w:rsidR="005754DE" w:rsidRPr="00DC55B0">
        <w:rPr>
          <w:rFonts w:ascii="Calibri" w:hAnsi="Calibri" w:cs="Calibri"/>
        </w:rPr>
        <w:t xml:space="preserve"> old</w:t>
      </w:r>
      <w:r w:rsidR="00403A6A" w:rsidRPr="00DC55B0">
        <w:rPr>
          <w:rFonts w:ascii="Calibri" w:hAnsi="Calibri" w:cs="Calibri"/>
        </w:rPr>
        <w:t>)</w:t>
      </w:r>
      <w:r w:rsidRPr="00DC55B0">
        <w:rPr>
          <w:rFonts w:ascii="Calibri" w:hAnsi="Calibri" w:cs="Calibri"/>
        </w:rPr>
        <w:t>;</w:t>
      </w:r>
      <w:r w:rsidR="00AC1E4A" w:rsidRPr="00DC55B0">
        <w:rPr>
          <w:rFonts w:ascii="Calibri" w:hAnsi="Calibri" w:cs="Calibri"/>
        </w:rPr>
        <w:t xml:space="preserve"> </w:t>
      </w:r>
      <w:r w:rsidRPr="00DC55B0">
        <w:rPr>
          <w:rFonts w:ascii="Calibri" w:hAnsi="Calibri" w:cs="Calibri"/>
        </w:rPr>
        <w:t>for a</w:t>
      </w:r>
      <w:r w:rsidR="005754DE" w:rsidRPr="00DC55B0">
        <w:rPr>
          <w:rFonts w:ascii="Calibri" w:hAnsi="Calibri" w:cs="Calibri"/>
        </w:rPr>
        <w:t xml:space="preserve"> </w:t>
      </w:r>
      <w:r w:rsidRPr="00DC55B0">
        <w:rPr>
          <w:rFonts w:ascii="Calibri" w:hAnsi="Calibri" w:cs="Calibri"/>
        </w:rPr>
        <w:t xml:space="preserve">discussion of </w:t>
      </w:r>
      <w:r w:rsidR="005754DE" w:rsidRPr="00DC55B0">
        <w:rPr>
          <w:rFonts w:ascii="Calibri" w:hAnsi="Calibri" w:cs="Calibri"/>
        </w:rPr>
        <w:t>the vaccination schedule in older infants</w:t>
      </w:r>
      <w:r w:rsidRPr="00DC55B0">
        <w:rPr>
          <w:rFonts w:ascii="Calibri" w:hAnsi="Calibri" w:cs="Calibri"/>
        </w:rPr>
        <w:t>, we</w:t>
      </w:r>
      <w:r w:rsidR="005754DE" w:rsidRPr="00DC55B0">
        <w:rPr>
          <w:rFonts w:ascii="Calibri" w:hAnsi="Calibri" w:cs="Calibri"/>
        </w:rPr>
        <w:t xml:space="preserve"> </w:t>
      </w:r>
      <w:r w:rsidRPr="00DC55B0">
        <w:rPr>
          <w:rFonts w:ascii="Calibri" w:hAnsi="Calibri" w:cs="Calibri"/>
        </w:rPr>
        <w:t>refer the reader to a</w:t>
      </w:r>
      <w:r w:rsidR="005754DE" w:rsidRPr="00DC55B0">
        <w:rPr>
          <w:rFonts w:ascii="Calibri" w:hAnsi="Calibri" w:cs="Calibri"/>
        </w:rPr>
        <w:t xml:space="preserve"> recent review</w:t>
      </w:r>
      <w:r w:rsidRPr="00DC55B0">
        <w:rPr>
          <w:rFonts w:ascii="Calibri" w:hAnsi="Calibri" w:cs="Calibri"/>
        </w:rPr>
        <w:t xml:space="preserve"> [Ref. </w:t>
      </w:r>
      <w:r w:rsidR="00515CB6" w:rsidRPr="00DC55B0">
        <w:rPr>
          <w:rFonts w:ascii="Calibri" w:hAnsi="Calibri" w:cs="Calibri"/>
        </w:rPr>
        <w:fldChar w:fldCharType="begin"/>
      </w:r>
      <w:r w:rsidR="00515CB6" w:rsidRPr="00DC55B0">
        <w:rPr>
          <w:rFonts w:ascii="Calibri" w:hAnsi="Calibri" w:cs="Calibri"/>
        </w:rPr>
        <w:instrText xml:space="preserve"> ADDIN ZOTERO_ITEM CSL_CITATION {"citationID":"mhkhqpGj","properties":{"formattedCitation":"\\super 2\\nosupersub{}","plainCitation":"2","noteIndex":0},"citationItems":[{"id":187,"uris":["http://zotero.org/users/14445769/items/DKDM36M6"],"itemData":{"id":187,"type":"article-journal","container-title":"Archives of Disease in Childhood","DOI":"10.1136/archdischild-2023-326625","ISSN":"0003-9888, 1468-2044","journalAbbreviation":"Arch Dis Child","language":"en","page":"archdischild-2023-326625","source":"DOI.org (Crossref)","title":"Changes to the UK childhood immunisation schedule","author":[{"family":"Akeju","given":"Oluwasefunmi"},{"family":"Lees","given":"Emily A"},{"family":"Amirthalingam","given":"Gayatri"},{"family":"Ramsay","given":"Mary E"},{"family":"Pollard","given":"Andrew J"}],"issued":{"date-parts":[["2024",9,26]]}}}],"schema":"https://github.com/citation-style-language/schema/raw/master/csl-citation.json"} </w:instrText>
      </w:r>
      <w:r w:rsidR="00515CB6" w:rsidRPr="00DC55B0">
        <w:rPr>
          <w:rFonts w:ascii="Calibri" w:hAnsi="Calibri" w:cs="Calibri"/>
        </w:rPr>
        <w:fldChar w:fldCharType="separate"/>
      </w:r>
      <w:r w:rsidR="00515CB6" w:rsidRPr="00DC55B0">
        <w:rPr>
          <w:rFonts w:ascii="Calibri" w:hAnsi="Calibri" w:cs="Calibri"/>
          <w:kern w:val="0"/>
          <w:vertAlign w:val="superscript"/>
        </w:rPr>
        <w:t>2</w:t>
      </w:r>
      <w:r w:rsidR="00515CB6" w:rsidRPr="00DC55B0">
        <w:rPr>
          <w:rFonts w:ascii="Calibri" w:hAnsi="Calibri" w:cs="Calibri"/>
        </w:rPr>
        <w:fldChar w:fldCharType="end"/>
      </w:r>
      <w:r w:rsidRPr="00DC55B0">
        <w:rPr>
          <w:rFonts w:ascii="Calibri" w:hAnsi="Calibri" w:cs="Calibri"/>
        </w:rPr>
        <w:t xml:space="preserve">]. </w:t>
      </w:r>
      <w:r w:rsidR="00F670E7" w:rsidRPr="00DC55B0">
        <w:rPr>
          <w:rFonts w:ascii="Calibri" w:hAnsi="Calibri" w:cs="Calibri"/>
        </w:rPr>
        <w:t xml:space="preserve">However, </w:t>
      </w:r>
      <w:r w:rsidRPr="00DC55B0">
        <w:rPr>
          <w:rFonts w:ascii="Calibri" w:hAnsi="Calibri" w:cs="Calibri"/>
        </w:rPr>
        <w:t xml:space="preserve">it is also important to note that </w:t>
      </w:r>
      <w:r w:rsidR="00F670E7" w:rsidRPr="00DC55B0">
        <w:rPr>
          <w:rFonts w:ascii="Calibri" w:hAnsi="Calibri" w:cs="Calibri"/>
        </w:rPr>
        <w:t>many</w:t>
      </w:r>
      <w:r w:rsidRPr="00DC55B0">
        <w:rPr>
          <w:rFonts w:ascii="Calibri" w:hAnsi="Calibri" w:cs="Calibri"/>
        </w:rPr>
        <w:t xml:space="preserve"> of the</w:t>
      </w:r>
      <w:r w:rsidR="00F670E7" w:rsidRPr="00DC55B0">
        <w:rPr>
          <w:rFonts w:ascii="Calibri" w:hAnsi="Calibri" w:cs="Calibri"/>
        </w:rPr>
        <w:t xml:space="preserve"> approaches </w:t>
      </w:r>
      <w:r w:rsidR="000F5B32" w:rsidRPr="00DC55B0">
        <w:rPr>
          <w:rFonts w:ascii="Calibri" w:hAnsi="Calibri" w:cs="Calibri"/>
        </w:rPr>
        <w:t xml:space="preserve">geared towards newborns will continue to </w:t>
      </w:r>
      <w:r w:rsidR="005040BC" w:rsidRPr="00DC55B0">
        <w:rPr>
          <w:rFonts w:ascii="Calibri" w:hAnsi="Calibri" w:cs="Calibri"/>
        </w:rPr>
        <w:t>provide some protection</w:t>
      </w:r>
      <w:r w:rsidR="000F5B32" w:rsidRPr="00DC55B0">
        <w:rPr>
          <w:rFonts w:ascii="Calibri" w:hAnsi="Calibri" w:cs="Calibri"/>
        </w:rPr>
        <w:t xml:space="preserve"> during the first 3-6 months of life.</w:t>
      </w:r>
      <w:r w:rsidR="00896B2D" w:rsidRPr="00DC55B0">
        <w:rPr>
          <w:rFonts w:ascii="Calibri" w:hAnsi="Calibri" w:cs="Calibri"/>
        </w:rPr>
        <w:fldChar w:fldCharType="begin"/>
      </w:r>
      <w:r w:rsidR="003F3CD5" w:rsidRPr="00DC55B0">
        <w:rPr>
          <w:rFonts w:ascii="Calibri" w:hAnsi="Calibri" w:cs="Calibri"/>
        </w:rPr>
        <w:instrText xml:space="preserve"> ADDIN ZOTERO_ITEM CSL_CITATION {"citationID":"1IIzDvU3","properties":{"unsorted":true,"formattedCitation":"\\super 3\\uc0\\u8211{}9\\nosupersub{}","plainCitation":"3–9","noteIndex":0},"citationItems":[{"id":76,"uris":["http://zotero.org/users/14445769/items/WND5YLSD"],"itemData":{"id":76,"type":"article-journal","container-title":"Cochrane Database of Systematic Reviews","DOI":"10.1002/14651858.CD002959.pub4","ISSN":"14651858","language":"en","source":"DOI.org (Crossref)","title":"Vaccines for women for preventing neonatal tetanus","URL":"https://doi.wiley.com/10.1002/14651858.CD002959.pub4","author":[{"family":"Demicheli","given":"Vittorio"},{"family":"Barale","given":"Antonella"},{"family":"Rivetti","given":"Alessandro"}],"editor":[{"literal":"Cochrane Pregnancy and Childbirth Group"}],"accessed":{"date-parts":[["2024",6,25]]},"issued":{"date-parts":[["2015",7,6]]}}},{"id":65,"uris":["http://zotero.org/users/14445769/items/UV8PD2IT"],"itemData":{"id":65,"type":"article-journal","abstract":"Background\nInfants &lt; 3 months of age are at highest risk for developing severe complications after pertussis. The majority of pregnant women has low concentrations of pertussis-specific antibodies and thus newborns are insufficiently protected by maternally transferred antibodies. Acellular pertussis vaccination during pregnancy was recently implemented in various countries. Here, we assessed the evidence for safety and effectiveness of pertussis vaccination during pregnancy.\n\nMethods\nWe searched Medline, Embase, and ClinicalTrials.gov from January 1st 2010 to January 10th 2019. We assessed risk of bias (ROB) using the Cochrane ROB tool and ROBINS-I. We evaluated the quality of evidence using the GRADE approach.\n\nResults\nWe identified 1273 articles and included 22 studies (14 for safety; 8 for effectiveness), comprising 1.4 million pregnant women in safety studies and 855,546 mother-infant-pairs in effectiveness studies. No significant differences between vaccinated and unvaccinated women and their infants were observed for safety outcomes with the exception of fever and chorioamnionitis. Compared to no vaccination, three studies showed a significantly increased relative risk for the presence of the ICD-9 code for chorioamnionitis in electronic patient data after pertussis vaccination. However, no study reported an increased risk for clinical sequelae of chorioamnionitis after vaccination during pregnancy, such as preterm birth or neonatal intensive care unit admission. Vaccine effectiveness against pertussis in infants of immunized mothers ranged from 69 to 91% for pertussis prevention, from 91 to 94% for prevention of hospitalization and was 95% for prevention of death due to pertussis. Risk of bias was serious to critical for safety outcomes and moderate to serious for effectiveness outcomes. GRADE evidence quality was moderate to very low, depending on outcome.\n\nConclusion\nAlthough an increased risk for a diagnosis of fever and chorioamnionitis was detected in pregnant women after pertussis vaccination, there was no association with a higher frequency of clinically relevant sequelae. Vaccine effectiveness for prevention of infant pertussis, hospitalization and death is high. Pertussis vaccination during pregnancy has an overall positive benefit-risk ratio. In view of the overall quality of available evidence ongoing surveillance of chorioamnionitis and its potential sequelae is recommended when pertussis vaccination in pregnancy is implemented.\n\nTrial registration\nPROSPERO CRD42018087814, CRD42018090357.","container-title":"BMC Infectious Diseases","DOI":"10.1186/s12879-020-4824-3","ISSN":"1471-2334","journalAbbreviation":"BMC Infect Dis","note":"PMID: 32054444\nPMCID: PMC7020352","page":"136","source":"PubMed Central","title":"Safety and effectiveness of acellular pertussis vaccination during pregnancy: a systematic review","title-short":"Safety and effectiveness of acellular pertussis vaccination during pregnancy","volume":"20","author":[{"family":"Vygen-Bonnet","given":"Sabine"},{"family":"Hellenbrand","given":"Wiebke"},{"family":"Garbe","given":"Edeltraut"},{"family":"Kries","given":"Rüdiger","non-dropping-particle":"von"},{"family":"Bogdan","given":"Christian"},{"family":"Heininger","given":"Ulrich"},{"family":"Röbl-Mathieu","given":"Marianne"},{"family":"Harder","given":"Thomas"}],"issued":{"date-parts":[["2020",2,13]]}}},{"id":68,"uris":["http://zotero.org/users/14445769/items/SHQUXKL4"],"itemData":{"id":68,"type":"article-journal","container-title":"The Lancet","DOI":"10.1016/S0140-6736(14)60686-3","ISSN":"01406736","issue":"9953","journalAbbreviation":"The Lancet","language":"en","page":"1521-1528","source":"DOI.org (Crossref)","title":"Effectiveness of maternal pertussis vaccination in England: an observational study","title-short":"Effectiveness of maternal pertussis vaccination in England","volume":"384","author":[{"family":"Amirthalingam","given":"Gayatri"},{"family":"Andrews","given":"Nick"},{"family":"Campbell","given":"Helen"},{"family":"Ribeiro","given":"Sonia"},{"family":"Kara","given":"Edna"},{"family":"Donegan","given":"Katherine"},{"family":"Fry","given":"Norman K"},{"family":"Miller","given":"Elizabeth"},{"family":"Ramsay","given":"Mary"}],"issued":{"date-parts":[["2014",10]]}}},{"id":61,"uris":["http://zotero.org/users/14445769/items/DC2JCB9X"],"itemData":{"id":61,"type":"article-journal","abstract":"BACKGROUND: The consequences of influenza in adults are mainly time off work. Vaccination of pregnant women is recommended internationally. This is an update of a review published in 2014. Future updates of this review will be made only when new trials or vaccines become available. Observational data included in previous versions of the review have been retained for historical reasons but have not been updated due to their lack of influence on the review conclusions.\nOBJECTIVES: To assess the effects (efficacy, effectiveness, and harm) of vaccines against influenza in healthy adults, including pregnant women.\nSEARCH METHODS: We searched the Cochrane Central Register of Controlled Trials (CENTRAL; 2016, Issue 12), MEDLINE (January 1966 to 31 December 2016), Embase (1990 to 31 December 2016), the WHO International Clinical Trials Registry Platform (ICTRP; 1 July 2017), and ClinicalTrials.gov (1 July 2017), as well as checking the bibliographies of retrieved articles.\nSELECTION CRITERIA: Randomised controlled trials (RCTs) or quasi-RCTs comparing influenza vaccines with placebo or no intervention in naturally occurring influenza in healthy individuals aged 16 to 65 years. Previous versions of this review included observational comparative studies assessing serious and rare harms cohort and case-control studies. Due to the uncertain quality of observational (i.e. non-randomised) studies and their lack of influence on the review conclusions, we decided to update only randomised evidence. The searches for observational comparative studies are no longer updated.\nDATA COLLECTION AND ANALYSIS: Two review authors independently assessed trial quality and extracted data. We rated certainty of evidence for key outcomes (influenza, influenza-like illness (ILI), hospitalisation, and adverse effects) using GRADE.\nMAIN RESULTS: We included 52 clinical trials of over 80,000 people assessing the safety and effectiveness of influenza vaccines. We have presented findings from 25 studies comparing inactivated parenteral influenza vaccine against placebo or do-nothing control groups as the most relevant to decision-making. The studies were conducted over single influenza seasons in North America, South America, and Europe between 1969 and 2009. We did not consider studies at high risk of bias to influence the results of our outcomes except for hospitalisation.Inactivated influenza vaccines probably reduce influenza in healthy adults from 2.3% without vaccination to 0.9% (risk ratio (RR) 0.41, 95% confidence interval (CI) 0.36 to 0.47; 71,221 participants; moderate-certainty evidence), and they probably reduce ILI from 21.5% to 18.1% (RR 0.84, 95% CI 0.75 to 0.95; 25,795 participants; moderate-certainty evidence; 71 healthy adults need to be vaccinated to prevent one of them experiencing influenza, and 29 healthy adults need to be vaccinated to prevent one of them experiencing an ILI). The difference between the two number needed to vaccinate (NNV) values depends on the different incidence of ILI and confirmed influenza among the study populations. Vaccination may lead to a small reduction in the risk of hospitalisation in healthy adults, from 14.7% to 14.1%, but the CI is wide and does not rule out a large benefit (RR 0.96, 95% CI 0.85 to 1.08; 11,924 participants; low-certainty evidence). Vaccines may lead to little or no small reduction in days off work (-0.04 days, 95% CI -0.14 days to 0.06; low-certainty evidence). Inactivated vaccines cause an increase in fever from 1.5% to 2.3%.We identified one RCT and one controlled clinical trial assessing the effects of vaccination in pregnant women. The efficacy of inactivated vaccine containing pH1N1 against influenza was 50% (95% CI 14% to 71%) in mothers (NNV 55), and 49% (95% CI 12% to 70%) in infants up to 24 weeks (NNV 56). No data were available on efficacy against seasonal influenza during pregnancy. Evidence from observational studies showed effectiveness of influenza vaccines against ILI in pregnant women to be 24% (95% CI 11% to 36%, NNV 94), and against influenza in newborns from vaccinated women to be 41% (95% CI 6% to 63%, NNV 27).Live aerosol vaccines have an overall effectiveness corresponding to an NNV of 46. The performance of one- or two-dose whole-virion 1968 to 1969 pandemic vaccines was higher (NNV 16) against ILI and (NNV 35) against influenza. There was limited impact on hospitalisations in the 1968 to 1969 pandemic (NNV 94). The administration of both seasonal and 2009 pandemic vaccines during pregnancy had no significant effect on abortion or neonatal death, but this was based on observational data sets.\nAUTHORS' CONCLUSIONS: Healthy adults who receive inactivated parenteral influenza vaccine rather than no vaccine probably experience less influenza, from just over 2% to just under 1% (moderate-certainty evidence). They also probably experience less ILI following vaccination, but the degree of benefit when expressed in absolute terms varied across different settings. Variation in protection against ILI may be due in part to inconsistent symptom classification. Certainty of evidence for the small reductions in hospitalisations and time off work is low. Protection against influenza and ILI in mothers and newborns was smaller than the effects seen in other populations considered in this review.Vaccines increase the risk of a number of adverse events, including a small increase in fever, but rates of nausea and vomiting are uncertain. The protective effect of vaccination in pregnant women and newborns is also very modest. We did not find any evidence of an association between influenza vaccination and serious adverse events in the comparative studies considered in this review. Fifteen included RCTs were industry funded (29%).","container-title":"The Cochrane Database of Systematic Reviews","DOI":"10.1002/14651858.CD001269.pub6","ISSN":"1469-493X","issue":"2","journalAbbreviation":"Cochrane Database Syst Rev","language":"eng","note":"PMID: 29388196\nPMCID: PMC6491184","page":"CD001269","source":"PubMed","title":"Vaccines for preventing influenza in healthy adults","volume":"2","author":[{"family":"Demicheli","given":"Vittorio"},{"family":"Jefferson","given":"Tom"},{"family":"Ferroni","given":"Eliana"},{"family":"Rivetti","given":"Alessandro"},{"family":"Di Pietrantonj","given":"Carlo"}],"issued":{"date-parts":[["2018",2,1]]}}},{"id":178,"uris":["http://zotero.org/users/14445769/items/SEZ24XXG"],"itemData":{"id":178,"type":"article-journal","abstract":"BACKGROUND: Maternal influenza immunisation can reduce morbidity and mortality associated with influenza infection in pregnant women and young infants. We aimed to determine the vaccine efficacy of maternal influenza immunisation against maternal and infant PCR-confirmed influenza, duration of protection, and the effect of gestational age at vaccination on vaccine efficacy, birth outcomes, and infant growth up to 6 months of age.\nMETHODS: We did a pooled analysis of three randomised controlled trials done in Nepal (2011-2014), Mali (2011-2014), and South Africa (2011-2013). Pregnant women, gestational age 17-34 weeks in Nepal, 28 weeks or more in Mali, and 20-36 weeks in South Africa, were enrolled. Women were randomly assigned 1:1 to a study group, in which they received trivalent inactivated influenza vaccine (IIV) in all three trials, or a control group, in which they received saline placebo in Nepal and South Africa or quadrivalent meningococcal conjugate vaccine in Mali. Enrolment at all sites was complete by April 24, 2013. Infants and women were assessed for respiratory illness, and samples from those that met the case definition were tested for influenza by PCR testing. Growth measurements, including length and weight, were obtained at birth at all sites, at 24 weeks in South Africa, and at 6 months in Nepal and Mali. The three trials are registered with ClinicalTrials.gov, numbers NCT01430689, NCT01034254, and NCT02465190.\nFINDINGS: 10 002 women and 9800 liveborn infants were included. Pooled efficacy of maternal vaccination to prevent infant PCR-confirmed influenza up to 6 months of age was 35% (95% CI 19 to 47). The pooled estimate was 56% (28 to 73) within the first 2 months of life, 39% (11 to 58) between 2 and 4 months, and 19% (-9 to 40) between 4 and 6 months. In women, from enrolment during pregnancy to the end of follow-up at 6 months postpartum, the vaccine was 50% (95% CI 32-63) efficacious against PCR-confirmed influenza. Efficacy was 42% (12 to 61) during pregnancy and 60% (36 to 75) postpartum. In women vaccinated before 29 weeks gestational age, the estimated efficacy was 30% (-2 to 52), and in women vaccinated at or after 29 weeks, efficacy was 71% (50 to 83). Efficacy was similar in infants born to mothers vaccinated before or after 29 weeks gestation (34% [95% CI 12 to 51] vs 35% [11 to 52]). There was no overall association between maternal vaccination and low birthweight, stillbirth, preterm birth, and small for gestational age. At 6 months of age, the intervention and control groups were similar in terms of underweight (weight-for-age), stunted (length-for-age), and wasted (weight-for-length). Median centile change from birth to 6 months of age was similar between the intervention and the control groups for both weight and length.\nINTERPRETATION: The assessment of efficacy for women vaccinated before 29 weeks gestational age might have been underpowered, because the point estimate suggests that there might be efficacy despite wide CIs. Estimates of efficacy against PCR-confirmed influenza and safety in terms of adverse birth outcomes should be incorporated into any further consideration of maternal influenza immunisation recommendations.\nFUNDING: Bill &amp; Melinda Gates Foundation.","container-title":"The Lancet. Respiratory Medicine","DOI":"10.1016/S2213-2600(19)30479-5","ISSN":"2213-2619","issue":"6","journalAbbreviation":"Lancet Respir Med","language":"eng","note":"PMID: 32526188\nPMCID: PMC7284303","page":"597-608","source":"PubMed","title":"Efficacy, duration of protection, birth outcomes, and infant growth associated with influenza vaccination in pregnancy: a pooled analysis of three randomised controlled trials","title-short":"Efficacy, duration of protection, birth outcomes, and infant growth associated with influenza vaccination in pregnancy","volume":"8","author":[{"family":"Omer","given":"Saad B."},{"family":"Clark","given":"Dayna R."},{"family":"Madhi","given":"Shabir A."},{"family":"Tapia","given":"Milagritos D."},{"family":"Nunes","given":"Marta C."},{"family":"Cutland","given":"Clare L."},{"family":"Simões","given":"Eric A. F."},{"family":"Aqil","given":"Anushka R."},{"family":"Katz","given":"Joanne"},{"family":"Tielsch","given":"James M."},{"family":"Steinhoff","given":"Mark C."},{"family":"Wairagkar","given":"Niteen"},{"literal":"BMGF Supported Maternal Influenza Immunization Trials Investigators Group"}],"issued":{"date-parts":[["2020",6]]}}},{"id":60,"uris":["http://zotero.org/users/14445769/items/N7V4PGF3"],"itemData":{"id":60,"type":"article-journal","abstract":"Objective To assess the effects of COVID-19 vaccines in women before or during pregnancy on SARS-CoV-2 infection-related, pregnancy, offspring and reactogenicity outcomes.\nDesign Systematic review and meta-analysis.\nData sources Major databases between December 2019 and January 2023.\nStudy selection Nine pairs of reviewers contributed to study selection. We included test-negative designs, comparative cohorts and randomised trials on effects of COVID-19 vaccines on infection-related and pregnancy outcomes. Non-comparative cohort studies reporting reactogenicity outcomes were also included.\nQuality assessment, data extraction and analysis Two reviewers independently assessed study quality and extracted data. We undertook random-effects meta-analysis and reported findings as HRs, risk ratios (RRs), ORs or rates with 95% CIs.\nResults Sixty-seven studies (1 813 947 women) were included. Overall, in test-negative design studies, pregnant women fully vaccinated with any COVID-19 vaccine had 61% reduced odds of SARS-CoV-2 infection during pregnancy (OR 0.39, 95% CI 0.21 to 0.75; 4 studies, 23 927 women; I2=87.2%) and 94% reduced odds of hospital admission (OR 0.06, 95% CI 0.01 to 0.71; 2 studies, 868 women; I2=92%). In adjusted cohort studies, the risk of hypertensive disorders in pregnancy was reduced by 12% (RR 0.88, 95% CI 0.82 to 0.92; 2 studies; 115 085 women), while caesarean section was reduced by 9% (OR 0.91, 95% CI 0.85 to 0.98; 6 studies; 30 192 women). We observed an 8% reduction in the risk of neonatal intensive care unit admission (RR 0.92, 95% CI 0.87 to 0.97; 2 studies; 54 569 women) in babies born to vaccinated versus not vaccinated women. In general, vaccination during pregnancy was not associated with increased risk of adverse pregnancy or perinatal outcomes. Pain at the injection site was the most common side effect reported (77%, 95% CI 52% to 94%; 11 studies; 27 195 women).\nConclusion COVID-19 vaccines are effective in preventing SARS-CoV-2 infection and related complications in pregnant women.\nPROSPERO registration number CRD42020178076.","container-title":"BMJ Global Health","DOI":"10.1136/bmjgh-2023-014247","ISSN":"2059-7908","issue":"4","language":"en","license":"© World Health Organization 2024. Licensee BMJ.. https://creativecommons.org/licenses/by/3.0/igo/This is an open access article distributed under the terms of the Creative Commons Attribution IGO License (CC BY 3.0 IGO), which permits use, distribution,and reproduction in any medium, provided the original work is properly cited. In any reproduction of this article there should not be any suggestion that WHO or this article endorse any specific organization or products. The use of the WHO logo is not permitted. This notice should be preserved along with the article’s original URL.","note":"PMID: 38580375","page":"e014247","source":"gh.bmj.com","title":"Effectiveness and safety of COVID-19 vaccines on maternal and perinatal outcomes: a systematic review and meta-analysis","title-short":"Effectiveness and safety of COVID-19 vaccines on maternal and perinatal outcomes","volume":"9","author":[{"family":"Fernández-García","given":"Silvia"},{"family":"Campo-Albendea","given":"Laura","dropping-particle":"del"},{"family":"Sambamoorthi","given":"Dharshini"},{"family":"Sheikh","given":"Jameela"},{"family":"Lau","given":"Karen"},{"family":"Osei-Lah","given":"Nana"},{"family":"Ramkumar","given":"Anoushka"},{"family":"Naidu","given":"Harshitha"},{"family":"Stoney","given":"Nicole"},{"family":"Sundaram","given":"Paul"},{"family":"Sengupta","given":"Paulomi"},{"family":"Mehta","given":"Samay"},{"family":"Attarde","given":"Shruti"},{"family":"Maddock","given":"Sophie"},{"family":"Manning","given":"Millie"},{"family":"Meherally","given":"Zainita"},{"family":"Ansari","given":"Kehkashan"},{"family":"Lawson","given":"Heidi"},{"family":"Yap","given":"Magnus"},{"family":"Kew","given":"Tania"},{"family":"Punnoose","given":"Andriya"},{"family":"Knight","given":"Chloe"},{"family":"Sadeqa","given":"Eyna"},{"family":"Cherian","given":"Jiya"},{"family":"Ravi","given":"Sangamithra"},{"family":"Chen","given":"Wentin"},{"family":"Walker","given":"Kate"},{"family":"O’Donoghue","given":"Keelin"},{"family":"Wely","given":"Madelon","dropping-particle":"van"},{"family":"Leeuwen","given":"Elizabeth","dropping-particle":"van"},{"family":"Kostova","given":"Elena"},{"family":"Kunst","given":"Heinke"},{"family":"Khalil","given":"Asma"},{"family":"Brizuela","given":"Vanessa"},{"family":"Kara","given":"Edna"},{"family":"Kim","given":"Caron Rahn"},{"family":"Thorson","given":"Anna"},{"family":"Oladapo","given":"Olufemi T."},{"family":"Mofenson","given":"Lynne"},{"family":"Gottlieb","given":"Sami L."},{"family":"Bonet","given":"Mercedes"},{"family":"Moss","given":"Ngawai"},{"family":"Zamora","given":"Javier"},{"family":"Allotey","given":"John"},{"family":"Thangaratinam","given":"Shakila"}],"issued":{"date-parts":[["2024",4,1]]}}},{"id":91,"uris":["http://zotero.org/users/14445769/items/G4WIHRCU"],"itemData":{"id":91,"type":"article-journal","container-title":"New England Journal of Medicine","DOI":"10.1056/NEJMoa2216480","ISSN":"0028-4793, 1533-4406","issue":"16","journalAbbreviation":"N Engl J Med","language":"en","license":"http://www.nejmgroup.org/legal/terms-of-use.htm","page":"1451-1464","source":"DOI.org (Crossref)","title":"Bivalent Prefusion F Vaccine in Pregnancy to Prevent RSV Illness in Infants","volume":"388","author":[{"family":"Kampmann","given":"Beate"},{"family":"Madhi","given":"Shabir A."},{"family":"Munjal","given":"Iona"},{"family":"Simões","given":"Eric A.F."},{"family":"Pahud","given":"Barbara A."},{"family":"Llapur","given":"Conrado"},{"family":"Baker","given":"Jeffrey"},{"family":"Pérez Marc","given":"Gonzalo"},{"family":"Radley","given":"David"},{"family":"Shittu","given":"Emma"},{"family":"Glanternik","given":"Julia"},{"family":"Snaggs","given":"Hasra"},{"family":"Baber","given":"James"},{"family":"Zachariah","given":"Philip"},{"family":"Barnabas","given":"Shaun L."},{"family":"Fausett","given":"Merlin"},{"family":"Adam","given":"Tyler"},{"family":"Perreras","given":"Nicole"},{"family":"Van Houten","given":"Marlies A."},{"family":"Kantele","given":"Anu"},{"family":"Huang","given":"Li-Min"},{"family":"Bont","given":"Louis J."},{"family":"Otsuki","given":"Takeo"},{"family":"Vargas","given":"Sergio L."},{"family":"Gullam","given":"Joanna"},{"family":"Tapiero","given":"Bruce"},{"family":"Stein","given":"Renato T."},{"family":"Polack","given":"Fernando P."},{"family":"Zar","given":"Heather J."},{"family":"Staerke","given":"Nina B."},{"family":"Duron Padilla","given":"María"},{"family":"Richmond","given":"Peter C."},{"family":"Koury","given":"Kenneth"},{"family":"Schneider","given":"Katherine"},{"family":"Kalinina","given":"Elena V."},{"family":"Cooper","given":"David"},{"family":"Jansen","given":"Kathrin U."},{"family":"Anderson","given":"Annaliesa S."},{"family":"Swanson","given":"Kena A."},{"family":"Gruber","given":"William C."},{"family":"Gurtman","given":"Alejandra"}],"issued":{"date-parts":[["2023",4,20]]}}}],"schema":"https://github.com/citation-style-language/schema/raw/master/csl-citation.json"} </w:instrText>
      </w:r>
      <w:r w:rsidR="00896B2D" w:rsidRPr="00DC55B0">
        <w:rPr>
          <w:rFonts w:ascii="Calibri" w:hAnsi="Calibri" w:cs="Calibri"/>
        </w:rPr>
        <w:fldChar w:fldCharType="separate"/>
      </w:r>
      <w:r w:rsidR="003F3CD5" w:rsidRPr="00DC55B0">
        <w:rPr>
          <w:rFonts w:ascii="Calibri" w:hAnsi="Calibri" w:cs="Calibri"/>
          <w:kern w:val="0"/>
          <w:vertAlign w:val="superscript"/>
        </w:rPr>
        <w:t>3–9</w:t>
      </w:r>
      <w:r w:rsidR="00896B2D" w:rsidRPr="00DC55B0">
        <w:rPr>
          <w:rFonts w:ascii="Calibri" w:hAnsi="Calibri" w:cs="Calibri"/>
        </w:rPr>
        <w:fldChar w:fldCharType="end"/>
      </w:r>
    </w:p>
    <w:p w14:paraId="6BE77AB7" w14:textId="77777777" w:rsidR="00082DEB" w:rsidRPr="00DC55B0" w:rsidRDefault="00082DEB" w:rsidP="001F3ACA">
      <w:pPr>
        <w:rPr>
          <w:rFonts w:ascii="Calibri" w:hAnsi="Calibri" w:cs="Calibri"/>
          <w:b/>
          <w:bCs/>
        </w:rPr>
      </w:pPr>
    </w:p>
    <w:p w14:paraId="5F5A00E9" w14:textId="38E0DE35" w:rsidR="00886C88" w:rsidRPr="00DC55B0" w:rsidRDefault="00BE00E7" w:rsidP="001F3ACA">
      <w:pPr>
        <w:rPr>
          <w:rFonts w:ascii="Calibri" w:hAnsi="Calibri" w:cs="Calibri"/>
          <w:b/>
          <w:bCs/>
        </w:rPr>
      </w:pPr>
      <w:r w:rsidRPr="00DC55B0">
        <w:rPr>
          <w:rFonts w:ascii="Calibri" w:hAnsi="Calibri" w:cs="Calibri"/>
          <w:b/>
          <w:bCs/>
        </w:rPr>
        <w:t xml:space="preserve">Immunology of vaccination in pregnancy </w:t>
      </w:r>
    </w:p>
    <w:p w14:paraId="28783B58" w14:textId="587B5296" w:rsidR="00B260B0" w:rsidRPr="00DC55B0" w:rsidRDefault="00897590" w:rsidP="001F3ACA">
      <w:pPr>
        <w:rPr>
          <w:rFonts w:ascii="Calibri" w:hAnsi="Calibri" w:cs="Calibri"/>
        </w:rPr>
      </w:pPr>
      <w:r w:rsidRPr="00DC55B0">
        <w:rPr>
          <w:rFonts w:ascii="Calibri" w:hAnsi="Calibri" w:cs="Calibri"/>
        </w:rPr>
        <w:t>Part of the newborn’s vulnerability to infection stems from the fact that</w:t>
      </w:r>
      <w:r w:rsidR="0097485F" w:rsidRPr="00DC55B0">
        <w:rPr>
          <w:rFonts w:ascii="Calibri" w:hAnsi="Calibri" w:cs="Calibri"/>
        </w:rPr>
        <w:t xml:space="preserve"> the neonatal immune system</w:t>
      </w:r>
      <w:r w:rsidR="005671DF" w:rsidRPr="00DC55B0">
        <w:rPr>
          <w:rFonts w:ascii="Calibri" w:hAnsi="Calibri" w:cs="Calibri"/>
        </w:rPr>
        <w:t xml:space="preserve"> is functionally </w:t>
      </w:r>
      <w:r w:rsidR="001779FA" w:rsidRPr="00DC55B0">
        <w:rPr>
          <w:rFonts w:ascii="Calibri" w:hAnsi="Calibri" w:cs="Calibri"/>
        </w:rPr>
        <w:t>“</w:t>
      </w:r>
      <w:r w:rsidR="005671DF" w:rsidRPr="00DC55B0">
        <w:rPr>
          <w:rFonts w:ascii="Calibri" w:hAnsi="Calibri" w:cs="Calibri"/>
        </w:rPr>
        <w:t>immature</w:t>
      </w:r>
      <w:r w:rsidR="001779FA" w:rsidRPr="00DC55B0">
        <w:rPr>
          <w:rFonts w:ascii="Calibri" w:hAnsi="Calibri" w:cs="Calibri"/>
        </w:rPr>
        <w:t>”</w:t>
      </w:r>
      <w:r w:rsidR="00B37EB7" w:rsidRPr="00DC55B0">
        <w:rPr>
          <w:rFonts w:ascii="Calibri" w:hAnsi="Calibri" w:cs="Calibri"/>
        </w:rPr>
        <w:t>.</w:t>
      </w:r>
      <w:r w:rsidR="00C16426" w:rsidRPr="00DC55B0">
        <w:rPr>
          <w:rFonts w:ascii="Calibri" w:hAnsi="Calibri" w:cs="Calibri"/>
        </w:rPr>
        <w:t xml:space="preserve"> </w:t>
      </w:r>
      <w:r w:rsidR="00374029" w:rsidRPr="00DC55B0">
        <w:rPr>
          <w:rFonts w:ascii="Calibri" w:hAnsi="Calibri" w:cs="Calibri"/>
        </w:rPr>
        <w:t>T</w:t>
      </w:r>
      <w:r w:rsidR="00C16426" w:rsidRPr="00DC55B0">
        <w:rPr>
          <w:rFonts w:ascii="Calibri" w:hAnsi="Calibri" w:cs="Calibri"/>
        </w:rPr>
        <w:t>here has been a growing consensus</w:t>
      </w:r>
      <w:r w:rsidR="008715DC" w:rsidRPr="00DC55B0">
        <w:rPr>
          <w:rFonts w:ascii="Calibri" w:hAnsi="Calibri" w:cs="Calibri"/>
        </w:rPr>
        <w:t xml:space="preserve"> that </w:t>
      </w:r>
      <w:r w:rsidR="00374029" w:rsidRPr="00DC55B0">
        <w:rPr>
          <w:rFonts w:ascii="Calibri" w:hAnsi="Calibri" w:cs="Calibri"/>
        </w:rPr>
        <w:t xml:space="preserve">the term </w:t>
      </w:r>
      <w:r w:rsidR="005A04A3" w:rsidRPr="00DC55B0">
        <w:rPr>
          <w:rFonts w:ascii="Calibri" w:hAnsi="Calibri" w:cs="Calibri"/>
        </w:rPr>
        <w:t>“</w:t>
      </w:r>
      <w:r w:rsidR="00374029" w:rsidRPr="00DC55B0">
        <w:rPr>
          <w:rFonts w:ascii="Calibri" w:hAnsi="Calibri" w:cs="Calibri"/>
        </w:rPr>
        <w:t>immature</w:t>
      </w:r>
      <w:r w:rsidR="005A04A3" w:rsidRPr="00DC55B0">
        <w:rPr>
          <w:rFonts w:ascii="Calibri" w:hAnsi="Calibri" w:cs="Calibri"/>
        </w:rPr>
        <w:t>”</w:t>
      </w:r>
      <w:r w:rsidR="00374029" w:rsidRPr="00DC55B0">
        <w:rPr>
          <w:rFonts w:ascii="Calibri" w:hAnsi="Calibri" w:cs="Calibri"/>
        </w:rPr>
        <w:t xml:space="preserve"> may not be accurate and that this</w:t>
      </w:r>
      <w:r w:rsidR="008715DC" w:rsidRPr="00DC55B0">
        <w:rPr>
          <w:rFonts w:ascii="Calibri" w:hAnsi="Calibri" w:cs="Calibri"/>
        </w:rPr>
        <w:t xml:space="preserve"> might better be considered a </w:t>
      </w:r>
      <w:r w:rsidR="00C3090B" w:rsidRPr="00DC55B0">
        <w:rPr>
          <w:rFonts w:ascii="Calibri" w:hAnsi="Calibri" w:cs="Calibri"/>
        </w:rPr>
        <w:t xml:space="preserve">mechanism that protects </w:t>
      </w:r>
      <w:r w:rsidR="008715DC" w:rsidRPr="00DC55B0">
        <w:rPr>
          <w:rFonts w:ascii="Calibri" w:hAnsi="Calibri" w:cs="Calibri"/>
        </w:rPr>
        <w:t>the ne</w:t>
      </w:r>
      <w:r w:rsidR="00C0106F" w:rsidRPr="00DC55B0">
        <w:rPr>
          <w:rFonts w:ascii="Calibri" w:hAnsi="Calibri" w:cs="Calibri"/>
        </w:rPr>
        <w:t>wborn</w:t>
      </w:r>
      <w:r w:rsidR="00E04447" w:rsidRPr="00DC55B0">
        <w:rPr>
          <w:rFonts w:ascii="Calibri" w:hAnsi="Calibri" w:cs="Calibri"/>
        </w:rPr>
        <w:t xml:space="preserve"> </w:t>
      </w:r>
      <w:r w:rsidR="008715DC" w:rsidRPr="00DC55B0">
        <w:rPr>
          <w:rFonts w:ascii="Calibri" w:hAnsi="Calibri" w:cs="Calibri"/>
        </w:rPr>
        <w:t xml:space="preserve">from </w:t>
      </w:r>
      <w:r w:rsidR="0037429A" w:rsidRPr="00DC55B0">
        <w:rPr>
          <w:rFonts w:ascii="Calibri" w:hAnsi="Calibri" w:cs="Calibri"/>
        </w:rPr>
        <w:t>excessive</w:t>
      </w:r>
      <w:r w:rsidR="00E9075A" w:rsidRPr="00DC55B0">
        <w:rPr>
          <w:rFonts w:ascii="Calibri" w:hAnsi="Calibri" w:cs="Calibri"/>
        </w:rPr>
        <w:t xml:space="preserve"> </w:t>
      </w:r>
      <w:r w:rsidR="00374029" w:rsidRPr="00DC55B0">
        <w:rPr>
          <w:rFonts w:ascii="Calibri" w:hAnsi="Calibri" w:cs="Calibri"/>
        </w:rPr>
        <w:t xml:space="preserve">immune </w:t>
      </w:r>
      <w:r w:rsidR="00E9075A" w:rsidRPr="00DC55B0">
        <w:rPr>
          <w:rFonts w:ascii="Calibri" w:hAnsi="Calibri" w:cs="Calibri"/>
        </w:rPr>
        <w:t xml:space="preserve">responses </w:t>
      </w:r>
      <w:r w:rsidR="00374029" w:rsidRPr="00DC55B0">
        <w:rPr>
          <w:rFonts w:ascii="Calibri" w:hAnsi="Calibri" w:cs="Calibri"/>
        </w:rPr>
        <w:t>against</w:t>
      </w:r>
      <w:r w:rsidR="00E9075A" w:rsidRPr="00DC55B0">
        <w:rPr>
          <w:rFonts w:ascii="Calibri" w:hAnsi="Calibri" w:cs="Calibri"/>
        </w:rPr>
        <w:t xml:space="preserve"> </w:t>
      </w:r>
      <w:r w:rsidR="00C33197" w:rsidRPr="00DC55B0">
        <w:rPr>
          <w:rFonts w:ascii="Calibri" w:hAnsi="Calibri" w:cs="Calibri"/>
        </w:rPr>
        <w:t xml:space="preserve">harmless environmental antigens and </w:t>
      </w:r>
      <w:r w:rsidR="0037429A" w:rsidRPr="00DC55B0">
        <w:rPr>
          <w:rFonts w:ascii="Calibri" w:hAnsi="Calibri" w:cs="Calibri"/>
        </w:rPr>
        <w:t>commensal organisms</w:t>
      </w:r>
      <w:r w:rsidR="00374029" w:rsidRPr="00DC55B0">
        <w:rPr>
          <w:rFonts w:ascii="Calibri" w:hAnsi="Calibri" w:cs="Calibri"/>
        </w:rPr>
        <w:t xml:space="preserve"> </w:t>
      </w:r>
      <w:r w:rsidR="00AA3105" w:rsidRPr="00DC55B0">
        <w:rPr>
          <w:rFonts w:ascii="Calibri" w:hAnsi="Calibri" w:cs="Calibri"/>
        </w:rPr>
        <w:t>encountered for the first time after birth.</w:t>
      </w:r>
      <w:r w:rsidR="00515CB6" w:rsidRPr="00DC55B0">
        <w:rPr>
          <w:rFonts w:ascii="Calibri" w:hAnsi="Calibri" w:cs="Calibri"/>
        </w:rPr>
        <w:fldChar w:fldCharType="begin"/>
      </w:r>
      <w:r w:rsidR="003F3CD5" w:rsidRPr="00DC55B0">
        <w:rPr>
          <w:rFonts w:ascii="Calibri" w:hAnsi="Calibri" w:cs="Calibri"/>
        </w:rPr>
        <w:instrText xml:space="preserve"> ADDIN ZOTERO_ITEM CSL_CITATION {"citationID":"5JsIyTu8","properties":{"formattedCitation":"\\super 10\\nosupersub{}","plainCitation":"10","noteIndex":0},"citationItems":[{"id":97,"uris":["http://zotero.org/users/14445769/items/BZVEB2Y5"],"itemData":{"id":97,"type":"article-journal","abstract":"Research on newborn immunity has revealed the importance of cell ontogeny, feto-maternal tolerance, and the transfer of maternal antibodies. Less is known about postnatal adaptation to environmental exposures. The microbiome and its importance for health have been extensively studied, but it remains unclear how mutually beneficial relationships between commensal microbes and human cells first arise and are maintained throughout life. Such immune-microbe mutualism, and perturbations thereof, is most likely a root cause of increasing incidences of immune-mediated disorders such as allergies and autoimmunity across many industrialized nations during the past century. In this Review, I discuss our current understanding of immune development and propose that mismatches among ancestral, early-life, and adult environments can explain perturbations to immune-microbe interactions, immune dysregulation, and increased risks of immune-mediated diseases.","container-title":"Science","DOI":"10.1126/science.abk2189","ISSN":"0036-8075, 1095-9203","issue":"6596","journalAbbreviation":"Science","language":"en","page":"945-950","source":"DOI.org (Crossref)","title":"Immune-microbe interactions early in life: A determinant of health and disease long term","title-short":"Immune-microbe interactions early in life","volume":"376","author":[{"family":"Brodin","given":"Petter"}],"issued":{"date-parts":[["2022",5,27]]}}}],"schema":"https://github.com/citation-style-language/schema/raw/master/csl-citation.json"} </w:instrText>
      </w:r>
      <w:r w:rsidR="00515CB6" w:rsidRPr="00DC55B0">
        <w:rPr>
          <w:rFonts w:ascii="Calibri" w:hAnsi="Calibri" w:cs="Calibri"/>
        </w:rPr>
        <w:fldChar w:fldCharType="separate"/>
      </w:r>
      <w:r w:rsidR="003F3CD5" w:rsidRPr="00DC55B0">
        <w:rPr>
          <w:rFonts w:ascii="Calibri" w:hAnsi="Calibri" w:cs="Calibri"/>
          <w:kern w:val="0"/>
          <w:vertAlign w:val="superscript"/>
        </w:rPr>
        <w:t>10</w:t>
      </w:r>
      <w:r w:rsidR="00515CB6" w:rsidRPr="00DC55B0">
        <w:rPr>
          <w:rFonts w:ascii="Calibri" w:hAnsi="Calibri" w:cs="Calibri"/>
        </w:rPr>
        <w:fldChar w:fldCharType="end"/>
      </w:r>
      <w:r w:rsidR="00192F9E" w:rsidRPr="00DC55B0">
        <w:rPr>
          <w:rFonts w:ascii="Calibri" w:hAnsi="Calibri" w:cs="Calibri"/>
        </w:rPr>
        <w:t xml:space="preserve"> Nonetheless, this poses a challenge</w:t>
      </w:r>
      <w:r w:rsidR="009C509F" w:rsidRPr="00DC55B0">
        <w:rPr>
          <w:rFonts w:ascii="Calibri" w:hAnsi="Calibri" w:cs="Calibri"/>
        </w:rPr>
        <w:t xml:space="preserve"> for the vaccination of newborns, </w:t>
      </w:r>
      <w:r w:rsidR="005A5EAB" w:rsidRPr="00DC55B0">
        <w:rPr>
          <w:rFonts w:ascii="Calibri" w:hAnsi="Calibri" w:cs="Calibri"/>
        </w:rPr>
        <w:t xml:space="preserve">who raise less effective </w:t>
      </w:r>
      <w:r w:rsidR="00374029" w:rsidRPr="00DC55B0">
        <w:rPr>
          <w:rFonts w:ascii="Calibri" w:hAnsi="Calibri" w:cs="Calibri"/>
        </w:rPr>
        <w:t xml:space="preserve">immune </w:t>
      </w:r>
      <w:r w:rsidR="005A5EAB" w:rsidRPr="00DC55B0">
        <w:rPr>
          <w:rFonts w:ascii="Calibri" w:hAnsi="Calibri" w:cs="Calibri"/>
        </w:rPr>
        <w:t xml:space="preserve">responses </w:t>
      </w:r>
      <w:r w:rsidR="00020E25" w:rsidRPr="00DC55B0">
        <w:rPr>
          <w:rFonts w:ascii="Calibri" w:hAnsi="Calibri" w:cs="Calibri"/>
        </w:rPr>
        <w:t>to a number of vaccines, compared to older children and adults</w:t>
      </w:r>
      <w:r w:rsidR="00515CB6" w:rsidRPr="00DC55B0">
        <w:rPr>
          <w:rFonts w:ascii="Calibri" w:hAnsi="Calibri" w:cs="Calibri"/>
        </w:rPr>
        <w:t>.</w:t>
      </w:r>
      <w:r w:rsidR="00515CB6" w:rsidRPr="00DC55B0">
        <w:rPr>
          <w:rFonts w:ascii="Calibri" w:hAnsi="Calibri" w:cs="Calibri"/>
        </w:rPr>
        <w:fldChar w:fldCharType="begin"/>
      </w:r>
      <w:r w:rsidR="003F3CD5" w:rsidRPr="00DC55B0">
        <w:rPr>
          <w:rFonts w:ascii="Calibri" w:hAnsi="Calibri" w:cs="Calibri"/>
        </w:rPr>
        <w:instrText xml:space="preserve"> ADDIN ZOTERO_ITEM CSL_CITATION {"citationID":"oxqAMD9N","properties":{"formattedCitation":"\\super 11\\nosupersub{}","plainCitation":"11","noteIndex":0},"citationItems":[{"id":142,"uris":["http://zotero.org/users/14445769/items/R6PM8ZSJ"],"itemData":{"id":142,"type":"article-journal","abstract":"One of the major challenges in vaccinology is the development of products that are able to induce protective immunity in the early life period. There are clear differences between adult and neonatal immune responses in both mice and humans with respect to both humoral and cell-mediated immunity. As a rule, neonates respond poorly to T-independent polysaccharide antigens and make lower and less persistent antibody responses to T-dependent protein antigens. Nevertheless, B-cell priming in neonates may lead to the generation of memory B cells. Similarly, neonatal cell-mediated immune responses are of lower potency than those generated in adults, and a key factor underlying this phenomenon may be a less effective interaction between antigen and neonatal dendritic cells. In addition to immunological immaturity in the neonate, the presence of inhibitory concentrations of maternally derived antibody imposes a further barrier to effective early life vaccination. Novel vaccination strategies including early priming and subsequent boosting are most likely to counteract these effects and provide protection from exposure to infectious disease in early life.","collection-title":"Proceedings from The Merial European Vaccinology Symposium (MEVS)","container-title":"Journal of Comparative Pathology","DOI":"10.1016/j.jcpa.2007.04.004","ISSN":"0021-9975","journalAbbreviation":"Journal of Comparative Pathology","page":"S4-S9","source":"ScienceDirect","title":"The Challenges of Vaccine Responses in Early Life: Selected Examples","title-short":"The Challenges of Vaccine Responses in Early Life","volume":"137","author":[{"family":"Siegrist","given":"C. -A."}],"issued":{"date-parts":[["2007",7,1]]}}}],"schema":"https://github.com/citation-style-language/schema/raw/master/csl-citation.json"} </w:instrText>
      </w:r>
      <w:r w:rsidR="00515CB6" w:rsidRPr="00DC55B0">
        <w:rPr>
          <w:rFonts w:ascii="Calibri" w:hAnsi="Calibri" w:cs="Calibri"/>
        </w:rPr>
        <w:fldChar w:fldCharType="separate"/>
      </w:r>
      <w:r w:rsidR="003F3CD5" w:rsidRPr="00DC55B0">
        <w:rPr>
          <w:rFonts w:ascii="Calibri" w:hAnsi="Calibri" w:cs="Calibri"/>
          <w:kern w:val="0"/>
          <w:vertAlign w:val="superscript"/>
        </w:rPr>
        <w:t>11</w:t>
      </w:r>
      <w:r w:rsidR="00515CB6" w:rsidRPr="00DC55B0">
        <w:rPr>
          <w:rFonts w:ascii="Calibri" w:hAnsi="Calibri" w:cs="Calibri"/>
        </w:rPr>
        <w:fldChar w:fldCharType="end"/>
      </w:r>
      <w:r w:rsidR="002028E6" w:rsidRPr="00DC55B0">
        <w:rPr>
          <w:rFonts w:ascii="Calibri" w:hAnsi="Calibri" w:cs="Calibri"/>
        </w:rPr>
        <w:t xml:space="preserve"> </w:t>
      </w:r>
    </w:p>
    <w:p w14:paraId="6ADFCB82" w14:textId="77777777" w:rsidR="00286D26" w:rsidRPr="00DC55B0" w:rsidRDefault="00286D26" w:rsidP="001F3ACA">
      <w:pPr>
        <w:rPr>
          <w:rFonts w:ascii="Calibri" w:hAnsi="Calibri" w:cs="Calibri"/>
        </w:rPr>
      </w:pPr>
    </w:p>
    <w:p w14:paraId="5EB60BCF" w14:textId="1B718FE5" w:rsidR="00286D26" w:rsidRPr="00DC55B0" w:rsidRDefault="001871B7" w:rsidP="001F3ACA">
      <w:pPr>
        <w:rPr>
          <w:rFonts w:ascii="Calibri" w:hAnsi="Calibri" w:cs="Calibri"/>
        </w:rPr>
      </w:pPr>
      <w:r w:rsidRPr="00DC55B0">
        <w:rPr>
          <w:rFonts w:ascii="Calibri" w:hAnsi="Calibri" w:cs="Calibri"/>
        </w:rPr>
        <w:t>Maternal antibody crosses the placenta and is secreted into breast milk</w:t>
      </w:r>
      <w:r w:rsidR="002A79F8" w:rsidRPr="00DC55B0">
        <w:rPr>
          <w:rFonts w:ascii="Calibri" w:hAnsi="Calibri" w:cs="Calibri"/>
        </w:rPr>
        <w:t>,</w:t>
      </w:r>
      <w:r w:rsidRPr="00DC55B0">
        <w:rPr>
          <w:rFonts w:ascii="Calibri" w:hAnsi="Calibri" w:cs="Calibri"/>
        </w:rPr>
        <w:t xml:space="preserve"> affording newborns some protection against </w:t>
      </w:r>
      <w:r w:rsidR="00726A59" w:rsidRPr="00DC55B0">
        <w:rPr>
          <w:rFonts w:ascii="Calibri" w:hAnsi="Calibri" w:cs="Calibri"/>
        </w:rPr>
        <w:t>antigenic challenges encountered by their mothers. One strategy is therefore to vaccinate</w:t>
      </w:r>
      <w:r w:rsidR="00971CE2" w:rsidRPr="00DC55B0">
        <w:rPr>
          <w:rFonts w:ascii="Calibri" w:hAnsi="Calibri" w:cs="Calibri"/>
        </w:rPr>
        <w:t xml:space="preserve"> during pregnancy and rely on maternal antibody to protect the newborn.</w:t>
      </w:r>
      <w:r w:rsidR="00F51468" w:rsidRPr="00DC55B0">
        <w:rPr>
          <w:rFonts w:ascii="Calibri" w:hAnsi="Calibri" w:cs="Calibri"/>
        </w:rPr>
        <w:t xml:space="preserve"> </w:t>
      </w:r>
      <w:r w:rsidR="008958F5" w:rsidRPr="00DC55B0">
        <w:rPr>
          <w:rFonts w:ascii="Calibri" w:hAnsi="Calibri" w:cs="Calibri"/>
        </w:rPr>
        <w:t>Live vaccines</w:t>
      </w:r>
      <w:r w:rsidR="00107236" w:rsidRPr="00DC55B0">
        <w:rPr>
          <w:rFonts w:ascii="Calibri" w:hAnsi="Calibri" w:cs="Calibri"/>
        </w:rPr>
        <w:t xml:space="preserve"> are contraindicated in pregnancy, due to the theoretical possibility of </w:t>
      </w:r>
      <w:r w:rsidR="002F4F78" w:rsidRPr="00DC55B0">
        <w:rPr>
          <w:rFonts w:ascii="Calibri" w:hAnsi="Calibri" w:cs="Calibri"/>
        </w:rPr>
        <w:t>attenuated pathogens being able to infect the placenta an</w:t>
      </w:r>
      <w:r w:rsidR="003F4143" w:rsidRPr="00DC55B0">
        <w:rPr>
          <w:rFonts w:ascii="Calibri" w:hAnsi="Calibri" w:cs="Calibri"/>
        </w:rPr>
        <w:t xml:space="preserve">d </w:t>
      </w:r>
      <w:r w:rsidR="002F4F78" w:rsidRPr="00DC55B0">
        <w:rPr>
          <w:rFonts w:ascii="Calibri" w:hAnsi="Calibri" w:cs="Calibri"/>
        </w:rPr>
        <w:t>fetus</w:t>
      </w:r>
      <w:r w:rsidR="00B227A0" w:rsidRPr="00DC55B0">
        <w:rPr>
          <w:rFonts w:ascii="Calibri" w:hAnsi="Calibri" w:cs="Calibri"/>
        </w:rPr>
        <w:t>, so vaccination of the newborn is preferred where the only available vaccines are live</w:t>
      </w:r>
      <w:r w:rsidR="003C7A94" w:rsidRPr="00DC55B0">
        <w:rPr>
          <w:rFonts w:ascii="Calibri" w:hAnsi="Calibri" w:cs="Calibri"/>
        </w:rPr>
        <w:t xml:space="preserve"> (</w:t>
      </w:r>
      <w:r w:rsidR="004D2209" w:rsidRPr="00DC55B0">
        <w:rPr>
          <w:rFonts w:ascii="Calibri" w:hAnsi="Calibri" w:cs="Calibri"/>
        </w:rPr>
        <w:t>Bacillus Calmette-Guérin; BCG)</w:t>
      </w:r>
      <w:r w:rsidR="00B227A0" w:rsidRPr="00DC55B0">
        <w:rPr>
          <w:rFonts w:ascii="Calibri" w:hAnsi="Calibri" w:cs="Calibri"/>
        </w:rPr>
        <w:t>. Vaccination of the newborn is also preferred</w:t>
      </w:r>
      <w:r w:rsidR="00547568" w:rsidRPr="00DC55B0">
        <w:rPr>
          <w:rFonts w:ascii="Calibri" w:hAnsi="Calibri" w:cs="Calibri"/>
        </w:rPr>
        <w:t xml:space="preserve"> where</w:t>
      </w:r>
      <w:r w:rsidR="00C977D2" w:rsidRPr="00DC55B0">
        <w:rPr>
          <w:rFonts w:ascii="Calibri" w:hAnsi="Calibri" w:cs="Calibri"/>
        </w:rPr>
        <w:t xml:space="preserve"> maternally derived antibody does not </w:t>
      </w:r>
      <w:r w:rsidR="003C7A94" w:rsidRPr="00DC55B0">
        <w:rPr>
          <w:rFonts w:ascii="Calibri" w:hAnsi="Calibri" w:cs="Calibri"/>
        </w:rPr>
        <w:t>provide protection</w:t>
      </w:r>
      <w:r w:rsidR="004D2209" w:rsidRPr="00DC55B0">
        <w:rPr>
          <w:rFonts w:ascii="Calibri" w:hAnsi="Calibri" w:cs="Calibri"/>
        </w:rPr>
        <w:t xml:space="preserve"> </w:t>
      </w:r>
      <w:r w:rsidR="008761A0" w:rsidRPr="00DC55B0">
        <w:rPr>
          <w:rFonts w:ascii="Calibri" w:hAnsi="Calibri" w:cs="Calibri"/>
        </w:rPr>
        <w:t xml:space="preserve">to </w:t>
      </w:r>
      <w:r w:rsidR="000D705E" w:rsidRPr="00DC55B0">
        <w:rPr>
          <w:rFonts w:ascii="Calibri" w:hAnsi="Calibri" w:cs="Calibri"/>
        </w:rPr>
        <w:t xml:space="preserve">the newborn </w:t>
      </w:r>
      <w:r w:rsidR="004D2209" w:rsidRPr="00DC55B0">
        <w:rPr>
          <w:rFonts w:ascii="Calibri" w:hAnsi="Calibri" w:cs="Calibri"/>
        </w:rPr>
        <w:t>(Hepatitis B v</w:t>
      </w:r>
      <w:r w:rsidR="002B4B99" w:rsidRPr="00DC55B0">
        <w:rPr>
          <w:rFonts w:ascii="Calibri" w:hAnsi="Calibri" w:cs="Calibri"/>
        </w:rPr>
        <w:t>irus; HBV)</w:t>
      </w:r>
      <w:r w:rsidR="00FF7D52" w:rsidRPr="00DC55B0">
        <w:rPr>
          <w:rFonts w:ascii="Calibri" w:hAnsi="Calibri" w:cs="Calibri"/>
        </w:rPr>
        <w:t>.</w:t>
      </w:r>
      <w:r w:rsidR="00515CB6" w:rsidRPr="00DC55B0">
        <w:rPr>
          <w:rFonts w:ascii="Calibri" w:hAnsi="Calibri" w:cs="Calibri"/>
        </w:rPr>
        <w:t xml:space="preserve"> </w:t>
      </w:r>
    </w:p>
    <w:p w14:paraId="40D1B845" w14:textId="77777777" w:rsidR="00FF7D52" w:rsidRPr="00DC55B0" w:rsidRDefault="00FF7D52" w:rsidP="001F3ACA">
      <w:pPr>
        <w:rPr>
          <w:rFonts w:ascii="Calibri" w:hAnsi="Calibri" w:cs="Calibri"/>
        </w:rPr>
      </w:pPr>
    </w:p>
    <w:p w14:paraId="67798437" w14:textId="7EC43BD1" w:rsidR="00FF7D52" w:rsidRPr="00DC55B0" w:rsidRDefault="00FF7D52" w:rsidP="001F3ACA">
      <w:pPr>
        <w:rPr>
          <w:rFonts w:ascii="Calibri" w:hAnsi="Calibri" w:cs="Calibri"/>
          <w:i/>
          <w:iCs/>
        </w:rPr>
      </w:pPr>
      <w:r w:rsidRPr="00DC55B0">
        <w:rPr>
          <w:rFonts w:ascii="Calibri" w:hAnsi="Calibri" w:cs="Calibri"/>
          <w:i/>
          <w:iCs/>
        </w:rPr>
        <w:t>Responses to vaccination in pregnancy</w:t>
      </w:r>
    </w:p>
    <w:p w14:paraId="63750DDB" w14:textId="6EB659AD" w:rsidR="00726FF1" w:rsidRPr="00DC55B0" w:rsidRDefault="00726FF1" w:rsidP="001F3ACA">
      <w:pPr>
        <w:rPr>
          <w:rFonts w:ascii="Calibri" w:hAnsi="Calibri" w:cs="Calibri"/>
        </w:rPr>
      </w:pPr>
      <w:r w:rsidRPr="00DC55B0">
        <w:rPr>
          <w:rFonts w:ascii="Calibri" w:hAnsi="Calibri" w:cs="Calibri"/>
        </w:rPr>
        <w:t>Although pregnancy is not an immunosuppressed state</w:t>
      </w:r>
      <w:r w:rsidR="006E1233" w:rsidRPr="00DC55B0">
        <w:rPr>
          <w:rFonts w:ascii="Calibri" w:hAnsi="Calibri" w:cs="Calibri"/>
        </w:rPr>
        <w:t>, it is characterised by subtle changes to systemic immune responses</w:t>
      </w:r>
      <w:r w:rsidR="00515CB6" w:rsidRPr="00DC55B0">
        <w:rPr>
          <w:rFonts w:ascii="Calibri" w:hAnsi="Calibri" w:cs="Calibri"/>
        </w:rPr>
        <w:t>.</w:t>
      </w:r>
      <w:r w:rsidR="008E4661" w:rsidRPr="00DC55B0">
        <w:rPr>
          <w:rFonts w:ascii="Calibri" w:hAnsi="Calibri" w:cs="Calibri"/>
        </w:rPr>
        <w:fldChar w:fldCharType="begin"/>
      </w:r>
      <w:r w:rsidR="003F3CD5" w:rsidRPr="00DC55B0">
        <w:rPr>
          <w:rFonts w:ascii="Calibri" w:hAnsi="Calibri" w:cs="Calibri"/>
        </w:rPr>
        <w:instrText xml:space="preserve"> ADDIN ZOTERO_ITEM CSL_CITATION {"citationID":"e3LVIQLB","properties":{"formattedCitation":"\\super 12\\nosupersub{}","plainCitation":"12","noteIndex":0},"citationItems":[{"id":96,"uris":["http://zotero.org/users/14445769/items/VQDE298V"],"itemData":{"id":96,"type":"article-journal","abstract":"Citation \n                Mor G, Cardenas I. The immune system in pregnancy: a unique complexity. Am J Reprod Immunol 2010 \n               \n             \n             \n              Abstract \n              Placental immune response and its tropism for specific viruses and pathogens affect the outcome of the pregnant woman’s susceptibility to and severity of certain infectious diseases. The generalization of pregnancy as a condition of immune suppression or increased risk is misleading and prevents the determination of adequate guidelines for treating pregnant women during pandemics. There is a need to evaluate the interaction of each specific pathogen with the fetal/placental unit and its responses to design the adequate prophylaxis or therapy. The complexity of the immunology of pregnancy and the focus, for many years, on the concept of immunology of pregnancy as an organ transplantation have complicated the field and delayed the development of new guidelines with clinical implications that could help to answer these and other relevant questions. Our challenge as scientists and clinicians interested in the field of reproductive immunology is to evaluate many of the ‘classical concepts’ to define new approaches for a better understanding of the immunology of pregnancy that will benefit mothers and fetuses in different clinical scenarios.","container-title":"American Journal of Reproductive Immunology","DOI":"10.1111/j.1600-0897.2010.00836.x","ISSN":"1046-7408, 1600-0897","issue":"6","journalAbbreviation":"American J Rep Immunol","language":"en","license":"http://onlinelibrary.wiley.com/termsAndConditions#vor","page":"425-433","source":"DOI.org (Crossref)","title":"REVIEW ARTICLE: The Immune System in Pregnancy: A Unique Complexity","title-short":"REVIEW ARTICLE","volume":"63","author":[{"family":"Mor","given":"Gil"},{"family":"Cardenas","given":"Ingrid"}],"issued":{"date-parts":[["2010",6]]}}}],"schema":"https://github.com/citation-style-language/schema/raw/master/csl-citation.json"} </w:instrText>
      </w:r>
      <w:r w:rsidR="008E4661" w:rsidRPr="00DC55B0">
        <w:rPr>
          <w:rFonts w:ascii="Calibri" w:hAnsi="Calibri" w:cs="Calibri"/>
        </w:rPr>
        <w:fldChar w:fldCharType="separate"/>
      </w:r>
      <w:r w:rsidR="003F3CD5" w:rsidRPr="00DC55B0">
        <w:rPr>
          <w:rFonts w:ascii="Calibri" w:hAnsi="Calibri" w:cs="Calibri"/>
          <w:kern w:val="0"/>
          <w:vertAlign w:val="superscript"/>
        </w:rPr>
        <w:t>12</w:t>
      </w:r>
      <w:r w:rsidR="008E4661" w:rsidRPr="00DC55B0">
        <w:rPr>
          <w:rFonts w:ascii="Calibri" w:hAnsi="Calibri" w:cs="Calibri"/>
        </w:rPr>
        <w:fldChar w:fldCharType="end"/>
      </w:r>
      <w:r w:rsidR="00D278D4" w:rsidRPr="00DC55B0">
        <w:rPr>
          <w:rFonts w:ascii="Calibri" w:hAnsi="Calibri" w:cs="Calibri"/>
        </w:rPr>
        <w:t xml:space="preserve"> </w:t>
      </w:r>
      <w:r w:rsidR="00866C2E" w:rsidRPr="00DC55B0">
        <w:rPr>
          <w:rFonts w:ascii="Calibri" w:hAnsi="Calibri" w:cs="Calibri"/>
        </w:rPr>
        <w:t>Therefore</w:t>
      </w:r>
      <w:r w:rsidR="005E7FA0" w:rsidRPr="00DC55B0">
        <w:rPr>
          <w:rFonts w:ascii="Calibri" w:hAnsi="Calibri" w:cs="Calibri"/>
        </w:rPr>
        <w:t>, when the aim of a vaccination programme is to protect newborns via transplacental transfer of antibody</w:t>
      </w:r>
      <w:r w:rsidR="0030685D" w:rsidRPr="00DC55B0">
        <w:rPr>
          <w:rFonts w:ascii="Calibri" w:hAnsi="Calibri" w:cs="Calibri"/>
        </w:rPr>
        <w:t xml:space="preserve">, </w:t>
      </w:r>
      <w:r w:rsidR="005E7FA0" w:rsidRPr="00DC55B0">
        <w:rPr>
          <w:rFonts w:ascii="Calibri" w:hAnsi="Calibri" w:cs="Calibri"/>
        </w:rPr>
        <w:t>it</w:t>
      </w:r>
      <w:r w:rsidR="00A92247" w:rsidRPr="00DC55B0">
        <w:rPr>
          <w:rFonts w:ascii="Calibri" w:hAnsi="Calibri" w:cs="Calibri"/>
        </w:rPr>
        <w:t xml:space="preserve"> is</w:t>
      </w:r>
      <w:r w:rsidR="005E7FA0" w:rsidRPr="00DC55B0">
        <w:rPr>
          <w:rFonts w:ascii="Calibri" w:hAnsi="Calibri" w:cs="Calibri"/>
        </w:rPr>
        <w:t xml:space="preserve"> important</w:t>
      </w:r>
      <w:r w:rsidR="00A92247" w:rsidRPr="00DC55B0">
        <w:rPr>
          <w:rFonts w:ascii="Calibri" w:hAnsi="Calibri" w:cs="Calibri"/>
        </w:rPr>
        <w:t xml:space="preserve"> to </w:t>
      </w:r>
      <w:r w:rsidR="00336AA0" w:rsidRPr="00DC55B0">
        <w:rPr>
          <w:rFonts w:ascii="Calibri" w:hAnsi="Calibri" w:cs="Calibri"/>
        </w:rPr>
        <w:t>confirm that the</w:t>
      </w:r>
      <w:r w:rsidR="00A26A1A" w:rsidRPr="00DC55B0">
        <w:rPr>
          <w:rFonts w:ascii="Calibri" w:hAnsi="Calibri" w:cs="Calibri"/>
        </w:rPr>
        <w:t xml:space="preserve"> vaccine to be used raises</w:t>
      </w:r>
      <w:r w:rsidR="000953C9" w:rsidRPr="00DC55B0">
        <w:rPr>
          <w:rFonts w:ascii="Calibri" w:hAnsi="Calibri" w:cs="Calibri"/>
        </w:rPr>
        <w:t xml:space="preserve"> an appropriate antibody response.</w:t>
      </w:r>
    </w:p>
    <w:p w14:paraId="1BF89AFB" w14:textId="77777777" w:rsidR="00C23E1E" w:rsidRPr="00DC55B0" w:rsidRDefault="00C23E1E" w:rsidP="001F3ACA">
      <w:pPr>
        <w:rPr>
          <w:rFonts w:ascii="Calibri" w:hAnsi="Calibri" w:cs="Calibri"/>
        </w:rPr>
      </w:pPr>
    </w:p>
    <w:p w14:paraId="1785AEE5" w14:textId="260A3547" w:rsidR="00650533" w:rsidRPr="00DC55B0" w:rsidRDefault="00374029" w:rsidP="001F3ACA">
      <w:pPr>
        <w:rPr>
          <w:rFonts w:ascii="Calibri" w:hAnsi="Calibri" w:cs="Calibri"/>
        </w:rPr>
      </w:pPr>
      <w:r w:rsidRPr="00DC55B0">
        <w:rPr>
          <w:rFonts w:ascii="Calibri" w:hAnsi="Calibri" w:cs="Calibri"/>
        </w:rPr>
        <w:t>The tetanus, diphtheria, acellular pertussis (</w:t>
      </w:r>
      <w:r w:rsidR="00D45391" w:rsidRPr="00DC55B0">
        <w:rPr>
          <w:rFonts w:ascii="Calibri" w:hAnsi="Calibri" w:cs="Calibri"/>
        </w:rPr>
        <w:t>Tdap</w:t>
      </w:r>
      <w:r w:rsidRPr="00DC55B0">
        <w:rPr>
          <w:rFonts w:ascii="Calibri" w:hAnsi="Calibri" w:cs="Calibri"/>
        </w:rPr>
        <w:t>) vaccine</w:t>
      </w:r>
      <w:r w:rsidR="007C25ED" w:rsidRPr="00DC55B0">
        <w:rPr>
          <w:rFonts w:ascii="Calibri" w:hAnsi="Calibri" w:cs="Calibri"/>
        </w:rPr>
        <w:t xml:space="preserve"> is commonly given in pregnancy to protect babies against tetanus and </w:t>
      </w:r>
      <w:r w:rsidR="009E0EFF" w:rsidRPr="00DC55B0">
        <w:rPr>
          <w:rFonts w:ascii="Calibri" w:hAnsi="Calibri" w:cs="Calibri"/>
        </w:rPr>
        <w:t xml:space="preserve">pertussis, </w:t>
      </w:r>
      <w:r w:rsidR="00E40A0F" w:rsidRPr="00DC55B0">
        <w:rPr>
          <w:rFonts w:ascii="Calibri" w:hAnsi="Calibri" w:cs="Calibri"/>
        </w:rPr>
        <w:t>but t</w:t>
      </w:r>
      <w:r w:rsidR="00A20941" w:rsidRPr="00DC55B0">
        <w:rPr>
          <w:rFonts w:ascii="Calibri" w:hAnsi="Calibri" w:cs="Calibri"/>
        </w:rPr>
        <w:t xml:space="preserve">he evidence on </w:t>
      </w:r>
      <w:r w:rsidR="00E40A0F" w:rsidRPr="00DC55B0">
        <w:rPr>
          <w:rFonts w:ascii="Calibri" w:hAnsi="Calibri" w:cs="Calibri"/>
        </w:rPr>
        <w:t xml:space="preserve">pregnancy-specific </w:t>
      </w:r>
      <w:r w:rsidR="00A20941" w:rsidRPr="00DC55B0">
        <w:rPr>
          <w:rFonts w:ascii="Calibri" w:hAnsi="Calibri" w:cs="Calibri"/>
        </w:rPr>
        <w:t>response</w:t>
      </w:r>
      <w:r w:rsidR="00E40A0F" w:rsidRPr="00DC55B0">
        <w:rPr>
          <w:rFonts w:ascii="Calibri" w:hAnsi="Calibri" w:cs="Calibri"/>
        </w:rPr>
        <w:t>s</w:t>
      </w:r>
      <w:r w:rsidR="00A20941" w:rsidRPr="00DC55B0">
        <w:rPr>
          <w:rFonts w:ascii="Calibri" w:hAnsi="Calibri" w:cs="Calibri"/>
        </w:rPr>
        <w:t xml:space="preserve"> to </w:t>
      </w:r>
      <w:r w:rsidR="00E40A0F" w:rsidRPr="00DC55B0">
        <w:rPr>
          <w:rFonts w:ascii="Calibri" w:hAnsi="Calibri" w:cs="Calibri"/>
        </w:rPr>
        <w:t>this</w:t>
      </w:r>
      <w:r w:rsidRPr="00DC55B0">
        <w:rPr>
          <w:rFonts w:ascii="Calibri" w:hAnsi="Calibri" w:cs="Calibri"/>
        </w:rPr>
        <w:t xml:space="preserve"> vaccine</w:t>
      </w:r>
      <w:r w:rsidR="006771D0" w:rsidRPr="00DC55B0">
        <w:rPr>
          <w:rFonts w:ascii="Calibri" w:hAnsi="Calibri" w:cs="Calibri"/>
        </w:rPr>
        <w:t xml:space="preserve"> </w:t>
      </w:r>
      <w:r w:rsidR="003B65DD" w:rsidRPr="00DC55B0">
        <w:rPr>
          <w:rFonts w:ascii="Calibri" w:hAnsi="Calibri" w:cs="Calibri"/>
        </w:rPr>
        <w:t>is mixed</w:t>
      </w:r>
      <w:r w:rsidR="00E40A0F" w:rsidRPr="00DC55B0">
        <w:rPr>
          <w:rFonts w:ascii="Calibri" w:hAnsi="Calibri" w:cs="Calibri"/>
        </w:rPr>
        <w:t>.</w:t>
      </w:r>
      <w:r w:rsidR="003B65DD" w:rsidRPr="00DC55B0">
        <w:rPr>
          <w:rFonts w:ascii="Calibri" w:hAnsi="Calibri" w:cs="Calibri"/>
        </w:rPr>
        <w:t xml:space="preserve"> </w:t>
      </w:r>
      <w:r w:rsidR="00E40A0F" w:rsidRPr="00DC55B0">
        <w:rPr>
          <w:rFonts w:ascii="Calibri" w:hAnsi="Calibri" w:cs="Calibri"/>
        </w:rPr>
        <w:t>S</w:t>
      </w:r>
      <w:r w:rsidR="003B65DD" w:rsidRPr="00DC55B0">
        <w:rPr>
          <w:rFonts w:ascii="Calibri" w:hAnsi="Calibri" w:cs="Calibri"/>
        </w:rPr>
        <w:t>ome studies find no difference</w:t>
      </w:r>
      <w:r w:rsidRPr="00DC55B0">
        <w:rPr>
          <w:rFonts w:ascii="Calibri" w:hAnsi="Calibri" w:cs="Calibri"/>
        </w:rPr>
        <w:t>s</w:t>
      </w:r>
      <w:r w:rsidR="003B65DD" w:rsidRPr="00DC55B0">
        <w:rPr>
          <w:rFonts w:ascii="Calibri" w:hAnsi="Calibri" w:cs="Calibri"/>
        </w:rPr>
        <w:t xml:space="preserve"> in antibody titres </w:t>
      </w:r>
      <w:r w:rsidR="003B65DD" w:rsidRPr="00DC55B0">
        <w:rPr>
          <w:rFonts w:ascii="Calibri" w:hAnsi="Calibri" w:cs="Calibri"/>
        </w:rPr>
        <w:lastRenderedPageBreak/>
        <w:t>between pregnant and non-pregnant</w:t>
      </w:r>
      <w:r w:rsidR="00F36F68" w:rsidRPr="00DC55B0">
        <w:rPr>
          <w:rFonts w:ascii="Calibri" w:hAnsi="Calibri" w:cs="Calibri"/>
        </w:rPr>
        <w:t xml:space="preserve"> individuals</w:t>
      </w:r>
      <w:r w:rsidRPr="00DC55B0">
        <w:rPr>
          <w:rFonts w:ascii="Calibri" w:hAnsi="Calibri" w:cs="Calibri"/>
        </w:rPr>
        <w:t xml:space="preserve"> following </w:t>
      </w:r>
      <w:r w:rsidR="00354BE0" w:rsidRPr="00DC55B0">
        <w:rPr>
          <w:rFonts w:ascii="Calibri" w:hAnsi="Calibri" w:cs="Calibri"/>
        </w:rPr>
        <w:t>Tdap</w:t>
      </w:r>
      <w:r w:rsidRPr="00DC55B0">
        <w:rPr>
          <w:rFonts w:ascii="Calibri" w:hAnsi="Calibri" w:cs="Calibri"/>
        </w:rPr>
        <w:t xml:space="preserve"> vaccination</w:t>
      </w:r>
      <w:r w:rsidR="00723B27" w:rsidRPr="00DC55B0">
        <w:rPr>
          <w:rFonts w:ascii="Calibri" w:hAnsi="Calibri" w:cs="Calibri"/>
        </w:rPr>
        <w:t>.</w:t>
      </w:r>
      <w:r w:rsidR="008E4661" w:rsidRPr="00DC55B0">
        <w:rPr>
          <w:rFonts w:ascii="Calibri" w:hAnsi="Calibri" w:cs="Calibri"/>
        </w:rPr>
        <w:fldChar w:fldCharType="begin"/>
      </w:r>
      <w:r w:rsidR="003F3CD5" w:rsidRPr="00DC55B0">
        <w:rPr>
          <w:rFonts w:ascii="Calibri" w:hAnsi="Calibri" w:cs="Calibri"/>
        </w:rPr>
        <w:instrText xml:space="preserve"> ADDIN ZOTERO_ITEM CSL_CITATION {"citationID":"7cotD8jG","properties":{"formattedCitation":"\\super 13,14\\nosupersub{}","plainCitation":"13,14","noteIndex":0},"citationItems":[{"id":128,"uris":["http://zotero.org/users/14445769/items/TGXV784Z"],"itemData":{"id":128,"type":"article-journal","abstract":"Vaccination of pregnant women is recommended for some infectious diseases in order to protect both women and offspring through high titres of maternal IgG antibodies. Less is known on the triggering of cellular immune responses by vaccines administered during pregnancy. In an ongoing study on maternal pertussis vaccination (2012-2014) 18 pregnant women were vaccinated with a tetanus-diphtheria-acellular pertussis (Tdap) containing vaccine (Boostrix®) during the third pregnancy trimester. Sixteen age-matched nonpregnant women received the same vaccine in the same time period. A blood sample was taken at the moment of, but before vaccination and one month and one year after vaccination. Anti-Pertussis Toxin (PT), filamentous hemagglutinin (FHA), pertactin (Prn), tetanus toxin (TT) and diphtheria toxin (DT) antibodies were measured by ELISA. Cellular immune responses were analyzed using a diluted whole blood assay, measuring proliferation, and cytokine release in response to vaccine antigens PT, FHA, TT, and to pokeweed mitogen (PWM) as polyclonal stimulus. Antibody levels to all five vaccine components increased significantly and to the same extent after vaccination in pregnant and nonpregnant women. One year after vaccination, antibody titres had decreased particularly to PT, but they were still significantly higher to all antigens than before vaccination. In contrast, proliferative and IFN-γ responses were increased to TT, PT, and FHA in nonpregnant women one month after vaccination, whereas in pregnant women only TT specific T cell responses were increased and to a lesser extent than in the control group. One year after vaccination, cellular responses equaled the baseline levels detected prior to vaccination in both groups. In conclusion, a Tdap vaccination can increase vaccine specific IgG antibodies to the same extent in pregnant and in nonpregnant women, whereas the stimulation of vaccine specific Th1 type cellular immune responses with this acellular vaccine is transient and impaired during pregnancy.","container-title":"Vaccine","DOI":"10.1016/j.vaccine.2015.06.108","ISSN":"1873-2518","issue":"33","journalAbbreviation":"Vaccine","language":"eng","note":"PMID: 26187257","page":"4117-4123","source":"PubMed","title":"Humoral and cell mediated immune responses to a pertussis containing vaccine in pregnant and nonpregnant women","volume":"33","author":[{"family":"Huygen","given":"Kris"},{"family":"Caboré","given":"Raïssa Nadège"},{"family":"Maertens","given":"Kirsten"},{"family":"Van Damme","given":"Pierre"},{"family":"Leuridan","given":"Elke"}],"issued":{"date-parts":[["2015",8,7]]}}},{"id":130,"uris":["http://zotero.org/users/14445769/items/NUT3M72R"],"itemData":{"id":130,"type":"article-journal","abstract":"Maternal immunization with tetanus toxoid, reduced diphtheria toxoid, and acellular pertussis (Tdap) vaccine could prevent infant pertussis.To evaluate the safety and immunogenicity of Tdap immunization during pregnancy and its effect on infant responses to diphtheria and tetanus toxoids and acellular pertussis (DTaP) vaccine.Phase 1-2, randomized, double-blind, placebo-controlled, clinical trial conducted from 2008 to 2012. Forty-eight pregnant women aged 18 to 45 years received Tdap (n = 33) or placebo (n = 15) at 30 to 32 weeks’ gestation, with crossover immunization postpartum.Tdap vaccination at 30 to 32 weeks’ gestation or postpartum.Primary outcomes were maternal and infant adverse events, pertussis illness, and infant growth and development until age 13 months. Secondary outcomes were antibody concentrations in pregnant women before and 4 weeks after Tdap immunization or placebo, at delivery and 2 months’ postpartum, and in infants at birth, at 2 months, and after the third and fourth doses of DTaP.No Tdap-associated serious adverse events occurred in women or infants. Injection site reactions after Tdap immunization were reported in 26 (78.8% [95% CI, 61.1%-91.0%]) and 12 (80% [95% CI, 51.9%-95.7%]) pregnant and postpartum women, respectively (P &amp;gt; .99). Systemic symptoms were reported in 12 (36.4% [ 95% CI, 20.4%-54.9%]) and 11 (73.3% [95% CI, 44.9%-92.2%]) pregnant and postpartum women, respectively (P = .03). Growth and development were similar in both infant groups. No cases of pertussis occurred. Significantly higher concentrations of pertussis antibodies were measured at delivery in women who received Tdap during pregnancy vs postpartum (eg, pertussis toxin antibodies: 51.0 EU/mL [95% CI, 37.1-70.1] and 9.1 EU/mL [95% CI, 4.6-17.8], respectively; P &amp;lt; .001) and in their infants at birth (68.8 EU/mL [95% CI, 52.1-90.8] and 14.0 EU/mL [95% CI, 7.3-26.9], respectively; P &amp;lt; .001) and at age 2 months (20.6 EU/mL [95% CI, 14.4-29.6] and 5.3 EU/mL [95% CI, 3.0-9.4], respectively; P &amp;lt; .001). Antibody responses in infants born to women receiving Tdap during pregnancy were not different following the fourth dose of DTaP.This preliminary assessment did not find an increased risk of adverse events among women who received Tdap vaccine during pregnancy or their infants. For secondary outcomes, maternal immunization with Tdap resulted in high concentrations of pertussis antibodies in infants during the first 2 months of life and did not substantially alter infant responses to DTaP. Further research is needed to provide definitive evidence of the safety and efficacy of Tdap immunization during pregnancy.clinicaltrials.gov Identifier: NCT00707148","container-title":"JAMA","DOI":"10.1001/jama.2014.3633","ISSN":"0098-7484","issue":"17","journalAbbreviation":"JAMA","page":"1760-1769","source":"Silverchair","title":"Safety and Immunogenicity of Tetanus Diphtheria and Acellular Pertussis (Tdap) Immunization During Pregnancy in Mothers and Infants: A Randomized Clinical Trial","title-short":"Safety and Immunogenicity of Tetanus Diphtheria and Acellular Pertussis (Tdap) Immunization During Pregnancy in Mothers and Infants","volume":"311","author":[{"family":"Munoz","given":"Flor M."},{"family":"Bond","given":"Nanette H."},{"family":"Maccato","given":"Maurizio"},{"family":"Pinell","given":"Phillip"},{"family":"Hammill","given":"Hunter A."},{"family":"Swamy","given":"Geeta K."},{"family":"Walter","given":"Emmanuel B."},{"family":"Jackson","given":"Lisa A."},{"family":"Englund","given":"Janet A."},{"family":"Edwards","given":"Morven S."},{"family":"Healy","given":"C. Mary"},{"family":"Petrie","given":"Carey R."},{"family":"Ferreira","given":"Jennifer"},{"family":"Goll","given":"Johannes B."},{"family":"Baker","given":"Carol J."}],"issued":{"date-parts":[["2014",5,7]]}}}],"schema":"https://github.com/citation-style-language/schema/raw/master/csl-citation.json"} </w:instrText>
      </w:r>
      <w:r w:rsidR="008E4661" w:rsidRPr="00DC55B0">
        <w:rPr>
          <w:rFonts w:ascii="Calibri" w:hAnsi="Calibri" w:cs="Calibri"/>
        </w:rPr>
        <w:fldChar w:fldCharType="separate"/>
      </w:r>
      <w:r w:rsidR="003F3CD5" w:rsidRPr="00DC55B0">
        <w:rPr>
          <w:rFonts w:ascii="Calibri" w:hAnsi="Calibri" w:cs="Calibri"/>
          <w:kern w:val="0"/>
          <w:vertAlign w:val="superscript"/>
        </w:rPr>
        <w:t>13,14</w:t>
      </w:r>
      <w:r w:rsidR="008E4661" w:rsidRPr="00DC55B0">
        <w:rPr>
          <w:rFonts w:ascii="Calibri" w:hAnsi="Calibri" w:cs="Calibri"/>
        </w:rPr>
        <w:fldChar w:fldCharType="end"/>
      </w:r>
      <w:r w:rsidRPr="00DC55B0">
        <w:rPr>
          <w:rFonts w:ascii="Calibri" w:hAnsi="Calibri" w:cs="Calibri"/>
        </w:rPr>
        <w:t xml:space="preserve"> However,</w:t>
      </w:r>
      <w:r w:rsidR="00F36F68" w:rsidRPr="00DC55B0">
        <w:rPr>
          <w:rFonts w:ascii="Calibri" w:hAnsi="Calibri" w:cs="Calibri"/>
        </w:rPr>
        <w:t xml:space="preserve"> others </w:t>
      </w:r>
      <w:r w:rsidRPr="00DC55B0">
        <w:rPr>
          <w:rFonts w:ascii="Calibri" w:hAnsi="Calibri" w:cs="Calibri"/>
        </w:rPr>
        <w:t>report</w:t>
      </w:r>
      <w:r w:rsidR="00F36F68" w:rsidRPr="00DC55B0">
        <w:rPr>
          <w:rFonts w:ascii="Calibri" w:hAnsi="Calibri" w:cs="Calibri"/>
        </w:rPr>
        <w:t xml:space="preserve"> </w:t>
      </w:r>
      <w:r w:rsidR="00B44FE4" w:rsidRPr="00DC55B0">
        <w:rPr>
          <w:rFonts w:ascii="Calibri" w:hAnsi="Calibri" w:cs="Calibri"/>
        </w:rPr>
        <w:t xml:space="preserve">that although </w:t>
      </w:r>
      <w:r w:rsidR="00FF6771" w:rsidRPr="00DC55B0">
        <w:rPr>
          <w:rFonts w:ascii="Calibri" w:hAnsi="Calibri" w:cs="Calibri"/>
        </w:rPr>
        <w:t xml:space="preserve">vaccination </w:t>
      </w:r>
      <w:r w:rsidRPr="00DC55B0">
        <w:rPr>
          <w:rFonts w:ascii="Calibri" w:hAnsi="Calibri" w:cs="Calibri"/>
        </w:rPr>
        <w:t xml:space="preserve">with </w:t>
      </w:r>
      <w:r w:rsidR="00D45391" w:rsidRPr="00DC55B0">
        <w:rPr>
          <w:rFonts w:ascii="Calibri" w:hAnsi="Calibri" w:cs="Calibri"/>
        </w:rPr>
        <w:t>Tdap</w:t>
      </w:r>
      <w:r w:rsidRPr="00DC55B0">
        <w:rPr>
          <w:rFonts w:ascii="Calibri" w:hAnsi="Calibri" w:cs="Calibri"/>
        </w:rPr>
        <w:t xml:space="preserve"> </w:t>
      </w:r>
      <w:r w:rsidR="00FF6771" w:rsidRPr="00DC55B0">
        <w:rPr>
          <w:rFonts w:ascii="Calibri" w:hAnsi="Calibri" w:cs="Calibri"/>
        </w:rPr>
        <w:t>in pregnancy elicits protective antibody titre</w:t>
      </w:r>
      <w:r w:rsidRPr="00DC55B0">
        <w:rPr>
          <w:rFonts w:ascii="Calibri" w:hAnsi="Calibri" w:cs="Calibri"/>
        </w:rPr>
        <w:t>s</w:t>
      </w:r>
      <w:r w:rsidR="00FF6771" w:rsidRPr="00DC55B0">
        <w:rPr>
          <w:rFonts w:ascii="Calibri" w:hAnsi="Calibri" w:cs="Calibri"/>
        </w:rPr>
        <w:t xml:space="preserve">, </w:t>
      </w:r>
      <w:r w:rsidRPr="00DC55B0">
        <w:rPr>
          <w:rFonts w:ascii="Calibri" w:hAnsi="Calibri" w:cs="Calibri"/>
        </w:rPr>
        <w:t>the response</w:t>
      </w:r>
      <w:r w:rsidR="00FF6771" w:rsidRPr="00DC55B0">
        <w:rPr>
          <w:rFonts w:ascii="Calibri" w:hAnsi="Calibri" w:cs="Calibri"/>
        </w:rPr>
        <w:t xml:space="preserve"> is nonetheless lower than that </w:t>
      </w:r>
      <w:r w:rsidRPr="00DC55B0">
        <w:rPr>
          <w:rFonts w:ascii="Calibri" w:hAnsi="Calibri" w:cs="Calibri"/>
        </w:rPr>
        <w:t>seen</w:t>
      </w:r>
      <w:r w:rsidR="00CF040E" w:rsidRPr="00DC55B0">
        <w:rPr>
          <w:rFonts w:ascii="Calibri" w:hAnsi="Calibri" w:cs="Calibri"/>
        </w:rPr>
        <w:t xml:space="preserve"> outside of pregnancy</w:t>
      </w:r>
      <w:r w:rsidR="008E4661" w:rsidRPr="00DC55B0">
        <w:rPr>
          <w:rFonts w:ascii="Calibri" w:hAnsi="Calibri" w:cs="Calibri"/>
        </w:rPr>
        <w:t>.</w:t>
      </w:r>
      <w:r w:rsidR="00442A63" w:rsidRPr="00DC55B0">
        <w:rPr>
          <w:rFonts w:ascii="Calibri" w:hAnsi="Calibri" w:cs="Calibri"/>
        </w:rPr>
        <w:fldChar w:fldCharType="begin"/>
      </w:r>
      <w:r w:rsidR="003F3CD5" w:rsidRPr="00DC55B0">
        <w:rPr>
          <w:rFonts w:ascii="Calibri" w:hAnsi="Calibri" w:cs="Calibri"/>
        </w:rPr>
        <w:instrText xml:space="preserve"> ADDIN ZOTERO_ITEM CSL_CITATION {"citationID":"NbprADCE","properties":{"formattedCitation":"\\super 15,16\\nosupersub{}","plainCitation":"15,16","noteIndex":0},"citationItems":[{"id":202,"uris":["http://zotero.org/users/14445769/items/5VA2CZ97"],"itemData":{"id":202,"type":"article-journal","abstract":"Pertussis containing vaccine is recommended for pregnant women to protect neonates prior to being fully immunized against the disease. The immune response during pregnancy may be impacted by changes in the hormonal status. The aim of this study was to evaluate the immune response to pertussis immunization in pregnancy and to assess the role of sex hormones. In a cross-sectional study, blood samples were drawn from 174 pregnant and 74 non-pregnant women 45–60 days following immunization. Anti-pertussis toxin (Anti-PT) IgG antibody levels, estrogen, and progestogen concentrations were compared between the two groups. Multiple logistic regression analysis was used to examine the association between serum antibody and sex hormone concentrations in each group, controlling for age, body mass index (BMI), and smoking status. The geometric mean concentration (GMC) of anti-PT IgG antibody was significantly higher in non-pregnant women compared with pregnant women (median of 2.09 and 1.86, interquartile range = 2.36–1.8 and 2.11–1.16 respectively, p &lt; 0.0001). Among pregnant women, the anti-PT IgG antibody GMC was negatively associated with both progesterone (odds ratio = 0.300, 95% CI = 0.116, 0.772, p = 0.013) and estrogen (odds ratio = 0.071, 95% CI = 0.017, 0.292, p &lt; 0.0001), after controlling for age, BMI, and smoking. Pregnancy was associated with lower anti-PT IgG antibody levels (odds ratio = 0.413, 95% CI = −0.190, 0.899, p = 0.026). This appears to be at least partially explained by the higher levels of hormones during pregnancy. These findings demonstrate the important role of sex hormones in the response to pertussis vaccine during pregnancy and can help to evaluate the optimum vaccination schedule.","container-title":"Vaccines","DOI":"10.3390/vaccines9060637","ISSN":"2076-393X","issue":"6","journalAbbreviation":"Vaccines","language":"en","license":"https://creativecommons.org/licenses/by/4.0/","page":"637","source":"DOI.org (Crossref)","title":"Antibody Response to Pertussis Vaccination in Pregnant and Non-Pregnant Women—The Role of Sex Hormones","volume":"9","author":[{"family":"Peer","given":"Victoria"},{"family":"Muhsen","given":"Khitam"},{"family":"Betser","given":"Moshe"},{"family":"Green","given":"Manfred S"}],"issued":{"date-parts":[["2021",6,10]]}}},{"id":129,"uris":["http://zotero.org/users/14445769/items/G8RNKDFC"],"itemData":{"id":129,"type":"article-journal","abstract":"OBJECTIVE: Tetanus toxoid, reduced diphtheria toxoid, and acellular pertusiss (Tdap) vaccine is recommended during each pregnancy, regardless of prior receipt. Data on reactogenicity and immunogenicity, particularly after repeated Tdap, are limited. We compared local injection-site and systemic reactions and serologic response following Tdap in (1) pregnant and nonpregnant women and (2) pregnant women by self-reported prior Tdap receipt.\nSTUDY DESIGN: Pregnant women (gestational age 20-34 weeks) and nonpregnant women receiving Tdap were enrolled in this observational study. Injection-site and systemic reactions were assessed for one week post-vaccination. Pertussis toxin, filamentous hemagglutinin, pertactin, fimbriae, tetanus and diphtheria specific IgG antibody titers were determined by standardized enzyme-linked immunosorbent assay at baseline and 28 days post-vaccination. Reactogenicity and serologic responses were compared by pregnancy status, and within pregnant women by self-reported prior Tdap receipt.\nRESULTS: 374 pregnant and 225 nonpregnant women were vaccinated. Severe local or systemic reactions or \"any\" fever were uncommon (≤3% for both groups). Moderate/severe injection-site pain was significantly higher in pregnant (17.9%) versus nonpregnant (11.1%) women, but did not prompt a healthcare visit. Proportions of other moderate/severe or any severe reactions were not significantly higher in pregnant compared to nonpregnant women. Moderate/severe (including pain) and severe reactions were not significantly higher in pregnant women receiving repeat versus first-time Tdap. Antibody titers increased from baseline to post-vaccination for all vaccine antigens in pregnant and nonpregnant women; post-vaccination titers against pertussis toxin and filamentous hemagglutinin were significantly higher in nonpregnant versus pregnant women (p &lt; 0.01).\nCONCLUSION: Tdap was well-tolerated in pregnant and nonpregnant women. Pregnant women were more likely to report moderate/severe pain at the Tdap injection-site compared with nonpregnant women, but did not necessitate medical visits. Prior Tdap receipt did not increase occurrence of moderate/severe local or systemic reactions in pregnant women. Serologic responses to all vaccine antigens were robust. Clinical Trial Registration@ClinicalTrials.gov. NCT02209623. https://clinicaltrials.gov/ct2/show/NCT02209623.","container-title":"Vaccine","DOI":"10.1016/j.vaccine.2018.07.012","ISSN":"1873-2518","issue":"42","journalAbbreviation":"Vaccine","language":"eng","note":"PMID: 30219367\nPMCID: PMC6675450","page":"6354-6360","source":"PubMed","title":"Reactogenicity and immunogenicity of tetanus toxoid, reduced diphtheria toxoid, and acellular pertussis vaccine (Tdap) in pregnant and nonpregnant women","volume":"36","author":[{"family":"Fortner","given":"Kimberly B."},{"family":"Swamy","given":"Geeta K."},{"family":"Broder","given":"Karen R."},{"family":"Jimenez-Truque","given":"Natalia"},{"family":"Zhu","given":"Yuwei"},{"family":"Moro","given":"Pedro L."},{"family":"Liang","given":"Jennifer"},{"family":"Walter","given":"Emmanuel B."},{"family":"Heine","given":"R. Phillips"},{"family":"Moody","given":"M. Anthony"},{"family":"Yoder","given":"Sandra"},{"family":"Edwards","given":"Kathryn M."}],"issued":{"date-parts":[["2018",10,8]]}}}],"schema":"https://github.com/citation-style-language/schema/raw/master/csl-citation.json"} </w:instrText>
      </w:r>
      <w:r w:rsidR="00442A63" w:rsidRPr="00DC55B0">
        <w:rPr>
          <w:rFonts w:ascii="Calibri" w:hAnsi="Calibri" w:cs="Calibri"/>
        </w:rPr>
        <w:fldChar w:fldCharType="separate"/>
      </w:r>
      <w:r w:rsidR="003F3CD5" w:rsidRPr="00DC55B0">
        <w:rPr>
          <w:rFonts w:ascii="Calibri" w:hAnsi="Calibri" w:cs="Calibri"/>
          <w:kern w:val="0"/>
          <w:vertAlign w:val="superscript"/>
        </w:rPr>
        <w:t>15,16</w:t>
      </w:r>
      <w:r w:rsidR="00442A63" w:rsidRPr="00DC55B0">
        <w:rPr>
          <w:rFonts w:ascii="Calibri" w:hAnsi="Calibri" w:cs="Calibri"/>
        </w:rPr>
        <w:fldChar w:fldCharType="end"/>
      </w:r>
      <w:r w:rsidR="00CF040E" w:rsidRPr="00DC55B0">
        <w:rPr>
          <w:rFonts w:ascii="Calibri" w:hAnsi="Calibri" w:cs="Calibri"/>
        </w:rPr>
        <w:t xml:space="preserve"> For both influenza and COVID-19 vaccines</w:t>
      </w:r>
      <w:r w:rsidR="00FE0B9E" w:rsidRPr="00DC55B0">
        <w:rPr>
          <w:rFonts w:ascii="Calibri" w:hAnsi="Calibri" w:cs="Calibri"/>
        </w:rPr>
        <w:t xml:space="preserve">, antibody titres elicited by vaccination in pregnancy are similar to those produced </w:t>
      </w:r>
      <w:r w:rsidR="00136C96" w:rsidRPr="00DC55B0">
        <w:rPr>
          <w:rFonts w:ascii="Calibri" w:hAnsi="Calibri" w:cs="Calibri"/>
        </w:rPr>
        <w:t>outside of pregnancy</w:t>
      </w:r>
      <w:r w:rsidR="00442A63" w:rsidRPr="00DC55B0">
        <w:rPr>
          <w:rFonts w:ascii="Calibri" w:hAnsi="Calibri" w:cs="Calibri"/>
        </w:rPr>
        <w:t>.</w:t>
      </w:r>
      <w:r w:rsidR="007D7744" w:rsidRPr="00DC55B0">
        <w:rPr>
          <w:rFonts w:ascii="Calibri" w:hAnsi="Calibri" w:cs="Calibri"/>
        </w:rPr>
        <w:fldChar w:fldCharType="begin"/>
      </w:r>
      <w:r w:rsidR="003F3CD5" w:rsidRPr="00DC55B0">
        <w:rPr>
          <w:rFonts w:ascii="Calibri" w:hAnsi="Calibri" w:cs="Calibri"/>
        </w:rPr>
        <w:instrText xml:space="preserve"> ADDIN ZOTERO_ITEM CSL_CITATION {"citationID":"NBHYHpqU","properties":{"formattedCitation":"\\super 17\\uc0\\u8211{}20\\nosupersub{}","plainCitation":"17–20","noteIndex":0},"citationItems":[{"id":133,"uris":["http://zotero.org/users/14445769/items/V85DDQPP"],"itemData":{"id":133,"type":"article-journal","abstract":"&lt;p&gt;Pregnant women are at high risk from influenza due to disproportionate morbidity, mortality, and adverse pregnancy outcomes following infection. As such, they are classified as a high-priority group for vaccination. However, changes in the maternal immune system required to accommodate the allogeneic fetus may alter the immunogenicity of influenza vaccines. A large number of studies have evaluated the safety of the influenza vaccine. Here, we will review available studies on the immunogenicity and efficacy of the influenza vaccine during pregnancy, focusing on both humoral and cellular immunity.&lt;/p&gt;","container-title":"Frontiers in Immunology","DOI":"10.3389/fimmu.2015.00289","ISSN":"1664-3224","journalAbbreviation":"Front. Immunol.","language":"English","source":"Frontiers","title":"Immunogenicity and Clinical Efficacy of Influenza Vaccination in Pregnancy","URL":"https://www.frontiersin.org/journals/immunology/articles/10.3389/fimmu.2015.00289/full","volume":"6","author":[{"family":"Kay","given":"Alexander W."},{"family":"Blish","given":"Catherine A."}],"accessed":{"date-parts":[["2024",7,2]]},"issued":{"date-parts":[["2015",6,4]]}}},{"id":137,"uris":["http://zotero.org/users/14445769/items/EZTT5RXU"],"itemData":{"id":137,"type":"article-journal","abstract":"BACKGROUND: Pregnant and lactating women were excluded from initial coronavirus disease 2019 vaccine trials; thus, data to guide vaccine decision making are lacking.\nOBJECTIVE: This study aimed to evaluate the immunogenicity and reactogenicity of coronavirus disease 2019 messenger RNA vaccination in pregnant and lactating women compared with: (1) nonpregnant controls and (2) natural coronavirus disease 2019 infection in pregnancy.\nSTUDY DESIGN: A total of 131 reproductive-age vaccine recipients (84 pregnant, 31 lactating, and 16 nonpregnant women) were enrolled in a prospective cohort study at 2 academic medical centers. Titers of severe acute respiratory syndrome coronavirus 2 spike and receptor-binding domain immunoglobulin G, immunoglobulin A, and immunoglobulin M were quantified in participant sera (n=131) and breastmilk (n=31) at baseline, at the second vaccine dose, at 2 to 6 weeks after the second vaccine, and at delivery by Luminex. Umbilical cord sera (n=10) titers were assessed at delivery. Titers were compared with those of pregnant women 4 to 12 weeks from the natural infection (n=37) by enzyme-linked immunosorbent assay. A pseudovirus neutralization assay was used to quantify neutralizing antibody titers for the subset of women who delivered during the study period. Postvaccination symptoms were assessed via questionnaire. Kruskal-Wallis tests and a mixed-effects model, with correction for multiple comparisons, were used to assess differences among groups.\nRESULTS: Vaccine-induced antibody titers were equivalent in pregnant and lactating compared with nonpregnant women (pregnant, median, 5.59; interquartile range, 4.68-5.89; lactating, median, 5.74; interquartile range, 5.06-6.22; nonpregnant, median, 5.62; interquartile range, 4.77-5.98, P=.24). All titers were significantly higher than those induced by severe acute respiratory syndrome coronavirus 2 infection during pregnancy (P&lt;.0001). Vaccine-generated antibodies were present in all umbilical cord blood and breastmilk samples. Neutralizing antibody titers were lower in umbilical cord than maternal sera, although this finding did not achieve statistical significance (maternal sera, median, 104.7; interquartile range, 61.2-188.2; cord sera, median, 52.3; interquartile range, 11.7-69.6; P=.05). The second vaccine dose (boost dose) increased severe acute respiratory syndrome coronavirus 2-specific immunoglobulin G, but not immunoglobulin A, in maternal blood and breastmilk. No differences were noted in reactogenicity across the groups.\nCONCLUSION: Coronavirus disease 2019 messenger RNA vaccines generated robust humoral immunity in pregnant and lactating women, with immunogenicity and reactogenicity similar to that observed in nonpregnant women. Vaccine-induced immune responses were statistically significantly greater than the response to natural infection. Immune transfer to neonates occurred via placenta and breastmilk.","container-title":"American Journal of Obstetrics and Gynecology","DOI":"10.1016/j.ajog.2021.03.023","ISSN":"1097-6868","issue":"3","journalAbbreviation":"Am J Obstet Gynecol","language":"eng","note":"PMID: 33775692\nPMCID: PMC7997025","page":"303.e1-303.e17","source":"PubMed","title":"Coronavirus disease 2019 vaccine response in pregnant and lactating women: a cohort study","title-short":"Coronavirus disease 2019 vaccine response in pregnant and lactating women","volume":"225","author":[{"family":"Gray","given":"Kathryn J."},{"family":"Bordt","given":"Evan A."},{"family":"Atyeo","given":"Caroline"},{"family":"Deriso","given":"Elizabeth"},{"family":"Akinwunmi","given":"Babatunde"},{"family":"Young","given":"Nicola"},{"family":"Baez","given":"Aranxta Medina"},{"family":"Shook","given":"Lydia L."},{"family":"Cvrk","given":"Dana"},{"family":"James","given":"Kaitlyn"},{"family":"De Guzman","given":"Rose"},{"family":"Brigida","given":"Sara"},{"family":"Diouf","given":"Khady"},{"family":"Goldfarb","given":"Ilona"},{"family":"Bebell","given":"Lisa M."},{"family":"Yonker","given":"Lael M."},{"family":"Fasano","given":"Alessio"},{"family":"Rabi","given":"S. Alireza"},{"family":"Elovitz","given":"Michal A."},{"family":"Alter","given":"Galit"},{"family":"Edlow","given":"Andrea G."}],"issued":{"date-parts":[["2021",9]]}}},{"id":136,"uris":["http://zotero.org/users/14445769/items/9JWKJHF9"],"itemData":{"id":136,"type":"article-journal","abstract":"IMPORTANCE: Pregnant women are at increased risk of morbidity and mortality from COVID-19 but have been excluded from the phase 3 COVID-19 vaccine trials. Data on vaccine safety and immunogenicity in these populations are therefore limited.\nOBJECTIVE: To evaluate the immunogenicity of COVID-19 messenger RNA (mRNA) vaccines in pregnant and lactating women, including against emerging SARS-CoV-2 variants of concern.\nDESIGN, SETTING, AND PARTICIPANTS: An exploratory, descriptive, prospective cohort study enrolled 103 women who received a COVID-19 vaccine from December 2020 through March 2021 and 28 women who had confirmed SARS-CoV-2 infection from April 2020 through March 2021 (the last follow-up date was March 26, 2021). This study enrolled 30 pregnant, 16 lactating, and 57 neither pregnant nor lactating women who received either the mRNA-1273 (Moderna) or BNT162b2 (Pfizer-BioNTech) COVID-19 vaccines and 22 pregnant and 6 nonpregnant unvaccinated women with SARS-CoV-2 infection.\nMAIN OUTCOMES AND MEASURES: SARS-CoV-2 receptor binding domain binding, neutralizing, and functional nonneutralizing antibody responses from pregnant, lactating, and nonpregnant women were assessed following vaccination. Spike-specific T-cell responses were evaluated using IFN-γ enzyme-linked immunospot and multiparameter intracellular cytokine-staining assays. Humoral and cellular immune responses were determined against the original SARS-CoV-2 USA-WA1/2020 strain as well as against the B.1.1.7 and B.1.351 variants.\nRESULTS: This study enrolled 103 women aged 18 to 45 years (66% non-Hispanic White) who received a COVID-19 mRNA vaccine. After the second vaccine dose, fever was reported in 4 pregnant women (14%; SD, 6%), 7 lactating women (44%; SD, 12%), and 27 nonpregnant women (52%; SD, 7%). Binding, neutralizing, and functional nonneutralizing antibody responses as well as CD4 and CD8 T-cell responses were present in pregnant, lactating, and nonpregnant women following vaccination. Binding and neutralizing antibodies were also observed in infant cord blood and breast milk. Binding and neutralizing antibody titers against the SARS-CoV-2 B.1.1.7 and B.1.351 variants of concern were reduced, but T-cell responses were preserved against viral variants.\nCONCLUSION AND RELEVANCE: In this exploratory analysis of a convenience sample, receipt of a COVID-19 mRNA vaccine was immunogenic in pregnant women, and vaccine-elicited antibodies were transported to infant cord blood and breast milk. Pregnant and nonpregnant women who were vaccinated developed cross-reactive antibody responses and T-cell responses against SARS-CoV-2 variants of concern.","container-title":"JAMA","DOI":"10.1001/jama.2021.7563","ISSN":"1538-3598","issue":"23","journalAbbreviation":"JAMA","language":"eng","note":"PMID: 33983379\nPMCID: PMC8120446","page":"2370-2380","source":"PubMed","title":"Immunogenicity of COVID-19 mRNA Vaccines in Pregnant and Lactating Women","volume":"325","author":[{"family":"Collier","given":"Ai-Ris Y."},{"family":"McMahan","given":"Katherine"},{"family":"Yu","given":"Jingyou"},{"family":"Tostanoski","given":"Lisa H."},{"family":"Aguayo","given":"Ricardo"},{"family":"Ansel","given":"Jessica"},{"family":"Chandrashekar","given":"Abishek"},{"family":"Patel","given":"Shivani"},{"family":"Apraku Bondzie","given":"Esther"},{"family":"Sellers","given":"Daniel"},{"family":"Barrett","given":"Julia"},{"family":"Sanborn","given":"Owen"},{"family":"Wan","given":"Huahua"},{"family":"Chang","given":"Aiquan"},{"family":"Anioke","given":"Tochi"},{"family":"Nkolola","given":"Joseph"},{"family":"Bradshaw","given":"Connor"},{"family":"Jacob-Dolan","given":"Catherine"},{"family":"Feldman","given":"Jared"},{"family":"Gebre","given":"Makda"},{"family":"Borducchi","given":"Erica N."},{"family":"Liu","given":"Jinyan"},{"family":"Schmidt","given":"Aaron G."},{"family":"Suscovich","given":"Todd"},{"family":"Linde","given":"Caitlyn"},{"family":"Alter","given":"Galit"},{"family":"Hacker","given":"Michele R."},{"family":"Barouch","given":"Dan H."}],"issued":{"date-parts":[["2021",6,15]]}}},{"id":132,"uris":["http://zotero.org/users/14445769/items/6IT6XADJ"],"itemData":{"id":132,"type":"article-journal","abstract":"BACKGROUND: Although emerging data during the SARS-CoV-2 pandemic have demonstrated robust messenger RNA vaccine-induced immunogenicity across populations, including pregnant and lactating individuals, the rapid waning of vaccine-induced immunity and the emergence of variants of concern motivated the use of messenger RNA vaccine booster doses. Whether all populations, including pregnant and lactating individuals, will mount a comparable response to a booster dose is not known.\nOBJECTIVE: This study aimed to profile the humoral immune response to a COVID-19 messenger RNA booster dose in a cohort of pregnant, lactating, and nonpregnant age-matched women.\nSTUDY DESIGN: This study characterized the antibody response against ancestral Spike and Omicron in a cohort of 31 pregnant, 12 lactating, and 20 nonpregnant age-matched controls who received a BNT162b2 or messenger RNA-1273 booster dose after primary COVID-19 vaccination. In addition, this study examined the vaccine-induced antibody profiles of 15 maternal-to-cord dyads at delivery.\nRESULTS: Receiving a booster dose during pregnancy resulted in increased immunoglobulin G1 levels against Omicron Spike (postprimary vaccination vs postbooster dose; P=.03). Pregnant and lactating individuals exhibited equivalent Spike-specific total immunoglobulin G1, immunoglobulin M, and immunoglobulin A levels and neutralizing titers against Omicron compared with nonpregnant women. Subtle differences in Fc receptor binding and antibody subclass profiles were observed in the immune response to a booster dose in pregnant vs nonpregnant individuals. The analysis of maternal and cord antibody profiles at delivery demonstrated equivalent total Spike-specific immunoglobulin G1 in maternal and cord blood, yet higher Spike-specific FcγR3a-binding antibodies in the cord relative to maternal blood (P=.002), consistent with the preferential transfer of highly functional immunoglobulin. Spike-specific immunoglobulin G1 levels in the cord were positively correlated with the time elapsed since receiving the booster dose (Spearman R, .574; P=.035).\nCONCLUSION: Study data suggested that receiving a booster dose during pregnancy induces a robust Spike-specific humoral immune response, including against Omicron. If boosting occurs in the third trimester of pregnancy, higher Spike-specific cord immunoglobulin G1 levels are achieved with greater time elapsed between receiving the booster and delivery. Receiving a booster dose has the potential to augment maternal and neonatal immunity.","container-title":"American Journal of Obstetrics and Gynecology","DOI":"10.1016/j.ajog.2022.07.014","ISSN":"1097-6868","issue":"1","journalAbbreviation":"Am J Obstet Gynecol","language":"eng","note":"PMID: 35868417\nPMCID: PMC9295313","page":"68.e1-68.e12","source":"PubMed","title":"COVID-19 booster dose induces robust antibody response in pregnant, lactating, and nonpregnant women","volume":"228","author":[{"family":"Atyeo","given":"Caroline"},{"family":"Shook","given":"Lydia L."},{"family":"Nziza","given":"Nadege"},{"family":"Deriso","given":"Elizabeth A."},{"family":"Muir","given":"Cordelia"},{"family":"Baez","given":"Arantxa Medina"},{"family":"Lima","given":"Rosiane S."},{"family":"Demidkin","given":"Stepan"},{"family":"Brigida","given":"Sara"},{"family":"De Guzman","given":"Rose M."},{"family":"Burns","given":"Madeleine D."},{"family":"Balazs","given":"Alejandro B."},{"family":"Fasano","given":"Alessio"},{"family":"Yonker","given":"Lael M."},{"family":"Gray","given":"Kathryn J."},{"family":"Alter","given":"Galit"},{"family":"Edlow","given":"Andrea G."}],"issued":{"date-parts":[["2023",1]]}}}],"schema":"https://github.com/citation-style-language/schema/raw/master/csl-citation.json"} </w:instrText>
      </w:r>
      <w:r w:rsidR="007D7744" w:rsidRPr="00DC55B0">
        <w:rPr>
          <w:rFonts w:ascii="Calibri" w:hAnsi="Calibri" w:cs="Calibri"/>
        </w:rPr>
        <w:fldChar w:fldCharType="separate"/>
      </w:r>
      <w:r w:rsidR="003F3CD5" w:rsidRPr="00DC55B0">
        <w:rPr>
          <w:rFonts w:ascii="Calibri" w:hAnsi="Calibri" w:cs="Calibri"/>
          <w:kern w:val="0"/>
          <w:vertAlign w:val="superscript"/>
        </w:rPr>
        <w:t>17–20</w:t>
      </w:r>
      <w:r w:rsidR="007D7744" w:rsidRPr="00DC55B0">
        <w:rPr>
          <w:rFonts w:ascii="Calibri" w:hAnsi="Calibri" w:cs="Calibri"/>
        </w:rPr>
        <w:fldChar w:fldCharType="end"/>
      </w:r>
      <w:r w:rsidR="003B17DF" w:rsidRPr="00DC55B0">
        <w:rPr>
          <w:rFonts w:ascii="Calibri" w:hAnsi="Calibri" w:cs="Calibri"/>
        </w:rPr>
        <w:t xml:space="preserve"> However,</w:t>
      </w:r>
      <w:r w:rsidR="00380CA6" w:rsidRPr="00DC55B0">
        <w:rPr>
          <w:rFonts w:ascii="Calibri" w:hAnsi="Calibri" w:cs="Calibri"/>
        </w:rPr>
        <w:t xml:space="preserve"> systems serology approaches reveal some subtle differences </w:t>
      </w:r>
      <w:r w:rsidR="00094547" w:rsidRPr="00DC55B0">
        <w:rPr>
          <w:rFonts w:ascii="Calibri" w:hAnsi="Calibri" w:cs="Calibri"/>
        </w:rPr>
        <w:t>in COVID-19 vaccination</w:t>
      </w:r>
      <w:r w:rsidRPr="00DC55B0">
        <w:rPr>
          <w:rFonts w:ascii="Calibri" w:hAnsi="Calibri" w:cs="Calibri"/>
        </w:rPr>
        <w:t xml:space="preserve"> in pregnant and non-pregnant groups</w:t>
      </w:r>
      <w:r w:rsidR="009C1E4B" w:rsidRPr="00DC55B0">
        <w:rPr>
          <w:rFonts w:ascii="Calibri" w:hAnsi="Calibri" w:cs="Calibri"/>
        </w:rPr>
        <w:t>: t</w:t>
      </w:r>
      <w:r w:rsidR="00D0050D" w:rsidRPr="00DC55B0">
        <w:rPr>
          <w:rFonts w:ascii="Calibri" w:hAnsi="Calibri" w:cs="Calibri"/>
        </w:rPr>
        <w:t xml:space="preserve">he first dose of </w:t>
      </w:r>
      <w:r w:rsidRPr="00DC55B0">
        <w:rPr>
          <w:rFonts w:ascii="Calibri" w:hAnsi="Calibri" w:cs="Calibri"/>
        </w:rPr>
        <w:t xml:space="preserve">a COVID-19 mRNA </w:t>
      </w:r>
      <w:r w:rsidR="00D0050D" w:rsidRPr="00DC55B0">
        <w:rPr>
          <w:rFonts w:ascii="Calibri" w:hAnsi="Calibri" w:cs="Calibri"/>
        </w:rPr>
        <w:t>vaccine induc</w:t>
      </w:r>
      <w:r w:rsidRPr="00DC55B0">
        <w:rPr>
          <w:rFonts w:ascii="Calibri" w:hAnsi="Calibri" w:cs="Calibri"/>
        </w:rPr>
        <w:t>e</w:t>
      </w:r>
      <w:r w:rsidR="009C1E4B" w:rsidRPr="00DC55B0">
        <w:rPr>
          <w:rFonts w:ascii="Calibri" w:hAnsi="Calibri" w:cs="Calibri"/>
        </w:rPr>
        <w:t>d</w:t>
      </w:r>
      <w:r w:rsidR="00D0050D" w:rsidRPr="00DC55B0">
        <w:rPr>
          <w:rFonts w:ascii="Calibri" w:hAnsi="Calibri" w:cs="Calibri"/>
        </w:rPr>
        <w:t xml:space="preserve"> antibod</w:t>
      </w:r>
      <w:r w:rsidR="00A06E75" w:rsidRPr="00DC55B0">
        <w:rPr>
          <w:rFonts w:ascii="Calibri" w:hAnsi="Calibri" w:cs="Calibri"/>
        </w:rPr>
        <w:t>ies with Fc receptor (FcR) binding and</w:t>
      </w:r>
      <w:r w:rsidR="00D0050D" w:rsidRPr="00DC55B0">
        <w:rPr>
          <w:rFonts w:ascii="Calibri" w:hAnsi="Calibri" w:cs="Calibri"/>
        </w:rPr>
        <w:t xml:space="preserve"> effector functions with slightly delayed kinetics</w:t>
      </w:r>
      <w:r w:rsidR="00227FC2" w:rsidRPr="00DC55B0">
        <w:rPr>
          <w:rFonts w:ascii="Calibri" w:hAnsi="Calibri" w:cs="Calibri"/>
        </w:rPr>
        <w:t xml:space="preserve"> in pregnant compared to </w:t>
      </w:r>
      <w:r w:rsidR="00A06E75" w:rsidRPr="00DC55B0">
        <w:rPr>
          <w:rFonts w:ascii="Calibri" w:hAnsi="Calibri" w:cs="Calibri"/>
        </w:rPr>
        <w:t xml:space="preserve">in </w:t>
      </w:r>
      <w:r w:rsidR="00227FC2" w:rsidRPr="00DC55B0">
        <w:rPr>
          <w:rFonts w:ascii="Calibri" w:hAnsi="Calibri" w:cs="Calibri"/>
        </w:rPr>
        <w:t>non-pregnant vaccinees</w:t>
      </w:r>
      <w:r w:rsidR="003700C6" w:rsidRPr="00DC55B0">
        <w:rPr>
          <w:rFonts w:ascii="Calibri" w:hAnsi="Calibri" w:cs="Calibri"/>
        </w:rPr>
        <w:t>.</w:t>
      </w:r>
      <w:r w:rsidR="007D7744" w:rsidRPr="00DC55B0">
        <w:rPr>
          <w:rFonts w:ascii="Calibri" w:hAnsi="Calibri" w:cs="Calibri"/>
        </w:rPr>
        <w:fldChar w:fldCharType="begin"/>
      </w:r>
      <w:r w:rsidR="003F3CD5" w:rsidRPr="00DC55B0">
        <w:rPr>
          <w:rFonts w:ascii="Calibri" w:hAnsi="Calibri" w:cs="Calibri"/>
        </w:rPr>
        <w:instrText xml:space="preserve"> ADDIN ZOTERO_ITEM CSL_CITATION {"citationID":"BsbzmMPd","properties":{"formattedCitation":"\\super 21\\nosupersub{}","plainCitation":"21","noteIndex":0},"citationItems":[{"id":205,"uris":["http://zotero.org/users/14445769/items/ID7XKMV6"],"itemData":{"id":205,"type":"article-journal","abstract":"Pregnant and lactating women develop distinct antibody Fc profiles in response to the mRNA-1273 and BNT162b2 vaccines compared to nonpregnant women.\n          , \n            COVID-19 and pregnancy\n            \n              Pregnancy results in systemic changes to the maternal immune system that cause distinct responses to infection or vaccination. Here, Bordt\n              et al\n              . and Atyeo\n              et al\n              . investigated how pregnancy influences the immune response to infection with or vaccination against severe acute respiratory syndrome coronavirus 2 (SARS-CoV-2). Bordt\n              et al\n              . characterized placental immune responses in women who were infected with SARS-CoV-2 during pregnancy. The authors observed differential placental immune responses between male and female fetuses that were associated with reduced antibody transfer to male fetuses. Atyeo\n              et al\n              . evaluated immune responses to mRNA vaccination in women who were pregnant, lactating, or not pregnant. The authors found that two doses of vaccine were required for pregnant or lactating women to achieve immune responses comparable to that of nonpregnant women. An accompanying Focus article discusses these findings and the need for vaccination against SARS-CoV-2 during pregnancy.\n            \n          , \n            Substantial immunological changes occur throughout pregnancy to render the mother immunologically tolerant to the fetus and allow fetal growth. However, additional local and systemic immunological adaptations also occur, allowing the maternal immune system to continue to protect the dyad against pathogens both during pregnancy and after birth through lactation. This fine balance of tolerance and immunity, along with physiological and hormonal changes, contributes to increased susceptibility to particular infections in pregnancy, including more severe coronavirus disease 2019 (COVID-19). Whether these changes also make pregnant women less responsive to vaccination or induce altered immune responses to vaccination remains incompletely understood. To define potential changes in vaccine response during pregnancy and lactation, we undertook deep sequencing of the humoral vaccine response in a group of pregnant and lactating women and nonpregnant age-matched controls. Vaccine-specific titers were comparable between pregnant women, lactating women, and nonpregnant controls. However, Fc receptor (FcR) binding and antibody effector functions were induced with delayed kinetics in both pregnant and lactating women compared with nonpregnant women after the first vaccine dose, which normalized after the second dose. Vaccine boosting resulted in high FcR-binding titers in breastmilk. These data suggest that pregnancy promotes resistance to generating proinflammatory antibodies and indicates that there is a critical need to follow prime-boost timelines in this vulnerable population to ensure full immunity is attained.","container-title":"Science Translational Medicine","DOI":"10.1126/scitranslmed.abi8631","ISSN":"1946-6234, 1946-6242","issue":"617","journalAbbreviation":"Sci. Transl. Med.","language":"en","page":"eabi8631","source":"DOI.org (Crossref)","title":"COVID-19 mRNA vaccines drive differential antibody Fc-functional profiles in pregnant, lactating, and nonpregnant women","volume":"13","author":[{"family":"Atyeo","given":"Caroline"},{"family":"DeRiso","given":"Elizabeth A."},{"family":"Davis","given":"Christine"},{"family":"Bordt","given":"Evan A."},{"family":"De Guzman","given":"Rose M."},{"family":"Shook","given":"Lydia L."},{"family":"Yonker","given":"Lael M."},{"family":"Fasano","given":"Alessio"},{"family":"Akinwunmi","given":"Babatunde"},{"family":"Lauffenburger","given":"Douglas A."},{"family":"Elovitz","given":"Michal A."},{"family":"Gray","given":"Kathryn J."},{"family":"Edlow","given":"Andrea G."},{"family":"Alter","given":"Galit"}],"issued":{"date-parts":[["2021",10,27]]}}}],"schema":"https://github.com/citation-style-language/schema/raw/master/csl-citation.json"} </w:instrText>
      </w:r>
      <w:r w:rsidR="007D7744" w:rsidRPr="00DC55B0">
        <w:rPr>
          <w:rFonts w:ascii="Calibri" w:hAnsi="Calibri" w:cs="Calibri"/>
        </w:rPr>
        <w:fldChar w:fldCharType="separate"/>
      </w:r>
      <w:r w:rsidR="003F3CD5" w:rsidRPr="00DC55B0">
        <w:rPr>
          <w:rFonts w:ascii="Calibri" w:hAnsi="Calibri" w:cs="Calibri"/>
          <w:kern w:val="0"/>
          <w:vertAlign w:val="superscript"/>
        </w:rPr>
        <w:t>21</w:t>
      </w:r>
      <w:r w:rsidR="007D7744" w:rsidRPr="00DC55B0">
        <w:rPr>
          <w:rFonts w:ascii="Calibri" w:hAnsi="Calibri" w:cs="Calibri"/>
        </w:rPr>
        <w:fldChar w:fldCharType="end"/>
      </w:r>
      <w:r w:rsidR="00B30CC1" w:rsidRPr="00DC55B0">
        <w:rPr>
          <w:rFonts w:ascii="Calibri" w:hAnsi="Calibri" w:cs="Calibri"/>
        </w:rPr>
        <w:t xml:space="preserve"> </w:t>
      </w:r>
      <w:r w:rsidR="00A06E75" w:rsidRPr="00DC55B0">
        <w:rPr>
          <w:rFonts w:ascii="Calibri" w:hAnsi="Calibri" w:cs="Calibri"/>
        </w:rPr>
        <w:t>A study examining three different COVID-19 vaccines delivered during pregnancy also found a</w:t>
      </w:r>
      <w:r w:rsidR="00B30CC1" w:rsidRPr="00DC55B0">
        <w:rPr>
          <w:rFonts w:ascii="Calibri" w:hAnsi="Calibri" w:cs="Calibri"/>
        </w:rPr>
        <w:t xml:space="preserve"> subtle reduction in </w:t>
      </w:r>
      <w:r w:rsidR="00A06E75" w:rsidRPr="00DC55B0">
        <w:rPr>
          <w:rFonts w:ascii="Calibri" w:hAnsi="Calibri" w:cs="Calibri"/>
        </w:rPr>
        <w:t xml:space="preserve">antibody-mediated </w:t>
      </w:r>
      <w:r w:rsidR="00B30CC1" w:rsidRPr="00DC55B0">
        <w:rPr>
          <w:rFonts w:ascii="Calibri" w:hAnsi="Calibri" w:cs="Calibri"/>
        </w:rPr>
        <w:t>effector functions following</w:t>
      </w:r>
      <w:r w:rsidR="00A06E75" w:rsidRPr="00DC55B0">
        <w:rPr>
          <w:rFonts w:ascii="Calibri" w:hAnsi="Calibri" w:cs="Calibri"/>
        </w:rPr>
        <w:t xml:space="preserve"> COVID-19</w:t>
      </w:r>
      <w:r w:rsidR="00AC1E4A" w:rsidRPr="00DC55B0">
        <w:rPr>
          <w:rFonts w:ascii="Calibri" w:hAnsi="Calibri" w:cs="Calibri"/>
        </w:rPr>
        <w:t xml:space="preserve"> </w:t>
      </w:r>
      <w:r w:rsidR="00B30CC1" w:rsidRPr="00DC55B0">
        <w:rPr>
          <w:rFonts w:ascii="Calibri" w:hAnsi="Calibri" w:cs="Calibri"/>
        </w:rPr>
        <w:t>vaccination in the second</w:t>
      </w:r>
      <w:r w:rsidR="003926EC" w:rsidRPr="00DC55B0">
        <w:rPr>
          <w:rFonts w:ascii="Calibri" w:hAnsi="Calibri" w:cs="Calibri"/>
        </w:rPr>
        <w:t xml:space="preserve"> trimester</w:t>
      </w:r>
      <w:r w:rsidR="00B30CC1" w:rsidRPr="00DC55B0">
        <w:rPr>
          <w:rFonts w:ascii="Calibri" w:hAnsi="Calibri" w:cs="Calibri"/>
        </w:rPr>
        <w:t xml:space="preserve">, compared to </w:t>
      </w:r>
      <w:r w:rsidR="00A06E75" w:rsidRPr="00DC55B0">
        <w:rPr>
          <w:rFonts w:ascii="Calibri" w:hAnsi="Calibri" w:cs="Calibri"/>
        </w:rPr>
        <w:t xml:space="preserve">in </w:t>
      </w:r>
      <w:r w:rsidR="00B30CC1" w:rsidRPr="00DC55B0">
        <w:rPr>
          <w:rFonts w:ascii="Calibri" w:hAnsi="Calibri" w:cs="Calibri"/>
        </w:rPr>
        <w:t>the first or third</w:t>
      </w:r>
      <w:r w:rsidR="00A06E75" w:rsidRPr="00DC55B0">
        <w:rPr>
          <w:rFonts w:ascii="Calibri" w:hAnsi="Calibri" w:cs="Calibri"/>
        </w:rPr>
        <w:t xml:space="preserve"> trimesters</w:t>
      </w:r>
      <w:r w:rsidR="007D7744" w:rsidRPr="00DC55B0">
        <w:rPr>
          <w:rFonts w:ascii="Calibri" w:hAnsi="Calibri" w:cs="Calibri"/>
        </w:rPr>
        <w:t>.</w:t>
      </w:r>
      <w:r w:rsidR="007D7744" w:rsidRPr="00DC55B0">
        <w:rPr>
          <w:rFonts w:ascii="Calibri" w:hAnsi="Calibri" w:cs="Calibri"/>
        </w:rPr>
        <w:fldChar w:fldCharType="begin"/>
      </w:r>
      <w:r w:rsidR="003F3CD5" w:rsidRPr="00DC55B0">
        <w:rPr>
          <w:rFonts w:ascii="Calibri" w:hAnsi="Calibri" w:cs="Calibri"/>
        </w:rPr>
        <w:instrText xml:space="preserve"> ADDIN ZOTERO_ITEM CSL_CITATION {"citationID":"hiCpdzyU","properties":{"formattedCitation":"\\super 22\\nosupersub{}","plainCitation":"22","noteIndex":0},"citationItems":[{"id":135,"uris":["http://zotero.org/users/14445769/items/MBSJQJS2"],"itemData":{"id":135,"type":"article-journal","abstract":"The availability of three COVID-19 vaccines in the United States provides an unprecedented opportunity to examine how vaccine platforms and timing of vaccination in pregnancy impact maternal and neonatal immunity. Here, we characterize the antibody profile after Ad26.COV2.S, mRNA-1273 or BNT162b2 vaccination in 158 pregnant individuals and evaluate transplacental antibody transfer by profiling maternal and umbilical cord blood in 175 maternal-neonatal dyads. These analyses reveal lower vaccine-induced functions and Fc receptor-binding after Ad26.COV2.S compared to mRNA vaccination and subtle advantages in titer and function with mRNA-1273 versus BN162b2. mRNA vaccines have higher titers and functions against SARS-CoV-2 variants of concern. First and third trimester vaccination results in enhanced maternal antibody-dependent NK-cell activation, cellular and neutrophil phagocytosis, and complement deposition relative to second trimester. Higher transplacental transfer ratios following first and second trimester vaccination may reflect placental compensation for waning maternal titers. These results provide novel insight into the impact of platform and trimester of vaccination on maternal humoral immune response and transplacental antibody transfer.","container-title":"Nature Communications","DOI":"10.1038/s41467-022-31169-8","ISSN":"2041-1723","issue":"1","journalAbbreviation":"Nat Commun","language":"en","license":"2022 The Author(s)","page":"3571","source":"www.nature.com","title":"Maternal immune response and placental antibody transfer after COVID-19 vaccination across trimester and platforms","volume":"13","author":[{"family":"Atyeo","given":"Caroline G."},{"family":"Shook","given":"Lydia L."},{"family":"Brigida","given":"Sara"},{"family":"De Guzman","given":"Rose M."},{"family":"Demidkin","given":"Stepan"},{"family":"Muir","given":"Cordelia"},{"family":"Akinwunmi","given":"Babatunde"},{"family":"Baez","given":"Arantxa Medina"},{"family":"Sheehan","given":"Maegan L."},{"family":"McSweeney","given":"Erin"},{"family":"Burns","given":"Madeleine D."},{"family":"Nayak","given":"Ruhi"},{"family":"Kumar","given":"Maya K."},{"family":"Patel","given":"Chinmay D."},{"family":"Fialkowski","given":"Allison"},{"family":"Cvrk","given":"Dana"},{"family":"Goldfarb","given":"Ilona T."},{"family":"Yonker","given":"Lael M."},{"family":"Fasano","given":"Alessio"},{"family":"Balazs","given":"Alejandro B."},{"family":"Elovitz","given":"Michal A."},{"family":"Gray","given":"Kathryn J."},{"family":"Alter","given":"Galit"},{"family":"Edlow","given":"Andrea G."}],"issued":{"date-parts":[["2022",6,28]]}}}],"schema":"https://github.com/citation-style-language/schema/raw/master/csl-citation.json"} </w:instrText>
      </w:r>
      <w:r w:rsidR="007D7744" w:rsidRPr="00DC55B0">
        <w:rPr>
          <w:rFonts w:ascii="Calibri" w:hAnsi="Calibri" w:cs="Calibri"/>
        </w:rPr>
        <w:fldChar w:fldCharType="separate"/>
      </w:r>
      <w:r w:rsidR="003F3CD5" w:rsidRPr="00DC55B0">
        <w:rPr>
          <w:rFonts w:ascii="Calibri" w:hAnsi="Calibri" w:cs="Calibri"/>
          <w:kern w:val="0"/>
          <w:vertAlign w:val="superscript"/>
        </w:rPr>
        <w:t>22</w:t>
      </w:r>
      <w:r w:rsidR="007D7744" w:rsidRPr="00DC55B0">
        <w:rPr>
          <w:rFonts w:ascii="Calibri" w:hAnsi="Calibri" w:cs="Calibri"/>
        </w:rPr>
        <w:fldChar w:fldCharType="end"/>
      </w:r>
    </w:p>
    <w:p w14:paraId="74264263" w14:textId="77777777" w:rsidR="00D279A2" w:rsidRPr="00DC55B0" w:rsidRDefault="00D279A2" w:rsidP="001F3ACA">
      <w:pPr>
        <w:rPr>
          <w:rFonts w:ascii="Calibri" w:hAnsi="Calibri" w:cs="Calibri"/>
        </w:rPr>
      </w:pPr>
    </w:p>
    <w:p w14:paraId="312376A4" w14:textId="7E49CB14" w:rsidR="00CB5F49" w:rsidRPr="00DC55B0" w:rsidRDefault="00436747" w:rsidP="001F3ACA">
      <w:pPr>
        <w:rPr>
          <w:rFonts w:ascii="Calibri" w:hAnsi="Calibri" w:cs="Calibri"/>
        </w:rPr>
      </w:pPr>
      <w:r w:rsidRPr="00DC55B0">
        <w:rPr>
          <w:rFonts w:ascii="Calibri" w:hAnsi="Calibri" w:cs="Calibri"/>
        </w:rPr>
        <w:t xml:space="preserve">Vaccination in pregnancy, then, may elicit a </w:t>
      </w:r>
      <w:r w:rsidR="00A06E75" w:rsidRPr="00DC55B0">
        <w:rPr>
          <w:rFonts w:ascii="Calibri" w:hAnsi="Calibri" w:cs="Calibri"/>
        </w:rPr>
        <w:t xml:space="preserve">qualitatively </w:t>
      </w:r>
      <w:r w:rsidRPr="00DC55B0">
        <w:rPr>
          <w:rFonts w:ascii="Calibri" w:hAnsi="Calibri" w:cs="Calibri"/>
        </w:rPr>
        <w:t>different</w:t>
      </w:r>
      <w:r w:rsidR="0004183A" w:rsidRPr="00DC55B0">
        <w:rPr>
          <w:rFonts w:ascii="Calibri" w:hAnsi="Calibri" w:cs="Calibri"/>
        </w:rPr>
        <w:t xml:space="preserve"> </w:t>
      </w:r>
      <w:r w:rsidR="00AC7B94" w:rsidRPr="00DC55B0">
        <w:rPr>
          <w:rFonts w:ascii="Calibri" w:hAnsi="Calibri" w:cs="Calibri"/>
        </w:rPr>
        <w:t>antibody</w:t>
      </w:r>
      <w:r w:rsidRPr="00DC55B0">
        <w:rPr>
          <w:rFonts w:ascii="Calibri" w:hAnsi="Calibri" w:cs="Calibri"/>
        </w:rPr>
        <w:t xml:space="preserve"> response</w:t>
      </w:r>
      <w:r w:rsidR="00AC7B94" w:rsidRPr="00DC55B0">
        <w:rPr>
          <w:rFonts w:ascii="Calibri" w:hAnsi="Calibri" w:cs="Calibri"/>
        </w:rPr>
        <w:t xml:space="preserve"> in some circumstances. </w:t>
      </w:r>
      <w:r w:rsidR="00314E4E" w:rsidRPr="00DC55B0">
        <w:rPr>
          <w:rFonts w:ascii="Calibri" w:hAnsi="Calibri" w:cs="Calibri"/>
        </w:rPr>
        <w:t xml:space="preserve">However, the </w:t>
      </w:r>
      <w:r w:rsidR="00A06E75" w:rsidRPr="00DC55B0">
        <w:rPr>
          <w:rFonts w:ascii="Calibri" w:hAnsi="Calibri" w:cs="Calibri"/>
        </w:rPr>
        <w:t xml:space="preserve">antibody </w:t>
      </w:r>
      <w:r w:rsidR="00314E4E" w:rsidRPr="00DC55B0">
        <w:rPr>
          <w:rFonts w:ascii="Calibri" w:hAnsi="Calibri" w:cs="Calibri"/>
        </w:rPr>
        <w:t>response</w:t>
      </w:r>
      <w:r w:rsidR="00A06E75" w:rsidRPr="00DC55B0">
        <w:rPr>
          <w:rFonts w:ascii="Calibri" w:hAnsi="Calibri" w:cs="Calibri"/>
        </w:rPr>
        <w:t xml:space="preserve"> induced</w:t>
      </w:r>
      <w:r w:rsidR="00314E4E" w:rsidRPr="00DC55B0">
        <w:rPr>
          <w:rFonts w:ascii="Calibri" w:hAnsi="Calibri" w:cs="Calibri"/>
        </w:rPr>
        <w:t xml:space="preserve"> is sufficient to be protective</w:t>
      </w:r>
      <w:r w:rsidR="00E74169" w:rsidRPr="00DC55B0">
        <w:rPr>
          <w:rFonts w:ascii="Calibri" w:hAnsi="Calibri" w:cs="Calibri"/>
        </w:rPr>
        <w:t xml:space="preserve"> and since antibody titres wane over time, it is still preferable to vaccinate in pregnancy </w:t>
      </w:r>
      <w:r w:rsidR="00934B69" w:rsidRPr="00DC55B0">
        <w:rPr>
          <w:rFonts w:ascii="Calibri" w:hAnsi="Calibri" w:cs="Calibri"/>
        </w:rPr>
        <w:t xml:space="preserve">to maximise protection of the newborn, rather than </w:t>
      </w:r>
      <w:r w:rsidR="00A06E75" w:rsidRPr="00DC55B0">
        <w:rPr>
          <w:rFonts w:ascii="Calibri" w:hAnsi="Calibri" w:cs="Calibri"/>
        </w:rPr>
        <w:t xml:space="preserve">relying on vaccination </w:t>
      </w:r>
      <w:r w:rsidR="00841660" w:rsidRPr="00DC55B0">
        <w:rPr>
          <w:rFonts w:ascii="Calibri" w:hAnsi="Calibri" w:cs="Calibri"/>
        </w:rPr>
        <w:t>prior to</w:t>
      </w:r>
      <w:r w:rsidR="00934B69" w:rsidRPr="00DC55B0">
        <w:rPr>
          <w:rFonts w:ascii="Calibri" w:hAnsi="Calibri" w:cs="Calibri"/>
        </w:rPr>
        <w:t xml:space="preserve"> conception.</w:t>
      </w:r>
    </w:p>
    <w:p w14:paraId="0EEC58C5" w14:textId="77777777" w:rsidR="00FF7D52" w:rsidRPr="00DC55B0" w:rsidRDefault="00FF7D52" w:rsidP="001F3ACA">
      <w:pPr>
        <w:rPr>
          <w:rFonts w:ascii="Calibri" w:hAnsi="Calibri" w:cs="Calibri"/>
          <w:i/>
          <w:iCs/>
        </w:rPr>
      </w:pPr>
    </w:p>
    <w:p w14:paraId="2475F1BF" w14:textId="3F2EB63C" w:rsidR="0004595A" w:rsidRPr="00DC55B0" w:rsidRDefault="00FF7D52" w:rsidP="001F3ACA">
      <w:pPr>
        <w:rPr>
          <w:rFonts w:ascii="Calibri" w:hAnsi="Calibri" w:cs="Calibri"/>
          <w:i/>
          <w:iCs/>
        </w:rPr>
      </w:pPr>
      <w:r w:rsidRPr="00DC55B0">
        <w:rPr>
          <w:rFonts w:ascii="Calibri" w:hAnsi="Calibri" w:cs="Calibri"/>
          <w:i/>
          <w:iCs/>
        </w:rPr>
        <w:t>Transplacental transfer of antibody</w:t>
      </w:r>
    </w:p>
    <w:p w14:paraId="68C7EA6D" w14:textId="42CD60D0" w:rsidR="0030425C" w:rsidRPr="00DC55B0" w:rsidRDefault="00C12B7E" w:rsidP="001F3ACA">
      <w:pPr>
        <w:rPr>
          <w:rFonts w:ascii="Calibri" w:hAnsi="Calibri" w:cs="Calibri"/>
        </w:rPr>
      </w:pPr>
      <w:r w:rsidRPr="00DC55B0">
        <w:rPr>
          <w:rFonts w:ascii="Calibri" w:hAnsi="Calibri" w:cs="Calibri"/>
        </w:rPr>
        <w:t>Underpinning vaccination in pregnancy as a strategy to protect the newborn is the effective transfer of maternal antibody across the placenta</w:t>
      </w:r>
      <w:r w:rsidR="00687828" w:rsidRPr="00DC55B0">
        <w:rPr>
          <w:rFonts w:ascii="Calibri" w:hAnsi="Calibri" w:cs="Calibri"/>
        </w:rPr>
        <w:t xml:space="preserve">. </w:t>
      </w:r>
      <w:r w:rsidR="0030425C" w:rsidRPr="00DC55B0">
        <w:rPr>
          <w:rFonts w:ascii="Calibri" w:hAnsi="Calibri" w:cs="Calibri"/>
        </w:rPr>
        <w:t xml:space="preserve">Of the five antibody classes, IgG is the only one to traverse the placenta, a process </w:t>
      </w:r>
      <w:r w:rsidR="001411FE" w:rsidRPr="00DC55B0">
        <w:rPr>
          <w:rFonts w:ascii="Calibri" w:hAnsi="Calibri" w:cs="Calibri"/>
        </w:rPr>
        <w:t>mediated</w:t>
      </w:r>
      <w:r w:rsidR="007347AA" w:rsidRPr="00DC55B0">
        <w:rPr>
          <w:rFonts w:ascii="Calibri" w:hAnsi="Calibri" w:cs="Calibri"/>
        </w:rPr>
        <w:t xml:space="preserve"> specifically</w:t>
      </w:r>
      <w:r w:rsidR="001411FE" w:rsidRPr="00DC55B0">
        <w:rPr>
          <w:rFonts w:ascii="Calibri" w:hAnsi="Calibri" w:cs="Calibri"/>
        </w:rPr>
        <w:t xml:space="preserve"> by the neonatal Fc receptor </w:t>
      </w:r>
      <w:r w:rsidR="009111CE" w:rsidRPr="00DC55B0">
        <w:rPr>
          <w:rFonts w:ascii="Calibri" w:hAnsi="Calibri" w:cs="Calibri"/>
        </w:rPr>
        <w:t>(</w:t>
      </w:r>
      <w:r w:rsidR="001411FE" w:rsidRPr="00DC55B0">
        <w:rPr>
          <w:rFonts w:ascii="Calibri" w:hAnsi="Calibri" w:cs="Calibri"/>
        </w:rPr>
        <w:t>FcRn</w:t>
      </w:r>
      <w:r w:rsidR="00F4361A" w:rsidRPr="00DC55B0">
        <w:rPr>
          <w:rFonts w:ascii="Calibri" w:hAnsi="Calibri" w:cs="Calibri"/>
        </w:rPr>
        <w:t xml:space="preserve">; </w:t>
      </w:r>
      <w:r w:rsidR="00F4361A" w:rsidRPr="00DC55B0">
        <w:rPr>
          <w:rFonts w:ascii="Calibri" w:hAnsi="Calibri" w:cs="Calibri"/>
          <w:b/>
          <w:bCs/>
        </w:rPr>
        <w:t>Figure 1</w:t>
      </w:r>
      <w:r w:rsidR="00F4361A" w:rsidRPr="00DC55B0">
        <w:rPr>
          <w:rFonts w:ascii="Calibri" w:hAnsi="Calibri" w:cs="Calibri"/>
        </w:rPr>
        <w:t>)</w:t>
      </w:r>
      <w:r w:rsidR="001B52CE" w:rsidRPr="00DC55B0">
        <w:rPr>
          <w:rFonts w:ascii="Calibri" w:hAnsi="Calibri" w:cs="Calibri"/>
        </w:rPr>
        <w:t>.</w:t>
      </w:r>
      <w:r w:rsidR="002D1FA8" w:rsidRPr="00DC55B0">
        <w:rPr>
          <w:rFonts w:ascii="Calibri" w:hAnsi="Calibri" w:cs="Calibri"/>
        </w:rPr>
        <w:fldChar w:fldCharType="begin"/>
      </w:r>
      <w:r w:rsidR="003F3CD5" w:rsidRPr="00DC55B0">
        <w:rPr>
          <w:rFonts w:ascii="Calibri" w:hAnsi="Calibri" w:cs="Calibri"/>
        </w:rPr>
        <w:instrText xml:space="preserve"> ADDIN ZOTERO_ITEM CSL_CITATION {"citationID":"aYLiUSYX","properties":{"formattedCitation":"\\super 23\\uc0\\u8211{}25\\nosupersub{}","plainCitation":"23–25","noteIndex":0},"citationItems":[{"id":125,"uris":["http://zotero.org/users/14445769/items/423I9G4G"],"itemData":{"id":125,"type":"article-journal","container-title":"International Immunology","DOI":"10.1093/intimm/13.8.993","ISSN":"1460-2377, 0953-8178","issue":"8","language":"en","page":"993-1002","source":"DOI.org (Crossref)","title":"The MHC class I-related receptor, FcRn, plays an essential role in the maternofetal transfer of γ-globulin in humans","volume":"13","author":[{"family":"Firan","given":"Mihail"},{"family":"Bawdon","given":"Roger"},{"family":"Radu","given":"Caius"},{"family":"Ober","given":"Raimund J."},{"family":"Eaken","given":"Darla"},{"family":"Antohe","given":"Felicia"},{"family":"Ghetie","given":"Victor"},{"family":"Ward","given":"E. Sally"}],"issued":{"date-parts":[["2001",8]]}}},{"id":123,"uris":["http://zotero.org/users/14445769/items/R57RJI2A"],"itemData":{"id":123,"type":"article-journal","abstract":"BACKGROUND: The transfer of pathogenic immunoglobulin G antibodies from mother to fetus is a critical step in the pathophysiology of alloimmune and autoimmune diseases of the fetus and neonate. Immunoglobulin G transfer across the human placenta to the fetus is mediated by the neonatal Fc receptor, and blockade of the neonatal Fc receptor may provide a therapeutic strategy to prevent or minimize pathological events associated with immune-mediated diseases of pregnancy. M281 is a fully human, aglycosylated monoclonal immunoglobulin G1 antineonatal Fc receptor antibody that has been shown to block the neonatal Fc receptor with high affinity in nonclinical studies and in a phase 1 study in healthy volunteers.\nOBJECTIVE: The objective of the study was to determine the transplacental transfer of M281 and its potential to inhibit transfer of immunoglobulin G from maternal to fetal circulation.\nSTUDY DESIGN: To determine the concentration of M281 required for rapid cellular uptake and complete saturation of the neonatal Fc receptor in placental trophoblasts, primary human villous trophoblasts were incubated with various concentrations of M281 in a receptor occupancy assay. The placental transfer of M281, immunoglobulin G, and immunoglobulin G in the presence of M281 was studied using the dually perfused human placental lobule model. Immunoglobulin G transfer was established using a representative immunoglobulin G molecule, adalimumab, a human immunoglobulin G1 monoclonal antibody, at a concentration of 270 μg/mL. Inhibition of immunoglobulin G transfer by M281 was determined by cotransfusing 270 μg/mL of adalimumab with 10 μg/mL or 300 μg/mL of M281. Concentrations of adalimumab and M281 in sample aliquots from maternal and fetal circuits were analyzed using a sandwich enzyme-linked immunosorbent assay and Meso Scale Discovery assay, respectively.\nRESULTS: In primary human villous trophoblasts, the saturation of the neonatal Fc receptor by M281 was observed within 30-60 minutes at 0.15-5.0 μg/mL, suggesting rapid blockade of neonatal Fc receptor in placental cells. The transfer rate of adalimumab (0.23% ± 0.21%) across dually perfused human placental lobule was significantly decreased by 10 μg/mL and 300 μg/mL of M281 to 0.07 ± 0.01% and 0.06 ± 0.01%, respectively. Furthermore, the transfer rate of M281 was 0.002% ± 0.02%, approximately 100-fold lower than that of adalimumab.\nCONCLUSION: The significant inhibition of immunoglobulin G transfer across the human placental lobule by M281 and the minimal transfer of M281 supports the development of M281 as a novel agent for the treatment of fetal and neonatal diseases caused by transplacental transfer of alloimmune and autoimmune pathogenic immunoglobulin G antibodies.","container-title":"American Journal of Obstetrics and Gynecology","DOI":"10.1016/j.ajog.2019.02.058","ISSN":"1097-6868","issue":"5","journalAbbreviation":"Am J Obstet Gynecol","language":"eng","note":"PMID: 30849355","page":"498.e1-498.e9","source":"PubMed","title":"M281, an anti-FcRn antibody, inhibits IgG transfer in a human ex vivo placental perfusion model","volume":"220","author":[{"family":"Roy","given":"Sucharita"},{"family":"Nanovskaya","given":"Tatiana"},{"family":"Patrikeeva","given":"Svetlana"},{"family":"Cochran","given":"Edward"},{"family":"Parge","given":"Viraj"},{"family":"Guess","given":"Jamey"},{"family":"Schaeck","given":"John"},{"family":"Choudhury","given":"Amit"},{"family":"Ahmed","given":"Mahmoud"},{"family":"Ling","given":"Leona E."}],"issued":{"date-parts":[["2019",5]]}}},{"id":122,"uris":["http://zotero.org/users/14445769/items/VN9DDAXZ"],"itemData":{"id":122,"type":"article-journal","abstract":"Significance \n            Transport of IgG antibodies from the maternal to the fetal circulation is a key process for neonatal immunity, as neonates cannot sufficiently generate IgG antibodies to reach protective levels during the first months after birth. In humans and other primates, maternal to fetal transport of IgG antibodies is largely mediated through the placental tissue. FcRn has been previously identified as the major driver of IgG transplacental transport. Here we examine whether other receptors, such as FcγRs, also contribute to the maternal-fetal IgG transfer. By characterizing the Fc domain structure of paired maternal-fetal IgG samples and modeling transplacental IgG transport in genetically engineered mouse strains, we determined that FcRn, but not FcγRs, is the major receptor that mediates transplacental IgG transport. \n          ,  \n            The IgG Fc domain has the capacity to interact with diverse types of receptors, including the neonatal Fc receptor (FcRn) and Fcγ receptors (FcγRs), which confer pleiotropic biological activities. Whereas FcRn regulates IgG epithelial transport and recycling, Fc effector activities, such as antibody-dependent cellular cytotoxicity (ADCC) and phagocytosis, are mediated by FcγRs, which upon cross-linking transduce signals that modulate the function of effector leukocytes. Despite the well-defined and nonoverlapping functional properties of FcRn and FcγRs, recent studies have suggested that FcγRs mediate transplacental IgG transport, as certain Fc glycoforms were reported to be enriched in fetal circulation. To determine the contribution of FcγRs and FcRn to the maternal-fetal transport of IgG, we characterized the IgG Fc glycosylation in paired maternal-fetal samples from patient cohorts from Uganda and Nicaragua. No differences in IgG1 Fc glycan profiles and minimal differences in IgG2 Fc glycans were noted, whereas the presence or absence of galactose on the Fc glycan of IgG1 did not alter FcγRIIIa or FcRn binding, half-life, or their ability to deplete target cells in FcγR/FcRn humanized mice. Modeling maternal-fetal transport in FcγR/FcRn humanized mice confirmed that only FcRn contributed to transplacental transport of IgG; IgG selectively enhanced for FcRn binding resulted in enhanced accumulation of maternal antibody in the fetus. In contrast, enhancing FcγRIIIa binding did not result in enhanced maternal-fetal transport. These results argue against a role for FcγRs in IgG transplacental transport, suggesting Fc engineering of maternally administered antibody to enhance only FcRn binding as a means to improve maternal-fetal transport of IgG.","container-title":"Proceedings of the National Academy of Sciences","DOI":"10.1073/pnas.2004325117","ISSN":"0027-8424, 1091-6490","issue":"23","journalAbbreviation":"Proc. Natl. Acad. Sci. U.S.A.","language":"en","page":"12943-12951","source":"DOI.org (Crossref)","title":"FcRn, but not FcγRs, drives maternal-fetal transplacental transport of human IgG antibodies","volume":"117","author":[{"family":"Borghi","given":"Sara"},{"family":"Bournazos","given":"Stylianos"},{"family":"Thulin","given":"Natalie K."},{"family":"Li","given":"Chao"},{"family":"Gajewski","given":"Anna"},{"family":"Sherwood","given":"Robert W."},{"family":"Zhang","given":"Sheng"},{"family":"Harris","given":"Eva"},{"family":"Jagannathan","given":"Prasanna"},{"family":"Wang","given":"Lai-Xi"},{"family":"Ravetch","given":"Jeffrey V."},{"family":"Wang","given":"Taia T."}],"issued":{"date-parts":[["2020",6,9]]}}}],"schema":"https://github.com/citation-style-language/schema/raw/master/csl-citation.json"} </w:instrText>
      </w:r>
      <w:r w:rsidR="002D1FA8" w:rsidRPr="00DC55B0">
        <w:rPr>
          <w:rFonts w:ascii="Calibri" w:hAnsi="Calibri" w:cs="Calibri"/>
        </w:rPr>
        <w:fldChar w:fldCharType="separate"/>
      </w:r>
      <w:r w:rsidR="003F3CD5" w:rsidRPr="00DC55B0">
        <w:rPr>
          <w:rFonts w:ascii="Calibri" w:hAnsi="Calibri" w:cs="Calibri"/>
          <w:kern w:val="0"/>
          <w:vertAlign w:val="superscript"/>
        </w:rPr>
        <w:t>23–25</w:t>
      </w:r>
      <w:r w:rsidR="002D1FA8" w:rsidRPr="00DC55B0">
        <w:rPr>
          <w:rFonts w:ascii="Calibri" w:hAnsi="Calibri" w:cs="Calibri"/>
        </w:rPr>
        <w:fldChar w:fldCharType="end"/>
      </w:r>
      <w:r w:rsidR="008A5E31" w:rsidRPr="00DC55B0">
        <w:rPr>
          <w:rFonts w:ascii="Calibri" w:hAnsi="Calibri" w:cs="Calibri"/>
        </w:rPr>
        <w:t xml:space="preserve"> </w:t>
      </w:r>
      <w:r w:rsidR="00113D08" w:rsidRPr="00DC55B0">
        <w:rPr>
          <w:rFonts w:ascii="Calibri" w:hAnsi="Calibri" w:cs="Calibri"/>
        </w:rPr>
        <w:t xml:space="preserve">To cross from the maternal into the fetal blood, the antibody must </w:t>
      </w:r>
      <w:r w:rsidR="00766A19" w:rsidRPr="00DC55B0">
        <w:rPr>
          <w:rFonts w:ascii="Calibri" w:hAnsi="Calibri" w:cs="Calibri"/>
        </w:rPr>
        <w:t>first</w:t>
      </w:r>
      <w:r w:rsidR="0022747E" w:rsidRPr="00DC55B0">
        <w:rPr>
          <w:rFonts w:ascii="Calibri" w:hAnsi="Calibri" w:cs="Calibri"/>
        </w:rPr>
        <w:t xml:space="preserve"> traverse</w:t>
      </w:r>
      <w:r w:rsidR="00766A19" w:rsidRPr="00DC55B0">
        <w:rPr>
          <w:rFonts w:ascii="Calibri" w:hAnsi="Calibri" w:cs="Calibri"/>
        </w:rPr>
        <w:t xml:space="preserve"> the trophoblast cells that cover the placental villi, then </w:t>
      </w:r>
      <w:r w:rsidR="0022747E" w:rsidRPr="00DC55B0">
        <w:rPr>
          <w:rFonts w:ascii="Calibri" w:hAnsi="Calibri" w:cs="Calibri"/>
        </w:rPr>
        <w:t xml:space="preserve">the </w:t>
      </w:r>
      <w:r w:rsidR="00223214" w:rsidRPr="00DC55B0">
        <w:rPr>
          <w:rFonts w:ascii="Calibri" w:hAnsi="Calibri" w:cs="Calibri"/>
        </w:rPr>
        <w:t xml:space="preserve">villous </w:t>
      </w:r>
      <w:r w:rsidR="00041C2A" w:rsidRPr="00DC55B0">
        <w:rPr>
          <w:rFonts w:ascii="Calibri" w:hAnsi="Calibri" w:cs="Calibri"/>
        </w:rPr>
        <w:t>connective tissue</w:t>
      </w:r>
      <w:r w:rsidR="00223214" w:rsidRPr="00DC55B0">
        <w:rPr>
          <w:rFonts w:ascii="Calibri" w:hAnsi="Calibri" w:cs="Calibri"/>
        </w:rPr>
        <w:t xml:space="preserve"> and finally through endothelial cells into the </w:t>
      </w:r>
      <w:r w:rsidR="00224EAD" w:rsidRPr="00DC55B0">
        <w:rPr>
          <w:rFonts w:ascii="Calibri" w:hAnsi="Calibri" w:cs="Calibri"/>
        </w:rPr>
        <w:t>fetal capillaries.</w:t>
      </w:r>
      <w:r w:rsidR="00113D08" w:rsidRPr="00DC55B0">
        <w:rPr>
          <w:rFonts w:ascii="Calibri" w:hAnsi="Calibri" w:cs="Calibri"/>
        </w:rPr>
        <w:t xml:space="preserve"> </w:t>
      </w:r>
      <w:r w:rsidR="00702E8A" w:rsidRPr="00DC55B0">
        <w:rPr>
          <w:rFonts w:ascii="Calibri" w:hAnsi="Calibri" w:cs="Calibri"/>
        </w:rPr>
        <w:t xml:space="preserve">FcRn is unambiguously expressed by </w:t>
      </w:r>
      <w:r w:rsidR="00BD55A6" w:rsidRPr="00DC55B0">
        <w:rPr>
          <w:rFonts w:ascii="Calibri" w:hAnsi="Calibri" w:cs="Calibri"/>
        </w:rPr>
        <w:t xml:space="preserve">villous </w:t>
      </w:r>
      <w:r w:rsidR="00702E8A" w:rsidRPr="00DC55B0">
        <w:rPr>
          <w:rFonts w:ascii="Calibri" w:hAnsi="Calibri" w:cs="Calibri"/>
        </w:rPr>
        <w:t>trophoblast cells</w:t>
      </w:r>
      <w:r w:rsidR="00FB057E" w:rsidRPr="00DC55B0">
        <w:rPr>
          <w:rFonts w:ascii="Calibri" w:hAnsi="Calibri" w:cs="Calibri"/>
        </w:rPr>
        <w:fldChar w:fldCharType="begin"/>
      </w:r>
      <w:r w:rsidR="003F3CD5" w:rsidRPr="00DC55B0">
        <w:rPr>
          <w:rFonts w:ascii="Calibri" w:hAnsi="Calibri" w:cs="Calibri"/>
        </w:rPr>
        <w:instrText xml:space="preserve"> ADDIN ZOTERO_ITEM CSL_CITATION {"citationID":"CfoU9Ha8","properties":{"formattedCitation":"\\super 26\\uc0\\u8211{}28\\nosupersub{}","plainCitation":"26–28","noteIndex":0},"citationItems":[{"id":118,"uris":["http://zotero.org/users/14445769/items/3RYIVTAT"],"itemData":{"id":118,"type":"article-journal","abstract":"Abstract \n            The IgG transporter responsible for ferrying maternal IgG across the human placenta to fetal circulation has not been identified, although the human homologue of the neonatal rat Fc receptor (FcRn), a heterodimer with pH-dependent IgG affinity, structurally similar to MHC Class I molecules, was recently proposed as a candidate. Affirming this hypothesis, we describe herein the specific copurification from human placenta of 46- and 14-kDa proteins by IgG affinity at acid pH. The larger protein, characterized by its amino acid sequence and by immunoblot, is the alpha-chain of human FcRn (hFcRn). The smaller is beta2-microglobulin. Their coisolation by ligand affinity suggests that they comprise the hFcRn heterodimer. Placenta sections stained immunohistochemically with anti-hFcRn alpha-chain peptide Abs show extensive expression of hFcRn in the syncytiotrophoblast and traces in the endothelium and other unidentified cells of the villus stroma. We find alpha-chain mRNA by Northern analysis in human placenta and in human trophoblast-like cell lines (JEG-3, ED27) but not in a human myelocytic cell line (HL60). We suggest that the placental hFcRn heterodimer may transport IgG to the fetus by a mechanism in which maternal IgG is pinocytosed nonspecifically and then carried to fetal tissues by a pH gradient from acidic endosomes to the pH-neutral basolateral surface of the syncytiotrophoblast. Furthermore, the known characteristics of FcRn suggest a wider function, that it is the receptor postulated by Brambell in the 1960s to regulate tissue and serum IgG concentrations by controlling IgG transport and catabolism.","container-title":"The Journal of Immunology","DOI":"10.4049/jimmunol.157.8.3317","ISSN":"0022-1767, 1550-6606","issue":"8","language":"en","page":"3317-3322","source":"DOI.org (Crossref)","title":"Isolation from human placenta of the IgG transporter, FcRn, and localization to the syncytiotrophoblast: implications for maternal-fetal antibody transport.","title-short":"Isolation from human placenta of the IgG transporter, FcRn, and localization to the syncytiotrophoblast","volume":"157","author":[{"family":"Leach","given":"J L"},{"family":"Sedmak","given":"D D"},{"family":"Osborne","given":"J M"},{"family":"Rahill","given":"B"},{"family":"Lairmore","given":"M D"},{"family":"Anderson","given":"C L"}],"issued":{"date-parts":[["1996",10,15]]}}},{"id":112,"uris":["http://zotero.org/users/14445769/items/FUJQR23Q"],"itemData":{"id":112,"type":"article-journal","abstract":"During normal human pregnancy, maternal IgG crosses the placenta and provides passive immunity for the fetus. In so doing, IgG passes through two cellular barriers: the syncytiotrophoblast and the fetal capillary endothelium. The Fc region of IgG is required for its transport across the placenta, but the Fc receptors responsible have not been identified definitively. We recently reported the isolation from a placental cDNA library of clones encoding the alpha chain of a human homologue of the major histocompatibility complex class I-related Fc receptor, the neonatal Fc receptor (FcRn). In mice, FcRn is essential for the transport of maternal IgG to the fetus and the neonate. We report here the localization of human FcRn mRNA within the placenta by in situ hybridization, and of human FcRn protein by immunohistochemistry. Both methods show that human FcRn is expressed in syncytiotrophoblast, and is, thus, appropriately located to transport maternal IgG across the first barrier. We confirm previous findings that specific binding of IgG to placental membranes is greater at pH 6.0 than pH 7.5. This corresponds with the pH dependence of IgG binding to FcRn and is consistent with the presence of FcRn in syncytiotrophoblast. We propose a transport model in which maternal IgG binds FcRn at low pH in endosomes within the syncytiotrophoblast. FcRn is not expressed in fetal capillary endothelia, and the mechanism of IgG transport across the second barrier remains unknown.","container-title":"European Journal of Immunology","DOI":"10.1002/eji.1830260718","ISSN":"0014-2980","issue":"7","journalAbbreviation":"Eur J Immunol","language":"eng","note":"PMID: 8766556","page":"1527-1531","source":"PubMed","title":"An IgG-transporting Fc receptor expressed in the syncytiotrophoblast of human placenta","volume":"26","author":[{"family":"Simister","given":"N. E."},{"family":"Story","given":"C. M."},{"family":"Chen","given":"H. L."},{"family":"Hunt","given":"J. S."}],"issued":{"date-parts":[["1996",7]]}}},{"id":117,"uris":["http://zotero.org/users/14445769/items/42EKY8Y8"],"itemData":{"id":117,"type":"article-journal","abstract":"Abstract \n            Transfer of maternal IgG through the human placenta furnishes the newborn with passive immunity to a number of infectious agents. The exact mechanism of this transfer is still unknown, but it is agreed that it involves active receptor‐mediated transport. The neonatal Fc receptor is a major histocompatibility complex class I‐like receptor originally identified in the intestines of newborn rodents. A similar receptor has recently been detected in human placental syncytiotrophoblasts. Using multilabeling fluorescence immunohistochemistry and confocal laser scanning microscopy, we found that the neonatal Fc receptor co‐localizes with IgG and β2‐microglobulin in granules of human placental syncytiotrophoblast. The Fc receptor is not detected on syncytiotrophoblast apical plasma membrane. Localization to the outermost cellular barrier between the fetal and maternal blood further strengthens the role of the Fc receptor in transplacental transport of IgG.","container-title":"European Journal of Immunology","DOI":"10.1002/eji.1830260741","ISSN":"0014-2980, 1521-4141","issue":"7","journalAbbreviation":"Eur J Immunol","language":"en","license":"http://onlinelibrary.wiley.com/termsAndConditions#vor","page":"1668-1671","source":"DOI.org (Crossref)","title":"Co‐localization of the neonatal Fcγ receptor and IgG in human placental term syncytiotrophoblasts","volume":"26","author":[{"family":"Kristoffersen","given":"Einar K."},{"family":"Matre","given":"Roald"}],"issued":{"date-parts":[["1996",7]]}}}],"schema":"https://github.com/citation-style-language/schema/raw/master/csl-citation.json"} </w:instrText>
      </w:r>
      <w:r w:rsidR="00FB057E" w:rsidRPr="00DC55B0">
        <w:rPr>
          <w:rFonts w:ascii="Calibri" w:hAnsi="Calibri" w:cs="Calibri"/>
        </w:rPr>
        <w:fldChar w:fldCharType="separate"/>
      </w:r>
      <w:r w:rsidR="003F3CD5" w:rsidRPr="00DC55B0">
        <w:rPr>
          <w:rFonts w:ascii="Calibri" w:hAnsi="Calibri" w:cs="Calibri"/>
          <w:kern w:val="0"/>
          <w:vertAlign w:val="superscript"/>
        </w:rPr>
        <w:t>26–28</w:t>
      </w:r>
      <w:r w:rsidR="00FB057E" w:rsidRPr="00DC55B0">
        <w:rPr>
          <w:rFonts w:ascii="Calibri" w:hAnsi="Calibri" w:cs="Calibri"/>
        </w:rPr>
        <w:fldChar w:fldCharType="end"/>
      </w:r>
      <w:r w:rsidR="00702E8A" w:rsidRPr="00DC55B0">
        <w:rPr>
          <w:rFonts w:ascii="Calibri" w:hAnsi="Calibri" w:cs="Calibri"/>
        </w:rPr>
        <w:t xml:space="preserve"> and the mechanism by which FcR</w:t>
      </w:r>
      <w:r w:rsidR="009111CE" w:rsidRPr="00DC55B0">
        <w:rPr>
          <w:rFonts w:ascii="Calibri" w:hAnsi="Calibri" w:cs="Calibri"/>
        </w:rPr>
        <w:t>n</w:t>
      </w:r>
      <w:r w:rsidR="00702E8A" w:rsidRPr="00DC55B0">
        <w:rPr>
          <w:rFonts w:ascii="Calibri" w:hAnsi="Calibri" w:cs="Calibri"/>
        </w:rPr>
        <w:t xml:space="preserve"> </w:t>
      </w:r>
      <w:r w:rsidR="00D26CA6" w:rsidRPr="00DC55B0">
        <w:rPr>
          <w:rFonts w:ascii="Calibri" w:hAnsi="Calibri" w:cs="Calibri"/>
        </w:rPr>
        <w:t xml:space="preserve">mediates IgG transport across </w:t>
      </w:r>
      <w:r w:rsidR="001C6FF5" w:rsidRPr="00DC55B0">
        <w:rPr>
          <w:rFonts w:ascii="Calibri" w:hAnsi="Calibri" w:cs="Calibri"/>
        </w:rPr>
        <w:t>villous</w:t>
      </w:r>
      <w:r w:rsidR="00D26CA6" w:rsidRPr="00DC55B0">
        <w:rPr>
          <w:rFonts w:ascii="Calibri" w:hAnsi="Calibri" w:cs="Calibri"/>
        </w:rPr>
        <w:t xml:space="preserve"> trophoblast has been defined</w:t>
      </w:r>
      <w:r w:rsidR="00864CD4" w:rsidRPr="00DC55B0">
        <w:rPr>
          <w:rFonts w:ascii="Calibri" w:hAnsi="Calibri" w:cs="Calibri"/>
        </w:rPr>
        <w:t xml:space="preserve"> in trophoblast-derived cell</w:t>
      </w:r>
      <w:r w:rsidR="001C0292" w:rsidRPr="00DC55B0">
        <w:rPr>
          <w:rFonts w:ascii="Calibri" w:hAnsi="Calibri" w:cs="Calibri"/>
        </w:rPr>
        <w:t>s</w:t>
      </w:r>
      <w:r w:rsidR="00864CD4" w:rsidRPr="00DC55B0">
        <w:rPr>
          <w:rFonts w:ascii="Calibri" w:hAnsi="Calibri" w:cs="Calibri"/>
        </w:rPr>
        <w:t xml:space="preserve"> </w:t>
      </w:r>
      <w:r w:rsidR="001C0292" w:rsidRPr="00DC55B0">
        <w:rPr>
          <w:rFonts w:ascii="Calibri" w:hAnsi="Calibri" w:cs="Calibri"/>
        </w:rPr>
        <w:t>or cell lines</w:t>
      </w:r>
      <w:r w:rsidR="003B3A67" w:rsidRPr="00DC55B0">
        <w:rPr>
          <w:rFonts w:ascii="Calibri" w:hAnsi="Calibri" w:cs="Calibri"/>
        </w:rPr>
        <w:t xml:space="preserve"> engineered to express FcRn</w:t>
      </w:r>
      <w:r w:rsidR="006A324F" w:rsidRPr="00DC55B0">
        <w:rPr>
          <w:rFonts w:ascii="Calibri" w:hAnsi="Calibri" w:cs="Calibri"/>
        </w:rPr>
        <w:t>.</w:t>
      </w:r>
      <w:r w:rsidR="006A324F" w:rsidRPr="00DC55B0">
        <w:rPr>
          <w:rFonts w:ascii="Calibri" w:hAnsi="Calibri" w:cs="Calibri"/>
        </w:rPr>
        <w:fldChar w:fldCharType="begin"/>
      </w:r>
      <w:r w:rsidR="003F3CD5" w:rsidRPr="00DC55B0">
        <w:rPr>
          <w:rFonts w:ascii="Calibri" w:hAnsi="Calibri" w:cs="Calibri"/>
        </w:rPr>
        <w:instrText xml:space="preserve"> ADDIN ZOTERO_ITEM CSL_CITATION {"citationID":"LwyxBILe","properties":{"formattedCitation":"\\super 29,30\\nosupersub{}","plainCitation":"29,30","noteIndex":0},"citationItems":[{"id":120,"uris":["http://zotero.org/users/14445769/items/AGGUCMBZ"],"itemData":{"id":120,"type":"article-journal","abstract":"The human neonatal Fcgamma-receptor (hFcRn) involved in overall maternal-fetal IgG transmission is expressed in placental villous syncytiotrophoblast. However, the role of hFcRn in IgG transport and trafficking across this cell layer is poorly characterized. To gain insight into this mechanism we have overexpressed functional hFcRn in trophoblast-derived BeWo cells (BeWo/hFcRn cells) [Ellinger I, Reischer H, Lehner C, Leitner K, Hunziker W, Fuchs R. Placenta 2005;26:171-82] since parental BeWo cells endogenously express low levels of the receptor. We now demonstrate that hFcRn overexpression differentially affected apical-to-basolateral transcytosis and apical recycling: whereas IgG transcytosis was reduced by 35%, IgG recycling was stimulated by 100% as compared to parental cells, indicating that hFcRn plays a role in both processes. The endosomal compartments involved in hFcRn/IgG transport after apical IgG internalization were then analyzed by confocal immunofluorescence microscopy using compartment specific markers. hFcRn/IgG were found in apical early endosomes, in transferrin recycling compartments and in vesicles near the basolateral plasma membrane, presumably transcytotic vesicles. Neither hFcRn nor IgG was routed to the degradative pathway to lysosomes. These transport and localization data are in accordance with efficient hFcRn-mediated apical IgG recycling and basolateral directed IgG transcytosis in placental trophoblasts.","container-title":"Placenta","DOI":"10.1016/j.placenta.2005.08.008","ISSN":"0143-4004","issue":"8","journalAbbreviation":"Placenta","language":"eng","note":"PMID: 16229888","page":"799-811","source":"PubMed","title":"Efficient apical IgG recycling and apical-to-basolateral transcytosis in polarized BeWo cells overexpressing hFcRn","volume":"27","author":[{"family":"Leitner","given":"K."},{"family":"Ellinger","given":"I."},{"family":"Grill","given":"M."},{"family":"Brabec","given":"M."},{"family":"Fuchs","given":"R."}],"issued":{"date-parts":[["2006",8]]}}},{"id":119,"uris":["http://zotero.org/users/14445769/items/G4R9HZMX"],"itemData":{"id":119,"type":"article-journal","abstract":"IgG transport within and across cells is essential for effective humoral immunity. Through a combination of biochemical and \n              in vivo \n              analyses, the MHC class I-related neonatal Fc receptor (FcRn) is known to play a central role in delivering IgGs within and across cells. However, little is known about the molecular and cellular mechanisms that are involved in the exocytosis of IgG from cells that express FcRn. Here, we use single-molecule fluorescence microscopy to analyze exocytic processes in FcRn-GFP-transfected human endothelial cells. We show that exocytosis can occur by means of multiple modes that range from complete fusion of the exocytic vesicle with the plasma membrane to a slower-release mode (“prolonged release”) that only involves partial mixing of membrane contents. Even for prolonged release, diffusion of FcRn into the plasma membrane can occur, indicating that FcRn is directly involved in IgG exocytosis. The slower-release mode is characterized by periodic, stepwise release of IgG, rather than the rapid burst that is observed for complete-fusion events. Analyses of single-molecule tracks suggest that IgG may be bound to FcRn for several seconds after exocytosis. Unexpectedly, after diffusion out of the exocytic site, IgG and FcRn molecules can also migrate back into the epicenter of the release site. Such retrograde movement may represent a mechanism for FcRn retrieval. Our studies provide insight into the events that lead to IgG exocytosis.","container-title":"Proceedings of the National Academy of Sciences","DOI":"10.1073/pnas.0402970101","ISSN":"0027-8424, 1091-6490","issue":"30","journalAbbreviation":"Proc. Natl. Acad. Sci. U.S.A.","language":"en","page":"11076-11081","source":"DOI.org (Crossref)","title":"Exocytosis of IgG as mediated by the receptor, FcRn: An analysis at the single-molecule level","title-short":"Exocytosis of IgG as mediated by the receptor, FcRn","volume":"101","author":[{"family":"Ober","given":"Raimund J."},{"family":"Martinez","given":"Cruz"},{"family":"Lai","given":"Xuming"},{"family":"Zhou","given":"Jinchun"},{"family":"Ward","given":"E. Sally"}],"issued":{"date-parts":[["2004",7,27]]}}}],"schema":"https://github.com/citation-style-language/schema/raw/master/csl-citation.json"} </w:instrText>
      </w:r>
      <w:r w:rsidR="006A324F" w:rsidRPr="00DC55B0">
        <w:rPr>
          <w:rFonts w:ascii="Calibri" w:hAnsi="Calibri" w:cs="Calibri"/>
        </w:rPr>
        <w:fldChar w:fldCharType="separate"/>
      </w:r>
      <w:r w:rsidR="003F3CD5" w:rsidRPr="00DC55B0">
        <w:rPr>
          <w:rFonts w:ascii="Calibri" w:hAnsi="Calibri" w:cs="Calibri"/>
          <w:kern w:val="0"/>
          <w:vertAlign w:val="superscript"/>
        </w:rPr>
        <w:t>29,30</w:t>
      </w:r>
      <w:r w:rsidR="006A324F" w:rsidRPr="00DC55B0">
        <w:rPr>
          <w:rFonts w:ascii="Calibri" w:hAnsi="Calibri" w:cs="Calibri"/>
        </w:rPr>
        <w:fldChar w:fldCharType="end"/>
      </w:r>
      <w:r w:rsidR="009634C2" w:rsidRPr="00DC55B0">
        <w:rPr>
          <w:rFonts w:ascii="Calibri" w:hAnsi="Calibri" w:cs="Calibri"/>
        </w:rPr>
        <w:t xml:space="preserve"> </w:t>
      </w:r>
      <w:r w:rsidR="001C6FF5" w:rsidRPr="00DC55B0">
        <w:rPr>
          <w:rFonts w:ascii="Calibri" w:hAnsi="Calibri" w:cs="Calibri"/>
        </w:rPr>
        <w:t>Villous trophoblast</w:t>
      </w:r>
      <w:r w:rsidR="009111CE" w:rsidRPr="00DC55B0">
        <w:rPr>
          <w:rFonts w:ascii="Calibri" w:hAnsi="Calibri" w:cs="Calibri"/>
        </w:rPr>
        <w:t>s</w:t>
      </w:r>
      <w:r w:rsidR="009634C2" w:rsidRPr="00DC55B0">
        <w:rPr>
          <w:rFonts w:ascii="Calibri" w:hAnsi="Calibri" w:cs="Calibri"/>
        </w:rPr>
        <w:t xml:space="preserve"> </w:t>
      </w:r>
      <w:r w:rsidR="00C746A7" w:rsidRPr="00DC55B0">
        <w:rPr>
          <w:rFonts w:ascii="Calibri" w:hAnsi="Calibri" w:cs="Calibri"/>
        </w:rPr>
        <w:t xml:space="preserve">take up IgG from the maternal blood by </w:t>
      </w:r>
      <w:r w:rsidR="009330DC" w:rsidRPr="00DC55B0">
        <w:rPr>
          <w:rFonts w:ascii="Calibri" w:hAnsi="Calibri" w:cs="Calibri"/>
        </w:rPr>
        <w:t>pin</w:t>
      </w:r>
      <w:r w:rsidR="00C746A7" w:rsidRPr="00DC55B0">
        <w:rPr>
          <w:rFonts w:ascii="Calibri" w:hAnsi="Calibri" w:cs="Calibri"/>
        </w:rPr>
        <w:t>ocytosis</w:t>
      </w:r>
      <w:r w:rsidR="00637A41" w:rsidRPr="00DC55B0">
        <w:rPr>
          <w:rFonts w:ascii="Calibri" w:hAnsi="Calibri" w:cs="Calibri"/>
        </w:rPr>
        <w:t xml:space="preserve">. In the endosome, </w:t>
      </w:r>
      <w:r w:rsidR="00663618" w:rsidRPr="00DC55B0">
        <w:rPr>
          <w:rFonts w:ascii="Calibri" w:hAnsi="Calibri" w:cs="Calibri"/>
        </w:rPr>
        <w:t>FcRn binds to IgG</w:t>
      </w:r>
      <w:r w:rsidR="00016742" w:rsidRPr="00DC55B0">
        <w:rPr>
          <w:rFonts w:ascii="Calibri" w:hAnsi="Calibri" w:cs="Calibri"/>
        </w:rPr>
        <w:t xml:space="preserve"> at low pH</w:t>
      </w:r>
      <w:r w:rsidR="00663618" w:rsidRPr="00DC55B0">
        <w:rPr>
          <w:rFonts w:ascii="Calibri" w:hAnsi="Calibri" w:cs="Calibri"/>
        </w:rPr>
        <w:t xml:space="preserve">, protecting it from proteolytic degradation </w:t>
      </w:r>
      <w:r w:rsidR="00CC437D" w:rsidRPr="00DC55B0">
        <w:rPr>
          <w:rFonts w:ascii="Calibri" w:hAnsi="Calibri" w:cs="Calibri"/>
        </w:rPr>
        <w:t>during transcytosis</w:t>
      </w:r>
      <w:r w:rsidR="001C0292" w:rsidRPr="00DC55B0">
        <w:rPr>
          <w:rFonts w:ascii="Calibri" w:hAnsi="Calibri" w:cs="Calibri"/>
        </w:rPr>
        <w:t xml:space="preserve"> </w:t>
      </w:r>
      <w:r w:rsidR="00035654" w:rsidRPr="00DC55B0">
        <w:rPr>
          <w:rFonts w:ascii="Calibri" w:hAnsi="Calibri" w:cs="Calibri"/>
        </w:rPr>
        <w:t xml:space="preserve">to the fetal side of the </w:t>
      </w:r>
      <w:r w:rsidR="00314F85" w:rsidRPr="00DC55B0">
        <w:rPr>
          <w:rFonts w:ascii="Calibri" w:hAnsi="Calibri" w:cs="Calibri"/>
        </w:rPr>
        <w:t xml:space="preserve">cell. </w:t>
      </w:r>
      <w:r w:rsidR="00016742" w:rsidRPr="00DC55B0">
        <w:rPr>
          <w:rFonts w:ascii="Calibri" w:hAnsi="Calibri" w:cs="Calibri"/>
        </w:rPr>
        <w:t>As the endosome fuses with the fetal side of the trophoblast</w:t>
      </w:r>
      <w:r w:rsidR="00FD2DB4" w:rsidRPr="00DC55B0">
        <w:rPr>
          <w:rFonts w:ascii="Calibri" w:hAnsi="Calibri" w:cs="Calibri"/>
        </w:rPr>
        <w:t xml:space="preserve">, </w:t>
      </w:r>
      <w:r w:rsidR="007771F3" w:rsidRPr="00DC55B0">
        <w:rPr>
          <w:rFonts w:ascii="Calibri" w:hAnsi="Calibri" w:cs="Calibri"/>
        </w:rPr>
        <w:t xml:space="preserve">the </w:t>
      </w:r>
      <w:r w:rsidR="00FD2DB4" w:rsidRPr="00DC55B0">
        <w:rPr>
          <w:rFonts w:ascii="Calibri" w:hAnsi="Calibri" w:cs="Calibri"/>
        </w:rPr>
        <w:t xml:space="preserve">increasing pH causes FcRn to release its IgG cargo into the </w:t>
      </w:r>
      <w:r w:rsidR="00041C2A" w:rsidRPr="00DC55B0">
        <w:rPr>
          <w:rFonts w:ascii="Calibri" w:hAnsi="Calibri" w:cs="Calibri"/>
        </w:rPr>
        <w:t xml:space="preserve">villous connective tissue. </w:t>
      </w:r>
      <w:r w:rsidR="001B27B3" w:rsidRPr="00DC55B0">
        <w:rPr>
          <w:rFonts w:ascii="Calibri" w:hAnsi="Calibri" w:cs="Calibri"/>
        </w:rPr>
        <w:t xml:space="preserve">It is less clear how IgG is transported through the connective tissue and into the </w:t>
      </w:r>
      <w:r w:rsidR="006E5666" w:rsidRPr="00DC55B0">
        <w:rPr>
          <w:rFonts w:ascii="Calibri" w:hAnsi="Calibri" w:cs="Calibri"/>
        </w:rPr>
        <w:t>fetal blood vessels</w:t>
      </w:r>
      <w:r w:rsidR="008962D6" w:rsidRPr="00DC55B0">
        <w:rPr>
          <w:rFonts w:ascii="Calibri" w:hAnsi="Calibri" w:cs="Calibri"/>
        </w:rPr>
        <w:t>.</w:t>
      </w:r>
      <w:r w:rsidR="0093371E" w:rsidRPr="00DC55B0">
        <w:rPr>
          <w:rFonts w:ascii="Calibri" w:hAnsi="Calibri" w:cs="Calibri"/>
        </w:rPr>
        <w:t xml:space="preserve"> P</w:t>
      </w:r>
      <w:r w:rsidR="008962D6" w:rsidRPr="00DC55B0">
        <w:rPr>
          <w:rFonts w:ascii="Calibri" w:hAnsi="Calibri" w:cs="Calibri"/>
        </w:rPr>
        <w:t>lacental macrophages (Hofbauer cells) express FcRn</w:t>
      </w:r>
      <w:r w:rsidR="0089080B" w:rsidRPr="00DC55B0">
        <w:rPr>
          <w:rFonts w:ascii="Calibri" w:hAnsi="Calibri" w:cs="Calibri"/>
        </w:rPr>
        <w:t xml:space="preserve"> </w:t>
      </w:r>
      <w:r w:rsidR="0093371E" w:rsidRPr="00DC55B0">
        <w:rPr>
          <w:rFonts w:ascii="Calibri" w:hAnsi="Calibri" w:cs="Calibri"/>
        </w:rPr>
        <w:t>and other FcγR</w:t>
      </w:r>
      <w:r w:rsidR="007771F3" w:rsidRPr="00DC55B0">
        <w:rPr>
          <w:rFonts w:ascii="Calibri" w:hAnsi="Calibri" w:cs="Calibri"/>
        </w:rPr>
        <w:t>s,</w:t>
      </w:r>
      <w:r w:rsidR="0093371E" w:rsidRPr="00DC55B0">
        <w:rPr>
          <w:rFonts w:ascii="Calibri" w:hAnsi="Calibri" w:cs="Calibri"/>
        </w:rPr>
        <w:t xml:space="preserve"> </w:t>
      </w:r>
      <w:r w:rsidR="00CC79C6" w:rsidRPr="00DC55B0">
        <w:rPr>
          <w:rFonts w:ascii="Calibri" w:hAnsi="Calibri" w:cs="Calibri"/>
        </w:rPr>
        <w:t>which could allow them to support this process</w:t>
      </w:r>
      <w:r w:rsidR="00AF31B0" w:rsidRPr="00DC55B0">
        <w:rPr>
          <w:rFonts w:ascii="Calibri" w:hAnsi="Calibri" w:cs="Calibri"/>
        </w:rPr>
        <w:t>.</w:t>
      </w:r>
      <w:r w:rsidR="00AF31B0" w:rsidRPr="00DC55B0">
        <w:rPr>
          <w:rFonts w:ascii="Calibri" w:hAnsi="Calibri" w:cs="Calibri"/>
        </w:rPr>
        <w:fldChar w:fldCharType="begin"/>
      </w:r>
      <w:r w:rsidR="003F3CD5" w:rsidRPr="00DC55B0">
        <w:rPr>
          <w:rFonts w:ascii="Calibri" w:hAnsi="Calibri" w:cs="Calibri"/>
        </w:rPr>
        <w:instrText xml:space="preserve"> ADDIN ZOTERO_ITEM CSL_CITATION {"citationID":"tjotpRNp","properties":{"formattedCitation":"\\super 31,32\\nosupersub{}","plainCitation":"31,32","noteIndex":0},"citationItems":[{"id":115,"uris":["http://zotero.org/users/14445769/items/Q5H2HKAR"],"itemData":{"id":115,"type":"article-journal","abstract":"We investigated the localization of the three subtypes of (FcγR) in the normal human placenta using immunohistochemical and immunocytochemical techniques with specific monoclonal antibodies. The analysis revealed that FcyRI was expressed on Hofbauer cells, that FcγRII was expressed on Hofbauer cells and endothelial cells of fetal vessels, while FcγRIII was expressed on trophoblasts, especially syncytiotrophoblasts. Moreover, we demonstrated that the expression of FcγRI and FcγRII on Hofbauer cells and endothelial cells of the fetal vessels in the 1st trimesterplacenta was different from that in the 3rd trimester placenta. These results, therefore, indicate that the three subtypes of FcγR in the human placenta may contribute to maintenance of placental functions, because each FcγR molecule displays unique biological functions similar to those on leukocytes.","container-title":"Placenta","DOI":"10.1016/0143-4004(91)90506-B","ISSN":"0143-4004","issue":"1","journalAbbreviation":"Placenta","page":"15-26","source":"ScienceDirect","title":"Localization of three subtypes of Fcγ receptors in human placenta by immunohistochemical analysis","volume":"12","author":[{"family":"Kameda","given":"Takashi"},{"family":"Koyama","given":"Masayasu"},{"family":"Matsuzaki","given":"Noboru"},{"family":"Taniguchi","given":"Takeshi"},{"family":"Saji","given":"Fumitaka"},{"family":"Tanizawa","given":"Osamu"}],"issued":{"date-parts":[["1991",1,1]]}}},{"id":111,"uris":["http://zotero.org/users/14445769/items/2WWZK57P"],"itemData":{"id":111,"type":"article-journal","abstract":"Introduction\nStarting from the second trimester of pregnancy, passive immunity is provided to the human fetus by transplacental transfer of maternal IgG. IgG transfer depends on the neonatal Fc receptor, FcRn. While FcRn localization in the placental syncytiotrophoblast (STB) has been demonstrated unequivocally, FcRn expression in placental-fetal endothelial cells (pFECs), which are part of the materno-fetal barrier, is still unclear. Therefore, this study aimed to elucidate the spatio-specific expression pattern of FcRn in placental tissue.\nMethods\nFcRn expression was investigated by western blotting in term placentas and in isolated human placental arterial and venous endothelial cells (HPAEC, HPVEC) using a validated affinity-purified polyclonal anti-peptide antibody against the cytoplasmic tail of FcRn α-chain. In situ localization of FcRn and IgG was studied by immunofluorescence microscopy on tissue sections of healthy term placentas.\nResults\nFcRn expression was demonstrated in placental vasculature particularly, in HPAEC, and HPVEC. FcRn was localized in cytokeratin 7+ STB and in CD31+ pFECs in terminal as well as stem villi in situ. Additionally, CD68+ placental macrophages exhibited FcRn expression in situ. Endogenous IgG partially co-localized with FcRn in STB, pFECs, and in placental macrophages.\nDiscussion\nPlacental FcRn expression in endothelial cells and macrophages is analogous to the expression pattern in other organs. FcRn expression in pFECs suggests an involvement of FcRn in IgG transcytosis and/or participation in recycling/salvaging of maternal IgG present in the fetal circulation. FcRn expression in placental macrophages may account for recycling of monomeric IgG and/or processing and presentation of immune complexes.","container-title":"Placenta","DOI":"10.1016/j.placenta.2019.02.012","ISSN":"0143-4004","journalAbbreviation":"Placenta","page":"36-43","source":"ScienceDirect","title":"Expression of the neonatal Fc-receptor in placental-fetal endothelium and in cells of the placental immune system","volume":"78","author":[{"family":"Kiskova","given":"Terezia"},{"family":"Mytsko","given":"Yuliya"},{"family":"Schepelmann","given":"Martin"},{"family":"Helmer","given":"Hanns"},{"family":"Fuchs","given":"Renate"},{"family":"Miedl","given":"Heidi"},{"family":"Wadsack","given":"Christian"},{"family":"Ellinger","given":"Isabella"}],"issued":{"date-parts":[["2019",3,1]]}}}],"schema":"https://github.com/citation-style-language/schema/raw/master/csl-citation.json"} </w:instrText>
      </w:r>
      <w:r w:rsidR="00AF31B0" w:rsidRPr="00DC55B0">
        <w:rPr>
          <w:rFonts w:ascii="Calibri" w:hAnsi="Calibri" w:cs="Calibri"/>
        </w:rPr>
        <w:fldChar w:fldCharType="separate"/>
      </w:r>
      <w:r w:rsidR="003F3CD5" w:rsidRPr="00DC55B0">
        <w:rPr>
          <w:rFonts w:ascii="Calibri" w:hAnsi="Calibri" w:cs="Calibri"/>
          <w:kern w:val="0"/>
          <w:vertAlign w:val="superscript"/>
        </w:rPr>
        <w:t>31,32</w:t>
      </w:r>
      <w:r w:rsidR="00AF31B0" w:rsidRPr="00DC55B0">
        <w:rPr>
          <w:rFonts w:ascii="Calibri" w:hAnsi="Calibri" w:cs="Calibri"/>
        </w:rPr>
        <w:fldChar w:fldCharType="end"/>
      </w:r>
      <w:r w:rsidR="0089080B" w:rsidRPr="00DC55B0">
        <w:rPr>
          <w:rFonts w:ascii="Calibri" w:hAnsi="Calibri" w:cs="Calibri"/>
        </w:rPr>
        <w:t xml:space="preserve"> Meanwhile, th</w:t>
      </w:r>
      <w:r w:rsidR="00042F38" w:rsidRPr="00DC55B0">
        <w:rPr>
          <w:rFonts w:ascii="Calibri" w:hAnsi="Calibri" w:cs="Calibri"/>
        </w:rPr>
        <w:t>ere is no consensus on whether villous endothelial cells express FcRn</w:t>
      </w:r>
      <w:r w:rsidR="00C02BA7" w:rsidRPr="00DC55B0">
        <w:rPr>
          <w:rFonts w:ascii="Calibri" w:hAnsi="Calibri" w:cs="Calibri"/>
        </w:rPr>
        <w:t xml:space="preserve"> and it </w:t>
      </w:r>
      <w:r w:rsidR="00167AED" w:rsidRPr="00DC55B0">
        <w:rPr>
          <w:rFonts w:ascii="Calibri" w:hAnsi="Calibri" w:cs="Calibri"/>
        </w:rPr>
        <w:t xml:space="preserve">is possible that </w:t>
      </w:r>
      <w:r w:rsidR="005D08C7" w:rsidRPr="00DC55B0">
        <w:rPr>
          <w:rFonts w:ascii="Calibri" w:hAnsi="Calibri" w:cs="Calibri"/>
        </w:rPr>
        <w:t>other IgG receptors may mediate th</w:t>
      </w:r>
      <w:r w:rsidR="00A81FA9" w:rsidRPr="00DC55B0">
        <w:rPr>
          <w:rFonts w:ascii="Calibri" w:hAnsi="Calibri" w:cs="Calibri"/>
        </w:rPr>
        <w:t>e transfer</w:t>
      </w:r>
      <w:r w:rsidR="007771F3" w:rsidRPr="00DC55B0">
        <w:rPr>
          <w:rFonts w:ascii="Calibri" w:hAnsi="Calibri" w:cs="Calibri"/>
        </w:rPr>
        <w:t xml:space="preserve"> of IgG</w:t>
      </w:r>
      <w:r w:rsidR="00A81FA9" w:rsidRPr="00DC55B0">
        <w:rPr>
          <w:rFonts w:ascii="Calibri" w:hAnsi="Calibri" w:cs="Calibri"/>
        </w:rPr>
        <w:t xml:space="preserve"> into the fetal capillaries</w:t>
      </w:r>
      <w:r w:rsidR="00AB4467" w:rsidRPr="00DC55B0">
        <w:rPr>
          <w:rFonts w:ascii="Calibri" w:hAnsi="Calibri" w:cs="Calibri"/>
        </w:rPr>
        <w:t>.</w:t>
      </w:r>
      <w:r w:rsidR="00AB4467" w:rsidRPr="00DC55B0">
        <w:rPr>
          <w:rFonts w:ascii="Calibri" w:hAnsi="Calibri" w:cs="Calibri"/>
        </w:rPr>
        <w:fldChar w:fldCharType="begin"/>
      </w:r>
      <w:r w:rsidR="003F3CD5" w:rsidRPr="00DC55B0">
        <w:rPr>
          <w:rFonts w:ascii="Calibri" w:hAnsi="Calibri" w:cs="Calibri"/>
        </w:rPr>
        <w:instrText xml:space="preserve"> ADDIN ZOTERO_ITEM CSL_CITATION {"citationID":"xeSqyGkx","properties":{"formattedCitation":"\\super 26,28,33\\nosupersub{}","plainCitation":"26,28,33","noteIndex":0},"citationItems":[{"id":118,"uris":["http://zotero.org/users/14445769/items/3RYIVTAT"],"itemData":{"id":118,"type":"article-journal","abstract":"Abstract \n            The IgG transporter responsible for ferrying maternal IgG across the human placenta to fetal circulation has not been identified, although the human homologue of the neonatal rat Fc receptor (FcRn), a heterodimer with pH-dependent IgG affinity, structurally similar to MHC Class I molecules, was recently proposed as a candidate. Affirming this hypothesis, we describe herein the specific copurification from human placenta of 46- and 14-kDa proteins by IgG affinity at acid pH. The larger protein, characterized by its amino acid sequence and by immunoblot, is the alpha-chain of human FcRn (hFcRn). The smaller is beta2-microglobulin. Their coisolation by ligand affinity suggests that they comprise the hFcRn heterodimer. Placenta sections stained immunohistochemically with anti-hFcRn alpha-chain peptide Abs show extensive expression of hFcRn in the syncytiotrophoblast and traces in the endothelium and other unidentified cells of the villus stroma. We find alpha-chain mRNA by Northern analysis in human placenta and in human trophoblast-like cell lines (JEG-3, ED27) but not in a human myelocytic cell line (HL60). We suggest that the placental hFcRn heterodimer may transport IgG to the fetus by a mechanism in which maternal IgG is pinocytosed nonspecifically and then carried to fetal tissues by a pH gradient from acidic endosomes to the pH-neutral basolateral surface of the syncytiotrophoblast. Furthermore, the known characteristics of FcRn suggest a wider function, that it is the receptor postulated by Brambell in the 1960s to regulate tissue and serum IgG concentrations by controlling IgG transport and catabolism.","container-title":"The Journal of Immunology","DOI":"10.4049/jimmunol.157.8.3317","ISSN":"0022-1767, 1550-6606","issue":"8","language":"en","page":"3317-3322","source":"DOI.org (Crossref)","title":"Isolation from human placenta of the IgG transporter, FcRn, and localization to the syncytiotrophoblast: implications for maternal-fetal antibody transport.","title-short":"Isolation from human placenta of the IgG transporter, FcRn, and localization to the syncytiotrophoblast","volume":"157","author":[{"family":"Leach","given":"J L"},{"family":"Sedmak","given":"D D"},{"family":"Osborne","given":"J M"},{"family":"Rahill","given":"B"},{"family":"Lairmore","given":"M D"},{"family":"Anderson","given":"C L"}],"issued":{"date-parts":[["1996",10,15]]}}},{"id":117,"uris":["http://zotero.org/users/14445769/items/42EKY8Y8"],"itemData":{"id":117,"type":"article-journal","abstract":"Abstract \n            Transfer of maternal IgG through the human placenta furnishes the newborn with passive immunity to a number of infectious agents. The exact mechanism of this transfer is still unknown, but it is agreed that it involves active receptor‐mediated transport. The neonatal Fc receptor is a major histocompatibility complex class I‐like receptor originally identified in the intestines of newborn rodents. A similar receptor has recently been detected in human placental syncytiotrophoblasts. Using multilabeling fluorescence immunohistochemistry and confocal laser scanning microscopy, we found that the neonatal Fc receptor co‐localizes with IgG and β2‐microglobulin in granules of human placental syncytiotrophoblast. The Fc receptor is not detected on syncytiotrophoblast apical plasma membrane. Localization to the outermost cellular barrier between the fetal and maternal blood further strengthens the role of the Fc receptor in transplacental transport of IgG.","container-title":"European Journal of Immunology","DOI":"10.1002/eji.1830260741","ISSN":"0014-2980, 1521-4141","issue":"7","journalAbbreviation":"Eur J Immunol","language":"en","license":"http://onlinelibrary.wiley.com/termsAndConditions#vor","page":"1668-1671","source":"DOI.org (Crossref)","title":"Co‐localization of the neonatal Fcγ receptor and IgG in human placental term syncytiotrophoblasts","volume":"26","author":[{"family":"Kristoffersen","given":"Einar K."},{"family":"Matre","given":"Roald"}],"issued":{"date-parts":[["1996",7]]}}},{"id":116,"uris":["http://zotero.org/users/14445769/items/6QAJ452Y"],"itemData":{"id":116,"type":"article-journal","container-title":"Human Immunology","DOI":"10.1016/S0198-8859(00)00244-5","ISSN":"01988859","issue":"2","journalAbbreviation":"Human Immunology","language":"en","license":"https://www.elsevier.com/tdm/userlicense/1.0/","page":"93-105","source":"DOI.org (Crossref)","title":"Expression of functionally active FcRn and the differentiated bidirectional transport of IgG in human placental endothelial cells","volume":"62","author":[{"family":"Antohe","given":"Felicia"},{"family":"Rădulescu","given":"Luminiţa"},{"family":"Gafencu","given":"Anca"},{"family":"Gheţie","given":"Victor"},{"family":"Simionescu","given":"Maya"}],"issued":{"date-parts":[["2001",2]]}}}],"schema":"https://github.com/citation-style-language/schema/raw/master/csl-citation.json"} </w:instrText>
      </w:r>
      <w:r w:rsidR="00AB4467" w:rsidRPr="00DC55B0">
        <w:rPr>
          <w:rFonts w:ascii="Calibri" w:hAnsi="Calibri" w:cs="Calibri"/>
        </w:rPr>
        <w:fldChar w:fldCharType="separate"/>
      </w:r>
      <w:r w:rsidR="003F3CD5" w:rsidRPr="00DC55B0">
        <w:rPr>
          <w:rFonts w:ascii="Calibri" w:hAnsi="Calibri" w:cs="Calibri"/>
          <w:kern w:val="0"/>
          <w:vertAlign w:val="superscript"/>
        </w:rPr>
        <w:t>26,28,33</w:t>
      </w:r>
      <w:r w:rsidR="00AB4467" w:rsidRPr="00DC55B0">
        <w:rPr>
          <w:rFonts w:ascii="Calibri" w:hAnsi="Calibri" w:cs="Calibri"/>
        </w:rPr>
        <w:fldChar w:fldCharType="end"/>
      </w:r>
      <w:r w:rsidR="00AB2776" w:rsidRPr="00DC55B0">
        <w:rPr>
          <w:rFonts w:ascii="Calibri" w:hAnsi="Calibri" w:cs="Calibri"/>
        </w:rPr>
        <w:t xml:space="preserve"> </w:t>
      </w:r>
      <w:r w:rsidR="006F18D9" w:rsidRPr="00DC55B0">
        <w:rPr>
          <w:rFonts w:ascii="Calibri" w:hAnsi="Calibri" w:cs="Calibri"/>
        </w:rPr>
        <w:t xml:space="preserve">IgG1 is transferred with the highest efficiency, followed by IgG4 and then IgG2 and </w:t>
      </w:r>
      <w:r w:rsidR="007771F3" w:rsidRPr="00DC55B0">
        <w:rPr>
          <w:rFonts w:ascii="Calibri" w:hAnsi="Calibri" w:cs="Calibri"/>
        </w:rPr>
        <w:t>IgG</w:t>
      </w:r>
      <w:r w:rsidR="006F18D9" w:rsidRPr="00DC55B0">
        <w:rPr>
          <w:rFonts w:ascii="Calibri" w:hAnsi="Calibri" w:cs="Calibri"/>
        </w:rPr>
        <w:t>3</w:t>
      </w:r>
      <w:r w:rsidR="00666C96" w:rsidRPr="00DC55B0">
        <w:rPr>
          <w:rFonts w:ascii="Calibri" w:hAnsi="Calibri" w:cs="Calibri"/>
        </w:rPr>
        <w:t>.</w:t>
      </w:r>
      <w:r w:rsidR="00666C96" w:rsidRPr="00DC55B0">
        <w:rPr>
          <w:rFonts w:ascii="Calibri" w:hAnsi="Calibri" w:cs="Calibri"/>
        </w:rPr>
        <w:fldChar w:fldCharType="begin"/>
      </w:r>
      <w:r w:rsidR="003F3CD5" w:rsidRPr="00DC55B0">
        <w:rPr>
          <w:rFonts w:ascii="Calibri" w:hAnsi="Calibri" w:cs="Calibri"/>
        </w:rPr>
        <w:instrText xml:space="preserve"> ADDIN ZOTERO_ITEM CSL_CITATION {"citationID":"1votIBS6","properties":{"formattedCitation":"\\super 34\\nosupersub{}","plainCitation":"34","noteIndex":0},"citationItems":[{"id":121,"uris":["http://zotero.org/users/14445769/items/C4VEH5K5"],"itemData":{"id":121,"type":"article-journal","container-title":"Frontiers in Immunology","DOI":"10.3389/fimmu.2020.01920","ISSN":"1664-3224","journalAbbreviation":"Front. Immunol.","page":"1920","source":"DOI.org (Crossref)","title":"Update on Transplacental Transfer of IgG Subclasses: Impact of Maternal and Fetal Factors","title-short":"Update on Transplacental Transfer of IgG Subclasses","volume":"11","author":[{"family":"Clements","given":"Toby"},{"family":"Rice","given":"Thomas F."},{"family":"Vamvakas","given":"George"},{"family":"Barnett","given":"Sara"},{"family":"Barnes","given":"Megan"},{"family":"Donaldson","given":"Beverly"},{"family":"Jones","given":"Christine E."},{"family":"Kampmann","given":"Beate"},{"family":"Holder","given":"Beth"}],"issued":{"date-parts":[["2020",9,11]]}}}],"schema":"https://github.com/citation-style-language/schema/raw/master/csl-citation.json"} </w:instrText>
      </w:r>
      <w:r w:rsidR="00666C96" w:rsidRPr="00DC55B0">
        <w:rPr>
          <w:rFonts w:ascii="Calibri" w:hAnsi="Calibri" w:cs="Calibri"/>
        </w:rPr>
        <w:fldChar w:fldCharType="separate"/>
      </w:r>
      <w:r w:rsidR="003F3CD5" w:rsidRPr="00DC55B0">
        <w:rPr>
          <w:rFonts w:ascii="Calibri" w:hAnsi="Calibri" w:cs="Calibri"/>
          <w:kern w:val="0"/>
          <w:vertAlign w:val="superscript"/>
        </w:rPr>
        <w:t>34</w:t>
      </w:r>
      <w:r w:rsidR="00666C96" w:rsidRPr="00DC55B0">
        <w:rPr>
          <w:rFonts w:ascii="Calibri" w:hAnsi="Calibri" w:cs="Calibri"/>
        </w:rPr>
        <w:fldChar w:fldCharType="end"/>
      </w:r>
      <w:r w:rsidR="00441536" w:rsidRPr="00DC55B0">
        <w:rPr>
          <w:rFonts w:ascii="Calibri" w:hAnsi="Calibri" w:cs="Calibri"/>
        </w:rPr>
        <w:t xml:space="preserve"> </w:t>
      </w:r>
      <w:r w:rsidR="00471541" w:rsidRPr="00DC55B0">
        <w:rPr>
          <w:rFonts w:ascii="Calibri" w:hAnsi="Calibri" w:cs="Calibri"/>
        </w:rPr>
        <w:t>T</w:t>
      </w:r>
      <w:r w:rsidR="00441536" w:rsidRPr="00DC55B0">
        <w:rPr>
          <w:rFonts w:ascii="Calibri" w:hAnsi="Calibri" w:cs="Calibri"/>
        </w:rPr>
        <w:t>h</w:t>
      </w:r>
      <w:r w:rsidR="00A01676" w:rsidRPr="00DC55B0">
        <w:rPr>
          <w:rFonts w:ascii="Calibri" w:hAnsi="Calibri" w:cs="Calibri"/>
        </w:rPr>
        <w:t xml:space="preserve">e extent to which vaccines raise each of these subclasses may </w:t>
      </w:r>
      <w:r w:rsidR="00471541" w:rsidRPr="00DC55B0">
        <w:rPr>
          <w:rFonts w:ascii="Calibri" w:hAnsi="Calibri" w:cs="Calibri"/>
        </w:rPr>
        <w:t xml:space="preserve">therefore </w:t>
      </w:r>
      <w:r w:rsidR="00A01676" w:rsidRPr="00DC55B0">
        <w:rPr>
          <w:rFonts w:ascii="Calibri" w:hAnsi="Calibri" w:cs="Calibri"/>
        </w:rPr>
        <w:t>influence their effectiveness</w:t>
      </w:r>
      <w:r w:rsidR="00820414" w:rsidRPr="00DC55B0">
        <w:rPr>
          <w:rFonts w:ascii="Calibri" w:hAnsi="Calibri" w:cs="Calibri"/>
        </w:rPr>
        <w:t xml:space="preserve"> at protecting the newborn</w:t>
      </w:r>
      <w:r w:rsidR="00666C96" w:rsidRPr="00DC55B0">
        <w:rPr>
          <w:rFonts w:ascii="Calibri" w:hAnsi="Calibri" w:cs="Calibri"/>
        </w:rPr>
        <w:t>.</w:t>
      </w:r>
      <w:r w:rsidR="00B600BF" w:rsidRPr="00DC55B0">
        <w:rPr>
          <w:rFonts w:ascii="Calibri" w:hAnsi="Calibri" w:cs="Calibri"/>
        </w:rPr>
        <w:t xml:space="preserve"> </w:t>
      </w:r>
    </w:p>
    <w:p w14:paraId="58C47EBF" w14:textId="77777777" w:rsidR="008A5E31" w:rsidRPr="00DC55B0" w:rsidRDefault="008A5E31" w:rsidP="001F3ACA">
      <w:pPr>
        <w:rPr>
          <w:rFonts w:ascii="Calibri" w:hAnsi="Calibri" w:cs="Calibri"/>
        </w:rPr>
      </w:pPr>
    </w:p>
    <w:p w14:paraId="192BC215" w14:textId="2A7105AA" w:rsidR="00DB18A4" w:rsidRPr="00DC55B0" w:rsidRDefault="00D87859" w:rsidP="001F3ACA">
      <w:pPr>
        <w:rPr>
          <w:rFonts w:ascii="Calibri" w:hAnsi="Calibri" w:cs="Calibri"/>
        </w:rPr>
      </w:pPr>
      <w:r w:rsidRPr="00DC55B0">
        <w:rPr>
          <w:rFonts w:ascii="Calibri" w:hAnsi="Calibri" w:cs="Calibri"/>
        </w:rPr>
        <w:t xml:space="preserve">There is little </w:t>
      </w:r>
      <w:r w:rsidR="00264C12" w:rsidRPr="00DC55B0">
        <w:rPr>
          <w:rFonts w:ascii="Calibri" w:hAnsi="Calibri" w:cs="Calibri"/>
        </w:rPr>
        <w:t xml:space="preserve">placental </w:t>
      </w:r>
      <w:r w:rsidRPr="00DC55B0">
        <w:rPr>
          <w:rFonts w:ascii="Calibri" w:hAnsi="Calibri" w:cs="Calibri"/>
        </w:rPr>
        <w:t xml:space="preserve">transfer of </w:t>
      </w:r>
      <w:r w:rsidR="00264C12" w:rsidRPr="00DC55B0">
        <w:rPr>
          <w:rFonts w:ascii="Calibri" w:hAnsi="Calibri" w:cs="Calibri"/>
        </w:rPr>
        <w:t>IgG in the first trimester</w:t>
      </w:r>
      <w:r w:rsidR="00F23079" w:rsidRPr="00DC55B0">
        <w:rPr>
          <w:rFonts w:ascii="Calibri" w:hAnsi="Calibri" w:cs="Calibri"/>
        </w:rPr>
        <w:fldChar w:fldCharType="begin"/>
      </w:r>
      <w:r w:rsidR="003F3CD5" w:rsidRPr="00DC55B0">
        <w:rPr>
          <w:rFonts w:ascii="Calibri" w:hAnsi="Calibri" w:cs="Calibri"/>
        </w:rPr>
        <w:instrText xml:space="preserve"> ADDIN ZOTERO_ITEM CSL_CITATION {"citationID":"VdLE94cn","properties":{"formattedCitation":"\\super 35\\nosupersub{}","plainCitation":"35","noteIndex":0},"citationItems":[{"id":126,"uris":["http://zotero.org/users/14445769/items/X4FTCCK5"],"itemData":{"id":126,"type":"article-journal","abstract":"Passive transfer of immunity from the mother to the first trimester fetus is of particular interest because of the reported high incidence of serious fetal sequelae due to congenital infection. We have examined the relationship between maternal serum, coelomic fluid and amniotic fluid concentrations of immunoglobulin (Ig) and complement. Ig fractions G (IgG), A (IgA), and M (IgM) and complement factors 3 (C3) and 4 (C4) were measured in 34 normal pregnancies between 6 and 12 weeks of gestation. The concentrations of specific antibodies for Toxoplasma gondii, cytomegalovirus (CMV) and rubella were also measured on 21 matched samples from the same study group. IgG and IgA concentrations were detected in all coelomic fluid samples whereas IgG was only measurable in two amniotic fluid samples. IgG and IgA concentrations were respectively 28 and 128 times lower in coelomic fluid than in maternal serum and probably reflect fetal serum concentrations. Significant positive linear correlations were found between gestational age and the coelomic concentrations of IgG (P = 0.001) and IgA (P = 0.014). There was no obvious association between immunoglobulin concentrations in coelomic fluid and maternal serum suggesting increasing active transport across the placenta with advancing gestation. IgM, C3 and C4 were not detected in coelomic or amniotic fluid samples. Specific antibodies were found in 13 out of 63 samples of coelomic fluid and in 32 out of 63 samples of maternal serum. They were found in coelomic fluid only if they were present in maternal serum. These results suggest that maternal IgG and IgA are potentially available to the embryo as early as the 6th week of gestation. The presence in the coelomic fluid of the IgG fraction, both total and infectious agent-specific transferred via the placenta, indicates that they may provide limited protection against congenital infection in the first trimester.","container-title":"Human Reproduction (Oxford, England)","DOI":"10.1093/oxfordjournals.humrep.a135906","ISSN":"0268-1161","issue":"12","journalAbbreviation":"Hum Reprod","language":"eng","note":"PMID: 8822462","page":"3297-3300","source":"PubMed","title":"Materno-fetal immunoglobulin transfer and passive immunity during the first trimester of human pregnancy","volume":"10","author":[{"family":"Jauniaux","given":"E."},{"family":"Jurkovic","given":"D."},{"family":"Gulbis","given":"B."},{"family":"Liesnard","given":"C."},{"family":"Lees","given":"C."},{"family":"Campbell","given":"S."}],"issued":{"date-parts":[["1995",12]]}}}],"schema":"https://github.com/citation-style-language/schema/raw/master/csl-citation.json"} </w:instrText>
      </w:r>
      <w:r w:rsidR="00F23079" w:rsidRPr="00DC55B0">
        <w:rPr>
          <w:rFonts w:ascii="Calibri" w:hAnsi="Calibri" w:cs="Calibri"/>
        </w:rPr>
        <w:fldChar w:fldCharType="separate"/>
      </w:r>
      <w:r w:rsidR="003F3CD5" w:rsidRPr="00DC55B0">
        <w:rPr>
          <w:rFonts w:ascii="Calibri" w:hAnsi="Calibri" w:cs="Calibri"/>
          <w:kern w:val="0"/>
          <w:vertAlign w:val="superscript"/>
        </w:rPr>
        <w:t>35</w:t>
      </w:r>
      <w:r w:rsidR="00F23079" w:rsidRPr="00DC55B0">
        <w:rPr>
          <w:rFonts w:ascii="Calibri" w:hAnsi="Calibri" w:cs="Calibri"/>
        </w:rPr>
        <w:fldChar w:fldCharType="end"/>
      </w:r>
      <w:r w:rsidR="007771F3" w:rsidRPr="00DC55B0">
        <w:rPr>
          <w:rFonts w:ascii="Calibri" w:hAnsi="Calibri" w:cs="Calibri"/>
        </w:rPr>
        <w:t>,</w:t>
      </w:r>
      <w:r w:rsidR="00AF57D6" w:rsidRPr="00DC55B0">
        <w:rPr>
          <w:rFonts w:ascii="Calibri" w:hAnsi="Calibri" w:cs="Calibri"/>
        </w:rPr>
        <w:t xml:space="preserve"> </w:t>
      </w:r>
      <w:r w:rsidR="00DA2F65" w:rsidRPr="00DC55B0">
        <w:rPr>
          <w:rFonts w:ascii="Calibri" w:hAnsi="Calibri" w:cs="Calibri"/>
        </w:rPr>
        <w:t>with</w:t>
      </w:r>
      <w:r w:rsidR="00AF57D6" w:rsidRPr="00DC55B0">
        <w:rPr>
          <w:rFonts w:ascii="Calibri" w:hAnsi="Calibri" w:cs="Calibri"/>
        </w:rPr>
        <w:t xml:space="preserve"> trans</w:t>
      </w:r>
      <w:r w:rsidR="00017A33" w:rsidRPr="00DC55B0">
        <w:rPr>
          <w:rFonts w:ascii="Calibri" w:hAnsi="Calibri" w:cs="Calibri"/>
        </w:rPr>
        <w:t>port</w:t>
      </w:r>
      <w:r w:rsidR="00AF57D6" w:rsidRPr="00DC55B0">
        <w:rPr>
          <w:rFonts w:ascii="Calibri" w:hAnsi="Calibri" w:cs="Calibri"/>
        </w:rPr>
        <w:t xml:space="preserve"> gradually established over the second trimester: </w:t>
      </w:r>
      <w:r w:rsidR="00AA2043" w:rsidRPr="00DC55B0">
        <w:rPr>
          <w:rFonts w:ascii="Calibri" w:hAnsi="Calibri" w:cs="Calibri"/>
        </w:rPr>
        <w:t>at</w:t>
      </w:r>
      <w:r w:rsidR="00AF57D6" w:rsidRPr="00DC55B0">
        <w:rPr>
          <w:rFonts w:ascii="Calibri" w:hAnsi="Calibri" w:cs="Calibri"/>
        </w:rPr>
        <w:t xml:space="preserve"> week</w:t>
      </w:r>
      <w:r w:rsidR="007771F3" w:rsidRPr="00DC55B0">
        <w:rPr>
          <w:rFonts w:ascii="Calibri" w:hAnsi="Calibri" w:cs="Calibri"/>
        </w:rPr>
        <w:t>s</w:t>
      </w:r>
      <w:r w:rsidR="00AF57D6" w:rsidRPr="00DC55B0">
        <w:rPr>
          <w:rFonts w:ascii="Calibri" w:hAnsi="Calibri" w:cs="Calibri"/>
        </w:rPr>
        <w:t xml:space="preserve"> 12-22</w:t>
      </w:r>
      <w:r w:rsidR="005C34D5" w:rsidRPr="00DC55B0">
        <w:rPr>
          <w:rFonts w:ascii="Calibri" w:hAnsi="Calibri" w:cs="Calibri"/>
        </w:rPr>
        <w:t xml:space="preserve"> of pregnancy,</w:t>
      </w:r>
      <w:r w:rsidR="002E04C0" w:rsidRPr="00DC55B0">
        <w:rPr>
          <w:rFonts w:ascii="Calibri" w:hAnsi="Calibri" w:cs="Calibri"/>
        </w:rPr>
        <w:t xml:space="preserve"> </w:t>
      </w:r>
      <w:r w:rsidR="00735184" w:rsidRPr="00DC55B0">
        <w:rPr>
          <w:rFonts w:ascii="Calibri" w:hAnsi="Calibri" w:cs="Calibri"/>
        </w:rPr>
        <w:t>cord blood</w:t>
      </w:r>
      <w:r w:rsidR="002B2C25" w:rsidRPr="00DC55B0">
        <w:rPr>
          <w:rFonts w:ascii="Calibri" w:hAnsi="Calibri" w:cs="Calibri"/>
        </w:rPr>
        <w:t xml:space="preserve"> IgG titres are</w:t>
      </w:r>
      <w:r w:rsidR="00735184" w:rsidRPr="00DC55B0">
        <w:rPr>
          <w:rFonts w:ascii="Calibri" w:hAnsi="Calibri" w:cs="Calibri"/>
        </w:rPr>
        <w:t xml:space="preserve"> </w:t>
      </w:r>
      <w:r w:rsidR="002B2C25" w:rsidRPr="00DC55B0">
        <w:rPr>
          <w:rFonts w:ascii="Calibri" w:hAnsi="Calibri" w:cs="Calibri"/>
        </w:rPr>
        <w:t>~</w:t>
      </w:r>
      <w:r w:rsidR="00735184" w:rsidRPr="00DC55B0">
        <w:rPr>
          <w:rFonts w:ascii="Calibri" w:hAnsi="Calibri" w:cs="Calibri"/>
        </w:rPr>
        <w:t>10%</w:t>
      </w:r>
      <w:r w:rsidR="002E04C0" w:rsidRPr="00DC55B0">
        <w:rPr>
          <w:rFonts w:ascii="Calibri" w:hAnsi="Calibri" w:cs="Calibri"/>
        </w:rPr>
        <w:t xml:space="preserve"> of maternal </w:t>
      </w:r>
      <w:r w:rsidR="002B2C25" w:rsidRPr="00DC55B0">
        <w:rPr>
          <w:rFonts w:ascii="Calibri" w:hAnsi="Calibri" w:cs="Calibri"/>
        </w:rPr>
        <w:t>titres</w:t>
      </w:r>
      <w:r w:rsidR="005C34D5" w:rsidRPr="00DC55B0">
        <w:rPr>
          <w:rFonts w:ascii="Calibri" w:hAnsi="Calibri" w:cs="Calibri"/>
        </w:rPr>
        <w:t xml:space="preserve"> and by</w:t>
      </w:r>
      <w:r w:rsidR="008C593F" w:rsidRPr="00DC55B0">
        <w:rPr>
          <w:rFonts w:ascii="Calibri" w:hAnsi="Calibri" w:cs="Calibri"/>
        </w:rPr>
        <w:t xml:space="preserve"> the end of the second trimester </w:t>
      </w:r>
      <w:r w:rsidR="002B2C25" w:rsidRPr="00DC55B0">
        <w:rPr>
          <w:rFonts w:ascii="Calibri" w:hAnsi="Calibri" w:cs="Calibri"/>
        </w:rPr>
        <w:t>they</w:t>
      </w:r>
      <w:r w:rsidR="007E0E6F" w:rsidRPr="00DC55B0">
        <w:rPr>
          <w:rFonts w:ascii="Calibri" w:hAnsi="Calibri" w:cs="Calibri"/>
        </w:rPr>
        <w:t xml:space="preserve"> are</w:t>
      </w:r>
      <w:r w:rsidR="008C593F" w:rsidRPr="00DC55B0">
        <w:rPr>
          <w:rFonts w:ascii="Calibri" w:hAnsi="Calibri" w:cs="Calibri"/>
        </w:rPr>
        <w:t xml:space="preserve"> </w:t>
      </w:r>
      <w:r w:rsidR="002B2C25" w:rsidRPr="00DC55B0">
        <w:rPr>
          <w:rFonts w:ascii="Calibri" w:hAnsi="Calibri" w:cs="Calibri"/>
        </w:rPr>
        <w:t>~</w:t>
      </w:r>
      <w:r w:rsidR="008C593F" w:rsidRPr="00DC55B0">
        <w:rPr>
          <w:rFonts w:ascii="Calibri" w:hAnsi="Calibri" w:cs="Calibri"/>
        </w:rPr>
        <w:t>50% of th</w:t>
      </w:r>
      <w:r w:rsidR="00C61E63" w:rsidRPr="00DC55B0">
        <w:rPr>
          <w:rFonts w:ascii="Calibri" w:hAnsi="Calibri" w:cs="Calibri"/>
        </w:rPr>
        <w:t>ose</w:t>
      </w:r>
      <w:r w:rsidR="008C593F" w:rsidRPr="00DC55B0">
        <w:rPr>
          <w:rFonts w:ascii="Calibri" w:hAnsi="Calibri" w:cs="Calibri"/>
        </w:rPr>
        <w:t xml:space="preserve"> in maternal blood</w:t>
      </w:r>
      <w:r w:rsidR="00C57E73" w:rsidRPr="00DC55B0">
        <w:rPr>
          <w:rFonts w:ascii="Calibri" w:hAnsi="Calibri" w:cs="Calibri"/>
        </w:rPr>
        <w:t>.</w:t>
      </w:r>
      <w:r w:rsidR="00B74003" w:rsidRPr="00DC55B0">
        <w:rPr>
          <w:rFonts w:ascii="Calibri" w:hAnsi="Calibri" w:cs="Calibri"/>
        </w:rPr>
        <w:fldChar w:fldCharType="begin"/>
      </w:r>
      <w:r w:rsidR="003F3CD5" w:rsidRPr="00DC55B0">
        <w:rPr>
          <w:rFonts w:ascii="Calibri" w:hAnsi="Calibri" w:cs="Calibri"/>
        </w:rPr>
        <w:instrText xml:space="preserve"> ADDIN ZOTERO_ITEM CSL_CITATION {"citationID":"gjO35PEM","properties":{"formattedCitation":"\\super 36\\nosupersub{}","plainCitation":"36","noteIndex":0},"citationItems":[{"id":109,"uris":["http://zotero.org/users/14445769/items/STWUNKUS"],"itemData":{"id":109,"type":"article-journal","abstract":"PROBLEM: We determined the evolution of the maternal-fetal transport of immunoglobulins during human pregnancy.\nMETHOD: Paired blood samples were collected between 17-41 weeks of gestation (WG) by puncture of a peripheral maternal vein and by cordocentesis (17-36 WG, n = 91) or directly at delivery (37-41 WG n = 16) from the umbilical vein. Additional maternal samples were collected from the same individual (n = 16) at 10, 20, 30 WG, and at term. The concentration of IgG and its four subclasses and of IgA were determined in the sera using ELISA method.\nRESULTS: The mean level of IgG and IgA in maternal sera at 9-16 WG was 13.72 +/- 2.53 g/L and 3.95 +/- 1.23 g/L, respectively. Both, IgG and IgA throughout pregnancy decreased to a level of 60-70% (37-41 WG) of the initial concentration in early pregnancy. The ratio of IgG1:IgG2 in the maternal circulation was 2-3 and remained constant throughout pregnancy (17-41 WG). IgG3 and IgG4 levels remained constant and together were less than 10% of total IgG. In the fetal circulation a continuous rise in the level of both IgG and IgA was observed between 17 and 41 WG. Fetal level of IgG at 17-22 WG was only 5-10% of the maternal level and at term exceeded the maternal level reaching a value of 11.98 +/- 2.18 g/L. IgG1 at 17-22 WG was 0.93 +/- 0.42 g/L, which is approximately three times higher than IgG2. IgG1 showed an exponential rise and at 37-41 WG its concentration was seven times higher than IgG2. IgG3 and IgG4 also showed an exponential rise and at term reached a similar level as in the maternal circulation. Striking was the difference in results for IgG2 with a slow linear rise throughout gestation. The fetal IgG2 level at term remained significantly below the maternal concentration. The IgG subclasses when characterized according to the differences in transport capacity gave the following sequence: IgG1 &gt; IgG4 &gt; IgG3 &gt; IgG2. Fetal IgA showed a slow linear rise with fetal levels at term remaining approximately 1,000 times lower than the concentration in the maternal circulation.\nCONCLUSIONS: Comparison of fetal and maternal levels of immunglobulines indicate that the human placenta during pregnancy develops a specific transport mechanism for IgG. There are differences for the four subclasses with preferential transfer of IgG1 while the slowest transfer is seen for IgG2.","container-title":"American Journal of Reproductive Immunology (New York, N.Y.: 1989)","DOI":"10.1111/j.1600-0897.1996.tb00172.x","ISSN":"1046-7408","issue":"5","journalAbbreviation":"Am J Reprod Immunol","language":"eng","note":"PMID: 8955500","page":"248-255","source":"PubMed","title":"Evolution of maternofetal transport of immunoglobulins during human pregnancy","volume":"36","author":[{"family":"Malek","given":"A."},{"family":"Sager","given":"R."},{"family":"Kuhn","given":"P."},{"family":"Nicolaides","given":"K. H."},{"family":"Schneider","given":"H."}],"issued":{"date-parts":[["1996",11]]}}}],"schema":"https://github.com/citation-style-language/schema/raw/master/csl-citation.json"} </w:instrText>
      </w:r>
      <w:r w:rsidR="00B74003" w:rsidRPr="00DC55B0">
        <w:rPr>
          <w:rFonts w:ascii="Calibri" w:hAnsi="Calibri" w:cs="Calibri"/>
        </w:rPr>
        <w:fldChar w:fldCharType="separate"/>
      </w:r>
      <w:r w:rsidR="003F3CD5" w:rsidRPr="00DC55B0">
        <w:rPr>
          <w:rFonts w:ascii="Calibri" w:hAnsi="Calibri" w:cs="Calibri"/>
          <w:kern w:val="0"/>
          <w:vertAlign w:val="superscript"/>
        </w:rPr>
        <w:t>36</w:t>
      </w:r>
      <w:r w:rsidR="00B74003" w:rsidRPr="00DC55B0">
        <w:rPr>
          <w:rFonts w:ascii="Calibri" w:hAnsi="Calibri" w:cs="Calibri"/>
        </w:rPr>
        <w:fldChar w:fldCharType="end"/>
      </w:r>
      <w:r w:rsidR="00C57E73" w:rsidRPr="00DC55B0">
        <w:rPr>
          <w:rFonts w:ascii="Calibri" w:hAnsi="Calibri" w:cs="Calibri"/>
        </w:rPr>
        <w:t xml:space="preserve"> In the third trimester, </w:t>
      </w:r>
      <w:r w:rsidR="000E5428" w:rsidRPr="00DC55B0">
        <w:rPr>
          <w:rFonts w:ascii="Calibri" w:hAnsi="Calibri" w:cs="Calibri"/>
        </w:rPr>
        <w:t xml:space="preserve">the rate of transfer </w:t>
      </w:r>
      <w:r w:rsidR="008D3DC5" w:rsidRPr="00DC55B0">
        <w:rPr>
          <w:rFonts w:ascii="Calibri" w:hAnsi="Calibri" w:cs="Calibri"/>
        </w:rPr>
        <w:t>increases</w:t>
      </w:r>
      <w:r w:rsidR="000E5428" w:rsidRPr="00DC55B0">
        <w:rPr>
          <w:rFonts w:ascii="Calibri" w:hAnsi="Calibri" w:cs="Calibri"/>
        </w:rPr>
        <w:t xml:space="preserve"> significantly</w:t>
      </w:r>
      <w:r w:rsidR="00203DD9" w:rsidRPr="00DC55B0">
        <w:rPr>
          <w:rFonts w:ascii="Calibri" w:hAnsi="Calibri" w:cs="Calibri"/>
        </w:rPr>
        <w:t xml:space="preserve"> and by term fetal IgG </w:t>
      </w:r>
      <w:r w:rsidR="001F139E" w:rsidRPr="00DC55B0">
        <w:rPr>
          <w:rFonts w:ascii="Calibri" w:hAnsi="Calibri" w:cs="Calibri"/>
        </w:rPr>
        <w:t>concentrations</w:t>
      </w:r>
      <w:r w:rsidR="00C903DB" w:rsidRPr="00DC55B0">
        <w:rPr>
          <w:rFonts w:ascii="Calibri" w:hAnsi="Calibri" w:cs="Calibri"/>
        </w:rPr>
        <w:t xml:space="preserve"> </w:t>
      </w:r>
      <w:r w:rsidR="00203DD9" w:rsidRPr="00DC55B0">
        <w:rPr>
          <w:rFonts w:ascii="Calibri" w:hAnsi="Calibri" w:cs="Calibri"/>
        </w:rPr>
        <w:t>usually exceed</w:t>
      </w:r>
      <w:r w:rsidR="000E0913" w:rsidRPr="00DC55B0">
        <w:rPr>
          <w:rFonts w:ascii="Calibri" w:hAnsi="Calibri" w:cs="Calibri"/>
        </w:rPr>
        <w:t xml:space="preserve"> maternal </w:t>
      </w:r>
      <w:r w:rsidR="00C903DB" w:rsidRPr="00DC55B0">
        <w:rPr>
          <w:rFonts w:ascii="Calibri" w:hAnsi="Calibri" w:cs="Calibri"/>
        </w:rPr>
        <w:t>ones</w:t>
      </w:r>
      <w:r w:rsidR="00F23079" w:rsidRPr="00DC55B0">
        <w:rPr>
          <w:rFonts w:ascii="Calibri" w:hAnsi="Calibri" w:cs="Calibri"/>
        </w:rPr>
        <w:t>.</w:t>
      </w:r>
      <w:r w:rsidR="00297F08" w:rsidRPr="00DC55B0">
        <w:rPr>
          <w:rFonts w:ascii="Calibri" w:hAnsi="Calibri" w:cs="Calibri"/>
        </w:rPr>
        <w:fldChar w:fldCharType="begin"/>
      </w:r>
      <w:r w:rsidR="003F3CD5" w:rsidRPr="00DC55B0">
        <w:rPr>
          <w:rFonts w:ascii="Calibri" w:hAnsi="Calibri" w:cs="Calibri"/>
        </w:rPr>
        <w:instrText xml:space="preserve"> ADDIN ZOTERO_ITEM CSL_CITATION {"citationID":"Ec7ISkdH","properties":{"formattedCitation":"\\super 37\\nosupersub{}","plainCitation":"37","noteIndex":0},"citationItems":[{"id":110,"uris":["http://zotero.org/users/14445769/items/QABV6J92"],"itemData":{"id":110,"type":"article-journal","container-title":"Nature","DOI":"10.1038/2101070a0","ISSN":"0028-0836","issue":"5040","journalAbbreviation":"Nature","language":"eng","note":"PMID: 5950290","page":"1070-1071","source":"PubMed","title":"Elevation of cord over maternal IgG immunoglobulin: evidence for an active placental IgG transport","title-short":"Elevation of cord over maternal IgG immunoglobulin","volume":"210","author":[{"family":"Kohler","given":"P. F."},{"family":"Farr","given":"R. S."}],"issued":{"date-parts":[["1966",6,4]]}}}],"schema":"https://github.com/citation-style-language/schema/raw/master/csl-citation.json"} </w:instrText>
      </w:r>
      <w:r w:rsidR="00297F08" w:rsidRPr="00DC55B0">
        <w:rPr>
          <w:rFonts w:ascii="Calibri" w:hAnsi="Calibri" w:cs="Calibri"/>
        </w:rPr>
        <w:fldChar w:fldCharType="separate"/>
      </w:r>
      <w:r w:rsidR="003F3CD5" w:rsidRPr="00DC55B0">
        <w:rPr>
          <w:rFonts w:ascii="Calibri" w:hAnsi="Calibri" w:cs="Calibri"/>
          <w:kern w:val="0"/>
          <w:vertAlign w:val="superscript"/>
        </w:rPr>
        <w:t>37</w:t>
      </w:r>
      <w:r w:rsidR="00297F08" w:rsidRPr="00DC55B0">
        <w:rPr>
          <w:rFonts w:ascii="Calibri" w:hAnsi="Calibri" w:cs="Calibri"/>
        </w:rPr>
        <w:fldChar w:fldCharType="end"/>
      </w:r>
      <w:r w:rsidR="00EF04EA" w:rsidRPr="00DC55B0">
        <w:rPr>
          <w:rFonts w:ascii="Calibri" w:hAnsi="Calibri" w:cs="Calibri"/>
        </w:rPr>
        <w:t xml:space="preserve"> As a result, </w:t>
      </w:r>
      <w:r w:rsidR="00455CC2" w:rsidRPr="00DC55B0">
        <w:rPr>
          <w:rFonts w:ascii="Calibri" w:hAnsi="Calibri" w:cs="Calibri"/>
        </w:rPr>
        <w:t xml:space="preserve">vaccination between </w:t>
      </w:r>
      <w:r w:rsidR="00C56D4D" w:rsidRPr="00DC55B0">
        <w:rPr>
          <w:rFonts w:ascii="Calibri" w:hAnsi="Calibri" w:cs="Calibri"/>
        </w:rPr>
        <w:t>2</w:t>
      </w:r>
      <w:r w:rsidR="002D247B" w:rsidRPr="00DC55B0">
        <w:rPr>
          <w:rFonts w:ascii="Calibri" w:hAnsi="Calibri" w:cs="Calibri"/>
        </w:rPr>
        <w:t>6</w:t>
      </w:r>
      <w:r w:rsidR="00C56D4D" w:rsidRPr="00DC55B0">
        <w:rPr>
          <w:rFonts w:ascii="Calibri" w:hAnsi="Calibri" w:cs="Calibri"/>
        </w:rPr>
        <w:t xml:space="preserve"> and 34 weeks of pregnancy maximises antigen-specific IgG in </w:t>
      </w:r>
      <w:r w:rsidR="008B1ABB" w:rsidRPr="00DC55B0">
        <w:rPr>
          <w:rFonts w:ascii="Calibri" w:hAnsi="Calibri" w:cs="Calibri"/>
        </w:rPr>
        <w:t>the umbilical cord blood of babies born at term</w:t>
      </w:r>
      <w:r w:rsidR="005C65F2" w:rsidRPr="00DC55B0">
        <w:rPr>
          <w:rFonts w:ascii="Calibri" w:hAnsi="Calibri" w:cs="Calibri"/>
        </w:rPr>
        <w:t>,</w:t>
      </w:r>
      <w:r w:rsidR="008B1ABB" w:rsidRPr="00DC55B0">
        <w:rPr>
          <w:rFonts w:ascii="Calibri" w:hAnsi="Calibri" w:cs="Calibri"/>
        </w:rPr>
        <w:t xml:space="preserve"> </w:t>
      </w:r>
      <w:r w:rsidR="002C34D2" w:rsidRPr="00DC55B0">
        <w:rPr>
          <w:rFonts w:ascii="Calibri" w:hAnsi="Calibri" w:cs="Calibri"/>
        </w:rPr>
        <w:t xml:space="preserve">although </w:t>
      </w:r>
      <w:r w:rsidR="00050B2E" w:rsidRPr="00DC55B0">
        <w:rPr>
          <w:rFonts w:ascii="Calibri" w:hAnsi="Calibri" w:cs="Calibri"/>
        </w:rPr>
        <w:t xml:space="preserve">the proportion of infants who are seropositive </w:t>
      </w:r>
      <w:r w:rsidR="004E1CCB" w:rsidRPr="00DC55B0">
        <w:rPr>
          <w:rFonts w:ascii="Calibri" w:hAnsi="Calibri" w:cs="Calibri"/>
        </w:rPr>
        <w:t xml:space="preserve">to any degree </w:t>
      </w:r>
      <w:r w:rsidR="00050B2E" w:rsidRPr="00DC55B0">
        <w:rPr>
          <w:rFonts w:ascii="Calibri" w:hAnsi="Calibri" w:cs="Calibri"/>
        </w:rPr>
        <w:t xml:space="preserve">is </w:t>
      </w:r>
      <w:r w:rsidR="004E1CCB" w:rsidRPr="00DC55B0">
        <w:rPr>
          <w:rFonts w:ascii="Calibri" w:hAnsi="Calibri" w:cs="Calibri"/>
        </w:rPr>
        <w:t>similar</w:t>
      </w:r>
      <w:r w:rsidR="00050B2E" w:rsidRPr="00DC55B0">
        <w:rPr>
          <w:rFonts w:ascii="Calibri" w:hAnsi="Calibri" w:cs="Calibri"/>
        </w:rPr>
        <w:t xml:space="preserve"> </w:t>
      </w:r>
      <w:r w:rsidR="004E1CCB" w:rsidRPr="00DC55B0">
        <w:rPr>
          <w:rFonts w:ascii="Calibri" w:hAnsi="Calibri" w:cs="Calibri"/>
        </w:rPr>
        <w:t xml:space="preserve">for vaccination at any time </w:t>
      </w:r>
      <w:r w:rsidR="00F4405F" w:rsidRPr="00DC55B0">
        <w:rPr>
          <w:rFonts w:ascii="Calibri" w:hAnsi="Calibri" w:cs="Calibri"/>
        </w:rPr>
        <w:t>between 13 and</w:t>
      </w:r>
      <w:r w:rsidR="004E1CCB" w:rsidRPr="00DC55B0">
        <w:rPr>
          <w:rFonts w:ascii="Calibri" w:hAnsi="Calibri" w:cs="Calibri"/>
        </w:rPr>
        <w:t xml:space="preserve"> 34 weeks</w:t>
      </w:r>
      <w:r w:rsidR="00354BE0" w:rsidRPr="00DC55B0">
        <w:rPr>
          <w:rFonts w:ascii="Calibri" w:hAnsi="Calibri" w:cs="Calibri"/>
        </w:rPr>
        <w:t>.</w:t>
      </w:r>
      <w:r w:rsidR="00297F08" w:rsidRPr="00DC55B0">
        <w:rPr>
          <w:rFonts w:ascii="Calibri" w:hAnsi="Calibri" w:cs="Calibri"/>
        </w:rPr>
        <w:fldChar w:fldCharType="begin"/>
      </w:r>
      <w:r w:rsidR="003F3CD5" w:rsidRPr="00DC55B0">
        <w:rPr>
          <w:rFonts w:ascii="Calibri" w:hAnsi="Calibri" w:cs="Calibri"/>
        </w:rPr>
        <w:instrText xml:space="preserve"> ADDIN ZOTERO_ITEM CSL_CITATION {"citationID":"jsczjGwU","properties":{"unsorted":true,"formattedCitation":"\\super 38,39\\nosupersub{}","plainCitation":"38,39","noteIndex":0},"citationItems":[{"id":107,"uris":["http://zotero.org/users/14445769/items/GAWAUDFM"],"itemData":{"id":107,"type":"article-journal","container-title":"Clinical Infectious Diseases","DOI":"10.1093/cid/ciw027","ISSN":"1058-4838, 1537-6591","issue":"7","journalAbbreviation":"Clin Infect Dis.","language":"en","page":"829-836","source":"DOI.org (Crossref)","title":"Maternal Immunization Earlier in Pregnancy Maximizes Antibody Transfer and Expected Infant Seropositivity Against Pertussis","volume":"62","author":[{"family":"Eberhardt","given":"Christiane S."},{"family":"Blanchard-Rohner","given":"Geraldine"},{"family":"Lemaître","given":"Barbara"},{"family":"Boukrid","given":"Meriem"},{"family":"Combescure","given":"Christophe"},{"family":"Othenin-Girard","given":"Véronique"},{"family":"Chilin","given":"Antonina"},{"family":"Petre","given":"Jean"},{"family":"De Tejada","given":"Begoña Martinez"},{"family":"Siegrist","given":"Claire-Anne"}],"issued":{"date-parts":[["2016",4,1]]}}},{"id":108,"uris":["http://zotero.org/users/14445769/items/DDAX9ZKW"],"itemData":{"id":108,"type":"article-journal","abstract":"OBJECTIVE: \n              To describe maternal and umbilical cord blood anti-spike immunoglobulin (Ig)G levels at delivery with coronavirus disease 2019 (COVID-19) vaccination before and during pregnancy and to assess the association of prior severe acute respiratory syndrome coronavirus 2 (SARS-CoV-2) infection and a vaccine booster dose with anti-spike maternal and umbilical cord IgG levels. \n             \n             \n              METHODS: \n              We conducted a retrospective cohort study of women with self-reported COVID-19 vaccination (Pfizer-BioNTech, Moderna, or Johnson &amp; Johnson/Janssen), including a booster dose, during or before pregnancy, who delivered at 34 weeks of gestation or more. Maternal and umbilical cord blood samples at delivery were analyzed for semi-quantitative anti-spike IgG. We examined the association between timing of maternal vaccination and maternal and umbilical cord anti-spike levels using a rank sum test. The relationships between a prior history of SARS-CoV-2 infection and maternal and umbilical cord anti-spike IgG levels, and between a booster dose and maternal and umbilical cord anti-spike levels, were also evaluated using a rank sum test. \n             \n             \n              RESULTS: \n              We included data from 1,359 vaccinated pregnant women, including 20 women who received a booster dose, and 1,362 umbilical cord samples. Maternal anti-spike IgG levels were detectable at delivery regardless of timing of vaccination throughout pregnancy among fully vaccinated women; however, early third-trimester vaccination was associated with the highest anti-spike IgG levels in maternal and umbilical cord blood. Among women with a history of SARS-CoV-2 infection, maternal and cord blood antibody response achieved with vaccination in early pregnancy was comparable with third-trimester vaccination in pregnant women without a history of SARS-CoV-2 infection. A booster dose in the third trimester was associated with maternal anti-spike IgG levels greater than third-trimester vaccination in women with or without a history of SARS-CoV-2 infection. \n             \n             \n              DISCUSSION: \n              Vaccination against COVID-19 before and throughout pregnancy was associated with detectable maternal anti-spike IgG levels at delivery. A complete vaccination course, prior history of SARS-CoV-2 infection, and a third-trimester booster dose were associated with the highest maternal and umbilical cord antibody levels.","container-title":"Obstetrics &amp; Gynecology","DOI":"10.1097/AOG.0000000000004693","ISSN":"0029-7844","issue":"3","language":"en","page":"373-380","source":"DOI.org (Crossref)","title":"Association of Gestational Age at Coronavirus Disease 2019 (COVID-19) Vaccination, History of Severe Acute Respiratory Syndrome Coronavirus 2 (SARS-CoV-2) Infection, and a Vaccine Booster Dose With Maternal and Umbilical Cord Antibody Levels at Delivery","volume":"139","author":[{"family":"Yang","given":"Yawei J."},{"family":"Murphy","given":"Elisabeth A."},{"family":"Singh","given":"Sunidhi"},{"family":"Sukhu","given":"Ashley C."},{"family":"Wolfe","given":"Isabel"},{"family":"Adurty","given":"Sanjana"},{"family":"Eng","given":"Dorothy"},{"family":"Yee","given":"Jim"},{"family":"Mohammed","given":"Iman"},{"family":"Zhao","given":"Zhen"},{"family":"Riley","given":"Laura E."},{"family":"Prabhu","given":"Malavika"}],"issued":{"date-parts":[["2022",3]]}}}],"schema":"https://github.com/citation-style-language/schema/raw/master/csl-citation.json"} </w:instrText>
      </w:r>
      <w:r w:rsidR="00297F08" w:rsidRPr="00DC55B0">
        <w:rPr>
          <w:rFonts w:ascii="Calibri" w:hAnsi="Calibri" w:cs="Calibri"/>
        </w:rPr>
        <w:fldChar w:fldCharType="separate"/>
      </w:r>
      <w:r w:rsidR="003F3CD5" w:rsidRPr="00DC55B0">
        <w:rPr>
          <w:rFonts w:ascii="Calibri" w:hAnsi="Calibri" w:cs="Calibri"/>
          <w:kern w:val="0"/>
          <w:vertAlign w:val="superscript"/>
        </w:rPr>
        <w:t>38,39</w:t>
      </w:r>
      <w:r w:rsidR="00297F08" w:rsidRPr="00DC55B0">
        <w:rPr>
          <w:rFonts w:ascii="Calibri" w:hAnsi="Calibri" w:cs="Calibri"/>
        </w:rPr>
        <w:fldChar w:fldCharType="end"/>
      </w:r>
      <w:r w:rsidR="00354BE0" w:rsidRPr="00DC55B0">
        <w:rPr>
          <w:rFonts w:ascii="Calibri" w:hAnsi="Calibri" w:cs="Calibri"/>
        </w:rPr>
        <w:t xml:space="preserve"> In a randomised </w:t>
      </w:r>
      <w:r w:rsidR="00354BE0" w:rsidRPr="00DC55B0">
        <w:rPr>
          <w:rFonts w:ascii="Calibri" w:hAnsi="Calibri" w:cs="Calibri"/>
        </w:rPr>
        <w:lastRenderedPageBreak/>
        <w:t>trial, vaccination at any time between 23 and 32 weeks resulted in equivalent concentrations of IgG antibodies in infants against two of the three pertussis antigens assesse</w:t>
      </w:r>
      <w:r w:rsidR="00614FBF" w:rsidRPr="00DC55B0">
        <w:rPr>
          <w:rFonts w:ascii="Calibri" w:hAnsi="Calibri" w:cs="Calibri"/>
        </w:rPr>
        <w:t>d.</w:t>
      </w:r>
      <w:r w:rsidR="00466BB3" w:rsidRPr="00DC55B0">
        <w:rPr>
          <w:rFonts w:ascii="Calibri" w:hAnsi="Calibri" w:cs="Calibri"/>
        </w:rPr>
        <w:fldChar w:fldCharType="begin"/>
      </w:r>
      <w:r w:rsidR="00094EDA" w:rsidRPr="00DC55B0">
        <w:rPr>
          <w:rFonts w:ascii="Calibri" w:hAnsi="Calibri" w:cs="Calibri"/>
        </w:rPr>
        <w:instrText xml:space="preserve"> ADDIN ZOTERO_ITEM CSL_CITATION {"citationID":"TQCMcBdB","properties":{"formattedCitation":"\\super 40\\nosupersub{}","plainCitation":"40","noteIndex":0},"citationItems":[{"id":259,"uris":["http://zotero.org/users/14445769/items/Z9WDSI99"],"itemData":{"id":259,"type":"article-journal","abstract":"BACKGROUND: Pertussis vaccination in pregnancy is recommended in many countries to provide protection to young infants. The best timing for this vaccination is uncertain. In the UK, vaccination is recommended between 16 weeks and 32 weeks of gestation. In this trial we aimed to investigate the equivalence of three time periods for pertussis vaccination in pregnancy.\nMETHODS: In this open-label, equivalence, randomised controlled trial to investigate equivalence of different time windows for pertussis vaccination in pregnancy, participants were randomly assigned (1:1:1 ratio) to receive a pertussis-containing vaccine (Boostrix-inactivated poliovirus vaccine) in one of three gestational age groups, comprising group 1 (≤23 weeks + 6 days), group 2 (24-27 weeks + 6 days), and group 3 (28-31 weeks + 6 days) using a computer-generated randomisation list. The primary outcome was concentration of pertussis-specific antibodies in the infant born at term at birth. Maternal blood sampling was done before and 2 weeks after vaccination and at delivery, together with a cord sample, and an infant sample was collected at least 4 weeks after primary vaccination. Reactogenicity was assessed for 7 days after vaccination. This trial was registered with ClinicalTrials.gov (NCT03908164).\nFINDINGS: Between May 7, 2019, and Feb 13, 2020, of 1010 women assessed for eligibility, 364 women were recruited and 351 received the intervention (120 in group 1, 119 in group 2, and 112 in group 3). Equivalence of time periods was demonstrated for anti-pertussis toxin and anti-pertactin IgG concentrations. The cord blood geometric mean concentrations of anti-filamentous haemagglutinin IgG were higher with increasing gestational age at vaccination, such that for infants in group 1 (≤23 weeks + 6 days), equivalence to group 3 (28-31 weeks + 6 days) was not shown. Reported rates of fever were similar between study groups.\nINTERPRETATION: Pertussis vaccination at three different time intervals in pregnancy resulted in equivalent concentrations of IgG antibodies in infants against two of the three pertussis antigens assessed. Overall, these findings support recommendations to vaccinate any time between 16 weeks and 32 weeks of gestation.\nFUNDING: The Thrasher Research Fund and the National Immunisation Schedule Evaluation Consortium through the National Institute for Health and Care Research policy research programme.","container-title":"The Lancet. Microbe","DOI":"10.1016/S2666-5247(22)00332-9","ISSN":"2666-5247","issue":"5","journalAbbreviation":"Lancet Microbe","language":"eng","note":"PMID: 37080224","page":"e300-e308","source":"PubMed","title":"Optimising the timing of whooping cough immunisation in mums (OpTIMUM) through investigating pertussis vaccination in pregnancy: an open-label, equivalence, randomised controlled trial","title-short":"Optimising the timing of whooping cough immunisation in mums (OpTIMUM) through investigating pertussis vaccination in pregnancy","volume":"4","author":[{"family":"Calvert","given":"Anna"},{"family":"Amirthalingam","given":"Gayatri"},{"family":"Andrews","given":"Nick"},{"family":"Basude","given":"Sneha"},{"family":"Coleman","given":"Matthew"},{"family":"Cuthbertson","given":"Hannah"},{"family":"England","given":"Anna"},{"family":"Greening","given":"Vanessa"},{"family":"Hallis","given":"Bassam"},{"family":"Johnstone","given":"Edward"},{"family":"Jones","given":"Christine E."},{"family":"Karampatsas","given":"Konstantinos"},{"family":"Khalil","given":"Asma"},{"family":"Le Doare","given":"Kirsty"},{"family":"Matheson","given":"Mary"},{"family":"Peregrine","given":"Elisabeth"},{"family":"Snape","given":"Matthew D."},{"family":"Vatish","given":"Manu"},{"family":"Heath","given":"Paul T."},{"literal":"OpTIMUM Study Group"}],"issued":{"date-parts":[["2023",5]]}}}],"schema":"https://github.com/citation-style-language/schema/raw/master/csl-citation.json"} </w:instrText>
      </w:r>
      <w:r w:rsidR="00466BB3" w:rsidRPr="00DC55B0">
        <w:rPr>
          <w:rFonts w:ascii="Calibri" w:hAnsi="Calibri" w:cs="Calibri"/>
        </w:rPr>
        <w:fldChar w:fldCharType="separate"/>
      </w:r>
      <w:r w:rsidR="00094EDA" w:rsidRPr="00DC55B0">
        <w:rPr>
          <w:rFonts w:ascii="Calibri" w:hAnsi="Calibri" w:cs="Calibri"/>
          <w:kern w:val="0"/>
          <w:vertAlign w:val="superscript"/>
        </w:rPr>
        <w:t>40</w:t>
      </w:r>
      <w:r w:rsidR="00466BB3" w:rsidRPr="00DC55B0">
        <w:rPr>
          <w:rFonts w:ascii="Calibri" w:hAnsi="Calibri" w:cs="Calibri"/>
        </w:rPr>
        <w:fldChar w:fldCharType="end"/>
      </w:r>
      <w:r w:rsidR="00614FBF" w:rsidRPr="00DC55B0">
        <w:rPr>
          <w:rFonts w:ascii="Calibri" w:hAnsi="Calibri" w:cs="Calibri"/>
        </w:rPr>
        <w:t xml:space="preserve"> </w:t>
      </w:r>
      <w:r w:rsidR="008B1ABB" w:rsidRPr="00DC55B0">
        <w:rPr>
          <w:rFonts w:ascii="Calibri" w:hAnsi="Calibri" w:cs="Calibri"/>
        </w:rPr>
        <w:t xml:space="preserve">Vaccination after </w:t>
      </w:r>
      <w:r w:rsidR="00354BE0" w:rsidRPr="00DC55B0">
        <w:rPr>
          <w:rFonts w:ascii="Calibri" w:hAnsi="Calibri" w:cs="Calibri"/>
        </w:rPr>
        <w:t>32-</w:t>
      </w:r>
      <w:r w:rsidR="008B1ABB" w:rsidRPr="00DC55B0">
        <w:rPr>
          <w:rFonts w:ascii="Calibri" w:hAnsi="Calibri" w:cs="Calibri"/>
        </w:rPr>
        <w:t xml:space="preserve">34 weeks </w:t>
      </w:r>
      <w:r w:rsidR="00FD6669" w:rsidRPr="00DC55B0">
        <w:rPr>
          <w:rFonts w:ascii="Calibri" w:hAnsi="Calibri" w:cs="Calibri"/>
        </w:rPr>
        <w:t>results in lower</w:t>
      </w:r>
      <w:r w:rsidR="007771F3" w:rsidRPr="00DC55B0">
        <w:rPr>
          <w:rFonts w:ascii="Calibri" w:hAnsi="Calibri" w:cs="Calibri"/>
        </w:rPr>
        <w:t xml:space="preserve"> levels of</w:t>
      </w:r>
      <w:r w:rsidR="00FD6669" w:rsidRPr="00DC55B0">
        <w:rPr>
          <w:rFonts w:ascii="Calibri" w:hAnsi="Calibri" w:cs="Calibri"/>
        </w:rPr>
        <w:t xml:space="preserve"> </w:t>
      </w:r>
      <w:r w:rsidR="00904145" w:rsidRPr="00DC55B0">
        <w:rPr>
          <w:rFonts w:ascii="Calibri" w:hAnsi="Calibri" w:cs="Calibri"/>
        </w:rPr>
        <w:t>antigen-specific IgG</w:t>
      </w:r>
      <w:r w:rsidR="001F139E" w:rsidRPr="00DC55B0">
        <w:rPr>
          <w:rFonts w:ascii="Calibri" w:hAnsi="Calibri" w:cs="Calibri"/>
        </w:rPr>
        <w:t xml:space="preserve"> </w:t>
      </w:r>
      <w:r w:rsidR="00904145" w:rsidRPr="00DC55B0">
        <w:rPr>
          <w:rFonts w:ascii="Calibri" w:hAnsi="Calibri" w:cs="Calibri"/>
        </w:rPr>
        <w:t>in newborns</w:t>
      </w:r>
      <w:r w:rsidR="005A4072" w:rsidRPr="00DC55B0">
        <w:rPr>
          <w:rFonts w:ascii="Calibri" w:hAnsi="Calibri" w:cs="Calibri"/>
        </w:rPr>
        <w:t xml:space="preserve"> because there is insufficient time for the mother to raise a response</w:t>
      </w:r>
      <w:r w:rsidR="009063F6" w:rsidRPr="00DC55B0">
        <w:rPr>
          <w:rFonts w:ascii="Calibri" w:hAnsi="Calibri" w:cs="Calibri"/>
        </w:rPr>
        <w:t xml:space="preserve"> and antibody to cross the placenta before birth.</w:t>
      </w:r>
      <w:r w:rsidR="004F2FA2" w:rsidRPr="00DC55B0">
        <w:rPr>
          <w:rFonts w:ascii="Calibri" w:hAnsi="Calibri" w:cs="Calibri"/>
        </w:rPr>
        <w:t xml:space="preserve"> </w:t>
      </w:r>
      <w:r w:rsidR="00086A4F" w:rsidRPr="00DC55B0">
        <w:rPr>
          <w:rFonts w:ascii="Calibri" w:hAnsi="Calibri" w:cs="Calibri"/>
        </w:rPr>
        <w:t xml:space="preserve">Studies </w:t>
      </w:r>
      <w:r w:rsidR="00E140AC" w:rsidRPr="00DC55B0">
        <w:rPr>
          <w:rFonts w:ascii="Calibri" w:hAnsi="Calibri" w:cs="Calibri"/>
        </w:rPr>
        <w:t>examining</w:t>
      </w:r>
      <w:r w:rsidR="00086A4F" w:rsidRPr="00DC55B0">
        <w:rPr>
          <w:rFonts w:ascii="Calibri" w:hAnsi="Calibri" w:cs="Calibri"/>
        </w:rPr>
        <w:t xml:space="preserve"> </w:t>
      </w:r>
      <w:r w:rsidR="004C63B2" w:rsidRPr="00DC55B0">
        <w:rPr>
          <w:rFonts w:ascii="Calibri" w:hAnsi="Calibri" w:cs="Calibri"/>
        </w:rPr>
        <w:t>the effectiveness</w:t>
      </w:r>
      <w:r w:rsidR="006F017F" w:rsidRPr="00DC55B0">
        <w:rPr>
          <w:rFonts w:ascii="Calibri" w:hAnsi="Calibri" w:cs="Calibri"/>
        </w:rPr>
        <w:t xml:space="preserve"> </w:t>
      </w:r>
      <w:r w:rsidR="004C63B2" w:rsidRPr="00DC55B0">
        <w:rPr>
          <w:rFonts w:ascii="Calibri" w:hAnsi="Calibri" w:cs="Calibri"/>
        </w:rPr>
        <w:t xml:space="preserve">of vaccination in pregnancy </w:t>
      </w:r>
      <w:r w:rsidR="006F017F" w:rsidRPr="00DC55B0">
        <w:rPr>
          <w:rFonts w:ascii="Calibri" w:hAnsi="Calibri" w:cs="Calibri"/>
        </w:rPr>
        <w:t>against disease</w:t>
      </w:r>
      <w:r w:rsidR="00A73A7C" w:rsidRPr="00DC55B0">
        <w:rPr>
          <w:rFonts w:ascii="Calibri" w:hAnsi="Calibri" w:cs="Calibri"/>
        </w:rPr>
        <w:t xml:space="preserve"> </w:t>
      </w:r>
      <w:r w:rsidR="00790B99" w:rsidRPr="00DC55B0">
        <w:rPr>
          <w:rFonts w:ascii="Calibri" w:hAnsi="Calibri" w:cs="Calibri"/>
        </w:rPr>
        <w:t xml:space="preserve">in infants </w:t>
      </w:r>
      <w:r w:rsidR="00A73A7C" w:rsidRPr="00DC55B0">
        <w:rPr>
          <w:rFonts w:ascii="Calibri" w:hAnsi="Calibri" w:cs="Calibri"/>
        </w:rPr>
        <w:t xml:space="preserve">have largely found that vaccination </w:t>
      </w:r>
      <w:r w:rsidR="006733A0" w:rsidRPr="00DC55B0">
        <w:rPr>
          <w:rFonts w:ascii="Calibri" w:hAnsi="Calibri" w:cs="Calibri"/>
        </w:rPr>
        <w:t>later in pregnancy is more protective</w:t>
      </w:r>
      <w:r w:rsidR="00C04EFE" w:rsidRPr="00DC55B0">
        <w:rPr>
          <w:rFonts w:ascii="Calibri" w:hAnsi="Calibri" w:cs="Calibri"/>
        </w:rPr>
        <w:t>,</w:t>
      </w:r>
      <w:r w:rsidR="0025022D" w:rsidRPr="00DC55B0">
        <w:rPr>
          <w:rFonts w:ascii="Calibri" w:hAnsi="Calibri" w:cs="Calibri"/>
        </w:rPr>
        <w:fldChar w:fldCharType="begin"/>
      </w:r>
      <w:r w:rsidR="003F3CD5" w:rsidRPr="00DC55B0">
        <w:rPr>
          <w:rFonts w:ascii="Calibri" w:hAnsi="Calibri" w:cs="Calibri"/>
        </w:rPr>
        <w:instrText xml:space="preserve"> ADDIN ZOTERO_ITEM CSL_CITATION {"citationID":"y4vsOWDA","properties":{"formattedCitation":"\\super 41\\uc0\\u8211{}44\\nosupersub{}","plainCitation":"41–44","noteIndex":0},"citationItems":[{"id":105,"uris":["http://zotero.org/users/14445769/items/37JLWX7U"],"itemData":{"id":105,"type":"article-journal","container-title":"Clinical Infectious Diseases","DOI":"10.1093/cid/ciw634","ISSN":"1058-4838, 1537-6591","issue":"1","journalAbbreviation":"Clin Infect Dis.","language":"en","page":"3-8","source":"DOI.org (Crossref)","title":"Effectiveness of Prenatal Versus Postpartum Tetanus, Diphtheria, and Acellular Pertussis Vaccination in Preventing Infant Pertussis","volume":"64","author":[{"family":"Winter","given":"Kathleen"},{"family":"Nickell","given":"Steve"},{"family":"Powell","given":"Michael"},{"family":"Harriman","given":"Kathleen"}],"issued":{"date-parts":[["2017",1,1]]}}},{"id":55,"uris":["http://zotero.org/users/14445769/items/IBCHJXSG"],"itemData":{"id":55,"type":"article-journal","container-title":"New England Journal of Medicine","DOI":"10.1056/NEJMoa2204399","ISSN":"0028-4793, 1533-4406","issue":"2","journalAbbreviation":"N Engl J Med","language":"en","license":"http://www.nejmgroup.org/legal/terms-of-use.htm","page":"109-119","source":"DOI.org (Crossref)","title":"Maternal Vaccination and Risk of Hospitalization for Covid-19 among Infants","volume":"387","author":[{"family":"Halasa","given":"Natasha B."},{"family":"Olson","given":"Samantha M."},{"family":"Staat","given":"Mary A."},{"family":"Newhams","given":"Margaret M."},{"family":"Price","given":"Ashley M."},{"family":"Pannaraj","given":"Pia S."},{"family":"Boom","given":"Julie A."},{"family":"Sahni","given":"Leila C."},{"family":"Chiotos","given":"Kathleen"},{"family":"Cameron","given":"Melissa A."},{"family":"Bline","given":"Katherine E."},{"family":"Hobbs","given":"Charlotte V."},{"family":"Maddux","given":"Aline B."},{"family":"Coates","given":"Bria M."},{"family":"Michelson","given":"Kelly N."},{"family":"Heidemann","given":"Sabrina M."},{"family":"Irby","given":"Katherine"},{"family":"Nofziger","given":"Ryan A."},{"family":"Mack","given":"Elizabeth H."},{"family":"Smallcomb","given":"Laura"},{"family":"Schwartz","given":"Stephanie P."},{"family":"Walker","given":"Tracie C."},{"family":"Gertz","given":"Shira J."},{"family":"Schuster","given":"Jennifer E."},{"family":"Kamidani","given":"Satoshi"},{"family":"Tarquinio","given":"Keiko M."},{"family":"Bhumbra","given":"Samina S."},{"family":"Maamari","given":"Mia"},{"family":"Hume","given":"Janet R."},{"family":"Crandall","given":"Hillary"},{"family":"Levy","given":"Emily R."},{"family":"Zinter","given":"Matt S."},{"family":"Bradford","given":"Tamara T."},{"family":"Flori","given":"Heidi R."},{"family":"Cullimore","given":"Melissa L."},{"family":"Kong","given":"Michele"},{"family":"Cvijanovich","given":"Natalie Z."},{"family":"Gilboa","given":"Suzanne M."},{"family":"Polen","given":"Kara N."},{"family":"Campbell","given":"Angela P."},{"family":"Randolph","given":"Adrienne G."},{"family":"Patel","given":"Manish M."}],"issued":{"date-parts":[["2022",7,14]]}}},{"id":53,"uris":["http://zotero.org/users/14445769/items/II2TQIKN"],"itemData":{"id":53,"type":"article-journal","abstract":"Objective To estimate the effectiveness of maternal mRNA covid-19 vaccination during pregnancy against delta and omicron severe acute respiratory syndrome coronavirus-2 (SARS-CoV-2) infection and hospital admission in infants.\nDesign Test negative design study.\nSetting Community and hospital testing in Ontario, Canada.\nParticipants Infants younger than six months of age, born between 7 May 2021 and 31 March 2022, who were tested for SARS-CoV-2 between 7 May 2021 and 5 September 2022.\nIntervention Maternal mRNA covid-19 vaccination during pregnancy.\nMain outcome measures Laboratory confirmed delta or omicron infection or hospital admission of the infant. Multivariable logistic regression estimated vaccine effectiveness, with adjustments for clinical and sociodemographic characteristics associated with vaccination and infection.\nResults 8809 infants met eligibility criteria, including 99 delta cases (4365 controls) and 1501 omicron cases (4847 controls). Infant vaccine effectiveness from two maternal doses was 95% (95% confidence interval 88% to 98%) against delta infection and 97% (73% to 100%) against infant hospital admission due to delta and 45% (37% to 53%) against omicron infection and 53% (39% to 64%) against hospital admission due to omicron. Vaccine effectiveness for three doses was 73% (61% to 80%) against omicron infection and 80% (64% to 89%) against hospital admission due to omicron. Vaccine effectiveness for two doses against infant omicron infection was highest with the second dose in the third trimester (53% (42% to 62%)) compared with the first (47% (31% to 59%)) or second (37% (24% to 47%)) trimesters. Vaccine effectiveness for two doses against infant omicron infection decreased from 57% (44% to 66%) between birth and eight weeks to 40% (21% to 54%) after 16 weeks of age.\nConclusions Maternal covid-19 vaccination with a second dose during pregnancy was highly effective against delta and moderately effective against omicron infection and hospital admission in infants during the first six months of life. A third vaccine dose bolstered protection against omicron. Effectiveness for two doses was highest with maternal vaccination in the third trimester, and effectiveness decreased in infants beyond eight weeks of age.","container-title":"BMJ","DOI":"10.1136/bmj-2022-074035","ISSN":"1756-1833","journalAbbreviation":"BMJ","language":"en","license":"© Author(s) (or their employer(s)) 2019. Re-use permitted under CC BY-NC. No commercial re-use. See rights and permissions. Published by BMJ.. http://creativecommons.org/licenses/by-nc/4.0/This is an Open Access article distributed in accordance with the Creative Commons Attribution Non Commercial (CC BY-NC 4.0) license, which permits others to distribute, remix, adapt, build upon this work non-commercially, and license their derivative works on different terms, provided the original work is properly cited and the use is non-commercial. See: http://creativecommons.org/licenses/by-nc/4.0/.","note":"PMID: 36754426","page":"e074035","source":"www.bmj.com","title":"Maternal mRNA covid-19 vaccination during pregnancy and delta or omicron infection or hospital admission in infants: test negative design study","title-short":"Maternal mRNA covid-19 vaccination during pregnancy and delta or omicron infection or hospital admission in infants","volume":"380","author":[{"family":"Jorgensen","given":"Sarah C. J."},{"family":"Hernandez","given":"Alejandro"},{"family":"Fell","given":"Deshayne B."},{"family":"Austin","given":"Peter C."},{"family":"D’Souza","given":"Rohan"},{"family":"Guttmann","given":"Astrid"},{"family":"Brown","given":"Kevin A."},{"family":"Buchan","given":"Sarah A."},{"family":"Gubbay","given":"Jonathan B."},{"family":"Nasreen","given":"Sharifa"},{"family":"Schwartz","given":"Kevin L."},{"family":"Tadrous","given":"Mina"},{"family":"Wilson","given":"Kumanan"},{"family":"Kwong","given":"Jeffrey C."}],"issued":{"date-parts":[["2023",2,8]]}}},{"id":52,"uris":["http://zotero.org/users/14445769/items/G77B2DUU"],"itemData":{"id":52,"type":"article-journal","abstract":"We examined the effectiveness of maternal vaccination against SARS-CoV-2 infection in 30,311 infants born at Kaiser Permanente Northern California from December 15, 2020, to May 31, 2022. Using Cox regression, the effectiveness of ≥2 doses of COVID-19 vaccine received during pregnancy was 84% (95% confidence interval [CI]: 66, 93), 62% (CI: 39, 77) and 56% (CI: 34,71) during months 0–2, 0–4 and 0- 6 of a child’s life, respectively, in the Delta variant period. In the Omicron variant period, the effectiveness of maternal vaccination in these three age intervals was 21% (CI: −21,48), 14% (CI: −9,32) and 13% (CI: −3,26), respectively. Over the entire study period, the incidence of hospitalization for COVID-19 was lower during the first 6 months of life among infants of vaccinated mothers compared with infants of unvaccinated mothers (21/100,000 person-years vs. 100/100,000 person-years). Maternal vaccination was protective, but protection was lower during Omicron than during Delta. Protection during both periods decreased as infants aged.","container-title":"Nature Communications","DOI":"10.1038/s41467-023-36547-4","ISSN":"2041-1723","issue":"1","journalAbbreviation":"Nat Commun","language":"en","license":"2023 The Author(s)","page":"894","source":"www.nature.com","title":"Maternal SARS-CoV-2 vaccination and infant protection against SARS-CoV-2 during the first six months of life","volume":"14","author":[{"family":"Zerbo","given":"Ousseny"},{"family":"Ray","given":"G. Thomas"},{"family":"Fireman","given":"Bruce"},{"family":"Layefsky","given":"Evan"},{"family":"Goddard","given":"Kristin"},{"family":"Lewis","given":"Edwin"},{"family":"Ross","given":"Pat"},{"family":"Omer","given":"Saad"},{"family":"Greenberg","given":"Mara"},{"family":"Klein","given":"Nicola P."}],"issued":{"date-parts":[["2023",2,28]]}}}],"schema":"https://github.com/citation-style-language/schema/raw/master/csl-citation.json"} </w:instrText>
      </w:r>
      <w:r w:rsidR="0025022D" w:rsidRPr="00DC55B0">
        <w:rPr>
          <w:rFonts w:ascii="Calibri" w:hAnsi="Calibri" w:cs="Calibri"/>
        </w:rPr>
        <w:fldChar w:fldCharType="separate"/>
      </w:r>
      <w:r w:rsidR="003F3CD5" w:rsidRPr="00DC55B0">
        <w:rPr>
          <w:rFonts w:ascii="Calibri" w:hAnsi="Calibri" w:cs="Calibri"/>
          <w:kern w:val="0"/>
          <w:vertAlign w:val="superscript"/>
        </w:rPr>
        <w:t>41–44</w:t>
      </w:r>
      <w:r w:rsidR="0025022D" w:rsidRPr="00DC55B0">
        <w:rPr>
          <w:rFonts w:ascii="Calibri" w:hAnsi="Calibri" w:cs="Calibri"/>
        </w:rPr>
        <w:fldChar w:fldCharType="end"/>
      </w:r>
      <w:r w:rsidR="007815F4" w:rsidRPr="00DC55B0">
        <w:rPr>
          <w:rFonts w:ascii="Calibri" w:hAnsi="Calibri" w:cs="Calibri"/>
        </w:rPr>
        <w:t xml:space="preserve"> </w:t>
      </w:r>
      <w:r w:rsidR="00C5005B" w:rsidRPr="00DC55B0">
        <w:rPr>
          <w:rFonts w:ascii="Calibri" w:hAnsi="Calibri" w:cs="Calibri"/>
        </w:rPr>
        <w:t xml:space="preserve">but where </w:t>
      </w:r>
      <w:r w:rsidR="00A07E53" w:rsidRPr="00DC55B0">
        <w:rPr>
          <w:rFonts w:ascii="Calibri" w:hAnsi="Calibri" w:cs="Calibri"/>
        </w:rPr>
        <w:t xml:space="preserve">protection against </w:t>
      </w:r>
      <w:r w:rsidR="00875F63" w:rsidRPr="00DC55B0">
        <w:rPr>
          <w:rFonts w:ascii="Calibri" w:hAnsi="Calibri" w:cs="Calibri"/>
        </w:rPr>
        <w:t>severe</w:t>
      </w:r>
      <w:r w:rsidR="00A07E53" w:rsidRPr="00DC55B0">
        <w:rPr>
          <w:rFonts w:ascii="Calibri" w:hAnsi="Calibri" w:cs="Calibri"/>
        </w:rPr>
        <w:t xml:space="preserve"> disease in pregnancy is the primary goal</w:t>
      </w:r>
      <w:r w:rsidR="00C04EFE" w:rsidRPr="00DC55B0">
        <w:rPr>
          <w:rFonts w:ascii="Calibri" w:hAnsi="Calibri" w:cs="Calibri"/>
        </w:rPr>
        <w:t xml:space="preserve">, vaccination </w:t>
      </w:r>
      <w:r w:rsidR="00A55728" w:rsidRPr="00DC55B0">
        <w:rPr>
          <w:rFonts w:ascii="Calibri" w:hAnsi="Calibri" w:cs="Calibri"/>
        </w:rPr>
        <w:t xml:space="preserve">may be offered earlier in pregnancy, at the expense of subsequent infant protection. Factors affecting the timing of vaccination in pregnancy are summarised in </w:t>
      </w:r>
      <w:r w:rsidR="00A55728" w:rsidRPr="00DC55B0">
        <w:rPr>
          <w:rFonts w:ascii="Calibri" w:hAnsi="Calibri" w:cs="Calibri"/>
          <w:b/>
          <w:bCs/>
        </w:rPr>
        <w:t>Box 1</w:t>
      </w:r>
      <w:r w:rsidR="00A55728" w:rsidRPr="00DC55B0">
        <w:rPr>
          <w:rFonts w:ascii="Calibri" w:hAnsi="Calibri" w:cs="Calibri"/>
        </w:rPr>
        <w:t>.</w:t>
      </w:r>
    </w:p>
    <w:p w14:paraId="63DC33B4" w14:textId="77777777" w:rsidR="005832B6" w:rsidRPr="00DC55B0" w:rsidRDefault="005832B6" w:rsidP="001F3ACA">
      <w:pPr>
        <w:rPr>
          <w:rFonts w:ascii="Calibri" w:hAnsi="Calibri" w:cs="Calibri"/>
        </w:rPr>
      </w:pPr>
    </w:p>
    <w:p w14:paraId="3A259A34" w14:textId="23C19DAD" w:rsidR="000A35FA" w:rsidRPr="00DC55B0" w:rsidRDefault="00614FBF" w:rsidP="001F3ACA">
      <w:pPr>
        <w:rPr>
          <w:rFonts w:ascii="Calibri" w:hAnsi="Calibri" w:cs="Calibri"/>
        </w:rPr>
      </w:pPr>
      <w:r w:rsidRPr="00DC55B0">
        <w:rPr>
          <w:rFonts w:ascii="Calibri" w:hAnsi="Calibri" w:cs="Calibri"/>
        </w:rPr>
        <w:t>Estimates of the</w:t>
      </w:r>
      <w:r w:rsidR="00E70335" w:rsidRPr="00DC55B0">
        <w:rPr>
          <w:rFonts w:ascii="Calibri" w:hAnsi="Calibri" w:cs="Calibri"/>
        </w:rPr>
        <w:t xml:space="preserve"> half-life of </w:t>
      </w:r>
      <w:r w:rsidR="00841945" w:rsidRPr="00DC55B0">
        <w:rPr>
          <w:rFonts w:ascii="Calibri" w:hAnsi="Calibri" w:cs="Calibri"/>
        </w:rPr>
        <w:t>transferred</w:t>
      </w:r>
      <w:r w:rsidR="00E70335" w:rsidRPr="00DC55B0">
        <w:rPr>
          <w:rFonts w:ascii="Calibri" w:hAnsi="Calibri" w:cs="Calibri"/>
        </w:rPr>
        <w:t xml:space="preserve"> IgG in the infant </w:t>
      </w:r>
      <w:r w:rsidRPr="00DC55B0">
        <w:rPr>
          <w:rFonts w:ascii="Calibri" w:hAnsi="Calibri" w:cs="Calibri"/>
        </w:rPr>
        <w:t>range from 28.7</w:t>
      </w:r>
      <w:r w:rsidR="00466BB3" w:rsidRPr="00DC55B0">
        <w:rPr>
          <w:rFonts w:ascii="Calibri" w:hAnsi="Calibri" w:cs="Calibri"/>
        </w:rPr>
        <w:fldChar w:fldCharType="begin"/>
      </w:r>
      <w:r w:rsidR="003F3CD5" w:rsidRPr="00DC55B0">
        <w:rPr>
          <w:rFonts w:ascii="Calibri" w:hAnsi="Calibri" w:cs="Calibri"/>
        </w:rPr>
        <w:instrText xml:space="preserve"> ADDIN ZOTERO_ITEM CSL_CITATION {"citationID":"XbHE7UDv","properties":{"formattedCitation":"\\super 45\\nosupersub{}","plainCitation":"45","noteIndex":0},"citationItems":[{"id":328,"uris":["http://zotero.org/users/14445769/items/67KEKWUH"],"itemData":{"id":328,"type":"article-journal","abstract":"Aim\nThere are few reliable estimates of the half-lives of maternal antibodies to the antigens found in the primary series vaccines. We aimed to calculate the half-lives of passively acquired diphtheria, tetanus and pertussis (DTP) antibodies in infants. We aimed to determine whether decay rates varied according to country, maternal age, gestational age, birthweight, World Bank income classifications, or vaccine received by the mother during pregnancy.\nMethods\nDe-identified data from infants born to women taking part in 10 studies, in 9 countries (UK, Belgium, Thailand, Vietnam, Canada, Pakistan, USA, Guatemala and the Netherlands) were combined in an individual participant data meta-analysis. Blood samples were taken at two timepoints before any DTP-containing vaccines were received by the infant: at birth and at 2-months of age. Decay rates for each antigen were log2-transformed and a mixed effects model was applied. Half-lives were calculated by taking the reciprocal of the absolute value of the mean decay rates.\nResults\nData from 1426 mother-infant pairs were included in the analysis. The half-lives of the 6 antigen-specific maternal antibodies of interest were similar, with point estimates ranging from 28.7 (95% CI: 24.4 – 35) days for tetanus toxoid antibodies to 35.1 (95% CI: 30.7 – 41.1) days for pertactin antibodies. The decay of maternal antibodies did not significantly differ by maternal age, gestational age, birthweight, maternal vaccination status or type of vaccine administered.\nConclusion\nMaternal antibodies decay at different rates for the different antigens; however, the magnitude of the difference is small. Decay rates are not modified by key demographic or vaccine characteristics.","container-title":"Vaccine","DOI":"10.1016/j.vaccine.2021.12.007","ISSN":"0264-410X","issue":"3","journalAbbreviation":"Vaccine","page":"450-458","source":"ScienceDirect","title":"The half-life of maternal transplacental antibodies against diphtheria, tetanus, and pertussis in infants: an individual participant data meta-analysis","title-short":"The half-life of maternal transplacental antibodies against diphtheria, tetanus, and pertussis in infants","volume":"40","author":[{"family":"Oguti","given":"Blanché"},{"family":"Ali","given":"Asad"},{"family":"Andrews","given":"Nick"},{"family":"Barug","given":"Daan"},{"family":"Anh Dang","given":"Duc"},{"family":"Halperin","given":"Scott A"},{"family":"Thu Hoang","given":"Ha Thi"},{"family":"Holder","given":"Beth"},{"family":"Kampmann","given":"Beate"},{"family":"Kazi","given":"Abdul M"},{"family":"Langley","given":"Joanne M."},{"family":"Leuridan","given":"Elke"},{"family":"Madavan","given":"Naomi"},{"family":"Maertens","given":"Kirsten"},{"family":"Maldonado","given":"Herberth"},{"family":"Miller","given":"Elizabeth"},{"family":"Munoz-Rivas","given":"Flor M"},{"family":"Omer","given":"Saad B."},{"family":"Pollard","given":"Andrew J."},{"family":"Rice","given":"Thomas F."},{"family":"Rots","given":"Nynke"},{"family":"Sundaram","given":"Maria E."},{"family":"Wanlapakorn","given":"Nasamon"},{"family":"Voysey","given":"Merryn"}],"issued":{"date-parts":[["2022",1,24]]}}}],"schema":"https://github.com/citation-style-language/schema/raw/master/csl-citation.json"} </w:instrText>
      </w:r>
      <w:r w:rsidR="00466BB3" w:rsidRPr="00DC55B0">
        <w:rPr>
          <w:rFonts w:ascii="Calibri" w:hAnsi="Calibri" w:cs="Calibri"/>
        </w:rPr>
        <w:fldChar w:fldCharType="separate"/>
      </w:r>
      <w:r w:rsidR="003F3CD5" w:rsidRPr="00DC55B0">
        <w:rPr>
          <w:rFonts w:ascii="Calibri" w:hAnsi="Calibri" w:cs="Calibri"/>
          <w:kern w:val="0"/>
          <w:vertAlign w:val="superscript"/>
        </w:rPr>
        <w:t>45</w:t>
      </w:r>
      <w:r w:rsidR="00466BB3" w:rsidRPr="00DC55B0">
        <w:rPr>
          <w:rFonts w:ascii="Calibri" w:hAnsi="Calibri" w:cs="Calibri"/>
        </w:rPr>
        <w:fldChar w:fldCharType="end"/>
      </w:r>
      <w:r w:rsidR="00E70335" w:rsidRPr="00DC55B0">
        <w:rPr>
          <w:rFonts w:ascii="Calibri" w:hAnsi="Calibri" w:cs="Calibri"/>
        </w:rPr>
        <w:t xml:space="preserve"> </w:t>
      </w:r>
      <w:r w:rsidRPr="00DC55B0">
        <w:rPr>
          <w:rFonts w:ascii="Calibri" w:hAnsi="Calibri" w:cs="Calibri"/>
        </w:rPr>
        <w:t xml:space="preserve">to </w:t>
      </w:r>
      <w:r w:rsidR="00B02044" w:rsidRPr="00DC55B0">
        <w:rPr>
          <w:rFonts w:ascii="Calibri" w:hAnsi="Calibri" w:cs="Calibri"/>
        </w:rPr>
        <w:t>48.4</w:t>
      </w:r>
      <w:r w:rsidR="003C15C2" w:rsidRPr="00DC55B0">
        <w:rPr>
          <w:rFonts w:ascii="Calibri" w:hAnsi="Calibri" w:cs="Calibri"/>
        </w:rPr>
        <w:t xml:space="preserve"> days</w:t>
      </w:r>
      <w:r w:rsidRPr="00DC55B0">
        <w:rPr>
          <w:rFonts w:ascii="Calibri" w:hAnsi="Calibri" w:cs="Calibri"/>
        </w:rPr>
        <w:t>,</w:t>
      </w:r>
      <w:r w:rsidRPr="00DC55B0">
        <w:rPr>
          <w:rFonts w:ascii="Calibri" w:hAnsi="Calibri" w:cs="Calibri"/>
        </w:rPr>
        <w:fldChar w:fldCharType="begin"/>
      </w:r>
      <w:r w:rsidR="003F3CD5" w:rsidRPr="00DC55B0">
        <w:rPr>
          <w:rFonts w:ascii="Calibri" w:hAnsi="Calibri" w:cs="Calibri"/>
        </w:rPr>
        <w:instrText xml:space="preserve"> ADDIN ZOTERO_ITEM CSL_CITATION {"citationID":"DoqhoeRT","properties":{"formattedCitation":"\\super 46\\nosupersub{}","plainCitation":"46","noteIndex":0},"citationItems":[{"id":92,"uris":["http://zotero.org/users/14445769/items/XCGRVGEK"],"itemData":{"id":92,"type":"article-journal","abstract":"The residence time of maternal IgG1 in the circulation of infants was measured by monitoring f-allotypic IgG1 or f-positive tetanus toxoid antibody in genetically G1mf-negative infants. G1ma-positive maternal tetanus toxoid antibody was similarly monitored in genetically a-negative infants. Blood samples were taken from infants at the age of 1-3 days, ca. 4 months, and ca. 6 months. An exponential decay at the same rate took place from age 1-3 days to 4 months and for the 2 subsequent months. The average concentration of the maternal IgG1 had dropped to ca. 10% of the 1- to 3-day value in 4 months and to ca. 3% in 6 months. The drop was due mainly to clearance but partly also to the weight increase of the child (doubling in 6 months). By correcting for the weight increase, we calculated that ca. 17 and 7% of the original maternal IgG1 was still present at ages 4 and 6 months, respectively. The average half-life of the maternal IgG1 was thus 48.4 days. The concentration of endogenous IgG1 in the cord blood was determined by studying a separate series of mother-newborn pairs. Assuming that cross-reactions of antiallotype reagents had no effect, the highest measured concentration of f-positive IgG1 in infants of f-negative mothers was 10 mg/L, half a percent of adult heterozygote values. Crossreaction may have played a role, however, and the value must be considered the upper limit of the true concentration.","container-title":"Journal of Clinical Immunology","DOI":"10.1007/BF00919271","ISSN":"0271-9142","issue":"2","journalAbbreviation":"J Clin Immunol","language":"eng","note":"PMID: 8320311","page":"145-151","source":"PubMed","title":"Half-life of the maternal IgG1 allotype in infants","volume":"13","author":[{"family":"Sarvas","given":"H."},{"family":"Seppälä","given":"I."},{"family":"Kurikka","given":"S."},{"family":"Siegberg","given":"R."},{"family":"Mäkelä","given":"O."}],"issued":{"date-parts":[["1993",3]]}}}],"schema":"https://github.com/citation-style-language/schema/raw/master/csl-citation.json"} </w:instrText>
      </w:r>
      <w:r w:rsidRPr="00DC55B0">
        <w:rPr>
          <w:rFonts w:ascii="Calibri" w:hAnsi="Calibri" w:cs="Calibri"/>
        </w:rPr>
        <w:fldChar w:fldCharType="separate"/>
      </w:r>
      <w:r w:rsidR="003F3CD5" w:rsidRPr="00DC55B0">
        <w:rPr>
          <w:rFonts w:ascii="Calibri" w:hAnsi="Calibri" w:cs="Calibri"/>
          <w:kern w:val="0"/>
          <w:vertAlign w:val="superscript"/>
        </w:rPr>
        <w:t>46</w:t>
      </w:r>
      <w:r w:rsidRPr="00DC55B0">
        <w:rPr>
          <w:rFonts w:ascii="Calibri" w:hAnsi="Calibri" w:cs="Calibri"/>
        </w:rPr>
        <w:fldChar w:fldCharType="end"/>
      </w:r>
      <w:r w:rsidRPr="00DC55B0">
        <w:rPr>
          <w:rFonts w:ascii="Calibri" w:hAnsi="Calibri" w:cs="Calibri"/>
        </w:rPr>
        <w:t xml:space="preserve"> depending on antigen specificity.</w:t>
      </w:r>
      <w:r w:rsidR="00B02044" w:rsidRPr="00DC55B0">
        <w:rPr>
          <w:rFonts w:ascii="Calibri" w:hAnsi="Calibri" w:cs="Calibri"/>
        </w:rPr>
        <w:t xml:space="preserve"> </w:t>
      </w:r>
      <w:r w:rsidRPr="00DC55B0">
        <w:rPr>
          <w:rFonts w:ascii="Calibri" w:hAnsi="Calibri" w:cs="Calibri"/>
        </w:rPr>
        <w:t xml:space="preserve">For IgG1 against tetanus toxoid, titres </w:t>
      </w:r>
      <w:r w:rsidR="00B02044" w:rsidRPr="00DC55B0">
        <w:rPr>
          <w:rFonts w:ascii="Calibri" w:hAnsi="Calibri" w:cs="Calibri"/>
        </w:rPr>
        <w:t xml:space="preserve">drop to 10% of </w:t>
      </w:r>
      <w:r w:rsidRPr="00DC55B0">
        <w:rPr>
          <w:rFonts w:ascii="Calibri" w:hAnsi="Calibri" w:cs="Calibri"/>
        </w:rPr>
        <w:t xml:space="preserve">those at </w:t>
      </w:r>
      <w:r w:rsidR="00B02044" w:rsidRPr="00DC55B0">
        <w:rPr>
          <w:rFonts w:ascii="Calibri" w:hAnsi="Calibri" w:cs="Calibri"/>
        </w:rPr>
        <w:t xml:space="preserve">birth titres </w:t>
      </w:r>
      <w:r w:rsidRPr="00DC55B0">
        <w:rPr>
          <w:rFonts w:ascii="Calibri" w:hAnsi="Calibri" w:cs="Calibri"/>
        </w:rPr>
        <w:t>by</w:t>
      </w:r>
      <w:r w:rsidR="00B02044" w:rsidRPr="00DC55B0">
        <w:rPr>
          <w:rFonts w:ascii="Calibri" w:hAnsi="Calibri" w:cs="Calibri"/>
        </w:rPr>
        <w:t xml:space="preserve"> </w:t>
      </w:r>
      <w:r w:rsidR="00B32343" w:rsidRPr="00DC55B0">
        <w:rPr>
          <w:rFonts w:ascii="Calibri" w:hAnsi="Calibri" w:cs="Calibri"/>
        </w:rPr>
        <w:t>four months and 3% at six months</w:t>
      </w:r>
      <w:r w:rsidR="008E6FEF" w:rsidRPr="00DC55B0">
        <w:rPr>
          <w:rFonts w:ascii="Calibri" w:hAnsi="Calibri" w:cs="Calibri"/>
        </w:rPr>
        <w:t>.</w:t>
      </w:r>
      <w:r w:rsidR="00466BB3" w:rsidRPr="00DC55B0">
        <w:rPr>
          <w:rFonts w:ascii="Calibri" w:hAnsi="Calibri" w:cs="Calibri"/>
        </w:rPr>
        <w:fldChar w:fldCharType="begin"/>
      </w:r>
      <w:r w:rsidR="003F3CD5" w:rsidRPr="00DC55B0">
        <w:rPr>
          <w:rFonts w:ascii="Calibri" w:hAnsi="Calibri" w:cs="Calibri"/>
        </w:rPr>
        <w:instrText xml:space="preserve"> ADDIN ZOTERO_ITEM CSL_CITATION {"citationID":"NnmkU6IF","properties":{"formattedCitation":"\\super 46\\nosupersub{}","plainCitation":"46","noteIndex":0},"citationItems":[{"id":92,"uris":["http://zotero.org/users/14445769/items/XCGRVGEK"],"itemData":{"id":92,"type":"article-journal","abstract":"The residence time of maternal IgG1 in the circulation of infants was measured by monitoring f-allotypic IgG1 or f-positive tetanus toxoid antibody in genetically G1mf-negative infants. G1ma-positive maternal tetanus toxoid antibody was similarly monitored in genetically a-negative infants. Blood samples were taken from infants at the age of 1-3 days, ca. 4 months, and ca. 6 months. An exponential decay at the same rate took place from age 1-3 days to 4 months and for the 2 subsequent months. The average concentration of the maternal IgG1 had dropped to ca. 10% of the 1- to 3-day value in 4 months and to ca. 3% in 6 months. The drop was due mainly to clearance but partly also to the weight increase of the child (doubling in 6 months). By correcting for the weight increase, we calculated that ca. 17 and 7% of the original maternal IgG1 was still present at ages 4 and 6 months, respectively. The average half-life of the maternal IgG1 was thus 48.4 days. The concentration of endogenous IgG1 in the cord blood was determined by studying a separate series of mother-newborn pairs. Assuming that cross-reactions of antiallotype reagents had no effect, the highest measured concentration of f-positive IgG1 in infants of f-negative mothers was 10 mg/L, half a percent of adult heterozygote values. Crossreaction may have played a role, however, and the value must be considered the upper limit of the true concentration.","container-title":"Journal of Clinical Immunology","DOI":"10.1007/BF00919271","ISSN":"0271-9142","issue":"2","journalAbbreviation":"J Clin Immunol","language":"eng","note":"PMID: 8320311","page":"145-151","source":"PubMed","title":"Half-life of the maternal IgG1 allotype in infants","volume":"13","author":[{"family":"Sarvas","given":"H."},{"family":"Seppälä","given":"I."},{"family":"Kurikka","given":"S."},{"family":"Siegberg","given":"R."},{"family":"Mäkelä","given":"O."}],"issued":{"date-parts":[["1993",3]]}}}],"schema":"https://github.com/citation-style-language/schema/raw/master/csl-citation.json"} </w:instrText>
      </w:r>
      <w:r w:rsidR="00466BB3" w:rsidRPr="00DC55B0">
        <w:rPr>
          <w:rFonts w:ascii="Calibri" w:hAnsi="Calibri" w:cs="Calibri"/>
        </w:rPr>
        <w:fldChar w:fldCharType="separate"/>
      </w:r>
      <w:r w:rsidR="003F3CD5" w:rsidRPr="00DC55B0">
        <w:rPr>
          <w:rFonts w:ascii="Calibri" w:hAnsi="Calibri" w:cs="Calibri"/>
          <w:kern w:val="0"/>
          <w:vertAlign w:val="superscript"/>
        </w:rPr>
        <w:t>46</w:t>
      </w:r>
      <w:r w:rsidR="00466BB3" w:rsidRPr="00DC55B0">
        <w:rPr>
          <w:rFonts w:ascii="Calibri" w:hAnsi="Calibri" w:cs="Calibri"/>
        </w:rPr>
        <w:fldChar w:fldCharType="end"/>
      </w:r>
      <w:r w:rsidR="00466BB3" w:rsidRPr="00DC55B0">
        <w:rPr>
          <w:rFonts w:ascii="Calibri" w:hAnsi="Calibri" w:cs="Calibri"/>
        </w:rPr>
        <w:t xml:space="preserve"> </w:t>
      </w:r>
      <w:r w:rsidR="00B32343" w:rsidRPr="00DC55B0">
        <w:rPr>
          <w:rFonts w:ascii="Calibri" w:hAnsi="Calibri" w:cs="Calibri"/>
        </w:rPr>
        <w:t>F</w:t>
      </w:r>
      <w:r w:rsidR="00B8775C" w:rsidRPr="00DC55B0">
        <w:rPr>
          <w:rFonts w:ascii="Calibri" w:hAnsi="Calibri" w:cs="Calibri"/>
        </w:rPr>
        <w:t xml:space="preserve">or this reason, </w:t>
      </w:r>
      <w:r w:rsidR="001935B3" w:rsidRPr="00DC55B0">
        <w:rPr>
          <w:rFonts w:ascii="Calibri" w:hAnsi="Calibri" w:cs="Calibri"/>
        </w:rPr>
        <w:t>maternally</w:t>
      </w:r>
      <w:r w:rsidR="007771F3" w:rsidRPr="00DC55B0">
        <w:rPr>
          <w:rFonts w:ascii="Calibri" w:hAnsi="Calibri" w:cs="Calibri"/>
        </w:rPr>
        <w:t xml:space="preserve"> </w:t>
      </w:r>
      <w:r w:rsidR="001935B3" w:rsidRPr="00DC55B0">
        <w:rPr>
          <w:rFonts w:ascii="Calibri" w:hAnsi="Calibri" w:cs="Calibri"/>
        </w:rPr>
        <w:t xml:space="preserve">derived </w:t>
      </w:r>
      <w:r w:rsidR="00A41992" w:rsidRPr="00DC55B0">
        <w:rPr>
          <w:rFonts w:ascii="Calibri" w:hAnsi="Calibri" w:cs="Calibri"/>
        </w:rPr>
        <w:t>protection against disease gradually declines over the first six months of life</w:t>
      </w:r>
      <w:r w:rsidR="008E6FEF" w:rsidRPr="00DC55B0">
        <w:rPr>
          <w:rFonts w:ascii="Calibri" w:hAnsi="Calibri" w:cs="Calibri"/>
        </w:rPr>
        <w:t>.</w:t>
      </w:r>
      <w:r w:rsidR="008E6FEF" w:rsidRPr="00DC55B0">
        <w:rPr>
          <w:rFonts w:ascii="Calibri" w:hAnsi="Calibri" w:cs="Calibri"/>
        </w:rPr>
        <w:fldChar w:fldCharType="begin"/>
      </w:r>
      <w:r w:rsidR="003F3CD5" w:rsidRPr="00DC55B0">
        <w:rPr>
          <w:rFonts w:ascii="Calibri" w:hAnsi="Calibri" w:cs="Calibri"/>
        </w:rPr>
        <w:instrText xml:space="preserve"> ADDIN ZOTERO_ITEM CSL_CITATION {"citationID":"rAigs7Ma","properties":{"formattedCitation":"\\super 9,43,44,47\\nosupersub{}","plainCitation":"9,43,44,47","noteIndex":0},"citationItems":[{"id":53,"uris":["http://zotero.org/users/14445769/items/II2TQIKN"],"itemData":{"id":53,"type":"article-journal","abstract":"Objective To estimate the effectiveness of maternal mRNA covid-19 vaccination during pregnancy against delta and omicron severe acute respiratory syndrome coronavirus-2 (SARS-CoV-2) infection and hospital admission in infants.\nDesign Test negative design study.\nSetting Community and hospital testing in Ontario, Canada.\nParticipants Infants younger than six months of age, born between 7 May 2021 and 31 March 2022, who were tested for SARS-CoV-2 between 7 May 2021 and 5 September 2022.\nIntervention Maternal mRNA covid-19 vaccination during pregnancy.\nMain outcome measures Laboratory confirmed delta or omicron infection or hospital admission of the infant. Multivariable logistic regression estimated vaccine effectiveness, with adjustments for clinical and sociodemographic characteristics associated with vaccination and infection.\nResults 8809 infants met eligibility criteria, including 99 delta cases (4365 controls) and 1501 omicron cases (4847 controls). Infant vaccine effectiveness from two maternal doses was 95% (95% confidence interval 88% to 98%) against delta infection and 97% (73% to 100%) against infant hospital admission due to delta and 45% (37% to 53%) against omicron infection and 53% (39% to 64%) against hospital admission due to omicron. Vaccine effectiveness for three doses was 73% (61% to 80%) against omicron infection and 80% (64% to 89%) against hospital admission due to omicron. Vaccine effectiveness for two doses against infant omicron infection was highest with the second dose in the third trimester (53% (42% to 62%)) compared with the first (47% (31% to 59%)) or second (37% (24% to 47%)) trimesters. Vaccine effectiveness for two doses against infant omicron infection decreased from 57% (44% to 66%) between birth and eight weeks to 40% (21% to 54%) after 16 weeks of age.\nConclusions Maternal covid-19 vaccination with a second dose during pregnancy was highly effective against delta and moderately effective against omicron infection and hospital admission in infants during the first six months of life. A third vaccine dose bolstered protection against omicron. Effectiveness for two doses was highest with maternal vaccination in the third trimester, and effectiveness decreased in infants beyond eight weeks of age.","container-title":"BMJ","DOI":"10.1136/bmj-2022-074035","ISSN":"1756-1833","journalAbbreviation":"BMJ","language":"en","license":"© Author(s) (or their employer(s)) 2019. Re-use permitted under CC BY-NC. No commercial re-use. See rights and permissions. Published by BMJ.. http://creativecommons.org/licenses/by-nc/4.0/This is an Open Access article distributed in accordance with the Creative Commons Attribution Non Commercial (CC BY-NC 4.0) license, which permits others to distribute, remix, adapt, build upon this work non-commercially, and license their derivative works on different terms, provided the original work is properly cited and the use is non-commercial. See: http://creativecommons.org/licenses/by-nc/4.0/.","note":"PMID: 36754426","page":"e074035","source":"www.bmj.com","title":"Maternal mRNA covid-19 vaccination during pregnancy and delta or omicron infection or hospital admission in infants: test negative design study","title-short":"Maternal mRNA covid-19 vaccination during pregnancy and delta or omicron infection or hospital admission in infants","volume":"380","author":[{"family":"Jorgensen","given":"Sarah C. J."},{"family":"Hernandez","given":"Alejandro"},{"family":"Fell","given":"Deshayne B."},{"family":"Austin","given":"Peter C."},{"family":"D’Souza","given":"Rohan"},{"family":"Guttmann","given":"Astrid"},{"family":"Brown","given":"Kevin A."},{"family":"Buchan","given":"Sarah A."},{"family":"Gubbay","given":"Jonathan B."},{"family":"Nasreen","given":"Sharifa"},{"family":"Schwartz","given":"Kevin L."},{"family":"Tadrous","given":"Mina"},{"family":"Wilson","given":"Kumanan"},{"family":"Kwong","given":"Jeffrey C."}],"issued":{"date-parts":[["2023",2,8]]}}},{"id":52,"uris":["http://zotero.org/users/14445769/items/G77B2DUU"],"itemData":{"id":52,"type":"article-journal","abstract":"We examined the effectiveness of maternal vaccination against SARS-CoV-2 infection in 30,311 infants born at Kaiser Permanente Northern California from December 15, 2020, to May 31, 2022. Using Cox regression, the effectiveness of ≥2 doses of COVID-19 vaccine received during pregnancy was 84% (95% confidence interval [CI]: 66, 93), 62% (CI: 39, 77) and 56% (CI: 34,71) during months 0–2, 0–4 and 0- 6 of a child’s life, respectively, in the Delta variant period. In the Omicron variant period, the effectiveness of maternal vaccination in these three age intervals was 21% (CI: −21,48), 14% (CI: −9,32) and 13% (CI: −3,26), respectively. Over the entire study period, the incidence of hospitalization for COVID-19 was lower during the first 6 months of life among infants of vaccinated mothers compared with infants of unvaccinated mothers (21/100,000 person-years vs. 100/100,000 person-years). Maternal vaccination was protective, but protection was lower during Omicron than during Delta. Protection during both periods decreased as infants aged.","container-title":"Nature Communications","DOI":"10.1038/s41467-023-36547-4","ISSN":"2041-1723","issue":"1","journalAbbreviation":"Nat Commun","language":"en","license":"2023 The Author(s)","page":"894","source":"www.nature.com","title":"Maternal SARS-CoV-2 vaccination and infant protection against SARS-CoV-2 during the first six months of life","volume":"14","author":[{"family":"Zerbo","given":"Ousseny"},{"family":"Ray","given":"G. Thomas"},{"family":"Fireman","given":"Bruce"},{"family":"Layefsky","given":"Evan"},{"family":"Goddard","given":"Kristin"},{"family":"Lewis","given":"Edwin"},{"family":"Ross","given":"Pat"},{"family":"Omer","given":"Saad"},{"family":"Greenberg","given":"Mara"},{"family":"Klein","given":"Nicola P."}],"issued":{"date-parts":[["2023",2,28]]}}},{"id":51,"uris":["http://zotero.org/users/14445769/items/6Z6S3WFS"],"itemData":{"id":51,"type":"article-journal","abstract":"This report describes how young infants of people who received a COVID-19 vaccine while pregnant were less likely to be hospitalized or experience serious complications from COVID-19.","container-title":"MMWR. Morbidity and Mortality Weekly Report","DOI":"10.15585/mmwr.mm7239a3","ISSN":"0149-21951545-861X","journalAbbreviation":"MMWR Morb Mortal Wkly Rep","language":"en-us","source":"www.cdc.gov","title":"Effectiveness of Maternal mRNA COVID-19 Vaccination During Pregnancy Against COVID-19–Associated Hospitalizations in Infants Aged 6 Months During SARS-CoV-2 Omicron Predominance — 20 States, March 9, 2022–May 31, 2023","URL":"https://www.cdc.gov/mmwr/volumes/72/wr/mm7239a3.htm","volume":"72","author":[{"family":"Simeone","given":"Regina M."}],"accessed":{"date-parts":[["2024",6,25]]},"issued":{"date-parts":[["2023"]]}}},{"id":91,"uris":["http://zotero.org/users/14445769/items/G4WIHRCU"],"itemData":{"id":91,"type":"article-journal","container-title":"New England Journal of Medicine","DOI":"10.1056/NEJMoa2216480","ISSN":"0028-4793, 1533-4406","issue":"16","journalAbbreviation":"N Engl J Med","language":"en","license":"http://www.nejmgroup.org/legal/terms-of-use.htm","page":"1451-1464","source":"DOI.org (Crossref)","title":"Bivalent Prefusion F Vaccine in Pregnancy to Prevent RSV Illness in Infants","volume":"388","author":[{"family":"Kampmann","given":"Beate"},{"family":"Madhi","given":"Shabir A."},{"family":"Munjal","given":"Iona"},{"family":"Simões","given":"Eric A.F."},{"family":"Pahud","given":"Barbara A."},{"family":"Llapur","given":"Conrado"},{"family":"Baker","given":"Jeffrey"},{"family":"Pérez Marc","given":"Gonzalo"},{"family":"Radley","given":"David"},{"family":"Shittu","given":"Emma"},{"family":"Glanternik","given":"Julia"},{"family":"Snaggs","given":"Hasra"},{"family":"Baber","given":"James"},{"family":"Zachariah","given":"Philip"},{"family":"Barnabas","given":"Shaun L."},{"family":"Fausett","given":"Merlin"},{"family":"Adam","given":"Tyler"},{"family":"Perreras","given":"Nicole"},{"family":"Van Houten","given":"Marlies A."},{"family":"Kantele","given":"Anu"},{"family":"Huang","given":"Li-Min"},{"family":"Bont","given":"Louis J."},{"family":"Otsuki","given":"Takeo"},{"family":"Vargas","given":"Sergio L."},{"family":"Gullam","given":"Joanna"},{"family":"Tapiero","given":"Bruce"},{"family":"Stein","given":"Renato T."},{"family":"Polack","given":"Fernando P."},{"family":"Zar","given":"Heather J."},{"family":"Staerke","given":"Nina B."},{"family":"Duron Padilla","given":"María"},{"family":"Richmond","given":"Peter C."},{"family":"Koury","given":"Kenneth"},{"family":"Schneider","given":"Katherine"},{"family":"Kalinina","given":"Elena V."},{"family":"Cooper","given":"David"},{"family":"Jansen","given":"Kathrin U."},{"family":"Anderson","given":"Annaliesa S."},{"family":"Swanson","given":"Kena A."},{"family":"Gruber","given":"William C."},{"family":"Gurtman","given":"Alejandra"}],"issued":{"date-parts":[["2023",4,20]]}}}],"schema":"https://github.com/citation-style-language/schema/raw/master/csl-citation.json"} </w:instrText>
      </w:r>
      <w:r w:rsidR="008E6FEF" w:rsidRPr="00DC55B0">
        <w:rPr>
          <w:rFonts w:ascii="Calibri" w:hAnsi="Calibri" w:cs="Calibri"/>
        </w:rPr>
        <w:fldChar w:fldCharType="separate"/>
      </w:r>
      <w:r w:rsidR="003F3CD5" w:rsidRPr="00DC55B0">
        <w:rPr>
          <w:rFonts w:ascii="Calibri" w:hAnsi="Calibri" w:cs="Calibri"/>
          <w:kern w:val="0"/>
          <w:vertAlign w:val="superscript"/>
        </w:rPr>
        <w:t>9,43,44,47</w:t>
      </w:r>
      <w:r w:rsidR="008E6FEF" w:rsidRPr="00DC55B0">
        <w:rPr>
          <w:rFonts w:ascii="Calibri" w:hAnsi="Calibri" w:cs="Calibri"/>
        </w:rPr>
        <w:fldChar w:fldCharType="end"/>
      </w:r>
      <w:r w:rsidR="00841945" w:rsidRPr="00DC55B0">
        <w:rPr>
          <w:rFonts w:ascii="Calibri" w:hAnsi="Calibri" w:cs="Calibri"/>
        </w:rPr>
        <w:t xml:space="preserve"> This </w:t>
      </w:r>
      <w:r w:rsidR="0026136E" w:rsidRPr="00DC55B0">
        <w:rPr>
          <w:rFonts w:ascii="Calibri" w:hAnsi="Calibri" w:cs="Calibri"/>
          <w:color w:val="222222"/>
          <w:shd w:val="clear" w:color="auto" w:fill="FFFFFF"/>
        </w:rPr>
        <w:t>also</w:t>
      </w:r>
      <w:r w:rsidR="003A1672" w:rsidRPr="00DC55B0">
        <w:rPr>
          <w:rFonts w:ascii="Calibri" w:hAnsi="Calibri" w:cs="Calibri"/>
          <w:color w:val="222222"/>
          <w:shd w:val="clear" w:color="auto" w:fill="FFFFFF"/>
        </w:rPr>
        <w:t xml:space="preserve"> </w:t>
      </w:r>
      <w:r w:rsidR="0026136E" w:rsidRPr="00DC55B0">
        <w:rPr>
          <w:rFonts w:ascii="Calibri" w:hAnsi="Calibri" w:cs="Calibri"/>
          <w:color w:val="222222"/>
          <w:shd w:val="clear" w:color="auto" w:fill="FFFFFF"/>
        </w:rPr>
        <w:t>affects the infant vaccination schedule</w:t>
      </w:r>
      <w:r w:rsidR="00CE3D83" w:rsidRPr="00DC55B0">
        <w:rPr>
          <w:rFonts w:ascii="Calibri" w:hAnsi="Calibri" w:cs="Calibri"/>
          <w:color w:val="222222"/>
          <w:shd w:val="clear" w:color="auto" w:fill="FFFFFF"/>
        </w:rPr>
        <w:t xml:space="preserve">, </w:t>
      </w:r>
      <w:r w:rsidRPr="00DC55B0">
        <w:rPr>
          <w:rFonts w:ascii="Calibri" w:hAnsi="Calibri" w:cs="Calibri"/>
          <w:color w:val="222222"/>
          <w:shd w:val="clear" w:color="auto" w:fill="FFFFFF"/>
        </w:rPr>
        <w:t>since transferred IgG modulates infant response to vaccination</w:t>
      </w:r>
      <w:r w:rsidR="00860692" w:rsidRPr="00DC55B0">
        <w:rPr>
          <w:rFonts w:ascii="Calibri" w:hAnsi="Calibri" w:cs="Calibri"/>
          <w:color w:val="222222"/>
          <w:shd w:val="clear" w:color="auto" w:fill="FFFFFF"/>
        </w:rPr>
        <w:t>.</w:t>
      </w:r>
      <w:r w:rsidR="007E4DB9" w:rsidRPr="00DC55B0">
        <w:rPr>
          <w:rFonts w:ascii="Calibri" w:hAnsi="Calibri" w:cs="Calibri"/>
          <w:color w:val="222222"/>
          <w:shd w:val="clear" w:color="auto" w:fill="FFFFFF"/>
        </w:rPr>
        <w:t xml:space="preserve"> </w:t>
      </w:r>
      <w:r w:rsidR="0004549C" w:rsidRPr="00DC55B0">
        <w:rPr>
          <w:rFonts w:ascii="Calibri" w:hAnsi="Calibri" w:cs="Calibri"/>
          <w:color w:val="222222"/>
          <w:shd w:val="clear" w:color="auto" w:fill="FFFFFF"/>
        </w:rPr>
        <w:t>I</w:t>
      </w:r>
      <w:r w:rsidR="004913BD" w:rsidRPr="00DC55B0">
        <w:rPr>
          <w:rFonts w:ascii="Calibri" w:hAnsi="Calibri" w:cs="Calibri"/>
          <w:color w:val="222222"/>
          <w:shd w:val="clear" w:color="auto" w:fill="FFFFFF"/>
        </w:rPr>
        <w:t>n a meta-analysis of 7</w:t>
      </w:r>
      <w:r w:rsidR="007771F3" w:rsidRPr="00DC55B0">
        <w:rPr>
          <w:rFonts w:ascii="Calibri" w:hAnsi="Calibri" w:cs="Calibri"/>
          <w:color w:val="222222"/>
          <w:shd w:val="clear" w:color="auto" w:fill="FFFFFF"/>
        </w:rPr>
        <w:t>,</w:t>
      </w:r>
      <w:r w:rsidR="004913BD" w:rsidRPr="00DC55B0">
        <w:rPr>
          <w:rFonts w:ascii="Calibri" w:hAnsi="Calibri" w:cs="Calibri"/>
          <w:color w:val="222222"/>
          <w:shd w:val="clear" w:color="auto" w:fill="FFFFFF"/>
        </w:rPr>
        <w:t>630 infants</w:t>
      </w:r>
      <w:r w:rsidR="000018A4" w:rsidRPr="00DC55B0">
        <w:rPr>
          <w:rFonts w:ascii="Calibri" w:hAnsi="Calibri" w:cs="Calibri"/>
          <w:color w:val="222222"/>
          <w:shd w:val="clear" w:color="auto" w:fill="FFFFFF"/>
        </w:rPr>
        <w:t>,</w:t>
      </w:r>
      <w:r w:rsidR="00421DB4" w:rsidRPr="00DC55B0">
        <w:rPr>
          <w:rFonts w:ascii="Calibri" w:hAnsi="Calibri" w:cs="Calibri"/>
          <w:color w:val="222222"/>
          <w:shd w:val="clear" w:color="auto" w:fill="FFFFFF"/>
        </w:rPr>
        <w:t xml:space="preserve"> 2-fold higher maternal antibody </w:t>
      </w:r>
      <w:r w:rsidR="00F545A0" w:rsidRPr="00DC55B0">
        <w:rPr>
          <w:rFonts w:ascii="Calibri" w:hAnsi="Calibri" w:cs="Calibri"/>
          <w:color w:val="222222"/>
          <w:shd w:val="clear" w:color="auto" w:fill="FFFFFF"/>
        </w:rPr>
        <w:t>c</w:t>
      </w:r>
      <w:r w:rsidR="00421DB4" w:rsidRPr="00DC55B0">
        <w:rPr>
          <w:rFonts w:ascii="Calibri" w:hAnsi="Calibri" w:cs="Calibri"/>
          <w:color w:val="222222"/>
          <w:shd w:val="clear" w:color="auto" w:fill="FFFFFF"/>
        </w:rPr>
        <w:t>oncentrations were associated with a lower</w:t>
      </w:r>
      <w:r w:rsidR="0055465D" w:rsidRPr="00DC55B0">
        <w:rPr>
          <w:rFonts w:ascii="Calibri" w:hAnsi="Calibri" w:cs="Calibri"/>
          <w:color w:val="222222"/>
          <w:shd w:val="clear" w:color="auto" w:fill="FFFFFF"/>
        </w:rPr>
        <w:t xml:space="preserve"> infant post-vaccination antibody concentration of 20-28%</w:t>
      </w:r>
      <w:r w:rsidR="00B37D90" w:rsidRPr="00DC55B0">
        <w:rPr>
          <w:rFonts w:ascii="Calibri" w:hAnsi="Calibri" w:cs="Calibri"/>
          <w:color w:val="222222"/>
          <w:shd w:val="clear" w:color="auto" w:fill="FFFFFF"/>
        </w:rPr>
        <w:t xml:space="preserve"> for inactivated polio vaccine</w:t>
      </w:r>
      <w:r w:rsidR="000C5D79" w:rsidRPr="00DC55B0">
        <w:rPr>
          <w:rFonts w:ascii="Calibri" w:hAnsi="Calibri" w:cs="Calibri"/>
          <w:color w:val="222222"/>
          <w:shd w:val="clear" w:color="auto" w:fill="FFFFFF"/>
        </w:rPr>
        <w:t>,</w:t>
      </w:r>
      <w:r w:rsidR="00B37D90" w:rsidRPr="00DC55B0">
        <w:rPr>
          <w:rFonts w:ascii="Calibri" w:hAnsi="Calibri" w:cs="Calibri"/>
          <w:color w:val="222222"/>
          <w:shd w:val="clear" w:color="auto" w:fill="FFFFFF"/>
        </w:rPr>
        <w:t xml:space="preserve"> 11% for pertussis toxin</w:t>
      </w:r>
      <w:r w:rsidR="006400F5" w:rsidRPr="00DC55B0">
        <w:rPr>
          <w:rFonts w:ascii="Calibri" w:hAnsi="Calibri" w:cs="Calibri"/>
          <w:color w:val="222222"/>
          <w:shd w:val="clear" w:color="auto" w:fill="FFFFFF"/>
        </w:rPr>
        <w:t xml:space="preserve"> and 13% for tetanus toxin</w:t>
      </w:r>
      <w:r w:rsidR="008E6FEF" w:rsidRPr="00DC55B0">
        <w:rPr>
          <w:rFonts w:ascii="Calibri" w:hAnsi="Calibri" w:cs="Calibri"/>
          <w:color w:val="222222"/>
          <w:shd w:val="clear" w:color="auto" w:fill="FFFFFF"/>
        </w:rPr>
        <w:t>.</w:t>
      </w:r>
      <w:r w:rsidR="008E6FEF" w:rsidRPr="00DC55B0">
        <w:rPr>
          <w:rFonts w:ascii="Calibri" w:hAnsi="Calibri" w:cs="Calibri"/>
          <w:color w:val="222222"/>
          <w:shd w:val="clear" w:color="auto" w:fill="FFFFFF"/>
        </w:rPr>
        <w:fldChar w:fldCharType="begin"/>
      </w:r>
      <w:r w:rsidR="005F4583" w:rsidRPr="00DC55B0">
        <w:rPr>
          <w:rFonts w:ascii="Calibri" w:hAnsi="Calibri" w:cs="Calibri"/>
          <w:color w:val="222222"/>
          <w:shd w:val="clear" w:color="auto" w:fill="FFFFFF"/>
        </w:rPr>
        <w:instrText xml:space="preserve"> ADDIN ZOTERO_ITEM CSL_CITATION {"citationID":"oEImdAZp","properties":{"formattedCitation":"\\super 48\\nosupersub{}","plainCitation":"48","noteIndex":0},"citationItems":[{"id":106,"uris":["http://zotero.org/users/14445769/items/XA86RMN9"],"itemData":{"id":106,"type":"article-journal","abstract":"IMPORTANCE: The design of infant immunization schedules requires an understanding of the factors that determine the immune response to each vaccine antigen.\nDATA SOURCES: Deidentified individual participant data from GlaxoSmithKline clinical trials were obtained through Clinical Study Data Request. The data were requested on January 2, 2015, and final data were received on April 11, 2016.\nSTUDY SELECTION: Immunogenicity trials of licensed or unlicensed vaccines administered to infants were included if antibody concentrations in infants were measured prior to the first dose of vaccine.\nDATA EXTRACTION AND SYNTHESIS: The database was examined; studies that appeared to have appropriate data were reviewed.\nMAIN OUTCOMES AND MEASURES: Antigen-specific antibody concentration measured 1 month after priming vaccine doses, before booster vaccination, and 1 month after booster vaccine doses.\nRESULTS: A total of 7630 infants from 32 studies in 17 countries were included. Mean (SD) age at baseline was 9.0 (2.3) weeks; 3906 (51.2%) were boys. Preexisting maternal antibody inhibited infant antibody responses to priming doses for 20 of 21 antigens. The largest effects were observed for inactivated polio vaccine, where 2-fold higher maternal antibody concentrations resulted in 20% to 28% lower postvaccination antibody concentration (geometric mean ratios [GMRs], type 1: 0.80; 95% CI, 0.78-0.83; type 2: 0.72; 95% CI, 0.69-0.74; type 3: 0.78; 95% CI, 0.75-0.82). For acellular pertussis antigens, 2-fold higher maternal antibody was associated with 11% lower postvaccination antibody for pertussis toxoid (GMR, 0.89; 95% CI, 0.87-0.90) and filamentous hemagglutinin (GMR, 0.89; 95% CI, 0.88-0.90) and 22% lower pertactin antibody (GMR, 0.78; 95% CI, 0.77-0.80). For tetanus and diphtheria, these estimates were 13% (GMR, 0.87; 95% CI, 0.86-0.88) and 24% (GMR, 0.76; 95% CI, 0.74-0.77), respectively. The influence of maternal antibody was still evident in reduced responses to booster doses of acellular pertussis, inactivated polio, and diphtheria vaccines at 12 to 24 months of age. Children who were older when first immunized had higher antibody responses to priming doses for 18 of 21 antigens, after adjusting for the effect of maternal antibody concentrations. The largest effect was seen for polyribosylribitol phosphate antibody, where responses were 71% higher per month (GMR, 1.71; 95% CI, 1.52-1.92).\nCONCLUSIONS AND RELEVANCE: Maternal antibody concentrations and infant age at first vaccination both influence infant vaccine responses. These effects are seen for almost all vaccines contained in global immunization programs and influence immune response for some vaccines even at the age of 24 months. These data highlight the potential for maternal immunization strategies to influence established infant programs.","container-title":"JAMA pediatrics","DOI":"10.1001/jamapediatrics.2017.0638","ISSN":"2168-6211","issue":"7","journalAbbreviation":"JAMA Pediatr","language":"eng","note":"PMID: 28505244\nPMCID: PMC5710349","page":"637-646","source":"PubMed","title":"The Influence of Maternally Derived Antibody and Infant Age at Vaccination on Infant Vaccine Responses : An Individual Participant Meta-analysis","title-short":"The Influence of Maternally Derived Antibody and Infant Age at Vaccination on Infant Vaccine Responses","volume":"171","author":[{"family":"Voysey","given":"Merryn"},{"family":"Kelly","given":"Dominic F."},{"family":"Fanshawe","given":"Thomas R."},{"family":"Sadarangani","given":"Manish"},{"family":"O'Brien","given":"Katherine L."},{"family":"Perera","given":"Rafael"},{"family":"Pollard","given":"Andrew J."}],"issued":{"date-parts":[["2017",7,1]]}}}],"schema":"https://github.com/citation-style-language/schema/raw/master/csl-citation.json"} </w:instrText>
      </w:r>
      <w:r w:rsidR="008E6FEF" w:rsidRPr="00DC55B0">
        <w:rPr>
          <w:rFonts w:ascii="Calibri" w:hAnsi="Calibri" w:cs="Calibri"/>
          <w:color w:val="222222"/>
          <w:shd w:val="clear" w:color="auto" w:fill="FFFFFF"/>
        </w:rPr>
        <w:fldChar w:fldCharType="separate"/>
      </w:r>
      <w:r w:rsidR="005F4583" w:rsidRPr="00DC55B0">
        <w:rPr>
          <w:rFonts w:ascii="Calibri" w:hAnsi="Calibri" w:cs="Calibri"/>
          <w:kern w:val="0"/>
          <w:vertAlign w:val="superscript"/>
        </w:rPr>
        <w:t>48</w:t>
      </w:r>
      <w:r w:rsidR="008E6FEF" w:rsidRPr="00DC55B0">
        <w:rPr>
          <w:rFonts w:ascii="Calibri" w:hAnsi="Calibri" w:cs="Calibri"/>
          <w:color w:val="222222"/>
          <w:shd w:val="clear" w:color="auto" w:fill="FFFFFF"/>
        </w:rPr>
        <w:fldChar w:fldCharType="end"/>
      </w:r>
      <w:r w:rsidR="009C1A4A" w:rsidRPr="00DC55B0">
        <w:rPr>
          <w:rFonts w:ascii="Calibri" w:hAnsi="Calibri" w:cs="Calibri"/>
          <w:color w:val="222222"/>
          <w:shd w:val="clear" w:color="auto" w:fill="FFFFFF"/>
        </w:rPr>
        <w:t xml:space="preserve"> </w:t>
      </w:r>
      <w:r w:rsidR="008136F6" w:rsidRPr="00DC55B0">
        <w:rPr>
          <w:rFonts w:ascii="Calibri" w:hAnsi="Calibri" w:cs="Calibri"/>
          <w:color w:val="222222"/>
          <w:shd w:val="clear" w:color="auto" w:fill="FFFFFF"/>
        </w:rPr>
        <w:t>T</w:t>
      </w:r>
      <w:r w:rsidR="00222B95" w:rsidRPr="00DC55B0">
        <w:rPr>
          <w:rFonts w:ascii="Calibri" w:hAnsi="Calibri" w:cs="Calibri"/>
          <w:color w:val="222222"/>
          <w:shd w:val="clear" w:color="auto" w:fill="FFFFFF"/>
        </w:rPr>
        <w:t xml:space="preserve">his effect is less pronounced in babies who are </w:t>
      </w:r>
      <w:r w:rsidR="00487A1F" w:rsidRPr="00DC55B0">
        <w:rPr>
          <w:rFonts w:ascii="Calibri" w:hAnsi="Calibri" w:cs="Calibri"/>
          <w:color w:val="222222"/>
          <w:shd w:val="clear" w:color="auto" w:fill="FFFFFF"/>
        </w:rPr>
        <w:t>immunized when they are older</w:t>
      </w:r>
      <w:r w:rsidR="00F65E57" w:rsidRPr="00DC55B0">
        <w:rPr>
          <w:rFonts w:ascii="Calibri" w:hAnsi="Calibri" w:cs="Calibri"/>
          <w:color w:val="222222"/>
          <w:shd w:val="clear" w:color="auto" w:fill="FFFFFF"/>
        </w:rPr>
        <w:t xml:space="preserve">, </w:t>
      </w:r>
      <w:r w:rsidR="00274ED5" w:rsidRPr="00DC55B0">
        <w:rPr>
          <w:rFonts w:ascii="Calibri" w:hAnsi="Calibri" w:cs="Calibri"/>
          <w:color w:val="222222"/>
          <w:shd w:val="clear" w:color="auto" w:fill="FFFFFF"/>
        </w:rPr>
        <w:t>once maternal antibody has waned</w:t>
      </w:r>
      <w:r w:rsidR="00487A1F" w:rsidRPr="00DC55B0">
        <w:rPr>
          <w:rFonts w:ascii="Calibri" w:hAnsi="Calibri" w:cs="Calibri"/>
          <w:color w:val="222222"/>
          <w:shd w:val="clear" w:color="auto" w:fill="FFFFFF"/>
        </w:rPr>
        <w:t xml:space="preserve">. </w:t>
      </w:r>
      <w:r w:rsidR="00860692" w:rsidRPr="00DC55B0">
        <w:rPr>
          <w:rFonts w:ascii="Calibri" w:hAnsi="Calibri" w:cs="Calibri"/>
          <w:color w:val="222222"/>
          <w:shd w:val="clear" w:color="auto" w:fill="FFFFFF"/>
        </w:rPr>
        <w:t xml:space="preserve">Thus, </w:t>
      </w:r>
      <w:r w:rsidR="00586E14" w:rsidRPr="00DC55B0">
        <w:rPr>
          <w:rFonts w:ascii="Calibri" w:hAnsi="Calibri" w:cs="Calibri"/>
          <w:color w:val="222222"/>
          <w:shd w:val="clear" w:color="auto" w:fill="FFFFFF"/>
        </w:rPr>
        <w:t xml:space="preserve">in infant vaccination schedules, </w:t>
      </w:r>
      <w:r w:rsidR="00860692" w:rsidRPr="00DC55B0">
        <w:rPr>
          <w:rFonts w:ascii="Calibri" w:hAnsi="Calibri" w:cs="Calibri"/>
          <w:color w:val="222222"/>
          <w:shd w:val="clear" w:color="auto" w:fill="FFFFFF"/>
        </w:rPr>
        <w:t xml:space="preserve">the goal is </w:t>
      </w:r>
      <w:r w:rsidR="00586E14" w:rsidRPr="00DC55B0">
        <w:rPr>
          <w:rFonts w:ascii="Calibri" w:hAnsi="Calibri" w:cs="Calibri"/>
          <w:color w:val="222222"/>
          <w:shd w:val="clear" w:color="auto" w:fill="FFFFFF"/>
        </w:rPr>
        <w:t>administration</w:t>
      </w:r>
      <w:r w:rsidR="00860692" w:rsidRPr="00DC55B0">
        <w:rPr>
          <w:rFonts w:ascii="Calibri" w:hAnsi="Calibri" w:cs="Calibri"/>
          <w:color w:val="222222"/>
          <w:shd w:val="clear" w:color="auto" w:fill="FFFFFF"/>
        </w:rPr>
        <w:t xml:space="preserve"> </w:t>
      </w:r>
      <w:r w:rsidR="00B124E6" w:rsidRPr="00DC55B0">
        <w:rPr>
          <w:rFonts w:ascii="Calibri" w:hAnsi="Calibri" w:cs="Calibri"/>
          <w:color w:val="222222"/>
          <w:shd w:val="clear" w:color="auto" w:fill="FFFFFF"/>
        </w:rPr>
        <w:t xml:space="preserve">as soon as possible after </w:t>
      </w:r>
      <w:r w:rsidR="00CF7107" w:rsidRPr="00DC55B0">
        <w:rPr>
          <w:rFonts w:ascii="Calibri" w:hAnsi="Calibri" w:cs="Calibri"/>
          <w:color w:val="222222"/>
          <w:shd w:val="clear" w:color="auto" w:fill="FFFFFF"/>
        </w:rPr>
        <w:t>maternally</w:t>
      </w:r>
      <w:r w:rsidR="00F12741" w:rsidRPr="00DC55B0">
        <w:rPr>
          <w:rFonts w:ascii="Calibri" w:hAnsi="Calibri" w:cs="Calibri"/>
          <w:color w:val="222222"/>
          <w:shd w:val="clear" w:color="auto" w:fill="FFFFFF"/>
        </w:rPr>
        <w:t xml:space="preserve"> </w:t>
      </w:r>
      <w:r w:rsidR="00CF7107" w:rsidRPr="00DC55B0">
        <w:rPr>
          <w:rFonts w:ascii="Calibri" w:hAnsi="Calibri" w:cs="Calibri"/>
          <w:color w:val="222222"/>
          <w:shd w:val="clear" w:color="auto" w:fill="FFFFFF"/>
        </w:rPr>
        <w:t xml:space="preserve">derived antibody drops below the threshold at which it interferes </w:t>
      </w:r>
      <w:r w:rsidR="005142F7" w:rsidRPr="00DC55B0">
        <w:rPr>
          <w:rFonts w:ascii="Calibri" w:hAnsi="Calibri" w:cs="Calibri"/>
          <w:color w:val="222222"/>
          <w:shd w:val="clear" w:color="auto" w:fill="FFFFFF"/>
        </w:rPr>
        <w:t>with the response</w:t>
      </w:r>
      <w:r w:rsidR="00A13730" w:rsidRPr="00DC55B0">
        <w:rPr>
          <w:rFonts w:ascii="Calibri" w:hAnsi="Calibri" w:cs="Calibri"/>
          <w:color w:val="222222"/>
          <w:shd w:val="clear" w:color="auto" w:fill="FFFFFF"/>
        </w:rPr>
        <w:t xml:space="preserve">. </w:t>
      </w:r>
    </w:p>
    <w:p w14:paraId="6AC312E4" w14:textId="77777777" w:rsidR="00FF7D52" w:rsidRPr="00DC55B0" w:rsidRDefault="00FF7D52" w:rsidP="001F3ACA">
      <w:pPr>
        <w:rPr>
          <w:rFonts w:ascii="Calibri" w:hAnsi="Calibri" w:cs="Calibri"/>
        </w:rPr>
      </w:pPr>
    </w:p>
    <w:p w14:paraId="3B47ABFB" w14:textId="45D7FD0C" w:rsidR="00FF7D52" w:rsidRPr="00DC55B0" w:rsidRDefault="00FF7D52" w:rsidP="001F3ACA">
      <w:pPr>
        <w:rPr>
          <w:rFonts w:ascii="Calibri" w:hAnsi="Calibri" w:cs="Calibri"/>
          <w:i/>
          <w:iCs/>
        </w:rPr>
      </w:pPr>
      <w:r w:rsidRPr="00DC55B0">
        <w:rPr>
          <w:rFonts w:ascii="Calibri" w:hAnsi="Calibri" w:cs="Calibri"/>
          <w:i/>
          <w:iCs/>
        </w:rPr>
        <w:t>Antibody in breast milk</w:t>
      </w:r>
    </w:p>
    <w:p w14:paraId="6B09FBAC" w14:textId="618D7C84" w:rsidR="00EE451B" w:rsidRPr="00DC55B0" w:rsidRDefault="00EE451B" w:rsidP="001F3ACA">
      <w:pPr>
        <w:rPr>
          <w:rFonts w:ascii="Calibri" w:hAnsi="Calibri" w:cs="Calibri"/>
        </w:rPr>
      </w:pPr>
      <w:r w:rsidRPr="00DC55B0">
        <w:rPr>
          <w:rFonts w:ascii="Calibri" w:hAnsi="Calibri" w:cs="Calibri"/>
        </w:rPr>
        <w:t xml:space="preserve">Another way in which maternal immunity can protect the newborn is by the transfer of </w:t>
      </w:r>
      <w:r w:rsidR="00C858A2" w:rsidRPr="00DC55B0">
        <w:rPr>
          <w:rFonts w:ascii="Calibri" w:hAnsi="Calibri" w:cs="Calibri"/>
        </w:rPr>
        <w:t>antibody</w:t>
      </w:r>
      <w:r w:rsidRPr="00DC55B0">
        <w:rPr>
          <w:rFonts w:ascii="Calibri" w:hAnsi="Calibri" w:cs="Calibri"/>
        </w:rPr>
        <w:t xml:space="preserve"> into breast milk</w:t>
      </w:r>
      <w:r w:rsidR="007018BD" w:rsidRPr="00DC55B0">
        <w:rPr>
          <w:rFonts w:ascii="Calibri" w:hAnsi="Calibri" w:cs="Calibri"/>
        </w:rPr>
        <w:t xml:space="preserve">, </w:t>
      </w:r>
      <w:r w:rsidR="006E649D" w:rsidRPr="00DC55B0">
        <w:rPr>
          <w:rFonts w:ascii="Calibri" w:hAnsi="Calibri" w:cs="Calibri"/>
        </w:rPr>
        <w:t>allowing it to neutralise pathogens in the infant gut</w:t>
      </w:r>
      <w:r w:rsidRPr="00DC55B0">
        <w:rPr>
          <w:rFonts w:ascii="Calibri" w:hAnsi="Calibri" w:cs="Calibri"/>
        </w:rPr>
        <w:t>.</w:t>
      </w:r>
      <w:r w:rsidR="00C858A2" w:rsidRPr="00DC55B0">
        <w:rPr>
          <w:rFonts w:ascii="Calibri" w:hAnsi="Calibri" w:cs="Calibri"/>
        </w:rPr>
        <w:t xml:space="preserve"> This consists largely of IgA, although </w:t>
      </w:r>
      <w:r w:rsidR="00A07520" w:rsidRPr="00DC55B0">
        <w:rPr>
          <w:rFonts w:ascii="Calibri" w:hAnsi="Calibri" w:cs="Calibri"/>
        </w:rPr>
        <w:t>low concentrations of IgG and IgM are also detectable</w:t>
      </w:r>
      <w:r w:rsidR="000C26E3" w:rsidRPr="00DC55B0">
        <w:rPr>
          <w:rFonts w:ascii="Calibri" w:hAnsi="Calibri" w:cs="Calibri"/>
          <w:color w:val="0000FF"/>
        </w:rPr>
        <w:t xml:space="preserve"> </w:t>
      </w:r>
      <w:r w:rsidR="000C26E3" w:rsidRPr="00DC55B0">
        <w:rPr>
          <w:rFonts w:ascii="Calibri" w:hAnsi="Calibri" w:cs="Calibri"/>
        </w:rPr>
        <w:t>in breast milk</w:t>
      </w:r>
      <w:r w:rsidR="00DB7BC5" w:rsidRPr="00DC55B0">
        <w:rPr>
          <w:rFonts w:ascii="Calibri" w:hAnsi="Calibri" w:cs="Calibri"/>
        </w:rPr>
        <w:t>.</w:t>
      </w:r>
      <w:r w:rsidR="00763EC1" w:rsidRPr="00DC55B0">
        <w:rPr>
          <w:rFonts w:ascii="Calibri" w:hAnsi="Calibri" w:cs="Calibri"/>
        </w:rPr>
        <w:fldChar w:fldCharType="begin"/>
      </w:r>
      <w:r w:rsidR="003F3CD5" w:rsidRPr="00DC55B0">
        <w:rPr>
          <w:rFonts w:ascii="Calibri" w:hAnsi="Calibri" w:cs="Calibri"/>
        </w:rPr>
        <w:instrText xml:space="preserve"> ADDIN ZOTERO_ITEM CSL_CITATION {"citationID":"Uz7q2GjG","properties":{"formattedCitation":"\\super 49\\nosupersub{}","plainCitation":"49","noteIndex":0},"citationItems":[{"id":90,"uris":["http://zotero.org/users/14445769/items/3N8SN2R7"],"itemData":{"id":90,"type":"article-journal","abstract":"Background\nThe study investigated the concentration of IgA, IgM and IgG in colostrum, transitional and mature milk and the effect of parity, age, BMI and family income on secreted immunoglobulin contents of human milk.\n\n\nMethods\nSequential samples of colostrum, transitional and mature milk were collected from 38 women. Enzymelinked immunosorbent assay was used to analyse the immunoglobulin concentrations.\n\n\nResults\nThe study revealed that IgA was the dominant immunoglobulin and mean concentration in colostrum, transitional and mature milk was 5.92 ± 1.50 g/L, 3.85 ± 0.64 g/L and 3.72 ± 0.68 g/L, respectively. Both IgA and IgM levels of colostrum decreased significantly in both transitional (P = 0.000) and mature milk (P = 0.000), while the concentration of IgG rises significantly in them (colostrum vs. transitional milk, P = 0.000; and colostrum vs. mature milk P = 0.011). While maternal age, BMI and family income had no significant influence on the immunoglobulin levels at different stages of lactation, parity showed significant influence on IgG (P = 0.03) and IgM (P = 0.05) levels of transitional milk and IgA level of colostrum (P = 0.05).\n\n\nConclusion\nThe findings suggest that immunoglobulin composition in breast milk is strongly associated with stage of lactation and is likely to be more susceptible to parity than BMI and socioeconomic characteristics.","container-title":"Journal of Mother and Child","DOI":"10.34763/jmotherandchild.20202403.2032.d-20-00001","issue":"3","language":"en","page":"8-15","source":"sciendo.com","title":"Immunoglobulins content in colostrum, transitional and mature milk of Bangladeshi mothers: Influence of parity and sociodemographic characteristics","title-short":"Immunoglobulins content in colostrum, transitional and mature milk of Bangladeshi mothers","volume":"24","author":[{"family":"Akhter","given":"Hashemi"},{"family":"Aziz","given":"Farina"},{"family":"Ullah","given":"Fahim R."},{"family":"Ahsan","given":"Monira"},{"family":"Islam","given":"Sheikh N."}],"issued":{"date-parts":[["2020",9,1]]}}}],"schema":"https://github.com/citation-style-language/schema/raw/master/csl-citation.json"} </w:instrText>
      </w:r>
      <w:r w:rsidR="00763EC1" w:rsidRPr="00DC55B0">
        <w:rPr>
          <w:rFonts w:ascii="Calibri" w:hAnsi="Calibri" w:cs="Calibri"/>
        </w:rPr>
        <w:fldChar w:fldCharType="separate"/>
      </w:r>
      <w:r w:rsidR="003F3CD5" w:rsidRPr="00DC55B0">
        <w:rPr>
          <w:rFonts w:ascii="Calibri" w:hAnsi="Calibri" w:cs="Calibri"/>
          <w:kern w:val="0"/>
          <w:vertAlign w:val="superscript"/>
        </w:rPr>
        <w:t>49</w:t>
      </w:r>
      <w:r w:rsidR="00763EC1" w:rsidRPr="00DC55B0">
        <w:rPr>
          <w:rFonts w:ascii="Calibri" w:hAnsi="Calibri" w:cs="Calibri"/>
        </w:rPr>
        <w:fldChar w:fldCharType="end"/>
      </w:r>
      <w:r w:rsidR="00682AD5" w:rsidRPr="00DC55B0">
        <w:rPr>
          <w:rFonts w:ascii="Calibri" w:hAnsi="Calibri" w:cs="Calibri"/>
        </w:rPr>
        <w:t xml:space="preserve"> </w:t>
      </w:r>
      <w:r w:rsidR="00C3181A" w:rsidRPr="00DC55B0">
        <w:rPr>
          <w:rFonts w:ascii="Calibri" w:hAnsi="Calibri" w:cs="Calibri"/>
        </w:rPr>
        <w:t>Plasma</w:t>
      </w:r>
      <w:r w:rsidR="00721751" w:rsidRPr="00DC55B0">
        <w:rPr>
          <w:rFonts w:ascii="Calibri" w:hAnsi="Calibri" w:cs="Calibri"/>
        </w:rPr>
        <w:t xml:space="preserve"> cells in the breast produce IgA and IgM</w:t>
      </w:r>
      <w:r w:rsidR="00A858E5" w:rsidRPr="00DC55B0">
        <w:rPr>
          <w:rFonts w:ascii="Calibri" w:hAnsi="Calibri" w:cs="Calibri"/>
        </w:rPr>
        <w:t>,</w:t>
      </w:r>
      <w:r w:rsidR="00E44B5E" w:rsidRPr="00DC55B0">
        <w:rPr>
          <w:rFonts w:ascii="Calibri" w:hAnsi="Calibri" w:cs="Calibri"/>
        </w:rPr>
        <w:t xml:space="preserve"> </w:t>
      </w:r>
      <w:r w:rsidR="00E5786E" w:rsidRPr="00DC55B0">
        <w:rPr>
          <w:rFonts w:ascii="Calibri" w:hAnsi="Calibri" w:cs="Calibri"/>
        </w:rPr>
        <w:t>which</w:t>
      </w:r>
      <w:r w:rsidR="00F65BC2" w:rsidRPr="00DC55B0">
        <w:rPr>
          <w:rFonts w:ascii="Calibri" w:hAnsi="Calibri" w:cs="Calibri"/>
        </w:rPr>
        <w:t xml:space="preserve"> are then transported</w:t>
      </w:r>
      <w:r w:rsidR="00CC51C3" w:rsidRPr="00DC55B0">
        <w:rPr>
          <w:rFonts w:ascii="Calibri" w:hAnsi="Calibri" w:cs="Calibri"/>
        </w:rPr>
        <w:t xml:space="preserve"> into the milk </w:t>
      </w:r>
      <w:r w:rsidR="00A858E5" w:rsidRPr="00DC55B0">
        <w:rPr>
          <w:rFonts w:ascii="Calibri" w:hAnsi="Calibri" w:cs="Calibri"/>
        </w:rPr>
        <w:t>across the</w:t>
      </w:r>
      <w:r w:rsidR="00FD1E22" w:rsidRPr="00DC55B0">
        <w:rPr>
          <w:rFonts w:ascii="Calibri" w:hAnsi="Calibri" w:cs="Calibri"/>
        </w:rPr>
        <w:t xml:space="preserve"> </w:t>
      </w:r>
      <w:r w:rsidR="00A858E5" w:rsidRPr="00DC55B0">
        <w:rPr>
          <w:rFonts w:ascii="Calibri" w:hAnsi="Calibri" w:cs="Calibri"/>
        </w:rPr>
        <w:t>mammary</w:t>
      </w:r>
      <w:r w:rsidR="00FD1E22" w:rsidRPr="00DC55B0">
        <w:rPr>
          <w:rFonts w:ascii="Calibri" w:hAnsi="Calibri" w:cs="Calibri"/>
        </w:rPr>
        <w:t xml:space="preserve"> epithelial cells</w:t>
      </w:r>
      <w:r w:rsidR="004E4F31" w:rsidRPr="00DC55B0">
        <w:rPr>
          <w:rFonts w:ascii="Calibri" w:hAnsi="Calibri" w:cs="Calibri"/>
        </w:rPr>
        <w:t>.</w:t>
      </w:r>
      <w:r w:rsidR="004E4F31" w:rsidRPr="00DC55B0">
        <w:rPr>
          <w:rFonts w:ascii="Calibri" w:hAnsi="Calibri" w:cs="Calibri"/>
        </w:rPr>
        <w:fldChar w:fldCharType="begin"/>
      </w:r>
      <w:r w:rsidR="003F3CD5" w:rsidRPr="00DC55B0">
        <w:rPr>
          <w:rFonts w:ascii="Calibri" w:hAnsi="Calibri" w:cs="Calibri"/>
        </w:rPr>
        <w:instrText xml:space="preserve"> ADDIN ZOTERO_ITEM CSL_CITATION {"citationID":"w4W1YRzS","properties":{"formattedCitation":"\\super 50\\uc0\\u8211{}52\\nosupersub{}","plainCitation":"50–52","noteIndex":0},"citationItems":[{"id":101,"uris":["http://zotero.org/users/14445769/items/TK6DU7JX"],"itemData":{"id":101,"type":"article-journal","abstract":"The differential expression of chemokines and chemokine receptors, by tissues and leukocytes, respectively, contributes to the specific accumulation of leukocyte subsets to different tissues. CCR10/CCL28 interactions are thought to contribute to the accumulation of IgA Ab-secreting cells (ASC) to mucosal surfaces, such as the gastrointestinal tract and the lactating mammary gland. Although the role of CCL28 in lymphocyte homing is well established, direct in vivo evidence for CCR10 involvement in this process has not been previously shown. In this study, we describe the generation of a CCR10-deficient mouse model. Using this model, we demonstrate that CCR10 is critical for efficient localization and accumulation of IgA ASC to the lactating mammary gland. Surprisingly, IgA ASC accumulation to the gastrointestinal tract is minimally impacted in CCR10-deficient mice. These results provide the first direct evidence of CCR10 involvement in lymphocyte homing and accumulation in vivo, and demonstrate that reliance on CCR10-mediated recruitment of IgA ASC varies dramatically within mucosal tissues.","container-title":"Journal of Immunology (Baltimore, Md.: 1950)","DOI":"10.4049/jimmunol.181.9.6309","ISSN":"1550-6606","issue":"9","journalAbbreviation":"J Immunol","language":"eng","note":"PMID: 18941222\nPMCID: PMC2748758","page":"6309-6315","source":"PubMed","title":"An indispensable role for the chemokine receptor CCR10 in IgA antibody-secreting cell accumulation","volume":"181","author":[{"family":"Morteau","given":"Olivier"},{"family":"Gerard","given":"Craig"},{"family":"Lu","given":"Bao"},{"family":"Ghiran","given":"Sorina"},{"family":"Rits","given":"Miriam"},{"family":"Fujiwara","given":"Yuko"},{"family":"Law","given":"Yuetching"},{"family":"Distelhorst","given":"Kathryn"},{"family":"Nielsen","given":"Elizabeth M."},{"family":"Hill","given":"Erica D."},{"family":"Kwan","given":"Raymond"},{"family":"Lazarus","given":"Nicole H."},{"family":"Butcher","given":"Eugene C."},{"family":"Wilson","given":"Eric"}],"issued":{"date-parts":[["2008",11,1]]}}},{"id":103,"uris":["http://zotero.org/users/14445769/items/P4ASJ7GT"],"itemData":{"id":103,"type":"article-journal","abstract":"The accumulation of immunoglobulin (Ig)A antibody-secreting cells (ASCs) in the lactating mammary gland leads to secretion of antibodies into milk and their passive transfer to the suckling newborn. This transfer of IgA from mother to infant provides transient immune protection against a variety of gastrointestinal pathogens. Here we show that the mucosal epithelial chemokine CCL28 is up-regulated in the mammary gland during lactation and that IgA ASCs from this tissue express CCR10 and migrate to CCL28. In vivo treatment with anti-CCL28 antibody blocks IgA ASC accumulation in the mammary gland, inhibiting IgA antibody secretion into milk and the subsequent appearance of antibody in the gastrointestinal tract of nursing neonates. We propose that CCL28 is a key regulator of IgA ASC accumulation in the mammary gland and thus controls the passive transfer of IgA antibodies from mother to infant.","container-title":"The Journal of Experimental Medicine","DOI":"10.1084/jem.20041069","ISSN":"0022-1007","issue":"6","journalAbbreviation":"J Exp Med","language":"eng","note":"PMID: 15381732\nPMCID: PMC2211970","page":"805-809","source":"PubMed","title":"CCL28 controls immunoglobulin (Ig)A plasma cell accumulation in the lactating mammary gland and IgA antibody transfer to the neonate","volume":"200","author":[{"family":"Wilson","given":"Eric"},{"family":"Butcher","given":"Eugene C."}],"issued":{"date-parts":[["2004",9,20]]}}},{"id":100,"uris":["http://zotero.org/users/14445769/items/U5CHT4ZX"],"itemData":{"id":100,"type":"article-journal","abstract":"Secretory immunoglobulin A (SIgA) shields the gut epithelium from luminal antigens and contributes to host-microbe symbiosis. However, how antibody responses are regulated to achieve sustained host-microbe interactions is unknown. We found that mice and humans exhibited longitudinal persistence of clonally related B cells in the IgA repertoire despite major changes in the microbiota during antibiotic treatment or infection. Memory B cells recirculated between inductive compartments and were clonally related to plasma cells in gut and mammary glands. Our findings suggest that continuous diversification of memory B cells constitutes a central process for establishing symbiotic host-microbe interactions and offer an explanation of how maternal antibodies are optimized throughout life to protect the newborn.","container-title":"Nature Immunology","DOI":"10.1038/ni.3213","ISSN":"1529-2916","issue":"8","journalAbbreviation":"Nat Immunol","language":"eng","note":"PMID: 26147688","page":"880-888","source":"PubMed","title":"Diversification of memory B cells drives the continuous adaptation of secretory antibodies to gut microbiota","volume":"16","author":[{"family":"Lindner","given":"Cornelia"},{"family":"Thomsen","given":"Irene"},{"family":"Wahl","given":"Benjamin"},{"family":"Ugur","given":"Milas"},{"family":"Sethi","given":"Maya K."},{"family":"Friedrichsen","given":"Michaela"},{"family":"Smoczek","given":"Anna"},{"family":"Ott","given":"Stephan"},{"family":"Baumann","given":"Ulrich"},{"family":"Suerbaum","given":"Sebastian"},{"family":"Schreiber","given":"Stefan"},{"family":"Bleich","given":"André"},{"family":"Gaboriau-Routhiau","given":"Valérie"},{"family":"Cerf-Bensussan","given":"Nadine"},{"family":"Hazanov","given":"Helena"},{"family":"Mehr","given":"Ramit"},{"family":"Boysen","given":"Preben"},{"family":"Rosenstiel","given":"Philip"},{"family":"Pabst","given":"Oliver"}],"issued":{"date-parts":[["2015",8]]}}}],"schema":"https://github.com/citation-style-language/schema/raw/master/csl-citation.json"} </w:instrText>
      </w:r>
      <w:r w:rsidR="004E4F31" w:rsidRPr="00DC55B0">
        <w:rPr>
          <w:rFonts w:ascii="Calibri" w:hAnsi="Calibri" w:cs="Calibri"/>
        </w:rPr>
        <w:fldChar w:fldCharType="separate"/>
      </w:r>
      <w:r w:rsidR="003F3CD5" w:rsidRPr="00DC55B0">
        <w:rPr>
          <w:rFonts w:ascii="Calibri" w:hAnsi="Calibri" w:cs="Calibri"/>
          <w:kern w:val="0"/>
          <w:vertAlign w:val="superscript"/>
        </w:rPr>
        <w:t>50–52</w:t>
      </w:r>
      <w:r w:rsidR="004E4F31" w:rsidRPr="00DC55B0">
        <w:rPr>
          <w:rFonts w:ascii="Calibri" w:hAnsi="Calibri" w:cs="Calibri"/>
        </w:rPr>
        <w:fldChar w:fldCharType="end"/>
      </w:r>
      <w:r w:rsidR="00E5786E" w:rsidRPr="00DC55B0">
        <w:rPr>
          <w:rFonts w:ascii="Calibri" w:hAnsi="Calibri" w:cs="Calibri"/>
        </w:rPr>
        <w:t xml:space="preserve"> </w:t>
      </w:r>
      <w:r w:rsidR="00CA60DD" w:rsidRPr="00DC55B0">
        <w:rPr>
          <w:rFonts w:ascii="Calibri" w:hAnsi="Calibri" w:cs="Calibri"/>
        </w:rPr>
        <w:t xml:space="preserve">Circulating </w:t>
      </w:r>
      <w:r w:rsidR="00E31943" w:rsidRPr="00DC55B0">
        <w:rPr>
          <w:rFonts w:ascii="Calibri" w:hAnsi="Calibri" w:cs="Calibri"/>
        </w:rPr>
        <w:t xml:space="preserve">IgG </w:t>
      </w:r>
      <w:r w:rsidR="00CA60DD" w:rsidRPr="00DC55B0">
        <w:rPr>
          <w:rFonts w:ascii="Calibri" w:hAnsi="Calibri" w:cs="Calibri"/>
        </w:rPr>
        <w:t xml:space="preserve">is </w:t>
      </w:r>
      <w:r w:rsidR="00E31943" w:rsidRPr="00DC55B0">
        <w:rPr>
          <w:rFonts w:ascii="Calibri" w:hAnsi="Calibri" w:cs="Calibri"/>
        </w:rPr>
        <w:t>transport</w:t>
      </w:r>
      <w:r w:rsidR="00CA60DD" w:rsidRPr="00DC55B0">
        <w:rPr>
          <w:rFonts w:ascii="Calibri" w:hAnsi="Calibri" w:cs="Calibri"/>
        </w:rPr>
        <w:t>ed</w:t>
      </w:r>
      <w:r w:rsidR="00E31943" w:rsidRPr="00DC55B0">
        <w:rPr>
          <w:rFonts w:ascii="Calibri" w:hAnsi="Calibri" w:cs="Calibri"/>
        </w:rPr>
        <w:t xml:space="preserve"> into milk by FcRN</w:t>
      </w:r>
      <w:r w:rsidR="00F01614" w:rsidRPr="00DC55B0">
        <w:rPr>
          <w:rFonts w:ascii="Calibri" w:hAnsi="Calibri" w:cs="Calibri"/>
        </w:rPr>
        <w:t xml:space="preserve"> </w:t>
      </w:r>
      <w:r w:rsidR="00731967" w:rsidRPr="00DC55B0">
        <w:rPr>
          <w:rFonts w:ascii="Calibri" w:hAnsi="Calibri" w:cs="Calibri"/>
        </w:rPr>
        <w:t>but with lower efficiency than transport across the placenta</w:t>
      </w:r>
      <w:r w:rsidR="00F01614" w:rsidRPr="00DC55B0">
        <w:rPr>
          <w:rFonts w:ascii="Calibri" w:hAnsi="Calibri" w:cs="Calibri"/>
        </w:rPr>
        <w:t>.</w:t>
      </w:r>
      <w:r w:rsidR="004E4F31" w:rsidRPr="00DC55B0">
        <w:rPr>
          <w:rFonts w:ascii="Calibri" w:hAnsi="Calibri" w:cs="Calibri"/>
        </w:rPr>
        <w:fldChar w:fldCharType="begin"/>
      </w:r>
      <w:r w:rsidR="003F3CD5" w:rsidRPr="00DC55B0">
        <w:rPr>
          <w:rFonts w:ascii="Calibri" w:hAnsi="Calibri" w:cs="Calibri"/>
        </w:rPr>
        <w:instrText xml:space="preserve"> ADDIN ZOTERO_ITEM CSL_CITATION {"citationID":"LGYVj3hm","properties":{"formattedCitation":"\\super 53\\nosupersub{}","plainCitation":"53","noteIndex":0},"citationItems":[{"id":102,"uris":["http://zotero.org/users/14445769/items/GFHD64UL"],"itemData":{"id":102,"type":"article-journal","container-title":"Human Immunology","DOI":"10.1016/j.humimm.2003.08.025","ISSN":"01988859","issue":"12","journalAbbreviation":"Human Immunology","language":"en","license":"https://www.elsevier.com/tdm/userlicense/1.0/","page":"1152-1159","source":"DOI.org (Crossref)","title":"The MHC class I related Fc receptor, FcRn, is expressed in the epithelial cells of the human mammary gland","volume":"64","author":[{"family":"Cianga","given":"Petru"},{"family":"Cianga","given":"Corina"},{"family":"Cozma","given":"Laurette"},{"family":"Ward","given":"E.Sally"},{"family":"Carasevici","given":"Eugen"}],"issued":{"date-parts":[["2003",12]]}}}],"schema":"https://github.com/citation-style-language/schema/raw/master/csl-citation.json"} </w:instrText>
      </w:r>
      <w:r w:rsidR="004E4F31" w:rsidRPr="00DC55B0">
        <w:rPr>
          <w:rFonts w:ascii="Calibri" w:hAnsi="Calibri" w:cs="Calibri"/>
        </w:rPr>
        <w:fldChar w:fldCharType="separate"/>
      </w:r>
      <w:r w:rsidR="003F3CD5" w:rsidRPr="00DC55B0">
        <w:rPr>
          <w:rFonts w:ascii="Calibri" w:hAnsi="Calibri" w:cs="Calibri"/>
          <w:kern w:val="0"/>
          <w:vertAlign w:val="superscript"/>
        </w:rPr>
        <w:t>53</w:t>
      </w:r>
      <w:r w:rsidR="004E4F31" w:rsidRPr="00DC55B0">
        <w:rPr>
          <w:rFonts w:ascii="Calibri" w:hAnsi="Calibri" w:cs="Calibri"/>
        </w:rPr>
        <w:fldChar w:fldCharType="end"/>
      </w:r>
      <w:r w:rsidR="00731967" w:rsidRPr="00DC55B0">
        <w:rPr>
          <w:rFonts w:ascii="Calibri" w:hAnsi="Calibri" w:cs="Calibri"/>
        </w:rPr>
        <w:t xml:space="preserve"> </w:t>
      </w:r>
    </w:p>
    <w:p w14:paraId="125CD736" w14:textId="77777777" w:rsidR="00884FBC" w:rsidRPr="00DC55B0" w:rsidRDefault="00884FBC" w:rsidP="001F3ACA">
      <w:pPr>
        <w:rPr>
          <w:rFonts w:ascii="Calibri" w:hAnsi="Calibri" w:cs="Calibri"/>
        </w:rPr>
      </w:pPr>
    </w:p>
    <w:p w14:paraId="003378CE" w14:textId="51AA1744" w:rsidR="00886C88" w:rsidRPr="00DC55B0" w:rsidRDefault="00CE766D" w:rsidP="001F3ACA">
      <w:pPr>
        <w:rPr>
          <w:rFonts w:ascii="Calibri" w:hAnsi="Calibri" w:cs="Calibri"/>
        </w:rPr>
      </w:pPr>
      <w:r w:rsidRPr="00DC55B0">
        <w:rPr>
          <w:rFonts w:ascii="Calibri" w:hAnsi="Calibri" w:cs="Calibri"/>
        </w:rPr>
        <w:t xml:space="preserve">IgA-secreting cells in the breast </w:t>
      </w:r>
      <w:r w:rsidR="00711558" w:rsidRPr="00DC55B0">
        <w:rPr>
          <w:rFonts w:ascii="Calibri" w:hAnsi="Calibri" w:cs="Calibri"/>
        </w:rPr>
        <w:t>largely originate in the</w:t>
      </w:r>
      <w:r w:rsidR="00BC1D99" w:rsidRPr="00DC55B0">
        <w:rPr>
          <w:rFonts w:ascii="Calibri" w:hAnsi="Calibri" w:cs="Calibri"/>
        </w:rPr>
        <w:t xml:space="preserve"> gut</w:t>
      </w:r>
      <w:r w:rsidR="004904C3" w:rsidRPr="00DC55B0">
        <w:rPr>
          <w:rFonts w:ascii="Calibri" w:hAnsi="Calibri" w:cs="Calibri"/>
        </w:rPr>
        <w:t>: correspondingly,</w:t>
      </w:r>
      <w:r w:rsidR="009537C7" w:rsidRPr="00DC55B0">
        <w:rPr>
          <w:rFonts w:ascii="Calibri" w:hAnsi="Calibri" w:cs="Calibri"/>
        </w:rPr>
        <w:t xml:space="preserve"> the breast plasma cell repertoire mirrors that of the gut</w:t>
      </w:r>
      <w:r w:rsidR="0004770A" w:rsidRPr="00DC55B0">
        <w:rPr>
          <w:rFonts w:ascii="Calibri" w:hAnsi="Calibri" w:cs="Calibri"/>
        </w:rPr>
        <w:t>.</w:t>
      </w:r>
      <w:r w:rsidR="0004770A" w:rsidRPr="00DC55B0">
        <w:rPr>
          <w:rFonts w:ascii="Calibri" w:hAnsi="Calibri" w:cs="Calibri"/>
        </w:rPr>
        <w:fldChar w:fldCharType="begin"/>
      </w:r>
      <w:r w:rsidR="003F3CD5" w:rsidRPr="00DC55B0">
        <w:rPr>
          <w:rFonts w:ascii="Calibri" w:hAnsi="Calibri" w:cs="Calibri"/>
        </w:rPr>
        <w:instrText xml:space="preserve"> ADDIN ZOTERO_ITEM CSL_CITATION {"citationID":"SWEZ22tg","properties":{"formattedCitation":"\\super 50\\uc0\\u8211{}52\\nosupersub{}","plainCitation":"50–52","noteIndex":0},"citationItems":[{"id":101,"uris":["http://zotero.org/users/14445769/items/TK6DU7JX"],"itemData":{"id":101,"type":"article-journal","abstract":"The differential expression of chemokines and chemokine receptors, by tissues and leukocytes, respectively, contributes to the specific accumulation of leukocyte subsets to different tissues. CCR10/CCL28 interactions are thought to contribute to the accumulation of IgA Ab-secreting cells (ASC) to mucosal surfaces, such as the gastrointestinal tract and the lactating mammary gland. Although the role of CCL28 in lymphocyte homing is well established, direct in vivo evidence for CCR10 involvement in this process has not been previously shown. In this study, we describe the generation of a CCR10-deficient mouse model. Using this model, we demonstrate that CCR10 is critical for efficient localization and accumulation of IgA ASC to the lactating mammary gland. Surprisingly, IgA ASC accumulation to the gastrointestinal tract is minimally impacted in CCR10-deficient mice. These results provide the first direct evidence of CCR10 involvement in lymphocyte homing and accumulation in vivo, and demonstrate that reliance on CCR10-mediated recruitment of IgA ASC varies dramatically within mucosal tissues.","container-title":"Journal of Immunology (Baltimore, Md.: 1950)","DOI":"10.4049/jimmunol.181.9.6309","ISSN":"1550-6606","issue":"9","journalAbbreviation":"J Immunol","language":"eng","note":"PMID: 18941222\nPMCID: PMC2748758","page":"6309-6315","source":"PubMed","title":"An indispensable role for the chemokine receptor CCR10 in IgA antibody-secreting cell accumulation","volume":"181","author":[{"family":"Morteau","given":"Olivier"},{"family":"Gerard","given":"Craig"},{"family":"Lu","given":"Bao"},{"family":"Ghiran","given":"Sorina"},{"family":"Rits","given":"Miriam"},{"family":"Fujiwara","given":"Yuko"},{"family":"Law","given":"Yuetching"},{"family":"Distelhorst","given":"Kathryn"},{"family":"Nielsen","given":"Elizabeth M."},{"family":"Hill","given":"Erica D."},{"family":"Kwan","given":"Raymond"},{"family":"Lazarus","given":"Nicole H."},{"family":"Butcher","given":"Eugene C."},{"family":"Wilson","given":"Eric"}],"issued":{"date-parts":[["2008",11,1]]}}},{"id":103,"uris":["http://zotero.org/users/14445769/items/P4ASJ7GT"],"itemData":{"id":103,"type":"article-journal","abstract":"The accumulation of immunoglobulin (Ig)A antibody-secreting cells (ASCs) in the lactating mammary gland leads to secretion of antibodies into milk and their passive transfer to the suckling newborn. This transfer of IgA from mother to infant provides transient immune protection against a variety of gastrointestinal pathogens. Here we show that the mucosal epithelial chemokine CCL28 is up-regulated in the mammary gland during lactation and that IgA ASCs from this tissue express CCR10 and migrate to CCL28. In vivo treatment with anti-CCL28 antibody blocks IgA ASC accumulation in the mammary gland, inhibiting IgA antibody secretion into milk and the subsequent appearance of antibody in the gastrointestinal tract of nursing neonates. We propose that CCL28 is a key regulator of IgA ASC accumulation in the mammary gland and thus controls the passive transfer of IgA antibodies from mother to infant.","container-title":"The Journal of Experimental Medicine","DOI":"10.1084/jem.20041069","ISSN":"0022-1007","issue":"6","journalAbbreviation":"J Exp Med","language":"eng","note":"PMID: 15381732\nPMCID: PMC2211970","page":"805-809","source":"PubMed","title":"CCL28 controls immunoglobulin (Ig)A plasma cell accumulation in the lactating mammary gland and IgA antibody transfer to the neonate","volume":"200","author":[{"family":"Wilson","given":"Eric"},{"family":"Butcher","given":"Eugene C."}],"issued":{"date-parts":[["2004",9,20]]}}},{"id":100,"uris":["http://zotero.org/users/14445769/items/U5CHT4ZX"],"itemData":{"id":100,"type":"article-journal","abstract":"Secretory immunoglobulin A (SIgA) shields the gut epithelium from luminal antigens and contributes to host-microbe symbiosis. However, how antibody responses are regulated to achieve sustained host-microbe interactions is unknown. We found that mice and humans exhibited longitudinal persistence of clonally related B cells in the IgA repertoire despite major changes in the microbiota during antibiotic treatment or infection. Memory B cells recirculated between inductive compartments and were clonally related to plasma cells in gut and mammary glands. Our findings suggest that continuous diversification of memory B cells constitutes a central process for establishing symbiotic host-microbe interactions and offer an explanation of how maternal antibodies are optimized throughout life to protect the newborn.","container-title":"Nature Immunology","DOI":"10.1038/ni.3213","ISSN":"1529-2916","issue":"8","journalAbbreviation":"Nat Immunol","language":"eng","note":"PMID: 26147688","page":"880-888","source":"PubMed","title":"Diversification of memory B cells drives the continuous adaptation of secretory antibodies to gut microbiota","volume":"16","author":[{"family":"Lindner","given":"Cornelia"},{"family":"Thomsen","given":"Irene"},{"family":"Wahl","given":"Benjamin"},{"family":"Ugur","given":"Milas"},{"family":"Sethi","given":"Maya K."},{"family":"Friedrichsen","given":"Michaela"},{"family":"Smoczek","given":"Anna"},{"family":"Ott","given":"Stephan"},{"family":"Baumann","given":"Ulrich"},{"family":"Suerbaum","given":"Sebastian"},{"family":"Schreiber","given":"Stefan"},{"family":"Bleich","given":"André"},{"family":"Gaboriau-Routhiau","given":"Valérie"},{"family":"Cerf-Bensussan","given":"Nadine"},{"family":"Hazanov","given":"Helena"},{"family":"Mehr","given":"Ramit"},{"family":"Boysen","given":"Preben"},{"family":"Rosenstiel","given":"Philip"},{"family":"Pabst","given":"Oliver"}],"issued":{"date-parts":[["2015",8]]}}}],"schema":"https://github.com/citation-style-language/schema/raw/master/csl-citation.json"} </w:instrText>
      </w:r>
      <w:r w:rsidR="0004770A" w:rsidRPr="00DC55B0">
        <w:rPr>
          <w:rFonts w:ascii="Calibri" w:hAnsi="Calibri" w:cs="Calibri"/>
        </w:rPr>
        <w:fldChar w:fldCharType="separate"/>
      </w:r>
      <w:r w:rsidR="003F3CD5" w:rsidRPr="00DC55B0">
        <w:rPr>
          <w:rFonts w:ascii="Calibri" w:hAnsi="Calibri" w:cs="Calibri"/>
          <w:kern w:val="0"/>
          <w:vertAlign w:val="superscript"/>
        </w:rPr>
        <w:t>50–52</w:t>
      </w:r>
      <w:r w:rsidR="0004770A" w:rsidRPr="00DC55B0">
        <w:rPr>
          <w:rFonts w:ascii="Calibri" w:hAnsi="Calibri" w:cs="Calibri"/>
        </w:rPr>
        <w:fldChar w:fldCharType="end"/>
      </w:r>
      <w:r w:rsidR="00E97D72" w:rsidRPr="00DC55B0">
        <w:rPr>
          <w:rFonts w:ascii="Calibri" w:hAnsi="Calibri" w:cs="Calibri"/>
        </w:rPr>
        <w:t xml:space="preserve"> This </w:t>
      </w:r>
      <w:r w:rsidR="00C65471" w:rsidRPr="00DC55B0">
        <w:rPr>
          <w:rFonts w:ascii="Calibri" w:hAnsi="Calibri" w:cs="Calibri"/>
        </w:rPr>
        <w:t>allows breast milk to supply the most relevant antibodies to the infant’s gut but does</w:t>
      </w:r>
      <w:r w:rsidR="00090102" w:rsidRPr="00DC55B0">
        <w:rPr>
          <w:rFonts w:ascii="Calibri" w:hAnsi="Calibri" w:cs="Calibri"/>
        </w:rPr>
        <w:t xml:space="preserve"> suggest that</w:t>
      </w:r>
      <w:r w:rsidR="001B215D" w:rsidRPr="00DC55B0">
        <w:rPr>
          <w:rFonts w:ascii="Calibri" w:hAnsi="Calibri" w:cs="Calibri"/>
        </w:rPr>
        <w:t xml:space="preserve"> vaccines </w:t>
      </w:r>
      <w:r w:rsidR="004904C3" w:rsidRPr="00DC55B0">
        <w:rPr>
          <w:rFonts w:ascii="Calibri" w:hAnsi="Calibri" w:cs="Calibri"/>
        </w:rPr>
        <w:t>optimised to raise</w:t>
      </w:r>
      <w:r w:rsidR="001B215D" w:rsidRPr="00DC55B0">
        <w:rPr>
          <w:rFonts w:ascii="Calibri" w:hAnsi="Calibri" w:cs="Calibri"/>
        </w:rPr>
        <w:t xml:space="preserve"> a circulating IgG response in the mother may have limited ability to transfer protection </w:t>
      </w:r>
      <w:r w:rsidR="00FC32E3" w:rsidRPr="00DC55B0">
        <w:rPr>
          <w:rFonts w:ascii="Calibri" w:hAnsi="Calibri" w:cs="Calibri"/>
        </w:rPr>
        <w:t>to the infant via breast milk.</w:t>
      </w:r>
      <w:r w:rsidR="00B5362A" w:rsidRPr="00DC55B0">
        <w:rPr>
          <w:rFonts w:ascii="Calibri" w:hAnsi="Calibri" w:cs="Calibri"/>
        </w:rPr>
        <w:t xml:space="preserve"> </w:t>
      </w:r>
      <w:r w:rsidR="004904C3" w:rsidRPr="00DC55B0">
        <w:rPr>
          <w:rFonts w:ascii="Calibri" w:hAnsi="Calibri" w:cs="Calibri"/>
        </w:rPr>
        <w:t>Nonetheless</w:t>
      </w:r>
      <w:r w:rsidR="00747878" w:rsidRPr="00DC55B0">
        <w:rPr>
          <w:rFonts w:ascii="Calibri" w:hAnsi="Calibri" w:cs="Calibri"/>
        </w:rPr>
        <w:t>,</w:t>
      </w:r>
      <w:r w:rsidR="00B5362A" w:rsidRPr="00DC55B0">
        <w:rPr>
          <w:rFonts w:ascii="Calibri" w:hAnsi="Calibri" w:cs="Calibri"/>
        </w:rPr>
        <w:t xml:space="preserve"> there is</w:t>
      </w:r>
      <w:r w:rsidR="004904C3" w:rsidRPr="00DC55B0">
        <w:rPr>
          <w:rFonts w:ascii="Calibri" w:hAnsi="Calibri" w:cs="Calibri"/>
        </w:rPr>
        <w:t xml:space="preserve"> still</w:t>
      </w:r>
      <w:r w:rsidR="00B5362A" w:rsidRPr="00DC55B0">
        <w:rPr>
          <w:rFonts w:ascii="Calibri" w:hAnsi="Calibri" w:cs="Calibri"/>
        </w:rPr>
        <w:t xml:space="preserve"> </w:t>
      </w:r>
      <w:r w:rsidR="001929F3" w:rsidRPr="00DC55B0">
        <w:rPr>
          <w:rFonts w:ascii="Calibri" w:hAnsi="Calibri" w:cs="Calibri"/>
        </w:rPr>
        <w:t xml:space="preserve">some evidence that </w:t>
      </w:r>
      <w:r w:rsidR="004B2BA0" w:rsidRPr="00DC55B0">
        <w:rPr>
          <w:rFonts w:ascii="Calibri" w:hAnsi="Calibri" w:cs="Calibri"/>
        </w:rPr>
        <w:t xml:space="preserve">breastfeeding can confer </w:t>
      </w:r>
      <w:r w:rsidR="002A4925" w:rsidRPr="00DC55B0">
        <w:rPr>
          <w:rFonts w:ascii="Calibri" w:hAnsi="Calibri" w:cs="Calibri"/>
        </w:rPr>
        <w:t>limited</w:t>
      </w:r>
      <w:r w:rsidR="004B2BA0" w:rsidRPr="00DC55B0">
        <w:rPr>
          <w:rFonts w:ascii="Calibri" w:hAnsi="Calibri" w:cs="Calibri"/>
        </w:rPr>
        <w:t xml:space="preserve"> protection: </w:t>
      </w:r>
      <w:r w:rsidR="007E4FE4" w:rsidRPr="00DC55B0">
        <w:rPr>
          <w:rFonts w:ascii="Calibri" w:hAnsi="Calibri" w:cs="Calibri"/>
        </w:rPr>
        <w:t xml:space="preserve">in a randomised controlled trial of influenza vaccination in pregnancy, exclusive </w:t>
      </w:r>
      <w:r w:rsidR="004802F0" w:rsidRPr="00DC55B0">
        <w:rPr>
          <w:rFonts w:ascii="Calibri" w:hAnsi="Calibri" w:cs="Calibri"/>
        </w:rPr>
        <w:t xml:space="preserve">breastfeeding after birth was associated with significantly fewer respiratory illnesses </w:t>
      </w:r>
      <w:r w:rsidR="0064727C" w:rsidRPr="00DC55B0">
        <w:rPr>
          <w:rFonts w:ascii="Calibri" w:hAnsi="Calibri" w:cs="Calibri"/>
        </w:rPr>
        <w:t xml:space="preserve">specifically </w:t>
      </w:r>
      <w:r w:rsidR="004802F0" w:rsidRPr="00DC55B0">
        <w:rPr>
          <w:rFonts w:ascii="Calibri" w:hAnsi="Calibri" w:cs="Calibri"/>
        </w:rPr>
        <w:t xml:space="preserve">in the </w:t>
      </w:r>
      <w:r w:rsidR="0064727C" w:rsidRPr="00DC55B0">
        <w:rPr>
          <w:rFonts w:ascii="Calibri" w:hAnsi="Calibri" w:cs="Calibri"/>
        </w:rPr>
        <w:t>influenza vaccinated group</w:t>
      </w:r>
      <w:r w:rsidR="0004770A" w:rsidRPr="00DC55B0">
        <w:rPr>
          <w:rFonts w:ascii="Calibri" w:hAnsi="Calibri" w:cs="Calibri"/>
        </w:rPr>
        <w:t>.</w:t>
      </w:r>
      <w:r w:rsidR="0004770A" w:rsidRPr="00DC55B0">
        <w:rPr>
          <w:rFonts w:ascii="Calibri" w:hAnsi="Calibri" w:cs="Calibri"/>
        </w:rPr>
        <w:fldChar w:fldCharType="begin"/>
      </w:r>
      <w:r w:rsidR="00FD1901" w:rsidRPr="00DC55B0">
        <w:rPr>
          <w:rFonts w:ascii="Calibri" w:hAnsi="Calibri" w:cs="Calibri"/>
        </w:rPr>
        <w:instrText xml:space="preserve"> ADDIN ZOTERO_ITEM CSL_CITATION {"citationID":"fH6lz94L","properties":{"formattedCitation":"\\super 54\\nosupersub{}","plainCitation":"54","noteIndex":0},"citationItems":[{"id":99,"uris":["http://zotero.org/users/14445769/items/M68KR9TN"],"itemData":{"id":99,"type":"article-journal","abstract":"Background Antenatal immunization of mothers with influenza vaccine increases serum antibodies and reduces the rates of influenza illness in mothers and their infants. We report the effect of antenatal immunization on the levels of specific anti-influenza IgA levels in human breast milk. (ClinicalTrials.gov identifier NCT00142389; http://clinicaltrials.gov/ct2/show/NCT00142389). Methods and Findings The Mother's Gift study was a prospective, blinded, randomized controlled trial that assigned 340 pregnant Bangladeshi mothers to receive either trivalent inactivated influenza vaccine, or 23-valent pneumococcal polysaccharide vaccine during the third trimester. We evaluated breast milk at birth, 6 weeks, 6 months, and 12 months, and serum at 10 weeks and 12 months. Milk and serum specimens from 57 subjects were assayed for specific IgA antibody to influenza A/New Caledonia (H1N1) using an enzyme-linked immunosorbent assay (ELISA) and a virus neutralization assay, and for total IgA using ELISA. Influenza-specific IgA levels in breast milk were significantly higher in influenza vaccinees than in pneumococcal controls for at least 6 months postpartum (p = 0.04). Geometric mean concentrations ranged from 8.0 to 91.1 ELISA units/ml in vaccinees, versus 2.3 to 13.7 ELISA units/mL in controls. Virus neutralization titers in milk were 1.2 to 3 fold greater in vaccinees, and correlated with influenza-specific IgA levels (r = 0.86). Greater exclusivity of breastfeeding in the first 6 months of life significantly decreased the expected number of respiratory illness with fever episodes in infants of influenza-vaccinated mothers (p = 0.0042) but not in infants of pneumococcal-vaccinated mothers (p = 0.4154). Conclusions The sustained high levels of actively produced anti-influenza IgA in breast milk and the decreased infant episodes of respiratory illness with fever suggest that breastfeeding may provide local mucosal protection for the infant for at least 6 months. Studies are needed to determine the cellular and immunologic mechanisms of breast milk-mediated protection after antepartum immunization. Trial Registration ClinicalTrials.gov NCT00142389","container-title":"PLOS ONE","DOI":"10.1371/journal.pone.0070867","ISSN":"1932-6203","issue":"8","journalAbbreviation":"PLOS ONE","language":"en","page":"e70867","source":"PLoS Journals","title":"IgA and Neutralizing Antibodies to Influenza A Virus in Human Milk: A Randomized Trial of Antenatal Influenza Immunization","title-short":"IgA and Neutralizing Antibodies to Influenza A Virus in Human Milk","volume":"8","author":[{"family":"Schlaudecker","given":"Elizabeth P."},{"family":"Steinhoff","given":"Mark C."},{"family":"Omer","given":"Saad B."},{"family":"McNeal","given":"Monica M."},{"family":"Roy","given":"Eliza"},{"family":"Arifeen","given":"Shams E."},{"family":"Dodd","given":"Caitlin N."},{"family":"Raqib","given":"Rubhana"},{"family":"Breiman","given":"Robert F."},{"family":"Zaman","given":"K."}],"issued":{"date-parts":[["2013",8,14]]}}}],"schema":"https://github.com/citation-style-language/schema/raw/master/csl-citation.json"} </w:instrText>
      </w:r>
      <w:r w:rsidR="0004770A" w:rsidRPr="00DC55B0">
        <w:rPr>
          <w:rFonts w:ascii="Calibri" w:hAnsi="Calibri" w:cs="Calibri"/>
        </w:rPr>
        <w:fldChar w:fldCharType="separate"/>
      </w:r>
      <w:r w:rsidR="00FD1901" w:rsidRPr="00DC55B0">
        <w:rPr>
          <w:rFonts w:ascii="Calibri" w:hAnsi="Calibri" w:cs="Calibri"/>
          <w:kern w:val="0"/>
          <w:vertAlign w:val="superscript"/>
        </w:rPr>
        <w:t>54</w:t>
      </w:r>
      <w:r w:rsidR="0004770A" w:rsidRPr="00DC55B0">
        <w:rPr>
          <w:rFonts w:ascii="Calibri" w:hAnsi="Calibri" w:cs="Calibri"/>
        </w:rPr>
        <w:fldChar w:fldCharType="end"/>
      </w:r>
    </w:p>
    <w:p w14:paraId="26008B25" w14:textId="77777777" w:rsidR="00886C88" w:rsidRPr="00DC55B0" w:rsidRDefault="00886C88" w:rsidP="001F3ACA">
      <w:pPr>
        <w:rPr>
          <w:rFonts w:ascii="Calibri" w:hAnsi="Calibri" w:cs="Calibri"/>
        </w:rPr>
      </w:pPr>
    </w:p>
    <w:p w14:paraId="3F730A6D" w14:textId="7FC40BA7" w:rsidR="004A25F9" w:rsidRPr="00DC55B0" w:rsidRDefault="00DA19D7" w:rsidP="001F3ACA">
      <w:pPr>
        <w:rPr>
          <w:rFonts w:ascii="Calibri" w:hAnsi="Calibri" w:cs="Calibri"/>
          <w:i/>
          <w:iCs/>
        </w:rPr>
      </w:pPr>
      <w:r w:rsidRPr="00DC55B0">
        <w:rPr>
          <w:rFonts w:ascii="Calibri" w:hAnsi="Calibri" w:cs="Calibri"/>
          <w:i/>
          <w:iCs/>
        </w:rPr>
        <w:t>Interruption of</w:t>
      </w:r>
      <w:r w:rsidR="007F699C" w:rsidRPr="00DC55B0">
        <w:rPr>
          <w:rFonts w:ascii="Calibri" w:hAnsi="Calibri" w:cs="Calibri"/>
          <w:i/>
          <w:iCs/>
        </w:rPr>
        <w:t xml:space="preserve"> pathogen</w:t>
      </w:r>
      <w:r w:rsidRPr="00DC55B0">
        <w:rPr>
          <w:rFonts w:ascii="Calibri" w:hAnsi="Calibri" w:cs="Calibri"/>
          <w:i/>
          <w:iCs/>
        </w:rPr>
        <w:t xml:space="preserve"> transmission</w:t>
      </w:r>
      <w:r w:rsidR="007F699C" w:rsidRPr="00DC55B0">
        <w:rPr>
          <w:rFonts w:ascii="Calibri" w:hAnsi="Calibri" w:cs="Calibri"/>
          <w:i/>
          <w:iCs/>
        </w:rPr>
        <w:t xml:space="preserve"> by vaccination</w:t>
      </w:r>
    </w:p>
    <w:p w14:paraId="3F266810" w14:textId="5A681BB3" w:rsidR="004A25F9" w:rsidRPr="00DC55B0" w:rsidRDefault="004A25F9" w:rsidP="001F3ACA">
      <w:pPr>
        <w:rPr>
          <w:rFonts w:ascii="Calibri" w:hAnsi="Calibri" w:cs="Calibri"/>
        </w:rPr>
      </w:pPr>
      <w:r w:rsidRPr="00DC55B0">
        <w:rPr>
          <w:rFonts w:ascii="Calibri" w:hAnsi="Calibri" w:cs="Calibri"/>
        </w:rPr>
        <w:t xml:space="preserve">In addition to </w:t>
      </w:r>
      <w:r w:rsidR="00663142" w:rsidRPr="00DC55B0">
        <w:rPr>
          <w:rFonts w:ascii="Calibri" w:hAnsi="Calibri" w:cs="Calibri"/>
        </w:rPr>
        <w:t xml:space="preserve">the direct antimicrobial </w:t>
      </w:r>
      <w:r w:rsidRPr="00DC55B0">
        <w:rPr>
          <w:rFonts w:ascii="Calibri" w:hAnsi="Calibri" w:cs="Calibri"/>
        </w:rPr>
        <w:t>protection</w:t>
      </w:r>
      <w:r w:rsidR="00663142" w:rsidRPr="00DC55B0">
        <w:rPr>
          <w:rFonts w:ascii="Calibri" w:hAnsi="Calibri" w:cs="Calibri"/>
        </w:rPr>
        <w:t xml:space="preserve"> that is</w:t>
      </w:r>
      <w:r w:rsidRPr="00DC55B0">
        <w:rPr>
          <w:rFonts w:ascii="Calibri" w:hAnsi="Calibri" w:cs="Calibri"/>
        </w:rPr>
        <w:t xml:space="preserve"> mediated by </w:t>
      </w:r>
      <w:r w:rsidR="00663142" w:rsidRPr="00DC55B0">
        <w:rPr>
          <w:rFonts w:ascii="Calibri" w:hAnsi="Calibri" w:cs="Calibri"/>
        </w:rPr>
        <w:t xml:space="preserve">the transfer of </w:t>
      </w:r>
      <w:r w:rsidRPr="00DC55B0">
        <w:rPr>
          <w:rFonts w:ascii="Calibri" w:hAnsi="Calibri" w:cs="Calibri"/>
        </w:rPr>
        <w:t>maternally</w:t>
      </w:r>
      <w:r w:rsidR="00F12741" w:rsidRPr="00DC55B0">
        <w:rPr>
          <w:rFonts w:ascii="Calibri" w:hAnsi="Calibri" w:cs="Calibri"/>
        </w:rPr>
        <w:t xml:space="preserve"> </w:t>
      </w:r>
      <w:r w:rsidRPr="00DC55B0">
        <w:rPr>
          <w:rFonts w:ascii="Calibri" w:hAnsi="Calibri" w:cs="Calibri"/>
        </w:rPr>
        <w:t>derived antibody</w:t>
      </w:r>
      <w:r w:rsidR="00663142" w:rsidRPr="00DC55B0">
        <w:rPr>
          <w:rFonts w:ascii="Calibri" w:hAnsi="Calibri" w:cs="Calibri"/>
        </w:rPr>
        <w:t xml:space="preserve"> to the newborn</w:t>
      </w:r>
      <w:r w:rsidRPr="00DC55B0">
        <w:rPr>
          <w:rFonts w:ascii="Calibri" w:hAnsi="Calibri" w:cs="Calibri"/>
        </w:rPr>
        <w:t xml:space="preserve">, maternal immunisation can also </w:t>
      </w:r>
      <w:r w:rsidR="00663142" w:rsidRPr="00DC55B0">
        <w:rPr>
          <w:rFonts w:ascii="Calibri" w:hAnsi="Calibri" w:cs="Calibri"/>
        </w:rPr>
        <w:t xml:space="preserve">indirectly </w:t>
      </w:r>
      <w:r w:rsidRPr="00DC55B0">
        <w:rPr>
          <w:rFonts w:ascii="Calibri" w:hAnsi="Calibri" w:cs="Calibri"/>
        </w:rPr>
        <w:t xml:space="preserve">protect newborns </w:t>
      </w:r>
      <w:r w:rsidR="00663142" w:rsidRPr="00DC55B0">
        <w:rPr>
          <w:rFonts w:ascii="Calibri" w:hAnsi="Calibri" w:cs="Calibri"/>
        </w:rPr>
        <w:t xml:space="preserve">from infection </w:t>
      </w:r>
      <w:r w:rsidR="00DA19D7" w:rsidRPr="00DC55B0">
        <w:rPr>
          <w:rFonts w:ascii="Calibri" w:hAnsi="Calibri" w:cs="Calibri"/>
        </w:rPr>
        <w:t xml:space="preserve">by interrupting </w:t>
      </w:r>
      <w:r w:rsidR="00927F6A" w:rsidRPr="00DC55B0">
        <w:rPr>
          <w:rFonts w:ascii="Calibri" w:hAnsi="Calibri" w:cs="Calibri"/>
        </w:rPr>
        <w:t xml:space="preserve">pathogen </w:t>
      </w:r>
      <w:r w:rsidR="00DA19D7" w:rsidRPr="00DC55B0">
        <w:rPr>
          <w:rFonts w:ascii="Calibri" w:hAnsi="Calibri" w:cs="Calibri"/>
        </w:rPr>
        <w:t>transmission</w:t>
      </w:r>
      <w:r w:rsidR="00F836C5" w:rsidRPr="00DC55B0">
        <w:rPr>
          <w:rFonts w:ascii="Calibri" w:hAnsi="Calibri" w:cs="Calibri"/>
        </w:rPr>
        <w:t xml:space="preserve">. </w:t>
      </w:r>
      <w:r w:rsidRPr="00DC55B0">
        <w:rPr>
          <w:rFonts w:ascii="Calibri" w:hAnsi="Calibri" w:cs="Calibri"/>
        </w:rPr>
        <w:t>This strategy is sometimes extended to include vaccination of other close contacts of the newborn</w:t>
      </w:r>
      <w:r w:rsidR="009B262C" w:rsidRPr="00DC55B0">
        <w:rPr>
          <w:rFonts w:ascii="Calibri" w:hAnsi="Calibri" w:cs="Calibri"/>
        </w:rPr>
        <w:t xml:space="preserve"> </w:t>
      </w:r>
      <w:r w:rsidR="00F836C5" w:rsidRPr="00DC55B0">
        <w:rPr>
          <w:rFonts w:ascii="Calibri" w:hAnsi="Calibri" w:cs="Calibri"/>
        </w:rPr>
        <w:t>(</w:t>
      </w:r>
      <w:r w:rsidR="00663142" w:rsidRPr="00DC55B0">
        <w:rPr>
          <w:rFonts w:ascii="Calibri" w:hAnsi="Calibri" w:cs="Calibri"/>
        </w:rPr>
        <w:t>referred to as ‘</w:t>
      </w:r>
      <w:r w:rsidR="00F836C5" w:rsidRPr="00DC55B0">
        <w:rPr>
          <w:rFonts w:ascii="Calibri" w:hAnsi="Calibri" w:cs="Calibri"/>
        </w:rPr>
        <w:t>cocooning</w:t>
      </w:r>
      <w:r w:rsidR="00663142" w:rsidRPr="00DC55B0">
        <w:rPr>
          <w:rFonts w:ascii="Calibri" w:hAnsi="Calibri" w:cs="Calibri"/>
        </w:rPr>
        <w:t>’</w:t>
      </w:r>
      <w:r w:rsidR="00F836C5" w:rsidRPr="00DC55B0">
        <w:rPr>
          <w:rFonts w:ascii="Calibri" w:hAnsi="Calibri" w:cs="Calibri"/>
        </w:rPr>
        <w:t xml:space="preserve">) </w:t>
      </w:r>
      <w:r w:rsidR="009B262C" w:rsidRPr="00DC55B0">
        <w:rPr>
          <w:rFonts w:ascii="Calibri" w:hAnsi="Calibri" w:cs="Calibri"/>
        </w:rPr>
        <w:t>and has</w:t>
      </w:r>
      <w:r w:rsidRPr="00DC55B0">
        <w:rPr>
          <w:rFonts w:ascii="Calibri" w:hAnsi="Calibri" w:cs="Calibri"/>
        </w:rPr>
        <w:t xml:space="preserve"> been shown to be effective for </w:t>
      </w:r>
      <w:r w:rsidR="00663142" w:rsidRPr="00DC55B0">
        <w:rPr>
          <w:rFonts w:ascii="Calibri" w:hAnsi="Calibri" w:cs="Calibri"/>
        </w:rPr>
        <w:t xml:space="preserve">protecting infants from </w:t>
      </w:r>
      <w:r w:rsidRPr="00DC55B0">
        <w:rPr>
          <w:rFonts w:ascii="Calibri" w:hAnsi="Calibri" w:cs="Calibri"/>
        </w:rPr>
        <w:t>influenza</w:t>
      </w:r>
      <w:r w:rsidR="00E9479B" w:rsidRPr="00DC55B0">
        <w:rPr>
          <w:rFonts w:ascii="Calibri" w:hAnsi="Calibri" w:cs="Calibri"/>
        </w:rPr>
        <w:t>.</w:t>
      </w:r>
      <w:r w:rsidR="007B284F" w:rsidRPr="00DC55B0">
        <w:rPr>
          <w:rFonts w:ascii="Calibri" w:hAnsi="Calibri" w:cs="Calibri"/>
        </w:rPr>
        <w:fldChar w:fldCharType="begin"/>
      </w:r>
      <w:r w:rsidR="003F3CD5" w:rsidRPr="00DC55B0">
        <w:rPr>
          <w:rFonts w:ascii="Calibri" w:hAnsi="Calibri" w:cs="Calibri"/>
        </w:rPr>
        <w:instrText xml:space="preserve"> ADDIN ZOTERO_ITEM CSL_CITATION {"citationID":"nmNoaly4","properties":{"formattedCitation":"\\super 55,56\\nosupersub{}","plainCitation":"55,56","noteIndex":0},"citationItems":[{"id":191,"uris":["http://zotero.org/users/14445769/items/E92AF4VP"],"itemData":{"id":191,"type":"article-journal","abstract":"BACKGROUND: Influenza is associated with an increased risk for serious illness, hospitalization, and mortality in infants aged &lt;6 months. However, influenza vaccines are not licensed for administration in this age group. The study evaluated the effectiveness of postpartum influenza vaccination of mothers and household members in infants.\nMETHODS: The influenza vaccine was offered to mothers and household members of neonates born or hospitalized in 3 hospitals prior to the 2012-2013 season. Mothers were contacted every 2 weeks during the influenza season, and data regarding the onset of fever and/or respiratory symptoms in infants, healthcare seeking, hospitalization, and administration of antibiotics were collected.\nRESULTS: The study group consisted of 553 mothers who delivered 573 neonates. The influenza vaccine was administered to 841 of 1844 (45.6%) household contacts. Vaccination coverage rates ranged between 41.9% for neonates siblings and 49% for mothers. Five hundred thirty infants were analyzed for vaccine effectiveness. For outcomes in the infant, postpartum maternal vaccination had 37.7% effectiveness against acute respiratory illness (ARI), 50.3% against a febrile episode, 53.5% against influenza-like illness (ILI), 41.8% against related healthcare seeking, and 45.4% against administration of antibiotics. Multiple logistic regression analyses showed that maternal influenza vaccination was significantly associated with a decreased probability for febrile episodes, ARIs, and/or ILIs in infants, related healthcare seeking, and/or administration of antibiotics during the influenza season. Vaccination of other household contacts had no impact.\nCONCLUSIONS: Maternal postpartum vaccination against influenza was associated with a significant reduction of influenza-related morbidity, healthcare seeking, and antibiotic prescription in infants during the influenza season.","container-title":"Clinical Infectious Diseases: An Official Publication of the Infectious Diseases Society of America","DOI":"10.1093/cid/cit599","ISSN":"1537-6591","issue":"11","journalAbbreviation":"Clin Infect Dis","language":"eng","note":"PMID: 24046313","page":"1520-1526","source":"PubMed","title":"Impact of postpartum influenza vaccination of mothers and household contacts in preventing febrile episodes, influenza-like illness, healthcare seeking, and administration of antibiotics in young infants during the 2012-2013 influenza season","volume":"57","author":[{"family":"Maltezou","given":"Helena C."},{"family":"Fotiou","given":"Aikaterini"},{"family":"Antonakopoulos","given":"Nikolaos"},{"family":"Kallogriopoulou","given":"Cleopatra"},{"family":"Katerelos","given":"Panos"},{"family":"Dimopoulou","given":"Antonia"},{"family":"Tsoutsa","given":"Vasiliki"},{"family":"Siahanidou","given":"Tania"},{"family":"Papagaroufalis","given":"Constantinos"},{"family":"Kostis","given":"Evangelos"},{"family":"Papantoniou","given":"Nikolaos"},{"family":"Antsaklis","given":"Aristides"},{"family":"Theodoridou","given":"Maria"}],"issued":{"date-parts":[["2013",12]]}}},{"id":192,"uris":["http://zotero.org/users/14445769/items/QWMA4QKR"],"itemData":{"id":192,"type":"article-journal","abstract":"During the initial half-year of their existence, infants cannot receive the influenza vaccine, yet they face the greatest susceptibility to severe influenza complications. In this study, we seek to determine whether influenza vaccination of maternal and household contacts is associated with a reduced risk of influenza-like illness (ILI) and severe acute respiratory infection (SARI) in infants. This work was prospectively conducted during the influenza season. A total of 206 infants were included in this study. The percentage of infants with only the mother vaccinated is 12.6% (n:26), and the percent of infants with all household contacts vaccinated is 16% (n:33). Among the infants with only the mother vaccinated, the effectiveness of influenza vaccine is estimated as 35.3% for ILI and 41.3% for SARI. Among infants with all household contacts vaccinated, the effectiveness is estimated as 48.9% for ILI and 76.9% for SARI. Based on the results of multivariate logistic regression analysis, all-household vaccination is a protective factor against SARI (OR: 0.07 95% CI [0.01–0.56]), household size (OR: 1.75, 95% CI [1.24–2.48]) and presence of secondhand smoke (OR: 2.2, 95% CI [1.12–4.45]) significant risk factors for SARI in infants. The mother alone being vaccinated is not a statistically significant protective factor against ILI (OR: 0.46, 95% CI [0.19–1.18]) or SARI (OR: 0.3, 95% CI [0.11–1.21]). Along with the obtained results and analysis, this study provides clear evidence that influenza vaccination of all household contacts of infants aged 0–6 months is significantly associated with protecting infants from both ILI and SARI.","container-title":"Human Vaccines &amp; Immunotherapeutics","DOI":"10.1080/21645515.2024.2350090","ISSN":"2164-5515","issue":"1","journalAbbreviation":"Hum Vaccin Immunother","note":"PMID: 38738691\nPMCID: PMC11093031","page":"2350090","source":"PubMed Central","title":"Effectiveness of cocoon strategy vaccination on prevention of influenza-like illness in young infants","volume":"20","author":[{"family":"Oguz","given":"Melahat Melek"},{"family":"Senel","given":"Saliha"}]}}],"schema":"https://github.com/citation-style-language/schema/raw/master/csl-citation.json"} </w:instrText>
      </w:r>
      <w:r w:rsidR="007B284F" w:rsidRPr="00DC55B0">
        <w:rPr>
          <w:rFonts w:ascii="Calibri" w:hAnsi="Calibri" w:cs="Calibri"/>
        </w:rPr>
        <w:fldChar w:fldCharType="separate"/>
      </w:r>
      <w:r w:rsidR="003F3CD5" w:rsidRPr="00DC55B0">
        <w:rPr>
          <w:rFonts w:ascii="Calibri" w:hAnsi="Calibri" w:cs="Calibri"/>
          <w:kern w:val="0"/>
          <w:vertAlign w:val="superscript"/>
        </w:rPr>
        <w:t>55,56</w:t>
      </w:r>
      <w:r w:rsidR="007B284F" w:rsidRPr="00DC55B0">
        <w:rPr>
          <w:rFonts w:ascii="Calibri" w:hAnsi="Calibri" w:cs="Calibri"/>
        </w:rPr>
        <w:fldChar w:fldCharType="end"/>
      </w:r>
      <w:r w:rsidRPr="00DC55B0">
        <w:rPr>
          <w:rFonts w:ascii="Calibri" w:hAnsi="Calibri" w:cs="Calibri"/>
        </w:rPr>
        <w:t xml:space="preserve"> </w:t>
      </w:r>
      <w:r w:rsidR="007F699C" w:rsidRPr="00DC55B0">
        <w:rPr>
          <w:rFonts w:ascii="Calibri" w:hAnsi="Calibri" w:cs="Calibri"/>
        </w:rPr>
        <w:t>The cocoon vaccine strategy</w:t>
      </w:r>
      <w:r w:rsidRPr="00DC55B0">
        <w:rPr>
          <w:rFonts w:ascii="Calibri" w:hAnsi="Calibri" w:cs="Calibri"/>
        </w:rPr>
        <w:t xml:space="preserve"> has</w:t>
      </w:r>
      <w:r w:rsidR="007F699C" w:rsidRPr="00DC55B0">
        <w:rPr>
          <w:rFonts w:ascii="Calibri" w:hAnsi="Calibri" w:cs="Calibri"/>
        </w:rPr>
        <w:t xml:space="preserve"> also</w:t>
      </w:r>
      <w:r w:rsidRPr="00DC55B0">
        <w:rPr>
          <w:rFonts w:ascii="Calibri" w:hAnsi="Calibri" w:cs="Calibri"/>
        </w:rPr>
        <w:t xml:space="preserve"> been attempted </w:t>
      </w:r>
      <w:r w:rsidR="007F699C" w:rsidRPr="00DC55B0">
        <w:rPr>
          <w:rFonts w:ascii="Calibri" w:hAnsi="Calibri" w:cs="Calibri"/>
        </w:rPr>
        <w:t>to</w:t>
      </w:r>
      <w:r w:rsidRPr="00DC55B0">
        <w:rPr>
          <w:rFonts w:ascii="Calibri" w:hAnsi="Calibri" w:cs="Calibri"/>
        </w:rPr>
        <w:t xml:space="preserve"> </w:t>
      </w:r>
      <w:r w:rsidR="007F699C" w:rsidRPr="00DC55B0">
        <w:rPr>
          <w:rFonts w:ascii="Calibri" w:hAnsi="Calibri" w:cs="Calibri"/>
        </w:rPr>
        <w:t xml:space="preserve">protect infants from </w:t>
      </w:r>
      <w:r w:rsidRPr="00DC55B0">
        <w:rPr>
          <w:rFonts w:ascii="Calibri" w:hAnsi="Calibri" w:cs="Calibri"/>
        </w:rPr>
        <w:lastRenderedPageBreak/>
        <w:t xml:space="preserve">pertussis, </w:t>
      </w:r>
      <w:r w:rsidR="007F699C" w:rsidRPr="00DC55B0">
        <w:rPr>
          <w:rFonts w:ascii="Calibri" w:hAnsi="Calibri" w:cs="Calibri"/>
        </w:rPr>
        <w:t xml:space="preserve">but </w:t>
      </w:r>
      <w:r w:rsidRPr="00DC55B0">
        <w:rPr>
          <w:rFonts w:ascii="Calibri" w:hAnsi="Calibri" w:cs="Calibri"/>
        </w:rPr>
        <w:t xml:space="preserve">the number </w:t>
      </w:r>
      <w:r w:rsidR="007F699C" w:rsidRPr="00DC55B0">
        <w:rPr>
          <w:rFonts w:ascii="Calibri" w:hAnsi="Calibri" w:cs="Calibri"/>
        </w:rPr>
        <w:t xml:space="preserve">of individuals that </w:t>
      </w:r>
      <w:r w:rsidRPr="00DC55B0">
        <w:rPr>
          <w:rFonts w:ascii="Calibri" w:hAnsi="Calibri" w:cs="Calibri"/>
        </w:rPr>
        <w:t xml:space="preserve">needed to </w:t>
      </w:r>
      <w:r w:rsidR="007F699C" w:rsidRPr="00DC55B0">
        <w:rPr>
          <w:rFonts w:ascii="Calibri" w:hAnsi="Calibri" w:cs="Calibri"/>
        </w:rPr>
        <w:t xml:space="preserve">be </w:t>
      </w:r>
      <w:r w:rsidRPr="00DC55B0">
        <w:rPr>
          <w:rFonts w:ascii="Calibri" w:hAnsi="Calibri" w:cs="Calibri"/>
        </w:rPr>
        <w:t>vaccinate</w:t>
      </w:r>
      <w:r w:rsidR="007F699C" w:rsidRPr="00DC55B0">
        <w:rPr>
          <w:rFonts w:ascii="Calibri" w:hAnsi="Calibri" w:cs="Calibri"/>
        </w:rPr>
        <w:t>d</w:t>
      </w:r>
      <w:r w:rsidRPr="00DC55B0">
        <w:rPr>
          <w:rFonts w:ascii="Calibri" w:hAnsi="Calibri" w:cs="Calibri"/>
        </w:rPr>
        <w:t xml:space="preserve"> </w:t>
      </w:r>
      <w:r w:rsidR="007F699C" w:rsidRPr="00DC55B0">
        <w:rPr>
          <w:rFonts w:ascii="Calibri" w:hAnsi="Calibri" w:cs="Calibri"/>
        </w:rPr>
        <w:t>in order to observe any benefit was</w:t>
      </w:r>
      <w:r w:rsidRPr="00DC55B0">
        <w:rPr>
          <w:rFonts w:ascii="Calibri" w:hAnsi="Calibri" w:cs="Calibri"/>
        </w:rPr>
        <w:t xml:space="preserve"> too high to be </w:t>
      </w:r>
      <w:r w:rsidR="00614FBF" w:rsidRPr="00DC55B0">
        <w:rPr>
          <w:rFonts w:ascii="Calibri" w:hAnsi="Calibri" w:cs="Calibri"/>
        </w:rPr>
        <w:t>cost-</w:t>
      </w:r>
      <w:r w:rsidRPr="00DC55B0">
        <w:rPr>
          <w:rFonts w:ascii="Calibri" w:hAnsi="Calibri" w:cs="Calibri"/>
        </w:rPr>
        <w:t xml:space="preserve">efficient in </w:t>
      </w:r>
      <w:r w:rsidR="007F699C" w:rsidRPr="00DC55B0">
        <w:rPr>
          <w:rFonts w:ascii="Calibri" w:hAnsi="Calibri" w:cs="Calibri"/>
        </w:rPr>
        <w:t xml:space="preserve">settings where there is a </w:t>
      </w:r>
      <w:r w:rsidRPr="00DC55B0">
        <w:rPr>
          <w:rFonts w:ascii="Calibri" w:hAnsi="Calibri" w:cs="Calibri"/>
        </w:rPr>
        <w:t xml:space="preserve">low incidence </w:t>
      </w:r>
      <w:r w:rsidR="007F699C" w:rsidRPr="00DC55B0">
        <w:rPr>
          <w:rFonts w:ascii="Calibri" w:hAnsi="Calibri" w:cs="Calibri"/>
        </w:rPr>
        <w:t>of pertussis</w:t>
      </w:r>
      <w:r w:rsidR="007B284F" w:rsidRPr="00DC55B0">
        <w:rPr>
          <w:rFonts w:ascii="Calibri" w:hAnsi="Calibri" w:cs="Calibri"/>
        </w:rPr>
        <w:t>.</w:t>
      </w:r>
      <w:r w:rsidR="007B284F" w:rsidRPr="00DC55B0">
        <w:rPr>
          <w:rFonts w:ascii="Calibri" w:hAnsi="Calibri" w:cs="Calibri"/>
        </w:rPr>
        <w:fldChar w:fldCharType="begin"/>
      </w:r>
      <w:r w:rsidR="003F3CD5" w:rsidRPr="00DC55B0">
        <w:rPr>
          <w:rFonts w:ascii="Calibri" w:hAnsi="Calibri" w:cs="Calibri"/>
        </w:rPr>
        <w:instrText xml:space="preserve"> ADDIN ZOTERO_ITEM CSL_CITATION {"citationID":"f964wcas","properties":{"formattedCitation":"\\super 57\\nosupersub{}","plainCitation":"57","noteIndex":0},"citationItems":[{"id":190,"uris":["http://zotero.org/users/14445769/items/G5DZS2V9"],"itemData":{"id":190,"type":"article-journal","container-title":"Clinical Infectious Diseases","DOI":"10.1093/cid/cir836","ISSN":"1058-4838, 1537-6591","issue":"3","journalAbbreviation":"Clinical Infectious Diseases","language":"en","page":"318-327","source":"DOI.org (Crossref)","title":"The Number Needed to Vaccinate to Prevent Infant Pertussis Hospitalization and Death Through Parent Cocoon Immunization","volume":"54","author":[{"family":"Skowronski","given":"D. M."},{"family":"Janjua","given":"N. Z."},{"family":"Sonfack Tsafack","given":"E. P."},{"family":"Ouakki","given":"M."},{"family":"Hoang","given":"L."},{"family":"De Serres","given":"G."}],"issued":{"date-parts":[["2012",2,1]]}}}],"schema":"https://github.com/citation-style-language/schema/raw/master/csl-citation.json"} </w:instrText>
      </w:r>
      <w:r w:rsidR="007B284F" w:rsidRPr="00DC55B0">
        <w:rPr>
          <w:rFonts w:ascii="Calibri" w:hAnsi="Calibri" w:cs="Calibri"/>
        </w:rPr>
        <w:fldChar w:fldCharType="separate"/>
      </w:r>
      <w:r w:rsidR="003F3CD5" w:rsidRPr="00DC55B0">
        <w:rPr>
          <w:rFonts w:ascii="Calibri" w:hAnsi="Calibri" w:cs="Calibri"/>
          <w:kern w:val="0"/>
          <w:vertAlign w:val="superscript"/>
        </w:rPr>
        <w:t>57</w:t>
      </w:r>
      <w:r w:rsidR="007B284F" w:rsidRPr="00DC55B0">
        <w:rPr>
          <w:rFonts w:ascii="Calibri" w:hAnsi="Calibri" w:cs="Calibri"/>
        </w:rPr>
        <w:fldChar w:fldCharType="end"/>
      </w:r>
      <w:r w:rsidR="007F699C" w:rsidRPr="00DC55B0">
        <w:rPr>
          <w:rFonts w:ascii="Calibri" w:hAnsi="Calibri" w:cs="Calibri"/>
        </w:rPr>
        <w:t xml:space="preserve"> Therefore, the effectiveness of cocooning vaccination strategies in protecting infants will depend on the overall disease incidence in an area. </w:t>
      </w:r>
    </w:p>
    <w:p w14:paraId="2825D053" w14:textId="77777777" w:rsidR="005345C5" w:rsidRPr="00DC55B0" w:rsidRDefault="005345C5" w:rsidP="001F3ACA">
      <w:pPr>
        <w:rPr>
          <w:rFonts w:ascii="Calibri" w:hAnsi="Calibri" w:cs="Calibri"/>
        </w:rPr>
      </w:pPr>
    </w:p>
    <w:p w14:paraId="4F657166" w14:textId="1EDCBBF8" w:rsidR="005345C5" w:rsidRPr="00DC55B0" w:rsidRDefault="005345C5" w:rsidP="001F3ACA">
      <w:pPr>
        <w:rPr>
          <w:rFonts w:ascii="Calibri" w:hAnsi="Calibri" w:cs="Calibri"/>
          <w:b/>
          <w:bCs/>
        </w:rPr>
      </w:pPr>
      <w:r w:rsidRPr="00DC55B0">
        <w:rPr>
          <w:rFonts w:ascii="Calibri" w:hAnsi="Calibri" w:cs="Calibri"/>
        </w:rPr>
        <w:t>The mechanisms by</w:t>
      </w:r>
      <w:r w:rsidR="00E23DA1" w:rsidRPr="00DC55B0">
        <w:rPr>
          <w:rFonts w:ascii="Calibri" w:hAnsi="Calibri" w:cs="Calibri"/>
        </w:rPr>
        <w:t xml:space="preserve"> which vaccination during pregnancy protects the newborn are summarised in </w:t>
      </w:r>
      <w:r w:rsidR="00E23DA1" w:rsidRPr="00DC55B0">
        <w:rPr>
          <w:rFonts w:ascii="Calibri" w:hAnsi="Calibri" w:cs="Calibri"/>
          <w:b/>
          <w:bCs/>
        </w:rPr>
        <w:t xml:space="preserve">Figure </w:t>
      </w:r>
      <w:r w:rsidR="00A9483D" w:rsidRPr="00DC55B0">
        <w:rPr>
          <w:rFonts w:ascii="Calibri" w:hAnsi="Calibri" w:cs="Calibri"/>
          <w:b/>
          <w:bCs/>
        </w:rPr>
        <w:t>2</w:t>
      </w:r>
      <w:r w:rsidR="00E23DA1" w:rsidRPr="00DC55B0">
        <w:rPr>
          <w:rFonts w:ascii="Calibri" w:hAnsi="Calibri" w:cs="Calibri"/>
          <w:b/>
          <w:bCs/>
        </w:rPr>
        <w:t>.</w:t>
      </w:r>
    </w:p>
    <w:p w14:paraId="488E1B03" w14:textId="77777777" w:rsidR="00BE00E7" w:rsidRPr="00DC55B0" w:rsidRDefault="00BE00E7" w:rsidP="001F3ACA">
      <w:pPr>
        <w:rPr>
          <w:rFonts w:ascii="Calibri" w:hAnsi="Calibri" w:cs="Calibri"/>
        </w:rPr>
      </w:pPr>
    </w:p>
    <w:p w14:paraId="381289C6" w14:textId="250183DB" w:rsidR="00A568F6" w:rsidRPr="00DC55B0" w:rsidRDefault="00BE00E7" w:rsidP="001F3ACA">
      <w:pPr>
        <w:rPr>
          <w:rFonts w:ascii="Calibri" w:hAnsi="Calibri" w:cs="Calibri"/>
          <w:b/>
          <w:bCs/>
        </w:rPr>
      </w:pPr>
      <w:r w:rsidRPr="00DC55B0">
        <w:rPr>
          <w:rFonts w:ascii="Calibri" w:hAnsi="Calibri" w:cs="Calibri"/>
          <w:b/>
          <w:bCs/>
        </w:rPr>
        <w:t xml:space="preserve">Established </w:t>
      </w:r>
      <w:r w:rsidR="007F699C" w:rsidRPr="00DC55B0">
        <w:rPr>
          <w:rFonts w:ascii="Calibri" w:hAnsi="Calibri" w:cs="Calibri"/>
          <w:b/>
          <w:bCs/>
        </w:rPr>
        <w:t xml:space="preserve">vaccine </w:t>
      </w:r>
      <w:r w:rsidRPr="00DC55B0">
        <w:rPr>
          <w:rFonts w:ascii="Calibri" w:hAnsi="Calibri" w:cs="Calibri"/>
          <w:b/>
          <w:bCs/>
        </w:rPr>
        <w:t>programmes</w:t>
      </w:r>
      <w:r w:rsidR="00AC1E4A" w:rsidRPr="00DC55B0">
        <w:rPr>
          <w:rFonts w:ascii="Calibri" w:hAnsi="Calibri" w:cs="Calibri"/>
          <w:b/>
          <w:bCs/>
        </w:rPr>
        <w:t xml:space="preserve"> </w:t>
      </w:r>
    </w:p>
    <w:p w14:paraId="33F0D18D" w14:textId="409EA1A0" w:rsidR="00A568F6" w:rsidRPr="00DC55B0" w:rsidRDefault="00F36710" w:rsidP="001F3ACA">
      <w:pPr>
        <w:rPr>
          <w:rFonts w:ascii="Calibri" w:hAnsi="Calibri" w:cs="Calibri"/>
        </w:rPr>
      </w:pPr>
      <w:r w:rsidRPr="00DC55B0">
        <w:rPr>
          <w:rFonts w:ascii="Calibri" w:hAnsi="Calibri" w:cs="Calibri"/>
        </w:rPr>
        <w:t xml:space="preserve">Vaccination in pregnancy to </w:t>
      </w:r>
      <w:r w:rsidR="00C53670" w:rsidRPr="00DC55B0">
        <w:rPr>
          <w:rFonts w:ascii="Calibri" w:hAnsi="Calibri" w:cs="Calibri"/>
        </w:rPr>
        <w:t>protect</w:t>
      </w:r>
      <w:r w:rsidRPr="00DC55B0">
        <w:rPr>
          <w:rFonts w:ascii="Calibri" w:hAnsi="Calibri" w:cs="Calibri"/>
        </w:rPr>
        <w:t xml:space="preserve"> the </w:t>
      </w:r>
      <w:r w:rsidR="00B61879" w:rsidRPr="00DC55B0">
        <w:rPr>
          <w:rFonts w:ascii="Calibri" w:hAnsi="Calibri" w:cs="Calibri"/>
        </w:rPr>
        <w:t>newborn</w:t>
      </w:r>
      <w:r w:rsidRPr="00DC55B0">
        <w:rPr>
          <w:rFonts w:ascii="Calibri" w:hAnsi="Calibri" w:cs="Calibri"/>
        </w:rPr>
        <w:t xml:space="preserve"> has a long pedigree</w:t>
      </w:r>
      <w:r w:rsidR="00BA374A" w:rsidRPr="00DC55B0">
        <w:rPr>
          <w:rFonts w:ascii="Calibri" w:hAnsi="Calibri" w:cs="Calibri"/>
        </w:rPr>
        <w:t>:</w:t>
      </w:r>
      <w:r w:rsidR="00943114" w:rsidRPr="00DC55B0">
        <w:rPr>
          <w:rFonts w:ascii="Calibri" w:hAnsi="Calibri" w:cs="Calibri"/>
        </w:rPr>
        <w:t xml:space="preserve"> </w:t>
      </w:r>
      <w:r w:rsidR="007F699C" w:rsidRPr="00DC55B0">
        <w:rPr>
          <w:rFonts w:ascii="Calibri" w:hAnsi="Calibri" w:cs="Calibri"/>
        </w:rPr>
        <w:t>as early as 187</w:t>
      </w:r>
      <w:r w:rsidR="00EF4495" w:rsidRPr="00DC55B0">
        <w:rPr>
          <w:rFonts w:ascii="Calibri" w:hAnsi="Calibri" w:cs="Calibri"/>
        </w:rPr>
        <w:t>7</w:t>
      </w:r>
      <w:r w:rsidR="007F699C" w:rsidRPr="00DC55B0">
        <w:rPr>
          <w:rFonts w:ascii="Calibri" w:hAnsi="Calibri" w:cs="Calibri"/>
        </w:rPr>
        <w:t>, it was</w:t>
      </w:r>
      <w:r w:rsidR="00943114" w:rsidRPr="00DC55B0">
        <w:rPr>
          <w:rFonts w:ascii="Calibri" w:hAnsi="Calibri" w:cs="Calibri"/>
        </w:rPr>
        <w:t xml:space="preserve"> report</w:t>
      </w:r>
      <w:r w:rsidR="007F699C" w:rsidRPr="00DC55B0">
        <w:rPr>
          <w:rFonts w:ascii="Calibri" w:hAnsi="Calibri" w:cs="Calibri"/>
        </w:rPr>
        <w:t>ed</w:t>
      </w:r>
      <w:r w:rsidR="00943114" w:rsidRPr="00DC55B0">
        <w:rPr>
          <w:rFonts w:ascii="Calibri" w:hAnsi="Calibri" w:cs="Calibri"/>
        </w:rPr>
        <w:t xml:space="preserve"> that infants born </w:t>
      </w:r>
      <w:r w:rsidR="007F699C" w:rsidRPr="00DC55B0">
        <w:rPr>
          <w:rFonts w:ascii="Calibri" w:hAnsi="Calibri" w:cs="Calibri"/>
        </w:rPr>
        <w:t xml:space="preserve">to mothers who had received the </w:t>
      </w:r>
      <w:r w:rsidR="00071A8C" w:rsidRPr="00DC55B0">
        <w:rPr>
          <w:rFonts w:ascii="Calibri" w:hAnsi="Calibri" w:cs="Calibri"/>
        </w:rPr>
        <w:t>smallpox vaccin</w:t>
      </w:r>
      <w:r w:rsidR="007F699C" w:rsidRPr="00DC55B0">
        <w:rPr>
          <w:rFonts w:ascii="Calibri" w:hAnsi="Calibri" w:cs="Calibri"/>
        </w:rPr>
        <w:t>e</w:t>
      </w:r>
      <w:r w:rsidR="00071A8C" w:rsidRPr="00DC55B0">
        <w:rPr>
          <w:rFonts w:ascii="Calibri" w:hAnsi="Calibri" w:cs="Calibri"/>
        </w:rPr>
        <w:t xml:space="preserve"> </w:t>
      </w:r>
      <w:r w:rsidR="007F699C" w:rsidRPr="00DC55B0">
        <w:rPr>
          <w:rFonts w:ascii="Calibri" w:hAnsi="Calibri" w:cs="Calibri"/>
        </w:rPr>
        <w:t>during</w:t>
      </w:r>
      <w:r w:rsidR="00071A8C" w:rsidRPr="00DC55B0">
        <w:rPr>
          <w:rFonts w:ascii="Calibri" w:hAnsi="Calibri" w:cs="Calibri"/>
        </w:rPr>
        <w:t xml:space="preserve"> pregnancy were themselves protected</w:t>
      </w:r>
      <w:r w:rsidR="00951729" w:rsidRPr="00DC55B0">
        <w:rPr>
          <w:rFonts w:ascii="Calibri" w:hAnsi="Calibri" w:cs="Calibri"/>
        </w:rPr>
        <w:t xml:space="preserve"> </w:t>
      </w:r>
      <w:r w:rsidR="007F699C" w:rsidRPr="00DC55B0">
        <w:rPr>
          <w:rFonts w:ascii="Calibri" w:hAnsi="Calibri" w:cs="Calibri"/>
        </w:rPr>
        <w:t>from smallpox</w:t>
      </w:r>
      <w:r w:rsidR="00C910B3" w:rsidRPr="00DC55B0">
        <w:rPr>
          <w:rFonts w:ascii="Calibri" w:hAnsi="Calibri" w:cs="Calibri"/>
        </w:rPr>
        <w:t>.</w:t>
      </w:r>
      <w:r w:rsidR="00C910B3" w:rsidRPr="00DC55B0">
        <w:rPr>
          <w:rFonts w:ascii="Calibri" w:hAnsi="Calibri" w:cs="Calibri"/>
        </w:rPr>
        <w:fldChar w:fldCharType="begin"/>
      </w:r>
      <w:r w:rsidR="003F3CD5" w:rsidRPr="00DC55B0">
        <w:rPr>
          <w:rFonts w:ascii="Calibri" w:hAnsi="Calibri" w:cs="Calibri"/>
        </w:rPr>
        <w:instrText xml:space="preserve"> ADDIN ZOTERO_ITEM CSL_CITATION {"citationID":"Lc3XA9os","properties":{"formattedCitation":"\\super 58\\nosupersub{}","plainCitation":"58","noteIndex":0},"citationItems":[{"id":329,"uris":["http://zotero.org/users/14445769/items/GAIMN54D"],"itemData":{"id":329,"type":"book","language":"German","publisher":"Breitkopf &amp; Härtel","title":"Über Menschen- und Thierpocken, über den Ursprung der Kuhpocken und über intrauterine Vaccination","URL":"https://www.google.co.uk/books/edition/%C3%9Cber_Menschen_und_Thierpocken_%C3%BCber_den/gNBP76ucFfgC?hl=en&amp;gbpv=0","author":[{"family":"Bollinger","given":"Otto"}],"issued":{"date-parts":[["1877"]]}}}],"schema":"https://github.com/citation-style-language/schema/raw/master/csl-citation.json"} </w:instrText>
      </w:r>
      <w:r w:rsidR="00C910B3" w:rsidRPr="00DC55B0">
        <w:rPr>
          <w:rFonts w:ascii="Calibri" w:hAnsi="Calibri" w:cs="Calibri"/>
        </w:rPr>
        <w:fldChar w:fldCharType="separate"/>
      </w:r>
      <w:r w:rsidR="003F3CD5" w:rsidRPr="00DC55B0">
        <w:rPr>
          <w:rFonts w:ascii="Calibri" w:hAnsi="Calibri" w:cs="Calibri"/>
          <w:kern w:val="0"/>
          <w:vertAlign w:val="superscript"/>
        </w:rPr>
        <w:t>58</w:t>
      </w:r>
      <w:r w:rsidR="00C910B3" w:rsidRPr="00DC55B0">
        <w:rPr>
          <w:rFonts w:ascii="Calibri" w:hAnsi="Calibri" w:cs="Calibri"/>
        </w:rPr>
        <w:fldChar w:fldCharType="end"/>
      </w:r>
      <w:r w:rsidR="00EA010A" w:rsidRPr="00DC55B0">
        <w:rPr>
          <w:rFonts w:ascii="Calibri" w:hAnsi="Calibri" w:cs="Calibri"/>
        </w:rPr>
        <w:t xml:space="preserve"> </w:t>
      </w:r>
      <w:r w:rsidR="006E77C6" w:rsidRPr="00DC55B0">
        <w:rPr>
          <w:rFonts w:ascii="Calibri" w:hAnsi="Calibri" w:cs="Calibri"/>
        </w:rPr>
        <w:t>From</w:t>
      </w:r>
      <w:r w:rsidR="005020A5" w:rsidRPr="00DC55B0">
        <w:rPr>
          <w:rFonts w:ascii="Calibri" w:hAnsi="Calibri" w:cs="Calibri"/>
        </w:rPr>
        <w:t xml:space="preserve"> the </w:t>
      </w:r>
      <w:r w:rsidR="00C030EA" w:rsidRPr="00DC55B0">
        <w:rPr>
          <w:rFonts w:ascii="Calibri" w:hAnsi="Calibri" w:cs="Calibri"/>
        </w:rPr>
        <w:t>mid-20</w:t>
      </w:r>
      <w:r w:rsidR="00C030EA" w:rsidRPr="00DC55B0">
        <w:rPr>
          <w:rFonts w:ascii="Calibri" w:hAnsi="Calibri" w:cs="Calibri"/>
          <w:vertAlign w:val="superscript"/>
        </w:rPr>
        <w:t>th</w:t>
      </w:r>
      <w:r w:rsidR="005020A5" w:rsidRPr="00DC55B0">
        <w:rPr>
          <w:rFonts w:ascii="Calibri" w:hAnsi="Calibri" w:cs="Calibri"/>
        </w:rPr>
        <w:t xml:space="preserve"> century onwards, vaccination in pregnancy </w:t>
      </w:r>
      <w:r w:rsidR="003107A5" w:rsidRPr="00DC55B0">
        <w:rPr>
          <w:rFonts w:ascii="Calibri" w:hAnsi="Calibri" w:cs="Calibri"/>
        </w:rPr>
        <w:t xml:space="preserve">increasingly became an important </w:t>
      </w:r>
      <w:r w:rsidR="00D05161" w:rsidRPr="00DC55B0">
        <w:rPr>
          <w:rFonts w:ascii="Calibri" w:hAnsi="Calibri" w:cs="Calibri"/>
        </w:rPr>
        <w:t>tool for protecting newborns.</w:t>
      </w:r>
      <w:r w:rsidR="007F699C" w:rsidRPr="00DC55B0">
        <w:rPr>
          <w:rFonts w:ascii="Calibri" w:hAnsi="Calibri" w:cs="Calibri"/>
        </w:rPr>
        <w:t xml:space="preserve"> Below, we discuss the vaccines that are currently </w:t>
      </w:r>
      <w:r w:rsidR="00DF22F7" w:rsidRPr="00DC55B0">
        <w:rPr>
          <w:rFonts w:ascii="Calibri" w:hAnsi="Calibri" w:cs="Calibri"/>
        </w:rPr>
        <w:t xml:space="preserve">widely </w:t>
      </w:r>
      <w:r w:rsidR="007F699C" w:rsidRPr="00DC55B0">
        <w:rPr>
          <w:rFonts w:ascii="Calibri" w:hAnsi="Calibri" w:cs="Calibri"/>
        </w:rPr>
        <w:t xml:space="preserve">offered during pregnancy. </w:t>
      </w:r>
    </w:p>
    <w:p w14:paraId="1B39B798" w14:textId="77777777" w:rsidR="00D05161" w:rsidRPr="00DC55B0" w:rsidRDefault="00D05161" w:rsidP="001F3ACA">
      <w:pPr>
        <w:rPr>
          <w:rFonts w:ascii="Calibri" w:hAnsi="Calibri" w:cs="Calibri"/>
        </w:rPr>
      </w:pPr>
    </w:p>
    <w:p w14:paraId="0939F945" w14:textId="124319A4" w:rsidR="00BE00E7" w:rsidRPr="00DC55B0" w:rsidRDefault="00BE00E7" w:rsidP="001F3ACA">
      <w:pPr>
        <w:rPr>
          <w:rFonts w:ascii="Calibri" w:hAnsi="Calibri" w:cs="Calibri"/>
          <w:i/>
          <w:iCs/>
        </w:rPr>
      </w:pPr>
      <w:r w:rsidRPr="00DC55B0">
        <w:rPr>
          <w:rFonts w:ascii="Calibri" w:hAnsi="Calibri" w:cs="Calibri"/>
          <w:i/>
          <w:iCs/>
        </w:rPr>
        <w:t>Tetanus</w:t>
      </w:r>
      <w:r w:rsidR="00517BAB" w:rsidRPr="00DC55B0">
        <w:rPr>
          <w:rFonts w:ascii="Calibri" w:hAnsi="Calibri" w:cs="Calibri"/>
          <w:i/>
          <w:iCs/>
        </w:rPr>
        <w:t xml:space="preserve"> vaccination in pregnancy</w:t>
      </w:r>
    </w:p>
    <w:p w14:paraId="2B7CD819" w14:textId="282A16F9" w:rsidR="00744CAD" w:rsidRPr="00DC55B0" w:rsidRDefault="009178A1" w:rsidP="001F3ACA">
      <w:pPr>
        <w:rPr>
          <w:rFonts w:ascii="Calibri" w:hAnsi="Calibri" w:cs="Calibri"/>
        </w:rPr>
      </w:pPr>
      <w:r w:rsidRPr="00DC55B0">
        <w:rPr>
          <w:rFonts w:ascii="Calibri" w:hAnsi="Calibri" w:cs="Calibri"/>
        </w:rPr>
        <w:t>Tetanus</w:t>
      </w:r>
      <w:r w:rsidR="004F4DF2" w:rsidRPr="00DC55B0">
        <w:rPr>
          <w:rFonts w:ascii="Calibri" w:hAnsi="Calibri" w:cs="Calibri"/>
        </w:rPr>
        <w:t xml:space="preserve"> is caused by</w:t>
      </w:r>
      <w:r w:rsidR="005C63C9" w:rsidRPr="00DC55B0">
        <w:rPr>
          <w:rFonts w:ascii="Calibri" w:hAnsi="Calibri" w:cs="Calibri"/>
        </w:rPr>
        <w:t xml:space="preserve"> spores of the bacterium</w:t>
      </w:r>
      <w:r w:rsidR="004F4DF2" w:rsidRPr="00DC55B0">
        <w:rPr>
          <w:rFonts w:ascii="Calibri" w:hAnsi="Calibri" w:cs="Calibri"/>
        </w:rPr>
        <w:t xml:space="preserve"> </w:t>
      </w:r>
      <w:r w:rsidRPr="00DC55B0">
        <w:rPr>
          <w:rFonts w:ascii="Calibri" w:hAnsi="Calibri" w:cs="Calibri"/>
          <w:i/>
          <w:iCs/>
        </w:rPr>
        <w:t xml:space="preserve">Clostridium tetani </w:t>
      </w:r>
      <w:r w:rsidR="00692C22" w:rsidRPr="00DC55B0">
        <w:rPr>
          <w:rFonts w:ascii="Calibri" w:hAnsi="Calibri" w:cs="Calibri"/>
        </w:rPr>
        <w:t>entering open wounds</w:t>
      </w:r>
      <w:r w:rsidR="00C1372E" w:rsidRPr="00DC55B0">
        <w:rPr>
          <w:rFonts w:ascii="Calibri" w:hAnsi="Calibri" w:cs="Calibri"/>
        </w:rPr>
        <w:t xml:space="preserve"> and n</w:t>
      </w:r>
      <w:r w:rsidR="00692C22" w:rsidRPr="00DC55B0">
        <w:rPr>
          <w:rFonts w:ascii="Calibri" w:hAnsi="Calibri" w:cs="Calibri"/>
        </w:rPr>
        <w:t>ewborns</w:t>
      </w:r>
      <w:r w:rsidR="00DE22B6" w:rsidRPr="00DC55B0">
        <w:rPr>
          <w:rFonts w:ascii="Calibri" w:hAnsi="Calibri" w:cs="Calibri"/>
        </w:rPr>
        <w:t xml:space="preserve"> are particularly at risk of </w:t>
      </w:r>
      <w:r w:rsidR="00610A94" w:rsidRPr="00DC55B0">
        <w:rPr>
          <w:rFonts w:ascii="Calibri" w:hAnsi="Calibri" w:cs="Calibri"/>
        </w:rPr>
        <w:t>tetanus</w:t>
      </w:r>
      <w:r w:rsidR="00944D4A" w:rsidRPr="00DC55B0">
        <w:rPr>
          <w:rFonts w:ascii="Calibri" w:hAnsi="Calibri" w:cs="Calibri"/>
        </w:rPr>
        <w:t xml:space="preserve"> in low-</w:t>
      </w:r>
      <w:r w:rsidR="00D775E3" w:rsidRPr="00DC55B0">
        <w:rPr>
          <w:rFonts w:ascii="Calibri" w:hAnsi="Calibri" w:cs="Calibri"/>
        </w:rPr>
        <w:t>resource</w:t>
      </w:r>
      <w:r w:rsidR="00944D4A" w:rsidRPr="00DC55B0">
        <w:rPr>
          <w:rFonts w:ascii="Calibri" w:hAnsi="Calibri" w:cs="Calibri"/>
        </w:rPr>
        <w:t xml:space="preserve"> settings</w:t>
      </w:r>
      <w:r w:rsidR="00253604" w:rsidRPr="00DC55B0">
        <w:rPr>
          <w:rFonts w:ascii="Calibri" w:hAnsi="Calibri" w:cs="Calibri"/>
        </w:rPr>
        <w:t xml:space="preserve">, where nonsterile instruments </w:t>
      </w:r>
      <w:r w:rsidR="008652D9" w:rsidRPr="00DC55B0">
        <w:rPr>
          <w:rFonts w:ascii="Calibri" w:hAnsi="Calibri" w:cs="Calibri"/>
        </w:rPr>
        <w:t>may be</w:t>
      </w:r>
      <w:r w:rsidR="00253604" w:rsidRPr="00DC55B0">
        <w:rPr>
          <w:rFonts w:ascii="Calibri" w:hAnsi="Calibri" w:cs="Calibri"/>
        </w:rPr>
        <w:t xml:space="preserve"> used to cut the umbilical cord</w:t>
      </w:r>
      <w:r w:rsidR="0044266C" w:rsidRPr="00DC55B0">
        <w:rPr>
          <w:rFonts w:ascii="Calibri" w:hAnsi="Calibri" w:cs="Calibri"/>
        </w:rPr>
        <w:t>.</w:t>
      </w:r>
      <w:r w:rsidR="00F073BB" w:rsidRPr="00DC55B0">
        <w:rPr>
          <w:rFonts w:ascii="Calibri" w:hAnsi="Calibri" w:cs="Calibri"/>
        </w:rPr>
        <w:t xml:space="preserve"> </w:t>
      </w:r>
      <w:r w:rsidR="00417B4A" w:rsidRPr="00DC55B0">
        <w:rPr>
          <w:rFonts w:ascii="Calibri" w:hAnsi="Calibri" w:cs="Calibri"/>
        </w:rPr>
        <w:t xml:space="preserve">Neonatal tetanus presents </w:t>
      </w:r>
      <w:r w:rsidR="00950794" w:rsidRPr="00DC55B0">
        <w:rPr>
          <w:rFonts w:ascii="Calibri" w:hAnsi="Calibri" w:cs="Calibri"/>
        </w:rPr>
        <w:t>between the third and the 28</w:t>
      </w:r>
      <w:r w:rsidR="00950794" w:rsidRPr="00DC55B0">
        <w:rPr>
          <w:rFonts w:ascii="Calibri" w:hAnsi="Calibri" w:cs="Calibri"/>
          <w:vertAlign w:val="superscript"/>
        </w:rPr>
        <w:t>th</w:t>
      </w:r>
      <w:r w:rsidR="00950794" w:rsidRPr="00DC55B0">
        <w:rPr>
          <w:rFonts w:ascii="Calibri" w:hAnsi="Calibri" w:cs="Calibri"/>
        </w:rPr>
        <w:t xml:space="preserve"> day of life, with i</w:t>
      </w:r>
      <w:r w:rsidR="00844525" w:rsidRPr="00DC55B0">
        <w:rPr>
          <w:rFonts w:ascii="Calibri" w:hAnsi="Calibri" w:cs="Calibri"/>
        </w:rPr>
        <w:t>nfected infants</w:t>
      </w:r>
      <w:r w:rsidR="00417B4A" w:rsidRPr="00DC55B0">
        <w:rPr>
          <w:rFonts w:ascii="Calibri" w:hAnsi="Calibri" w:cs="Calibri"/>
        </w:rPr>
        <w:t xml:space="preserve"> los</w:t>
      </w:r>
      <w:r w:rsidR="00950794" w:rsidRPr="00DC55B0">
        <w:rPr>
          <w:rFonts w:ascii="Calibri" w:hAnsi="Calibri" w:cs="Calibri"/>
        </w:rPr>
        <w:t>ing the</w:t>
      </w:r>
      <w:r w:rsidR="00417B4A" w:rsidRPr="00DC55B0">
        <w:rPr>
          <w:rFonts w:ascii="Calibri" w:hAnsi="Calibri" w:cs="Calibri"/>
        </w:rPr>
        <w:t xml:space="preserve"> ability to suck</w:t>
      </w:r>
      <w:r w:rsidR="00950794" w:rsidRPr="00DC55B0">
        <w:rPr>
          <w:rFonts w:ascii="Calibri" w:hAnsi="Calibri" w:cs="Calibri"/>
        </w:rPr>
        <w:t xml:space="preserve"> and suffering from muscle spasms</w:t>
      </w:r>
      <w:r w:rsidR="007F20CD" w:rsidRPr="00DC55B0">
        <w:rPr>
          <w:rFonts w:ascii="Calibri" w:hAnsi="Calibri" w:cs="Calibri"/>
        </w:rPr>
        <w:t>.</w:t>
      </w:r>
      <w:r w:rsidR="0040121A" w:rsidRPr="00DC55B0">
        <w:rPr>
          <w:rFonts w:ascii="Calibri" w:hAnsi="Calibri" w:cs="Calibri"/>
        </w:rPr>
        <w:t xml:space="preserve"> </w:t>
      </w:r>
      <w:r w:rsidR="00F73625" w:rsidRPr="00DC55B0">
        <w:rPr>
          <w:rFonts w:ascii="Calibri" w:hAnsi="Calibri" w:cs="Calibri"/>
        </w:rPr>
        <w:t>Without medical treatment, neonatal tetanus i</w:t>
      </w:r>
      <w:r w:rsidR="006D65ED" w:rsidRPr="00DC55B0">
        <w:rPr>
          <w:rFonts w:ascii="Calibri" w:hAnsi="Calibri" w:cs="Calibri"/>
        </w:rPr>
        <w:t>s universally fatal and even with hospital care, between 10 and 60% of infected</w:t>
      </w:r>
      <w:r w:rsidR="007C3FD2" w:rsidRPr="00DC55B0">
        <w:rPr>
          <w:rFonts w:ascii="Calibri" w:hAnsi="Calibri" w:cs="Calibri"/>
        </w:rPr>
        <w:t xml:space="preserve"> newborns die</w:t>
      </w:r>
      <w:r w:rsidR="00CD3E47" w:rsidRPr="00DC55B0">
        <w:rPr>
          <w:rFonts w:ascii="Calibri" w:hAnsi="Calibri" w:cs="Calibri"/>
        </w:rPr>
        <w:t>.</w:t>
      </w:r>
      <w:r w:rsidR="00CD3E47" w:rsidRPr="00DC55B0">
        <w:rPr>
          <w:rFonts w:ascii="Calibri" w:hAnsi="Calibri" w:cs="Calibri"/>
        </w:rPr>
        <w:fldChar w:fldCharType="begin"/>
      </w:r>
      <w:r w:rsidR="003F3CD5" w:rsidRPr="00DC55B0">
        <w:rPr>
          <w:rFonts w:ascii="Calibri" w:hAnsi="Calibri" w:cs="Calibri"/>
        </w:rPr>
        <w:instrText xml:space="preserve"> ADDIN ZOTERO_ITEM CSL_CITATION {"citationID":"88KaBxuS","properties":{"formattedCitation":"\\super 59\\nosupersub{}","plainCitation":"59","noteIndex":0},"citationItems":[{"id":79,"uris":["http://zotero.org/users/14445769/items/QLWYQW8D"],"itemData":{"id":79,"type":"article-journal","container-title":"The Lancet","DOI":"10.1016/S0140-6736(07)61261-6","ISSN":"01406736","issue":"9603","journalAbbreviation":"The Lancet","language":"en","license":"https://www.elsevier.com/tdm/userlicense/1.0/","page":"1947-1959","source":"DOI.org (Crossref)","title":"Maternal and neonatal tetanus","volume":"370","author":[{"family":"Roper","given":"Martha H"},{"family":"Vandelaer","given":"Jos H"},{"family":"Gasse","given":"François L"}],"issued":{"date-parts":[["2007",12]]}}}],"schema":"https://github.com/citation-style-language/schema/raw/master/csl-citation.json"} </w:instrText>
      </w:r>
      <w:r w:rsidR="00CD3E47" w:rsidRPr="00DC55B0">
        <w:rPr>
          <w:rFonts w:ascii="Calibri" w:hAnsi="Calibri" w:cs="Calibri"/>
        </w:rPr>
        <w:fldChar w:fldCharType="separate"/>
      </w:r>
      <w:r w:rsidR="003F3CD5" w:rsidRPr="00DC55B0">
        <w:rPr>
          <w:rFonts w:ascii="Calibri" w:hAnsi="Calibri" w:cs="Calibri"/>
          <w:kern w:val="0"/>
          <w:vertAlign w:val="superscript"/>
        </w:rPr>
        <w:t>59</w:t>
      </w:r>
      <w:r w:rsidR="00CD3E47" w:rsidRPr="00DC55B0">
        <w:rPr>
          <w:rFonts w:ascii="Calibri" w:hAnsi="Calibri" w:cs="Calibri"/>
        </w:rPr>
        <w:fldChar w:fldCharType="end"/>
      </w:r>
    </w:p>
    <w:p w14:paraId="5F2560D4" w14:textId="77777777" w:rsidR="00744CAD" w:rsidRPr="00DC55B0" w:rsidRDefault="00744CAD" w:rsidP="001F3ACA">
      <w:pPr>
        <w:rPr>
          <w:rFonts w:ascii="Calibri" w:hAnsi="Calibri" w:cs="Calibri"/>
        </w:rPr>
      </w:pPr>
    </w:p>
    <w:p w14:paraId="1BCFA661" w14:textId="648D96F3" w:rsidR="00BE00E7" w:rsidRPr="00DC55B0" w:rsidRDefault="00744CAD" w:rsidP="001F3ACA">
      <w:pPr>
        <w:rPr>
          <w:rFonts w:ascii="Calibri" w:hAnsi="Calibri" w:cs="Calibri"/>
        </w:rPr>
      </w:pPr>
      <w:r w:rsidRPr="00DC55B0">
        <w:rPr>
          <w:rFonts w:ascii="Calibri" w:hAnsi="Calibri" w:cs="Calibri"/>
        </w:rPr>
        <w:t>The first</w:t>
      </w:r>
      <w:r w:rsidR="00E511D4" w:rsidRPr="00DC55B0">
        <w:rPr>
          <w:rFonts w:ascii="Calibri" w:hAnsi="Calibri" w:cs="Calibri"/>
        </w:rPr>
        <w:t xml:space="preserve"> approved</w:t>
      </w:r>
      <w:r w:rsidRPr="00DC55B0">
        <w:rPr>
          <w:rFonts w:ascii="Calibri" w:hAnsi="Calibri" w:cs="Calibri"/>
        </w:rPr>
        <w:t xml:space="preserve"> tetanus vaccine </w:t>
      </w:r>
      <w:r w:rsidR="00E511D4" w:rsidRPr="00DC55B0">
        <w:rPr>
          <w:rFonts w:ascii="Calibri" w:hAnsi="Calibri" w:cs="Calibri"/>
        </w:rPr>
        <w:t>consisted of</w:t>
      </w:r>
      <w:r w:rsidR="00260DE1" w:rsidRPr="00DC55B0">
        <w:rPr>
          <w:rFonts w:ascii="Calibri" w:hAnsi="Calibri" w:cs="Calibri"/>
        </w:rPr>
        <w:t xml:space="preserve"> </w:t>
      </w:r>
      <w:r w:rsidR="00E511D4" w:rsidRPr="00DC55B0">
        <w:rPr>
          <w:rFonts w:ascii="Calibri" w:hAnsi="Calibri" w:cs="Calibri"/>
        </w:rPr>
        <w:t>tetanus toxoid</w:t>
      </w:r>
      <w:r w:rsidR="00403928" w:rsidRPr="00DC55B0">
        <w:rPr>
          <w:rFonts w:ascii="Calibri" w:hAnsi="Calibri" w:cs="Calibri"/>
        </w:rPr>
        <w:t xml:space="preserve"> adsorbed onto aluminium salts</w:t>
      </w:r>
      <w:r w:rsidR="00E511D4" w:rsidRPr="00DC55B0">
        <w:rPr>
          <w:rFonts w:ascii="Calibri" w:hAnsi="Calibri" w:cs="Calibri"/>
        </w:rPr>
        <w:t xml:space="preserve"> </w:t>
      </w:r>
      <w:r w:rsidR="00260DE1" w:rsidRPr="00DC55B0">
        <w:rPr>
          <w:rFonts w:ascii="Calibri" w:hAnsi="Calibri" w:cs="Calibri"/>
        </w:rPr>
        <w:t>and was widely used during the Second World War.</w:t>
      </w:r>
      <w:r w:rsidR="008B7CDE" w:rsidRPr="00DC55B0">
        <w:rPr>
          <w:rFonts w:ascii="Calibri" w:hAnsi="Calibri" w:cs="Calibri"/>
        </w:rPr>
        <w:t xml:space="preserve"> </w:t>
      </w:r>
      <w:r w:rsidR="00B2290C" w:rsidRPr="00DC55B0">
        <w:rPr>
          <w:rFonts w:ascii="Calibri" w:hAnsi="Calibri" w:cs="Calibri"/>
        </w:rPr>
        <w:t xml:space="preserve">In 1959, </w:t>
      </w:r>
      <w:r w:rsidR="008E796F" w:rsidRPr="00DC55B0">
        <w:rPr>
          <w:rFonts w:ascii="Calibri" w:hAnsi="Calibri" w:cs="Calibri"/>
        </w:rPr>
        <w:t>a</w:t>
      </w:r>
      <w:r w:rsidR="00C762F0" w:rsidRPr="00DC55B0">
        <w:rPr>
          <w:rFonts w:ascii="Calibri" w:hAnsi="Calibri" w:cs="Calibri"/>
        </w:rPr>
        <w:t>n observational study</w:t>
      </w:r>
      <w:r w:rsidR="008E796F" w:rsidRPr="00DC55B0">
        <w:rPr>
          <w:rFonts w:ascii="Calibri" w:hAnsi="Calibri" w:cs="Calibri"/>
        </w:rPr>
        <w:t xml:space="preserve"> of maternal </w:t>
      </w:r>
      <w:r w:rsidR="00B2290C" w:rsidRPr="00DC55B0">
        <w:rPr>
          <w:rFonts w:ascii="Calibri" w:hAnsi="Calibri" w:cs="Calibri"/>
        </w:rPr>
        <w:t xml:space="preserve">tetanus </w:t>
      </w:r>
      <w:r w:rsidR="008E796F" w:rsidRPr="00DC55B0">
        <w:rPr>
          <w:rFonts w:ascii="Calibri" w:hAnsi="Calibri" w:cs="Calibri"/>
        </w:rPr>
        <w:t xml:space="preserve">vaccination </w:t>
      </w:r>
      <w:r w:rsidR="00B2290C" w:rsidRPr="00DC55B0">
        <w:rPr>
          <w:rFonts w:ascii="Calibri" w:hAnsi="Calibri" w:cs="Calibri"/>
        </w:rPr>
        <w:t xml:space="preserve">demonstrated </w:t>
      </w:r>
      <w:r w:rsidR="005374C1" w:rsidRPr="00DC55B0">
        <w:rPr>
          <w:rFonts w:ascii="Calibri" w:hAnsi="Calibri" w:cs="Calibri"/>
        </w:rPr>
        <w:t>almost 95% protection against neonatal tetanus</w:t>
      </w:r>
      <w:r w:rsidR="00CD3E47" w:rsidRPr="00DC55B0">
        <w:rPr>
          <w:rFonts w:ascii="Calibri" w:hAnsi="Calibri" w:cs="Calibri"/>
        </w:rPr>
        <w:t>.</w:t>
      </w:r>
      <w:r w:rsidR="00CD3E47" w:rsidRPr="00DC55B0">
        <w:rPr>
          <w:rFonts w:ascii="Calibri" w:hAnsi="Calibri" w:cs="Calibri"/>
        </w:rPr>
        <w:fldChar w:fldCharType="begin"/>
      </w:r>
      <w:r w:rsidR="00EA6250" w:rsidRPr="00DC55B0">
        <w:rPr>
          <w:rFonts w:ascii="Calibri" w:hAnsi="Calibri" w:cs="Calibri"/>
        </w:rPr>
        <w:instrText xml:space="preserve"> ADDIN ZOTERO_ITEM CSL_CITATION {"citationID":"huYdQ7NB","properties":{"formattedCitation":"\\super 60\\nosupersub{}","plainCitation":"60","noteIndex":0},"citationItems":[{"id":78,"uris":["http://zotero.org/users/14445769/items/U44MS9VL"],"itemData":{"id":78,"type":"article-journal","container-title":"BMJ","DOI":"10.1136/bmj.2.5255.785","ISSN":"0959-8138, 1468-5833","issue":"5255","journalAbbreviation":"BMJ","language":"en","page":"785-789","source":"DOI.org (Crossref)","title":"Neonatal Tetanus in New Guinea","volume":"2","author":[{"family":"Schofield","given":"F. D."},{"family":"Tucker","given":"V. M."},{"family":"Westbrook","given":"G. R."}],"issued":{"date-parts":[["1961",9,23]]}}}],"schema":"https://github.com/citation-style-language/schema/raw/master/csl-citation.json"} </w:instrText>
      </w:r>
      <w:r w:rsidR="00CD3E47" w:rsidRPr="00DC55B0">
        <w:rPr>
          <w:rFonts w:ascii="Calibri" w:hAnsi="Calibri" w:cs="Calibri"/>
        </w:rPr>
        <w:fldChar w:fldCharType="separate"/>
      </w:r>
      <w:r w:rsidR="00EA6250" w:rsidRPr="00DC55B0">
        <w:rPr>
          <w:rFonts w:ascii="Calibri" w:hAnsi="Calibri" w:cs="Calibri"/>
          <w:kern w:val="0"/>
          <w:vertAlign w:val="superscript"/>
        </w:rPr>
        <w:t>60</w:t>
      </w:r>
      <w:r w:rsidR="00CD3E47" w:rsidRPr="00DC55B0">
        <w:rPr>
          <w:rFonts w:ascii="Calibri" w:hAnsi="Calibri" w:cs="Calibri"/>
        </w:rPr>
        <w:fldChar w:fldCharType="end"/>
      </w:r>
      <w:r w:rsidR="0080494D" w:rsidRPr="00DC55B0">
        <w:rPr>
          <w:rFonts w:ascii="Calibri" w:hAnsi="Calibri" w:cs="Calibri"/>
        </w:rPr>
        <w:t xml:space="preserve"> </w:t>
      </w:r>
      <w:r w:rsidR="00FB3AF1" w:rsidRPr="00DC55B0">
        <w:rPr>
          <w:rFonts w:ascii="Calibri" w:hAnsi="Calibri" w:cs="Calibri"/>
        </w:rPr>
        <w:t>T</w:t>
      </w:r>
      <w:r w:rsidR="00E11233" w:rsidRPr="00DC55B0">
        <w:rPr>
          <w:rFonts w:ascii="Calibri" w:hAnsi="Calibri" w:cs="Calibri"/>
        </w:rPr>
        <w:t>he first</w:t>
      </w:r>
      <w:r w:rsidR="006B4F2F" w:rsidRPr="00DC55B0">
        <w:rPr>
          <w:rFonts w:ascii="Calibri" w:hAnsi="Calibri" w:cs="Calibri"/>
        </w:rPr>
        <w:t xml:space="preserve"> randomised controlled trial</w:t>
      </w:r>
      <w:r w:rsidR="00FB3AF1" w:rsidRPr="00DC55B0">
        <w:rPr>
          <w:rFonts w:ascii="Calibri" w:hAnsi="Calibri" w:cs="Calibri"/>
        </w:rPr>
        <w:t xml:space="preserve"> reported no deaths from neonatal tetanus among</w:t>
      </w:r>
      <w:r w:rsidR="00AC1E4A" w:rsidRPr="00DC55B0">
        <w:rPr>
          <w:rFonts w:ascii="Calibri" w:hAnsi="Calibri" w:cs="Calibri"/>
        </w:rPr>
        <w:t xml:space="preserve"> </w:t>
      </w:r>
      <w:r w:rsidR="005F3E8F" w:rsidRPr="00DC55B0">
        <w:rPr>
          <w:rFonts w:ascii="Calibri" w:hAnsi="Calibri" w:cs="Calibri"/>
        </w:rPr>
        <w:t xml:space="preserve">infants born </w:t>
      </w:r>
      <w:r w:rsidR="00FB3AF1" w:rsidRPr="00DC55B0">
        <w:rPr>
          <w:rFonts w:ascii="Calibri" w:hAnsi="Calibri" w:cs="Calibri"/>
        </w:rPr>
        <w:t>to mothers who received</w:t>
      </w:r>
      <w:r w:rsidR="005F3E8F" w:rsidRPr="00DC55B0">
        <w:rPr>
          <w:rFonts w:ascii="Calibri" w:hAnsi="Calibri" w:cs="Calibri"/>
        </w:rPr>
        <w:t xml:space="preserve"> two or three doses</w:t>
      </w:r>
      <w:r w:rsidR="00A3270E" w:rsidRPr="00DC55B0">
        <w:rPr>
          <w:rFonts w:ascii="Calibri" w:hAnsi="Calibri" w:cs="Calibri"/>
        </w:rPr>
        <w:t xml:space="preserve"> of</w:t>
      </w:r>
      <w:r w:rsidR="00FB3AF1" w:rsidRPr="00DC55B0">
        <w:rPr>
          <w:rFonts w:ascii="Calibri" w:hAnsi="Calibri" w:cs="Calibri"/>
        </w:rPr>
        <w:t xml:space="preserve"> the</w:t>
      </w:r>
      <w:r w:rsidR="00A3270E" w:rsidRPr="00DC55B0">
        <w:rPr>
          <w:rFonts w:ascii="Calibri" w:hAnsi="Calibri" w:cs="Calibri"/>
        </w:rPr>
        <w:t xml:space="preserve"> tetanus vaccine in pregnancy, compared to </w:t>
      </w:r>
      <w:r w:rsidR="00DF2F6C" w:rsidRPr="00DC55B0">
        <w:rPr>
          <w:rFonts w:ascii="Calibri" w:hAnsi="Calibri" w:cs="Calibri"/>
        </w:rPr>
        <w:t xml:space="preserve">a </w:t>
      </w:r>
      <w:r w:rsidR="00A53536" w:rsidRPr="00DC55B0">
        <w:rPr>
          <w:rFonts w:ascii="Calibri" w:hAnsi="Calibri" w:cs="Calibri"/>
        </w:rPr>
        <w:t>tetanus mortality rate of 7.8% in the control group</w:t>
      </w:r>
      <w:r w:rsidR="00CD3E47" w:rsidRPr="00DC55B0">
        <w:rPr>
          <w:rFonts w:ascii="Calibri" w:hAnsi="Calibri" w:cs="Calibri"/>
        </w:rPr>
        <w:t>.</w:t>
      </w:r>
      <w:r w:rsidR="00CD3E47" w:rsidRPr="00DC55B0">
        <w:rPr>
          <w:rFonts w:ascii="Calibri" w:hAnsi="Calibri" w:cs="Calibri"/>
        </w:rPr>
        <w:fldChar w:fldCharType="begin"/>
      </w:r>
      <w:r w:rsidR="008D5A74" w:rsidRPr="00DC55B0">
        <w:rPr>
          <w:rFonts w:ascii="Calibri" w:hAnsi="Calibri" w:cs="Calibri"/>
        </w:rPr>
        <w:instrText xml:space="preserve"> ADDIN ZOTERO_ITEM CSL_CITATION {"citationID":"RutoCPTh","properties":{"formattedCitation":"\\super 61\\nosupersub{}","plainCitation":"61","noteIndex":0},"citationItems":[{"id":77,"uris":["http://zotero.org/users/14445769/items/64WH9Y9Y"],"itemData":{"id":77,"type":"article-journal","abstract":"With a view to determining the effectiveness of a method for the control of tetanus neonatorum which would be independent of medical examination or care, a double-blind field trial covering 1618 women was conducted between 1961 and 1966 in a rural area of Colombia with an estimated existing tetanus neonatorum death rate of 11.6 per 100 births. The study group was given 1-3 injections of 1 ml of an aluminium-phosphate-adsorbed tetanus toxoid more than 6 weeks apart, and the control group a similar number of injections of an influenza-virus vaccine.There was no statistically significant difference between those in the two groups given one injection. Those in the control group given 2 or 3 injections had a tetanus neonatorum death rate of 7.8 deaths per 100 births, and the corresponding subjects in the study group had none. This difference is unlikely to have occurred by chance.","container-title":"Bulletin of the World Health Organization","ISSN":"0042-9686","issue":"6","journalAbbreviation":"Bull World Health Organ","language":"eng","note":"PMID: 5338377\nPMCID: PMC2476295","page":"863-871","source":"PubMed","title":"The use of toxoid for the prevention of tetanus neonatorum. Final report of a double-blind controlled field trial","volume":"35","author":[{"family":"Newell","given":"K. W."},{"family":"Dueñas Lehmann","given":"A."},{"family":"LeBlanc","given":"D. R."},{"family":"Garces Osorio","given":"N."}],"issued":{"date-parts":[["1966"]]}}}],"schema":"https://github.com/citation-style-language/schema/raw/master/csl-citation.json"} </w:instrText>
      </w:r>
      <w:r w:rsidR="00CD3E47" w:rsidRPr="00DC55B0">
        <w:rPr>
          <w:rFonts w:ascii="Calibri" w:hAnsi="Calibri" w:cs="Calibri"/>
        </w:rPr>
        <w:fldChar w:fldCharType="separate"/>
      </w:r>
      <w:r w:rsidR="008D5A74" w:rsidRPr="00DC55B0">
        <w:rPr>
          <w:rFonts w:ascii="Calibri" w:hAnsi="Calibri" w:cs="Calibri"/>
          <w:kern w:val="0"/>
          <w:vertAlign w:val="superscript"/>
        </w:rPr>
        <w:t>61</w:t>
      </w:r>
      <w:r w:rsidR="00CD3E47" w:rsidRPr="00DC55B0">
        <w:rPr>
          <w:rFonts w:ascii="Calibri" w:hAnsi="Calibri" w:cs="Calibri"/>
        </w:rPr>
        <w:fldChar w:fldCharType="end"/>
      </w:r>
      <w:r w:rsidR="00E11233" w:rsidRPr="00DC55B0">
        <w:rPr>
          <w:rFonts w:ascii="Calibri" w:hAnsi="Calibri" w:cs="Calibri"/>
        </w:rPr>
        <w:t xml:space="preserve"> </w:t>
      </w:r>
      <w:r w:rsidR="002415D9" w:rsidRPr="00DC55B0">
        <w:rPr>
          <w:rFonts w:ascii="Calibri" w:hAnsi="Calibri" w:cs="Calibri"/>
        </w:rPr>
        <w:t>S</w:t>
      </w:r>
      <w:r w:rsidR="00E11233" w:rsidRPr="00DC55B0">
        <w:rPr>
          <w:rFonts w:ascii="Calibri" w:hAnsi="Calibri" w:cs="Calibri"/>
        </w:rPr>
        <w:t xml:space="preserve">ubsequent trials have found </w:t>
      </w:r>
      <w:r w:rsidR="002B42B7" w:rsidRPr="00DC55B0">
        <w:rPr>
          <w:rFonts w:ascii="Calibri" w:hAnsi="Calibri" w:cs="Calibri"/>
        </w:rPr>
        <w:t>2-3 doses of tetanus vaccine in</w:t>
      </w:r>
      <w:r w:rsidR="0054023E" w:rsidRPr="00DC55B0">
        <w:rPr>
          <w:rFonts w:ascii="Calibri" w:hAnsi="Calibri" w:cs="Calibri"/>
        </w:rPr>
        <w:t xml:space="preserve"> pregnancy </w:t>
      </w:r>
      <w:r w:rsidR="00FB3AF1" w:rsidRPr="00DC55B0">
        <w:rPr>
          <w:rFonts w:ascii="Calibri" w:hAnsi="Calibri" w:cs="Calibri"/>
        </w:rPr>
        <w:t xml:space="preserve">is </w:t>
      </w:r>
      <w:r w:rsidR="00723624" w:rsidRPr="00DC55B0">
        <w:rPr>
          <w:rFonts w:ascii="Calibri" w:hAnsi="Calibri" w:cs="Calibri"/>
        </w:rPr>
        <w:t>98%</w:t>
      </w:r>
      <w:r w:rsidR="0054023E" w:rsidRPr="00DC55B0">
        <w:rPr>
          <w:rFonts w:ascii="Calibri" w:hAnsi="Calibri" w:cs="Calibri"/>
        </w:rPr>
        <w:t xml:space="preserve"> </w:t>
      </w:r>
      <w:r w:rsidR="006A4B4A" w:rsidRPr="00DC55B0">
        <w:rPr>
          <w:rFonts w:ascii="Calibri" w:hAnsi="Calibri" w:cs="Calibri"/>
        </w:rPr>
        <w:t xml:space="preserve">effective </w:t>
      </w:r>
      <w:r w:rsidR="0054023E" w:rsidRPr="00DC55B0">
        <w:rPr>
          <w:rFonts w:ascii="Calibri" w:hAnsi="Calibri" w:cs="Calibri"/>
        </w:rPr>
        <w:t>at reducing neonatal tetanus deaths</w:t>
      </w:r>
      <w:r w:rsidR="00994F8D" w:rsidRPr="00DC55B0">
        <w:rPr>
          <w:rFonts w:ascii="Calibri" w:hAnsi="Calibri" w:cs="Calibri"/>
        </w:rPr>
        <w:t xml:space="preserve"> </w:t>
      </w:r>
      <w:r w:rsidR="006A4B4A" w:rsidRPr="00DC55B0">
        <w:rPr>
          <w:rFonts w:ascii="Calibri" w:hAnsi="Calibri" w:cs="Calibri"/>
        </w:rPr>
        <w:t xml:space="preserve">(95% CI: 70 – 100%) </w:t>
      </w:r>
      <w:r w:rsidR="00994F8D" w:rsidRPr="00DC55B0">
        <w:rPr>
          <w:rFonts w:ascii="Calibri" w:hAnsi="Calibri" w:cs="Calibri"/>
        </w:rPr>
        <w:t>with n</w:t>
      </w:r>
      <w:r w:rsidR="009C28C5" w:rsidRPr="00DC55B0">
        <w:rPr>
          <w:rFonts w:ascii="Calibri" w:hAnsi="Calibri" w:cs="Calibri"/>
        </w:rPr>
        <w:t>o increased risk of serious adverse events in mothers or babies</w:t>
      </w:r>
      <w:r w:rsidR="00CD3E47" w:rsidRPr="00DC55B0">
        <w:rPr>
          <w:rFonts w:ascii="Calibri" w:hAnsi="Calibri" w:cs="Calibri"/>
        </w:rPr>
        <w:t>.</w:t>
      </w:r>
      <w:r w:rsidR="00CD3E47" w:rsidRPr="00DC55B0">
        <w:rPr>
          <w:rFonts w:ascii="Calibri" w:hAnsi="Calibri" w:cs="Calibri"/>
        </w:rPr>
        <w:fldChar w:fldCharType="begin"/>
      </w:r>
      <w:r w:rsidR="004C1C5D" w:rsidRPr="00DC55B0">
        <w:rPr>
          <w:rFonts w:ascii="Calibri" w:hAnsi="Calibri" w:cs="Calibri"/>
        </w:rPr>
        <w:instrText xml:space="preserve"> ADDIN ZOTERO_ITEM CSL_CITATION {"citationID":"onmQbnQW","properties":{"formattedCitation":"\\super 3\\nosupersub{}","plainCitation":"3","noteIndex":0},"citationItems":[{"id":76,"uris":["http://zotero.org/users/14445769/items/WND5YLSD"],"itemData":{"id":76,"type":"article-journal","container-title":"Cochrane Database of Systematic Reviews","DOI":"10.1002/14651858.CD002959.pub4","ISSN":"14651858","language":"en","source":"DOI.org (Crossref)","title":"Vaccines for women for preventing neonatal tetanus","URL":"https://doi.wiley.com/10.1002/14651858.CD002959.pub4","author":[{"family":"Demicheli","given":"Vittorio"},{"family":"Barale","given":"Antonella"},{"family":"Rivetti","given":"Alessandro"}],"editor":[{"literal":"Cochrane Pregnancy and Childbirth Group"}],"accessed":{"date-parts":[["2024",6,25]]},"issued":{"date-parts":[["2015",7,6]]}}}],"schema":"https://github.com/citation-style-language/schema/raw/master/csl-citation.json"} </w:instrText>
      </w:r>
      <w:r w:rsidR="00CD3E47" w:rsidRPr="00DC55B0">
        <w:rPr>
          <w:rFonts w:ascii="Calibri" w:hAnsi="Calibri" w:cs="Calibri"/>
        </w:rPr>
        <w:fldChar w:fldCharType="separate"/>
      </w:r>
      <w:r w:rsidR="004C1C5D" w:rsidRPr="00DC55B0">
        <w:rPr>
          <w:rFonts w:ascii="Calibri" w:hAnsi="Calibri" w:cs="Calibri"/>
          <w:kern w:val="0"/>
          <w:vertAlign w:val="superscript"/>
        </w:rPr>
        <w:t>3</w:t>
      </w:r>
      <w:r w:rsidR="00CD3E47" w:rsidRPr="00DC55B0">
        <w:rPr>
          <w:rFonts w:ascii="Calibri" w:hAnsi="Calibri" w:cs="Calibri"/>
        </w:rPr>
        <w:fldChar w:fldCharType="end"/>
      </w:r>
    </w:p>
    <w:p w14:paraId="4AC575D5" w14:textId="77777777" w:rsidR="00C54A0E" w:rsidRPr="00DC55B0" w:rsidRDefault="00C54A0E" w:rsidP="001F3ACA">
      <w:pPr>
        <w:rPr>
          <w:rFonts w:ascii="Calibri" w:hAnsi="Calibri" w:cs="Calibri"/>
        </w:rPr>
      </w:pPr>
    </w:p>
    <w:p w14:paraId="277A3225" w14:textId="417923D1" w:rsidR="00813715" w:rsidRPr="00DC55B0" w:rsidRDefault="00420B2E" w:rsidP="001F3ACA">
      <w:pPr>
        <w:rPr>
          <w:rFonts w:ascii="Calibri" w:hAnsi="Calibri" w:cs="Calibri"/>
        </w:rPr>
      </w:pPr>
      <w:r w:rsidRPr="00DC55B0">
        <w:rPr>
          <w:rFonts w:ascii="Calibri" w:hAnsi="Calibri" w:cs="Calibri"/>
        </w:rPr>
        <w:t>In 1988, an estimated 787,000 newborns died of tetanus every year</w:t>
      </w:r>
      <w:r w:rsidR="00FB3AF1" w:rsidRPr="00DC55B0">
        <w:rPr>
          <w:rFonts w:ascii="Calibri" w:hAnsi="Calibri" w:cs="Calibri"/>
        </w:rPr>
        <w:t>.</w:t>
      </w:r>
      <w:r w:rsidR="00C40783" w:rsidRPr="00DC55B0">
        <w:rPr>
          <w:rFonts w:ascii="Calibri" w:hAnsi="Calibri" w:cs="Calibri"/>
        </w:rPr>
        <w:t xml:space="preserve"> </w:t>
      </w:r>
      <w:r w:rsidR="00FB3AF1" w:rsidRPr="00DC55B0">
        <w:rPr>
          <w:rFonts w:ascii="Calibri" w:hAnsi="Calibri" w:cs="Calibri"/>
        </w:rPr>
        <w:t xml:space="preserve">Consequently, </w:t>
      </w:r>
      <w:r w:rsidR="00C40783" w:rsidRPr="00DC55B0">
        <w:rPr>
          <w:rFonts w:ascii="Calibri" w:hAnsi="Calibri" w:cs="Calibri"/>
        </w:rPr>
        <w:t>in 1989</w:t>
      </w:r>
      <w:r w:rsidR="00725F83" w:rsidRPr="00DC55B0">
        <w:rPr>
          <w:rFonts w:ascii="Calibri" w:hAnsi="Calibri" w:cs="Calibri"/>
        </w:rPr>
        <w:t>, the World Health Assembly resolved to reduce neonatal tetanus</w:t>
      </w:r>
      <w:r w:rsidR="007F2631" w:rsidRPr="00DC55B0">
        <w:rPr>
          <w:rFonts w:ascii="Calibri" w:hAnsi="Calibri" w:cs="Calibri"/>
        </w:rPr>
        <w:t xml:space="preserve"> to less than one case per 1</w:t>
      </w:r>
      <w:r w:rsidR="00FB3AF1" w:rsidRPr="00DC55B0">
        <w:rPr>
          <w:rFonts w:ascii="Calibri" w:hAnsi="Calibri" w:cs="Calibri"/>
        </w:rPr>
        <w:t>,</w:t>
      </w:r>
      <w:r w:rsidR="007F2631" w:rsidRPr="00DC55B0">
        <w:rPr>
          <w:rFonts w:ascii="Calibri" w:hAnsi="Calibri" w:cs="Calibri"/>
        </w:rPr>
        <w:t>000 live births in every district</w:t>
      </w:r>
      <w:r w:rsidR="00132347" w:rsidRPr="00DC55B0">
        <w:rPr>
          <w:rFonts w:ascii="Calibri" w:hAnsi="Calibri" w:cs="Calibri"/>
        </w:rPr>
        <w:t>.</w:t>
      </w:r>
      <w:r w:rsidR="00CB55E3" w:rsidRPr="00DC55B0">
        <w:rPr>
          <w:rFonts w:ascii="Calibri" w:hAnsi="Calibri" w:cs="Calibri"/>
        </w:rPr>
        <w:t xml:space="preserve"> </w:t>
      </w:r>
      <w:r w:rsidR="00FB3AF1" w:rsidRPr="00DC55B0">
        <w:rPr>
          <w:rFonts w:ascii="Calibri" w:hAnsi="Calibri" w:cs="Calibri"/>
        </w:rPr>
        <w:t>In</w:t>
      </w:r>
      <w:r w:rsidR="00CB55E3" w:rsidRPr="00DC55B0">
        <w:rPr>
          <w:rFonts w:ascii="Calibri" w:hAnsi="Calibri" w:cs="Calibri"/>
        </w:rPr>
        <w:t xml:space="preserve"> 2018</w:t>
      </w:r>
      <w:r w:rsidR="00884C1F" w:rsidRPr="00DC55B0">
        <w:rPr>
          <w:rFonts w:ascii="Calibri" w:hAnsi="Calibri" w:cs="Calibri"/>
        </w:rPr>
        <w:t xml:space="preserve">, </w:t>
      </w:r>
      <w:r w:rsidR="00FB3AF1" w:rsidRPr="00DC55B0">
        <w:rPr>
          <w:rFonts w:ascii="Calibri" w:hAnsi="Calibri" w:cs="Calibri"/>
        </w:rPr>
        <w:t>around</w:t>
      </w:r>
      <w:r w:rsidR="00884C1F" w:rsidRPr="00DC55B0">
        <w:rPr>
          <w:rFonts w:ascii="Calibri" w:hAnsi="Calibri" w:cs="Calibri"/>
        </w:rPr>
        <w:t xml:space="preserve"> 25,000 newborns died of </w:t>
      </w:r>
      <w:r w:rsidR="004665B9" w:rsidRPr="00DC55B0">
        <w:rPr>
          <w:rFonts w:ascii="Calibri" w:hAnsi="Calibri" w:cs="Calibri"/>
        </w:rPr>
        <w:t xml:space="preserve">neonatal tetanus, a 97% reduction </w:t>
      </w:r>
      <w:r w:rsidR="00FB3AF1" w:rsidRPr="00DC55B0">
        <w:rPr>
          <w:rFonts w:ascii="Calibri" w:hAnsi="Calibri" w:cs="Calibri"/>
        </w:rPr>
        <w:t xml:space="preserve">from the death rate in 1988 </w:t>
      </w:r>
      <w:r w:rsidR="004665B9" w:rsidRPr="00DC55B0">
        <w:rPr>
          <w:rFonts w:ascii="Calibri" w:hAnsi="Calibri" w:cs="Calibri"/>
        </w:rPr>
        <w:t>largely attributable to scaled-up immunisation</w:t>
      </w:r>
      <w:r w:rsidR="00CD3E47" w:rsidRPr="00DC55B0">
        <w:rPr>
          <w:rFonts w:ascii="Calibri" w:hAnsi="Calibri" w:cs="Calibri"/>
        </w:rPr>
        <w:t>.</w:t>
      </w:r>
      <w:r w:rsidR="00FC0625" w:rsidRPr="00DC55B0">
        <w:rPr>
          <w:rFonts w:ascii="Calibri" w:hAnsi="Calibri" w:cs="Calibri"/>
        </w:rPr>
        <w:fldChar w:fldCharType="begin"/>
      </w:r>
      <w:r w:rsidR="003F3CD5" w:rsidRPr="00DC55B0">
        <w:rPr>
          <w:rFonts w:ascii="Calibri" w:hAnsi="Calibri" w:cs="Calibri"/>
        </w:rPr>
        <w:instrText xml:space="preserve"> ADDIN ZOTERO_ITEM CSL_CITATION {"citationID":"e0JXmCTD","properties":{"formattedCitation":"\\super 62\\nosupersub{}","plainCitation":"62","noteIndex":0},"citationItems":[{"id":75,"uris":["http://zotero.org/users/14445769/items/46EQHZNG"],"itemData":{"id":75,"type":"webpage","abstract":"The Maternal and Neonatal Tetanus Elimination (MNTE) initiative aims to reduce MNT cases to such low levels that the disease is no longer a major public health problem.","language":"en","title":"Maternal and Neonatal Tetanus Elimination (MNTE)","URL":"https://www.who.int/initiatives/maternal-and-neonatal-tetanus-elimination-(mnte)","accessed":{"date-parts":[["2024",6,25]]}}}],"schema":"https://github.com/citation-style-language/schema/raw/master/csl-citation.json"} </w:instrText>
      </w:r>
      <w:r w:rsidR="00FC0625" w:rsidRPr="00DC55B0">
        <w:rPr>
          <w:rFonts w:ascii="Calibri" w:hAnsi="Calibri" w:cs="Calibri"/>
        </w:rPr>
        <w:fldChar w:fldCharType="separate"/>
      </w:r>
      <w:r w:rsidR="003F3CD5" w:rsidRPr="00DC55B0">
        <w:rPr>
          <w:rFonts w:ascii="Calibri" w:hAnsi="Calibri" w:cs="Calibri"/>
          <w:kern w:val="0"/>
          <w:vertAlign w:val="superscript"/>
        </w:rPr>
        <w:t>62</w:t>
      </w:r>
      <w:r w:rsidR="00FC0625" w:rsidRPr="00DC55B0">
        <w:rPr>
          <w:rFonts w:ascii="Calibri" w:hAnsi="Calibri" w:cs="Calibri"/>
        </w:rPr>
        <w:fldChar w:fldCharType="end"/>
      </w:r>
      <w:r w:rsidR="00FB3AF1" w:rsidRPr="00DC55B0">
        <w:rPr>
          <w:rFonts w:ascii="Calibri" w:hAnsi="Calibri" w:cs="Calibri"/>
        </w:rPr>
        <w:t xml:space="preserve"> </w:t>
      </w:r>
    </w:p>
    <w:p w14:paraId="00B257E4" w14:textId="77777777" w:rsidR="00F50C30" w:rsidRPr="00DC55B0" w:rsidRDefault="00F50C30" w:rsidP="001F3ACA">
      <w:pPr>
        <w:rPr>
          <w:rFonts w:ascii="Calibri" w:hAnsi="Calibri" w:cs="Calibri"/>
        </w:rPr>
      </w:pPr>
    </w:p>
    <w:p w14:paraId="162F64DB" w14:textId="63B156D7" w:rsidR="00F50C30" w:rsidRPr="00DC55B0" w:rsidRDefault="009E0EFF" w:rsidP="001F3ACA">
      <w:pPr>
        <w:rPr>
          <w:rFonts w:ascii="Calibri" w:hAnsi="Calibri" w:cs="Calibri"/>
          <w:i/>
          <w:iCs/>
        </w:rPr>
      </w:pPr>
      <w:r w:rsidRPr="00DC55B0">
        <w:rPr>
          <w:rFonts w:ascii="Calibri" w:hAnsi="Calibri" w:cs="Calibri"/>
          <w:i/>
          <w:iCs/>
        </w:rPr>
        <w:t>Pertussis</w:t>
      </w:r>
      <w:r w:rsidR="00517BAB" w:rsidRPr="00DC55B0">
        <w:rPr>
          <w:rFonts w:ascii="Calibri" w:hAnsi="Calibri" w:cs="Calibri"/>
          <w:i/>
          <w:iCs/>
        </w:rPr>
        <w:t xml:space="preserve"> vaccination in pregnancy</w:t>
      </w:r>
    </w:p>
    <w:p w14:paraId="6A5A26A7" w14:textId="6F2F734E" w:rsidR="00F50C30" w:rsidRPr="00DC55B0" w:rsidRDefault="009E0EFF" w:rsidP="001F3ACA">
      <w:pPr>
        <w:rPr>
          <w:rFonts w:ascii="Calibri" w:hAnsi="Calibri" w:cs="Calibri"/>
        </w:rPr>
      </w:pPr>
      <w:r w:rsidRPr="00DC55B0">
        <w:rPr>
          <w:rFonts w:ascii="Calibri" w:hAnsi="Calibri" w:cs="Calibri"/>
        </w:rPr>
        <w:t>Pertussis</w:t>
      </w:r>
      <w:r w:rsidR="009E52BC" w:rsidRPr="00DC55B0">
        <w:rPr>
          <w:rFonts w:ascii="Calibri" w:hAnsi="Calibri" w:cs="Calibri"/>
        </w:rPr>
        <w:t xml:space="preserve"> </w:t>
      </w:r>
      <w:r w:rsidRPr="00DC55B0">
        <w:rPr>
          <w:rFonts w:ascii="Calibri" w:hAnsi="Calibri" w:cs="Calibri"/>
        </w:rPr>
        <w:t xml:space="preserve">(whooping cough) </w:t>
      </w:r>
      <w:r w:rsidR="009E52BC" w:rsidRPr="00DC55B0">
        <w:rPr>
          <w:rFonts w:ascii="Calibri" w:hAnsi="Calibri" w:cs="Calibri"/>
        </w:rPr>
        <w:t>is a highly contagious respiratory disease</w:t>
      </w:r>
      <w:r w:rsidR="00A71319" w:rsidRPr="00DC55B0">
        <w:rPr>
          <w:rFonts w:ascii="Calibri" w:hAnsi="Calibri" w:cs="Calibri"/>
        </w:rPr>
        <w:t xml:space="preserve"> caused by the bacterium </w:t>
      </w:r>
      <w:r w:rsidR="00A71319" w:rsidRPr="00DC55B0">
        <w:rPr>
          <w:rFonts w:ascii="Calibri" w:hAnsi="Calibri" w:cs="Calibri"/>
          <w:i/>
          <w:iCs/>
        </w:rPr>
        <w:t>Bord</w:t>
      </w:r>
      <w:r w:rsidR="001324E6" w:rsidRPr="00DC55B0">
        <w:rPr>
          <w:rFonts w:ascii="Calibri" w:hAnsi="Calibri" w:cs="Calibri"/>
          <w:i/>
          <w:iCs/>
        </w:rPr>
        <w:t>e</w:t>
      </w:r>
      <w:r w:rsidR="00A71319" w:rsidRPr="00DC55B0">
        <w:rPr>
          <w:rFonts w:ascii="Calibri" w:hAnsi="Calibri" w:cs="Calibri"/>
          <w:i/>
          <w:iCs/>
        </w:rPr>
        <w:t>tella pertussis</w:t>
      </w:r>
      <w:r w:rsidR="00A71319" w:rsidRPr="00DC55B0">
        <w:rPr>
          <w:rFonts w:ascii="Calibri" w:hAnsi="Calibri" w:cs="Calibri"/>
        </w:rPr>
        <w:t xml:space="preserve"> and characterised by a paroxysmal cough with a</w:t>
      </w:r>
      <w:r w:rsidR="009D44EB" w:rsidRPr="00DC55B0">
        <w:rPr>
          <w:rFonts w:ascii="Calibri" w:hAnsi="Calibri" w:cs="Calibri"/>
        </w:rPr>
        <w:t>n</w:t>
      </w:r>
      <w:r w:rsidR="00A71319" w:rsidRPr="00DC55B0">
        <w:rPr>
          <w:rFonts w:ascii="Calibri" w:hAnsi="Calibri" w:cs="Calibri"/>
        </w:rPr>
        <w:t xml:space="preserve"> in</w:t>
      </w:r>
      <w:r w:rsidR="006C7D60" w:rsidRPr="00DC55B0">
        <w:rPr>
          <w:rFonts w:ascii="Calibri" w:hAnsi="Calibri" w:cs="Calibri"/>
        </w:rPr>
        <w:t>spiratory whoop.</w:t>
      </w:r>
      <w:r w:rsidR="00156637" w:rsidRPr="00DC55B0">
        <w:rPr>
          <w:rFonts w:ascii="Calibri" w:hAnsi="Calibri" w:cs="Calibri"/>
        </w:rPr>
        <w:t xml:space="preserve"> </w:t>
      </w:r>
      <w:r w:rsidR="004D7655" w:rsidRPr="00DC55B0">
        <w:rPr>
          <w:rFonts w:ascii="Calibri" w:hAnsi="Calibri" w:cs="Calibri"/>
        </w:rPr>
        <w:t xml:space="preserve">In the USA between 1940 and 1948, </w:t>
      </w:r>
      <w:r w:rsidRPr="00DC55B0">
        <w:rPr>
          <w:rFonts w:ascii="Calibri" w:hAnsi="Calibri" w:cs="Calibri"/>
        </w:rPr>
        <w:t>pertussis</w:t>
      </w:r>
      <w:r w:rsidR="00C81D9A" w:rsidRPr="00DC55B0">
        <w:rPr>
          <w:rFonts w:ascii="Calibri" w:hAnsi="Calibri" w:cs="Calibri"/>
        </w:rPr>
        <w:t xml:space="preserve"> killed almost three times as many infants as measles, mumps, rubell</w:t>
      </w:r>
      <w:r w:rsidR="00157722" w:rsidRPr="00DC55B0">
        <w:rPr>
          <w:rFonts w:ascii="Calibri" w:hAnsi="Calibri" w:cs="Calibri"/>
        </w:rPr>
        <w:t>a</w:t>
      </w:r>
      <w:r w:rsidR="00C81D9A" w:rsidRPr="00DC55B0">
        <w:rPr>
          <w:rFonts w:ascii="Calibri" w:hAnsi="Calibri" w:cs="Calibri"/>
        </w:rPr>
        <w:t>, scarlet fever, diphtheria</w:t>
      </w:r>
      <w:r w:rsidR="00D16339" w:rsidRPr="00DC55B0">
        <w:rPr>
          <w:rFonts w:ascii="Calibri" w:hAnsi="Calibri" w:cs="Calibri"/>
        </w:rPr>
        <w:t>, polio and meningitis combined</w:t>
      </w:r>
      <w:r w:rsidR="00FC0625" w:rsidRPr="00DC55B0">
        <w:rPr>
          <w:rFonts w:ascii="Calibri" w:hAnsi="Calibri" w:cs="Calibri"/>
        </w:rPr>
        <w:t>.</w:t>
      </w:r>
      <w:r w:rsidR="00FC0625" w:rsidRPr="00DC55B0">
        <w:rPr>
          <w:rFonts w:ascii="Calibri" w:hAnsi="Calibri" w:cs="Calibri"/>
        </w:rPr>
        <w:fldChar w:fldCharType="begin"/>
      </w:r>
      <w:r w:rsidR="003F3CD5" w:rsidRPr="00DC55B0">
        <w:rPr>
          <w:rFonts w:ascii="Calibri" w:hAnsi="Calibri" w:cs="Calibri"/>
        </w:rPr>
        <w:instrText xml:space="preserve"> ADDIN ZOTERO_ITEM CSL_CITATION {"citationID":"po3v0gmp","properties":{"formattedCitation":"\\super 63\\nosupersub{}","plainCitation":"63","noteIndex":0},"citationItems":[{"id":73,"uris":["http://zotero.org/users/14445769/items/IF7WZ6YH"],"itemData":{"id":73,"type":"article-journal","container-title":"Journal of Infectious Diseases","DOI":"10.1093/infdis/132.6.707","ISSN":"0022-1899, 1537-6613","issue":"6","journalAbbreviation":"Journal of Infectious Diseases","language":"en","page":"707-712","source":"DOI.org (Crossref)","title":"Can Whooping Cough Be Eradicated?","volume":"132","author":[{"family":"Kendrick","given":"P. L."}],"issued":{"date-parts":[["1975",12,1]]}}}],"schema":"https://github.com/citation-style-language/schema/raw/master/csl-citation.json"} </w:instrText>
      </w:r>
      <w:r w:rsidR="00FC0625" w:rsidRPr="00DC55B0">
        <w:rPr>
          <w:rFonts w:ascii="Calibri" w:hAnsi="Calibri" w:cs="Calibri"/>
        </w:rPr>
        <w:fldChar w:fldCharType="separate"/>
      </w:r>
      <w:r w:rsidR="003F3CD5" w:rsidRPr="00DC55B0">
        <w:rPr>
          <w:rFonts w:ascii="Calibri" w:hAnsi="Calibri" w:cs="Calibri"/>
          <w:kern w:val="0"/>
          <w:vertAlign w:val="superscript"/>
        </w:rPr>
        <w:t>63</w:t>
      </w:r>
      <w:r w:rsidR="00FC0625" w:rsidRPr="00DC55B0">
        <w:rPr>
          <w:rFonts w:ascii="Calibri" w:hAnsi="Calibri" w:cs="Calibri"/>
        </w:rPr>
        <w:fldChar w:fldCharType="end"/>
      </w:r>
      <w:r w:rsidR="00207808" w:rsidRPr="00DC55B0">
        <w:rPr>
          <w:rFonts w:ascii="Calibri" w:hAnsi="Calibri" w:cs="Calibri"/>
        </w:rPr>
        <w:t xml:space="preserve"> </w:t>
      </w:r>
      <w:r w:rsidRPr="00DC55B0">
        <w:rPr>
          <w:rFonts w:ascii="Calibri" w:hAnsi="Calibri" w:cs="Calibri"/>
        </w:rPr>
        <w:t>Pertussis</w:t>
      </w:r>
      <w:r w:rsidR="00B45D12" w:rsidRPr="00DC55B0">
        <w:rPr>
          <w:rFonts w:ascii="Calibri" w:hAnsi="Calibri" w:cs="Calibri"/>
        </w:rPr>
        <w:t xml:space="preserve"> continues to kill </w:t>
      </w:r>
      <w:r w:rsidR="00EF12AA" w:rsidRPr="00DC55B0">
        <w:rPr>
          <w:rFonts w:ascii="Calibri" w:hAnsi="Calibri" w:cs="Calibri"/>
        </w:rPr>
        <w:t>85,900 infants</w:t>
      </w:r>
      <w:r w:rsidR="00D76BC9" w:rsidRPr="00DC55B0">
        <w:rPr>
          <w:rFonts w:ascii="Calibri" w:hAnsi="Calibri" w:cs="Calibri"/>
        </w:rPr>
        <w:t xml:space="preserve"> per year worldwide</w:t>
      </w:r>
      <w:r w:rsidR="00FC0625" w:rsidRPr="00DC55B0">
        <w:rPr>
          <w:rFonts w:ascii="Calibri" w:hAnsi="Calibri" w:cs="Calibri"/>
        </w:rPr>
        <w:t>,</w:t>
      </w:r>
      <w:r w:rsidR="004C2385" w:rsidRPr="00DC55B0">
        <w:rPr>
          <w:rFonts w:ascii="Calibri" w:hAnsi="Calibri" w:cs="Calibri"/>
        </w:rPr>
        <w:fldChar w:fldCharType="begin"/>
      </w:r>
      <w:r w:rsidR="003F3CD5" w:rsidRPr="00DC55B0">
        <w:rPr>
          <w:rFonts w:ascii="Calibri" w:hAnsi="Calibri" w:cs="Calibri"/>
        </w:rPr>
        <w:instrText xml:space="preserve"> ADDIN ZOTERO_ITEM CSL_CITATION {"citationID":"FD3A0aAw","properties":{"formattedCitation":"\\super 64\\nosupersub{}","plainCitation":"64","noteIndex":0},"citationItems":[{"id":70,"uris":["http://zotero.org/users/14445769/items/J3JFHXZK"],"itemData":{"id":70,"type":"article-journal","container-title":"The Lancet Infectious Diseases","DOI":"10.1016/S1473-3099(17)30390-0","ISSN":"14733099","issue":"9","journalAbbreviation":"The Lancet Infectious Diseases","language":"en","page":"974-980","source":"DOI.org (Crossref)","title":"An update of the global burden of pertussis in children younger than 5 years: a modelling study","title-short":"An update of the global burden of pertussis in children younger than 5 years","volume":"17","author":[{"family":"Yeung","given":"Karene Hoi Ting"},{"family":"Duclos","given":"Philippe"},{"family":"Nelson","given":"E Anthony S"},{"family":"Hutubessy","given":"Raymond Christiaan W"}],"issued":{"date-parts":[["2017",9]]}}}],"schema":"https://github.com/citation-style-language/schema/raw/master/csl-citation.json"} </w:instrText>
      </w:r>
      <w:r w:rsidR="004C2385" w:rsidRPr="00DC55B0">
        <w:rPr>
          <w:rFonts w:ascii="Calibri" w:hAnsi="Calibri" w:cs="Calibri"/>
        </w:rPr>
        <w:fldChar w:fldCharType="separate"/>
      </w:r>
      <w:r w:rsidR="003F3CD5" w:rsidRPr="00DC55B0">
        <w:rPr>
          <w:rFonts w:ascii="Calibri" w:hAnsi="Calibri" w:cs="Calibri"/>
          <w:kern w:val="0"/>
          <w:vertAlign w:val="superscript"/>
        </w:rPr>
        <w:t>64</w:t>
      </w:r>
      <w:r w:rsidR="004C2385" w:rsidRPr="00DC55B0">
        <w:rPr>
          <w:rFonts w:ascii="Calibri" w:hAnsi="Calibri" w:cs="Calibri"/>
        </w:rPr>
        <w:fldChar w:fldCharType="end"/>
      </w:r>
      <w:r w:rsidR="00D76BC9" w:rsidRPr="00DC55B0">
        <w:rPr>
          <w:rFonts w:ascii="Calibri" w:hAnsi="Calibri" w:cs="Calibri"/>
        </w:rPr>
        <w:t xml:space="preserve"> making it a leading cause of vaccine-preventable deaths</w:t>
      </w:r>
      <w:r w:rsidR="004C2385" w:rsidRPr="00DC55B0">
        <w:rPr>
          <w:rFonts w:ascii="Calibri" w:hAnsi="Calibri" w:cs="Calibri"/>
        </w:rPr>
        <w:t>.</w:t>
      </w:r>
      <w:r w:rsidR="004C2385" w:rsidRPr="00DC55B0">
        <w:rPr>
          <w:rFonts w:ascii="Calibri" w:hAnsi="Calibri" w:cs="Calibri"/>
        </w:rPr>
        <w:fldChar w:fldCharType="begin"/>
      </w:r>
      <w:r w:rsidR="003F3CD5" w:rsidRPr="00DC55B0">
        <w:rPr>
          <w:rFonts w:ascii="Calibri" w:hAnsi="Calibri" w:cs="Calibri"/>
        </w:rPr>
        <w:instrText xml:space="preserve"> ADDIN ZOTERO_ITEM CSL_CITATION {"citationID":"iVPM15TD","properties":{"formattedCitation":"\\super 65\\nosupersub{}","plainCitation":"65","noteIndex":0},"citationItems":[{"id":71,"uris":["http://zotero.org/users/14445769/items/Y85DBI9Z"],"itemData":{"id":71,"type":"article-journal","container-title":"Advances in Pediatric Research","DOI":"10.24105/apr.2018.5.14","ISSN":"23854529","journalAbbreviation":"apr","source":"DOI.org (Crossref)","title":"Infectious diseases as a cause of global childhood mortality and morbidity: Progress in recognition, prevention, and treatment","title-short":"Infectious diseases as a cause of global childhood mortality and morbidity","URL":"https://www.longdom.org/articles/infectious-diseases-as-a-cause-of-global-childhood-mortality-and-morbidity-progress-in-recognition-prevention-and-treatm.pdf","author":[{"family":"D. Frenkel","given":"Lawrence"}],"accessed":{"date-parts":[["2024",6,25]]},"issued":{"date-parts":[["2018"]]}}}],"schema":"https://github.com/citation-style-language/schema/raw/master/csl-citation.json"} </w:instrText>
      </w:r>
      <w:r w:rsidR="004C2385" w:rsidRPr="00DC55B0">
        <w:rPr>
          <w:rFonts w:ascii="Calibri" w:hAnsi="Calibri" w:cs="Calibri"/>
        </w:rPr>
        <w:fldChar w:fldCharType="separate"/>
      </w:r>
      <w:r w:rsidR="003F3CD5" w:rsidRPr="00DC55B0">
        <w:rPr>
          <w:rFonts w:ascii="Calibri" w:hAnsi="Calibri" w:cs="Calibri"/>
          <w:kern w:val="0"/>
          <w:vertAlign w:val="superscript"/>
        </w:rPr>
        <w:t>65</w:t>
      </w:r>
      <w:r w:rsidR="004C2385" w:rsidRPr="00DC55B0">
        <w:rPr>
          <w:rFonts w:ascii="Calibri" w:hAnsi="Calibri" w:cs="Calibri"/>
        </w:rPr>
        <w:fldChar w:fldCharType="end"/>
      </w:r>
    </w:p>
    <w:p w14:paraId="40F5A899" w14:textId="77777777" w:rsidR="004459F8" w:rsidRPr="00DC55B0" w:rsidRDefault="004459F8" w:rsidP="001F3ACA">
      <w:pPr>
        <w:rPr>
          <w:rFonts w:ascii="Calibri" w:hAnsi="Calibri" w:cs="Calibri"/>
        </w:rPr>
      </w:pPr>
    </w:p>
    <w:p w14:paraId="7DF0C3FF" w14:textId="7CC4863E" w:rsidR="004459F8" w:rsidRPr="00DC55B0" w:rsidRDefault="004459F8" w:rsidP="001F3ACA">
      <w:pPr>
        <w:rPr>
          <w:rFonts w:ascii="Calibri" w:hAnsi="Calibri" w:cs="Calibri"/>
        </w:rPr>
      </w:pPr>
      <w:r w:rsidRPr="00DC55B0">
        <w:rPr>
          <w:rFonts w:ascii="Calibri" w:hAnsi="Calibri" w:cs="Calibri"/>
        </w:rPr>
        <w:lastRenderedPageBreak/>
        <w:t>Whole</w:t>
      </w:r>
      <w:r w:rsidR="00821C42" w:rsidRPr="00DC55B0">
        <w:rPr>
          <w:rFonts w:ascii="Calibri" w:hAnsi="Calibri" w:cs="Calibri"/>
        </w:rPr>
        <w:t>-</w:t>
      </w:r>
      <w:r w:rsidRPr="00DC55B0">
        <w:rPr>
          <w:rFonts w:ascii="Calibri" w:hAnsi="Calibri" w:cs="Calibri"/>
        </w:rPr>
        <w:t xml:space="preserve">cell pertussis vaccines were developed in </w:t>
      </w:r>
      <w:r w:rsidR="00A94044" w:rsidRPr="00DC55B0">
        <w:rPr>
          <w:rFonts w:ascii="Calibri" w:hAnsi="Calibri" w:cs="Calibri"/>
        </w:rPr>
        <w:t>1914</w:t>
      </w:r>
      <w:r w:rsidR="001324E6" w:rsidRPr="00DC55B0">
        <w:rPr>
          <w:rFonts w:ascii="Calibri" w:hAnsi="Calibri" w:cs="Calibri"/>
        </w:rPr>
        <w:t>,</w:t>
      </w:r>
      <w:r w:rsidR="00BC4457" w:rsidRPr="00DC55B0">
        <w:rPr>
          <w:rFonts w:ascii="Calibri" w:hAnsi="Calibri" w:cs="Calibri"/>
        </w:rPr>
        <w:t xml:space="preserve"> </w:t>
      </w:r>
      <w:r w:rsidR="00446122" w:rsidRPr="00DC55B0">
        <w:rPr>
          <w:rFonts w:ascii="Calibri" w:hAnsi="Calibri" w:cs="Calibri"/>
        </w:rPr>
        <w:t xml:space="preserve">and </w:t>
      </w:r>
      <w:r w:rsidR="00F4667C" w:rsidRPr="00DC55B0">
        <w:rPr>
          <w:rFonts w:ascii="Calibri" w:hAnsi="Calibri" w:cs="Calibri"/>
        </w:rPr>
        <w:t xml:space="preserve">in </w:t>
      </w:r>
      <w:r w:rsidR="00184112" w:rsidRPr="00DC55B0">
        <w:rPr>
          <w:rFonts w:ascii="Calibri" w:hAnsi="Calibri" w:cs="Calibri"/>
        </w:rPr>
        <w:t xml:space="preserve">1943 </w:t>
      </w:r>
      <w:r w:rsidR="00F4667C" w:rsidRPr="00DC55B0">
        <w:rPr>
          <w:rFonts w:ascii="Calibri" w:hAnsi="Calibri" w:cs="Calibri"/>
        </w:rPr>
        <w:t xml:space="preserve">the first </w:t>
      </w:r>
      <w:r w:rsidR="00184112" w:rsidRPr="00DC55B0">
        <w:rPr>
          <w:rFonts w:ascii="Calibri" w:hAnsi="Calibri" w:cs="Calibri"/>
        </w:rPr>
        <w:t>observational stud</w:t>
      </w:r>
      <w:r w:rsidR="00F4667C" w:rsidRPr="00DC55B0">
        <w:rPr>
          <w:rFonts w:ascii="Calibri" w:hAnsi="Calibri" w:cs="Calibri"/>
        </w:rPr>
        <w:t>y</w:t>
      </w:r>
      <w:r w:rsidR="00184112" w:rsidRPr="00DC55B0">
        <w:rPr>
          <w:rFonts w:ascii="Calibri" w:hAnsi="Calibri" w:cs="Calibri"/>
        </w:rPr>
        <w:t xml:space="preserve"> demonstrated transplacental transfer of antibody and some protection of newborns following </w:t>
      </w:r>
      <w:r w:rsidR="00B101A0" w:rsidRPr="00DC55B0">
        <w:rPr>
          <w:rFonts w:ascii="Calibri" w:hAnsi="Calibri" w:cs="Calibri"/>
        </w:rPr>
        <w:t xml:space="preserve">administration </w:t>
      </w:r>
      <w:r w:rsidR="001324E6" w:rsidRPr="00DC55B0">
        <w:rPr>
          <w:rFonts w:ascii="Calibri" w:hAnsi="Calibri" w:cs="Calibri"/>
        </w:rPr>
        <w:t xml:space="preserve">of these vaccines </w:t>
      </w:r>
      <w:r w:rsidR="00B101A0" w:rsidRPr="00DC55B0">
        <w:rPr>
          <w:rFonts w:ascii="Calibri" w:hAnsi="Calibri" w:cs="Calibri"/>
        </w:rPr>
        <w:t>in pregnancy</w:t>
      </w:r>
      <w:r w:rsidR="003646CF" w:rsidRPr="00DC55B0">
        <w:rPr>
          <w:rFonts w:ascii="Calibri" w:hAnsi="Calibri" w:cs="Calibri"/>
        </w:rPr>
        <w:t>.</w:t>
      </w:r>
      <w:r w:rsidR="003646CF" w:rsidRPr="00DC55B0">
        <w:rPr>
          <w:rFonts w:ascii="Calibri" w:hAnsi="Calibri" w:cs="Calibri"/>
        </w:rPr>
        <w:fldChar w:fldCharType="begin"/>
      </w:r>
      <w:r w:rsidR="003F3CD5" w:rsidRPr="00DC55B0">
        <w:rPr>
          <w:rFonts w:ascii="Calibri" w:hAnsi="Calibri" w:cs="Calibri"/>
        </w:rPr>
        <w:instrText xml:space="preserve"> ADDIN ZOTERO_ITEM CSL_CITATION {"citationID":"KjZLSg25","properties":{"formattedCitation":"\\super 66\\nosupersub{}","plainCitation":"66","noteIndex":0},"citationItems":[{"id":69,"uris":["http://zotero.org/users/14445769/items/TIPZDPIY"],"itemData":{"id":69,"type":"article-journal","container-title":"Journal of the American Medical Association","DOI":"10.1001/jama.1943.02840090026008","ISSN":"0002-9955","issue":"9","journalAbbreviation":"JAMA","language":"en","page":"656","source":"DOI.org (Crossref)","title":"THE PLACENTAL TRANSMISSION OF PROTECTIVE ANTIBODIES AGAINST WHOOPING COUGH: BY INOCULATION OF THE PREGNANT MOTHER","title-short":"THE PLACENTAL TRANSMISSION OF PROTECTIVE ANTIBODIES AGAINST WHOOPING COUGH","volume":"121","author":[{"family":"Cohen","given":"Philip"},{"family":"Scadron","given":"Samuel J."}],"issued":{"date-parts":[["1943",2,27]]}}}],"schema":"https://github.com/citation-style-language/schema/raw/master/csl-citation.json"} </w:instrText>
      </w:r>
      <w:r w:rsidR="003646CF" w:rsidRPr="00DC55B0">
        <w:rPr>
          <w:rFonts w:ascii="Calibri" w:hAnsi="Calibri" w:cs="Calibri"/>
        </w:rPr>
        <w:fldChar w:fldCharType="separate"/>
      </w:r>
      <w:r w:rsidR="003F3CD5" w:rsidRPr="00DC55B0">
        <w:rPr>
          <w:rFonts w:ascii="Calibri" w:hAnsi="Calibri" w:cs="Calibri"/>
          <w:kern w:val="0"/>
          <w:vertAlign w:val="superscript"/>
        </w:rPr>
        <w:t>66</w:t>
      </w:r>
      <w:r w:rsidR="003646CF" w:rsidRPr="00DC55B0">
        <w:rPr>
          <w:rFonts w:ascii="Calibri" w:hAnsi="Calibri" w:cs="Calibri"/>
        </w:rPr>
        <w:fldChar w:fldCharType="end"/>
      </w:r>
      <w:r w:rsidR="00B101A0" w:rsidRPr="00DC55B0">
        <w:rPr>
          <w:rFonts w:ascii="Calibri" w:hAnsi="Calibri" w:cs="Calibri"/>
        </w:rPr>
        <w:t xml:space="preserve"> </w:t>
      </w:r>
      <w:r w:rsidR="00B978A7" w:rsidRPr="00DC55B0">
        <w:rPr>
          <w:rFonts w:ascii="Calibri" w:hAnsi="Calibri" w:cs="Calibri"/>
        </w:rPr>
        <w:t>A</w:t>
      </w:r>
      <w:r w:rsidR="00A27990" w:rsidRPr="00DC55B0">
        <w:rPr>
          <w:rFonts w:ascii="Calibri" w:hAnsi="Calibri" w:cs="Calibri"/>
        </w:rPr>
        <w:t xml:space="preserve"> </w:t>
      </w:r>
      <w:r w:rsidR="00C978B4" w:rsidRPr="00DC55B0">
        <w:rPr>
          <w:rFonts w:ascii="Calibri" w:hAnsi="Calibri" w:cs="Calibri"/>
        </w:rPr>
        <w:t xml:space="preserve">campaign of </w:t>
      </w:r>
      <w:r w:rsidR="009E0EFF" w:rsidRPr="00DC55B0">
        <w:rPr>
          <w:rFonts w:ascii="Calibri" w:hAnsi="Calibri" w:cs="Calibri"/>
        </w:rPr>
        <w:t>pertussis</w:t>
      </w:r>
      <w:r w:rsidR="00C978B4" w:rsidRPr="00DC55B0">
        <w:rPr>
          <w:rFonts w:ascii="Calibri" w:hAnsi="Calibri" w:cs="Calibri"/>
        </w:rPr>
        <w:t xml:space="preserve"> </w:t>
      </w:r>
      <w:r w:rsidR="003220E4" w:rsidRPr="00DC55B0">
        <w:rPr>
          <w:rFonts w:ascii="Calibri" w:hAnsi="Calibri" w:cs="Calibri"/>
        </w:rPr>
        <w:t xml:space="preserve">vaccination </w:t>
      </w:r>
      <w:r w:rsidR="00A27990" w:rsidRPr="00DC55B0">
        <w:rPr>
          <w:rFonts w:ascii="Calibri" w:hAnsi="Calibri" w:cs="Calibri"/>
        </w:rPr>
        <w:t xml:space="preserve">in pregnancy </w:t>
      </w:r>
      <w:r w:rsidR="003220E4" w:rsidRPr="00DC55B0">
        <w:rPr>
          <w:rFonts w:ascii="Calibri" w:hAnsi="Calibri" w:cs="Calibri"/>
        </w:rPr>
        <w:t>was not immediately pursued</w:t>
      </w:r>
      <w:r w:rsidR="005245BB" w:rsidRPr="00DC55B0">
        <w:rPr>
          <w:rFonts w:ascii="Calibri" w:hAnsi="Calibri" w:cs="Calibri"/>
        </w:rPr>
        <w:t>,</w:t>
      </w:r>
      <w:r w:rsidR="00CC27DD" w:rsidRPr="00DC55B0">
        <w:rPr>
          <w:rFonts w:ascii="Calibri" w:hAnsi="Calibri" w:cs="Calibri"/>
        </w:rPr>
        <w:t xml:space="preserve"> partly</w:t>
      </w:r>
      <w:r w:rsidR="00B15BE6" w:rsidRPr="00DC55B0">
        <w:rPr>
          <w:rFonts w:ascii="Calibri" w:hAnsi="Calibri" w:cs="Calibri"/>
        </w:rPr>
        <w:t xml:space="preserve"> because of concerns about whole cell vaccine reactogenicity</w:t>
      </w:r>
      <w:r w:rsidR="0034420A" w:rsidRPr="00DC55B0">
        <w:rPr>
          <w:rFonts w:ascii="Calibri" w:hAnsi="Calibri" w:cs="Calibri"/>
        </w:rPr>
        <w:t xml:space="preserve"> but also because</w:t>
      </w:r>
      <w:r w:rsidR="004936E3" w:rsidRPr="00DC55B0">
        <w:rPr>
          <w:rFonts w:ascii="Calibri" w:hAnsi="Calibri" w:cs="Calibri"/>
        </w:rPr>
        <w:t xml:space="preserve"> </w:t>
      </w:r>
      <w:r w:rsidR="00264DBC" w:rsidRPr="00DC55B0">
        <w:rPr>
          <w:rFonts w:ascii="Calibri" w:hAnsi="Calibri" w:cs="Calibri"/>
        </w:rPr>
        <w:t xml:space="preserve">the success of </w:t>
      </w:r>
      <w:r w:rsidR="004936E3" w:rsidRPr="00DC55B0">
        <w:rPr>
          <w:rFonts w:ascii="Calibri" w:hAnsi="Calibri" w:cs="Calibri"/>
        </w:rPr>
        <w:t>the infant vaccination campaign</w:t>
      </w:r>
      <w:r w:rsidR="004F115C" w:rsidRPr="00DC55B0">
        <w:rPr>
          <w:rFonts w:ascii="Calibri" w:hAnsi="Calibri" w:cs="Calibri"/>
        </w:rPr>
        <w:t xml:space="preserve"> meant there was little clinical need</w:t>
      </w:r>
      <w:r w:rsidR="004936E3" w:rsidRPr="00DC55B0">
        <w:rPr>
          <w:rFonts w:ascii="Calibri" w:hAnsi="Calibri" w:cs="Calibri"/>
        </w:rPr>
        <w:t>.</w:t>
      </w:r>
      <w:r w:rsidR="00F101C1" w:rsidRPr="00DC55B0">
        <w:rPr>
          <w:rFonts w:ascii="Calibri" w:hAnsi="Calibri" w:cs="Calibri"/>
        </w:rPr>
        <w:t xml:space="preserve"> The development of an acellular </w:t>
      </w:r>
      <w:r w:rsidR="00EF5273" w:rsidRPr="00DC55B0">
        <w:rPr>
          <w:rFonts w:ascii="Calibri" w:hAnsi="Calibri" w:cs="Calibri"/>
        </w:rPr>
        <w:t xml:space="preserve">pertussis </w:t>
      </w:r>
      <w:r w:rsidR="00F101C1" w:rsidRPr="00DC55B0">
        <w:rPr>
          <w:rFonts w:ascii="Calibri" w:hAnsi="Calibri" w:cs="Calibri"/>
        </w:rPr>
        <w:t xml:space="preserve">vaccine in the 1970s and </w:t>
      </w:r>
      <w:r w:rsidR="001324E6" w:rsidRPr="00DC55B0">
        <w:rPr>
          <w:rFonts w:ascii="Calibri" w:hAnsi="Calibri" w:cs="Calibri"/>
        </w:rPr>
        <w:t>19</w:t>
      </w:r>
      <w:r w:rsidR="00F101C1" w:rsidRPr="00DC55B0">
        <w:rPr>
          <w:rFonts w:ascii="Calibri" w:hAnsi="Calibri" w:cs="Calibri"/>
        </w:rPr>
        <w:t>80s</w:t>
      </w:r>
      <w:r w:rsidR="00271EB7" w:rsidRPr="00DC55B0">
        <w:rPr>
          <w:rFonts w:ascii="Calibri" w:hAnsi="Calibri" w:cs="Calibri"/>
        </w:rPr>
        <w:t xml:space="preserve">, together with a </w:t>
      </w:r>
      <w:r w:rsidR="00EF5273" w:rsidRPr="00DC55B0">
        <w:rPr>
          <w:rFonts w:ascii="Calibri" w:hAnsi="Calibri" w:cs="Calibri"/>
        </w:rPr>
        <w:t>dramatic resurgence of the disea</w:t>
      </w:r>
      <w:r w:rsidR="004E0090" w:rsidRPr="00DC55B0">
        <w:rPr>
          <w:rFonts w:ascii="Calibri" w:hAnsi="Calibri" w:cs="Calibri"/>
        </w:rPr>
        <w:t>se in the early 21</w:t>
      </w:r>
      <w:r w:rsidR="004E0090" w:rsidRPr="00DC55B0">
        <w:rPr>
          <w:rFonts w:ascii="Calibri" w:hAnsi="Calibri" w:cs="Calibri"/>
          <w:vertAlign w:val="superscript"/>
        </w:rPr>
        <w:t>st</w:t>
      </w:r>
      <w:r w:rsidR="004E0090" w:rsidRPr="00DC55B0">
        <w:rPr>
          <w:rFonts w:ascii="Calibri" w:hAnsi="Calibri" w:cs="Calibri"/>
        </w:rPr>
        <w:t xml:space="preserve"> century, prompted </w:t>
      </w:r>
      <w:r w:rsidR="0089588A" w:rsidRPr="00DC55B0">
        <w:rPr>
          <w:rFonts w:ascii="Calibri" w:hAnsi="Calibri" w:cs="Calibri"/>
        </w:rPr>
        <w:t xml:space="preserve">the USA and UK to begin recommending pertussis vaccination in pregnancy in </w:t>
      </w:r>
      <w:r w:rsidR="00A013F6" w:rsidRPr="00DC55B0">
        <w:rPr>
          <w:rFonts w:ascii="Calibri" w:hAnsi="Calibri" w:cs="Calibri"/>
        </w:rPr>
        <w:t>2010</w:t>
      </w:r>
      <w:r w:rsidR="00A57B49" w:rsidRPr="00DC55B0">
        <w:rPr>
          <w:rFonts w:ascii="Calibri" w:hAnsi="Calibri" w:cs="Calibri"/>
        </w:rPr>
        <w:fldChar w:fldCharType="begin"/>
      </w:r>
      <w:r w:rsidR="003F3CD5" w:rsidRPr="00DC55B0">
        <w:rPr>
          <w:rFonts w:ascii="Calibri" w:hAnsi="Calibri" w:cs="Calibri"/>
        </w:rPr>
        <w:instrText xml:space="preserve"> ADDIN ZOTERO_ITEM CSL_CITATION {"citationID":"HYHPxWXM","properties":{"formattedCitation":"\\super 67\\nosupersub{}","plainCitation":"67","noteIndex":0},"citationItems":[{"id":64,"uris":["http://zotero.org/users/14445769/items/T5GPR3HP"],"itemData":{"id":64,"type":"article-journal","container-title":"Morbidity and Mortality Weekly Report","ISSN":"0149-2195","issue":"7","journalAbbreviation":"MMWR Morb Mortal Wkly Rep","note":"PMID: 23425962\nPMCID: PMC4604886","page":"131-135","source":"PubMed Central","title":"Updated Recommendations for Use of Tetanus Toxoid, Reduced Diphtheria Toxoid, and Acellular Pertussis Vaccine (Tdap) in Pregnant Women — Advisory Committee on Immunization Practices (ACIP), 2012","volume":"62","author":[{"family":"Sawyer","given":"Mark"},{"family":"Liang","given":"Jennifer L."},{"family":"Messonnier","given":"Nancy"},{"family":"Clark","given":"Thomas A."}],"issued":{"date-parts":[["2013",2,22]]}}}],"schema":"https://github.com/citation-style-language/schema/raw/master/csl-citation.json"} </w:instrText>
      </w:r>
      <w:r w:rsidR="00A57B49" w:rsidRPr="00DC55B0">
        <w:rPr>
          <w:rFonts w:ascii="Calibri" w:hAnsi="Calibri" w:cs="Calibri"/>
        </w:rPr>
        <w:fldChar w:fldCharType="separate"/>
      </w:r>
      <w:r w:rsidR="003F3CD5" w:rsidRPr="00DC55B0">
        <w:rPr>
          <w:rFonts w:ascii="Calibri" w:hAnsi="Calibri" w:cs="Calibri"/>
          <w:kern w:val="0"/>
          <w:vertAlign w:val="superscript"/>
        </w:rPr>
        <w:t>67</w:t>
      </w:r>
      <w:r w:rsidR="00A57B49" w:rsidRPr="00DC55B0">
        <w:rPr>
          <w:rFonts w:ascii="Calibri" w:hAnsi="Calibri" w:cs="Calibri"/>
        </w:rPr>
        <w:fldChar w:fldCharType="end"/>
      </w:r>
      <w:r w:rsidR="00A013F6" w:rsidRPr="00DC55B0">
        <w:rPr>
          <w:rFonts w:ascii="Calibri" w:hAnsi="Calibri" w:cs="Calibri"/>
        </w:rPr>
        <w:t xml:space="preserve"> and 2012</w:t>
      </w:r>
      <w:r w:rsidR="00A57B49" w:rsidRPr="00DC55B0">
        <w:rPr>
          <w:rFonts w:ascii="Calibri" w:hAnsi="Calibri" w:cs="Calibri"/>
        </w:rPr>
        <w:fldChar w:fldCharType="begin"/>
      </w:r>
      <w:r w:rsidR="00896B2D" w:rsidRPr="00DC55B0">
        <w:rPr>
          <w:rFonts w:ascii="Calibri" w:hAnsi="Calibri" w:cs="Calibri"/>
        </w:rPr>
        <w:instrText xml:space="preserve"> ADDIN ZOTERO_ITEM CSL_CITATION {"citationID":"yHQl3fEE","properties":{"formattedCitation":"\\super 5\\nosupersub{}","plainCitation":"5","noteIndex":0},"citationItems":[{"id":68,"uris":["http://zotero.org/users/14445769/items/SHQUXKL4"],"itemData":{"id":68,"type":"article-journal","container-title":"The Lancet","DOI":"10.1016/S0140-6736(14)60686-3","ISSN":"01406736","issue":"9953","journalAbbreviation":"The Lancet","language":"en","page":"1521-1528","source":"DOI.org (Crossref)","title":"Effectiveness of maternal pertussis vaccination in England: an observational study","title-short":"Effectiveness of maternal pertussis vaccination in England","volume":"384","author":[{"family":"Amirthalingam","given":"Gayatri"},{"family":"Andrews","given":"Nick"},{"family":"Campbell","given":"Helen"},{"family":"Ribeiro","given":"Sonia"},{"family":"Kara","given":"Edna"},{"family":"Donegan","given":"Katherine"},{"family":"Fry","given":"Norman K"},{"family":"Miller","given":"Elizabeth"},{"family":"Ramsay","given":"Mary"}],"issued":{"date-parts":[["2014",10]]}}}],"schema":"https://github.com/citation-style-language/schema/raw/master/csl-citation.json"} </w:instrText>
      </w:r>
      <w:r w:rsidR="00A57B49" w:rsidRPr="00DC55B0">
        <w:rPr>
          <w:rFonts w:ascii="Calibri" w:hAnsi="Calibri" w:cs="Calibri"/>
        </w:rPr>
        <w:fldChar w:fldCharType="separate"/>
      </w:r>
      <w:r w:rsidR="00896B2D" w:rsidRPr="00DC55B0">
        <w:rPr>
          <w:rFonts w:ascii="Calibri" w:hAnsi="Calibri" w:cs="Calibri"/>
          <w:kern w:val="0"/>
          <w:vertAlign w:val="superscript"/>
        </w:rPr>
        <w:t>5</w:t>
      </w:r>
      <w:r w:rsidR="00A57B49" w:rsidRPr="00DC55B0">
        <w:rPr>
          <w:rFonts w:ascii="Calibri" w:hAnsi="Calibri" w:cs="Calibri"/>
        </w:rPr>
        <w:fldChar w:fldCharType="end"/>
      </w:r>
      <w:r w:rsidR="001324E6" w:rsidRPr="00DC55B0">
        <w:rPr>
          <w:rFonts w:ascii="Calibri" w:hAnsi="Calibri" w:cs="Calibri"/>
        </w:rPr>
        <w:t>,</w:t>
      </w:r>
      <w:r w:rsidR="00AC1E4A" w:rsidRPr="00DC55B0">
        <w:rPr>
          <w:rFonts w:ascii="Calibri" w:hAnsi="Calibri" w:cs="Calibri"/>
        </w:rPr>
        <w:t xml:space="preserve"> </w:t>
      </w:r>
      <w:r w:rsidR="00A013F6" w:rsidRPr="00DC55B0">
        <w:rPr>
          <w:rFonts w:ascii="Calibri" w:hAnsi="Calibri" w:cs="Calibri"/>
        </w:rPr>
        <w:t>respectively</w:t>
      </w:r>
      <w:r w:rsidR="001324E6" w:rsidRPr="00DC55B0">
        <w:rPr>
          <w:rFonts w:ascii="Calibri" w:hAnsi="Calibri" w:cs="Calibri"/>
        </w:rPr>
        <w:t>.</w:t>
      </w:r>
      <w:r w:rsidR="00AC63A4" w:rsidRPr="00DC55B0">
        <w:rPr>
          <w:rFonts w:ascii="Calibri" w:hAnsi="Calibri" w:cs="Calibri"/>
        </w:rPr>
        <w:t xml:space="preserve"> </w:t>
      </w:r>
      <w:r w:rsidR="001324E6" w:rsidRPr="00DC55B0">
        <w:rPr>
          <w:rFonts w:ascii="Calibri" w:hAnsi="Calibri" w:cs="Calibri"/>
        </w:rPr>
        <w:t>F</w:t>
      </w:r>
      <w:r w:rsidR="00AC63A4" w:rsidRPr="00DC55B0">
        <w:rPr>
          <w:rFonts w:ascii="Calibri" w:hAnsi="Calibri" w:cs="Calibri"/>
        </w:rPr>
        <w:t xml:space="preserve">ollowing the introduction of a </w:t>
      </w:r>
      <w:r w:rsidR="009E0EFF" w:rsidRPr="00DC55B0">
        <w:rPr>
          <w:rFonts w:ascii="Calibri" w:hAnsi="Calibri" w:cs="Calibri"/>
        </w:rPr>
        <w:t>pertussis</w:t>
      </w:r>
      <w:r w:rsidR="00AC63A4" w:rsidRPr="00DC55B0">
        <w:rPr>
          <w:rFonts w:ascii="Calibri" w:hAnsi="Calibri" w:cs="Calibri"/>
        </w:rPr>
        <w:t xml:space="preserve"> vaccine in pregnancy, the UK saw a </w:t>
      </w:r>
      <w:r w:rsidR="0063246D" w:rsidRPr="00DC55B0">
        <w:rPr>
          <w:rFonts w:ascii="Calibri" w:hAnsi="Calibri" w:cs="Calibri"/>
        </w:rPr>
        <w:t>78</w:t>
      </w:r>
      <w:r w:rsidR="00AC63A4" w:rsidRPr="00DC55B0">
        <w:rPr>
          <w:rFonts w:ascii="Calibri" w:hAnsi="Calibri" w:cs="Calibri"/>
        </w:rPr>
        <w:t xml:space="preserve">% </w:t>
      </w:r>
      <w:r w:rsidR="0063246D" w:rsidRPr="00DC55B0">
        <w:rPr>
          <w:rFonts w:ascii="Calibri" w:hAnsi="Calibri" w:cs="Calibri"/>
        </w:rPr>
        <w:t>reduction</w:t>
      </w:r>
      <w:r w:rsidR="00AC63A4" w:rsidRPr="00DC55B0">
        <w:rPr>
          <w:rFonts w:ascii="Calibri" w:hAnsi="Calibri" w:cs="Calibri"/>
        </w:rPr>
        <w:t xml:space="preserve"> in </w:t>
      </w:r>
      <w:r w:rsidR="0063246D" w:rsidRPr="00DC55B0">
        <w:rPr>
          <w:rFonts w:ascii="Calibri" w:hAnsi="Calibri" w:cs="Calibri"/>
        </w:rPr>
        <w:t>cases in babies under 3 months old</w:t>
      </w:r>
      <w:r w:rsidR="00871FB6" w:rsidRPr="00DC55B0">
        <w:rPr>
          <w:rFonts w:ascii="Calibri" w:hAnsi="Calibri" w:cs="Calibri"/>
        </w:rPr>
        <w:t>.</w:t>
      </w:r>
      <w:r w:rsidR="00871FB6" w:rsidRPr="00DC55B0">
        <w:rPr>
          <w:rFonts w:ascii="Calibri" w:hAnsi="Calibri" w:cs="Calibri"/>
        </w:rPr>
        <w:fldChar w:fldCharType="begin"/>
      </w:r>
      <w:r w:rsidR="00896B2D" w:rsidRPr="00DC55B0">
        <w:rPr>
          <w:rFonts w:ascii="Calibri" w:hAnsi="Calibri" w:cs="Calibri"/>
        </w:rPr>
        <w:instrText xml:space="preserve"> ADDIN ZOTERO_ITEM CSL_CITATION {"citationID":"00oxcTMw","properties":{"formattedCitation":"\\super 5\\nosupersub{}","plainCitation":"5","noteIndex":0},"citationItems":[{"id":68,"uris":["http://zotero.org/users/14445769/items/SHQUXKL4"],"itemData":{"id":68,"type":"article-journal","container-title":"The Lancet","DOI":"10.1016/S0140-6736(14)60686-3","ISSN":"01406736","issue":"9953","journalAbbreviation":"The Lancet","language":"en","page":"1521-1528","source":"DOI.org (Crossref)","title":"Effectiveness of maternal pertussis vaccination in England: an observational study","title-short":"Effectiveness of maternal pertussis vaccination in England","volume":"384","author":[{"family":"Amirthalingam","given":"Gayatri"},{"family":"Andrews","given":"Nick"},{"family":"Campbell","given":"Helen"},{"family":"Ribeiro","given":"Sonia"},{"family":"Kara","given":"Edna"},{"family":"Donegan","given":"Katherine"},{"family":"Fry","given":"Norman K"},{"family":"Miller","given":"Elizabeth"},{"family":"Ramsay","given":"Mary"}],"issued":{"date-parts":[["2014",10]]}}}],"schema":"https://github.com/citation-style-language/schema/raw/master/csl-citation.json"} </w:instrText>
      </w:r>
      <w:r w:rsidR="00871FB6" w:rsidRPr="00DC55B0">
        <w:rPr>
          <w:rFonts w:ascii="Calibri" w:hAnsi="Calibri" w:cs="Calibri"/>
        </w:rPr>
        <w:fldChar w:fldCharType="separate"/>
      </w:r>
      <w:r w:rsidR="00896B2D" w:rsidRPr="00DC55B0">
        <w:rPr>
          <w:rFonts w:ascii="Calibri" w:hAnsi="Calibri" w:cs="Calibri"/>
          <w:kern w:val="0"/>
          <w:vertAlign w:val="superscript"/>
        </w:rPr>
        <w:t>5</w:t>
      </w:r>
      <w:r w:rsidR="00871FB6" w:rsidRPr="00DC55B0">
        <w:rPr>
          <w:rFonts w:ascii="Calibri" w:hAnsi="Calibri" w:cs="Calibri"/>
        </w:rPr>
        <w:fldChar w:fldCharType="end"/>
      </w:r>
      <w:r w:rsidR="00F618FF" w:rsidRPr="00DC55B0">
        <w:rPr>
          <w:rFonts w:ascii="Calibri" w:hAnsi="Calibri" w:cs="Calibri"/>
        </w:rPr>
        <w:t xml:space="preserve"> </w:t>
      </w:r>
      <w:r w:rsidR="001135B8" w:rsidRPr="00DC55B0">
        <w:rPr>
          <w:rFonts w:ascii="Calibri" w:hAnsi="Calibri" w:cs="Calibri"/>
        </w:rPr>
        <w:t xml:space="preserve">Estimates of effectiveness against hospitalisation of infants under 3 months old range from </w:t>
      </w:r>
      <w:r w:rsidR="00BA0B45" w:rsidRPr="00DC55B0">
        <w:rPr>
          <w:rFonts w:ascii="Calibri" w:hAnsi="Calibri" w:cs="Calibri"/>
        </w:rPr>
        <w:t>66-94%</w:t>
      </w:r>
      <w:r w:rsidR="00783A06" w:rsidRPr="00DC55B0">
        <w:rPr>
          <w:rFonts w:ascii="Calibri" w:hAnsi="Calibri" w:cs="Calibri"/>
        </w:rPr>
        <w:t xml:space="preserve"> </w:t>
      </w:r>
      <w:r w:rsidR="00637E5F" w:rsidRPr="00DC55B0">
        <w:rPr>
          <w:rFonts w:ascii="Calibri" w:hAnsi="Calibri" w:cs="Calibri"/>
        </w:rPr>
        <w:t>,</w:t>
      </w:r>
      <w:r w:rsidR="002750DE" w:rsidRPr="00DC55B0">
        <w:rPr>
          <w:rFonts w:ascii="Calibri" w:hAnsi="Calibri" w:cs="Calibri"/>
        </w:rPr>
        <w:t xml:space="preserve"> </w:t>
      </w:r>
      <w:r w:rsidR="00371D51" w:rsidRPr="00DC55B0">
        <w:rPr>
          <w:rFonts w:ascii="Calibri" w:hAnsi="Calibri" w:cs="Calibri"/>
        </w:rPr>
        <w:t>with</w:t>
      </w:r>
      <w:r w:rsidR="002750DE" w:rsidRPr="00DC55B0">
        <w:rPr>
          <w:rFonts w:ascii="Calibri" w:hAnsi="Calibri" w:cs="Calibri"/>
        </w:rPr>
        <w:t xml:space="preserve"> no</w:t>
      </w:r>
      <w:r w:rsidR="00BE3DD7" w:rsidRPr="00DC55B0">
        <w:rPr>
          <w:rFonts w:ascii="Calibri" w:hAnsi="Calibri" w:cs="Calibri"/>
        </w:rPr>
        <w:t xml:space="preserve"> increase in adverse </w:t>
      </w:r>
      <w:r w:rsidR="00013751" w:rsidRPr="00DC55B0">
        <w:rPr>
          <w:rFonts w:ascii="Calibri" w:hAnsi="Calibri" w:cs="Calibri"/>
        </w:rPr>
        <w:t xml:space="preserve">perinatal </w:t>
      </w:r>
      <w:r w:rsidR="00BE3DD7" w:rsidRPr="00DC55B0">
        <w:rPr>
          <w:rFonts w:ascii="Calibri" w:hAnsi="Calibri" w:cs="Calibri"/>
        </w:rPr>
        <w:t>outcomes</w:t>
      </w:r>
      <w:r w:rsidR="00871FB6" w:rsidRPr="00DC55B0">
        <w:rPr>
          <w:rFonts w:ascii="Calibri" w:hAnsi="Calibri" w:cs="Calibri"/>
        </w:rPr>
        <w:t>.</w:t>
      </w:r>
      <w:r w:rsidR="00871FB6" w:rsidRPr="00DC55B0">
        <w:rPr>
          <w:rFonts w:ascii="Calibri" w:hAnsi="Calibri" w:cs="Calibri"/>
        </w:rPr>
        <w:fldChar w:fldCharType="begin"/>
      </w:r>
      <w:r w:rsidR="00AD49BF" w:rsidRPr="00DC55B0">
        <w:rPr>
          <w:rFonts w:ascii="Calibri" w:hAnsi="Calibri" w:cs="Calibri"/>
        </w:rPr>
        <w:instrText xml:space="preserve"> ADDIN ZOTERO_ITEM CSL_CITATION {"citationID":"uo5OyrO9","properties":{"formattedCitation":"\\super 4\\nosupersub{}","plainCitation":"4","noteIndex":0},"citationItems":[{"id":65,"uris":["http://zotero.org/users/14445769/items/UV8PD2IT"],"itemData":{"id":65,"type":"article-journal","abstract":"Background\nInfants &lt; 3 months of age are at highest risk for developing severe complications after pertussis. The majority of pregnant women has low concentrations of pertussis-specific antibodies and thus newborns are insufficiently protected by maternally transferred antibodies. Acellular pertussis vaccination during pregnancy was recently implemented in various countries. Here, we assessed the evidence for safety and effectiveness of pertussis vaccination during pregnancy.\n\nMethods\nWe searched Medline, Embase, and ClinicalTrials.gov from January 1st 2010 to January 10th 2019. We assessed risk of bias (ROB) using the Cochrane ROB tool and ROBINS-I. We evaluated the quality of evidence using the GRADE approach.\n\nResults\nWe identified 1273 articles and included 22 studies (14 for safety; 8 for effectiveness), comprising 1.4 million pregnant women in safety studies and 855,546 mother-infant-pairs in effectiveness studies. No significant differences between vaccinated and unvaccinated women and their infants were observed for safety outcomes with the exception of fever and chorioamnionitis. Compared to no vaccination, three studies showed a significantly increased relative risk for the presence of the ICD-9 code for chorioamnionitis in electronic patient data after pertussis vaccination. However, no study reported an increased risk for clinical sequelae of chorioamnionitis after vaccination during pregnancy, such as preterm birth or neonatal intensive care unit admission. Vaccine effectiveness against pertussis in infants of immunized mothers ranged from 69 to 91% for pertussis prevention, from 91 to 94% for prevention of hospitalization and was 95% for prevention of death due to pertussis. Risk of bias was serious to critical for safety outcomes and moderate to serious for effectiveness outcomes. GRADE evidence quality was moderate to very low, depending on outcome.\n\nConclusion\nAlthough an increased risk for a diagnosis of fever and chorioamnionitis was detected in pregnant women after pertussis vaccination, there was no association with a higher frequency of clinically relevant sequelae. Vaccine effectiveness for prevention of infant pertussis, hospitalization and death is high. Pertussis vaccination during pregnancy has an overall positive benefit-risk ratio. In view of the overall quality of available evidence ongoing surveillance of chorioamnionitis and its potential sequelae is recommended when pertussis vaccination in pregnancy is implemented.\n\nTrial registration\nPROSPERO CRD42018087814, CRD42018090357.","container-title":"BMC Infectious Diseases","DOI":"10.1186/s12879-020-4824-3","ISSN":"1471-2334","journalAbbreviation":"BMC Infect Dis","note":"PMID: 32054444\nPMCID: PMC7020352","page":"136","source":"PubMed Central","title":"Safety and effectiveness of acellular pertussis vaccination during pregnancy: a systematic review","title-short":"Safety and effectiveness of acellular pertussis vaccination during pregnancy","volume":"20","author":[{"family":"Vygen-Bonnet","given":"Sabine"},{"family":"Hellenbrand","given":"Wiebke"},{"family":"Garbe","given":"Edeltraut"},{"family":"Kries","given":"Rüdiger","non-dropping-particle":"von"},{"family":"Bogdan","given":"Christian"},{"family":"Heininger","given":"Ulrich"},{"family":"Röbl-Mathieu","given":"Marianne"},{"family":"Harder","given":"Thomas"}],"issued":{"date-parts":[["2020",2,13]]}}}],"schema":"https://github.com/citation-style-language/schema/raw/master/csl-citation.json"} </w:instrText>
      </w:r>
      <w:r w:rsidR="00871FB6" w:rsidRPr="00DC55B0">
        <w:rPr>
          <w:rFonts w:ascii="Calibri" w:hAnsi="Calibri" w:cs="Calibri"/>
        </w:rPr>
        <w:fldChar w:fldCharType="separate"/>
      </w:r>
      <w:r w:rsidR="00AD49BF" w:rsidRPr="00DC55B0">
        <w:rPr>
          <w:rFonts w:ascii="Calibri" w:hAnsi="Calibri" w:cs="Calibri"/>
          <w:kern w:val="0"/>
          <w:vertAlign w:val="superscript"/>
        </w:rPr>
        <w:t>4</w:t>
      </w:r>
      <w:r w:rsidR="00871FB6" w:rsidRPr="00DC55B0">
        <w:rPr>
          <w:rFonts w:ascii="Calibri" w:hAnsi="Calibri" w:cs="Calibri"/>
        </w:rPr>
        <w:fldChar w:fldCharType="end"/>
      </w:r>
    </w:p>
    <w:p w14:paraId="5676F82C" w14:textId="77777777" w:rsidR="00C34D85" w:rsidRPr="00DC55B0" w:rsidRDefault="00C34D85" w:rsidP="001F3ACA">
      <w:pPr>
        <w:rPr>
          <w:rFonts w:ascii="Calibri" w:hAnsi="Calibri" w:cs="Calibri"/>
        </w:rPr>
      </w:pPr>
    </w:p>
    <w:p w14:paraId="50BB3654" w14:textId="010F9E24" w:rsidR="00E704BD" w:rsidRPr="00DC55B0" w:rsidRDefault="00C34D85" w:rsidP="001F3ACA">
      <w:pPr>
        <w:rPr>
          <w:rFonts w:ascii="Calibri" w:hAnsi="Calibri" w:cs="Calibri"/>
        </w:rPr>
      </w:pPr>
      <w:r w:rsidRPr="00DC55B0">
        <w:rPr>
          <w:rFonts w:ascii="Calibri" w:hAnsi="Calibri" w:cs="Calibri"/>
        </w:rPr>
        <w:t xml:space="preserve">Recommendations about the </w:t>
      </w:r>
      <w:r w:rsidR="007A4CCB" w:rsidRPr="00DC55B0">
        <w:rPr>
          <w:rFonts w:ascii="Calibri" w:hAnsi="Calibri" w:cs="Calibri"/>
        </w:rPr>
        <w:t>timing and type of vaccin</w:t>
      </w:r>
      <w:r w:rsidR="005466F2" w:rsidRPr="00DC55B0">
        <w:rPr>
          <w:rFonts w:ascii="Calibri" w:hAnsi="Calibri" w:cs="Calibri"/>
        </w:rPr>
        <w:t>e to be used in pregnancy</w:t>
      </w:r>
      <w:r w:rsidR="007A4CCB" w:rsidRPr="00DC55B0">
        <w:rPr>
          <w:rFonts w:ascii="Calibri" w:hAnsi="Calibri" w:cs="Calibri"/>
        </w:rPr>
        <w:t xml:space="preserve"> have change</w:t>
      </w:r>
      <w:r w:rsidR="005466F2" w:rsidRPr="00DC55B0">
        <w:rPr>
          <w:rFonts w:ascii="Calibri" w:hAnsi="Calibri" w:cs="Calibri"/>
        </w:rPr>
        <w:t xml:space="preserve">d </w:t>
      </w:r>
      <w:r w:rsidR="00AC2E16" w:rsidRPr="00DC55B0">
        <w:rPr>
          <w:rFonts w:ascii="Calibri" w:hAnsi="Calibri" w:cs="Calibri"/>
        </w:rPr>
        <w:t>since the programme was introduced.</w:t>
      </w:r>
      <w:r w:rsidR="00CA04BE" w:rsidRPr="00DC55B0">
        <w:rPr>
          <w:rFonts w:ascii="Calibri" w:hAnsi="Calibri" w:cs="Calibri"/>
        </w:rPr>
        <w:t xml:space="preserve"> In the UK, </w:t>
      </w:r>
      <w:r w:rsidR="009E0EFF" w:rsidRPr="00DC55B0">
        <w:rPr>
          <w:rFonts w:ascii="Calibri" w:hAnsi="Calibri" w:cs="Calibri"/>
        </w:rPr>
        <w:t>pertussis</w:t>
      </w:r>
      <w:r w:rsidR="00CA04BE" w:rsidRPr="00DC55B0">
        <w:rPr>
          <w:rFonts w:ascii="Calibri" w:hAnsi="Calibri" w:cs="Calibri"/>
        </w:rPr>
        <w:t xml:space="preserve"> vaccination was initially offered </w:t>
      </w:r>
      <w:r w:rsidR="00DA0562" w:rsidRPr="00DC55B0">
        <w:rPr>
          <w:rFonts w:ascii="Calibri" w:hAnsi="Calibri" w:cs="Calibri"/>
        </w:rPr>
        <w:t xml:space="preserve">between </w:t>
      </w:r>
      <w:r w:rsidR="00E10766" w:rsidRPr="00DC55B0">
        <w:rPr>
          <w:rFonts w:ascii="Calibri" w:hAnsi="Calibri" w:cs="Calibri"/>
        </w:rPr>
        <w:t>28 and 38 weeks of pregnancy</w:t>
      </w:r>
      <w:r w:rsidR="006A4117" w:rsidRPr="00DC55B0">
        <w:rPr>
          <w:rFonts w:ascii="Calibri" w:hAnsi="Calibri" w:cs="Calibri"/>
        </w:rPr>
        <w:fldChar w:fldCharType="begin"/>
      </w:r>
      <w:r w:rsidR="00896B2D" w:rsidRPr="00DC55B0">
        <w:rPr>
          <w:rFonts w:ascii="Calibri" w:hAnsi="Calibri" w:cs="Calibri"/>
        </w:rPr>
        <w:instrText xml:space="preserve"> ADDIN ZOTERO_ITEM CSL_CITATION {"citationID":"2mP0wHnl","properties":{"formattedCitation":"\\super 5\\nosupersub{}","plainCitation":"5","noteIndex":0},"citationItems":[{"id":68,"uris":["http://zotero.org/users/14445769/items/SHQUXKL4"],"itemData":{"id":68,"type":"article-journal","container-title":"The Lancet","DOI":"10.1016/S0140-6736(14)60686-3","ISSN":"01406736","issue":"9953","journalAbbreviation":"The Lancet","language":"en","page":"1521-1528","source":"DOI.org (Crossref)","title":"Effectiveness of maternal pertussis vaccination in England: an observational study","title-short":"Effectiveness of maternal pertussis vaccination in England","volume":"384","author":[{"family":"Amirthalingam","given":"Gayatri"},{"family":"Andrews","given":"Nick"},{"family":"Campbell","given":"Helen"},{"family":"Ribeiro","given":"Sonia"},{"family":"Kara","given":"Edna"},{"family":"Donegan","given":"Katherine"},{"family":"Fry","given":"Norman K"},{"family":"Miller","given":"Elizabeth"},{"family":"Ramsay","given":"Mary"}],"issued":{"date-parts":[["2014",10]]}}}],"schema":"https://github.com/citation-style-language/schema/raw/master/csl-citation.json"} </w:instrText>
      </w:r>
      <w:r w:rsidR="006A4117" w:rsidRPr="00DC55B0">
        <w:rPr>
          <w:rFonts w:ascii="Calibri" w:hAnsi="Calibri" w:cs="Calibri"/>
        </w:rPr>
        <w:fldChar w:fldCharType="separate"/>
      </w:r>
      <w:r w:rsidR="00896B2D" w:rsidRPr="00DC55B0">
        <w:rPr>
          <w:rFonts w:ascii="Calibri" w:hAnsi="Calibri" w:cs="Calibri"/>
          <w:kern w:val="0"/>
          <w:vertAlign w:val="superscript"/>
        </w:rPr>
        <w:t>5</w:t>
      </w:r>
      <w:r w:rsidR="006A4117" w:rsidRPr="00DC55B0">
        <w:rPr>
          <w:rFonts w:ascii="Calibri" w:hAnsi="Calibri" w:cs="Calibri"/>
        </w:rPr>
        <w:fldChar w:fldCharType="end"/>
      </w:r>
      <w:r w:rsidR="00D45679" w:rsidRPr="00DC55B0">
        <w:rPr>
          <w:rFonts w:ascii="Calibri" w:hAnsi="Calibri" w:cs="Calibri"/>
        </w:rPr>
        <w:t xml:space="preserve"> but from </w:t>
      </w:r>
      <w:r w:rsidR="00F02277" w:rsidRPr="00DC55B0">
        <w:rPr>
          <w:rFonts w:ascii="Calibri" w:hAnsi="Calibri" w:cs="Calibri"/>
        </w:rPr>
        <w:t xml:space="preserve">2016 the offer was </w:t>
      </w:r>
      <w:r w:rsidR="00E05D85" w:rsidRPr="00DC55B0">
        <w:rPr>
          <w:rFonts w:ascii="Calibri" w:hAnsi="Calibri" w:cs="Calibri"/>
        </w:rPr>
        <w:t xml:space="preserve">extended to between </w:t>
      </w:r>
      <w:r w:rsidR="00F15EB6" w:rsidRPr="00DC55B0">
        <w:rPr>
          <w:rFonts w:ascii="Calibri" w:hAnsi="Calibri" w:cs="Calibri"/>
        </w:rPr>
        <w:t>16</w:t>
      </w:r>
      <w:r w:rsidR="00E05D85" w:rsidRPr="00DC55B0">
        <w:rPr>
          <w:rFonts w:ascii="Calibri" w:hAnsi="Calibri" w:cs="Calibri"/>
        </w:rPr>
        <w:t xml:space="preserve"> and 32</w:t>
      </w:r>
      <w:r w:rsidR="007571B5" w:rsidRPr="00DC55B0">
        <w:rPr>
          <w:rFonts w:ascii="Calibri" w:hAnsi="Calibri" w:cs="Calibri"/>
        </w:rPr>
        <w:t xml:space="preserve"> weeks. </w:t>
      </w:r>
      <w:r w:rsidR="005251D3" w:rsidRPr="00DC55B0">
        <w:rPr>
          <w:rFonts w:ascii="Calibri" w:hAnsi="Calibri" w:cs="Calibri"/>
        </w:rPr>
        <w:t xml:space="preserve">This was primarily </w:t>
      </w:r>
      <w:r w:rsidR="00F45F78" w:rsidRPr="00DC55B0">
        <w:rPr>
          <w:rFonts w:ascii="Calibri" w:hAnsi="Calibri" w:cs="Calibri"/>
        </w:rPr>
        <w:t>to</w:t>
      </w:r>
      <w:r w:rsidR="005251D3" w:rsidRPr="00DC55B0">
        <w:rPr>
          <w:rFonts w:ascii="Calibri" w:hAnsi="Calibri" w:cs="Calibri"/>
        </w:rPr>
        <w:t xml:space="preserve"> </w:t>
      </w:r>
      <w:r w:rsidR="007408A6" w:rsidRPr="00DC55B0">
        <w:rPr>
          <w:rFonts w:ascii="Calibri" w:hAnsi="Calibri" w:cs="Calibri"/>
        </w:rPr>
        <w:t xml:space="preserve">broaden the window of </w:t>
      </w:r>
      <w:r w:rsidR="005251D3" w:rsidRPr="00DC55B0">
        <w:rPr>
          <w:rFonts w:ascii="Calibri" w:hAnsi="Calibri" w:cs="Calibri"/>
        </w:rPr>
        <w:t xml:space="preserve">opportunity for vaccination, </w:t>
      </w:r>
      <w:r w:rsidR="00A41948" w:rsidRPr="00DC55B0">
        <w:rPr>
          <w:rFonts w:ascii="Calibri" w:hAnsi="Calibri" w:cs="Calibri"/>
        </w:rPr>
        <w:t xml:space="preserve">with </w:t>
      </w:r>
      <w:r w:rsidR="007408A6" w:rsidRPr="00DC55B0">
        <w:rPr>
          <w:rFonts w:ascii="Calibri" w:hAnsi="Calibri" w:cs="Calibri"/>
        </w:rPr>
        <w:t>the earlier offer</w:t>
      </w:r>
      <w:r w:rsidR="00824835" w:rsidRPr="00DC55B0">
        <w:rPr>
          <w:rFonts w:ascii="Calibri" w:hAnsi="Calibri" w:cs="Calibri"/>
        </w:rPr>
        <w:t xml:space="preserve"> meaning that babies who were born preterm were more likely to be protected</w:t>
      </w:r>
      <w:r w:rsidR="001324E6" w:rsidRPr="00DC55B0">
        <w:rPr>
          <w:rFonts w:ascii="Calibri" w:hAnsi="Calibri" w:cs="Calibri"/>
        </w:rPr>
        <w:t>.</w:t>
      </w:r>
      <w:r w:rsidR="00D66DDE" w:rsidRPr="00DC55B0">
        <w:rPr>
          <w:rFonts w:ascii="Calibri" w:hAnsi="Calibri" w:cs="Calibri"/>
        </w:rPr>
        <w:t xml:space="preserve"> </w:t>
      </w:r>
      <w:r w:rsidR="001D1548" w:rsidRPr="00DC55B0">
        <w:rPr>
          <w:rFonts w:ascii="Calibri" w:hAnsi="Calibri" w:cs="Calibri"/>
        </w:rPr>
        <w:t>A 2016 study reporting</w:t>
      </w:r>
      <w:r w:rsidR="00D66DDE" w:rsidRPr="00DC55B0">
        <w:rPr>
          <w:rFonts w:ascii="Calibri" w:hAnsi="Calibri" w:cs="Calibri"/>
        </w:rPr>
        <w:t xml:space="preserve"> that </w:t>
      </w:r>
      <w:r w:rsidR="00FA096F" w:rsidRPr="00DC55B0">
        <w:rPr>
          <w:rFonts w:ascii="Calibri" w:hAnsi="Calibri" w:cs="Calibri"/>
        </w:rPr>
        <w:t>immunisation earlier in pregnancy maximises</w:t>
      </w:r>
      <w:r w:rsidR="00556B7E" w:rsidRPr="00DC55B0">
        <w:rPr>
          <w:rFonts w:ascii="Calibri" w:hAnsi="Calibri" w:cs="Calibri"/>
        </w:rPr>
        <w:t xml:space="preserve"> infant seropositivity to pertussis antigens</w:t>
      </w:r>
      <w:r w:rsidR="00B90C00" w:rsidRPr="00DC55B0">
        <w:rPr>
          <w:rFonts w:ascii="Calibri" w:hAnsi="Calibri" w:cs="Calibri"/>
        </w:rPr>
        <w:fldChar w:fldCharType="begin"/>
      </w:r>
      <w:r w:rsidR="003F3CD5" w:rsidRPr="00DC55B0">
        <w:rPr>
          <w:rFonts w:ascii="Calibri" w:hAnsi="Calibri" w:cs="Calibri"/>
        </w:rPr>
        <w:instrText xml:space="preserve"> ADDIN ZOTERO_ITEM CSL_CITATION {"citationID":"KxoD2bvw","properties":{"formattedCitation":"\\super 38\\nosupersub{}","plainCitation":"38","noteIndex":0},"citationItems":[{"id":107,"uris":["http://zotero.org/users/14445769/items/GAWAUDFM"],"itemData":{"id":107,"type":"article-journal","container-title":"Clinical Infectious Diseases","DOI":"10.1093/cid/ciw027","ISSN":"1058-4838, 1537-6591","issue":"7","journalAbbreviation":"Clin Infect Dis.","language":"en","page":"829-836","source":"DOI.org (Crossref)","title":"Maternal Immunization Earlier in Pregnancy Maximizes Antibody Transfer and Expected Infant Seropositivity Against Pertussis","volume":"62","author":[{"family":"Eberhardt","given":"Christiane S."},{"family":"Blanchard-Rohner","given":"Geraldine"},{"family":"Lemaître","given":"Barbara"},{"family":"Boukrid","given":"Meriem"},{"family":"Combescure","given":"Christophe"},{"family":"Othenin-Girard","given":"Véronique"},{"family":"Chilin","given":"Antonina"},{"family":"Petre","given":"Jean"},{"family":"De Tejada","given":"Begoña Martinez"},{"family":"Siegrist","given":"Claire-Anne"}],"issued":{"date-parts":[["2016",4,1]]}}}],"schema":"https://github.com/citation-style-language/schema/raw/master/csl-citation.json"} </w:instrText>
      </w:r>
      <w:r w:rsidR="00B90C00" w:rsidRPr="00DC55B0">
        <w:rPr>
          <w:rFonts w:ascii="Calibri" w:hAnsi="Calibri" w:cs="Calibri"/>
        </w:rPr>
        <w:fldChar w:fldCharType="separate"/>
      </w:r>
      <w:r w:rsidR="003F3CD5" w:rsidRPr="00DC55B0">
        <w:rPr>
          <w:rFonts w:ascii="Calibri" w:hAnsi="Calibri" w:cs="Calibri"/>
          <w:kern w:val="0"/>
          <w:vertAlign w:val="superscript"/>
        </w:rPr>
        <w:t>38</w:t>
      </w:r>
      <w:r w:rsidR="00B90C00" w:rsidRPr="00DC55B0">
        <w:rPr>
          <w:rFonts w:ascii="Calibri" w:hAnsi="Calibri" w:cs="Calibri"/>
        </w:rPr>
        <w:fldChar w:fldCharType="end"/>
      </w:r>
      <w:r w:rsidR="00D66DDE" w:rsidRPr="00DC55B0">
        <w:rPr>
          <w:rFonts w:ascii="Calibri" w:hAnsi="Calibri" w:cs="Calibri"/>
        </w:rPr>
        <w:t xml:space="preserve"> was also a consideration</w:t>
      </w:r>
      <w:r w:rsidR="005C3DDF" w:rsidRPr="00DC55B0">
        <w:rPr>
          <w:rFonts w:ascii="Calibri" w:hAnsi="Calibri" w:cs="Calibri"/>
        </w:rPr>
        <w:t xml:space="preserve">, and </w:t>
      </w:r>
      <w:r w:rsidR="0064157F" w:rsidRPr="00DC55B0">
        <w:rPr>
          <w:rFonts w:ascii="Calibri" w:hAnsi="Calibri" w:cs="Calibri"/>
        </w:rPr>
        <w:t>the subsequent publication of a randomised trial showing</w:t>
      </w:r>
      <w:r w:rsidR="003922DE" w:rsidRPr="00DC55B0">
        <w:rPr>
          <w:rFonts w:ascii="Calibri" w:hAnsi="Calibri" w:cs="Calibri"/>
        </w:rPr>
        <w:t xml:space="preserve"> that vaccination</w:t>
      </w:r>
      <w:r w:rsidR="002765DD" w:rsidRPr="00DC55B0">
        <w:rPr>
          <w:rFonts w:ascii="Calibri" w:hAnsi="Calibri" w:cs="Calibri"/>
        </w:rPr>
        <w:t xml:space="preserve"> at any time between 23 and 32 weeks resulted in equivalent infant</w:t>
      </w:r>
      <w:r w:rsidR="00880EE7" w:rsidRPr="00DC55B0">
        <w:rPr>
          <w:rFonts w:ascii="Calibri" w:hAnsi="Calibri" w:cs="Calibri"/>
        </w:rPr>
        <w:t xml:space="preserve"> antibody titres</w:t>
      </w:r>
      <w:r w:rsidR="00F6643C" w:rsidRPr="00DC55B0">
        <w:rPr>
          <w:rFonts w:ascii="Calibri" w:hAnsi="Calibri" w:cs="Calibri"/>
        </w:rPr>
        <w:t xml:space="preserve"> also</w:t>
      </w:r>
      <w:r w:rsidR="00880EE7" w:rsidRPr="00DC55B0">
        <w:rPr>
          <w:rFonts w:ascii="Calibri" w:hAnsi="Calibri" w:cs="Calibri"/>
        </w:rPr>
        <w:t xml:space="preserve"> </w:t>
      </w:r>
      <w:r w:rsidR="00E704BD" w:rsidRPr="00DC55B0">
        <w:rPr>
          <w:rFonts w:ascii="Calibri" w:hAnsi="Calibri" w:cs="Calibri"/>
        </w:rPr>
        <w:t>supports the policy of vaccination earlier in pregnancy.</w:t>
      </w:r>
      <w:r w:rsidR="00E704BD" w:rsidRPr="00DC55B0">
        <w:rPr>
          <w:rFonts w:ascii="Calibri" w:hAnsi="Calibri" w:cs="Calibri"/>
        </w:rPr>
        <w:fldChar w:fldCharType="begin"/>
      </w:r>
      <w:r w:rsidR="00E704BD" w:rsidRPr="00DC55B0">
        <w:rPr>
          <w:rFonts w:ascii="Calibri" w:hAnsi="Calibri" w:cs="Calibri"/>
        </w:rPr>
        <w:instrText xml:space="preserve"> ADDIN ZOTERO_ITEM CSL_CITATION {"citationID":"XppzcFkl","properties":{"formattedCitation":"\\super 40\\nosupersub{}","plainCitation":"40","noteIndex":0},"citationItems":[{"id":259,"uris":["http://zotero.org/users/14445769/items/Z9WDSI99"],"itemData":{"id":259,"type":"article-journal","abstract":"BACKGROUND: Pertussis vaccination in pregnancy is recommended in many countries to provide protection to young infants. The best timing for this vaccination is uncertain. In the UK, vaccination is recommended between 16 weeks and 32 weeks of gestation. In this trial we aimed to investigate the equivalence of three time periods for pertussis vaccination in pregnancy.\nMETHODS: In this open-label, equivalence, randomised controlled trial to investigate equivalence of different time windows for pertussis vaccination in pregnancy, participants were randomly assigned (1:1:1 ratio) to receive a pertussis-containing vaccine (Boostrix-inactivated poliovirus vaccine) in one of three gestational age groups, comprising group 1 (≤23 weeks + 6 days), group 2 (24-27 weeks + 6 days), and group 3 (28-31 weeks + 6 days) using a computer-generated randomisation list. The primary outcome was concentration of pertussis-specific antibodies in the infant born at term at birth. Maternal blood sampling was done before and 2 weeks after vaccination and at delivery, together with a cord sample, and an infant sample was collected at least 4 weeks after primary vaccination. Reactogenicity was assessed for 7 days after vaccination. This trial was registered with ClinicalTrials.gov (NCT03908164).\nFINDINGS: Between May 7, 2019, and Feb 13, 2020, of 1010 women assessed for eligibility, 364 women were recruited and 351 received the intervention (120 in group 1, 119 in group 2, and 112 in group 3). Equivalence of time periods was demonstrated for anti-pertussis toxin and anti-pertactin IgG concentrations. The cord blood geometric mean concentrations of anti-filamentous haemagglutinin IgG were higher with increasing gestational age at vaccination, such that for infants in group 1 (≤23 weeks + 6 days), equivalence to group 3 (28-31 weeks + 6 days) was not shown. Reported rates of fever were similar between study groups.\nINTERPRETATION: Pertussis vaccination at three different time intervals in pregnancy resulted in equivalent concentrations of IgG antibodies in infants against two of the three pertussis antigens assessed. Overall, these findings support recommendations to vaccinate any time between 16 weeks and 32 weeks of gestation.\nFUNDING: The Thrasher Research Fund and the National Immunisation Schedule Evaluation Consortium through the National Institute for Health and Care Research policy research programme.","container-title":"The Lancet. Microbe","DOI":"10.1016/S2666-5247(22)00332-9","ISSN":"2666-5247","issue":"5","journalAbbreviation":"Lancet Microbe","language":"eng","note":"PMID: 37080224","page":"e300-e308","source":"PubMed","title":"Optimising the timing of whooping cough immunisation in mums (OpTIMUM) through investigating pertussis vaccination in pregnancy: an open-label, equivalence, randomised controlled trial","title-short":"Optimising the timing of whooping cough immunisation in mums (OpTIMUM) through investigating pertussis vaccination in pregnancy","volume":"4","author":[{"family":"Calvert","given":"Anna"},{"family":"Amirthalingam","given":"Gayatri"},{"family":"Andrews","given":"Nick"},{"family":"Basude","given":"Sneha"},{"family":"Coleman","given":"Matthew"},{"family":"Cuthbertson","given":"Hannah"},{"family":"England","given":"Anna"},{"family":"Greening","given":"Vanessa"},{"family":"Hallis","given":"Bassam"},{"family":"Johnstone","given":"Edward"},{"family":"Jones","given":"Christine E."},{"family":"Karampatsas","given":"Konstantinos"},{"family":"Khalil","given":"Asma"},{"family":"Le Doare","given":"Kirsty"},{"family":"Matheson","given":"Mary"},{"family":"Peregrine","given":"Elisabeth"},{"family":"Snape","given":"Matthew D."},{"family":"Vatish","given":"Manu"},{"family":"Heath","given":"Paul T."},{"literal":"OpTIMUM Study Group"}],"issued":{"date-parts":[["2023",5]]}}}],"schema":"https://github.com/citation-style-language/schema/raw/master/csl-citation.json"} </w:instrText>
      </w:r>
      <w:r w:rsidR="00E704BD" w:rsidRPr="00DC55B0">
        <w:rPr>
          <w:rFonts w:ascii="Calibri" w:hAnsi="Calibri" w:cs="Calibri"/>
        </w:rPr>
        <w:fldChar w:fldCharType="separate"/>
      </w:r>
      <w:r w:rsidR="00E704BD" w:rsidRPr="00DC55B0">
        <w:rPr>
          <w:rFonts w:ascii="Calibri" w:hAnsi="Calibri" w:cs="Calibri"/>
          <w:kern w:val="0"/>
          <w:vertAlign w:val="superscript"/>
        </w:rPr>
        <w:t>40</w:t>
      </w:r>
      <w:r w:rsidR="00E704BD" w:rsidRPr="00DC55B0">
        <w:rPr>
          <w:rFonts w:ascii="Calibri" w:hAnsi="Calibri" w:cs="Calibri"/>
        </w:rPr>
        <w:fldChar w:fldCharType="end"/>
      </w:r>
      <w:r w:rsidR="00E704BD" w:rsidRPr="00DC55B0">
        <w:rPr>
          <w:rFonts w:ascii="Calibri" w:hAnsi="Calibri" w:cs="Calibri"/>
        </w:rPr>
        <w:t xml:space="preserve"> </w:t>
      </w:r>
    </w:p>
    <w:p w14:paraId="75F5C90D" w14:textId="77777777" w:rsidR="00E704BD" w:rsidRPr="00DC55B0" w:rsidRDefault="00E704BD" w:rsidP="001F3ACA">
      <w:pPr>
        <w:rPr>
          <w:rFonts w:ascii="Calibri" w:hAnsi="Calibri" w:cs="Calibri"/>
        </w:rPr>
      </w:pPr>
    </w:p>
    <w:p w14:paraId="138080F7" w14:textId="08A647AA" w:rsidR="00C34D85" w:rsidRPr="00DC55B0" w:rsidRDefault="006844E8" w:rsidP="001F3ACA">
      <w:pPr>
        <w:rPr>
          <w:rFonts w:ascii="Calibri" w:hAnsi="Calibri" w:cs="Calibri"/>
        </w:rPr>
      </w:pPr>
      <w:r w:rsidRPr="00DC55B0">
        <w:rPr>
          <w:rFonts w:ascii="Calibri" w:hAnsi="Calibri" w:cs="Calibri"/>
        </w:rPr>
        <w:t xml:space="preserve">In response to findings that </w:t>
      </w:r>
      <w:r w:rsidR="001324E6" w:rsidRPr="00DC55B0">
        <w:rPr>
          <w:rFonts w:ascii="Calibri" w:hAnsi="Calibri" w:cs="Calibri"/>
        </w:rPr>
        <w:t xml:space="preserve">the </w:t>
      </w:r>
      <w:r w:rsidR="009D2A2F" w:rsidRPr="00DC55B0">
        <w:rPr>
          <w:rFonts w:ascii="Calibri" w:hAnsi="Calibri" w:cs="Calibri"/>
        </w:rPr>
        <w:t>use of</w:t>
      </w:r>
      <w:r w:rsidR="002F5564" w:rsidRPr="00DC55B0">
        <w:rPr>
          <w:rFonts w:ascii="Calibri" w:hAnsi="Calibri" w:cs="Calibri"/>
        </w:rPr>
        <w:t xml:space="preserve"> </w:t>
      </w:r>
      <w:r w:rsidR="00D45391" w:rsidRPr="00DC55B0">
        <w:rPr>
          <w:rFonts w:ascii="Calibri" w:hAnsi="Calibri" w:cs="Calibri"/>
        </w:rPr>
        <w:t>d</w:t>
      </w:r>
      <w:r w:rsidR="00614FBF" w:rsidRPr="00DC55B0">
        <w:rPr>
          <w:rFonts w:ascii="Calibri" w:hAnsi="Calibri" w:cs="Calibri"/>
        </w:rPr>
        <w:t>T</w:t>
      </w:r>
      <w:r w:rsidR="00D45391" w:rsidRPr="00DC55B0">
        <w:rPr>
          <w:rFonts w:ascii="Calibri" w:hAnsi="Calibri" w:cs="Calibri"/>
        </w:rPr>
        <w:t>ap</w:t>
      </w:r>
      <w:r w:rsidR="00000EFE" w:rsidRPr="00DC55B0">
        <w:rPr>
          <w:rFonts w:ascii="Calibri" w:hAnsi="Calibri" w:cs="Calibri"/>
        </w:rPr>
        <w:t>/IPV (</w:t>
      </w:r>
      <w:r w:rsidR="002F5564" w:rsidRPr="00DC55B0">
        <w:rPr>
          <w:rFonts w:ascii="Calibri" w:hAnsi="Calibri" w:cs="Calibri"/>
        </w:rPr>
        <w:t>a</w:t>
      </w:r>
      <w:r w:rsidR="00B37BF4" w:rsidRPr="00DC55B0">
        <w:rPr>
          <w:rFonts w:ascii="Calibri" w:hAnsi="Calibri" w:cs="Calibri"/>
        </w:rPr>
        <w:t xml:space="preserve"> multivalent </w:t>
      </w:r>
      <w:r w:rsidR="00000EFE" w:rsidRPr="00DC55B0">
        <w:rPr>
          <w:rFonts w:ascii="Calibri" w:hAnsi="Calibri" w:cs="Calibri"/>
        </w:rPr>
        <w:t xml:space="preserve">tetanus, diphtheria and pertussis </w:t>
      </w:r>
      <w:r w:rsidR="00B37BF4" w:rsidRPr="00DC55B0">
        <w:rPr>
          <w:rFonts w:ascii="Calibri" w:hAnsi="Calibri" w:cs="Calibri"/>
        </w:rPr>
        <w:t xml:space="preserve">vaccine </w:t>
      </w:r>
      <w:r w:rsidR="00000EFE" w:rsidRPr="00DC55B0">
        <w:rPr>
          <w:rFonts w:ascii="Calibri" w:hAnsi="Calibri" w:cs="Calibri"/>
        </w:rPr>
        <w:t>containing an</w:t>
      </w:r>
      <w:r w:rsidR="002F5564" w:rsidRPr="00DC55B0">
        <w:rPr>
          <w:rFonts w:ascii="Calibri" w:hAnsi="Calibri" w:cs="Calibri"/>
        </w:rPr>
        <w:t xml:space="preserve"> </w:t>
      </w:r>
      <w:r w:rsidR="00AD2344" w:rsidRPr="00DC55B0">
        <w:rPr>
          <w:rFonts w:ascii="Calibri" w:hAnsi="Calibri" w:cs="Calibri"/>
        </w:rPr>
        <w:t>inactivated polio vaccine</w:t>
      </w:r>
      <w:r w:rsidR="00000EFE" w:rsidRPr="00DC55B0">
        <w:rPr>
          <w:rFonts w:ascii="Calibri" w:hAnsi="Calibri" w:cs="Calibri"/>
        </w:rPr>
        <w:t xml:space="preserve"> (IPV) component) </w:t>
      </w:r>
      <w:r w:rsidR="001324E6" w:rsidRPr="00DC55B0">
        <w:rPr>
          <w:rFonts w:ascii="Calibri" w:hAnsi="Calibri" w:cs="Calibri"/>
        </w:rPr>
        <w:t xml:space="preserve">in pregnancy </w:t>
      </w:r>
      <w:r w:rsidR="00205E3B" w:rsidRPr="00DC55B0">
        <w:rPr>
          <w:rFonts w:ascii="Calibri" w:hAnsi="Calibri" w:cs="Calibri"/>
        </w:rPr>
        <w:t xml:space="preserve">reduces </w:t>
      </w:r>
      <w:r w:rsidR="00401FB1" w:rsidRPr="00DC55B0">
        <w:rPr>
          <w:rFonts w:ascii="Calibri" w:hAnsi="Calibri" w:cs="Calibri"/>
        </w:rPr>
        <w:t xml:space="preserve">subsequent seroconversion in response to infant polio </w:t>
      </w:r>
      <w:r w:rsidR="009D2A2F" w:rsidRPr="00DC55B0">
        <w:rPr>
          <w:rFonts w:ascii="Calibri" w:hAnsi="Calibri" w:cs="Calibri"/>
        </w:rPr>
        <w:t>immunisation</w:t>
      </w:r>
      <w:r w:rsidR="00B90C00" w:rsidRPr="00DC55B0">
        <w:rPr>
          <w:rFonts w:ascii="Calibri" w:hAnsi="Calibri" w:cs="Calibri"/>
        </w:rPr>
        <w:t>,</w:t>
      </w:r>
      <w:r w:rsidR="00B90C00" w:rsidRPr="00DC55B0">
        <w:rPr>
          <w:rFonts w:ascii="Calibri" w:hAnsi="Calibri" w:cs="Calibri"/>
        </w:rPr>
        <w:fldChar w:fldCharType="begin"/>
      </w:r>
      <w:r w:rsidR="002E5270" w:rsidRPr="00DC55B0">
        <w:rPr>
          <w:rFonts w:ascii="Calibri" w:hAnsi="Calibri" w:cs="Calibri"/>
        </w:rPr>
        <w:instrText xml:space="preserve"> ADDIN ZOTERO_ITEM CSL_CITATION {"citationID":"jcTzlv7E","properties":{"formattedCitation":"\\super 48,68\\nosupersub{}","plainCitation":"48,68","noteIndex":0},"citationItems":[{"id":106,"uris":["http://zotero.org/users/14445769/items/XA86RMN9"],"itemData":{"id":106,"type":"article-journal","abstract":"IMPORTANCE: The design of infant immunization schedules requires an understanding of the factors that determine the immune response to each vaccine antigen.\nDATA SOURCES: Deidentified individual participant data from GlaxoSmithKline clinical trials were obtained through Clinical Study Data Request. The data were requested on January 2, 2015, and final data were received on April 11, 2016.\nSTUDY SELECTION: Immunogenicity trials of licensed or unlicensed vaccines administered to infants were included if antibody concentrations in infants were measured prior to the first dose of vaccine.\nDATA EXTRACTION AND SYNTHESIS: The database was examined; studies that appeared to have appropriate data were reviewed.\nMAIN OUTCOMES AND MEASURES: Antigen-specific antibody concentration measured 1 month after priming vaccine doses, before booster vaccination, and 1 month after booster vaccine doses.\nRESULTS: A total of 7630 infants from 32 studies in 17 countries were included. Mean (SD) age at baseline was 9.0 (2.3) weeks; 3906 (51.2%) were boys. Preexisting maternal antibody inhibited infant antibody responses to priming doses for 20 of 21 antigens. The largest effects were observed for inactivated polio vaccine, where 2-fold higher maternal antibody concentrations resulted in 20% to 28% lower postvaccination antibody concentration (geometric mean ratios [GMRs], type 1: 0.80; 95% CI, 0.78-0.83; type 2: 0.72; 95% CI, 0.69-0.74; type 3: 0.78; 95% CI, 0.75-0.82). For acellular pertussis antigens, 2-fold higher maternal antibody was associated with 11% lower postvaccination antibody for pertussis toxoid (GMR, 0.89; 95% CI, 0.87-0.90) and filamentous hemagglutinin (GMR, 0.89; 95% CI, 0.88-0.90) and 22% lower pertactin antibody (GMR, 0.78; 95% CI, 0.77-0.80). For tetanus and diphtheria, these estimates were 13% (GMR, 0.87; 95% CI, 0.86-0.88) and 24% (GMR, 0.76; 95% CI, 0.74-0.77), respectively. The influence of maternal antibody was still evident in reduced responses to booster doses of acellular pertussis, inactivated polio, and diphtheria vaccines at 12 to 24 months of age. Children who were older when first immunized had higher antibody responses to priming doses for 18 of 21 antigens, after adjusting for the effect of maternal antibody concentrations. The largest effect was seen for polyribosylribitol phosphate antibody, where responses were 71% higher per month (GMR, 1.71; 95% CI, 1.52-1.92).\nCONCLUSIONS AND RELEVANCE: Maternal antibody concentrations and infant age at first vaccination both influence infant vaccine responses. These effects are seen for almost all vaccines contained in global immunization programs and influence immune response for some vaccines even at the age of 24 months. These data highlight the potential for maternal immunization strategies to influence established infant programs.","container-title":"JAMA pediatrics","DOI":"10.1001/jamapediatrics.2017.0638","ISSN":"2168-6211","issue":"7","journalAbbreviation":"JAMA Pediatr","language":"eng","note":"PMID: 28505244\nPMCID: PMC5710349","page":"637-646","source":"PubMed","title":"The Influence of Maternally Derived Antibody and Infant Age at Vaccination on Infant Vaccine Responses : An Individual Participant Meta-analysis","title-short":"The Influence of Maternally Derived Antibody and Infant Age at Vaccination on Infant Vaccine Responses","volume":"171","author":[{"family":"Voysey","given":"Merryn"},{"family":"Kelly","given":"Dominic F."},{"family":"Fanshawe","given":"Thomas R."},{"family":"Sadarangani","given":"Manish"},{"family":"O'Brien","given":"Katherine L."},{"family":"Perera","given":"Rafael"},{"family":"Pollard","given":"Andrew J."}],"issued":{"date-parts":[["2017",7,1]]}}},{"id":83,"uris":["http://zotero.org/users/14445769/items/CL8CTMKP"],"itemData":{"id":83,"type":"article-journal","container-title":"Vaccine","DOI":"10.1016/j.vaccine.2023.01.035","ISSN":"0264410X","issue":"7","journalAbbreviation":"Vaccine","language":"en","page":"1299-1302","source":"DOI.org (Crossref)","title":"Effect of maternal immunisation with multivalent vaccines containing inactivated poliovirus vaccine (IPV) on infant IPV immune response: A phase 4, multi-centre randomised trial","title-short":"Effect of maternal immunisation with multivalent vaccines containing inactivated poliovirus vaccine (IPV) on infant IPV immune response","volume":"41","author":[{"family":"Grassly","given":"Nicholas C"},{"family":"Andrews","given":"Nick"},{"family":"Cooper","given":"Gillian"},{"family":"Stephens","given":"Laura"},{"family":"Waight","given":"Pauline"},{"family":"Jones","given":"Christine E"},{"family":"Heath","given":"Paul T"},{"family":"Calvert","given":"Anna"},{"family":"Southern","given":"Jo"},{"family":"Martin","given":"Javier"},{"family":"Miller","given":"Elizabeth"}],"issued":{"date-parts":[["2023",2]]}}}],"schema":"https://github.com/citation-style-language/schema/raw/master/csl-citation.json"} </w:instrText>
      </w:r>
      <w:r w:rsidR="00B90C00" w:rsidRPr="00DC55B0">
        <w:rPr>
          <w:rFonts w:ascii="Calibri" w:hAnsi="Calibri" w:cs="Calibri"/>
        </w:rPr>
        <w:fldChar w:fldCharType="separate"/>
      </w:r>
      <w:r w:rsidR="002E5270" w:rsidRPr="00DC55B0">
        <w:rPr>
          <w:rFonts w:ascii="Calibri" w:hAnsi="Calibri" w:cs="Calibri"/>
          <w:kern w:val="0"/>
          <w:vertAlign w:val="superscript"/>
        </w:rPr>
        <w:t>48,68</w:t>
      </w:r>
      <w:r w:rsidR="00B90C00" w:rsidRPr="00DC55B0">
        <w:rPr>
          <w:rFonts w:ascii="Calibri" w:hAnsi="Calibri" w:cs="Calibri"/>
        </w:rPr>
        <w:fldChar w:fldCharType="end"/>
      </w:r>
      <w:r w:rsidRPr="00DC55B0">
        <w:rPr>
          <w:rFonts w:ascii="Calibri" w:hAnsi="Calibri" w:cs="Calibri"/>
        </w:rPr>
        <w:t xml:space="preserve"> from July 2024</w:t>
      </w:r>
      <w:r w:rsidR="00000EFE" w:rsidRPr="00DC55B0">
        <w:rPr>
          <w:rFonts w:ascii="Calibri" w:hAnsi="Calibri" w:cs="Calibri"/>
        </w:rPr>
        <w:t xml:space="preserve">, pregnant </w:t>
      </w:r>
      <w:r w:rsidR="00C917C4" w:rsidRPr="00DC55B0">
        <w:rPr>
          <w:rFonts w:ascii="Calibri" w:hAnsi="Calibri" w:cs="Calibri"/>
        </w:rPr>
        <w:t>individuals</w:t>
      </w:r>
      <w:r w:rsidR="00000EFE" w:rsidRPr="00DC55B0">
        <w:rPr>
          <w:rFonts w:ascii="Calibri" w:hAnsi="Calibri" w:cs="Calibri"/>
        </w:rPr>
        <w:t xml:space="preserve"> in the UK have been offered</w:t>
      </w:r>
      <w:r w:rsidRPr="00DC55B0">
        <w:rPr>
          <w:rFonts w:ascii="Calibri" w:hAnsi="Calibri" w:cs="Calibri"/>
        </w:rPr>
        <w:t xml:space="preserve"> a </w:t>
      </w:r>
      <w:r w:rsidR="00D45391" w:rsidRPr="00DC55B0">
        <w:rPr>
          <w:rFonts w:ascii="Calibri" w:hAnsi="Calibri" w:cs="Calibri"/>
        </w:rPr>
        <w:t>Tdap</w:t>
      </w:r>
      <w:r w:rsidRPr="00DC55B0">
        <w:rPr>
          <w:rFonts w:ascii="Calibri" w:hAnsi="Calibri" w:cs="Calibri"/>
        </w:rPr>
        <w:t xml:space="preserve"> vaccine that does not contain</w:t>
      </w:r>
      <w:r w:rsidR="00B648CF" w:rsidRPr="00DC55B0">
        <w:rPr>
          <w:rFonts w:ascii="Calibri" w:hAnsi="Calibri" w:cs="Calibri"/>
        </w:rPr>
        <w:t xml:space="preserve"> an</w:t>
      </w:r>
      <w:r w:rsidR="00434E68" w:rsidRPr="00DC55B0">
        <w:rPr>
          <w:rFonts w:ascii="Calibri" w:hAnsi="Calibri" w:cs="Calibri"/>
        </w:rPr>
        <w:t xml:space="preserve"> </w:t>
      </w:r>
      <w:r w:rsidR="00000EFE" w:rsidRPr="00DC55B0">
        <w:rPr>
          <w:rFonts w:ascii="Calibri" w:hAnsi="Calibri" w:cs="Calibri"/>
        </w:rPr>
        <w:t>IPV</w:t>
      </w:r>
      <w:r w:rsidR="00434E68" w:rsidRPr="00DC55B0">
        <w:rPr>
          <w:rFonts w:ascii="Calibri" w:hAnsi="Calibri" w:cs="Calibri"/>
        </w:rPr>
        <w:t xml:space="preserve"> </w:t>
      </w:r>
      <w:r w:rsidR="00B648CF" w:rsidRPr="00DC55B0">
        <w:rPr>
          <w:rFonts w:ascii="Calibri" w:hAnsi="Calibri" w:cs="Calibri"/>
        </w:rPr>
        <w:t>component</w:t>
      </w:r>
      <w:r w:rsidR="00702F75" w:rsidRPr="00DC55B0">
        <w:rPr>
          <w:rFonts w:ascii="Calibri" w:hAnsi="Calibri" w:cs="Calibri"/>
        </w:rPr>
        <w:t>.</w:t>
      </w:r>
      <w:r w:rsidR="00E877C6" w:rsidRPr="00DC55B0">
        <w:rPr>
          <w:rFonts w:ascii="Calibri" w:hAnsi="Calibri" w:cs="Calibri"/>
        </w:rPr>
        <w:t xml:space="preserve"> </w:t>
      </w:r>
      <w:r w:rsidR="00A15B1F" w:rsidRPr="00DC55B0">
        <w:rPr>
          <w:rFonts w:ascii="Calibri" w:hAnsi="Calibri" w:cs="Calibri"/>
        </w:rPr>
        <w:t>Pertussis</w:t>
      </w:r>
      <w:r w:rsidR="00B71807" w:rsidRPr="00DC55B0">
        <w:rPr>
          <w:rFonts w:ascii="Calibri" w:hAnsi="Calibri" w:cs="Calibri"/>
        </w:rPr>
        <w:t xml:space="preserve"> immunisation during pregnancy</w:t>
      </w:r>
      <w:r w:rsidR="00A15B1F" w:rsidRPr="00DC55B0">
        <w:rPr>
          <w:rFonts w:ascii="Calibri" w:hAnsi="Calibri" w:cs="Calibri"/>
        </w:rPr>
        <w:t xml:space="preserve"> </w:t>
      </w:r>
      <w:r w:rsidR="0065264C" w:rsidRPr="00DC55B0">
        <w:rPr>
          <w:rFonts w:ascii="Calibri" w:hAnsi="Calibri" w:cs="Calibri"/>
        </w:rPr>
        <w:t>can</w:t>
      </w:r>
      <w:r w:rsidR="00A15B1F" w:rsidRPr="00DC55B0">
        <w:rPr>
          <w:rFonts w:ascii="Calibri" w:hAnsi="Calibri" w:cs="Calibri"/>
        </w:rPr>
        <w:t xml:space="preserve"> blunt the subsequent infant response to </w:t>
      </w:r>
      <w:r w:rsidR="009B29F3" w:rsidRPr="00DC55B0">
        <w:rPr>
          <w:rFonts w:ascii="Calibri" w:hAnsi="Calibri" w:cs="Calibri"/>
        </w:rPr>
        <w:t xml:space="preserve">primary </w:t>
      </w:r>
      <w:r w:rsidR="00B44723" w:rsidRPr="00DC55B0">
        <w:rPr>
          <w:rFonts w:ascii="Calibri" w:hAnsi="Calibri" w:cs="Calibri"/>
        </w:rPr>
        <w:t>pertussis vaccination</w:t>
      </w:r>
      <w:r w:rsidR="0065264C" w:rsidRPr="00DC55B0">
        <w:rPr>
          <w:rFonts w:ascii="Calibri" w:hAnsi="Calibri" w:cs="Calibri"/>
        </w:rPr>
        <w:t xml:space="preserve"> and this effect is particularly observed in infants who receive whole-cell rather than acellular vaccine as part of the primary series.</w:t>
      </w:r>
      <w:r w:rsidR="00B44723" w:rsidRPr="00DC55B0">
        <w:rPr>
          <w:rFonts w:ascii="Calibri" w:hAnsi="Calibri" w:cs="Calibri"/>
        </w:rPr>
        <w:fldChar w:fldCharType="begin"/>
      </w:r>
      <w:r w:rsidR="008324C0" w:rsidRPr="00DC55B0">
        <w:rPr>
          <w:rFonts w:ascii="Calibri" w:hAnsi="Calibri" w:cs="Calibri"/>
        </w:rPr>
        <w:instrText xml:space="preserve"> ADDIN ZOTERO_ITEM CSL_CITATION {"citationID":"lRzoprpo","properties":{"formattedCitation":"\\super 48,69\\nosupersub{}","plainCitation":"48,69","noteIndex":0},"citationItems":[{"id":106,"uris":["http://zotero.org/users/14445769/items/XA86RMN9"],"itemData":{"id":106,"type":"article-journal","abstract":"IMPORTANCE: The design of infant immunization schedules requires an understanding of the factors that determine the immune response to each vaccine antigen.\nDATA SOURCES: Deidentified individual participant data from GlaxoSmithKline clinical trials were obtained through Clinical Study Data Request. The data were requested on January 2, 2015, and final data were received on April 11, 2016.\nSTUDY SELECTION: Immunogenicity trials of licensed or unlicensed vaccines administered to infants were included if antibody concentrations in infants were measured prior to the first dose of vaccine.\nDATA EXTRACTION AND SYNTHESIS: The database was examined; studies that appeared to have appropriate data were reviewed.\nMAIN OUTCOMES AND MEASURES: Antigen-specific antibody concentration measured 1 month after priming vaccine doses, before booster vaccination, and 1 month after booster vaccine doses.\nRESULTS: A total of 7630 infants from 32 studies in 17 countries were included. Mean (SD) age at baseline was 9.0 (2.3) weeks; 3906 (51.2%) were boys. Preexisting maternal antibody inhibited infant antibody responses to priming doses for 20 of 21 antigens. The largest effects were observed for inactivated polio vaccine, where 2-fold higher maternal antibody concentrations resulted in 20% to 28% lower postvaccination antibody concentration (geometric mean ratios [GMRs], type 1: 0.80; 95% CI, 0.78-0.83; type 2: 0.72; 95% CI, 0.69-0.74; type 3: 0.78; 95% CI, 0.75-0.82). For acellular pertussis antigens, 2-fold higher maternal antibody was associated with 11% lower postvaccination antibody for pertussis toxoid (GMR, 0.89; 95% CI, 0.87-0.90) and filamentous hemagglutinin (GMR, 0.89; 95% CI, 0.88-0.90) and 22% lower pertactin antibody (GMR, 0.78; 95% CI, 0.77-0.80). For tetanus and diphtheria, these estimates were 13% (GMR, 0.87; 95% CI, 0.86-0.88) and 24% (GMR, 0.76; 95% CI, 0.74-0.77), respectively. The influence of maternal antibody was still evident in reduced responses to booster doses of acellular pertussis, inactivated polio, and diphtheria vaccines at 12 to 24 months of age. Children who were older when first immunized had higher antibody responses to priming doses for 18 of 21 antigens, after adjusting for the effect of maternal antibody concentrations. The largest effect was seen for polyribosylribitol phosphate antibody, where responses were 71% higher per month (GMR, 1.71; 95% CI, 1.52-1.92).\nCONCLUSIONS AND RELEVANCE: Maternal antibody concentrations and infant age at first vaccination both influence infant vaccine responses. These effects are seen for almost all vaccines contained in global immunization programs and influence immune response for some vaccines even at the age of 24 months. These data highlight the potential for maternal immunization strategies to influence established infant programs.","container-title":"JAMA pediatrics","DOI":"10.1001/jamapediatrics.2017.0638","ISSN":"2168-6211","issue":"7","journalAbbreviation":"JAMA Pediatr","language":"eng","note":"PMID: 28505244\nPMCID: PMC5710349","page":"637-646","source":"PubMed","title":"The Influence of Maternally Derived Antibody and Infant Age at Vaccination on Infant Vaccine Responses : An Individual Participant Meta-analysis","title-short":"The Influence of Maternally Derived Antibody and Infant Age at Vaccination on Infant Vaccine Responses","volume":"171","author":[{"family":"Voysey","given":"Merryn"},{"family":"Kelly","given":"Dominic F."},{"family":"Fanshawe","given":"Thomas R."},{"family":"Sadarangani","given":"Manish"},{"family":"O'Brien","given":"Katherine L."},{"family":"Perera","given":"Rafael"},{"family":"Pollard","given":"Andrew J."}],"issued":{"date-parts":[["2017",7,1]]}}},{"id":347,"uris":["http://zotero.org/users/14445769/items/27H88C62"],"itemData":{"id":347,"type":"article-journal","abstract":"BACKGROUND: The blunting effect of pertussis immunization during pregnancy on infant antibody responses induced by whole-cell pertussis (wP) vaccination is not well-defined.\nMETHODS: This randomized controlled trial (NCT02408926) followed term infants born to mothers vaccinated with tetanus, diphtheria, and acellular pertussis (Tdap) vaccine during pregnancy in Thailand. Infants received either acellular pertussis (aP)- or wP-containing vaccine at 2, 4, 6, and 18 months of age. A comparison group comprised wP-vaccinated children born to mothers not vaccinated during pregnancy. Antibodies against pertussis toxin (PT), filamentous hemagglutinin (FHA), and pertactin (PRN) were evaluated using commercial enzyme-linked immunosorbent assays. Functionality of antibodies against Bordetella pertussis was measured using Bordetella pertussis growth inhibition assay.\nRESULTS: After maternal Tdap vaccination, 158 infants vaccinated with aP-containing vaccines possessed higher antibody levels (P &lt; .001) against all tested B. pertussis antigens postpriming compared to 157 infants receiving wP-containing vaccines. At 1 month postbooster, only anti-FHA and anti-PRN antibodies were still significantly higher (P &lt; .001) in the aP group. Significantly higher anti-PT and anti-FHA (P &lt; .001), but not anti-PRN immunoglobulin G, were observed among 69 wP-vaccinated infants born to control mothers compared with wP-vaccinated infants of Tdap-vaccinated mothers after primary and booster vaccination. The antibody functionality was higher in all wP-vaccinated infants at all times.\nCONCLUSIONS: Maternal Tdap vaccination inhibited more pertussis-specific responses in wP-vaccinated infants compared to aP-vaccinated infants, and the control group of unvaccinated women had highest PT-specific responses, persisting until after the booster dose. Antibody functionality was better in the wP groups.\nCLINICAL TRIALS REGISTRATION: NCT02408926.Infant whole-cell pertussis (wP) vaccine responses are blunted after maternal Tdap vaccination. Pertussis antibody titers are higher in acellular pertussis (aP)- than wP-vaccinated infants of immunized mothers, yet quality of antibodies, measured as serum-mediated bacterial growth inhibition, is better after wP than aP vaccination.","container-title":"Clinical Infectious Diseases: An Official Publication of the Infectious Diseases Society of America","DOI":"10.1093/cid/ciz778","ISSN":"1537-6591","issue":"1","journalAbbreviation":"Clin Infect Dis","language":"eng","note":"PMID: 31418814","page":"72-80","source":"PubMed","title":"Quantity and Quality of Antibodies After Acellular Versus Whole-cell Pertussis Vaccines in Infants Born to Mothers Who Received Tetanus, Diphtheria, and Acellular Pertussis Vaccine During Pregnancy: A Randomized Trial","title-short":"Quantity and Quality of Antibodies After Acellular Versus Whole-cell Pertussis Vaccines in Infants Born to Mothers Who Received Tetanus, Diphtheria, and Acellular Pertussis Vaccine During Pregnancy","volume":"71","author":[{"family":"Wanlapakorn","given":"Nasamon"},{"family":"Maertens","given":"Kirsten"},{"family":"Vongpunsawad","given":"Sompong"},{"family":"Puenpa","given":"Jiratchaya"},{"family":"Tran","given":"Thao Mai Phuong"},{"family":"Hens","given":"Niel"},{"family":"Van Damme","given":"Pierre"},{"family":"Thiriard","given":"Anaïs"},{"family":"Raze","given":"Dominique"},{"family":"Locht","given":"Camille"},{"family":"Poovorawan","given":"Yong"},{"family":"Leuridan","given":"Elke"}],"issued":{"date-parts":[["2020",6,24]]}}}],"schema":"https://github.com/citation-style-language/schema/raw/master/csl-citation.json"} </w:instrText>
      </w:r>
      <w:r w:rsidR="00B44723" w:rsidRPr="00DC55B0">
        <w:rPr>
          <w:rFonts w:ascii="Calibri" w:hAnsi="Calibri" w:cs="Calibri"/>
        </w:rPr>
        <w:fldChar w:fldCharType="separate"/>
      </w:r>
      <w:r w:rsidR="008324C0" w:rsidRPr="00DC55B0">
        <w:rPr>
          <w:rFonts w:ascii="Calibri" w:hAnsi="Calibri" w:cs="Calibri"/>
          <w:kern w:val="0"/>
          <w:vertAlign w:val="superscript"/>
        </w:rPr>
        <w:t>48,69</w:t>
      </w:r>
      <w:r w:rsidR="00B44723" w:rsidRPr="00DC55B0">
        <w:rPr>
          <w:rFonts w:ascii="Calibri" w:hAnsi="Calibri" w:cs="Calibri"/>
        </w:rPr>
        <w:fldChar w:fldCharType="end"/>
      </w:r>
      <w:r w:rsidR="00DD55A2" w:rsidRPr="00DC55B0">
        <w:rPr>
          <w:rFonts w:ascii="Calibri" w:hAnsi="Calibri" w:cs="Calibri"/>
        </w:rPr>
        <w:t xml:space="preserve"> </w:t>
      </w:r>
      <w:r w:rsidR="0065264C" w:rsidRPr="00DC55B0">
        <w:rPr>
          <w:rFonts w:ascii="Calibri" w:hAnsi="Calibri" w:cs="Calibri"/>
        </w:rPr>
        <w:t xml:space="preserve">However, current </w:t>
      </w:r>
      <w:r w:rsidR="00DD55A2" w:rsidRPr="00DC55B0">
        <w:rPr>
          <w:rFonts w:ascii="Calibri" w:hAnsi="Calibri" w:cs="Calibri"/>
        </w:rPr>
        <w:t xml:space="preserve">epidemiological </w:t>
      </w:r>
      <w:r w:rsidR="0065264C" w:rsidRPr="00DC55B0">
        <w:rPr>
          <w:rFonts w:ascii="Calibri" w:hAnsi="Calibri" w:cs="Calibri"/>
        </w:rPr>
        <w:t xml:space="preserve">evidence </w:t>
      </w:r>
      <w:r w:rsidR="009B29F3" w:rsidRPr="00DC55B0">
        <w:rPr>
          <w:rFonts w:ascii="Calibri" w:hAnsi="Calibri" w:cs="Calibri"/>
        </w:rPr>
        <w:t xml:space="preserve">does not suggest that </w:t>
      </w:r>
      <w:r w:rsidR="0065264C" w:rsidRPr="00DC55B0">
        <w:rPr>
          <w:rFonts w:ascii="Calibri" w:hAnsi="Calibri" w:cs="Calibri"/>
        </w:rPr>
        <w:t>blunting</w:t>
      </w:r>
      <w:r w:rsidR="009B29F3" w:rsidRPr="00DC55B0">
        <w:rPr>
          <w:rFonts w:ascii="Calibri" w:hAnsi="Calibri" w:cs="Calibri"/>
        </w:rPr>
        <w:t xml:space="preserve"> has a clinical impact o</w:t>
      </w:r>
      <w:r w:rsidR="00E82351" w:rsidRPr="00DC55B0">
        <w:rPr>
          <w:rFonts w:ascii="Calibri" w:hAnsi="Calibri" w:cs="Calibri"/>
        </w:rPr>
        <w:t>n</w:t>
      </w:r>
      <w:r w:rsidR="009B29F3" w:rsidRPr="00DC55B0">
        <w:rPr>
          <w:rFonts w:ascii="Calibri" w:hAnsi="Calibri" w:cs="Calibri"/>
        </w:rPr>
        <w:t xml:space="preserve"> protection and </w:t>
      </w:r>
      <w:r w:rsidR="00CB4B6E" w:rsidRPr="00DC55B0">
        <w:rPr>
          <w:rFonts w:ascii="Calibri" w:hAnsi="Calibri" w:cs="Calibri"/>
        </w:rPr>
        <w:t xml:space="preserve">the benefit </w:t>
      </w:r>
      <w:r w:rsidR="009B45EC" w:rsidRPr="00DC55B0">
        <w:rPr>
          <w:rFonts w:ascii="Calibri" w:hAnsi="Calibri" w:cs="Calibri"/>
        </w:rPr>
        <w:t xml:space="preserve">of </w:t>
      </w:r>
      <w:r w:rsidR="005A7BBC" w:rsidRPr="00DC55B0">
        <w:rPr>
          <w:rFonts w:ascii="Calibri" w:hAnsi="Calibri" w:cs="Calibri"/>
        </w:rPr>
        <w:t>maternal immunisation</w:t>
      </w:r>
      <w:r w:rsidR="009B45EC" w:rsidRPr="00DC55B0">
        <w:rPr>
          <w:rFonts w:ascii="Calibri" w:hAnsi="Calibri" w:cs="Calibri"/>
        </w:rPr>
        <w:t xml:space="preserve"> to newborns outweighs</w:t>
      </w:r>
      <w:r w:rsidR="002B3B95" w:rsidRPr="00DC55B0">
        <w:rPr>
          <w:rFonts w:ascii="Calibri" w:hAnsi="Calibri" w:cs="Calibri"/>
        </w:rPr>
        <w:t xml:space="preserve"> th</w:t>
      </w:r>
      <w:r w:rsidR="009B29F3" w:rsidRPr="00DC55B0">
        <w:rPr>
          <w:rFonts w:ascii="Calibri" w:hAnsi="Calibri" w:cs="Calibri"/>
        </w:rPr>
        <w:t>e</w:t>
      </w:r>
      <w:r w:rsidR="002B3B95" w:rsidRPr="00DC55B0">
        <w:rPr>
          <w:rFonts w:ascii="Calibri" w:hAnsi="Calibri" w:cs="Calibri"/>
        </w:rPr>
        <w:t xml:space="preserve"> potential </w:t>
      </w:r>
      <w:r w:rsidR="009B29F3" w:rsidRPr="00DC55B0">
        <w:rPr>
          <w:rFonts w:ascii="Calibri" w:hAnsi="Calibri" w:cs="Calibri"/>
        </w:rPr>
        <w:t>for an increase in disease in the toddlers and young children</w:t>
      </w:r>
      <w:r w:rsidR="002B3B95" w:rsidRPr="00DC55B0">
        <w:rPr>
          <w:rFonts w:ascii="Calibri" w:hAnsi="Calibri" w:cs="Calibri"/>
        </w:rPr>
        <w:t>.</w:t>
      </w:r>
      <w:r w:rsidR="002B3B95" w:rsidRPr="00DC55B0">
        <w:rPr>
          <w:rFonts w:ascii="Calibri" w:hAnsi="Calibri" w:cs="Calibri"/>
        </w:rPr>
        <w:fldChar w:fldCharType="begin"/>
      </w:r>
      <w:r w:rsidR="008324C0" w:rsidRPr="00DC55B0">
        <w:rPr>
          <w:rFonts w:ascii="Calibri" w:hAnsi="Calibri" w:cs="Calibri"/>
        </w:rPr>
        <w:instrText xml:space="preserve"> ADDIN ZOTERO_ITEM CSL_CITATION {"citationID":"UcwKYLvz","properties":{"formattedCitation":"\\super 70\\nosupersub{}","plainCitation":"70","noteIndex":0},"citationItems":[{"id":327,"uris":["http://zotero.org/users/14445769/items/43QNV9K9"],"itemData":{"id":327,"type":"article-journal","abstract":"A key goal of pertussis control is to protect infants too young to be vaccinated, the age group most vulnerable to this highly contagious respiratory infection. In the last decade, maternal immunization has been deployed in many countries, successfully reducing pertussis in this age group. Because of immunological blunting, however, this strategy may erode the effectiveness of primary vaccination at later ages. Here, we systematically reviewed the literature on the relative risk (RR) of pertussis after primary immunization of infants born to vaccinated vs. unvaccinated mothers. The four studies identified had ≤6 years of follow-up and large statistical uncertainty (meta-analysis weighted mean RR: 0.71, 95% CI: 0.38–1.32). To interpret this evidence, we designed a new mathematical model with explicit blunting mechanisms and evaluated maternal immunization’s short- and long-term impact on pertussis transmission dynamics. We show that transient dynamics can mask blunting for at least a decade after rolling out maternal immunization. Hence, the current epidemiological evidence may be insufficient to rule out modest reductions in the effectiveness of primary vaccination. Irrespective of this potential collateral cost, we predict that maternal immunization will remain effective at protecting unvaccinated newborns, supporting current public health recommendations.","container-title":"Nature Communications","DOI":"10.1038/s41467-024-44943-7","ISSN":"2041-1723","issue":"1","journalAbbreviation":"Nat Commun","language":"en","license":"2024 The Author(s)","page":"921","source":"www.nature.com","title":"Maternal pertussis immunization and the blunting of routine vaccine effectiveness: a meta-analysis and modeling study","title-short":"Maternal pertussis immunization and the blunting of routine vaccine effectiveness","volume":"15","author":[{"family":"Briga","given":"Michael"},{"family":"Goult","given":"Elizabeth"},{"family":"Brett","given":"Tobias S."},{"family":"Rohani","given":"Pejman"},{"family":"Domenech de Cellès","given":"Matthieu"}],"issued":{"date-parts":[["2024",1,31]]}}}],"schema":"https://github.com/citation-style-language/schema/raw/master/csl-citation.json"} </w:instrText>
      </w:r>
      <w:r w:rsidR="002B3B95" w:rsidRPr="00DC55B0">
        <w:rPr>
          <w:rFonts w:ascii="Calibri" w:hAnsi="Calibri" w:cs="Calibri"/>
        </w:rPr>
        <w:fldChar w:fldCharType="separate"/>
      </w:r>
      <w:r w:rsidR="008324C0" w:rsidRPr="00DC55B0">
        <w:rPr>
          <w:rFonts w:ascii="Calibri" w:hAnsi="Calibri" w:cs="Calibri"/>
          <w:kern w:val="0"/>
          <w:vertAlign w:val="superscript"/>
        </w:rPr>
        <w:t>70</w:t>
      </w:r>
      <w:r w:rsidR="002B3B95" w:rsidRPr="00DC55B0">
        <w:rPr>
          <w:rFonts w:ascii="Calibri" w:hAnsi="Calibri" w:cs="Calibri"/>
        </w:rPr>
        <w:fldChar w:fldCharType="end"/>
      </w:r>
    </w:p>
    <w:p w14:paraId="5C598777" w14:textId="77777777" w:rsidR="004459F8" w:rsidRPr="00DC55B0" w:rsidRDefault="004459F8" w:rsidP="001F3ACA">
      <w:pPr>
        <w:rPr>
          <w:rFonts w:ascii="Calibri" w:hAnsi="Calibri" w:cs="Calibri"/>
        </w:rPr>
      </w:pPr>
    </w:p>
    <w:p w14:paraId="1AABF7EF" w14:textId="64B100F9" w:rsidR="00CA34FA" w:rsidRPr="00DC55B0" w:rsidRDefault="00CA34FA" w:rsidP="001F3ACA">
      <w:pPr>
        <w:rPr>
          <w:rFonts w:ascii="Calibri" w:hAnsi="Calibri" w:cs="Calibri"/>
          <w:i/>
          <w:iCs/>
        </w:rPr>
      </w:pPr>
      <w:r w:rsidRPr="00DC55B0">
        <w:rPr>
          <w:rFonts w:ascii="Calibri" w:hAnsi="Calibri" w:cs="Calibri"/>
          <w:i/>
          <w:iCs/>
        </w:rPr>
        <w:t>Influenza and COVID-19</w:t>
      </w:r>
      <w:r w:rsidR="00517BAB" w:rsidRPr="00DC55B0">
        <w:rPr>
          <w:rFonts w:ascii="Calibri" w:hAnsi="Calibri" w:cs="Calibri"/>
          <w:i/>
          <w:iCs/>
        </w:rPr>
        <w:t xml:space="preserve"> vaccination in pregnancy</w:t>
      </w:r>
    </w:p>
    <w:p w14:paraId="21C3C951" w14:textId="5A02B967" w:rsidR="00547DC1" w:rsidRPr="00DC55B0" w:rsidRDefault="00CA34FA" w:rsidP="001F3ACA">
      <w:pPr>
        <w:rPr>
          <w:rFonts w:ascii="Calibri" w:hAnsi="Calibri" w:cs="Calibri"/>
        </w:rPr>
      </w:pPr>
      <w:r w:rsidRPr="00DC55B0">
        <w:rPr>
          <w:rFonts w:ascii="Calibri" w:hAnsi="Calibri" w:cs="Calibri"/>
        </w:rPr>
        <w:t>Pregnancy increases the risk of s</w:t>
      </w:r>
      <w:r w:rsidR="004A653E" w:rsidRPr="00DC55B0">
        <w:rPr>
          <w:rFonts w:ascii="Calibri" w:hAnsi="Calibri" w:cs="Calibri"/>
        </w:rPr>
        <w:t>evere disease from viral pneumonia</w:t>
      </w:r>
      <w:r w:rsidR="00B90C00" w:rsidRPr="00DC55B0">
        <w:rPr>
          <w:rFonts w:ascii="Calibri" w:hAnsi="Calibri" w:cs="Calibri"/>
        </w:rPr>
        <w:t>.</w:t>
      </w:r>
      <w:r w:rsidR="004E249E" w:rsidRPr="00DC55B0">
        <w:rPr>
          <w:rFonts w:ascii="Calibri" w:hAnsi="Calibri" w:cs="Calibri"/>
        </w:rPr>
        <w:fldChar w:fldCharType="begin"/>
      </w:r>
      <w:r w:rsidR="002732EA" w:rsidRPr="00DC55B0">
        <w:rPr>
          <w:rFonts w:ascii="Calibri" w:hAnsi="Calibri" w:cs="Calibri"/>
        </w:rPr>
        <w:instrText xml:space="preserve"> ADDIN ZOTERO_ITEM CSL_CITATION {"citationID":"31vfkAEF","properties":{"formattedCitation":"\\super 71\\nosupersub{}","plainCitation":"71","noteIndex":0},"citationItems":[{"id":74,"uris":["http://zotero.org/users/14445769/items/HIXPQX9T"],"itemData":{"id":74,"type":"article-journal","abstract":"To summarize the literature regarding susceptibility of pregnant women to infectious diseases and severity of resulting disease, we conducted a review using a PubMed search and other strategies. Studies were included if they reported information on infection risk or disease outcome in pregnant women. In all, 1454 abstracts were reviewed, and a total of 85 studies were included. Data were extracted regarding number of cases in pregnant women, rates of infection, risk factors for disease severity or complications, and maternal outcomes. The evidence indicates that pregnancy is associated with increased severity of some infectious diseases, such as influenza, malaria, hepatitis E, and herpes simplex virus (HSV) infection (risk for dissemination/hepatitis); there is also some evidence for increased severity of measles and smallpox. Disease severity seems higher with advanced pregnancy. Pregnant women may be more susceptible to acquisition of malaria, HIV infection, and listeriosis, although the evidence is limited. These results reinforce the importance of infection prevention as well as of early identification and treatment of suspected influenza, malaria, hepatitis E, and HSV disease during pregnancy.","container-title":"Infectious Diseases in Obstetrics and Gynecology","DOI":"10.1155/2013/752852","ISSN":"1064-7449, 1098-0997","journalAbbreviation":"Infectious Diseases in Obstetrics and Gynecology","language":"en","license":"http://creativecommons.org/licenses/by/3.0/","page":"1-8","source":"DOI.org (Crossref)","title":"Pregnancy and Susceptibility to Infectious Diseases","volume":"2013","author":[{"family":"Sappenfield","given":"Elisabeth"},{"family":"Jamieson","given":"Denise J."},{"family":"Kourtis","given":"Athena P."}],"issued":{"date-parts":[["2013"]]}}}],"schema":"https://github.com/citation-style-language/schema/raw/master/csl-citation.json"} </w:instrText>
      </w:r>
      <w:r w:rsidR="004E249E" w:rsidRPr="00DC55B0">
        <w:rPr>
          <w:rFonts w:ascii="Calibri" w:hAnsi="Calibri" w:cs="Calibri"/>
        </w:rPr>
        <w:fldChar w:fldCharType="separate"/>
      </w:r>
      <w:r w:rsidR="002732EA" w:rsidRPr="00DC55B0">
        <w:rPr>
          <w:rFonts w:ascii="Calibri" w:hAnsi="Calibri" w:cs="Calibri"/>
          <w:kern w:val="0"/>
          <w:vertAlign w:val="superscript"/>
        </w:rPr>
        <w:t>71</w:t>
      </w:r>
      <w:r w:rsidR="004E249E" w:rsidRPr="00DC55B0">
        <w:rPr>
          <w:rFonts w:ascii="Calibri" w:hAnsi="Calibri" w:cs="Calibri"/>
        </w:rPr>
        <w:fldChar w:fldCharType="end"/>
      </w:r>
      <w:r w:rsidR="00361157" w:rsidRPr="00DC55B0">
        <w:rPr>
          <w:rFonts w:ascii="Calibri" w:hAnsi="Calibri" w:cs="Calibri"/>
        </w:rPr>
        <w:t xml:space="preserve"> As a result, influenza and COVID-19 vaccines are offered </w:t>
      </w:r>
      <w:r w:rsidR="00560B4E" w:rsidRPr="00DC55B0">
        <w:rPr>
          <w:rFonts w:ascii="Calibri" w:hAnsi="Calibri" w:cs="Calibri"/>
        </w:rPr>
        <w:t>to protect</w:t>
      </w:r>
      <w:r w:rsidR="001003B1" w:rsidRPr="00DC55B0">
        <w:rPr>
          <w:rFonts w:ascii="Calibri" w:hAnsi="Calibri" w:cs="Calibri"/>
        </w:rPr>
        <w:t xml:space="preserve"> </w:t>
      </w:r>
      <w:r w:rsidR="00E8586E" w:rsidRPr="00DC55B0">
        <w:rPr>
          <w:rFonts w:ascii="Calibri" w:hAnsi="Calibri" w:cs="Calibri"/>
        </w:rPr>
        <w:t xml:space="preserve">both </w:t>
      </w:r>
      <w:r w:rsidR="00AC2DFC" w:rsidRPr="00DC55B0">
        <w:rPr>
          <w:rFonts w:ascii="Calibri" w:hAnsi="Calibri" w:cs="Calibri"/>
        </w:rPr>
        <w:t xml:space="preserve">the </w:t>
      </w:r>
      <w:r w:rsidR="001003B1" w:rsidRPr="00DC55B0">
        <w:rPr>
          <w:rFonts w:ascii="Calibri" w:hAnsi="Calibri" w:cs="Calibri"/>
        </w:rPr>
        <w:t>mother and fetus during pregnancy</w:t>
      </w:r>
      <w:r w:rsidR="00B14819" w:rsidRPr="00DC55B0">
        <w:rPr>
          <w:rFonts w:ascii="Calibri" w:hAnsi="Calibri" w:cs="Calibri"/>
        </w:rPr>
        <w:t>.</w:t>
      </w:r>
      <w:r w:rsidR="000945C1" w:rsidRPr="00DC55B0">
        <w:rPr>
          <w:rFonts w:ascii="Calibri" w:hAnsi="Calibri" w:cs="Calibri"/>
        </w:rPr>
        <w:t xml:space="preserve"> </w:t>
      </w:r>
      <w:r w:rsidR="006B0504" w:rsidRPr="00DC55B0">
        <w:rPr>
          <w:rFonts w:ascii="Calibri" w:hAnsi="Calibri" w:cs="Calibri"/>
        </w:rPr>
        <w:t>Vaccination</w:t>
      </w:r>
      <w:r w:rsidR="00D3367E" w:rsidRPr="00DC55B0">
        <w:rPr>
          <w:rFonts w:ascii="Calibri" w:hAnsi="Calibri" w:cs="Calibri"/>
        </w:rPr>
        <w:t xml:space="preserve"> during pregnancy</w:t>
      </w:r>
      <w:r w:rsidR="006B0504" w:rsidRPr="00DC55B0">
        <w:rPr>
          <w:rFonts w:ascii="Calibri" w:hAnsi="Calibri" w:cs="Calibri"/>
        </w:rPr>
        <w:t xml:space="preserve"> </w:t>
      </w:r>
      <w:r w:rsidR="00560B4E" w:rsidRPr="00DC55B0">
        <w:rPr>
          <w:rFonts w:ascii="Calibri" w:hAnsi="Calibri" w:cs="Calibri"/>
        </w:rPr>
        <w:t xml:space="preserve">is </w:t>
      </w:r>
      <w:r w:rsidR="0074640C" w:rsidRPr="00DC55B0">
        <w:rPr>
          <w:rFonts w:ascii="Calibri" w:hAnsi="Calibri" w:cs="Calibri"/>
        </w:rPr>
        <w:t>49</w:t>
      </w:r>
      <w:r w:rsidR="006B0504" w:rsidRPr="00DC55B0">
        <w:rPr>
          <w:rFonts w:ascii="Calibri" w:hAnsi="Calibri" w:cs="Calibri"/>
        </w:rPr>
        <w:t>% effective</w:t>
      </w:r>
      <w:r w:rsidR="0074640C" w:rsidRPr="00DC55B0">
        <w:rPr>
          <w:rFonts w:ascii="Calibri" w:hAnsi="Calibri" w:cs="Calibri"/>
        </w:rPr>
        <w:t xml:space="preserve"> </w:t>
      </w:r>
      <w:r w:rsidR="006B0504" w:rsidRPr="00DC55B0">
        <w:rPr>
          <w:rFonts w:ascii="Calibri" w:hAnsi="Calibri" w:cs="Calibri"/>
        </w:rPr>
        <w:t>preventing influenza</w:t>
      </w:r>
      <w:r w:rsidR="00E8586E" w:rsidRPr="00DC55B0">
        <w:rPr>
          <w:rFonts w:ascii="Calibri" w:hAnsi="Calibri" w:cs="Calibri"/>
        </w:rPr>
        <w:t xml:space="preserve"> virus</w:t>
      </w:r>
      <w:r w:rsidR="006B0504" w:rsidRPr="00DC55B0">
        <w:rPr>
          <w:rFonts w:ascii="Calibri" w:hAnsi="Calibri" w:cs="Calibri"/>
        </w:rPr>
        <w:t xml:space="preserve"> </w:t>
      </w:r>
      <w:r w:rsidR="00E50B1A" w:rsidRPr="00DC55B0">
        <w:rPr>
          <w:rFonts w:ascii="Calibri" w:hAnsi="Calibri" w:cs="Calibri"/>
        </w:rPr>
        <w:t>infectio</w:t>
      </w:r>
      <w:r w:rsidR="00A84AEB" w:rsidRPr="00DC55B0">
        <w:rPr>
          <w:rFonts w:ascii="Calibri" w:hAnsi="Calibri" w:cs="Calibri"/>
        </w:rPr>
        <w:t>n</w:t>
      </w:r>
      <w:r w:rsidR="00AA1C96" w:rsidRPr="00DC55B0">
        <w:rPr>
          <w:rFonts w:ascii="Calibri" w:hAnsi="Calibri" w:cs="Calibri"/>
        </w:rPr>
        <w:t xml:space="preserve"> (95% CI: 14-71%)</w:t>
      </w:r>
      <w:r w:rsidR="00D3367E" w:rsidRPr="00DC55B0">
        <w:rPr>
          <w:rFonts w:ascii="Calibri" w:hAnsi="Calibri" w:cs="Calibri"/>
        </w:rPr>
        <w:fldChar w:fldCharType="begin"/>
      </w:r>
      <w:r w:rsidR="00E73473" w:rsidRPr="00DC55B0">
        <w:rPr>
          <w:rFonts w:ascii="Calibri" w:hAnsi="Calibri" w:cs="Calibri"/>
        </w:rPr>
        <w:instrText xml:space="preserve"> ADDIN ZOTERO_ITEM CSL_CITATION {"citationID":"wP0yS3Kg","properties":{"formattedCitation":"\\super 6\\nosupersub{}","plainCitation":"6","noteIndex":0},"citationItems":[{"id":61,"uris":["http://zotero.org/users/14445769/items/DC2JCB9X"],"itemData":{"id":61,"type":"article-journal","abstract":"BACKGROUND: The consequences of influenza in adults are mainly time off work. Vaccination of pregnant women is recommended internationally. This is an update of a review published in 2014. Future updates of this review will be made only when new trials or vaccines become available. Observational data included in previous versions of the review have been retained for historical reasons but have not been updated due to their lack of influence on the review conclusions.\nOBJECTIVES: To assess the effects (efficacy, effectiveness, and harm) of vaccines against influenza in healthy adults, including pregnant women.\nSEARCH METHODS: We searched the Cochrane Central Register of Controlled Trials (CENTRAL; 2016, Issue 12), MEDLINE (January 1966 to 31 December 2016), Embase (1990 to 31 December 2016), the WHO International Clinical Trials Registry Platform (ICTRP; 1 July 2017), and ClinicalTrials.gov (1 July 2017), as well as checking the bibliographies of retrieved articles.\nSELECTION CRITERIA: Randomised controlled trials (RCTs) or quasi-RCTs comparing influenza vaccines with placebo or no intervention in naturally occurring influenza in healthy individuals aged 16 to 65 years. Previous versions of this review included observational comparative studies assessing serious and rare harms cohort and case-control studies. Due to the uncertain quality of observational (i.e. non-randomised) studies and their lack of influence on the review conclusions, we decided to update only randomised evidence. The searches for observational comparative studies are no longer updated.\nDATA COLLECTION AND ANALYSIS: Two review authors independently assessed trial quality and extracted data. We rated certainty of evidence for key outcomes (influenza, influenza-like illness (ILI), hospitalisation, and adverse effects) using GRADE.\nMAIN RESULTS: We included 52 clinical trials of over 80,000 people assessing the safety and effectiveness of influenza vaccines. We have presented findings from 25 studies comparing inactivated parenteral influenza vaccine against placebo or do-nothing control groups as the most relevant to decision-making. The studies were conducted over single influenza seasons in North America, South America, and Europe between 1969 and 2009. We did not consider studies at high risk of bias to influence the results of our outcomes except for hospitalisation.Inactivated influenza vaccines probably reduce influenza in healthy adults from 2.3% without vaccination to 0.9% (risk ratio (RR) 0.41, 95% confidence interval (CI) 0.36 to 0.47; 71,221 participants; moderate-certainty evidence), and they probably reduce ILI from 21.5% to 18.1% (RR 0.84, 95% CI 0.75 to 0.95; 25,795 participants; moderate-certainty evidence; 71 healthy adults need to be vaccinated to prevent one of them experiencing influenza, and 29 healthy adults need to be vaccinated to prevent one of them experiencing an ILI). The difference between the two number needed to vaccinate (NNV) values depends on the different incidence of ILI and confirmed influenza among the study populations. Vaccination may lead to a small reduction in the risk of hospitalisation in healthy adults, from 14.7% to 14.1%, but the CI is wide and does not rule out a large benefit (RR 0.96, 95% CI 0.85 to 1.08; 11,924 participants; low-certainty evidence). Vaccines may lead to little or no small reduction in days off work (-0.04 days, 95% CI -0.14 days to 0.06; low-certainty evidence). Inactivated vaccines cause an increase in fever from 1.5% to 2.3%.We identified one RCT and one controlled clinical trial assessing the effects of vaccination in pregnant women. The efficacy of inactivated vaccine containing pH1N1 against influenza was 50% (95% CI 14% to 71%) in mothers (NNV 55), and 49% (95% CI 12% to 70%) in infants up to 24 weeks (NNV 56). No data were available on efficacy against seasonal influenza during pregnancy. Evidence from observational studies showed effectiveness of influenza vaccines against ILI in pregnant women to be 24% (95% CI 11% to 36%, NNV 94), and against influenza in newborns from vaccinated women to be 41% (95% CI 6% to 63%, NNV 27).Live aerosol vaccines have an overall effectiveness corresponding to an NNV of 46. The performance of one- or two-dose whole-virion 1968 to 1969 pandemic vaccines was higher (NNV 16) against ILI and (NNV 35) against influenza. There was limited impact on hospitalisations in the 1968 to 1969 pandemic (NNV 94). The administration of both seasonal and 2009 pandemic vaccines during pregnancy had no significant effect on abortion or neonatal death, but this was based on observational data sets.\nAUTHORS' CONCLUSIONS: Healthy adults who receive inactivated parenteral influenza vaccine rather than no vaccine probably experience less influenza, from just over 2% to just under 1% (moderate-certainty evidence). They also probably experience less ILI following vaccination, but the degree of benefit when expressed in absolute terms varied across different settings. Variation in protection against ILI may be due in part to inconsistent symptom classification. Certainty of evidence for the small reductions in hospitalisations and time off work is low. Protection against influenza and ILI in mothers and newborns was smaller than the effects seen in other populations considered in this review.Vaccines increase the risk of a number of adverse events, including a small increase in fever, but rates of nausea and vomiting are uncertain. The protective effect of vaccination in pregnant women and newborns is also very modest. We did not find any evidence of an association between influenza vaccination and serious adverse events in the comparative studies considered in this review. Fifteen included RCTs were industry funded (29%).","container-title":"The Cochrane Database of Systematic Reviews","DOI":"10.1002/14651858.CD001269.pub6","ISSN":"1469-493X","issue":"2","journalAbbreviation":"Cochrane Database Syst Rev","language":"eng","note":"PMID: 29388196\nPMCID: PMC6491184","page":"CD001269","source":"PubMed","title":"Vaccines for preventing influenza in healthy adults","volume":"2","author":[{"family":"Demicheli","given":"Vittorio"},{"family":"Jefferson","given":"Tom"},{"family":"Ferroni","given":"Eliana"},{"family":"Rivetti","given":"Alessandro"},{"family":"Di Pietrantonj","given":"Carlo"}],"issued":{"date-parts":[["2018",2,1]]}}}],"schema":"https://github.com/citation-style-language/schema/raw/master/csl-citation.json"} </w:instrText>
      </w:r>
      <w:r w:rsidR="00D3367E" w:rsidRPr="00DC55B0">
        <w:rPr>
          <w:rFonts w:ascii="Calibri" w:hAnsi="Calibri" w:cs="Calibri"/>
        </w:rPr>
        <w:fldChar w:fldCharType="separate"/>
      </w:r>
      <w:r w:rsidR="00E73473" w:rsidRPr="00DC55B0">
        <w:rPr>
          <w:rFonts w:ascii="Calibri" w:hAnsi="Calibri" w:cs="Calibri"/>
          <w:kern w:val="0"/>
          <w:vertAlign w:val="superscript"/>
        </w:rPr>
        <w:t>6</w:t>
      </w:r>
      <w:r w:rsidR="00D3367E" w:rsidRPr="00DC55B0">
        <w:rPr>
          <w:rFonts w:ascii="Calibri" w:hAnsi="Calibri" w:cs="Calibri"/>
        </w:rPr>
        <w:fldChar w:fldCharType="end"/>
      </w:r>
      <w:r w:rsidR="00723075" w:rsidRPr="00DC55B0">
        <w:rPr>
          <w:rFonts w:ascii="Calibri" w:hAnsi="Calibri" w:cs="Calibri"/>
        </w:rPr>
        <w:t xml:space="preserve"> and </w:t>
      </w:r>
      <w:r w:rsidR="00E50B1A" w:rsidRPr="00DC55B0">
        <w:rPr>
          <w:rFonts w:ascii="Calibri" w:hAnsi="Calibri" w:cs="Calibri"/>
        </w:rPr>
        <w:t xml:space="preserve">94% effective at preventing hospitalisation with </w:t>
      </w:r>
      <w:r w:rsidR="008B03E9" w:rsidRPr="00DC55B0">
        <w:rPr>
          <w:rFonts w:ascii="Calibri" w:hAnsi="Calibri" w:cs="Calibri"/>
        </w:rPr>
        <w:t>COVID-19</w:t>
      </w:r>
      <w:r w:rsidR="00C27CA6" w:rsidRPr="00DC55B0">
        <w:rPr>
          <w:rFonts w:ascii="Calibri" w:hAnsi="Calibri" w:cs="Calibri"/>
        </w:rPr>
        <w:t xml:space="preserve"> (</w:t>
      </w:r>
      <w:r w:rsidR="004C716F" w:rsidRPr="00DC55B0">
        <w:rPr>
          <w:rFonts w:ascii="Calibri" w:hAnsi="Calibri" w:cs="Calibri"/>
        </w:rPr>
        <w:t>95% CI: 29</w:t>
      </w:r>
      <w:r w:rsidR="00AA1C96" w:rsidRPr="00DC55B0">
        <w:rPr>
          <w:rFonts w:ascii="Calibri" w:hAnsi="Calibri" w:cs="Calibri"/>
        </w:rPr>
        <w:t>-99%)</w:t>
      </w:r>
      <w:r w:rsidR="00BD7B16" w:rsidRPr="00DC55B0">
        <w:rPr>
          <w:rFonts w:ascii="Calibri" w:hAnsi="Calibri" w:cs="Calibri"/>
        </w:rPr>
        <w:t>.</w:t>
      </w:r>
      <w:r w:rsidR="009D14E3" w:rsidRPr="00DC55B0">
        <w:rPr>
          <w:rFonts w:ascii="Calibri" w:hAnsi="Calibri" w:cs="Calibri"/>
        </w:rPr>
        <w:fldChar w:fldCharType="begin"/>
      </w:r>
      <w:r w:rsidR="003F3CD5" w:rsidRPr="00DC55B0">
        <w:rPr>
          <w:rFonts w:ascii="Calibri" w:hAnsi="Calibri" w:cs="Calibri"/>
        </w:rPr>
        <w:instrText xml:space="preserve"> ADDIN ZOTERO_ITEM CSL_CITATION {"citationID":"VoyeG9MZ","properties":{"formattedCitation":"\\super 8\\nosupersub{}","plainCitation":"8","noteIndex":0},"citationItems":[{"id":60,"uris":["http://zotero.org/users/14445769/items/N7V4PGF3"],"itemData":{"id":60,"type":"article-journal","abstract":"Objective To assess the effects of COVID-19 vaccines in women before or during pregnancy on SARS-CoV-2 infection-related, pregnancy, offspring and reactogenicity outcomes.\nDesign Systematic review and meta-analysis.\nData sources Major databases between December 2019 and January 2023.\nStudy selection Nine pairs of reviewers contributed to study selection. We included test-negative designs, comparative cohorts and randomised trials on effects of COVID-19 vaccines on infection-related and pregnancy outcomes. Non-comparative cohort studies reporting reactogenicity outcomes were also included.\nQuality assessment, data extraction and analysis Two reviewers independently assessed study quality and extracted data. We undertook random-effects meta-analysis and reported findings as HRs, risk ratios (RRs), ORs or rates with 95% CIs.\nResults Sixty-seven studies (1 813 947 women) were included. Overall, in test-negative design studies, pregnant women fully vaccinated with any COVID-19 vaccine had 61% reduced odds of SARS-CoV-2 infection during pregnancy (OR 0.39, 95% CI 0.21 to 0.75; 4 studies, 23 927 women; I2=87.2%) and 94% reduced odds of hospital admission (OR 0.06, 95% CI 0.01 to 0.71; 2 studies, 868 women; I2=92%). In adjusted cohort studies, the risk of hypertensive disorders in pregnancy was reduced by 12% (RR 0.88, 95% CI 0.82 to 0.92; 2 studies; 115 085 women), while caesarean section was reduced by 9% (OR 0.91, 95% CI 0.85 to 0.98; 6 studies; 30 192 women). We observed an 8% reduction in the risk of neonatal intensive care unit admission (RR 0.92, 95% CI 0.87 to 0.97; 2 studies; 54 569 women) in babies born to vaccinated versus not vaccinated women. In general, vaccination during pregnancy was not associated with increased risk of adverse pregnancy or perinatal outcomes. Pain at the injection site was the most common side effect reported (77%, 95% CI 52% to 94%; 11 studies; 27 195 women).\nConclusion COVID-19 vaccines are effective in preventing SARS-CoV-2 infection and related complications in pregnant women.\nPROSPERO registration number CRD42020178076.","container-title":"BMJ Global Health","DOI":"10.1136/bmjgh-2023-014247","ISSN":"2059-7908","issue":"4","language":"en","license":"© World Health Organization 2024. Licensee BMJ.. https://creativecommons.org/licenses/by/3.0/igo/This is an open access article distributed under the terms of the Creative Commons Attribution IGO License (CC BY 3.0 IGO), which permits use, distribution,and reproduction in any medium, provided the original work is properly cited. In any reproduction of this article there should not be any suggestion that WHO or this article endorse any specific organization or products. The use of the WHO logo is not permitted. This notice should be preserved along with the article’s original URL.","note":"PMID: 38580375","page":"e014247","source":"gh.bmj.com","title":"Effectiveness and safety of COVID-19 vaccines on maternal and perinatal outcomes: a systematic review and meta-analysis","title-short":"Effectiveness and safety of COVID-19 vaccines on maternal and perinatal outcomes","volume":"9","author":[{"family":"Fernández-García","given":"Silvia"},{"family":"Campo-Albendea","given":"Laura","dropping-particle":"del"},{"family":"Sambamoorthi","given":"Dharshini"},{"family":"Sheikh","given":"Jameela"},{"family":"Lau","given":"Karen"},{"family":"Osei-Lah","given":"Nana"},{"family":"Ramkumar","given":"Anoushka"},{"family":"Naidu","given":"Harshitha"},{"family":"Stoney","given":"Nicole"},{"family":"Sundaram","given":"Paul"},{"family":"Sengupta","given":"Paulomi"},{"family":"Mehta","given":"Samay"},{"family":"Attarde","given":"Shruti"},{"family":"Maddock","given":"Sophie"},{"family":"Manning","given":"Millie"},{"family":"Meherally","given":"Zainita"},{"family":"Ansari","given":"Kehkashan"},{"family":"Lawson","given":"Heidi"},{"family":"Yap","given":"Magnus"},{"family":"Kew","given":"Tania"},{"family":"Punnoose","given":"Andriya"},{"family":"Knight","given":"Chloe"},{"family":"Sadeqa","given":"Eyna"},{"family":"Cherian","given":"Jiya"},{"family":"Ravi","given":"Sangamithra"},{"family":"Chen","given":"Wentin"},{"family":"Walker","given":"Kate"},{"family":"O’Donoghue","given":"Keelin"},{"family":"Wely","given":"Madelon","dropping-particle":"van"},{"family":"Leeuwen","given":"Elizabeth","dropping-particle":"van"},{"family":"Kostova","given":"Elena"},{"family":"Kunst","given":"Heinke"},{"family":"Khalil","given":"Asma"},{"family":"Brizuela","given":"Vanessa"},{"family":"Kara","given":"Edna"},{"family":"Kim","given":"Caron Rahn"},{"family":"Thorson","given":"Anna"},{"family":"Oladapo","given":"Olufemi T."},{"family":"Mofenson","given":"Lynne"},{"family":"Gottlieb","given":"Sami L."},{"family":"Bonet","given":"Mercedes"},{"family":"Moss","given":"Ngawai"},{"family":"Zamora","given":"Javier"},{"family":"Allotey","given":"John"},{"family":"Thangaratinam","given":"Shakila"}],"issued":{"date-parts":[["2024",4,1]]}}}],"schema":"https://github.com/citation-style-language/schema/raw/master/csl-citation.json"} </w:instrText>
      </w:r>
      <w:r w:rsidR="009D14E3" w:rsidRPr="00DC55B0">
        <w:rPr>
          <w:rFonts w:ascii="Calibri" w:hAnsi="Calibri" w:cs="Calibri"/>
        </w:rPr>
        <w:fldChar w:fldCharType="separate"/>
      </w:r>
      <w:r w:rsidR="003F3CD5" w:rsidRPr="00DC55B0">
        <w:rPr>
          <w:rFonts w:ascii="Calibri" w:hAnsi="Calibri" w:cs="Calibri"/>
          <w:kern w:val="0"/>
          <w:vertAlign w:val="superscript"/>
        </w:rPr>
        <w:t>8</w:t>
      </w:r>
      <w:r w:rsidR="009D14E3" w:rsidRPr="00DC55B0">
        <w:rPr>
          <w:rFonts w:ascii="Calibri" w:hAnsi="Calibri" w:cs="Calibri"/>
        </w:rPr>
        <w:fldChar w:fldCharType="end"/>
      </w:r>
      <w:r w:rsidR="008B03E9" w:rsidRPr="00DC55B0">
        <w:rPr>
          <w:rFonts w:ascii="Calibri" w:hAnsi="Calibri" w:cs="Calibri"/>
        </w:rPr>
        <w:t xml:space="preserve"> </w:t>
      </w:r>
      <w:r w:rsidR="00BD7B16" w:rsidRPr="00DC55B0">
        <w:rPr>
          <w:rFonts w:ascii="Calibri" w:hAnsi="Calibri" w:cs="Calibri"/>
        </w:rPr>
        <w:t xml:space="preserve">Neither of these vaccines </w:t>
      </w:r>
      <w:r w:rsidR="005A7BBC" w:rsidRPr="00DC55B0">
        <w:rPr>
          <w:rFonts w:ascii="Calibri" w:hAnsi="Calibri" w:cs="Calibri"/>
        </w:rPr>
        <w:t>is</w:t>
      </w:r>
      <w:r w:rsidR="00BD7B16" w:rsidRPr="00DC55B0">
        <w:rPr>
          <w:rFonts w:ascii="Calibri" w:hAnsi="Calibri" w:cs="Calibri"/>
        </w:rPr>
        <w:t xml:space="preserve"> associated with any increase</w:t>
      </w:r>
      <w:r w:rsidR="00AD2DA7" w:rsidRPr="00DC55B0">
        <w:rPr>
          <w:rFonts w:ascii="Calibri" w:hAnsi="Calibri" w:cs="Calibri"/>
        </w:rPr>
        <w:t>d</w:t>
      </w:r>
      <w:r w:rsidR="00BD7B16" w:rsidRPr="00DC55B0">
        <w:rPr>
          <w:rFonts w:ascii="Calibri" w:hAnsi="Calibri" w:cs="Calibri"/>
        </w:rPr>
        <w:t xml:space="preserve"> risk of adverse perinatal outcomes</w:t>
      </w:r>
      <w:r w:rsidR="00D63AE1" w:rsidRPr="00DC55B0">
        <w:rPr>
          <w:rFonts w:ascii="Calibri" w:hAnsi="Calibri" w:cs="Calibri"/>
        </w:rPr>
        <w:t>,</w:t>
      </w:r>
      <w:r w:rsidR="00D63AE1" w:rsidRPr="00DC55B0">
        <w:rPr>
          <w:rFonts w:ascii="Calibri" w:hAnsi="Calibri" w:cs="Calibri"/>
        </w:rPr>
        <w:fldChar w:fldCharType="begin"/>
      </w:r>
      <w:r w:rsidR="003F3CD5" w:rsidRPr="00DC55B0">
        <w:rPr>
          <w:rFonts w:ascii="Calibri" w:hAnsi="Calibri" w:cs="Calibri"/>
        </w:rPr>
        <w:instrText xml:space="preserve"> ADDIN ZOTERO_ITEM CSL_CITATION {"citationID":"AvtRMoYs","properties":{"formattedCitation":"\\super 6,8\\nosupersub{}","plainCitation":"6,8","noteIndex":0},"citationItems":[{"id":61,"uris":["http://zotero.org/users/14445769/items/DC2JCB9X"],"itemData":{"id":61,"type":"article-journal","abstract":"BACKGROUND: The consequences of influenza in adults are mainly time off work. Vaccination of pregnant women is recommended internationally. This is an update of a review published in 2014. Future updates of this review will be made only when new trials or vaccines become available. Observational data included in previous versions of the review have been retained for historical reasons but have not been updated due to their lack of influence on the review conclusions.\nOBJECTIVES: To assess the effects (efficacy, effectiveness, and harm) of vaccines against influenza in healthy adults, including pregnant women.\nSEARCH METHODS: We searched the Cochrane Central Register of Controlled Trials (CENTRAL; 2016, Issue 12), MEDLINE (January 1966 to 31 December 2016), Embase (1990 to 31 December 2016), the WHO International Clinical Trials Registry Platform (ICTRP; 1 July 2017), and ClinicalTrials.gov (1 July 2017), as well as checking the bibliographies of retrieved articles.\nSELECTION CRITERIA: Randomised controlled trials (RCTs) or quasi-RCTs comparing influenza vaccines with placebo or no intervention in naturally occurring influenza in healthy individuals aged 16 to 65 years. Previous versions of this review included observational comparative studies assessing serious and rare harms cohort and case-control studies. Due to the uncertain quality of observational (i.e. non-randomised) studies and their lack of influence on the review conclusions, we decided to update only randomised evidence. The searches for observational comparative studies are no longer updated.\nDATA COLLECTION AND ANALYSIS: Two review authors independently assessed trial quality and extracted data. We rated certainty of evidence for key outcomes (influenza, influenza-like illness (ILI), hospitalisation, and adverse effects) using GRADE.\nMAIN RESULTS: We included 52 clinical trials of over 80,000 people assessing the safety and effectiveness of influenza vaccines. We have presented findings from 25 studies comparing inactivated parenteral influenza vaccine against placebo or do-nothing control groups as the most relevant to decision-making. The studies were conducted over single influenza seasons in North America, South America, and Europe between 1969 and 2009. We did not consider studies at high risk of bias to influence the results of our outcomes except for hospitalisation.Inactivated influenza vaccines probably reduce influenza in healthy adults from 2.3% without vaccination to 0.9% (risk ratio (RR) 0.41, 95% confidence interval (CI) 0.36 to 0.47; 71,221 participants; moderate-certainty evidence), and they probably reduce ILI from 21.5% to 18.1% (RR 0.84, 95% CI 0.75 to 0.95; 25,795 participants; moderate-certainty evidence; 71 healthy adults need to be vaccinated to prevent one of them experiencing influenza, and 29 healthy adults need to be vaccinated to prevent one of them experiencing an ILI). The difference between the two number needed to vaccinate (NNV) values depends on the different incidence of ILI and confirmed influenza among the study populations. Vaccination may lead to a small reduction in the risk of hospitalisation in healthy adults, from 14.7% to 14.1%, but the CI is wide and does not rule out a large benefit (RR 0.96, 95% CI 0.85 to 1.08; 11,924 participants; low-certainty evidence). Vaccines may lead to little or no small reduction in days off work (-0.04 days, 95% CI -0.14 days to 0.06; low-certainty evidence). Inactivated vaccines cause an increase in fever from 1.5% to 2.3%.We identified one RCT and one controlled clinical trial assessing the effects of vaccination in pregnant women. The efficacy of inactivated vaccine containing pH1N1 against influenza was 50% (95% CI 14% to 71%) in mothers (NNV 55), and 49% (95% CI 12% to 70%) in infants up to 24 weeks (NNV 56). No data were available on efficacy against seasonal influenza during pregnancy. Evidence from observational studies showed effectiveness of influenza vaccines against ILI in pregnant women to be 24% (95% CI 11% to 36%, NNV 94), and against influenza in newborns from vaccinated women to be 41% (95% CI 6% to 63%, NNV 27).Live aerosol vaccines have an overall effectiveness corresponding to an NNV of 46. The performance of one- or two-dose whole-virion 1968 to 1969 pandemic vaccines was higher (NNV 16) against ILI and (NNV 35) against influenza. There was limited impact on hospitalisations in the 1968 to 1969 pandemic (NNV 94). The administration of both seasonal and 2009 pandemic vaccines during pregnancy had no significant effect on abortion or neonatal death, but this was based on observational data sets.\nAUTHORS' CONCLUSIONS: Healthy adults who receive inactivated parenteral influenza vaccine rather than no vaccine probably experience less influenza, from just over 2% to just under 1% (moderate-certainty evidence). They also probably experience less ILI following vaccination, but the degree of benefit when expressed in absolute terms varied across different settings. Variation in protection against ILI may be due in part to inconsistent symptom classification. Certainty of evidence for the small reductions in hospitalisations and time off work is low. Protection against influenza and ILI in mothers and newborns was smaller than the effects seen in other populations considered in this review.Vaccines increase the risk of a number of adverse events, including a small increase in fever, but rates of nausea and vomiting are uncertain. The protective effect of vaccination in pregnant women and newborns is also very modest. We did not find any evidence of an association between influenza vaccination and serious adverse events in the comparative studies considered in this review. Fifteen included RCTs were industry funded (29%).","container-title":"The Cochrane Database of Systematic Reviews","DOI":"10.1002/14651858.CD001269.pub6","ISSN":"1469-493X","issue":"2","journalAbbreviation":"Cochrane Database Syst Rev","language":"eng","note":"PMID: 29388196\nPMCID: PMC6491184","page":"CD001269","source":"PubMed","title":"Vaccines for preventing influenza in healthy adults","volume":"2","author":[{"family":"Demicheli","given":"Vittorio"},{"family":"Jefferson","given":"Tom"},{"family":"Ferroni","given":"Eliana"},{"family":"Rivetti","given":"Alessandro"},{"family":"Di Pietrantonj","given":"Carlo"}],"issued":{"date-parts":[["2018",2,1]]}}},{"id":60,"uris":["http://zotero.org/users/14445769/items/N7V4PGF3"],"itemData":{"id":60,"type":"article-journal","abstract":"Objective To assess the effects of COVID-19 vaccines in women before or during pregnancy on SARS-CoV-2 infection-related, pregnancy, offspring and reactogenicity outcomes.\nDesign Systematic review and meta-analysis.\nData sources Major databases between December 2019 and January 2023.\nStudy selection Nine pairs of reviewers contributed to study selection. We included test-negative designs, comparative cohorts and randomised trials on effects of COVID-19 vaccines on infection-related and pregnancy outcomes. Non-comparative cohort studies reporting reactogenicity outcomes were also included.\nQuality assessment, data extraction and analysis Two reviewers independently assessed study quality and extracted data. We undertook random-effects meta-analysis and reported findings as HRs, risk ratios (RRs), ORs or rates with 95% CIs.\nResults Sixty-seven studies (1 813 947 women) were included. Overall, in test-negative design studies, pregnant women fully vaccinated with any COVID-19 vaccine had 61% reduced odds of SARS-CoV-2 infection during pregnancy (OR 0.39, 95% CI 0.21 to 0.75; 4 studies, 23 927 women; I2=87.2%) and 94% reduced odds of hospital admission (OR 0.06, 95% CI 0.01 to 0.71; 2 studies, 868 women; I2=92%). In adjusted cohort studies, the risk of hypertensive disorders in pregnancy was reduced by 12% (RR 0.88, 95% CI 0.82 to 0.92; 2 studies; 115 085 women), while caesarean section was reduced by 9% (OR 0.91, 95% CI 0.85 to 0.98; 6 studies; 30 192 women). We observed an 8% reduction in the risk of neonatal intensive care unit admission (RR 0.92, 95% CI 0.87 to 0.97; 2 studies; 54 569 women) in babies born to vaccinated versus not vaccinated women. In general, vaccination during pregnancy was not associated with increased risk of adverse pregnancy or perinatal outcomes. Pain at the injection site was the most common side effect reported (77%, 95% CI 52% to 94%; 11 studies; 27 195 women).\nConclusion COVID-19 vaccines are effective in preventing SARS-CoV-2 infection and related complications in pregnant women.\nPROSPERO registration number CRD42020178076.","container-title":"BMJ Global Health","DOI":"10.1136/bmjgh-2023-014247","ISSN":"2059-7908","issue":"4","language":"en","license":"© World Health Organization 2024. Licensee BMJ.. https://creativecommons.org/licenses/by/3.0/igo/This is an open access article distributed under the terms of the Creative Commons Attribution IGO License (CC BY 3.0 IGO), which permits use, distribution,and reproduction in any medium, provided the original work is properly cited. In any reproduction of this article there should not be any suggestion that WHO or this article endorse any specific organization or products. The use of the WHO logo is not permitted. This notice should be preserved along with the article’s original URL.","note":"PMID: 38580375","page":"e014247","source":"gh.bmj.com","title":"Effectiveness and safety of COVID-19 vaccines on maternal and perinatal outcomes: a systematic review and meta-analysis","title-short":"Effectiveness and safety of COVID-19 vaccines on maternal and perinatal outcomes","volume":"9","author":[{"family":"Fernández-García","given":"Silvia"},{"family":"Campo-Albendea","given":"Laura","dropping-particle":"del"},{"family":"Sambamoorthi","given":"Dharshini"},{"family":"Sheikh","given":"Jameela"},{"family":"Lau","given":"Karen"},{"family":"Osei-Lah","given":"Nana"},{"family":"Ramkumar","given":"Anoushka"},{"family":"Naidu","given":"Harshitha"},{"family":"Stoney","given":"Nicole"},{"family":"Sundaram","given":"Paul"},{"family":"Sengupta","given":"Paulomi"},{"family":"Mehta","given":"Samay"},{"family":"Attarde","given":"Shruti"},{"family":"Maddock","given":"Sophie"},{"family":"Manning","given":"Millie"},{"family":"Meherally","given":"Zainita"},{"family":"Ansari","given":"Kehkashan"},{"family":"Lawson","given":"Heidi"},{"family":"Yap","given":"Magnus"},{"family":"Kew","given":"Tania"},{"family":"Punnoose","given":"Andriya"},{"family":"Knight","given":"Chloe"},{"family":"Sadeqa","given":"Eyna"},{"family":"Cherian","given":"Jiya"},{"family":"Ravi","given":"Sangamithra"},{"family":"Chen","given":"Wentin"},{"family":"Walker","given":"Kate"},{"family":"O’Donoghue","given":"Keelin"},{"family":"Wely","given":"Madelon","dropping-particle":"van"},{"family":"Leeuwen","given":"Elizabeth","dropping-particle":"van"},{"family":"Kostova","given":"Elena"},{"family":"Kunst","given":"Heinke"},{"family":"Khalil","given":"Asma"},{"family":"Brizuela","given":"Vanessa"},{"family":"Kara","given":"Edna"},{"family":"Kim","given":"Caron Rahn"},{"family":"Thorson","given":"Anna"},{"family":"Oladapo","given":"Olufemi T."},{"family":"Mofenson","given":"Lynne"},{"family":"Gottlieb","given":"Sami L."},{"family":"Bonet","given":"Mercedes"},{"family":"Moss","given":"Ngawai"},{"family":"Zamora","given":"Javier"},{"family":"Allotey","given":"John"},{"family":"Thangaratinam","given":"Shakila"}],"issued":{"date-parts":[["2024",4,1]]}}}],"schema":"https://github.com/citation-style-language/schema/raw/master/csl-citation.json"} </w:instrText>
      </w:r>
      <w:r w:rsidR="00D63AE1" w:rsidRPr="00DC55B0">
        <w:rPr>
          <w:rFonts w:ascii="Calibri" w:hAnsi="Calibri" w:cs="Calibri"/>
        </w:rPr>
        <w:fldChar w:fldCharType="separate"/>
      </w:r>
      <w:r w:rsidR="003F3CD5" w:rsidRPr="00DC55B0">
        <w:rPr>
          <w:rFonts w:ascii="Calibri" w:hAnsi="Calibri" w:cs="Calibri"/>
          <w:kern w:val="0"/>
          <w:vertAlign w:val="superscript"/>
        </w:rPr>
        <w:t>6,8</w:t>
      </w:r>
      <w:r w:rsidR="00D63AE1" w:rsidRPr="00DC55B0">
        <w:rPr>
          <w:rFonts w:ascii="Calibri" w:hAnsi="Calibri" w:cs="Calibri"/>
        </w:rPr>
        <w:fldChar w:fldCharType="end"/>
      </w:r>
      <w:r w:rsidR="00D63AE1" w:rsidRPr="00DC55B0">
        <w:rPr>
          <w:rFonts w:ascii="Calibri" w:hAnsi="Calibri" w:cs="Calibri"/>
        </w:rPr>
        <w:t xml:space="preserve"> with some studies even reporting reduced rates of preterm birth</w:t>
      </w:r>
      <w:r w:rsidR="002A6776" w:rsidRPr="00DC55B0">
        <w:rPr>
          <w:rFonts w:ascii="Calibri" w:hAnsi="Calibri" w:cs="Calibri"/>
        </w:rPr>
        <w:t xml:space="preserve"> and stillbirth</w:t>
      </w:r>
      <w:r w:rsidR="002F52A7" w:rsidRPr="00DC55B0">
        <w:rPr>
          <w:rFonts w:ascii="Calibri" w:hAnsi="Calibri" w:cs="Calibri"/>
        </w:rPr>
        <w:t xml:space="preserve"> in vaccinated pregnancies</w:t>
      </w:r>
      <w:r w:rsidR="00ED7DA5" w:rsidRPr="00DC55B0">
        <w:rPr>
          <w:rFonts w:ascii="Calibri" w:hAnsi="Calibri" w:cs="Calibri"/>
        </w:rPr>
        <w:fldChar w:fldCharType="begin"/>
      </w:r>
      <w:r w:rsidR="008324C0" w:rsidRPr="00DC55B0">
        <w:rPr>
          <w:rFonts w:ascii="Calibri" w:hAnsi="Calibri" w:cs="Calibri"/>
        </w:rPr>
        <w:instrText xml:space="preserve"> ADDIN ZOTERO_ITEM CSL_CITATION {"citationID":"IQhtcR4D","properties":{"formattedCitation":"\\super 8,72\\nosupersub{}","plainCitation":"8,72","noteIndex":0},"citationItems":[{"id":60,"uris":["http://zotero.org/users/14445769/items/N7V4PGF3"],"itemData":{"id":60,"type":"article-journal","abstract":"Objective To assess the effects of COVID-19 vaccines in women before or during pregnancy on SARS-CoV-2 infection-related, pregnancy, offspring and reactogenicity outcomes.\nDesign Systematic review and meta-analysis.\nData sources Major databases between December 2019 and January 2023.\nStudy selection Nine pairs of reviewers contributed to study selection. We included test-negative designs, comparative cohorts and randomised trials on effects of COVID-19 vaccines on infection-related and pregnancy outcomes. Non-comparative cohort studies reporting reactogenicity outcomes were also included.\nQuality assessment, data extraction and analysis Two reviewers independently assessed study quality and extracted data. We undertook random-effects meta-analysis and reported findings as HRs, risk ratios (RRs), ORs or rates with 95% CIs.\nResults Sixty-seven studies (1 813 947 women) were included. Overall, in test-negative design studies, pregnant women fully vaccinated with any COVID-19 vaccine had 61% reduced odds of SARS-CoV-2 infection during pregnancy (OR 0.39, 95% CI 0.21 to 0.75; 4 studies, 23 927 women; I2=87.2%) and 94% reduced odds of hospital admission (OR 0.06, 95% CI 0.01 to 0.71; 2 studies, 868 women; I2=92%). In adjusted cohort studies, the risk of hypertensive disorders in pregnancy was reduced by 12% (RR 0.88, 95% CI 0.82 to 0.92; 2 studies; 115 085 women), while caesarean section was reduced by 9% (OR 0.91, 95% CI 0.85 to 0.98; 6 studies; 30 192 women). We observed an 8% reduction in the risk of neonatal intensive care unit admission (RR 0.92, 95% CI 0.87 to 0.97; 2 studies; 54 569 women) in babies born to vaccinated versus not vaccinated women. In general, vaccination during pregnancy was not associated with increased risk of adverse pregnancy or perinatal outcomes. Pain at the injection site was the most common side effect reported (77%, 95% CI 52% to 94%; 11 studies; 27 195 women).\nConclusion COVID-19 vaccines are effective in preventing SARS-CoV-2 infection and related complications in pregnant women.\nPROSPERO registration number CRD42020178076.","container-title":"BMJ Global Health","DOI":"10.1136/bmjgh-2023-014247","ISSN":"2059-7908","issue":"4","language":"en","license":"© World Health Organization 2024. Licensee BMJ.. https://creativecommons.org/licenses/by/3.0/igo/This is an open access article distributed under the terms of the Creative Commons Attribution IGO License (CC BY 3.0 IGO), which permits use, distribution,and reproduction in any medium, provided the original work is properly cited. In any reproduction of this article there should not be any suggestion that WHO or this article endorse any specific organization or products. The use of the WHO logo is not permitted. This notice should be preserved along with the article’s original URL.","note":"PMID: 38580375","page":"e014247","source":"gh.bmj.com","title":"Effectiveness and safety of COVID-19 vaccines on maternal and perinatal outcomes: a systematic review and meta-analysis","title-short":"Effectiveness and safety of COVID-19 vaccines on maternal and perinatal outcomes","volume":"9","author":[{"family":"Fernández-García","given":"Silvia"},{"family":"Campo-Albendea","given":"Laura","dropping-particle":"del"},{"family":"Sambamoorthi","given":"Dharshini"},{"family":"Sheikh","given":"Jameela"},{"family":"Lau","given":"Karen"},{"family":"Osei-Lah","given":"Nana"},{"family":"Ramkumar","given":"Anoushka"},{"family":"Naidu","given":"Harshitha"},{"family":"Stoney","given":"Nicole"},{"family":"Sundaram","given":"Paul"},{"family":"Sengupta","given":"Paulomi"},{"family":"Mehta","given":"Samay"},{"family":"Attarde","given":"Shruti"},{"family":"Maddock","given":"Sophie"},{"family":"Manning","given":"Millie"},{"family":"Meherally","given":"Zainita"},{"family":"Ansari","given":"Kehkashan"},{"family":"Lawson","given":"Heidi"},{"family":"Yap","given":"Magnus"},{"family":"Kew","given":"Tania"},{"family":"Punnoose","given":"Andriya"},{"family":"Knight","given":"Chloe"},{"family":"Sadeqa","given":"Eyna"},{"family":"Cherian","given":"Jiya"},{"family":"Ravi","given":"Sangamithra"},{"family":"Chen","given":"Wentin"},{"family":"Walker","given":"Kate"},{"family":"O’Donoghue","given":"Keelin"},{"family":"Wely","given":"Madelon","dropping-particle":"van"},{"family":"Leeuwen","given":"Elizabeth","dropping-particle":"van"},{"family":"Kostova","given":"Elena"},{"family":"Kunst","given":"Heinke"},{"family":"Khalil","given":"Asma"},{"family":"Brizuela","given":"Vanessa"},{"family":"Kara","given":"Edna"},{"family":"Kim","given":"Caron Rahn"},{"family":"Thorson","given":"Anna"},{"family":"Oladapo","given":"Olufemi T."},{"family":"Mofenson","given":"Lynne"},{"family":"Gottlieb","given":"Sami L."},{"family":"Bonet","given":"Mercedes"},{"family":"Moss","given":"Ngawai"},{"family":"Zamora","given":"Javier"},{"family":"Allotey","given":"John"},{"family":"Thangaratinam","given":"Shakila"}],"issued":{"date-parts":[["2024",4,1]]}}},{"id":331,"uris":["http://zotero.org/users/14445769/items/NAWVIXU2"],"itemData":{"id":331,"type":"article-journal","abstract":"In an analysis of surveillance data from the state of Georgia (US), Saad Omer and colleagues show an association between receipt of influenza vaccination among pregnant women and reduced risk of premature births.","container-title":"PLOS Medicine","DOI":"10.1371/journal.pmed.1000441","ISSN":"1549-1676","issue":"5","journalAbbreviation":"PLOS Medicine","language":"en","page":"e1000441","source":"PLoS Journals","title":"Maternal Influenza Immunization and Reduced Likelihood of Prematurity and Small for Gestational Age Births: A Retrospective Cohort Study","title-short":"Maternal Influenza Immunization and Reduced Likelihood of Prematurity and Small for Gestational Age Births","volume":"8","author":[{"family":"Omer","given":"Saad B."},{"family":"Goodman","given":"David"},{"family":"Steinhoff","given":"Mark C."},{"family":"Rochat","given":"Roger"},{"family":"Klugman","given":"Keith P."},{"family":"Stoll","given":"Barbara J."},{"family":"Ramakrishnan","given":"Usha"}],"issued":{"date-parts":[["2011",5,31]]}}}],"schema":"https://github.com/citation-style-language/schema/raw/master/csl-citation.json"} </w:instrText>
      </w:r>
      <w:r w:rsidR="00ED7DA5" w:rsidRPr="00DC55B0">
        <w:rPr>
          <w:rFonts w:ascii="Calibri" w:hAnsi="Calibri" w:cs="Calibri"/>
        </w:rPr>
        <w:fldChar w:fldCharType="separate"/>
      </w:r>
      <w:r w:rsidR="008324C0" w:rsidRPr="00DC55B0">
        <w:rPr>
          <w:rFonts w:ascii="Calibri" w:hAnsi="Calibri" w:cs="Calibri"/>
          <w:kern w:val="0"/>
          <w:vertAlign w:val="superscript"/>
        </w:rPr>
        <w:t>8,72</w:t>
      </w:r>
      <w:r w:rsidR="00ED7DA5" w:rsidRPr="00DC55B0">
        <w:rPr>
          <w:rFonts w:ascii="Calibri" w:hAnsi="Calibri" w:cs="Calibri"/>
        </w:rPr>
        <w:fldChar w:fldCharType="end"/>
      </w:r>
      <w:r w:rsidR="00F17936" w:rsidRPr="00DC55B0">
        <w:rPr>
          <w:rFonts w:ascii="Calibri" w:hAnsi="Calibri" w:cs="Calibri"/>
        </w:rPr>
        <w:t xml:space="preserve"> potentially because</w:t>
      </w:r>
      <w:r w:rsidR="00D01542" w:rsidRPr="00DC55B0">
        <w:rPr>
          <w:rFonts w:ascii="Calibri" w:hAnsi="Calibri" w:cs="Calibri"/>
        </w:rPr>
        <w:t xml:space="preserve"> of protection against these as complications of infection. </w:t>
      </w:r>
      <w:r w:rsidR="006D62FB" w:rsidRPr="00DC55B0">
        <w:rPr>
          <w:rFonts w:ascii="Calibri" w:hAnsi="Calibri" w:cs="Calibri"/>
        </w:rPr>
        <w:t>Although these vaccines are primarily offered with the goal of protecting</w:t>
      </w:r>
      <w:r w:rsidR="00185703" w:rsidRPr="00DC55B0">
        <w:rPr>
          <w:rFonts w:ascii="Calibri" w:hAnsi="Calibri" w:cs="Calibri"/>
        </w:rPr>
        <w:t xml:space="preserve"> against severe disease during pregnancy, it is increasingly being recognised that </w:t>
      </w:r>
      <w:r w:rsidR="00F10ED3" w:rsidRPr="00DC55B0">
        <w:rPr>
          <w:rFonts w:ascii="Calibri" w:hAnsi="Calibri" w:cs="Calibri"/>
        </w:rPr>
        <w:t xml:space="preserve">protection of the newborn </w:t>
      </w:r>
      <w:r w:rsidR="00E07104" w:rsidRPr="00DC55B0">
        <w:rPr>
          <w:rFonts w:ascii="Calibri" w:hAnsi="Calibri" w:cs="Calibri"/>
        </w:rPr>
        <w:t>is</w:t>
      </w:r>
      <w:r w:rsidR="00F10ED3" w:rsidRPr="00DC55B0">
        <w:rPr>
          <w:rFonts w:ascii="Calibri" w:hAnsi="Calibri" w:cs="Calibri"/>
        </w:rPr>
        <w:t xml:space="preserve"> a significant additional benefit.</w:t>
      </w:r>
    </w:p>
    <w:p w14:paraId="25E62541" w14:textId="77777777" w:rsidR="00962DF6" w:rsidRPr="00DC55B0" w:rsidRDefault="00962DF6" w:rsidP="001F3ACA">
      <w:pPr>
        <w:rPr>
          <w:rFonts w:ascii="Calibri" w:hAnsi="Calibri" w:cs="Calibri"/>
        </w:rPr>
      </w:pPr>
    </w:p>
    <w:p w14:paraId="5917668A" w14:textId="44B95673" w:rsidR="003676EC" w:rsidRPr="00DC55B0" w:rsidRDefault="00D1206E" w:rsidP="001F3ACA">
      <w:pPr>
        <w:rPr>
          <w:rFonts w:ascii="Calibri" w:hAnsi="Calibri" w:cs="Calibri"/>
        </w:rPr>
      </w:pPr>
      <w:r w:rsidRPr="00DC55B0">
        <w:rPr>
          <w:rFonts w:ascii="Calibri" w:hAnsi="Calibri" w:cs="Calibri"/>
        </w:rPr>
        <w:lastRenderedPageBreak/>
        <w:t>Randomised controlled trials conducted in low-</w:t>
      </w:r>
      <w:r w:rsidR="00DE65A4" w:rsidRPr="00DC55B0">
        <w:rPr>
          <w:rFonts w:ascii="Calibri" w:hAnsi="Calibri" w:cs="Calibri"/>
        </w:rPr>
        <w:t>income countries</w:t>
      </w:r>
      <w:r w:rsidR="001E75C7" w:rsidRPr="00DC55B0">
        <w:rPr>
          <w:rFonts w:ascii="Calibri" w:hAnsi="Calibri" w:cs="Calibri"/>
        </w:rPr>
        <w:t xml:space="preserve"> consistently report that</w:t>
      </w:r>
      <w:r w:rsidR="00000D20" w:rsidRPr="00DC55B0">
        <w:rPr>
          <w:rFonts w:ascii="Calibri" w:hAnsi="Calibri" w:cs="Calibri"/>
        </w:rPr>
        <w:t xml:space="preserve"> </w:t>
      </w:r>
      <w:r w:rsidR="009A60B2" w:rsidRPr="00DC55B0">
        <w:rPr>
          <w:rFonts w:ascii="Calibri" w:hAnsi="Calibri" w:cs="Calibri"/>
        </w:rPr>
        <w:t xml:space="preserve">seasonal </w:t>
      </w:r>
      <w:r w:rsidR="00000D20" w:rsidRPr="00DC55B0">
        <w:rPr>
          <w:rFonts w:ascii="Calibri" w:hAnsi="Calibri" w:cs="Calibri"/>
        </w:rPr>
        <w:t xml:space="preserve">influenza vaccination during pregnancy is </w:t>
      </w:r>
      <w:r w:rsidR="00D61285" w:rsidRPr="00DC55B0">
        <w:rPr>
          <w:rFonts w:ascii="Calibri" w:hAnsi="Calibri" w:cs="Calibri"/>
        </w:rPr>
        <w:t>56</w:t>
      </w:r>
      <w:r w:rsidR="00000D20" w:rsidRPr="00DC55B0">
        <w:rPr>
          <w:rFonts w:ascii="Calibri" w:hAnsi="Calibri" w:cs="Calibri"/>
        </w:rPr>
        <w:t xml:space="preserve">% effective at preventing laboratory-confirmed influenza </w:t>
      </w:r>
      <w:r w:rsidR="00E8586E" w:rsidRPr="00DC55B0">
        <w:rPr>
          <w:rFonts w:ascii="Calibri" w:hAnsi="Calibri" w:cs="Calibri"/>
        </w:rPr>
        <w:t xml:space="preserve">virus infection </w:t>
      </w:r>
      <w:r w:rsidR="00000D20" w:rsidRPr="00DC55B0">
        <w:rPr>
          <w:rFonts w:ascii="Calibri" w:hAnsi="Calibri" w:cs="Calibri"/>
        </w:rPr>
        <w:t xml:space="preserve">in </w:t>
      </w:r>
      <w:r w:rsidR="009F5D31" w:rsidRPr="00DC55B0">
        <w:rPr>
          <w:rFonts w:ascii="Calibri" w:hAnsi="Calibri" w:cs="Calibri"/>
        </w:rPr>
        <w:t xml:space="preserve">babies under </w:t>
      </w:r>
      <w:r w:rsidR="00D61285" w:rsidRPr="00DC55B0">
        <w:rPr>
          <w:rFonts w:ascii="Calibri" w:hAnsi="Calibri" w:cs="Calibri"/>
        </w:rPr>
        <w:t>two</w:t>
      </w:r>
      <w:r w:rsidR="009F5D31" w:rsidRPr="00DC55B0">
        <w:rPr>
          <w:rFonts w:ascii="Calibri" w:hAnsi="Calibri" w:cs="Calibri"/>
        </w:rPr>
        <w:t xml:space="preserve"> months old</w:t>
      </w:r>
      <w:r w:rsidR="00B05F43" w:rsidRPr="00DC55B0">
        <w:rPr>
          <w:rFonts w:ascii="Calibri" w:hAnsi="Calibri" w:cs="Calibri"/>
        </w:rPr>
        <w:t xml:space="preserve"> </w:t>
      </w:r>
      <w:r w:rsidR="00081A01" w:rsidRPr="00DC55B0">
        <w:rPr>
          <w:rFonts w:ascii="Calibri" w:hAnsi="Calibri" w:cs="Calibri"/>
        </w:rPr>
        <w:t xml:space="preserve">(95% CI: 28-73%) </w:t>
      </w:r>
      <w:r w:rsidR="00D61285" w:rsidRPr="00DC55B0">
        <w:rPr>
          <w:rFonts w:ascii="Calibri" w:hAnsi="Calibri" w:cs="Calibri"/>
        </w:rPr>
        <w:t xml:space="preserve">and </w:t>
      </w:r>
      <w:r w:rsidR="00BA5AE5" w:rsidRPr="00DC55B0">
        <w:rPr>
          <w:rFonts w:ascii="Calibri" w:hAnsi="Calibri" w:cs="Calibri"/>
        </w:rPr>
        <w:t xml:space="preserve">35% effective </w:t>
      </w:r>
      <w:r w:rsidR="00E8586E" w:rsidRPr="00DC55B0">
        <w:rPr>
          <w:rFonts w:ascii="Calibri" w:hAnsi="Calibri" w:cs="Calibri"/>
        </w:rPr>
        <w:t xml:space="preserve">in </w:t>
      </w:r>
      <w:r w:rsidR="009F7CAC" w:rsidRPr="00DC55B0">
        <w:rPr>
          <w:rFonts w:ascii="Calibri" w:hAnsi="Calibri" w:cs="Calibri"/>
        </w:rPr>
        <w:t>those</w:t>
      </w:r>
      <w:r w:rsidR="00BA5AE5" w:rsidRPr="00DC55B0">
        <w:rPr>
          <w:rFonts w:ascii="Calibri" w:hAnsi="Calibri" w:cs="Calibri"/>
        </w:rPr>
        <w:t xml:space="preserve"> under six</w:t>
      </w:r>
      <w:r w:rsidR="009F7CAC" w:rsidRPr="00DC55B0">
        <w:rPr>
          <w:rFonts w:ascii="Calibri" w:hAnsi="Calibri" w:cs="Calibri"/>
        </w:rPr>
        <w:t xml:space="preserve"> </w:t>
      </w:r>
      <w:r w:rsidR="00BA5AE5" w:rsidRPr="00DC55B0">
        <w:rPr>
          <w:rFonts w:ascii="Calibri" w:hAnsi="Calibri" w:cs="Calibri"/>
        </w:rPr>
        <w:t>month</w:t>
      </w:r>
      <w:r w:rsidR="009F7CAC" w:rsidRPr="00DC55B0">
        <w:rPr>
          <w:rFonts w:ascii="Calibri" w:hAnsi="Calibri" w:cs="Calibri"/>
        </w:rPr>
        <w:t xml:space="preserve">s </w:t>
      </w:r>
      <w:r w:rsidR="00BA5AE5" w:rsidRPr="00DC55B0">
        <w:rPr>
          <w:rFonts w:ascii="Calibri" w:hAnsi="Calibri" w:cs="Calibri"/>
        </w:rPr>
        <w:t>old</w:t>
      </w:r>
      <w:r w:rsidR="00857E83" w:rsidRPr="00DC55B0">
        <w:rPr>
          <w:rFonts w:ascii="Calibri" w:hAnsi="Calibri" w:cs="Calibri"/>
        </w:rPr>
        <w:t xml:space="preserve"> (95% CI: 19-47%)</w:t>
      </w:r>
      <w:r w:rsidR="005C3802" w:rsidRPr="00DC55B0">
        <w:rPr>
          <w:rFonts w:ascii="Calibri" w:hAnsi="Calibri" w:cs="Calibri"/>
        </w:rPr>
        <w:t>.</w:t>
      </w:r>
      <w:r w:rsidR="005C3802" w:rsidRPr="00DC55B0">
        <w:rPr>
          <w:rFonts w:ascii="Calibri" w:hAnsi="Calibri" w:cs="Calibri"/>
        </w:rPr>
        <w:fldChar w:fldCharType="begin"/>
      </w:r>
      <w:r w:rsidR="00081A01" w:rsidRPr="00DC55B0">
        <w:rPr>
          <w:rFonts w:ascii="Calibri" w:hAnsi="Calibri" w:cs="Calibri"/>
        </w:rPr>
        <w:instrText xml:space="preserve"> ADDIN ZOTERO_ITEM CSL_CITATION {"citationID":"gDtKjoKs","properties":{"formattedCitation":"\\super 7\\nosupersub{}","plainCitation":"7","noteIndex":0},"citationItems":[{"id":178,"uris":["http://zotero.org/users/14445769/items/SEZ24XXG"],"itemData":{"id":178,"type":"article-journal","abstract":"BACKGROUND: Maternal influenza immunisation can reduce morbidity and mortality associated with influenza infection in pregnant women and young infants. We aimed to determine the vaccine efficacy of maternal influenza immunisation against maternal and infant PCR-confirmed influenza, duration of protection, and the effect of gestational age at vaccination on vaccine efficacy, birth outcomes, and infant growth up to 6 months of age.\nMETHODS: We did a pooled analysis of three randomised controlled trials done in Nepal (2011-2014), Mali (2011-2014), and South Africa (2011-2013). Pregnant women, gestational age 17-34 weeks in Nepal, 28 weeks or more in Mali, and 20-36 weeks in South Africa, were enrolled. Women were randomly assigned 1:1 to a study group, in which they received trivalent inactivated influenza vaccine (IIV) in all three trials, or a control group, in which they received saline placebo in Nepal and South Africa or quadrivalent meningococcal conjugate vaccine in Mali. Enrolment at all sites was complete by April 24, 2013. Infants and women were assessed for respiratory illness, and samples from those that met the case definition were tested for influenza by PCR testing. Growth measurements, including length and weight, were obtained at birth at all sites, at 24 weeks in South Africa, and at 6 months in Nepal and Mali. The three trials are registered with ClinicalTrials.gov, numbers NCT01430689, NCT01034254, and NCT02465190.\nFINDINGS: 10 002 women and 9800 liveborn infants were included. Pooled efficacy of maternal vaccination to prevent infant PCR-confirmed influenza up to 6 months of age was 35% (95% CI 19 to 47). The pooled estimate was 56% (28 to 73) within the first 2 months of life, 39% (11 to 58) between 2 and 4 months, and 19% (-9 to 40) between 4 and 6 months. In women, from enrolment during pregnancy to the end of follow-up at 6 months postpartum, the vaccine was 50% (95% CI 32-63) efficacious against PCR-confirmed influenza. Efficacy was 42% (12 to 61) during pregnancy and 60% (36 to 75) postpartum. In women vaccinated before 29 weeks gestational age, the estimated efficacy was 30% (-2 to 52), and in women vaccinated at or after 29 weeks, efficacy was 71% (50 to 83). Efficacy was similar in infants born to mothers vaccinated before or after 29 weeks gestation (34% [95% CI 12 to 51] vs 35% [11 to 52]). There was no overall association between maternal vaccination and low birthweight, stillbirth, preterm birth, and small for gestational age. At 6 months of age, the intervention and control groups were similar in terms of underweight (weight-for-age), stunted (length-for-age), and wasted (weight-for-length). Median centile change from birth to 6 months of age was similar between the intervention and the control groups for both weight and length.\nINTERPRETATION: The assessment of efficacy for women vaccinated before 29 weeks gestational age might have been underpowered, because the point estimate suggests that there might be efficacy despite wide CIs. Estimates of efficacy against PCR-confirmed influenza and safety in terms of adverse birth outcomes should be incorporated into any further consideration of maternal influenza immunisation recommendations.\nFUNDING: Bill &amp; Melinda Gates Foundation.","container-title":"The Lancet. Respiratory Medicine","DOI":"10.1016/S2213-2600(19)30479-5","ISSN":"2213-2619","issue":"6","journalAbbreviation":"Lancet Respir Med","language":"eng","note":"PMID: 32526188\nPMCID: PMC7284303","page":"597-608","source":"PubMed","title":"Efficacy, duration of protection, birth outcomes, and infant growth associated with influenza vaccination in pregnancy: a pooled analysis of three randomised controlled trials","title-short":"Efficacy, duration of protection, birth outcomes, and infant growth associated with influenza vaccination in pregnancy","volume":"8","author":[{"family":"Omer","given":"Saad B."},{"family":"Clark","given":"Dayna R."},{"family":"Madhi","given":"Shabir A."},{"family":"Tapia","given":"Milagritos D."},{"family":"Nunes","given":"Marta C."},{"family":"Cutland","given":"Clare L."},{"family":"Simões","given":"Eric A. F."},{"family":"Aqil","given":"Anushka R."},{"family":"Katz","given":"Joanne"},{"family":"Tielsch","given":"James M."},{"family":"Steinhoff","given":"Mark C."},{"family":"Wairagkar","given":"Niteen"},{"literal":"BMGF Supported Maternal Influenza Immunization Trials Investigators Group"}],"issued":{"date-parts":[["2020",6]]}}}],"schema":"https://github.com/citation-style-language/schema/raw/master/csl-citation.json"} </w:instrText>
      </w:r>
      <w:r w:rsidR="005C3802" w:rsidRPr="00DC55B0">
        <w:rPr>
          <w:rFonts w:ascii="Calibri" w:hAnsi="Calibri" w:cs="Calibri"/>
        </w:rPr>
        <w:fldChar w:fldCharType="separate"/>
      </w:r>
      <w:r w:rsidR="00081A01" w:rsidRPr="00DC55B0">
        <w:rPr>
          <w:rFonts w:ascii="Calibri" w:hAnsi="Calibri" w:cs="Calibri"/>
          <w:kern w:val="0"/>
          <w:vertAlign w:val="superscript"/>
        </w:rPr>
        <w:t>7</w:t>
      </w:r>
      <w:r w:rsidR="005C3802" w:rsidRPr="00DC55B0">
        <w:rPr>
          <w:rFonts w:ascii="Calibri" w:hAnsi="Calibri" w:cs="Calibri"/>
        </w:rPr>
        <w:fldChar w:fldCharType="end"/>
      </w:r>
      <w:r w:rsidR="003C0293" w:rsidRPr="00DC55B0">
        <w:rPr>
          <w:rFonts w:ascii="Calibri" w:hAnsi="Calibri" w:cs="Calibri"/>
        </w:rPr>
        <w:t xml:space="preserve"> </w:t>
      </w:r>
      <w:r w:rsidR="008A5C65" w:rsidRPr="00DC55B0">
        <w:rPr>
          <w:rFonts w:ascii="Calibri" w:hAnsi="Calibri" w:cs="Calibri"/>
        </w:rPr>
        <w:t>In high-</w:t>
      </w:r>
      <w:r w:rsidR="00DE65A4" w:rsidRPr="00DC55B0">
        <w:rPr>
          <w:rFonts w:ascii="Calibri" w:hAnsi="Calibri" w:cs="Calibri"/>
        </w:rPr>
        <w:t>income countries</w:t>
      </w:r>
      <w:r w:rsidR="008A5C65" w:rsidRPr="00DC55B0">
        <w:rPr>
          <w:rFonts w:ascii="Calibri" w:hAnsi="Calibri" w:cs="Calibri"/>
        </w:rPr>
        <w:t xml:space="preserve">, observational studies </w:t>
      </w:r>
      <w:r w:rsidR="00943D89" w:rsidRPr="00DC55B0">
        <w:rPr>
          <w:rFonts w:ascii="Calibri" w:hAnsi="Calibri" w:cs="Calibri"/>
        </w:rPr>
        <w:t xml:space="preserve">find seasonal influenza vaccination </w:t>
      </w:r>
      <w:r w:rsidR="008A5C65" w:rsidRPr="00DC55B0">
        <w:rPr>
          <w:rFonts w:ascii="Calibri" w:hAnsi="Calibri" w:cs="Calibri"/>
        </w:rPr>
        <w:t xml:space="preserve">in pregnancy </w:t>
      </w:r>
      <w:r w:rsidR="00943D89" w:rsidRPr="00DC55B0">
        <w:rPr>
          <w:rFonts w:ascii="Calibri" w:hAnsi="Calibri" w:cs="Calibri"/>
        </w:rPr>
        <w:t>between</w:t>
      </w:r>
      <w:r w:rsidR="008A5C65" w:rsidRPr="00DC55B0">
        <w:rPr>
          <w:rFonts w:ascii="Calibri" w:hAnsi="Calibri" w:cs="Calibri"/>
        </w:rPr>
        <w:t xml:space="preserve"> </w:t>
      </w:r>
      <w:r w:rsidR="00943D89" w:rsidRPr="00DC55B0">
        <w:rPr>
          <w:rFonts w:ascii="Calibri" w:hAnsi="Calibri" w:cs="Calibri"/>
        </w:rPr>
        <w:t xml:space="preserve">41 and </w:t>
      </w:r>
      <w:r w:rsidR="00A16A81" w:rsidRPr="00DC55B0">
        <w:rPr>
          <w:rFonts w:ascii="Calibri" w:hAnsi="Calibri" w:cs="Calibri"/>
        </w:rPr>
        <w:t>71</w:t>
      </w:r>
      <w:r w:rsidR="008A5C65" w:rsidRPr="00DC55B0">
        <w:rPr>
          <w:rFonts w:ascii="Calibri" w:hAnsi="Calibri" w:cs="Calibri"/>
        </w:rPr>
        <w:t xml:space="preserve">% effective at preventing </w:t>
      </w:r>
      <w:r w:rsidR="00A16A81" w:rsidRPr="00DC55B0">
        <w:rPr>
          <w:rFonts w:ascii="Calibri" w:hAnsi="Calibri" w:cs="Calibri"/>
        </w:rPr>
        <w:t>laboratory-confirmed influenza</w:t>
      </w:r>
      <w:r w:rsidR="008A5C65" w:rsidRPr="00DC55B0">
        <w:rPr>
          <w:rFonts w:ascii="Calibri" w:hAnsi="Calibri" w:cs="Calibri"/>
        </w:rPr>
        <w:t xml:space="preserve"> </w:t>
      </w:r>
      <w:r w:rsidR="00E8586E" w:rsidRPr="00DC55B0">
        <w:rPr>
          <w:rFonts w:ascii="Calibri" w:hAnsi="Calibri" w:cs="Calibri"/>
        </w:rPr>
        <w:t xml:space="preserve">virus infection </w:t>
      </w:r>
      <w:r w:rsidR="00A228F4" w:rsidRPr="00DC55B0">
        <w:rPr>
          <w:rFonts w:ascii="Calibri" w:hAnsi="Calibri" w:cs="Calibri"/>
        </w:rPr>
        <w:t>in infants</w:t>
      </w:r>
      <w:r w:rsidR="000243C6" w:rsidRPr="00DC55B0">
        <w:rPr>
          <w:rFonts w:ascii="Calibri" w:hAnsi="Calibri" w:cs="Calibri"/>
        </w:rPr>
        <w:fldChar w:fldCharType="begin"/>
      </w:r>
      <w:r w:rsidR="008324C0" w:rsidRPr="00DC55B0">
        <w:rPr>
          <w:rFonts w:ascii="Calibri" w:hAnsi="Calibri" w:cs="Calibri"/>
        </w:rPr>
        <w:instrText xml:space="preserve"> ADDIN ZOTERO_ITEM CSL_CITATION {"citationID":"sVtUyqZX","properties":{"formattedCitation":"\\super 73,74\\nosupersub{}","plainCitation":"73,74","noteIndex":0},"citationItems":[{"id":177,"uris":["http://zotero.org/users/14445769/items/3B82BEKI"],"itemData":{"id":177,"type":"article-journal","abstract":"OBJECTIVE: To assess the effect of seasonal influenza vaccination during pregnancy on laboratory-confirmed influenza in infants to 6 months of age.\nDESIGN: Nonrandomized, prospective, observational cohort study.\nSETTING: Navajo and White Mountain Apache Indian reservations, including 6 hospitals on the Navajo reservation and 1 on the White Mountain Apache reservation.\nPARTICIPANTS: A total of 1169 mother-infant pairs with mothers who delivered an infant during 1 of 3 influenza seasons.\nMAIN EXPOSURE: Maternal seasonal influenza vaccination.\nMAIN OUTCOME MEASURES: In infants, laboratory-confirmed influenza, influenza-like illness (ILI), ILI hospitalization, and influenza hemagglutinin inhibition antibody titers.\nRESULTS: A total of 1160 mother-infant pairs had serum collected and were included in the analysis. Among infants, 193 (17%) had an ILI hospitalization, 412 (36%) had only an ILI outpatient visit, and 555 (48%) had no ILI episodes. The ILI incidence rate was 7.2 and 6.7 per 1000 person-days for infants born to unvaccinated and vaccinated women, respectively. There was a 41% reduction in the risk of laboratory-confirmed influenza virus infection (relative risk, 0.59; 95% confidence interval, 0.37-0.93) and a 39% reduction in the risk of ILI hospitalization (relative risk, 0.61; 95% confidence interval, 0.45-0.84) for infants born to influenza-vaccinated women compared with infants born to unvaccinated mothers. Infants born to influenza-vaccinated women had significantly higher hemagglutinin inhibition antibody titers at birth and at 2 to 3 months of age than infants of unvaccinated mothers for all 8 influenza virus strains investigated.\nCONCLUSIONS: Maternal influenza vaccination was significantly associated with reduced risk of influenza virus infection and hospitalization for an ILI up to 6 months of age and increased influenza antibody titers in infants through 2 to 3 months of age.","container-title":"Archives of Pediatrics &amp; Adolescent Medicine","DOI":"10.1001/archpediatrics.2010.192","ISSN":"1538-3628","issue":"2","journalAbbreviation":"Arch Pediatr Adolesc Med","language":"eng","note":"PMID: 20921345","page":"104-111","source":"PubMed","title":"Maternal influenza vaccination and effect on influenza virus infection in young infants","volume":"165","author":[{"family":"Eick","given":"Angelia A."},{"family":"Uyeki","given":"Timothy M."},{"family":"Klimov","given":"Alexander"},{"family":"Hall","given":"Henrietta"},{"family":"Reid","given":"Raymond"},{"family":"Santosham","given":"Mathuram"},{"family":"O'Brien","given":"Katherine L."}],"issued":{"date-parts":[["2011",2]]}}},{"id":175,"uris":["http://zotero.org/users/14445769/items/AE99IJKJ"],"itemData":{"id":175,"type":"article-journal","abstract":"In this study we used the screening method to estimate the effectiveness of seasonal influenza vaccination during pregnancy in preventing influenza virus infection and influenza-related hospitalisation in infants under?six months, in England in the 2013/14 season. Seasonal influenza vaccination in pregnancy was 71% (95% CI: 24-89%) effective in preventing infant influenza virus infection and 64% (95% CI: 6-86%) effective in preventing infant influenza hospitalisation, and should be recommended in pregnancy. .","container-title":"Eurosurveillance","DOI":"10.2807/1560-7917.ES2014.19.45.20959","ISSN":"1560-7917","issue":"45","language":"en","page":"20959","source":"www.eurosurveillance.org","title":"Effectiveness of seasonal influenza vaccination during pregnancy in preventing influenza infection in infants, England, 2013/14","volume":"19","author":[{"family":"Dabrera","given":"G."},{"family":"Zhao","given":"H."},{"family":"Andrews","given":"N."},{"family":"Begum","given":"F."},{"family":"Green","given":"H. K."},{"family":"Ellis","given":"J."},{"family":"Elias","given":"K."},{"family":"Donati","given":"M."},{"family":"Zambon","given":"M."},{"family":"Pebody","given":"R."}],"issued":{"date-parts":[["2014",11,13]]}}}],"schema":"https://github.com/citation-style-language/schema/raw/master/csl-citation.json"} </w:instrText>
      </w:r>
      <w:r w:rsidR="000243C6" w:rsidRPr="00DC55B0">
        <w:rPr>
          <w:rFonts w:ascii="Calibri" w:hAnsi="Calibri" w:cs="Calibri"/>
        </w:rPr>
        <w:fldChar w:fldCharType="separate"/>
      </w:r>
      <w:r w:rsidR="008324C0" w:rsidRPr="00DC55B0">
        <w:rPr>
          <w:rFonts w:ascii="Calibri" w:hAnsi="Calibri" w:cs="Calibri"/>
          <w:kern w:val="0"/>
          <w:vertAlign w:val="superscript"/>
        </w:rPr>
        <w:t>73,74</w:t>
      </w:r>
      <w:r w:rsidR="000243C6" w:rsidRPr="00DC55B0">
        <w:rPr>
          <w:rFonts w:ascii="Calibri" w:hAnsi="Calibri" w:cs="Calibri"/>
        </w:rPr>
        <w:fldChar w:fldCharType="end"/>
      </w:r>
      <w:r w:rsidR="00BF4913" w:rsidRPr="00DC55B0">
        <w:rPr>
          <w:rFonts w:ascii="Calibri" w:hAnsi="Calibri" w:cs="Calibri"/>
        </w:rPr>
        <w:t xml:space="preserve"> </w:t>
      </w:r>
      <w:r w:rsidR="008A5C65" w:rsidRPr="00DC55B0">
        <w:rPr>
          <w:rFonts w:ascii="Calibri" w:hAnsi="Calibri" w:cs="Calibri"/>
        </w:rPr>
        <w:t>and 3</w:t>
      </w:r>
      <w:r w:rsidR="00A16A81" w:rsidRPr="00DC55B0">
        <w:rPr>
          <w:rFonts w:ascii="Calibri" w:hAnsi="Calibri" w:cs="Calibri"/>
        </w:rPr>
        <w:t>9</w:t>
      </w:r>
      <w:r w:rsidR="008A5C65" w:rsidRPr="00DC55B0">
        <w:rPr>
          <w:rFonts w:ascii="Calibri" w:hAnsi="Calibri" w:cs="Calibri"/>
        </w:rPr>
        <w:t xml:space="preserve"> – 9</w:t>
      </w:r>
      <w:r w:rsidR="00A16A81" w:rsidRPr="00DC55B0">
        <w:rPr>
          <w:rFonts w:ascii="Calibri" w:hAnsi="Calibri" w:cs="Calibri"/>
        </w:rPr>
        <w:t>2</w:t>
      </w:r>
      <w:r w:rsidR="008A5C65" w:rsidRPr="00DC55B0">
        <w:rPr>
          <w:rFonts w:ascii="Calibri" w:hAnsi="Calibri" w:cs="Calibri"/>
        </w:rPr>
        <w:t>% effective against hospitalisation</w:t>
      </w:r>
      <w:r w:rsidR="000243C6" w:rsidRPr="00DC55B0">
        <w:rPr>
          <w:rFonts w:ascii="Calibri" w:hAnsi="Calibri" w:cs="Calibri"/>
        </w:rPr>
        <w:t>.</w:t>
      </w:r>
      <w:r w:rsidR="000243C6" w:rsidRPr="00DC55B0">
        <w:rPr>
          <w:rFonts w:ascii="Calibri" w:hAnsi="Calibri" w:cs="Calibri"/>
        </w:rPr>
        <w:fldChar w:fldCharType="begin"/>
      </w:r>
      <w:r w:rsidR="008324C0" w:rsidRPr="00DC55B0">
        <w:rPr>
          <w:rFonts w:ascii="Calibri" w:hAnsi="Calibri" w:cs="Calibri"/>
        </w:rPr>
        <w:instrText xml:space="preserve"> ADDIN ZOTERO_ITEM CSL_CITATION {"citationID":"GlT1LdoD","properties":{"formattedCitation":"\\super 73\\uc0\\u8211{}76\\nosupersub{}","plainCitation":"73–76","noteIndex":0},"citationItems":[{"id":177,"uris":["http://zotero.org/users/14445769/items/3B82BEKI"],"itemData":{"id":177,"type":"article-journal","abstract":"OBJECTIVE: To assess the effect of seasonal influenza vaccination during pregnancy on laboratory-confirmed influenza in infants to 6 months of age.\nDESIGN: Nonrandomized, prospective, observational cohort study.\nSETTING: Navajo and White Mountain Apache Indian reservations, including 6 hospitals on the Navajo reservation and 1 on the White Mountain Apache reservation.\nPARTICIPANTS: A total of 1169 mother-infant pairs with mothers who delivered an infant during 1 of 3 influenza seasons.\nMAIN EXPOSURE: Maternal seasonal influenza vaccination.\nMAIN OUTCOME MEASURES: In infants, laboratory-confirmed influenza, influenza-like illness (ILI), ILI hospitalization, and influenza hemagglutinin inhibition antibody titers.\nRESULTS: A total of 1160 mother-infant pairs had serum collected and were included in the analysis. Among infants, 193 (17%) had an ILI hospitalization, 412 (36%) had only an ILI outpatient visit, and 555 (48%) had no ILI episodes. The ILI incidence rate was 7.2 and 6.7 per 1000 person-days for infants born to unvaccinated and vaccinated women, respectively. There was a 41% reduction in the risk of laboratory-confirmed influenza virus infection (relative risk, 0.59; 95% confidence interval, 0.37-0.93) and a 39% reduction in the risk of ILI hospitalization (relative risk, 0.61; 95% confidence interval, 0.45-0.84) for infants born to influenza-vaccinated women compared with infants born to unvaccinated mothers. Infants born to influenza-vaccinated women had significantly higher hemagglutinin inhibition antibody titers at birth and at 2 to 3 months of age than infants of unvaccinated mothers for all 8 influenza virus strains investigated.\nCONCLUSIONS: Maternal influenza vaccination was significantly associated with reduced risk of influenza virus infection and hospitalization for an ILI up to 6 months of age and increased influenza antibody titers in infants through 2 to 3 months of age.","container-title":"Archives of Pediatrics &amp; Adolescent Medicine","DOI":"10.1001/archpediatrics.2010.192","ISSN":"1538-3628","issue":"2","journalAbbreviation":"Arch Pediatr Adolesc Med","language":"eng","note":"PMID: 20921345","page":"104-111","source":"PubMed","title":"Maternal influenza vaccination and effect on influenza virus infection in young infants","volume":"165","author":[{"family":"Eick","given":"Angelia A."},{"family":"Uyeki","given":"Timothy M."},{"family":"Klimov","given":"Alexander"},{"family":"Hall","given":"Henrietta"},{"family":"Reid","given":"Raymond"},{"family":"Santosham","given":"Mathuram"},{"family":"O'Brien","given":"Katherine L."}],"issued":{"date-parts":[["2011",2]]}}},{"id":175,"uris":["http://zotero.org/users/14445769/items/AE99IJKJ"],"itemData":{"id":175,"type":"article-journal","abstract":"In this study we used the screening method to estimate the effectiveness of seasonal influenza vaccination during pregnancy in preventing influenza virus infection and influenza-related hospitalisation in infants under?six months, in England in the 2013/14 season. Seasonal influenza vaccination in pregnancy was 71% (95% CI: 24-89%) effective in preventing infant influenza virus infection and 64% (95% CI: 6-86%) effective in preventing infant influenza hospitalisation, and should be recommended in pregnancy. .","container-title":"Eurosurveillance","DOI":"10.2807/1560-7917.ES2014.19.45.20959","ISSN":"1560-7917","issue":"45","language":"en","page":"20959","source":"www.eurosurveillance.org","title":"Effectiveness of seasonal influenza vaccination during pregnancy in preventing influenza infection in infants, England, 2013/14","volume":"19","author":[{"family":"Dabrera","given":"G."},{"family":"Zhao","given":"H."},{"family":"Andrews","given":"N."},{"family":"Begum","given":"F."},{"family":"Green","given":"H. K."},{"family":"Ellis","given":"J."},{"family":"Elias","given":"K."},{"family":"Donati","given":"M."},{"family":"Zambon","given":"M."},{"family":"Pebody","given":"R."}],"issued":{"date-parts":[["2014",11,13]]}}},{"id":182,"uris":["http://zotero.org/users/14445769/items/FNWXI7XC"],"itemData":{"id":182,"type":"article-journal","container-title":"Clinical Infectious Diseases","DOI":"10.1086/657309","ISSN":"1058-4838, 1537-6591","issue":"12","journalAbbreviation":"CLIN INFECT DIS","language":"en","page":"1355-1361","source":"DOI.org (Crossref)","title":"Influenza Vaccine Given to Pregnant Women Reduces Hospitalization Due to Influenza in Their Infants","volume":"51","author":[{"family":"Benowitz","given":"Isaac"},{"family":"Esposito","given":"Daina B."},{"family":"Gracey","given":"Kristina D."},{"family":"Shapiro","given":"Eugene D."},{"family":"Vázquez","given":"Marietta"}],"issued":{"date-parts":[["2010",12,15]]}}},{"id":176,"uris":["http://zotero.org/users/14445769/items/PUJNMJXP"],"itemData":{"id":176,"type":"article-journal","abstract":"We sought to determine whether maternal vaccination during pregnancy was associated with a reduced risk of laboratory-confirmed influenza hospitalizations in infants &lt;6 months old. Active population-based, laboratory-confirmed influenza surveillance was conducted in children hospitalized with fever and/or respiratory symptoms in 3 US counties from November through April during the 2002 through 2009 influenza seasons. The exposure, influenza vaccination during pregnancy, and the outcome, positive/negative influenza testing among their hospitalized infants, were compared using logistic regression analyses. Among 1510 hospitalized infants &lt;6 months old, 151 (10%) had laboratory-confirmed influenza and 294 (19%) mothers reported receiving influenza vaccine during pregnancy. Eighteen (12%) mothers of influenza-positive infants and 276 (20%) mothers of influenza-negative infants were vaccinated (unadjusted odds ratio, 0.53; 95% confidence interval, 0.32-0.88 and adjusted odds ratio, 0.52; 95% confidence interval, 0.30-0.91). Infants of vaccinated mothers were 45-48% less likely to have influenza hospitalizations than infants of unvaccinated mothers. Our results support the current influenza vaccination recommendation for pregnant women.","container-title":"American Journal of Obstetrics and Gynecology","DOI":"10.1016/j.ajog.2011.02.042","ISSN":"1097-6868","issue":"6 Suppl 1","journalAbbreviation":"Am J Obstet Gynecol","language":"eng","note":"PMID: 21492825\nPMCID: PMC3111909","page":"S141-148","source":"PubMed","title":"Impact of maternal immunization on influenza hospitalizations in infants","volume":"204","author":[{"family":"Poehling","given":"Katherine A."},{"family":"Szilagyi","given":"Peter G."},{"family":"Staat","given":"Mary A."},{"family":"Snively","given":"Beverly M."},{"family":"Payne","given":"Daniel C."},{"family":"Bridges","given":"Carolyn B."},{"family":"Chu","given":"Susan Y."},{"family":"Light","given":"Laney S."},{"family":"Prill","given":"Mila M."},{"family":"Finelli","given":"Lyn"},{"family":"Griffin","given":"Marie R."},{"family":"Edwards","given":"Kathryn M."},{"literal":"New Vaccine Surveillance Network"}],"issued":{"date-parts":[["2011",6]]}}}],"schema":"https://github.com/citation-style-language/schema/raw/master/csl-citation.json"} </w:instrText>
      </w:r>
      <w:r w:rsidR="000243C6" w:rsidRPr="00DC55B0">
        <w:rPr>
          <w:rFonts w:ascii="Calibri" w:hAnsi="Calibri" w:cs="Calibri"/>
        </w:rPr>
        <w:fldChar w:fldCharType="separate"/>
      </w:r>
      <w:r w:rsidR="008324C0" w:rsidRPr="00DC55B0">
        <w:rPr>
          <w:rFonts w:ascii="Calibri" w:hAnsi="Calibri" w:cs="Calibri"/>
          <w:kern w:val="0"/>
          <w:vertAlign w:val="superscript"/>
        </w:rPr>
        <w:t>73–76</w:t>
      </w:r>
      <w:r w:rsidR="000243C6" w:rsidRPr="00DC55B0">
        <w:rPr>
          <w:rFonts w:ascii="Calibri" w:hAnsi="Calibri" w:cs="Calibri"/>
        </w:rPr>
        <w:fldChar w:fldCharType="end"/>
      </w:r>
      <w:r w:rsidR="00A228F4" w:rsidRPr="00DC55B0">
        <w:rPr>
          <w:rFonts w:ascii="Calibri" w:hAnsi="Calibri" w:cs="Calibri"/>
        </w:rPr>
        <w:t xml:space="preserve"> </w:t>
      </w:r>
      <w:r w:rsidR="002E6B99" w:rsidRPr="00DC55B0">
        <w:rPr>
          <w:rFonts w:ascii="Calibri" w:hAnsi="Calibri" w:cs="Calibri"/>
        </w:rPr>
        <w:t>COVID</w:t>
      </w:r>
      <w:r w:rsidR="00513C21" w:rsidRPr="00DC55B0">
        <w:rPr>
          <w:rFonts w:ascii="Calibri" w:hAnsi="Calibri" w:cs="Calibri"/>
        </w:rPr>
        <w:t>-19</w:t>
      </w:r>
      <w:r w:rsidR="002E6B99" w:rsidRPr="00DC55B0">
        <w:rPr>
          <w:rFonts w:ascii="Calibri" w:hAnsi="Calibri" w:cs="Calibri"/>
        </w:rPr>
        <w:t xml:space="preserve"> vaccination in pregnancy</w:t>
      </w:r>
      <w:r w:rsidR="00B83FB0" w:rsidRPr="00DC55B0">
        <w:rPr>
          <w:rFonts w:ascii="Calibri" w:hAnsi="Calibri" w:cs="Calibri"/>
        </w:rPr>
        <w:t xml:space="preserve"> ranges from</w:t>
      </w:r>
      <w:r w:rsidR="000A79F4" w:rsidRPr="00DC55B0">
        <w:rPr>
          <w:rFonts w:ascii="Calibri" w:hAnsi="Calibri" w:cs="Calibri"/>
        </w:rPr>
        <w:t xml:space="preserve"> being</w:t>
      </w:r>
      <w:r w:rsidR="00AC1E4A" w:rsidRPr="00DC55B0">
        <w:rPr>
          <w:rFonts w:ascii="Calibri" w:hAnsi="Calibri" w:cs="Calibri"/>
        </w:rPr>
        <w:t xml:space="preserve"> </w:t>
      </w:r>
      <w:r w:rsidR="00DE0C74" w:rsidRPr="00DC55B0">
        <w:rPr>
          <w:rFonts w:ascii="Calibri" w:hAnsi="Calibri" w:cs="Calibri"/>
        </w:rPr>
        <w:t>21</w:t>
      </w:r>
      <w:r w:rsidR="00893BB2" w:rsidRPr="00DC55B0">
        <w:rPr>
          <w:rFonts w:ascii="Calibri" w:hAnsi="Calibri" w:cs="Calibri"/>
        </w:rPr>
        <w:t xml:space="preserve"> – </w:t>
      </w:r>
      <w:r w:rsidR="00DE0C74" w:rsidRPr="00DC55B0">
        <w:rPr>
          <w:rFonts w:ascii="Calibri" w:hAnsi="Calibri" w:cs="Calibri"/>
        </w:rPr>
        <w:t>84</w:t>
      </w:r>
      <w:r w:rsidR="00893BB2" w:rsidRPr="00DC55B0">
        <w:rPr>
          <w:rFonts w:ascii="Calibri" w:hAnsi="Calibri" w:cs="Calibri"/>
        </w:rPr>
        <w:t xml:space="preserve">% effective at preventing </w:t>
      </w:r>
      <w:r w:rsidR="000A79F4" w:rsidRPr="00DC55B0">
        <w:rPr>
          <w:rFonts w:ascii="Calibri" w:hAnsi="Calibri" w:cs="Calibri"/>
        </w:rPr>
        <w:t xml:space="preserve">SARS-CoV-2 </w:t>
      </w:r>
      <w:r w:rsidR="00DE0C74" w:rsidRPr="00DC55B0">
        <w:rPr>
          <w:rFonts w:ascii="Calibri" w:hAnsi="Calibri" w:cs="Calibri"/>
        </w:rPr>
        <w:t>infection</w:t>
      </w:r>
      <w:r w:rsidR="000A79F4" w:rsidRPr="00DC55B0">
        <w:rPr>
          <w:rFonts w:ascii="Calibri" w:hAnsi="Calibri" w:cs="Calibri"/>
        </w:rPr>
        <w:t xml:space="preserve"> in infants</w:t>
      </w:r>
      <w:r w:rsidR="00BA2135" w:rsidRPr="00DC55B0">
        <w:rPr>
          <w:rFonts w:ascii="Calibri" w:hAnsi="Calibri" w:cs="Calibri"/>
        </w:rPr>
        <w:fldChar w:fldCharType="begin"/>
      </w:r>
      <w:r w:rsidR="008324C0" w:rsidRPr="00DC55B0">
        <w:rPr>
          <w:rFonts w:ascii="Calibri" w:hAnsi="Calibri" w:cs="Calibri"/>
        </w:rPr>
        <w:instrText xml:space="preserve"> ADDIN ZOTERO_ITEM CSL_CITATION {"citationID":"6Fc8Bifj","properties":{"formattedCitation":"\\super 43,44,77\\nosupersub{}","plainCitation":"43,44,77","noteIndex":0},"citationItems":[{"id":53,"uris":["http://zotero.org/users/14445769/items/II2TQIKN"],"itemData":{"id":53,"type":"article-journal","abstract":"Objective To estimate the effectiveness of maternal mRNA covid-19 vaccination during pregnancy against delta and omicron severe acute respiratory syndrome coronavirus-2 (SARS-CoV-2) infection and hospital admission in infants.\nDesign Test negative design study.\nSetting Community and hospital testing in Ontario, Canada.\nParticipants Infants younger than six months of age, born between 7 May 2021 and 31 March 2022, who were tested for SARS-CoV-2 between 7 May 2021 and 5 September 2022.\nIntervention Maternal mRNA covid-19 vaccination during pregnancy.\nMain outcome measures Laboratory confirmed delta or omicron infection or hospital admission of the infant. Multivariable logistic regression estimated vaccine effectiveness, with adjustments for clinical and sociodemographic characteristics associated with vaccination and infection.\nResults 8809 infants met eligibility criteria, including 99 delta cases (4365 controls) and 1501 omicron cases (4847 controls). Infant vaccine effectiveness from two maternal doses was 95% (95% confidence interval 88% to 98%) against delta infection and 97% (73% to 100%) against infant hospital admission due to delta and 45% (37% to 53%) against omicron infection and 53% (39% to 64%) against hospital admission due to omicron. Vaccine effectiveness for three doses was 73% (61% to 80%) against omicron infection and 80% (64% to 89%) against hospital admission due to omicron. Vaccine effectiveness for two doses against infant omicron infection was highest with the second dose in the third trimester (53% (42% to 62%)) compared with the first (47% (31% to 59%)) or second (37% (24% to 47%)) trimesters. Vaccine effectiveness for two doses against infant omicron infection decreased from 57% (44% to 66%) between birth and eight weeks to 40% (21% to 54%) after 16 weeks of age.\nConclusions Maternal covid-19 vaccination with a second dose during pregnancy was highly effective against delta and moderately effective against omicron infection and hospital admission in infants during the first six months of life. A third vaccine dose bolstered protection against omicron. Effectiveness for two doses was highest with maternal vaccination in the third trimester, and effectiveness decreased in infants beyond eight weeks of age.","container-title":"BMJ","DOI":"10.1136/bmj-2022-074035","ISSN":"1756-1833","journalAbbreviation":"BMJ","language":"en","license":"© Author(s) (or their employer(s)) 2019. Re-use permitted under CC BY-NC. No commercial re-use. See rights and permissions. Published by BMJ.. http://creativecommons.org/licenses/by-nc/4.0/This is an Open Access article distributed in accordance with the Creative Commons Attribution Non Commercial (CC BY-NC 4.0) license, which permits others to distribute, remix, adapt, build upon this work non-commercially, and license their derivative works on different terms, provided the original work is properly cited and the use is non-commercial. See: http://creativecommons.org/licenses/by-nc/4.0/.","note":"PMID: 36754426","page":"e074035","source":"www.bmj.com","title":"Maternal mRNA covid-19 vaccination during pregnancy and delta or omicron infection or hospital admission in infants: test negative design study","title-short":"Maternal mRNA covid-19 vaccination during pregnancy and delta or omicron infection or hospital admission in infants","volume":"380","author":[{"family":"Jorgensen","given":"Sarah C. J."},{"family":"Hernandez","given":"Alejandro"},{"family":"Fell","given":"Deshayne B."},{"family":"Austin","given":"Peter C."},{"family":"D’Souza","given":"Rohan"},{"family":"Guttmann","given":"Astrid"},{"family":"Brown","given":"Kevin A."},{"family":"Buchan","given":"Sarah A."},{"family":"Gubbay","given":"Jonathan B."},{"family":"Nasreen","given":"Sharifa"},{"family":"Schwartz","given":"Kevin L."},{"family":"Tadrous","given":"Mina"},{"family":"Wilson","given":"Kumanan"},{"family":"Kwong","given":"Jeffrey C."}],"issued":{"date-parts":[["2023",2,8]]}}},{"id":52,"uris":["http://zotero.org/users/14445769/items/G77B2DUU"],"itemData":{"id":52,"type":"article-journal","abstract":"We examined the effectiveness of maternal vaccination against SARS-CoV-2 infection in 30,311 infants born at Kaiser Permanente Northern California from December 15, 2020, to May 31, 2022. Using Cox regression, the effectiveness of ≥2 doses of COVID-19 vaccine received during pregnancy was 84% (95% confidence interval [CI]: 66, 93), 62% (CI: 39, 77) and 56% (CI: 34,71) during months 0–2, 0–4 and 0- 6 of a child’s life, respectively, in the Delta variant period. In the Omicron variant period, the effectiveness of maternal vaccination in these three age intervals was 21% (CI: −21,48), 14% (CI: −9,32) and 13% (CI: −3,26), respectively. Over the entire study period, the incidence of hospitalization for COVID-19 was lower during the first 6 months of life among infants of vaccinated mothers compared with infants of unvaccinated mothers (21/100,000 person-years vs. 100/100,000 person-years). Maternal vaccination was protective, but protection was lower during Omicron than during Delta. Protection during both periods decreased as infants aged.","container-title":"Nature Communications","DOI":"10.1038/s41467-023-36547-4","ISSN":"2041-1723","issue":"1","journalAbbreviation":"Nat Commun","language":"en","license":"2023 The Author(s)","page":"894","source":"www.nature.com","title":"Maternal SARS-CoV-2 vaccination and infant protection against SARS-CoV-2 during the first six months of life","volume":"14","author":[{"family":"Zerbo","given":"Ousseny"},{"family":"Ray","given":"G. Thomas"},{"family":"Fireman","given":"Bruce"},{"family":"Layefsky","given":"Evan"},{"family":"Goddard","given":"Kristin"},{"family":"Lewis","given":"Edwin"},{"family":"Ross","given":"Pat"},{"family":"Omer","given":"Saad"},{"family":"Greenberg","given":"Mara"},{"family":"Klein","given":"Nicola P."}],"issued":{"date-parts":[["2023",2,28]]}}},{"id":56,"uris":["http://zotero.org/users/14445769/items/RGJEZJ9P"],"itemData":{"id":56,"type":"article-journal","abstract":"Pregnant women are recommended to receive COVID-19 vaccination to reduce risk of severe COVID-19. Whether vaccination during pregnancy also provides passive protection to infants after birth remains unclear.To determine whether COVID-19 vaccination in pregnancy was associated with reduced risk of COVID-19 in infants up to age 4 months during COVID-19 pandemic periods dominated by Delta and Omicron variants.This nationwide, register-based cohort study included all live-born infants born in Norway between September 1, 2021, and February 28, 2022.Maternal messenger RNA COVID-19 vaccination during second or third trimester compared with no vaccination before or during pregnancy.The risk of a positive polymerase chain reaction test result for SARS-CoV-2 during an infant’s first 4 months of life by maternal vaccination status during pregnancy with either dose 2 or 3 was estimated, as stratified by periods dominated by the Delta variant (between September 1 and December 31, 2021) or Omicron variant (after January 1, 2022, to the end of follow-up on April 4, 2022). A Cox proportional hazard regression was used, adjusting for maternal age, parity, education, maternal country of birth, and county of residence.Of 21 643 live-born infants, 9739 (45.0%) were born to women who received a second or third dose of a COVID-19 vaccine during pregnancy. The first 4 months of life incidence rate of a positive test for SARS-CoV-2 was 5.8 per 10 000 follow-up days. Infants of mothers vaccinated during pregnancy had a lower risk of a positive test compared with infants of unvaccinated mothers and lower risk during the Delta variant–dominated period (incidence rate, 1.2 vs 3.0 per 10 000 follow-up days; adjusted hazard ratio, 0.29; 95% CI, 0.19-0.46) compared with the Omicron period (incidence rate, 7.0 vs 10.9 per 10 000 follow-up days; adjusted hazard ratio, 0.67; 95% CI, 0.57-0.79).The results of this Norwegian population-based cohort study suggested a lower risk of a positive test for SARS-CoV-2 during the first 4 months of life among infants born to mothers who were vaccinated during pregnancy. Maternal COVID-19 vaccination may provide passive protection to young infants, for whom COVID-19 vaccines are currently not available.","container-title":"JAMA Internal Medicine","DOI":"10.1001/jamainternmed.2022.2442","ISSN":"2168-6106","issue":"8","journalAbbreviation":"JAMA Internal Medicine","page":"825-831","source":"Silverchair","title":"Association of COVID-19 Vaccination During Pregnancy With Incidence of SARS-CoV-2 Infection in Infants","volume":"182","author":[{"family":"Carlsen","given":"Ellen Øen"},{"family":"Magnus","given":"Maria C."},{"family":"Oakley","given":"Laura"},{"family":"Fell","given":"Deshayne B."},{"family":"Greve-Isdahl","given":"Margrethe"},{"family":"Kinge","given":"Jonas Minet"},{"family":"Håberg","given":"Siri E."}],"issued":{"date-parts":[["2022",8,1]]}}}],"schema":"https://github.com/citation-style-language/schema/raw/master/csl-citation.json"} </w:instrText>
      </w:r>
      <w:r w:rsidR="00BA2135" w:rsidRPr="00DC55B0">
        <w:rPr>
          <w:rFonts w:ascii="Calibri" w:hAnsi="Calibri" w:cs="Calibri"/>
        </w:rPr>
        <w:fldChar w:fldCharType="separate"/>
      </w:r>
      <w:r w:rsidR="008324C0" w:rsidRPr="00DC55B0">
        <w:rPr>
          <w:rFonts w:ascii="Calibri" w:hAnsi="Calibri" w:cs="Calibri"/>
          <w:kern w:val="0"/>
          <w:vertAlign w:val="superscript"/>
        </w:rPr>
        <w:t>43,44,77</w:t>
      </w:r>
      <w:r w:rsidR="00BA2135" w:rsidRPr="00DC55B0">
        <w:rPr>
          <w:rFonts w:ascii="Calibri" w:hAnsi="Calibri" w:cs="Calibri"/>
        </w:rPr>
        <w:fldChar w:fldCharType="end"/>
      </w:r>
      <w:r w:rsidR="00355754" w:rsidRPr="00DC55B0">
        <w:rPr>
          <w:rFonts w:ascii="Calibri" w:hAnsi="Calibri" w:cs="Calibri"/>
        </w:rPr>
        <w:t xml:space="preserve"> and</w:t>
      </w:r>
      <w:r w:rsidR="000A79F4" w:rsidRPr="00DC55B0">
        <w:rPr>
          <w:rFonts w:ascii="Calibri" w:hAnsi="Calibri" w:cs="Calibri"/>
        </w:rPr>
        <w:t xml:space="preserve"> from being</w:t>
      </w:r>
      <w:r w:rsidR="00355754" w:rsidRPr="00DC55B0">
        <w:rPr>
          <w:rFonts w:ascii="Calibri" w:hAnsi="Calibri" w:cs="Calibri"/>
        </w:rPr>
        <w:t xml:space="preserve"> 32 – 95% effective against </w:t>
      </w:r>
      <w:r w:rsidR="00893BB2" w:rsidRPr="00DC55B0">
        <w:rPr>
          <w:rFonts w:ascii="Calibri" w:hAnsi="Calibri" w:cs="Calibri"/>
        </w:rPr>
        <w:t>hospitalisation</w:t>
      </w:r>
      <w:r w:rsidR="00057C02" w:rsidRPr="00DC55B0">
        <w:rPr>
          <w:rFonts w:ascii="Calibri" w:hAnsi="Calibri" w:cs="Calibri"/>
        </w:rPr>
        <w:fldChar w:fldCharType="begin"/>
      </w:r>
      <w:r w:rsidR="008324C0" w:rsidRPr="00DC55B0">
        <w:rPr>
          <w:rFonts w:ascii="Calibri" w:hAnsi="Calibri" w:cs="Calibri"/>
        </w:rPr>
        <w:instrText xml:space="preserve"> ADDIN ZOTERO_ITEM CSL_CITATION {"citationID":"C8GvbunS","properties":{"unsorted":true,"formattedCitation":"\\super 42,43,47,78\\uc0\\u8211{}80\\nosupersub{}","plainCitation":"42,43,47,78–80","noteIndex":0},"citationItems":[{"id":55,"uris":["http://zotero.org/users/14445769/items/IBCHJXSG"],"itemData":{"id":55,"type":"article-journal","container-title":"New England Journal of Medicine","DOI":"10.1056/NEJMoa2204399","ISSN":"0028-4793, 1533-4406","issue":"2","journalAbbreviation":"N Engl J Med","language":"en","license":"http://www.nejmgroup.org/legal/terms-of-use.htm","page":"109-119","source":"DOI.org (Crossref)","title":"Maternal Vaccination and Risk of Hospitalization for Covid-19 among Infants","volume":"387","author":[{"family":"Halasa","given":"Natasha B."},{"family":"Olson","given":"Samantha M."},{"family":"Staat","given":"Mary A."},{"family":"Newhams","given":"Margaret M."},{"family":"Price","given":"Ashley M."},{"family":"Pannaraj","given":"Pia S."},{"family":"Boom","given":"Julie A."},{"family":"Sahni","given":"Leila C."},{"family":"Chiotos","given":"Kathleen"},{"family":"Cameron","given":"Melissa A."},{"family":"Bline","given":"Katherine E."},{"family":"Hobbs","given":"Charlotte V."},{"family":"Maddux","given":"Aline B."},{"family":"Coates","given":"Bria M."},{"family":"Michelson","given":"Kelly N."},{"family":"Heidemann","given":"Sabrina M."},{"family":"Irby","given":"Katherine"},{"family":"Nofziger","given":"Ryan A."},{"family":"Mack","given":"Elizabeth H."},{"family":"Smallcomb","given":"Laura"},{"family":"Schwartz","given":"Stephanie P."},{"family":"Walker","given":"Tracie C."},{"family":"Gertz","given":"Shira J."},{"family":"Schuster","given":"Jennifer E."},{"family":"Kamidani","given":"Satoshi"},{"family":"Tarquinio","given":"Keiko M."},{"family":"Bhumbra","given":"Samina S."},{"family":"Maamari","given":"Mia"},{"family":"Hume","given":"Janet R."},{"family":"Crandall","given":"Hillary"},{"family":"Levy","given":"Emily R."},{"family":"Zinter","given":"Matt S."},{"family":"Bradford","given":"Tamara T."},{"family":"Flori","given":"Heidi R."},{"family":"Cullimore","given":"Melissa L."},{"family":"Kong","given":"Michele"},{"family":"Cvijanovich","given":"Natalie Z."},{"family":"Gilboa","given":"Suzanne M."},{"family":"Polen","given":"Kara N."},{"family":"Campbell","given":"Angela P."},{"family":"Randolph","given":"Adrienne G."},{"family":"Patel","given":"Manish M."}],"issued":{"date-parts":[["2022",7,14]]}}},{"id":53,"uris":["http://zotero.org/users/14445769/items/II2TQIKN"],"itemData":{"id":53,"type":"article-journal","abstract":"Objective To estimate the effectiveness of maternal mRNA covid-19 vaccination during pregnancy against delta and omicron severe acute respiratory syndrome coronavirus-2 (SARS-CoV-2) infection and hospital admission in infants.\nDesign Test negative design study.\nSetting Community and hospital testing in Ontario, Canada.\nParticipants Infants younger than six months of age, born between 7 May 2021 and 31 March 2022, who were tested for SARS-CoV-2 between 7 May 2021 and 5 September 2022.\nIntervention Maternal mRNA covid-19 vaccination during pregnancy.\nMain outcome measures Laboratory confirmed delta or omicron infection or hospital admission of the infant. Multivariable logistic regression estimated vaccine effectiveness, with adjustments for clinical and sociodemographic characteristics associated with vaccination and infection.\nResults 8809 infants met eligibility criteria, including 99 delta cases (4365 controls) and 1501 omicron cases (4847 controls). Infant vaccine effectiveness from two maternal doses was 95% (95% confidence interval 88% to 98%) against delta infection and 97% (73% to 100%) against infant hospital admission due to delta and 45% (37% to 53%) against omicron infection and 53% (39% to 64%) against hospital admission due to omicron. Vaccine effectiveness for three doses was 73% (61% to 80%) against omicron infection and 80% (64% to 89%) against hospital admission due to omicron. Vaccine effectiveness for two doses against infant omicron infection was highest with the second dose in the third trimester (53% (42% to 62%)) compared with the first (47% (31% to 59%)) or second (37% (24% to 47%)) trimesters. Vaccine effectiveness for two doses against infant omicron infection decreased from 57% (44% to 66%) between birth and eight weeks to 40% (21% to 54%) after 16 weeks of age.\nConclusions Maternal covid-19 vaccination with a second dose during pregnancy was highly effective against delta and moderately effective against omicron infection and hospital admission in infants during the first six months of life. A third vaccine dose bolstered protection against omicron. Effectiveness for two doses was highest with maternal vaccination in the third trimester, and effectiveness decreased in infants beyond eight weeks of age.","container-title":"BMJ","DOI":"10.1136/bmj-2022-074035","ISSN":"1756-1833","journalAbbreviation":"BMJ","language":"en","license":"© Author(s) (or their employer(s)) 2019. Re-use permitted under CC BY-NC. No commercial re-use. See rights and permissions. Published by BMJ.. http://creativecommons.org/licenses/by-nc/4.0/This is an Open Access article distributed in accordance with the Creative Commons Attribution Non Commercial (CC BY-NC 4.0) license, which permits others to distribute, remix, adapt, build upon this work non-commercially, and license their derivative works on different terms, provided the original work is properly cited and the use is non-commercial. See: http://creativecommons.org/licenses/by-nc/4.0/.","note":"PMID: 36754426","page":"e074035","source":"www.bmj.com","title":"Maternal mRNA covid-19 vaccination during pregnancy and delta or omicron infection or hospital admission in infants: test negative design study","title-short":"Maternal mRNA covid-19 vaccination during pregnancy and delta or omicron infection or hospital admission in infants","volume":"380","author":[{"family":"Jorgensen","given":"Sarah C. J."},{"family":"Hernandez","given":"Alejandro"},{"family":"Fell","given":"Deshayne B."},{"family":"Austin","given":"Peter C."},{"family":"D’Souza","given":"Rohan"},{"family":"Guttmann","given":"Astrid"},{"family":"Brown","given":"Kevin A."},{"family":"Buchan","given":"Sarah A."},{"family":"Gubbay","given":"Jonathan B."},{"family":"Nasreen","given":"Sharifa"},{"family":"Schwartz","given":"Kevin L."},{"family":"Tadrous","given":"Mina"},{"family":"Wilson","given":"Kumanan"},{"family":"Kwong","given":"Jeffrey C."}],"issued":{"date-parts":[["2023",2,8]]}}},{"id":51,"uris":["http://zotero.org/users/14445769/items/6Z6S3WFS"],"itemData":{"id":51,"type":"article-journal","abstract":"This report describes how young infants of people who received a COVID-19 vaccine while pregnant were less likely to be hospitalized or experience serious complications from COVID-19.","container-title":"MMWR. Morbidity and Mortality Weekly Report","DOI":"10.15585/mmwr.mm7239a3","ISSN":"0149-21951545-861X","journalAbbreviation":"MMWR Morb Mortal Wkly Rep","language":"en-us","source":"www.cdc.gov","title":"Effectiveness of Maternal mRNA COVID-19 Vaccination During Pregnancy Against COVID-19–Associated Hospitalizations in Infants Aged 6 Months During SARS-CoV-2 Omicron Predominance — 20 States, March 9, 2022–May 31, 2023","URL":"https://www.cdc.gov/mmwr/volumes/72/wr/mm7239a3.htm","volume":"72","author":[{"family":"Simeone","given":"Regina M."}],"accessed":{"date-parts":[["2024",6,25]]},"issued":{"date-parts":[["2023"]]}}},{"id":207,"uris":["http://zotero.org/users/14445769/items/6J48DW9B"],"itemData":{"id":207,"type":"article-journal","abstract":"Abstract\n            The Centers for Disease Control (CDC) recommend a third dose of COVID-19 vaccine for pregnant women, although data regarding effectiveness during pregnancy are lacking. This national, population-based, historical cohort study of pregnant women in Israel, delivering between August 1, 2021 and March 22, 2022, aims to analyze and compare the third and second doses’ vaccine effectiveness in preventing COVID-19-related hospitalizations during pregnancy during two COVID-19 waves (Delta variant in the summer of 2021 and Omicron, BA.1, variant in the winter of 2022). Time-dependent Cox proportional-hazards regression models estimate the hazard ratios (HR) and 95% confidence intervals (CI) for COVID-related outcomes according to vaccine dose, and vaccine effectiveness as 1-HR. Study includes 82,659 and 33,303 pregnant women from the Delta and Omicron waves, respectively. Compared with the second dose, the third dose effectively prevents overall hospitalizations with SARS-CoV-2 infections, with estimated effectiveness of 92% (95% CI 83–96%) during Delta, and enhances protection against significant disease during Omicron, with effectiveness of 92% (95% CI 26–99%), and 48% (95% CI 37–57%) effectiveness against hospitalization overall. A third dose of the BNT162b2 mRNA COVID-19 vaccine during pregnancy, given at least 5 months after the second vaccine dose, enhances protection against adverse COVID-19-related outcomes.","container-title":"Nature Communications","DOI":"10.1038/s41467-022-34605-x","ISSN":"2041-1723","issue":"1","journalAbbreviation":"Nat Commun","language":"en","page":"6961","source":"DOI.org (Crossref)","title":"Effectiveness of a third BNT162b2 mRNA COVID-19 vaccination during pregnancy: a national observational study in Israel","title-short":"Effectiveness of a third BNT162b2 mRNA COVID-19 vaccination during pregnancy","volume":"13","author":[{"family":"Guedalia","given":"Joshua"},{"family":"Lipschuetz","given":"Michal"},{"family":"Calderon-Margalit","given":"Ronit"},{"family":"Cohen","given":"Sarah M."},{"family":"Goldman-Wohl","given":"Debra"},{"family":"Kaminer","given":"Tali"},{"family":"Melul","given":"Eli"},{"family":"Shefer","given":"Galit"},{"family":"Sompolinsky","given":"Yishai"},{"family":"Walfisch","given":"Asnat"},{"family":"Yagel","given":"Simcha"},{"family":"Beharier","given":"Ofer"}],"issued":{"date-parts":[["2022",11,15]]}}},{"id":58,"uris":["http://zotero.org/users/14445769/items/7J5ZGA4C"],"itemData":{"id":58,"type":"article-journal","abstract":"COVID-19 vaccination is recommended for persons who are pregnant, breastfeeding, trying to get pregnant now, or who might become pregnant in the future, to protect them from COVID-19.§ Infants are at risk for life-threatening complications from COVID-19, including acute respiratory failure (1). Evidence from other vaccine-preventable diseases suggests that maternal immunization can provide protection to infants, especially during the high-risk first 6 months of life, through passive transplacental antibody transfer (2). Recent studies of COVID-19 vaccination during pregnancy suggest the possibility of transplacental transfer of SARS-CoV-2-specific antibodies that might provide protection to infants (3-5); however, no epidemiologic evidence currently exists for the protective benefits of maternal immunization during pregnancy against COVID-19 in infants. The Overcoming COVID-19 network conducted a test-negative, case-control study at 20 pediatric hospitals in 17 states during July 1, 2021-January 17, 2022, to assess effectiveness of maternal completion of a 2-dose primary mRNA COVID-19 vaccination series during pregnancy against COVID-19 hospitalization in infants. Among 379 hospitalized infants aged &lt;6 months (176 with COVID-19 [case-infants] and 203 without COVID-19 [control-infants]), the median age was 2 months, 21% had at least one underlying medical condition, and 22% of case- and control-infants were born premature (&lt;37 weeks gestation). Effectiveness of maternal vaccination during pregnancy against COVID-19 hospitalization in infants aged &lt;6 months was 61% (95% CI = 31%-78%). Completion of a 2-dose mRNA COVID-19 vaccination series during pregnancy might help prevent COVID-19 hospitalization among infants aged &lt;6 months.","container-title":"MMWR. Morbidity and mortality weekly report","DOI":"10.15585/mmwr.mm7107e3","ISSN":"1545-861X","issue":"7","journalAbbreviation":"MMWR Morb Mortal Wkly Rep","language":"eng","note":"PMID: 35176002\nPMCID: PMC8853480","page":"264-270","source":"PubMed","title":"Effectiveness of Maternal Vaccination with mRNA COVID-19 Vaccine During Pregnancy Against COVID-19-Associated Hospitalization in Infants Aged &lt;6 Months - 17 States, July 2021-January 2022","volume":"71","author":[{"family":"Halasa","given":"Natasha B."},{"family":"Olson","given":"Samantha M."},{"family":"Staat","given":"Mary A."},{"family":"Newhams","given":"Margaret M."},{"family":"Price","given":"Ashley M."},{"family":"Boom","given":"Julie A."},{"family":"Sahni","given":"Leila C."},{"family":"Cameron","given":"Melissa A."},{"family":"Pannaraj","given":"Pia S."},{"family":"Bline","given":"Katherine E."},{"family":"Bhumbra","given":"Samina S."},{"family":"Bradford","given":"Tamara T."},{"family":"Chiotos","given":"Kathleen"},{"family":"Coates","given":"Bria M."},{"family":"Cullimore","given":"Melissa L."},{"family":"Cvijanovich","given":"Natalie Z."},{"family":"Flori","given":"Heidi R."},{"family":"Gertz","given":"Shira J."},{"family":"Heidemann","given":"Sabrina M."},{"family":"Hobbs","given":"Charlotte V."},{"family":"Hume","given":"Janet R."},{"family":"Irby","given":"Katherine"},{"family":"Kamidani","given":"Satoshi"},{"family":"Kong","given":"Michele"},{"family":"Levy","given":"Emily R."},{"family":"Mack","given":"Elizabeth H."},{"family":"Maddux","given":"Aline B."},{"family":"Michelson","given":"Kelly N."},{"family":"Nofziger","given":"Ryan A."},{"family":"Schuster","given":"Jennifer E."},{"family":"Schwartz","given":"Stephanie P."},{"family":"Smallcomb","given":"Laura"},{"family":"Tarquinio","given":"Keiko M."},{"family":"Walker","given":"Tracie C."},{"family":"Zinter","given":"Matt S."},{"family":"Gilboa","given":"Suzanne M."},{"family":"Polen","given":"Kara N."},{"family":"Campbell","given":"Angela P."},{"family":"Randolph","given":"Adrienne G."},{"family":"Patel","given":"Manish M."},{"literal":"Overcoming COVID-19 Investigators"},{"literal":"Overcoming COVID-19 Network"}],"issued":{"date-parts":[["2022",2,18]]}}},{"id":57,"uris":["http://zotero.org/users/14445769/items/46JFC5NC"],"itemData":{"id":57,"type":"article-journal","abstract":"Objective\nTo assess the clinical effectiveness of the BNT162b2 vaccine during pregnancy in preventing severe acute respiratory syndrome coronavirus 2 (SARS-CoV-2) hospitalizations of infants.\n\nStudy design\nA retrospective, multicenter, 1:3 case-control (test-negative) study. Symptomatic hospitalized infants less than 6 months of age, with a positive SARS-CoV-2 polymerase chain reaction test between January 3, 2021, and March 11, 2021, were matched by age and time to negative controls, hospitalized with symptoms compatible with SARS-CoV-2 infection. Mothers were defined as fully vaccinated who received 2 doses of BNT162b2 with the second given 2 weeks to 6 months before delivery; or partially vaccinated, if they received only 1 dose or 2 doses with the second given more than 6 months or less than 2 weeks before delivery. Severe SARS-CoV-2 was defined as a need for assisted ventilation.\n\nResults\nWe matched 116 SARS-CoV-2 positive infants with 348 negative controls with symptoms compatible with SARS-CoV-2 infection. The effectiveness of fully vaccinated mothers was 61.6% (95% CI, 31.9-78.4) and the effectiveness of partially vaccinated mothers was not significant. Effectiveness was higher in infants 0-2 vs 3-6 months of age. The effectiveness (57.1%; 95% CI, 22.8-76.4) was similar when excluding mothers who were infected with SARS-CoV-2 during pregnancy. The OR of severe infection in infants born to unvaccinated vs fully vaccinated mothers was 5.8.\n\nConclusions\nAt least 2 doses of BNT162b2 vaccine administered during the second or third trimester of pregnancy had an effectiveness of 61.6% in decreasing hospitalization for SARS-CoV-2 infection in infants less than 6 months of age.","container-title":"The Journal of Pediatrics","DOI":"10.1016/j.jpeds.2022.09.059","ISSN":"0022-3476","journalAbbreviation":"J Pediatr","note":"PMID: 36252864\nPMCID: PMC9568274","page":"48-53.e1","source":"PubMed Central","title":"Effectiveness of BNT162b2 Vaccination During Pregnancy in Preventing Hospitalization for Severe Acute Respiratory Syndrome Coronavirus 2 in Infants","volume":"254","author":[{"family":"Danino","given":"Dana"},{"family":"Ashkenazi-Hoffnung","given":"Liat"},{"family":"Diaz","given":"Alejandro"},{"family":"Erps","given":"Amir Dov"},{"family":"Eliakim-Raz","given":"Noa"},{"family":"Avni","given":"Yonat Shemer"},{"family":"Greenberg","given":"David"},{"family":"Givon-Lavi","given":"Noga"},{"family":"Youngster","given":"Ilan"}],"issued":{"date-parts":[["2023",3]]}}}],"schema":"https://github.com/citation-style-language/schema/raw/master/csl-citation.json"} </w:instrText>
      </w:r>
      <w:r w:rsidR="00057C02" w:rsidRPr="00DC55B0">
        <w:rPr>
          <w:rFonts w:ascii="Calibri" w:hAnsi="Calibri" w:cs="Calibri"/>
        </w:rPr>
        <w:fldChar w:fldCharType="separate"/>
      </w:r>
      <w:r w:rsidR="008324C0" w:rsidRPr="00DC55B0">
        <w:rPr>
          <w:rFonts w:ascii="Calibri" w:hAnsi="Calibri" w:cs="Calibri"/>
          <w:kern w:val="0"/>
          <w:vertAlign w:val="superscript"/>
        </w:rPr>
        <w:t>42,43,47,78–80</w:t>
      </w:r>
      <w:r w:rsidR="00057C02" w:rsidRPr="00DC55B0">
        <w:rPr>
          <w:rFonts w:ascii="Calibri" w:hAnsi="Calibri" w:cs="Calibri"/>
        </w:rPr>
        <w:fldChar w:fldCharType="end"/>
      </w:r>
      <w:r w:rsidR="00893BB2" w:rsidRPr="00DC55B0">
        <w:rPr>
          <w:rFonts w:ascii="Calibri" w:hAnsi="Calibri" w:cs="Calibri"/>
        </w:rPr>
        <w:t xml:space="preserve"> </w:t>
      </w:r>
      <w:r w:rsidR="00513C21" w:rsidRPr="00DC55B0">
        <w:rPr>
          <w:rFonts w:ascii="Calibri" w:hAnsi="Calibri" w:cs="Calibri"/>
        </w:rPr>
        <w:t>of infants with COVID-19,</w:t>
      </w:r>
      <w:r w:rsidR="00BB29D1" w:rsidRPr="00DC55B0">
        <w:rPr>
          <w:rFonts w:ascii="Calibri" w:hAnsi="Calibri" w:cs="Calibri"/>
        </w:rPr>
        <w:t xml:space="preserve"> with vaccines </w:t>
      </w:r>
      <w:r w:rsidR="000A79F4" w:rsidRPr="00DC55B0">
        <w:rPr>
          <w:rFonts w:ascii="Calibri" w:hAnsi="Calibri" w:cs="Calibri"/>
        </w:rPr>
        <w:t xml:space="preserve">that are </w:t>
      </w:r>
      <w:r w:rsidR="00BB29D1" w:rsidRPr="00DC55B0">
        <w:rPr>
          <w:rFonts w:ascii="Calibri" w:hAnsi="Calibri" w:cs="Calibri"/>
        </w:rPr>
        <w:t>matche</w:t>
      </w:r>
      <w:r w:rsidR="00507159" w:rsidRPr="00DC55B0">
        <w:rPr>
          <w:rFonts w:ascii="Calibri" w:hAnsi="Calibri" w:cs="Calibri"/>
        </w:rPr>
        <w:t xml:space="preserve">d to the current </w:t>
      </w:r>
      <w:r w:rsidR="000A79F4" w:rsidRPr="00DC55B0">
        <w:rPr>
          <w:rFonts w:ascii="Calibri" w:hAnsi="Calibri" w:cs="Calibri"/>
        </w:rPr>
        <w:t xml:space="preserve">viral </w:t>
      </w:r>
      <w:r w:rsidR="00507159" w:rsidRPr="00DC55B0">
        <w:rPr>
          <w:rFonts w:ascii="Calibri" w:hAnsi="Calibri" w:cs="Calibri"/>
        </w:rPr>
        <w:t xml:space="preserve">variant and given after 20 weeks of pregnancy </w:t>
      </w:r>
      <w:r w:rsidR="000A79F4" w:rsidRPr="00DC55B0">
        <w:rPr>
          <w:rFonts w:ascii="Calibri" w:hAnsi="Calibri" w:cs="Calibri"/>
        </w:rPr>
        <w:t>showing the highest eff</w:t>
      </w:r>
      <w:r w:rsidR="006F5E2F" w:rsidRPr="00DC55B0">
        <w:rPr>
          <w:rFonts w:ascii="Calibri" w:hAnsi="Calibri" w:cs="Calibri"/>
        </w:rPr>
        <w:t>ectiveness</w:t>
      </w:r>
      <w:r w:rsidR="00D17CCC" w:rsidRPr="00DC55B0">
        <w:rPr>
          <w:rFonts w:ascii="Calibri" w:hAnsi="Calibri" w:cs="Calibri"/>
        </w:rPr>
        <w:t xml:space="preserve">. </w:t>
      </w:r>
    </w:p>
    <w:p w14:paraId="7487C189" w14:textId="77777777" w:rsidR="003676EC" w:rsidRPr="00DC55B0" w:rsidRDefault="003676EC" w:rsidP="001F3ACA">
      <w:pPr>
        <w:rPr>
          <w:rFonts w:ascii="Calibri" w:hAnsi="Calibri" w:cs="Calibri"/>
        </w:rPr>
      </w:pPr>
    </w:p>
    <w:p w14:paraId="06B9EAA5" w14:textId="0787B849" w:rsidR="00A60E98" w:rsidRPr="00DC55B0" w:rsidRDefault="00D17CCC" w:rsidP="001F3ACA">
      <w:pPr>
        <w:rPr>
          <w:rFonts w:ascii="Calibri" w:hAnsi="Calibri" w:cs="Calibri"/>
        </w:rPr>
      </w:pPr>
      <w:r w:rsidRPr="00DC55B0">
        <w:rPr>
          <w:rFonts w:ascii="Calibri" w:hAnsi="Calibri" w:cs="Calibri"/>
        </w:rPr>
        <w:t>This clear protective effect</w:t>
      </w:r>
      <w:r w:rsidR="00146A12" w:rsidRPr="00DC55B0">
        <w:rPr>
          <w:rFonts w:ascii="Calibri" w:hAnsi="Calibri" w:cs="Calibri"/>
        </w:rPr>
        <w:t>, a</w:t>
      </w:r>
      <w:r w:rsidR="000A79F4" w:rsidRPr="00DC55B0">
        <w:rPr>
          <w:rFonts w:ascii="Calibri" w:hAnsi="Calibri" w:cs="Calibri"/>
        </w:rPr>
        <w:t>long with</w:t>
      </w:r>
      <w:r w:rsidR="00146A12" w:rsidRPr="00DC55B0">
        <w:rPr>
          <w:rFonts w:ascii="Calibri" w:hAnsi="Calibri" w:cs="Calibri"/>
        </w:rPr>
        <w:t xml:space="preserve"> </w:t>
      </w:r>
      <w:r w:rsidR="000A79F4" w:rsidRPr="00DC55B0">
        <w:rPr>
          <w:rFonts w:ascii="Calibri" w:hAnsi="Calibri" w:cs="Calibri"/>
        </w:rPr>
        <w:t xml:space="preserve">the </w:t>
      </w:r>
      <w:r w:rsidR="00146A12" w:rsidRPr="00DC55B0">
        <w:rPr>
          <w:rFonts w:ascii="Calibri" w:hAnsi="Calibri" w:cs="Calibri"/>
        </w:rPr>
        <w:t>evidence</w:t>
      </w:r>
      <w:r w:rsidR="00AC1E4A" w:rsidRPr="00DC55B0">
        <w:rPr>
          <w:rFonts w:ascii="Calibri" w:hAnsi="Calibri" w:cs="Calibri"/>
        </w:rPr>
        <w:t xml:space="preserve"> </w:t>
      </w:r>
      <w:r w:rsidR="00146A12" w:rsidRPr="00DC55B0">
        <w:rPr>
          <w:rFonts w:ascii="Calibri" w:hAnsi="Calibri" w:cs="Calibri"/>
        </w:rPr>
        <w:t xml:space="preserve">that infants are particularly vulnerable to </w:t>
      </w:r>
      <w:r w:rsidR="003A4682" w:rsidRPr="00DC55B0">
        <w:rPr>
          <w:rFonts w:ascii="Calibri" w:hAnsi="Calibri" w:cs="Calibri"/>
        </w:rPr>
        <w:t xml:space="preserve">influenza and </w:t>
      </w:r>
      <w:r w:rsidR="00146A12" w:rsidRPr="00DC55B0">
        <w:rPr>
          <w:rFonts w:ascii="Calibri" w:hAnsi="Calibri" w:cs="Calibri"/>
        </w:rPr>
        <w:t>COVID-19</w:t>
      </w:r>
      <w:r w:rsidR="005B2D64" w:rsidRPr="00DC55B0">
        <w:rPr>
          <w:rFonts w:ascii="Calibri" w:hAnsi="Calibri" w:cs="Calibri"/>
        </w:rPr>
        <w:t>,</w:t>
      </w:r>
      <w:r w:rsidR="00146A12" w:rsidRPr="00DC55B0">
        <w:rPr>
          <w:rFonts w:ascii="Calibri" w:hAnsi="Calibri" w:cs="Calibri"/>
        </w:rPr>
        <w:t xml:space="preserve"> </w:t>
      </w:r>
      <w:r w:rsidR="001E550A" w:rsidRPr="00DC55B0">
        <w:rPr>
          <w:rFonts w:ascii="Calibri" w:hAnsi="Calibri" w:cs="Calibri"/>
        </w:rPr>
        <w:t xml:space="preserve">has prompted calls </w:t>
      </w:r>
      <w:r w:rsidR="00E665E8" w:rsidRPr="00DC55B0">
        <w:rPr>
          <w:rFonts w:ascii="Calibri" w:hAnsi="Calibri" w:cs="Calibri"/>
        </w:rPr>
        <w:t>to modify the schedule to maximise protection for newborns, rather than for the mother and fetus during pregnancy.</w:t>
      </w:r>
      <w:r w:rsidR="00555B8A" w:rsidRPr="00DC55B0">
        <w:rPr>
          <w:rFonts w:ascii="Calibri" w:hAnsi="Calibri" w:cs="Calibri"/>
        </w:rPr>
        <w:fldChar w:fldCharType="begin"/>
      </w:r>
      <w:r w:rsidR="008324C0" w:rsidRPr="00DC55B0">
        <w:rPr>
          <w:rFonts w:ascii="Calibri" w:hAnsi="Calibri" w:cs="Calibri"/>
        </w:rPr>
        <w:instrText xml:space="preserve"> ADDIN ZOTERO_ITEM CSL_CITATION {"citationID":"Nq9LsM88","properties":{"formattedCitation":"\\super 81,82\\nosupersub{}","plainCitation":"81,82","noteIndex":0},"citationItems":[{"id":50,"uris":["http://zotero.org/users/14445769/items/2PT6UWRU"],"itemData":{"id":50,"type":"article-journal","abstract":"OBJECTIVE: To describe hospital admissions associated with SARS-CoV-2 infection in children and adolescents.\nDESIGN: Cohort study of 3.2 million first ascertained SARS-CoV-2 infections using electronic health care record data.\nSETTING: England, July 2020 to February 2022.\nPARTICIPANTS: About 12 million children and adolescents (age &lt;18 years) who were resident in England.\nMAIN OUTCOME MEASURES: Ascertainment of a first SARS-CoV-2 associated hospital admissions: due to SARS-CoV-2, with SARS-CoV-2 as a contributory factor, incidental to SARS-CoV-2 infection, and hospital acquired SARS-CoV-2.\nRESULTS: 3 226 535 children and adolescents had a recorded first SARS-CoV-2 infection during the observation period, and 29 230 (0.9%) infections involved a SARS-CoV-2 associated hospital admission. The median length of stay was 2 (interquartile range 1-4) days) and 1710 of 29 230 (5.9%) SARS-CoV-2 associated admissions involved paediatric critical care. 70 deaths occurred in which covid-19 or paediatric inflammatory multisystem syndrome was listed as a cause, of which 55 (78.6%) were in participants with a SARS-CoV-2 associated hospital admission. SARS-CoV-2 was the cause or a contributory factor in 21 000 of 29 230 (71.8%) participants who were admitted to hospital and only 380 (1.3%) participants acquired infection as an inpatient and 7855 (26.9%) participants were admitted with incidental SARS-CoV-2 infection. Boys, younger children (&lt;5 years), and those from ethnic minority groups or areas of high deprivation were more likely to be admitted to hospital (all P&lt;0.001). The covid-19 vaccination programme in England has identified certain conditions as representing a higher risk of admission to hospital with SARS-CoV-2: 11 085 (37.9%) of participants admitted to hospital had evidence of such a condition, and a further 4765 (16.3%) of participants admitted to hospital had a medical or developmental health condition not included in the vaccination programme's list.\nCONCLUSIONS: Most SARS-CoV-2 associated hospital admissions in children and adolescents in England were due to SARS-CoV-2 or SARS-CoV-2 was a contributory factor. These results should inform future public health initiatives and research.","container-title":"BMJ (Clinical research ed.)","DOI":"10.1136/bmj-2022-073639","ISSN":"1756-1833","journalAbbreviation":"BMJ","language":"eng","note":"PMID: 37407076\nPMCID: PMC10318942","page":"e073639","source":"PubMed","title":"Hospital admissions linked to SARS-CoV-2 infection in children and adolescents: cohort study of 3.2 million first ascertained infections in England","title-short":"Hospital admissions linked to SARS-CoV-2 infection in children and adolescents","volume":"382","author":[{"family":"Wilde","given":"Harrison"},{"family":"Tomlinson","given":"Christopher"},{"family":"Mateen","given":"Bilal A."},{"family":"Selby","given":"David"},{"family":"Kanthimathinathan","given":"Hari Krishnan"},{"family":"Ramnarayan","given":"Padmanabhan"},{"family":"Du Pre","given":"Pascale"},{"family":"Johnson","given":"Mae"},{"family":"Pathan","given":"Nazima"},{"family":"Gonzalez-Izquierdo","given":"Arturo"},{"family":"Lai","given":"Alvina G."},{"family":"Gurdasani","given":"Deepti"},{"family":"Pagel","given":"Christina"},{"family":"Denaxas","given":"Spiros"},{"family":"Vollmer","given":"Sebastian"},{"family":"Brown","given":"Katherine"},{"literal":"CVD-COVID-UK/COVID-IMPACT consortium"}],"issued":{"date-parts":[["2023",7,5]]}}},{"id":186,"uris":["http://zotero.org/users/14445769/items/6QUJTG8Q"],"itemData":{"id":186,"type":"article-journal","abstract":"This report describes COVID-19-associated hospitalization rates among infants &lt;6 months.","container-title":"MMWR. Morbidity and Mortality Weekly Report","DOI":"10.15585/mmwr.mm7338a1","ISSN":"0149-21951545-861X","journalAbbreviation":"MMWR Morb Mortal Wkly Rep","language":"en-us","source":"www.cdc.gov","title":"COVID-19–Associated Hospitalizations and Maternal Vaccination Among Infants Aged 6 Months — COVID-NET, 12 States, October 2022–April 2024","URL":"https://www.cdc.gov/mmwr/volumes/73/wr/mm7338a1.htm","volume":"73","author":[{"family":"Havers","given":"Fiona P."}],"accessed":{"date-parts":[["2024",10,1]]},"issued":{"date-parts":[["2024"]]}}}],"schema":"https://github.com/citation-style-language/schema/raw/master/csl-citation.json"} </w:instrText>
      </w:r>
      <w:r w:rsidR="00555B8A" w:rsidRPr="00DC55B0">
        <w:rPr>
          <w:rFonts w:ascii="Calibri" w:hAnsi="Calibri" w:cs="Calibri"/>
        </w:rPr>
        <w:fldChar w:fldCharType="separate"/>
      </w:r>
      <w:r w:rsidR="008324C0" w:rsidRPr="00DC55B0">
        <w:rPr>
          <w:rFonts w:ascii="Calibri" w:hAnsi="Calibri" w:cs="Calibri"/>
          <w:kern w:val="0"/>
          <w:vertAlign w:val="superscript"/>
        </w:rPr>
        <w:t>81,82</w:t>
      </w:r>
      <w:r w:rsidR="00555B8A" w:rsidRPr="00DC55B0">
        <w:rPr>
          <w:rFonts w:ascii="Calibri" w:hAnsi="Calibri" w:cs="Calibri"/>
        </w:rPr>
        <w:fldChar w:fldCharType="end"/>
      </w:r>
      <w:r w:rsidR="00555B8A" w:rsidRPr="00DC55B0">
        <w:rPr>
          <w:rFonts w:ascii="Calibri" w:hAnsi="Calibri" w:cs="Calibri"/>
        </w:rPr>
        <w:t xml:space="preserve"> </w:t>
      </w:r>
      <w:r w:rsidR="00E665E8" w:rsidRPr="00DC55B0">
        <w:rPr>
          <w:rFonts w:ascii="Calibri" w:hAnsi="Calibri" w:cs="Calibri"/>
        </w:rPr>
        <w:t xml:space="preserve"> </w:t>
      </w:r>
      <w:r w:rsidR="009745FC" w:rsidRPr="00DC55B0">
        <w:rPr>
          <w:rFonts w:ascii="Calibri" w:hAnsi="Calibri" w:cs="Calibri"/>
        </w:rPr>
        <w:t xml:space="preserve">Influenza vaccination in pregnancy is widely offered as a seasonal </w:t>
      </w:r>
      <w:r w:rsidR="005E00CF" w:rsidRPr="00DC55B0">
        <w:rPr>
          <w:rFonts w:ascii="Calibri" w:hAnsi="Calibri" w:cs="Calibri"/>
        </w:rPr>
        <w:t xml:space="preserve">campaign, ahead of predicted winter waves of viral infection. COVID-19 vaccination </w:t>
      </w:r>
      <w:r w:rsidR="00B77045" w:rsidRPr="00DC55B0">
        <w:rPr>
          <w:rFonts w:ascii="Calibri" w:hAnsi="Calibri" w:cs="Calibri"/>
        </w:rPr>
        <w:t xml:space="preserve">was also offered </w:t>
      </w:r>
      <w:r w:rsidR="00C35E9B" w:rsidRPr="00DC55B0">
        <w:rPr>
          <w:rFonts w:ascii="Calibri" w:hAnsi="Calibri" w:cs="Calibri"/>
        </w:rPr>
        <w:t xml:space="preserve">in the UK </w:t>
      </w:r>
      <w:r w:rsidR="00B77045" w:rsidRPr="00DC55B0">
        <w:rPr>
          <w:rFonts w:ascii="Calibri" w:hAnsi="Calibri" w:cs="Calibri"/>
        </w:rPr>
        <w:t xml:space="preserve">as a seasonal campaign (prior to Spring 2025) or </w:t>
      </w:r>
      <w:r w:rsidR="00C35E9B" w:rsidRPr="00DC55B0">
        <w:rPr>
          <w:rFonts w:ascii="Calibri" w:hAnsi="Calibri" w:cs="Calibri"/>
        </w:rPr>
        <w:t xml:space="preserve">in the USA </w:t>
      </w:r>
      <w:r w:rsidR="0054276F" w:rsidRPr="00DC55B0">
        <w:rPr>
          <w:rFonts w:ascii="Calibri" w:hAnsi="Calibri" w:cs="Calibri"/>
        </w:rPr>
        <w:t>when a vaccine targeting a new variant was available.</w:t>
      </w:r>
      <w:r w:rsidR="00404B65" w:rsidRPr="00DC55B0">
        <w:rPr>
          <w:rFonts w:ascii="Calibri" w:hAnsi="Calibri" w:cs="Calibri"/>
        </w:rPr>
        <w:t xml:space="preserve"> To maximise infant protection, boosters would be offered in a similar window that of pertussis vaccination.</w:t>
      </w:r>
      <w:r w:rsidR="00F72B6B" w:rsidRPr="00DC55B0">
        <w:rPr>
          <w:rFonts w:ascii="Calibri" w:hAnsi="Calibri" w:cs="Calibri"/>
        </w:rPr>
        <w:t xml:space="preserve"> To our knowledge, there are no plans to </w:t>
      </w:r>
      <w:r w:rsidR="00206A2B" w:rsidRPr="00DC55B0">
        <w:rPr>
          <w:rFonts w:ascii="Calibri" w:hAnsi="Calibri" w:cs="Calibri"/>
        </w:rPr>
        <w:t xml:space="preserve">implement these changes, but </w:t>
      </w:r>
      <w:r w:rsidR="006E54CF" w:rsidRPr="00DC55B0">
        <w:rPr>
          <w:rFonts w:ascii="Calibri" w:hAnsi="Calibri" w:cs="Calibri"/>
        </w:rPr>
        <w:t>updated advice in the USA that summer vaccination can be considered in the third trimester, to maximise protection to the newborn,</w:t>
      </w:r>
      <w:r w:rsidR="006E54CF" w:rsidRPr="00DC55B0">
        <w:rPr>
          <w:rFonts w:ascii="Calibri" w:hAnsi="Calibri" w:cs="Calibri"/>
        </w:rPr>
        <w:fldChar w:fldCharType="begin"/>
      </w:r>
      <w:r w:rsidR="008324C0" w:rsidRPr="00DC55B0">
        <w:rPr>
          <w:rFonts w:ascii="Calibri" w:hAnsi="Calibri" w:cs="Calibri"/>
        </w:rPr>
        <w:instrText xml:space="preserve"> ADDIN ZOTERO_ITEM CSL_CITATION {"citationID":"CvMSXKlI","properties":{"formattedCitation":"\\super 83\\nosupersub{}","plainCitation":"83","noteIndex":0},"citationItems":[{"id":334,"uris":["http://zotero.org/users/14445769/items/RKR8MMFY"],"itemData":{"id":334,"type":"webpage","abstract":"Learn about flu vaccine safety during pregnancy","container-title":"Influenza (Flu)","language":"en-us","title":"Flu Vaccine Safety and Pregnancy","URL":"https://www.cdc.gov/flu/vaccine-safety/vaccine-pregnant.html","author":[{"literal":"CDC"}],"accessed":{"date-parts":[["2025",1,16]]},"issued":{"date-parts":[["2025",1,10]]}}}],"schema":"https://github.com/citation-style-language/schema/raw/master/csl-citation.json"} </w:instrText>
      </w:r>
      <w:r w:rsidR="006E54CF" w:rsidRPr="00DC55B0">
        <w:rPr>
          <w:rFonts w:ascii="Calibri" w:hAnsi="Calibri" w:cs="Calibri"/>
        </w:rPr>
        <w:fldChar w:fldCharType="separate"/>
      </w:r>
      <w:r w:rsidR="008324C0" w:rsidRPr="00DC55B0">
        <w:rPr>
          <w:rFonts w:ascii="Calibri" w:hAnsi="Calibri" w:cs="Calibri"/>
          <w:kern w:val="0"/>
          <w:vertAlign w:val="superscript"/>
        </w:rPr>
        <w:t>83</w:t>
      </w:r>
      <w:r w:rsidR="006E54CF" w:rsidRPr="00DC55B0">
        <w:rPr>
          <w:rFonts w:ascii="Calibri" w:hAnsi="Calibri" w:cs="Calibri"/>
        </w:rPr>
        <w:fldChar w:fldCharType="end"/>
      </w:r>
      <w:r w:rsidR="006E54CF" w:rsidRPr="00DC55B0">
        <w:rPr>
          <w:rFonts w:ascii="Calibri" w:hAnsi="Calibri" w:cs="Calibri"/>
        </w:rPr>
        <w:t xml:space="preserve"> and </w:t>
      </w:r>
      <w:r w:rsidR="003E0E2F" w:rsidRPr="00DC55B0">
        <w:rPr>
          <w:rFonts w:ascii="Calibri" w:hAnsi="Calibri" w:cs="Calibri"/>
        </w:rPr>
        <w:t xml:space="preserve">the recent </w:t>
      </w:r>
      <w:r w:rsidR="00607CB8" w:rsidRPr="00DC55B0">
        <w:rPr>
          <w:rFonts w:ascii="Calibri" w:hAnsi="Calibri" w:cs="Calibri"/>
        </w:rPr>
        <w:t xml:space="preserve">move by </w:t>
      </w:r>
      <w:r w:rsidR="001D3151" w:rsidRPr="00DC55B0">
        <w:rPr>
          <w:rFonts w:ascii="Calibri" w:hAnsi="Calibri" w:cs="Calibri"/>
        </w:rPr>
        <w:t>Australia's regulatory authority for medicines</w:t>
      </w:r>
      <w:r w:rsidR="00607CB8" w:rsidRPr="00DC55B0">
        <w:rPr>
          <w:rFonts w:ascii="Calibri" w:hAnsi="Calibri" w:cs="Calibri"/>
        </w:rPr>
        <w:t xml:space="preserve"> to license </w:t>
      </w:r>
      <w:r w:rsidR="00A122E5" w:rsidRPr="00DC55B0">
        <w:rPr>
          <w:rFonts w:ascii="Calibri" w:hAnsi="Calibri" w:cs="Calibri"/>
        </w:rPr>
        <w:t xml:space="preserve">an </w:t>
      </w:r>
      <w:r w:rsidR="00607CB8" w:rsidRPr="00DC55B0">
        <w:rPr>
          <w:rFonts w:ascii="Calibri" w:hAnsi="Calibri" w:cs="Calibri"/>
        </w:rPr>
        <w:t>influenza vaccination in pregnancy specifically to protect the newborn</w:t>
      </w:r>
      <w:r w:rsidR="00743C91" w:rsidRPr="00DC55B0">
        <w:rPr>
          <w:rFonts w:ascii="Calibri" w:hAnsi="Calibri" w:cs="Calibri"/>
        </w:rPr>
        <w:fldChar w:fldCharType="begin"/>
      </w:r>
      <w:r w:rsidR="008324C0" w:rsidRPr="00DC55B0">
        <w:rPr>
          <w:rFonts w:ascii="Calibri" w:hAnsi="Calibri" w:cs="Calibri"/>
        </w:rPr>
        <w:instrText xml:space="preserve"> ADDIN ZOTERO_ITEM CSL_CITATION {"citationID":"iZYxIQKs","properties":{"formattedCitation":"\\super 84\\nosupersub{}","plainCitation":"84","noteIndex":0},"citationItems":[{"id":245,"uris":["http://zotero.org/users/14445769/items/6HKXD3T8"],"itemData":{"id":245,"type":"webpage","title":"Public Summary. VAXIGRIP TETRA Inactivated Quadrivalent Influenza Vaccine (Split Virion) influenza virus HA 60 mcg 0.5 mL suspension for injection PFS needle free.","URL":"https://www.ebs.tga.gov.au/servlet/xmlmillr6?dbid=ebs/PublicHTML/pdfStore.nsf&amp;docid=299922&amp;agid=%28PrintDetailsPublic%29&amp;actionid=1","author":[{"literal":"Australian Government Department of Health and Aged Care. Therapeutic Goods Administration."}]}}],"schema":"https://github.com/citation-style-language/schema/raw/master/csl-citation.json"} </w:instrText>
      </w:r>
      <w:r w:rsidR="00743C91" w:rsidRPr="00DC55B0">
        <w:rPr>
          <w:rFonts w:ascii="Calibri" w:hAnsi="Calibri" w:cs="Calibri"/>
        </w:rPr>
        <w:fldChar w:fldCharType="separate"/>
      </w:r>
      <w:r w:rsidR="008324C0" w:rsidRPr="00DC55B0">
        <w:rPr>
          <w:rFonts w:ascii="Calibri" w:hAnsi="Calibri" w:cs="Calibri"/>
          <w:kern w:val="0"/>
          <w:vertAlign w:val="superscript"/>
        </w:rPr>
        <w:t>84</w:t>
      </w:r>
      <w:r w:rsidR="00743C91" w:rsidRPr="00DC55B0">
        <w:rPr>
          <w:rFonts w:ascii="Calibri" w:hAnsi="Calibri" w:cs="Calibri"/>
        </w:rPr>
        <w:fldChar w:fldCharType="end"/>
      </w:r>
      <w:r w:rsidR="007B2318" w:rsidRPr="00DC55B0">
        <w:rPr>
          <w:rFonts w:ascii="Calibri" w:hAnsi="Calibri" w:cs="Calibri"/>
        </w:rPr>
        <w:t xml:space="preserve"> suggests </w:t>
      </w:r>
      <w:r w:rsidR="00FB2801" w:rsidRPr="00DC55B0">
        <w:rPr>
          <w:rFonts w:ascii="Calibri" w:hAnsi="Calibri" w:cs="Calibri"/>
        </w:rPr>
        <w:t>that some countries may consider this in the near future.</w:t>
      </w:r>
    </w:p>
    <w:p w14:paraId="5EFE7B48" w14:textId="77777777" w:rsidR="00862E89" w:rsidRPr="00DC55B0" w:rsidRDefault="00862E89" w:rsidP="001F3ACA">
      <w:pPr>
        <w:rPr>
          <w:rFonts w:ascii="Calibri" w:hAnsi="Calibri" w:cs="Calibri"/>
          <w:i/>
          <w:iCs/>
        </w:rPr>
      </w:pPr>
    </w:p>
    <w:p w14:paraId="5AD6B748" w14:textId="36A7D0B5" w:rsidR="00231757" w:rsidRPr="00DC55B0" w:rsidRDefault="00517BAB" w:rsidP="001F3ACA">
      <w:pPr>
        <w:rPr>
          <w:rFonts w:ascii="Calibri" w:hAnsi="Calibri" w:cs="Calibri"/>
          <w:i/>
          <w:iCs/>
        </w:rPr>
      </w:pPr>
      <w:r w:rsidRPr="00DC55B0">
        <w:rPr>
          <w:rFonts w:ascii="Calibri" w:hAnsi="Calibri" w:cs="Calibri"/>
          <w:i/>
          <w:iCs/>
        </w:rPr>
        <w:t>Hepatitis B vaccination at birth</w:t>
      </w:r>
    </w:p>
    <w:p w14:paraId="7ABEC9E4" w14:textId="52012950" w:rsidR="003B6964" w:rsidRPr="00DC55B0" w:rsidRDefault="00EE023D" w:rsidP="001F3ACA">
      <w:pPr>
        <w:rPr>
          <w:rFonts w:ascii="Calibri" w:hAnsi="Calibri" w:cs="Calibri"/>
        </w:rPr>
      </w:pPr>
      <w:r w:rsidRPr="00DC55B0">
        <w:rPr>
          <w:rFonts w:ascii="Calibri" w:hAnsi="Calibri" w:cs="Calibri"/>
        </w:rPr>
        <w:t>H</w:t>
      </w:r>
      <w:r w:rsidR="006F64FA" w:rsidRPr="00DC55B0">
        <w:rPr>
          <w:rFonts w:ascii="Calibri" w:hAnsi="Calibri" w:cs="Calibri"/>
        </w:rPr>
        <w:t xml:space="preserve">epatitis B virus </w:t>
      </w:r>
      <w:r w:rsidRPr="00DC55B0">
        <w:rPr>
          <w:rFonts w:ascii="Calibri" w:hAnsi="Calibri" w:cs="Calibri"/>
        </w:rPr>
        <w:t xml:space="preserve">(HBV) </w:t>
      </w:r>
      <w:r w:rsidR="006F64FA" w:rsidRPr="00DC55B0">
        <w:rPr>
          <w:rFonts w:ascii="Calibri" w:hAnsi="Calibri" w:cs="Calibri"/>
        </w:rPr>
        <w:t>can cause either acute or chronic infection</w:t>
      </w:r>
      <w:r w:rsidR="00AC5681" w:rsidRPr="00DC55B0">
        <w:rPr>
          <w:rFonts w:ascii="Calibri" w:hAnsi="Calibri" w:cs="Calibri"/>
        </w:rPr>
        <w:t xml:space="preserve"> and</w:t>
      </w:r>
      <w:r w:rsidR="001D7FE6" w:rsidRPr="00DC55B0">
        <w:rPr>
          <w:rFonts w:ascii="Calibri" w:hAnsi="Calibri" w:cs="Calibri"/>
        </w:rPr>
        <w:t xml:space="preserve"> </w:t>
      </w:r>
      <w:r w:rsidR="002F7E90" w:rsidRPr="00DC55B0">
        <w:rPr>
          <w:rFonts w:ascii="Calibri" w:hAnsi="Calibri" w:cs="Calibri"/>
        </w:rPr>
        <w:t>85-9</w:t>
      </w:r>
      <w:r w:rsidR="001D7FE6" w:rsidRPr="00DC55B0">
        <w:rPr>
          <w:rFonts w:ascii="Calibri" w:hAnsi="Calibri" w:cs="Calibri"/>
        </w:rPr>
        <w:t xml:space="preserve">0% of </w:t>
      </w:r>
      <w:r w:rsidR="00A70854" w:rsidRPr="00DC55B0">
        <w:rPr>
          <w:rFonts w:ascii="Calibri" w:hAnsi="Calibri" w:cs="Calibri"/>
        </w:rPr>
        <w:t>babies born to mothers testing positive for</w:t>
      </w:r>
      <w:r w:rsidR="000A79F4" w:rsidRPr="00DC55B0">
        <w:rPr>
          <w:rFonts w:ascii="Calibri" w:hAnsi="Calibri" w:cs="Calibri"/>
        </w:rPr>
        <w:t xml:space="preserve"> HBV</w:t>
      </w:r>
      <w:r w:rsidR="00A70854" w:rsidRPr="00DC55B0">
        <w:rPr>
          <w:rFonts w:ascii="Calibri" w:hAnsi="Calibri" w:cs="Calibri"/>
        </w:rPr>
        <w:t xml:space="preserve"> viral </w:t>
      </w:r>
      <w:r w:rsidR="00AB0766" w:rsidRPr="00DC55B0">
        <w:rPr>
          <w:rFonts w:ascii="Calibri" w:hAnsi="Calibri" w:cs="Calibri"/>
        </w:rPr>
        <w:t>antigens develop chronic infection</w:t>
      </w:r>
      <w:r w:rsidR="00AC5681" w:rsidRPr="00DC55B0">
        <w:rPr>
          <w:rFonts w:ascii="Calibri" w:hAnsi="Calibri" w:cs="Calibri"/>
        </w:rPr>
        <w:t xml:space="preserve">, putting them at </w:t>
      </w:r>
      <w:r w:rsidR="00537A2C" w:rsidRPr="00DC55B0">
        <w:rPr>
          <w:rFonts w:ascii="Calibri" w:hAnsi="Calibri" w:cs="Calibri"/>
        </w:rPr>
        <w:t xml:space="preserve">risk of developing cirrhosis, liver failure or </w:t>
      </w:r>
      <w:r w:rsidR="00BC61B1" w:rsidRPr="00DC55B0">
        <w:rPr>
          <w:rFonts w:ascii="Calibri" w:hAnsi="Calibri" w:cs="Calibri"/>
        </w:rPr>
        <w:t>liver cancer</w:t>
      </w:r>
      <w:r w:rsidR="00F239B4" w:rsidRPr="00DC55B0">
        <w:rPr>
          <w:rFonts w:ascii="Calibri" w:hAnsi="Calibri" w:cs="Calibri"/>
        </w:rPr>
        <w:t>.</w:t>
      </w:r>
      <w:r w:rsidR="0099231A" w:rsidRPr="00DC55B0">
        <w:rPr>
          <w:rFonts w:ascii="Calibri" w:hAnsi="Calibri" w:cs="Calibri"/>
        </w:rPr>
        <w:fldChar w:fldCharType="begin"/>
      </w:r>
      <w:r w:rsidR="008324C0" w:rsidRPr="00DC55B0">
        <w:rPr>
          <w:rFonts w:ascii="Calibri" w:hAnsi="Calibri" w:cs="Calibri"/>
        </w:rPr>
        <w:instrText xml:space="preserve"> ADDIN ZOTERO_ITEM CSL_CITATION {"citationID":"kbSmLK5n","properties":{"formattedCitation":"\\super 85,86\\nosupersub{}","plainCitation":"85,86","noteIndex":0},"citationItems":[{"id":169,"uris":["http://zotero.org/users/14445769/items/62VJX3NB"],"itemData":{"id":169,"type":"article-journal","container-title":"New England Journal of Medicine","DOI":"10.1056/NEJM197504102921503","ISSN":"0028-4793, 1533-4406","issue":"15","journalAbbreviation":"N Engl J Med","language":"en","page":"771-774","source":"DOI.org (Crossref)","title":"Vertical Transmission of Hepatitis B Antigen in Taiwan","volume":"292","author":[{"family":"Stevens","given":"Cladd E."},{"family":"Beasley","given":"R. Palmer"},{"family":"Tsui","given":"Julia"},{"family":"Lee","given":"Wy-Chan"}],"issued":{"date-parts":[["1975",4,10]]}}},{"id":170,"uris":["http://zotero.org/users/14445769/items/F4CUWXK2"],"itemData":{"id":170,"type":"article-journal","abstract":"Among infants born to women in whom sera are positive for both the hepatitis B surface antigen and the e antigen, 85% to 90% are infected with hepatitis B virus and become chronic hepatitis B surface antigen carriers. In a study to assess the effectiveness of passive-active prophylaxis (hepatitis B immune globulin and hepatitis B vaccine) of such infants, we screened 18,842 pregnant Asian-American women: 8.7% were positive for hepatitis B surface antigen and 3.0% were also positive for hepatitis B e antigen. Thus far, 113 infants have received hepatitis B immune globulin (0.5 mL at birth) and hepatitis B vaccine (three 20-micrograms doses beginning at birth or at 1 month) and have been followed up for nine to 18 months. Among these infants, 16 have become chronic carriers, an incidence of only 14.2%. All of the uninfected infants have retained high levels of antibody to surface antigen, suggesting that they have had an active immune response to the vaccine and should have long-term protection against hepatitis B virus.","container-title":"JAMA","ISSN":"0098-7484","issue":"12","journalAbbreviation":"JAMA","language":"eng","note":"PMID: 3974052","page":"1740-1745","source":"PubMed","title":"Perinatal hepatitis B virus transmission in the United States. Prevention by passive-active immunization","volume":"253","author":[{"family":"Stevens","given":"C. E."},{"family":"Toy","given":"P. T."},{"family":"Tong","given":"M. J."},{"family":"Taylor","given":"P. E."},{"family":"Vyas","given":"G. N."},{"family":"Nair","given":"P. V."},{"family":"Gudavalli","given":"M."},{"family":"Krugman","given":"S."}],"issued":{"date-parts":[["1985",3,22]]}}}],"schema":"https://github.com/citation-style-language/schema/raw/master/csl-citation.json"} </w:instrText>
      </w:r>
      <w:r w:rsidR="0099231A" w:rsidRPr="00DC55B0">
        <w:rPr>
          <w:rFonts w:ascii="Calibri" w:hAnsi="Calibri" w:cs="Calibri"/>
        </w:rPr>
        <w:fldChar w:fldCharType="separate"/>
      </w:r>
      <w:r w:rsidR="008324C0" w:rsidRPr="00DC55B0">
        <w:rPr>
          <w:rFonts w:ascii="Calibri" w:hAnsi="Calibri" w:cs="Calibri"/>
          <w:kern w:val="0"/>
          <w:vertAlign w:val="superscript"/>
        </w:rPr>
        <w:t>85,86</w:t>
      </w:r>
      <w:r w:rsidR="0099231A" w:rsidRPr="00DC55B0">
        <w:rPr>
          <w:rFonts w:ascii="Calibri" w:hAnsi="Calibri" w:cs="Calibri"/>
        </w:rPr>
        <w:fldChar w:fldCharType="end"/>
      </w:r>
      <w:r w:rsidR="005F196F" w:rsidRPr="00DC55B0">
        <w:rPr>
          <w:rFonts w:ascii="Calibri" w:hAnsi="Calibri" w:cs="Calibri"/>
        </w:rPr>
        <w:t xml:space="preserve"> Since </w:t>
      </w:r>
      <w:r w:rsidRPr="00DC55B0">
        <w:rPr>
          <w:rFonts w:ascii="Calibri" w:hAnsi="Calibri" w:cs="Calibri"/>
        </w:rPr>
        <w:t>perinatal</w:t>
      </w:r>
      <w:r w:rsidR="005F196F" w:rsidRPr="00DC55B0">
        <w:rPr>
          <w:rFonts w:ascii="Calibri" w:hAnsi="Calibri" w:cs="Calibri"/>
        </w:rPr>
        <w:t xml:space="preserve"> transmission </w:t>
      </w:r>
      <w:r w:rsidRPr="00DC55B0">
        <w:rPr>
          <w:rFonts w:ascii="Calibri" w:hAnsi="Calibri" w:cs="Calibri"/>
        </w:rPr>
        <w:t xml:space="preserve">is one of the primary routes of HBV spread worldwide, </w:t>
      </w:r>
      <w:r w:rsidR="00744B26" w:rsidRPr="00DC55B0">
        <w:rPr>
          <w:rFonts w:ascii="Calibri" w:hAnsi="Calibri" w:cs="Calibri"/>
        </w:rPr>
        <w:t xml:space="preserve">prevention </w:t>
      </w:r>
      <w:r w:rsidR="00DD0FFB" w:rsidRPr="00DC55B0">
        <w:rPr>
          <w:rFonts w:ascii="Calibri" w:hAnsi="Calibri" w:cs="Calibri"/>
        </w:rPr>
        <w:t>of this is essential if the WHO is to meet its goal to eradicate HBV by 2030</w:t>
      </w:r>
      <w:r w:rsidR="0099231A" w:rsidRPr="00DC55B0">
        <w:rPr>
          <w:rFonts w:ascii="Calibri" w:hAnsi="Calibri" w:cs="Calibri"/>
        </w:rPr>
        <w:t>.</w:t>
      </w:r>
      <w:r w:rsidR="0099231A" w:rsidRPr="00DC55B0">
        <w:rPr>
          <w:rFonts w:ascii="Calibri" w:hAnsi="Calibri" w:cs="Calibri"/>
        </w:rPr>
        <w:fldChar w:fldCharType="begin"/>
      </w:r>
      <w:r w:rsidR="008324C0" w:rsidRPr="00DC55B0">
        <w:rPr>
          <w:rFonts w:ascii="Calibri" w:hAnsi="Calibri" w:cs="Calibri"/>
        </w:rPr>
        <w:instrText xml:space="preserve"> ADDIN ZOTERO_ITEM CSL_CITATION {"citationID":"55e6ec3l","properties":{"formattedCitation":"\\super 87\\nosupersub{}","plainCitation":"87","noteIndex":0},"citationItems":[{"id":168,"uris":["http://zotero.org/users/14445769/items/NJF95ZBU"],"itemData":{"id":168,"type":"webpage","abstract":"WHO is accountable for reporting back to the World Health Assembly on progress in implementing the Global health sector strategies on HIV, viral hepatitis and sexually transmitted infections based on data received from countries.","language":"en","title":"Global hepatitis report, 2017","URL":"https://www.who.int/publications/i/item/9789241565455","accessed":{"date-parts":[["2024",6,28]]}}}],"schema":"https://github.com/citation-style-language/schema/raw/master/csl-citation.json"} </w:instrText>
      </w:r>
      <w:r w:rsidR="0099231A" w:rsidRPr="00DC55B0">
        <w:rPr>
          <w:rFonts w:ascii="Calibri" w:hAnsi="Calibri" w:cs="Calibri"/>
        </w:rPr>
        <w:fldChar w:fldCharType="separate"/>
      </w:r>
      <w:r w:rsidR="008324C0" w:rsidRPr="00DC55B0">
        <w:rPr>
          <w:rFonts w:ascii="Calibri" w:hAnsi="Calibri" w:cs="Calibri"/>
          <w:kern w:val="0"/>
          <w:vertAlign w:val="superscript"/>
        </w:rPr>
        <w:t>87</w:t>
      </w:r>
      <w:r w:rsidR="0099231A" w:rsidRPr="00DC55B0">
        <w:rPr>
          <w:rFonts w:ascii="Calibri" w:hAnsi="Calibri" w:cs="Calibri"/>
        </w:rPr>
        <w:fldChar w:fldCharType="end"/>
      </w:r>
      <w:r w:rsidR="009A1638" w:rsidRPr="00DC55B0">
        <w:rPr>
          <w:rFonts w:ascii="Calibri" w:hAnsi="Calibri" w:cs="Calibri"/>
        </w:rPr>
        <w:t xml:space="preserve"> </w:t>
      </w:r>
    </w:p>
    <w:p w14:paraId="2DC34912" w14:textId="77777777" w:rsidR="003B6964" w:rsidRPr="00DC55B0" w:rsidRDefault="003B6964" w:rsidP="001F3ACA">
      <w:pPr>
        <w:rPr>
          <w:rFonts w:ascii="Calibri" w:hAnsi="Calibri" w:cs="Calibri"/>
        </w:rPr>
      </w:pPr>
    </w:p>
    <w:p w14:paraId="6F36BF5A" w14:textId="48995669" w:rsidR="00422B0D" w:rsidRPr="00DC55B0" w:rsidRDefault="00D844C5" w:rsidP="001F3ACA">
      <w:pPr>
        <w:rPr>
          <w:rFonts w:ascii="Calibri" w:hAnsi="Calibri" w:cs="Calibri"/>
        </w:rPr>
      </w:pPr>
      <w:r w:rsidRPr="00DC55B0">
        <w:rPr>
          <w:rFonts w:ascii="Calibri" w:hAnsi="Calibri" w:cs="Calibri"/>
        </w:rPr>
        <w:t xml:space="preserve">There is </w:t>
      </w:r>
      <w:r w:rsidR="00074743" w:rsidRPr="00DC55B0">
        <w:rPr>
          <w:rFonts w:ascii="Calibri" w:hAnsi="Calibri" w:cs="Calibri"/>
        </w:rPr>
        <w:t xml:space="preserve">little evidence that transplacental transfer of anti-HBV antibodies protects newborns </w:t>
      </w:r>
      <w:r w:rsidR="00C52A2B" w:rsidRPr="00DC55B0">
        <w:rPr>
          <w:rFonts w:ascii="Calibri" w:hAnsi="Calibri" w:cs="Calibri"/>
        </w:rPr>
        <w:t>from infection</w:t>
      </w:r>
      <w:r w:rsidR="008667BA" w:rsidRPr="00DC55B0">
        <w:rPr>
          <w:rFonts w:ascii="Calibri" w:hAnsi="Calibri" w:cs="Calibri"/>
        </w:rPr>
        <w:t>.</w:t>
      </w:r>
      <w:r w:rsidR="008667BA" w:rsidRPr="00DC55B0">
        <w:rPr>
          <w:rFonts w:ascii="Calibri" w:hAnsi="Calibri" w:cs="Calibri"/>
        </w:rPr>
        <w:fldChar w:fldCharType="begin"/>
      </w:r>
      <w:r w:rsidR="008324C0" w:rsidRPr="00DC55B0">
        <w:rPr>
          <w:rFonts w:ascii="Calibri" w:hAnsi="Calibri" w:cs="Calibri"/>
        </w:rPr>
        <w:instrText xml:space="preserve"> ADDIN ZOTERO_ITEM CSL_CITATION {"citationID":"uXHInFKd","properties":{"formattedCitation":"\\super 88\\nosupersub{}","plainCitation":"88","noteIndex":0},"citationItems":[{"id":165,"uris":["http://zotero.org/users/14445769/items/346XFIDI"],"itemData":{"id":165,"type":"article-journal","container-title":"Cochrane Database of Systematic Reviews","DOI":"10.1002/14651858.CD008545","ISSN":"1465-1858","issue":"6","language":"en","source":"www.cochranelibrary.com","title":"Hepatitis B immunoglobulin during pregnancy for the prevention of mother to child transmission of hepatitis B virus","URL":"https://www.cochranelibrary.com/cdsr/doi/10.1002/14651858.CD008545/full","author":[{"family":"Eke","given":"Ahizechukwu C."},{"family":"Eke","given":"Uzoamaka A."},{"family":"Uchenna","given":"Eleje"}],"accessed":{"date-parts":[["2024",6,28]]},"issued":{"date-parts":[["2010"]]}}}],"schema":"https://github.com/citation-style-language/schema/raw/master/csl-citation.json"} </w:instrText>
      </w:r>
      <w:r w:rsidR="008667BA" w:rsidRPr="00DC55B0">
        <w:rPr>
          <w:rFonts w:ascii="Calibri" w:hAnsi="Calibri" w:cs="Calibri"/>
        </w:rPr>
        <w:fldChar w:fldCharType="separate"/>
      </w:r>
      <w:r w:rsidR="008324C0" w:rsidRPr="00DC55B0">
        <w:rPr>
          <w:rFonts w:ascii="Calibri" w:hAnsi="Calibri" w:cs="Calibri"/>
          <w:kern w:val="0"/>
          <w:vertAlign w:val="superscript"/>
        </w:rPr>
        <w:t>88</w:t>
      </w:r>
      <w:r w:rsidR="008667BA" w:rsidRPr="00DC55B0">
        <w:rPr>
          <w:rFonts w:ascii="Calibri" w:hAnsi="Calibri" w:cs="Calibri"/>
        </w:rPr>
        <w:fldChar w:fldCharType="end"/>
      </w:r>
      <w:r w:rsidR="005F7CD3" w:rsidRPr="00DC55B0">
        <w:rPr>
          <w:rFonts w:ascii="Calibri" w:hAnsi="Calibri" w:cs="Calibri"/>
        </w:rPr>
        <w:t xml:space="preserve"> </w:t>
      </w:r>
      <w:r w:rsidR="00CF350E" w:rsidRPr="00DC55B0">
        <w:rPr>
          <w:rFonts w:ascii="Calibri" w:hAnsi="Calibri" w:cs="Calibri"/>
        </w:rPr>
        <w:t xml:space="preserve">On the other hand, </w:t>
      </w:r>
      <w:r w:rsidR="003B6964" w:rsidRPr="00DC55B0">
        <w:rPr>
          <w:rFonts w:ascii="Calibri" w:hAnsi="Calibri" w:cs="Calibri"/>
        </w:rPr>
        <w:t xml:space="preserve">the administration of </w:t>
      </w:r>
      <w:r w:rsidR="000A79F4" w:rsidRPr="00DC55B0">
        <w:rPr>
          <w:rFonts w:ascii="Calibri" w:hAnsi="Calibri" w:cs="Calibri"/>
        </w:rPr>
        <w:t xml:space="preserve">an </w:t>
      </w:r>
      <w:r w:rsidR="003B6964" w:rsidRPr="00DC55B0">
        <w:rPr>
          <w:rFonts w:ascii="Calibri" w:hAnsi="Calibri" w:cs="Calibri"/>
        </w:rPr>
        <w:t>HBV vaccine to babies at birth</w:t>
      </w:r>
      <w:r w:rsidR="00A63263" w:rsidRPr="00DC55B0">
        <w:rPr>
          <w:rFonts w:ascii="Calibri" w:hAnsi="Calibri" w:cs="Calibri"/>
        </w:rPr>
        <w:t xml:space="preserve"> reduces the risk of infant infection by </w:t>
      </w:r>
      <w:r w:rsidR="004E79D7" w:rsidRPr="00DC55B0">
        <w:rPr>
          <w:rFonts w:ascii="Calibri" w:hAnsi="Calibri" w:cs="Calibri"/>
        </w:rPr>
        <w:t>73% (95% CI: 60-</w:t>
      </w:r>
      <w:r w:rsidR="00FC6B85" w:rsidRPr="00DC55B0">
        <w:rPr>
          <w:rFonts w:ascii="Calibri" w:hAnsi="Calibri" w:cs="Calibri"/>
        </w:rPr>
        <w:t>82%)</w:t>
      </w:r>
      <w:r w:rsidR="00C9087F" w:rsidRPr="00DC55B0">
        <w:rPr>
          <w:rFonts w:ascii="Calibri" w:hAnsi="Calibri" w:cs="Calibri"/>
        </w:rPr>
        <w:t xml:space="preserve"> </w:t>
      </w:r>
      <w:r w:rsidR="00745E25" w:rsidRPr="00DC55B0">
        <w:rPr>
          <w:rFonts w:ascii="Calibri" w:hAnsi="Calibri" w:cs="Calibri"/>
        </w:rPr>
        <w:t xml:space="preserve">and </w:t>
      </w:r>
      <w:r w:rsidR="000A79F4" w:rsidRPr="00DC55B0">
        <w:rPr>
          <w:rFonts w:ascii="Calibri" w:hAnsi="Calibri" w:cs="Calibri"/>
        </w:rPr>
        <w:t>combining HBV</w:t>
      </w:r>
      <w:r w:rsidR="00745E25" w:rsidRPr="00DC55B0">
        <w:rPr>
          <w:rFonts w:ascii="Calibri" w:hAnsi="Calibri" w:cs="Calibri"/>
        </w:rPr>
        <w:t xml:space="preserve"> vaccination and </w:t>
      </w:r>
      <w:r w:rsidR="00C9087F" w:rsidRPr="00DC55B0">
        <w:rPr>
          <w:rFonts w:ascii="Calibri" w:hAnsi="Calibri" w:cs="Calibri"/>
        </w:rPr>
        <w:t xml:space="preserve">passive immunisation with anti-HBV immunoglobulin reduces </w:t>
      </w:r>
      <w:r w:rsidR="000A79F4" w:rsidRPr="00DC55B0">
        <w:rPr>
          <w:rFonts w:ascii="Calibri" w:hAnsi="Calibri" w:cs="Calibri"/>
        </w:rPr>
        <w:t xml:space="preserve">infant </w:t>
      </w:r>
      <w:r w:rsidR="00125CD9" w:rsidRPr="00DC55B0">
        <w:rPr>
          <w:rFonts w:ascii="Calibri" w:hAnsi="Calibri" w:cs="Calibri"/>
        </w:rPr>
        <w:t>infection by 92%</w:t>
      </w:r>
      <w:r w:rsidR="007E38B5" w:rsidRPr="00DC55B0">
        <w:rPr>
          <w:rFonts w:ascii="Calibri" w:hAnsi="Calibri" w:cs="Calibri"/>
        </w:rPr>
        <w:t xml:space="preserve"> (95% CI:</w:t>
      </w:r>
      <w:r w:rsidR="000438A2" w:rsidRPr="00DC55B0">
        <w:rPr>
          <w:rFonts w:ascii="Calibri" w:hAnsi="Calibri" w:cs="Calibri"/>
        </w:rPr>
        <w:t xml:space="preserve"> </w:t>
      </w:r>
      <w:r w:rsidR="00420CD4" w:rsidRPr="00DC55B0">
        <w:rPr>
          <w:rFonts w:ascii="Calibri" w:hAnsi="Calibri" w:cs="Calibri"/>
        </w:rPr>
        <w:t>83</w:t>
      </w:r>
      <w:r w:rsidR="000438A2" w:rsidRPr="00DC55B0">
        <w:rPr>
          <w:rFonts w:ascii="Calibri" w:hAnsi="Calibri" w:cs="Calibri"/>
        </w:rPr>
        <w:t>-9</w:t>
      </w:r>
      <w:r w:rsidR="00420CD4" w:rsidRPr="00DC55B0">
        <w:rPr>
          <w:rFonts w:ascii="Calibri" w:hAnsi="Calibri" w:cs="Calibri"/>
        </w:rPr>
        <w:t>7</w:t>
      </w:r>
      <w:r w:rsidR="000438A2" w:rsidRPr="00DC55B0">
        <w:rPr>
          <w:rFonts w:ascii="Calibri" w:hAnsi="Calibri" w:cs="Calibri"/>
        </w:rPr>
        <w:t>%)</w:t>
      </w:r>
      <w:r w:rsidR="008667BA" w:rsidRPr="00DC55B0">
        <w:rPr>
          <w:rFonts w:ascii="Calibri" w:hAnsi="Calibri" w:cs="Calibri"/>
        </w:rPr>
        <w:t>.</w:t>
      </w:r>
      <w:r w:rsidR="008667BA" w:rsidRPr="00DC55B0">
        <w:rPr>
          <w:rFonts w:ascii="Calibri" w:hAnsi="Calibri" w:cs="Calibri"/>
        </w:rPr>
        <w:fldChar w:fldCharType="begin"/>
      </w:r>
      <w:r w:rsidR="008324C0" w:rsidRPr="00DC55B0">
        <w:rPr>
          <w:rFonts w:ascii="Calibri" w:hAnsi="Calibri" w:cs="Calibri"/>
        </w:rPr>
        <w:instrText xml:space="preserve"> ADDIN ZOTERO_ITEM CSL_CITATION {"citationID":"PZ1Wauww","properties":{"formattedCitation":"\\super 89\\nosupersub{}","plainCitation":"89","noteIndex":0},"citationItems":[{"id":335,"uris":["http://zotero.org/users/14445769/items/Y2ZWVSP8"],"itemData":{"id":335,"type":"article-journal","container-title":"Cochrane Database of Systematic Reviews","DOI":"10.1002/14651858.CD004790.pub2","ISSN":"14651858","language":"en","source":"DOI.org (Crossref)","title":"Hepatitis B immunisation for newborn infants of hepatitis B surface antigen-positive mothers","URL":"https://doi.wiley.com/10.1002/14651858.CD004790.pub2","author":[{"family":"Lee","given":"Chuanfang"},{"family":"Gong","given":"Yan"},{"family":"Brok","given":"Jesper"},{"family":"Boxall","given":"Elizabeth H"},{"family":"Gluud","given":"Christian"}],"editor":[{"literal":"Cochrane Hepato-Biliary Group"}],"accessed":{"date-parts":[["2025",1,16]]},"issued":{"date-parts":[["2006",4,19]]}}}],"schema":"https://github.com/citation-style-language/schema/raw/master/csl-citation.json"} </w:instrText>
      </w:r>
      <w:r w:rsidR="008667BA" w:rsidRPr="00DC55B0">
        <w:rPr>
          <w:rFonts w:ascii="Calibri" w:hAnsi="Calibri" w:cs="Calibri"/>
        </w:rPr>
        <w:fldChar w:fldCharType="separate"/>
      </w:r>
      <w:r w:rsidR="008324C0" w:rsidRPr="00DC55B0">
        <w:rPr>
          <w:rFonts w:ascii="Calibri" w:hAnsi="Calibri" w:cs="Calibri"/>
          <w:kern w:val="0"/>
          <w:vertAlign w:val="superscript"/>
        </w:rPr>
        <w:t>89</w:t>
      </w:r>
      <w:r w:rsidR="008667BA" w:rsidRPr="00DC55B0">
        <w:rPr>
          <w:rFonts w:ascii="Calibri" w:hAnsi="Calibri" w:cs="Calibri"/>
        </w:rPr>
        <w:fldChar w:fldCharType="end"/>
      </w:r>
      <w:r w:rsidR="00125CD9" w:rsidRPr="00DC55B0">
        <w:rPr>
          <w:rFonts w:ascii="Calibri" w:hAnsi="Calibri" w:cs="Calibri"/>
        </w:rPr>
        <w:t xml:space="preserve"> </w:t>
      </w:r>
      <w:r w:rsidR="001C6CB6" w:rsidRPr="00DC55B0">
        <w:rPr>
          <w:rFonts w:ascii="Calibri" w:hAnsi="Calibri" w:cs="Calibri"/>
        </w:rPr>
        <w:t>No safety concerns with HBV vaccination at birth have arisen</w:t>
      </w:r>
      <w:r w:rsidR="00A3611D" w:rsidRPr="00DC55B0">
        <w:rPr>
          <w:rFonts w:ascii="Calibri" w:hAnsi="Calibri" w:cs="Calibri"/>
        </w:rPr>
        <w:t>,</w:t>
      </w:r>
      <w:r w:rsidR="001C6CB6" w:rsidRPr="00DC55B0">
        <w:rPr>
          <w:rFonts w:ascii="Calibri" w:hAnsi="Calibri" w:cs="Calibri"/>
        </w:rPr>
        <w:t xml:space="preserve"> either in trials</w:t>
      </w:r>
      <w:r w:rsidR="001D117E" w:rsidRPr="00DC55B0">
        <w:rPr>
          <w:rFonts w:ascii="Calibri" w:hAnsi="Calibri" w:cs="Calibri"/>
        </w:rPr>
        <w:fldChar w:fldCharType="begin"/>
      </w:r>
      <w:r w:rsidR="008324C0" w:rsidRPr="00DC55B0">
        <w:rPr>
          <w:rFonts w:ascii="Calibri" w:hAnsi="Calibri" w:cs="Calibri"/>
        </w:rPr>
        <w:instrText xml:space="preserve"> ADDIN ZOTERO_ITEM CSL_CITATION {"citationID":"rEPIqv6U","properties":{"formattedCitation":"\\super 89\\nosupersub{}","plainCitation":"89","noteIndex":0},"citationItems":[{"id":335,"uris":["http://zotero.org/users/14445769/items/Y2ZWVSP8"],"itemData":{"id":335,"type":"article-journal","container-title":"Cochrane Database of Systematic Reviews","DOI":"10.1002/14651858.CD004790.pub2","ISSN":"14651858","language":"en","source":"DOI.org (Crossref)","title":"Hepatitis B immunisation for newborn infants of hepatitis B surface antigen-positive mothers","URL":"https://doi.wiley.com/10.1002/14651858.CD004790.pub2","author":[{"family":"Lee","given":"Chuanfang"},{"family":"Gong","given":"Yan"},{"family":"Brok","given":"Jesper"},{"family":"Boxall","given":"Elizabeth H"},{"family":"Gluud","given":"Christian"}],"editor":[{"literal":"Cochrane Hepato-Biliary Group"}],"accessed":{"date-parts":[["2025",1,16]]},"issued":{"date-parts":[["2006",4,19]]}}}],"schema":"https://github.com/citation-style-language/schema/raw/master/csl-citation.json"} </w:instrText>
      </w:r>
      <w:r w:rsidR="001D117E" w:rsidRPr="00DC55B0">
        <w:rPr>
          <w:rFonts w:ascii="Calibri" w:hAnsi="Calibri" w:cs="Calibri"/>
        </w:rPr>
        <w:fldChar w:fldCharType="separate"/>
      </w:r>
      <w:r w:rsidR="008324C0" w:rsidRPr="00DC55B0">
        <w:rPr>
          <w:rFonts w:ascii="Calibri" w:hAnsi="Calibri" w:cs="Calibri"/>
          <w:kern w:val="0"/>
          <w:vertAlign w:val="superscript"/>
        </w:rPr>
        <w:t>89</w:t>
      </w:r>
      <w:r w:rsidR="001D117E" w:rsidRPr="00DC55B0">
        <w:rPr>
          <w:rFonts w:ascii="Calibri" w:hAnsi="Calibri" w:cs="Calibri"/>
        </w:rPr>
        <w:fldChar w:fldCharType="end"/>
      </w:r>
      <w:r w:rsidR="001C6CB6" w:rsidRPr="00DC55B0">
        <w:rPr>
          <w:rFonts w:ascii="Calibri" w:hAnsi="Calibri" w:cs="Calibri"/>
        </w:rPr>
        <w:t xml:space="preserve"> or </w:t>
      </w:r>
      <w:r w:rsidR="00A3611D" w:rsidRPr="00DC55B0">
        <w:rPr>
          <w:rFonts w:ascii="Calibri" w:hAnsi="Calibri" w:cs="Calibri"/>
        </w:rPr>
        <w:t xml:space="preserve">from </w:t>
      </w:r>
      <w:r w:rsidR="004A57BB" w:rsidRPr="00DC55B0">
        <w:rPr>
          <w:rFonts w:ascii="Calibri" w:hAnsi="Calibri" w:cs="Calibri"/>
        </w:rPr>
        <w:t>pharmacovigilance</w:t>
      </w:r>
      <w:r w:rsidR="00A3611D" w:rsidRPr="00DC55B0">
        <w:rPr>
          <w:rFonts w:ascii="Calibri" w:hAnsi="Calibri" w:cs="Calibri"/>
        </w:rPr>
        <w:t xml:space="preserve"> data</w:t>
      </w:r>
      <w:r w:rsidR="001D117E" w:rsidRPr="00DC55B0">
        <w:rPr>
          <w:rFonts w:ascii="Calibri" w:hAnsi="Calibri" w:cs="Calibri"/>
        </w:rPr>
        <w:t>.</w:t>
      </w:r>
      <w:r w:rsidR="001D117E" w:rsidRPr="00DC55B0">
        <w:rPr>
          <w:rFonts w:ascii="Calibri" w:hAnsi="Calibri" w:cs="Calibri"/>
        </w:rPr>
        <w:fldChar w:fldCharType="begin"/>
      </w:r>
      <w:r w:rsidR="008324C0" w:rsidRPr="00DC55B0">
        <w:rPr>
          <w:rFonts w:ascii="Calibri" w:hAnsi="Calibri" w:cs="Calibri"/>
        </w:rPr>
        <w:instrText xml:space="preserve"> ADDIN ZOTERO_ITEM CSL_CITATION {"citationID":"0ulQ2Isd","properties":{"formattedCitation":"\\super 90,91\\nosupersub{}","plainCitation":"90,91","noteIndex":0},"citationItems":[{"id":161,"uris":["http://zotero.org/users/14445769/items/3JZ9XEQK"],"itemData":{"id":161,"type":"article-journal","abstract":"OBJECTIVE: To determine whether hepatitis B vaccination of newborns increases the incidence of fever and/or suspected sepsis.\nMETHODS: A prospective clinical study was undertaken at the Kaiser Permanente San Francisco Medical Center involving normal full term newborns born between November 1, 1991, and April 30, 1994. During this time 3302 infants were vaccinated within 21 days of birth with hepatitis B vaccine, and 2353 were not. Clinical and demographic data were collected from Kaiser Permanente's existing clinical information systems, and laboratory data for blood and cerebrospinal fluid (CSF) cultures were obtained from the comprehensive automated regional laboratory reporting system.\nRESULTS: There were no significant differences between vaccinated and unvaccinated newborns in the proportion of infants who received care for fever (0.8% vaccinated and 1.1% unvaccinated, P = 0.28), allergic reactions, seizures or other neurologic events in the first 21 days of life. Vaccinated newborns were significantly less likely to undergo microbiologic evaluation for possible sepsis. Among vaccinated newborns 4.0% had blood cultures and 1.6% had CSF cultures. Among infants who were not vaccinated 8.3% had blood cultures and 1.6% had CSF cultures (P &lt;0.001 for both tests).\nCONCLUSION: This study found no evidence that newborn hepatitis B vaccination is associated with an increase in the number of febrile episodes, sepsis evaluations or allergic or neurologic events. In addition our data did not support any increase in medical procedures attributed to receipt of hepatitis B vaccine.","container-title":"The Pediatric Infectious Disease Journal","DOI":"10.1097/00006454-200111000-00009","ISSN":"0891-3668","issue":"11","journalAbbreviation":"Pediatr Infect Dis J","language":"eng","note":"PMID: 11734710","page":"1049-1054","source":"PubMed","title":"Safety of neonatal hepatitis B vaccine administration","volume":"20","author":[{"family":"Lewis","given":"E."},{"family":"Shinefield","given":"H. R."},{"family":"Woodruff","given":"B. A."},{"family":"Black","given":"S. B."},{"family":"Destefano","given":"F."},{"family":"Chen","given":"R. T."},{"family":"Ensor","given":"R."},{"literal":"Vaccine Safety Datalink Workgroup"}],"issued":{"date-parts":[["2001",11]]}}},{"id":162,"uris":["http://zotero.org/users/14445769/items/ZTX8H786"],"itemData":{"id":162,"type":"article-journal","abstract":"BACKGROUND: There have been no population-based studies of the potential association between neonatal death and newborn immunization with hepatitis B vaccine (HBV).\nMETHODS: As part of the Vaccine Safety Datalink Project, we defined a birth cohort at Southern and Northern California Kaiser Permanente Health Plans of more than 350,000 live births from 1993 to 1998 and ascertained all deaths occurring under 29 days of age. We compared the proportions of deaths among birth HBV-vaccinated and unvaccinated newborns and reviewed the causes and circumstances of their deaths. We performed detailed clinical reviews of all HBV-vaccinated neonates who died and a sample of unvaccinated neonates who died and who were matched to vaccinated deaths for days of life, sex, birth year and site of care. To avoid confounding, we categorized the causes of death as either \"expected\" or \"unexpected\" and performed a stratified analysis to compare mortality with immunization status.\nRESULTS: There were 1363 neonatal deaths during the study period. Whereas 67% of the entire birth cohort received HBV at birth, only 72 (5%) of the neonates who died were HBV-vaccinated at birth (P &lt; 0.01). We found no significant difference in the proportion of HBV-vaccinated (31%) and unvaccinated (35%) neonates dying of unexpected causes (P = 0.6). Further we could not identify a plausible causal or temporal relationship between HBV administration and death for the 22 vaccinated neonates who died unexpectedly.\nCONCLUSIONS: A relationship between HBV and neonatal death was not identified.","container-title":"The Pediatric Infectious Disease Journal","DOI":"10.1097/01.inf.0000130953.08946.d0","ISSN":"0891-3668","issue":"7","journalAbbreviation":"Pediatr Infect Dis J","language":"eng","note":"PMID: 15247605","page":"656-662","source":"PubMed","title":"Lack of association between hepatitis B birth immunization and neonatal death: a population-based study from the vaccine safety datalink project","title-short":"Lack of association between hepatitis B birth immunization and neonatal death","volume":"23","author":[{"family":"Eriksen","given":"Eileen M."},{"family":"Perlman","given":"Jeffrey A."},{"family":"Miller","given":"Alvin"},{"family":"Marcy","given":"S. Michael"},{"family":"Lee","given":"Hang"},{"family":"Vadheim","given":"Constance"},{"family":"Zangwill","given":"Kenneth M."},{"family":"Chen","given":"Robert T."},{"family":"DeStefano","given":"Frank"},{"family":"Lewis","given":"Edwin"},{"family":"Black","given":"Steven"},{"family":"Shinefield","given":"Henry"},{"family":"Ward","given":"Joel I."}],"issued":{"date-parts":[["2004",7]]}}}],"schema":"https://github.com/citation-style-language/schema/raw/master/csl-citation.json"} </w:instrText>
      </w:r>
      <w:r w:rsidR="001D117E" w:rsidRPr="00DC55B0">
        <w:rPr>
          <w:rFonts w:ascii="Calibri" w:hAnsi="Calibri" w:cs="Calibri"/>
        </w:rPr>
        <w:fldChar w:fldCharType="separate"/>
      </w:r>
      <w:r w:rsidR="008324C0" w:rsidRPr="00DC55B0">
        <w:rPr>
          <w:rFonts w:ascii="Calibri" w:hAnsi="Calibri" w:cs="Calibri"/>
          <w:kern w:val="0"/>
          <w:vertAlign w:val="superscript"/>
        </w:rPr>
        <w:t>90,91</w:t>
      </w:r>
      <w:r w:rsidR="001D117E" w:rsidRPr="00DC55B0">
        <w:rPr>
          <w:rFonts w:ascii="Calibri" w:hAnsi="Calibri" w:cs="Calibri"/>
        </w:rPr>
        <w:fldChar w:fldCharType="end"/>
      </w:r>
    </w:p>
    <w:p w14:paraId="22BDC9C1" w14:textId="77777777" w:rsidR="00CB75B6" w:rsidRPr="00DC55B0" w:rsidRDefault="00CB75B6" w:rsidP="001F3ACA">
      <w:pPr>
        <w:rPr>
          <w:rFonts w:ascii="Calibri" w:hAnsi="Calibri" w:cs="Calibri"/>
        </w:rPr>
      </w:pPr>
    </w:p>
    <w:p w14:paraId="55E28BDA" w14:textId="6DE1DB61" w:rsidR="00231757" w:rsidRPr="00DC55B0" w:rsidRDefault="00CB75B6" w:rsidP="001F3ACA">
      <w:pPr>
        <w:rPr>
          <w:rFonts w:ascii="Calibri" w:hAnsi="Calibri" w:cs="Calibri"/>
        </w:rPr>
      </w:pPr>
      <w:r w:rsidRPr="00DC55B0">
        <w:rPr>
          <w:rFonts w:ascii="Calibri" w:hAnsi="Calibri" w:cs="Calibri"/>
        </w:rPr>
        <w:t xml:space="preserve">As a result of this, the WHO recommends vaccination of all babies against HBV at birth. </w:t>
      </w:r>
      <w:r w:rsidR="004C6369" w:rsidRPr="00DC55B0">
        <w:rPr>
          <w:rFonts w:ascii="Calibri" w:hAnsi="Calibri" w:cs="Calibri"/>
        </w:rPr>
        <w:t>Almost all countries in the Americas</w:t>
      </w:r>
      <w:r w:rsidR="006F1F9E" w:rsidRPr="00DC55B0">
        <w:rPr>
          <w:rFonts w:ascii="Calibri" w:hAnsi="Calibri" w:cs="Calibri"/>
        </w:rPr>
        <w:t xml:space="preserve"> and Asia have taken up this recommendation, but </w:t>
      </w:r>
      <w:r w:rsidR="00C80BD5" w:rsidRPr="00DC55B0">
        <w:rPr>
          <w:rFonts w:ascii="Calibri" w:hAnsi="Calibri" w:cs="Calibri"/>
        </w:rPr>
        <w:t xml:space="preserve">many European countries, including the UK, </w:t>
      </w:r>
      <w:r w:rsidR="000D511F" w:rsidRPr="00DC55B0">
        <w:rPr>
          <w:rFonts w:ascii="Calibri" w:hAnsi="Calibri" w:cs="Calibri"/>
        </w:rPr>
        <w:t xml:space="preserve">instead screen for HBV in pregnancy and offer vaccination at birth only to </w:t>
      </w:r>
      <w:r w:rsidR="00614FBF" w:rsidRPr="00DC55B0">
        <w:rPr>
          <w:rFonts w:ascii="Calibri" w:hAnsi="Calibri" w:cs="Calibri"/>
        </w:rPr>
        <w:t>at risk</w:t>
      </w:r>
      <w:r w:rsidR="000D511F" w:rsidRPr="00DC55B0">
        <w:rPr>
          <w:rFonts w:ascii="Calibri" w:hAnsi="Calibri" w:cs="Calibri"/>
        </w:rPr>
        <w:t xml:space="preserve"> babies, with the majority </w:t>
      </w:r>
      <w:r w:rsidR="003D5399" w:rsidRPr="00DC55B0">
        <w:rPr>
          <w:rFonts w:ascii="Calibri" w:hAnsi="Calibri" w:cs="Calibri"/>
        </w:rPr>
        <w:t xml:space="preserve">receiving an HBV-containing </w:t>
      </w:r>
      <w:r w:rsidR="004B650E" w:rsidRPr="00DC55B0">
        <w:rPr>
          <w:rFonts w:ascii="Calibri" w:hAnsi="Calibri" w:cs="Calibri"/>
        </w:rPr>
        <w:t>multivalent vaccine as part of the infant schedule</w:t>
      </w:r>
      <w:r w:rsidR="001D117E" w:rsidRPr="00DC55B0">
        <w:rPr>
          <w:rFonts w:ascii="Calibri" w:hAnsi="Calibri" w:cs="Calibri"/>
        </w:rPr>
        <w:t>.</w:t>
      </w:r>
      <w:r w:rsidR="001D117E" w:rsidRPr="00DC55B0">
        <w:rPr>
          <w:rFonts w:ascii="Calibri" w:hAnsi="Calibri" w:cs="Calibri"/>
        </w:rPr>
        <w:fldChar w:fldCharType="begin"/>
      </w:r>
      <w:r w:rsidR="008324C0" w:rsidRPr="00DC55B0">
        <w:rPr>
          <w:rFonts w:ascii="Calibri" w:hAnsi="Calibri" w:cs="Calibri"/>
        </w:rPr>
        <w:instrText xml:space="preserve"> ADDIN ZOTERO_ITEM CSL_CITATION {"citationID":"YLAjhDgE","properties":{"formattedCitation":"\\super 92\\nosupersub{}","plainCitation":"92","noteIndex":0},"citationItems":[{"id":167,"uris":["http://zotero.org/users/14445769/items/UB8EZRDH"],"itemData":{"id":167,"type":"webpage","abstract":"This shows which countries provide and recommend Hepatitis B birth dose vaccines through routine services. People may still be able to receive the vaccine if it's not in the routine schedule – it might be optional or available commercially.","container-title":"Our World in Data","title":"Which countries include hepatitis B birth dose vaccines in their vaccination schedules?","URL":"https://ourworldindata.org/grapher/hepatitis-b-birth-dose-vaccine-immunization-schedule","accessed":{"date-parts":[["2024",6,28]]}}}],"schema":"https://github.com/citation-style-language/schema/raw/master/csl-citation.json"} </w:instrText>
      </w:r>
      <w:r w:rsidR="001D117E" w:rsidRPr="00DC55B0">
        <w:rPr>
          <w:rFonts w:ascii="Calibri" w:hAnsi="Calibri" w:cs="Calibri"/>
        </w:rPr>
        <w:fldChar w:fldCharType="separate"/>
      </w:r>
      <w:r w:rsidR="008324C0" w:rsidRPr="00DC55B0">
        <w:rPr>
          <w:rFonts w:ascii="Calibri" w:hAnsi="Calibri" w:cs="Calibri"/>
          <w:kern w:val="0"/>
          <w:vertAlign w:val="superscript"/>
        </w:rPr>
        <w:t>92</w:t>
      </w:r>
      <w:r w:rsidR="001D117E" w:rsidRPr="00DC55B0">
        <w:rPr>
          <w:rFonts w:ascii="Calibri" w:hAnsi="Calibri" w:cs="Calibri"/>
        </w:rPr>
        <w:fldChar w:fldCharType="end"/>
      </w:r>
      <w:r w:rsidR="00180AAE" w:rsidRPr="00DC55B0">
        <w:rPr>
          <w:rFonts w:ascii="Calibri" w:hAnsi="Calibri" w:cs="Calibri"/>
        </w:rPr>
        <w:t xml:space="preserve"> </w:t>
      </w:r>
      <w:r w:rsidR="008E6648" w:rsidRPr="00DC55B0">
        <w:rPr>
          <w:rFonts w:ascii="Calibri" w:hAnsi="Calibri" w:cs="Calibri"/>
        </w:rPr>
        <w:t>However, t</w:t>
      </w:r>
      <w:r w:rsidR="00180AAE" w:rsidRPr="00DC55B0">
        <w:rPr>
          <w:rFonts w:ascii="Calibri" w:hAnsi="Calibri" w:cs="Calibri"/>
        </w:rPr>
        <w:t xml:space="preserve">he success of this approach relies on </w:t>
      </w:r>
      <w:r w:rsidR="00AD1D8B" w:rsidRPr="00DC55B0">
        <w:rPr>
          <w:rFonts w:ascii="Calibri" w:hAnsi="Calibri" w:cs="Calibri"/>
        </w:rPr>
        <w:t xml:space="preserve">the ability to </w:t>
      </w:r>
      <w:r w:rsidR="005C3EDC" w:rsidRPr="00DC55B0">
        <w:rPr>
          <w:rFonts w:ascii="Calibri" w:hAnsi="Calibri" w:cs="Calibri"/>
        </w:rPr>
        <w:t xml:space="preserve">identify a high proportion of HBV-infected </w:t>
      </w:r>
      <w:r w:rsidR="008E6648" w:rsidRPr="00DC55B0">
        <w:rPr>
          <w:rFonts w:ascii="Calibri" w:hAnsi="Calibri" w:cs="Calibri"/>
        </w:rPr>
        <w:t>pregnant patients – something that has not always been possible, even in high-</w:t>
      </w:r>
      <w:r w:rsidR="00B708EE" w:rsidRPr="00DC55B0">
        <w:rPr>
          <w:rFonts w:ascii="Calibri" w:hAnsi="Calibri" w:cs="Calibri"/>
        </w:rPr>
        <w:t>income countries</w:t>
      </w:r>
      <w:r w:rsidR="001D117E" w:rsidRPr="00DC55B0">
        <w:rPr>
          <w:rFonts w:ascii="Calibri" w:hAnsi="Calibri" w:cs="Calibri"/>
        </w:rPr>
        <w:t>.</w:t>
      </w:r>
      <w:r w:rsidR="001D117E" w:rsidRPr="00DC55B0">
        <w:rPr>
          <w:rFonts w:ascii="Calibri" w:hAnsi="Calibri" w:cs="Calibri"/>
        </w:rPr>
        <w:fldChar w:fldCharType="begin"/>
      </w:r>
      <w:r w:rsidR="008324C0" w:rsidRPr="00DC55B0">
        <w:rPr>
          <w:rFonts w:ascii="Calibri" w:hAnsi="Calibri" w:cs="Calibri"/>
        </w:rPr>
        <w:instrText xml:space="preserve"> ADDIN ZOTERO_ITEM CSL_CITATION {"citationID":"h2sXpCCf","properties":{"formattedCitation":"\\super 93,94\\nosupersub{}","plainCitation":"93,94","noteIndex":0},"citationItems":[{"id":160,"uris":["http://zotero.org/users/14445769/items/P3FPKW2M"],"itemData":{"id":160,"type":"article-journal","abstract":"The Centers for Disease Control (CDC) has recommended screening pregnant women from high-risk populations for hepatitis B surface antigen (HBsAg). To assess the adequacy of the risk criteria, all women presenting for delivery to a large municipal hospital were screened. Sera from 5356 women were tested, and questionnaires designed to identify women at high risk were completed by 78% of these patients. Sixty-four women were found to be HBsAg seropositive (1.2%). If the CDC criteria had been applied for screening, 30 of the seropositive mothers (47%) would not have been identified. Women from some Latin American and Caribbean countries not recommended for screening were found to have a relatively high prevalence of hepatitis B infection. Reluctance to give a history of venereal disease or illicit drug use may be another factor in the failure of the CDC screening strategy. To achieve effective immunoprophylaxis of newborns, all pregnant women should be screened for HBsAg carriage.","container-title":"Annals of Internal Medicine","DOI":"10.7326/0003-4819-107-2-335","ISSN":"0003-4819","issue":"3","journalAbbreviation":"Ann Intern Med","language":"eng","note":"PMID: 3039886","page":"335-337","source":"PubMed","title":"Failure of Centers for Disease Control criteria to identify hepatitis B infection in a large municipal obstetrical population","volume":"107","author":[{"family":"Jonas","given":"M. M."},{"family":"Schiff","given":"E. R."},{"family":"O'Sullivan","given":"M. J."},{"family":"Medina","given":"M.","non-dropping-particle":"de"},{"family":"Reddy","given":"K. R."},{"family":"Jeffers","given":"L. J."},{"family":"Fayne","given":"T."},{"family":"Roach","given":"K. C."},{"family":"Steele","given":"B. W."}],"issued":{"date-parts":[["1987",9]]}}},{"id":159,"uris":["http://zotero.org/users/14445769/items/3WRHMMZN"],"itemData":{"id":159,"type":"article-journal","abstract":"To assess the sensitivity of historical risk factors for identification for hepatitis B surface antigen (HBsAg)-positive parturients, 4399 pregnant women were consecutively screened for HBsAg. Information regarding risk for hepatitis B infection was obtained from each HBsAg-positive parturient. Twenty-three HBsAg-positive subjects were identified (5.2/1000 deliveries). The HBsAg carrier rate (18/2231, or 8.1/1000 deliveries) was significantly higher in women of black, Asian, or Hispanic origin than in the remaining ethnic groups (non-Hispanic whites plus all others, 5/2168, or 2.3/1000 deliveries) (chi square, 5.95; p = 0.016). Risk factors for identification of HBsAg-positive women were present in 10 of 22 asymptomatic subjects (sensitivity, 45%; 95% confidence interval, 24% to 68%). Much of the information required to assess one of these risk factors, previous infection, involved detailed questioning and is unlikely to be obtained in the context of conventional obstetrical care. Routine maternal HBsAg screening programs may be needed if transmission of hepatitis B from mother to infant is to be prevented.","container-title":"Annals of Internal Medicine","DOI":"10.7326/0003-4819-107-2-273","ISSN":"0003-4819","issue":"3","journalAbbreviation":"Ann Intern Med","language":"eng","note":"PMID: 3619218","page":"273-277","source":"PubMed","title":"Should all pregnant women be screened for hepatitis B?","volume":"107","author":[{"family":"Kumar","given":"M. L."},{"family":"Dawson","given":"N. V."},{"family":"McCullough","given":"A. J."},{"family":"Radivoyevitch","given":"M."},{"family":"King","given":"K. C."},{"family":"Hertz","given":"R."},{"family":"Kiefer","given":"H."},{"family":"Hampson","given":"M."},{"family":"Cassidy","given":"R."},{"family":"Tavill","given":"A. S."}],"issued":{"date-parts":[["1987",9]]}}}],"schema":"https://github.com/citation-style-language/schema/raw/master/csl-citation.json"} </w:instrText>
      </w:r>
      <w:r w:rsidR="001D117E" w:rsidRPr="00DC55B0">
        <w:rPr>
          <w:rFonts w:ascii="Calibri" w:hAnsi="Calibri" w:cs="Calibri"/>
        </w:rPr>
        <w:fldChar w:fldCharType="separate"/>
      </w:r>
      <w:r w:rsidR="008324C0" w:rsidRPr="00DC55B0">
        <w:rPr>
          <w:rFonts w:ascii="Calibri" w:hAnsi="Calibri" w:cs="Calibri"/>
          <w:kern w:val="0"/>
          <w:vertAlign w:val="superscript"/>
        </w:rPr>
        <w:t>93,94</w:t>
      </w:r>
      <w:r w:rsidR="001D117E" w:rsidRPr="00DC55B0">
        <w:rPr>
          <w:rFonts w:ascii="Calibri" w:hAnsi="Calibri" w:cs="Calibri"/>
        </w:rPr>
        <w:fldChar w:fldCharType="end"/>
      </w:r>
    </w:p>
    <w:p w14:paraId="41E26E3B" w14:textId="77777777" w:rsidR="005F196F" w:rsidRPr="00DC55B0" w:rsidRDefault="005F196F" w:rsidP="001F3ACA">
      <w:pPr>
        <w:shd w:val="clear" w:color="auto" w:fill="FFFFFF"/>
        <w:jc w:val="both"/>
        <w:rPr>
          <w:rFonts w:ascii="Calibri" w:hAnsi="Calibri" w:cs="Calibri"/>
          <w:i/>
          <w:iCs/>
        </w:rPr>
      </w:pPr>
    </w:p>
    <w:p w14:paraId="5177587B" w14:textId="791A93FE" w:rsidR="00506D59" w:rsidRPr="00DC55B0" w:rsidRDefault="00506D59" w:rsidP="001F3ACA">
      <w:pPr>
        <w:shd w:val="clear" w:color="auto" w:fill="FFFFFF"/>
        <w:jc w:val="both"/>
        <w:rPr>
          <w:rFonts w:ascii="Calibri" w:hAnsi="Calibri" w:cs="Calibri"/>
          <w:i/>
          <w:iCs/>
        </w:rPr>
      </w:pPr>
      <w:r w:rsidRPr="00DC55B0">
        <w:rPr>
          <w:rFonts w:ascii="Calibri" w:hAnsi="Calibri" w:cs="Calibri"/>
          <w:i/>
          <w:iCs/>
        </w:rPr>
        <w:t xml:space="preserve">Tuberculosis </w:t>
      </w:r>
      <w:r w:rsidR="00BA7694" w:rsidRPr="00DC55B0">
        <w:rPr>
          <w:rFonts w:ascii="Calibri" w:hAnsi="Calibri" w:cs="Calibri"/>
          <w:i/>
          <w:iCs/>
        </w:rPr>
        <w:t xml:space="preserve">and </w:t>
      </w:r>
      <w:r w:rsidR="002C533E" w:rsidRPr="00DC55B0">
        <w:rPr>
          <w:rFonts w:ascii="Calibri" w:hAnsi="Calibri" w:cs="Calibri"/>
          <w:i/>
          <w:iCs/>
        </w:rPr>
        <w:t xml:space="preserve">oral </w:t>
      </w:r>
      <w:r w:rsidR="00BA7694" w:rsidRPr="00DC55B0">
        <w:rPr>
          <w:rFonts w:ascii="Calibri" w:hAnsi="Calibri" w:cs="Calibri"/>
          <w:i/>
          <w:iCs/>
        </w:rPr>
        <w:t>polio vaccination in endemic regions</w:t>
      </w:r>
    </w:p>
    <w:p w14:paraId="02618D20" w14:textId="639B90C0" w:rsidR="00A3047E" w:rsidRPr="00DC55B0" w:rsidRDefault="00F62A8D" w:rsidP="001F3ACA">
      <w:pPr>
        <w:rPr>
          <w:rFonts w:ascii="Calibri" w:hAnsi="Calibri" w:cs="Calibri"/>
        </w:rPr>
      </w:pPr>
      <w:r w:rsidRPr="00DC55B0">
        <w:rPr>
          <w:rFonts w:ascii="Calibri" w:hAnsi="Calibri" w:cs="Calibri"/>
        </w:rPr>
        <w:t>Tuberculosis and polio are major causes of infant and childhood mortality</w:t>
      </w:r>
      <w:r w:rsidR="00765BCD" w:rsidRPr="00DC55B0">
        <w:rPr>
          <w:rFonts w:ascii="Calibri" w:hAnsi="Calibri" w:cs="Calibri"/>
        </w:rPr>
        <w:t xml:space="preserve"> in countries where these diseases are endemic</w:t>
      </w:r>
      <w:r w:rsidR="00A3047E" w:rsidRPr="00DC55B0">
        <w:rPr>
          <w:rFonts w:ascii="Calibri" w:hAnsi="Calibri" w:cs="Calibri"/>
          <w:b/>
        </w:rPr>
        <w:t>.</w:t>
      </w:r>
      <w:r w:rsidR="00A3047E" w:rsidRPr="00DC55B0">
        <w:rPr>
          <w:rFonts w:ascii="Calibri" w:hAnsi="Calibri" w:cs="Calibri"/>
          <w:b/>
          <w:color w:val="0000FF"/>
        </w:rPr>
        <w:t xml:space="preserve"> </w:t>
      </w:r>
      <w:r w:rsidR="00B11A11" w:rsidRPr="00DC55B0">
        <w:rPr>
          <w:rFonts w:ascii="Calibri" w:hAnsi="Calibri" w:cs="Calibri"/>
        </w:rPr>
        <w:t>A</w:t>
      </w:r>
      <w:r w:rsidR="00765BCD" w:rsidRPr="00DC55B0">
        <w:rPr>
          <w:rFonts w:ascii="Calibri" w:hAnsi="Calibri" w:cs="Calibri"/>
        </w:rPr>
        <w:t>s a result</w:t>
      </w:r>
      <w:r w:rsidR="00B11A11" w:rsidRPr="00DC55B0">
        <w:rPr>
          <w:rFonts w:ascii="Calibri" w:hAnsi="Calibri" w:cs="Calibri"/>
        </w:rPr>
        <w:t>,</w:t>
      </w:r>
      <w:r w:rsidR="00765BCD" w:rsidRPr="00DC55B0">
        <w:rPr>
          <w:rFonts w:ascii="Calibri" w:hAnsi="Calibri" w:cs="Calibri"/>
        </w:rPr>
        <w:t xml:space="preserve"> the WHO recommends</w:t>
      </w:r>
      <w:r w:rsidR="00A56E3F" w:rsidRPr="00DC55B0">
        <w:rPr>
          <w:rFonts w:ascii="Calibri" w:hAnsi="Calibri" w:cs="Calibri"/>
        </w:rPr>
        <w:t xml:space="preserve"> vaccination</w:t>
      </w:r>
      <w:r w:rsidR="00D04854" w:rsidRPr="00DC55B0">
        <w:rPr>
          <w:rFonts w:ascii="Calibri" w:hAnsi="Calibri" w:cs="Calibri"/>
        </w:rPr>
        <w:t xml:space="preserve"> against polio as soon as possible after birth in Afghanistan and Pakistan</w:t>
      </w:r>
      <w:r w:rsidR="00B10F05" w:rsidRPr="00DC55B0">
        <w:rPr>
          <w:rFonts w:ascii="Calibri" w:hAnsi="Calibri" w:cs="Calibri"/>
        </w:rPr>
        <w:t>,</w:t>
      </w:r>
      <w:r w:rsidR="00FC4972" w:rsidRPr="00DC55B0">
        <w:rPr>
          <w:rFonts w:ascii="Calibri" w:hAnsi="Calibri" w:cs="Calibri"/>
        </w:rPr>
        <w:fldChar w:fldCharType="begin"/>
      </w:r>
      <w:r w:rsidR="008324C0" w:rsidRPr="00DC55B0">
        <w:rPr>
          <w:rFonts w:ascii="Calibri" w:hAnsi="Calibri" w:cs="Calibri"/>
        </w:rPr>
        <w:instrText xml:space="preserve"> ADDIN ZOTERO_ITEM CSL_CITATION {"citationID":"hIK2l2JW","properties":{"formattedCitation":"\\super 95\\nosupersub{}","plainCitation":"95","noteIndex":0},"citationItems":[{"id":148,"uris":["http://zotero.org/users/14445769/items/XMWKUJVJ"],"itemData":{"id":148,"type":"webpage","abstract":"In accordance with its mandate to provide guidance to Member States on health\npolicy matters, WHO issues a series of regularly updated position papers on\nvaccines and combinations of vaccines against diseases that have an international\npublic health impact. These papers are concerned primarily with the use of vaccines in large-scale immunization programmes. They summarize essential background information on diseases and vaccines and conclude with the current WHO position on the use of vaccines worldwide.","language":"en","title":"Polio vaccines: WHO position paper – June 2022","title-short":"Polio vaccines","URL":"https://www.who.int/publications/i/item/WHO-WER9725-277-300","accessed":{"date-parts":[["2024",7,1]]}}}],"schema":"https://github.com/citation-style-language/schema/raw/master/csl-citation.json"} </w:instrText>
      </w:r>
      <w:r w:rsidR="00FC4972" w:rsidRPr="00DC55B0">
        <w:rPr>
          <w:rFonts w:ascii="Calibri" w:hAnsi="Calibri" w:cs="Calibri"/>
        </w:rPr>
        <w:fldChar w:fldCharType="separate"/>
      </w:r>
      <w:r w:rsidR="008324C0" w:rsidRPr="00DC55B0">
        <w:rPr>
          <w:rFonts w:ascii="Calibri" w:hAnsi="Calibri" w:cs="Calibri"/>
          <w:kern w:val="0"/>
          <w:vertAlign w:val="superscript"/>
        </w:rPr>
        <w:t>95</w:t>
      </w:r>
      <w:r w:rsidR="00FC4972" w:rsidRPr="00DC55B0">
        <w:rPr>
          <w:rFonts w:ascii="Calibri" w:hAnsi="Calibri" w:cs="Calibri"/>
        </w:rPr>
        <w:fldChar w:fldCharType="end"/>
      </w:r>
      <w:r w:rsidR="00B10F05" w:rsidRPr="00DC55B0">
        <w:rPr>
          <w:rFonts w:ascii="Calibri" w:hAnsi="Calibri" w:cs="Calibri"/>
        </w:rPr>
        <w:t xml:space="preserve"> and against tuberculosis in most of sub-Saharan Africa</w:t>
      </w:r>
      <w:r w:rsidR="00FC4972" w:rsidRPr="00DC55B0">
        <w:rPr>
          <w:rFonts w:ascii="Calibri" w:hAnsi="Calibri" w:cs="Calibri"/>
        </w:rPr>
        <w:t>, South and South-East Asia.</w:t>
      </w:r>
      <w:r w:rsidR="00696B3C" w:rsidRPr="00DC55B0">
        <w:rPr>
          <w:rFonts w:ascii="Calibri" w:hAnsi="Calibri" w:cs="Calibri"/>
        </w:rPr>
        <w:fldChar w:fldCharType="begin"/>
      </w:r>
      <w:r w:rsidR="008324C0" w:rsidRPr="00DC55B0">
        <w:rPr>
          <w:rFonts w:ascii="Calibri" w:hAnsi="Calibri" w:cs="Calibri"/>
        </w:rPr>
        <w:instrText xml:space="preserve"> ADDIN ZOTERO_ITEM CSL_CITATION {"citationID":"UucgjBJh","properties":{"formattedCitation":"\\super 96\\nosupersub{}","plainCitation":"96","noteIndex":0},"citationItems":[{"id":147,"uris":["http://zotero.org/users/14445769/items/TGRWSNBW"],"itemData":{"id":147,"type":"webpage","abstract":"This position paper replaces the 2004 WHO position paper on Bacille Calmette Guérin (BCG) vaccine and the 2007 WHO revised BCG vaccination guidelines for infants at risk for human immunodeficiency virus (HIV) infection.","language":"en","title":"BCG vaccines: WHO position paper – February 2018 – Vaccins BCG: Note de synthèse de l’OMS – Février 2018","title-short":"BCG vaccines","URL":"https://www.who.int/publications/i/item/who-wer9308-73-96","accessed":{"date-parts":[["2024",7,1]]}}}],"schema":"https://github.com/citation-style-language/schema/raw/master/csl-citation.json"} </w:instrText>
      </w:r>
      <w:r w:rsidR="00696B3C" w:rsidRPr="00DC55B0">
        <w:rPr>
          <w:rFonts w:ascii="Calibri" w:hAnsi="Calibri" w:cs="Calibri"/>
        </w:rPr>
        <w:fldChar w:fldCharType="separate"/>
      </w:r>
      <w:r w:rsidR="008324C0" w:rsidRPr="00DC55B0">
        <w:rPr>
          <w:rFonts w:ascii="Calibri" w:hAnsi="Calibri" w:cs="Calibri"/>
          <w:kern w:val="0"/>
          <w:vertAlign w:val="superscript"/>
        </w:rPr>
        <w:t>96</w:t>
      </w:r>
      <w:r w:rsidR="00696B3C" w:rsidRPr="00DC55B0">
        <w:rPr>
          <w:rFonts w:ascii="Calibri" w:hAnsi="Calibri" w:cs="Calibri"/>
        </w:rPr>
        <w:fldChar w:fldCharType="end"/>
      </w:r>
    </w:p>
    <w:p w14:paraId="106D2F84" w14:textId="77777777" w:rsidR="00E82D90" w:rsidRPr="00DC55B0" w:rsidRDefault="00E82D90" w:rsidP="001F3ACA">
      <w:pPr>
        <w:rPr>
          <w:rFonts w:ascii="Calibri" w:hAnsi="Calibri" w:cs="Calibri"/>
        </w:rPr>
      </w:pPr>
    </w:p>
    <w:p w14:paraId="6FE9A890" w14:textId="3E566EB1" w:rsidR="00967E5E" w:rsidRPr="00DC55B0" w:rsidRDefault="00E82D90" w:rsidP="001F3ACA">
      <w:pPr>
        <w:rPr>
          <w:rFonts w:ascii="Calibri" w:hAnsi="Calibri" w:cs="Calibri"/>
        </w:rPr>
      </w:pPr>
      <w:r w:rsidRPr="00DC55B0">
        <w:rPr>
          <w:rFonts w:ascii="Calibri" w:hAnsi="Calibri" w:cs="Calibri"/>
        </w:rPr>
        <w:t>The only currently available tuberculosis vaccine is BCG. As a live-attenuated vaccine</w:t>
      </w:r>
      <w:r w:rsidR="003D5C0D" w:rsidRPr="00DC55B0">
        <w:rPr>
          <w:rFonts w:ascii="Calibri" w:hAnsi="Calibri" w:cs="Calibri"/>
        </w:rPr>
        <w:t>, BCG is contraindicated in pregnancy so a vaccination in pregnancy strategy</w:t>
      </w:r>
      <w:r w:rsidR="00E215BB" w:rsidRPr="00DC55B0">
        <w:rPr>
          <w:rFonts w:ascii="Calibri" w:hAnsi="Calibri" w:cs="Calibri"/>
        </w:rPr>
        <w:t xml:space="preserve"> is not current possible for tuberculosis</w:t>
      </w:r>
      <w:r w:rsidR="003D5C0D" w:rsidRPr="00DC55B0">
        <w:rPr>
          <w:rFonts w:ascii="Calibri" w:hAnsi="Calibri" w:cs="Calibri"/>
        </w:rPr>
        <w:t xml:space="preserve">. However, an infant dose of BCG is </w:t>
      </w:r>
      <w:r w:rsidR="006C4FAA" w:rsidRPr="00DC55B0">
        <w:rPr>
          <w:rFonts w:ascii="Calibri" w:hAnsi="Calibri" w:cs="Calibri"/>
        </w:rPr>
        <w:t>80</w:t>
      </w:r>
      <w:r w:rsidR="003D5C0D" w:rsidRPr="00DC55B0">
        <w:rPr>
          <w:rFonts w:ascii="Calibri" w:hAnsi="Calibri" w:cs="Calibri"/>
        </w:rPr>
        <w:t xml:space="preserve">% effective </w:t>
      </w:r>
      <w:r w:rsidR="00A3611D" w:rsidRPr="00DC55B0">
        <w:rPr>
          <w:rFonts w:ascii="Calibri" w:hAnsi="Calibri" w:cs="Calibri"/>
        </w:rPr>
        <w:t xml:space="preserve">at protecting </w:t>
      </w:r>
      <w:r w:rsidR="003D5C0D" w:rsidRPr="00DC55B0">
        <w:rPr>
          <w:rFonts w:ascii="Calibri" w:hAnsi="Calibri" w:cs="Calibri"/>
        </w:rPr>
        <w:t xml:space="preserve">against death from tuberculosis </w:t>
      </w:r>
      <w:r w:rsidR="0083502A" w:rsidRPr="00DC55B0">
        <w:rPr>
          <w:rFonts w:ascii="Calibri" w:hAnsi="Calibri" w:cs="Calibri"/>
        </w:rPr>
        <w:t xml:space="preserve">in children under five </w:t>
      </w:r>
      <w:r w:rsidR="006C4FAA" w:rsidRPr="00DC55B0">
        <w:rPr>
          <w:rFonts w:ascii="Calibri" w:hAnsi="Calibri" w:cs="Calibri"/>
        </w:rPr>
        <w:t>(95% CI: 31-94%)</w:t>
      </w:r>
      <w:r w:rsidR="00887E1C" w:rsidRPr="00DC55B0">
        <w:rPr>
          <w:rFonts w:ascii="Calibri" w:hAnsi="Calibri" w:cs="Calibri"/>
        </w:rPr>
        <w:t>.</w:t>
      </w:r>
      <w:r w:rsidR="00887E1C" w:rsidRPr="00DC55B0">
        <w:rPr>
          <w:rFonts w:ascii="Calibri" w:hAnsi="Calibri" w:cs="Calibri"/>
        </w:rPr>
        <w:fldChar w:fldCharType="begin"/>
      </w:r>
      <w:r w:rsidR="008324C0" w:rsidRPr="00DC55B0">
        <w:rPr>
          <w:rFonts w:ascii="Calibri" w:hAnsi="Calibri" w:cs="Calibri"/>
        </w:rPr>
        <w:instrText xml:space="preserve"> ADDIN ZOTERO_ITEM CSL_CITATION {"citationID":"XYxgTUTD","properties":{"formattedCitation":"\\super 97\\nosupersub{}","plainCitation":"97","noteIndex":0},"citationItems":[{"id":156,"uris":["http://zotero.org/users/14445769/items/9ZGUXNTG"],"itemData":{"id":156,"type":"article-journal","container-title":"The Lancet Global Health","DOI":"10.1016/S2214-109X(22)00283-2","ISSN":"2214109X","issue":"9","journalAbbreviation":"The Lancet Global Health","language":"en","page":"e1307-e1316","source":"DOI.org (Crossref)","title":"Infant BCG vaccination and risk of pulmonary and extrapulmonary tuberculosis throughout the life course: a systematic review and individual participant data meta-analysis","title-short":"Infant BCG vaccination and risk of pulmonary and extrapulmonary tuberculosis throughout the life course","volume":"10","author":[{"family":"Martinez","given":"Leonardo"},{"family":"Cords","given":"Olivia"},{"family":"Liu","given":"Qiao"},{"family":"Acuna-Villaorduna","given":"Carlos"},{"family":"Bonnet","given":"Maryline"},{"family":"Fox","given":"Greg J"},{"family":"Carvalho","given":"Anna Cristina C"},{"family":"Chan","given":"Pei-Chun"},{"family":"Croda","given":"Julio"},{"family":"Hill","given":"Philip C"},{"family":"Lopez-Varela","given":"Elisa"},{"family":"Donkor","given":"Simon"},{"family":"Fielding","given":"Katherine"},{"family":"Graham","given":"Stephen M"},{"family":"Espinal","given":"Marcos A"},{"family":"Kampmann","given":"Beate"},{"family":"Reingold","given":"Arthur"},{"family":"Huerga","given":"Helena"},{"family":"Villalba","given":"Julian A"},{"family":"Grandjean","given":"Louis"},{"family":"Sotgiu","given":"Giovanni"},{"family":"Egere","given":"Uzochukwu"},{"family":"Singh","given":"Sarman"},{"family":"Zhu","given":"Limei"},{"family":"Lienhardt","given":"Christian"},{"family":"Denholm","given":"Justin T"},{"family":"Seddon","given":"James A"},{"family":"Whalen","given":"Christopher C"},{"family":"García-Basteiro","given":"Alberto L"},{"family":"Triasih","given":"Rina"},{"family":"Chen","given":"Cheng"},{"family":"Singh","given":"Jitendra"},{"family":"Huang","given":"Li-Min"},{"family":"Sharma","given":"Surendra"},{"family":"Hannoun","given":"Djohar"},{"family":"Del Corral","given":"Helena"},{"family":"Mandalakas","given":"Anna M"},{"family":"Malone","given":"LaShaunda L"},{"family":"Ling","given":"Du-Lin"},{"family":"Kritski","given":"Afrânio"},{"family":"Stein","given":"Catherine M"},{"family":"Vashishtha","given":"Richa"},{"family":"Boulahbal","given":"Fadila"},{"family":"Fang","given":"Chi-Tai"},{"family":"Boom","given":"W Henry"},{"family":"Netto","given":"Eduardo Martins"},{"family":"Lemos","given":"Antonio Carlos"},{"family":"Hesseling","given":"Anneke C"},{"family":"Kay","given":"Alexander"},{"family":"Jones-López","given":"Edward C"},{"family":"Horsburgh","given":"C Robert"},{"family":"Lange","given":"Christoph"},{"family":"Andrews","given":"Jason R"}],"issued":{"date-parts":[["2022",9]]}}}],"schema":"https://github.com/citation-style-language/schema/raw/master/csl-citation.json"} </w:instrText>
      </w:r>
      <w:r w:rsidR="00887E1C" w:rsidRPr="00DC55B0">
        <w:rPr>
          <w:rFonts w:ascii="Calibri" w:hAnsi="Calibri" w:cs="Calibri"/>
        </w:rPr>
        <w:fldChar w:fldCharType="separate"/>
      </w:r>
      <w:r w:rsidR="008324C0" w:rsidRPr="00DC55B0">
        <w:rPr>
          <w:rFonts w:ascii="Calibri" w:hAnsi="Calibri" w:cs="Calibri"/>
          <w:kern w:val="0"/>
          <w:vertAlign w:val="superscript"/>
        </w:rPr>
        <w:t>97</w:t>
      </w:r>
      <w:r w:rsidR="00887E1C" w:rsidRPr="00DC55B0">
        <w:rPr>
          <w:rFonts w:ascii="Calibri" w:hAnsi="Calibri" w:cs="Calibri"/>
        </w:rPr>
        <w:fldChar w:fldCharType="end"/>
      </w:r>
      <w:r w:rsidR="00FC4BA7" w:rsidRPr="00DC55B0">
        <w:rPr>
          <w:rFonts w:ascii="Calibri" w:hAnsi="Calibri" w:cs="Calibri"/>
        </w:rPr>
        <w:t xml:space="preserve"> </w:t>
      </w:r>
      <w:r w:rsidR="00967E5E" w:rsidRPr="00DC55B0">
        <w:rPr>
          <w:rFonts w:ascii="Calibri" w:hAnsi="Calibri" w:cs="Calibri"/>
        </w:rPr>
        <w:t>A</w:t>
      </w:r>
      <w:r w:rsidR="00A3611D" w:rsidRPr="00DC55B0">
        <w:rPr>
          <w:rFonts w:ascii="Calibri" w:hAnsi="Calibri" w:cs="Calibri"/>
        </w:rPr>
        <w:t>n additional</w:t>
      </w:r>
      <w:r w:rsidR="00AC1E4A" w:rsidRPr="00DC55B0">
        <w:rPr>
          <w:rFonts w:ascii="Calibri" w:hAnsi="Calibri" w:cs="Calibri"/>
        </w:rPr>
        <w:t xml:space="preserve"> </w:t>
      </w:r>
      <w:r w:rsidR="00967E5E" w:rsidRPr="00DC55B0">
        <w:rPr>
          <w:rFonts w:ascii="Calibri" w:hAnsi="Calibri" w:cs="Calibri"/>
        </w:rPr>
        <w:t>birth dose of oral polio vaccine is</w:t>
      </w:r>
      <w:r w:rsidR="009C0117" w:rsidRPr="00DC55B0">
        <w:rPr>
          <w:rFonts w:ascii="Calibri" w:hAnsi="Calibri" w:cs="Calibri"/>
        </w:rPr>
        <w:t xml:space="preserve"> </w:t>
      </w:r>
      <w:r w:rsidR="00967E5E" w:rsidRPr="00DC55B0">
        <w:rPr>
          <w:rFonts w:ascii="Calibri" w:hAnsi="Calibri" w:cs="Calibri"/>
        </w:rPr>
        <w:t xml:space="preserve">recommended </w:t>
      </w:r>
      <w:r w:rsidR="00CD6A8B" w:rsidRPr="00DC55B0">
        <w:rPr>
          <w:rFonts w:ascii="Calibri" w:hAnsi="Calibri" w:cs="Calibri"/>
        </w:rPr>
        <w:t>becau</w:t>
      </w:r>
      <w:r w:rsidR="00B060E0" w:rsidRPr="00DC55B0">
        <w:rPr>
          <w:rFonts w:ascii="Calibri" w:hAnsi="Calibri" w:cs="Calibri"/>
        </w:rPr>
        <w:t>se</w:t>
      </w:r>
      <w:r w:rsidR="00324ABF" w:rsidRPr="00DC55B0">
        <w:rPr>
          <w:rFonts w:ascii="Calibri" w:hAnsi="Calibri" w:cs="Calibri"/>
        </w:rPr>
        <w:t xml:space="preserve"> </w:t>
      </w:r>
      <w:r w:rsidR="00AF69D2" w:rsidRPr="00DC55B0">
        <w:rPr>
          <w:rFonts w:ascii="Calibri" w:hAnsi="Calibri" w:cs="Calibri"/>
        </w:rPr>
        <w:t>it</w:t>
      </w:r>
      <w:r w:rsidR="00EA18BF" w:rsidRPr="00DC55B0">
        <w:rPr>
          <w:rFonts w:ascii="Calibri" w:hAnsi="Calibri" w:cs="Calibri"/>
        </w:rPr>
        <w:t xml:space="preserve"> enhances </w:t>
      </w:r>
      <w:r w:rsidR="00F23D37" w:rsidRPr="00DC55B0">
        <w:rPr>
          <w:rFonts w:ascii="Calibri" w:hAnsi="Calibri" w:cs="Calibri"/>
        </w:rPr>
        <w:t>seroconversion</w:t>
      </w:r>
      <w:r w:rsidR="00EA18BF" w:rsidRPr="00DC55B0">
        <w:rPr>
          <w:rFonts w:ascii="Calibri" w:hAnsi="Calibri" w:cs="Calibri"/>
        </w:rPr>
        <w:t xml:space="preserve"> following subsequent completion of the three-dose infant schedule, which alone is inadequate </w:t>
      </w:r>
      <w:r w:rsidR="00A3611D" w:rsidRPr="00DC55B0">
        <w:rPr>
          <w:rFonts w:ascii="Calibri" w:hAnsi="Calibri" w:cs="Calibri"/>
        </w:rPr>
        <w:t xml:space="preserve">at protecting against polio </w:t>
      </w:r>
      <w:r w:rsidR="00EA18BF" w:rsidRPr="00DC55B0">
        <w:rPr>
          <w:rFonts w:ascii="Calibri" w:hAnsi="Calibri" w:cs="Calibri"/>
        </w:rPr>
        <w:t xml:space="preserve">in </w:t>
      </w:r>
      <w:r w:rsidR="00B06EE0" w:rsidRPr="00DC55B0">
        <w:rPr>
          <w:rFonts w:ascii="Calibri" w:hAnsi="Calibri" w:cs="Calibri"/>
        </w:rPr>
        <w:t>regions</w:t>
      </w:r>
      <w:r w:rsidR="00A044F1" w:rsidRPr="00DC55B0">
        <w:rPr>
          <w:rFonts w:ascii="Calibri" w:hAnsi="Calibri" w:cs="Calibri"/>
        </w:rPr>
        <w:t xml:space="preserve"> where the virus is endemic</w:t>
      </w:r>
      <w:r w:rsidR="00887E1C" w:rsidRPr="00DC55B0">
        <w:rPr>
          <w:rFonts w:ascii="Calibri" w:hAnsi="Calibri" w:cs="Calibri"/>
        </w:rPr>
        <w:t>.</w:t>
      </w:r>
      <w:r w:rsidR="00887E1C" w:rsidRPr="00DC55B0">
        <w:rPr>
          <w:rFonts w:ascii="Calibri" w:hAnsi="Calibri" w:cs="Calibri"/>
        </w:rPr>
        <w:fldChar w:fldCharType="begin"/>
      </w:r>
      <w:r w:rsidR="008324C0" w:rsidRPr="00DC55B0">
        <w:rPr>
          <w:rFonts w:ascii="Calibri" w:hAnsi="Calibri" w:cs="Calibri"/>
        </w:rPr>
        <w:instrText xml:space="preserve"> ADDIN ZOTERO_ITEM CSL_CITATION {"citationID":"Yn1ZUJcm","properties":{"formattedCitation":"\\super 98\\uc0\\u8211{}100\\nosupersub{}","plainCitation":"98–100","noteIndex":0},"citationItems":[{"id":143,"uris":["http://zotero.org/users/14445769/items/JCUQHA7P"],"itemData":{"id":143,"type":"article-journal","abstract":"A study was carried out between November 1981 and April 1982 on the immunological effect of administering trivalent live, oral polio vaccine to 200 mature healthy neonates from Henan Province, China. The initial dose of vaccine was given at 3 days of age, and 2 months thereafter antibodies to poliovirus types 1, 2, and 3, respectively, were detected in 46.7%, 60.7% and 48.6% of the neonates; after the second dose, the levels were 86.9%, 95.3%, and 97.2%, with geometric mean titres of 1:106.2, 1:349.8, and 1:232.5. Almost 100% of neonates exhibited antibodies after the fourth dose of vaccine. Eighty-two percent of the neonates excreted poliovirus for at least a week after the initial dose of vaccine, and this increased to 99% after the second dose. Seroconversion at 4 months of age was similar to that of a group of controls who received their initial dose of vaccine at 2 months of age; however, immunization of neonates induced immunity to poliovirus at the earliest possible age.","container-title":"Bulletin of the World Health Organization","ISSN":"0042-9686","issue":"6","journalAbbreviation":"Bull World Health Organ","language":"eng","note":"PMID: 3493854\nPMCID: PMC2490980","page":"853-860","source":"PubMed","title":"Immunization of neonates with trivalent oral poliomyelitis vaccine (Sabin)","volume":"64","author":[{"family":"Dong","given":"D. X."},{"family":"Hu","given":"X. M."},{"family":"Liu","given":"W. J."},{"family":"Li","given":"J. S."},{"family":"Jin","given":"Y. C."},{"family":"Tan","given":"S. G."},{"family":"Chen","given":"T. Q."},{"family":"Fu","given":"J. Z."},{"family":"Niu","given":"B. Y."},{"family":"Yu","given":"H. M."}],"issued":{"date-parts":[["1986"]]}}},{"id":146,"uris":["http://zotero.org/users/14445769/items/JGCHKPWV"],"itemData":{"id":146,"type":"article-journal","abstract":"Administration of supplementary dose of oral polio vaccine (OPV) during neonatal period is recommended by WHO in countries like India, where host response to the regular to the regular three-dose schedule is not satisfactory and poliomyelitis continues to be a problem. The efficacy of this dose +3, and +5 doses of OPV in terms of seropositivity, seroconversion, systemic, and mucosal antibody responses were measured in 51 infants in a follow-up study from birth to 30 weeks. Administration of the additional dose in the newborn period significantly improved seropositivity and seroconversion rates compared to the conventional 3 or 5 dose schedules. Systemic antibody titres improved with each dose of the vaccine and 40-60 per cent of infants had &gt; 1:128 titres to the three types of polioviruses that could prevent re-infection of the gut and 50 per cent of them had mucosal antibodies as evidenced by specific IgA in nasopharyngeal secretions. Therefore, administration of OPV in the neonatal period should be made compulsory in countries where poliomyelitis still continues to be a problem.","container-title":"Journal of Tropical Pediatrics","DOI":"10.1093/tropej/43.4.232","ISSN":"0142-6338","issue":"4","journalAbbreviation":"J Trop Pediatr","language":"eng","note":"PMID: 9283127","page":"232-234","source":"PubMed","title":"Systemic and mucosal immune response to polio vaccination with additional dose in newborn period","volume":"43","author":[{"family":"Bhaskaram","given":"P."},{"family":"Nair","given":"K. M."},{"family":"Hemalatha","given":"P."},{"family":"Murthy","given":"N."},{"family":"Nair","given":"P."}],"issued":{"date-parts":[["1997",8]]}}},{"id":145,"uris":["http://zotero.org/users/14445769/items/EDBM6JVG"],"itemData":{"id":145,"type":"article-journal","abstract":"Background\nTo provide the polio eradication initiative with more immunogenic oral poliovirus vaccines (OPVs), we evaluated newly developed monovalent type 1 OPV (mOPV1) among infants in India.\nMethods\nTwo double-blind randomized controlled clinical trials compared two mOPV1s (mOPV1 A and mOPV1 B) versus trivalent OPV (tOPV X) given at birth (trial I), or assessed two products of higher-potency mOPV1 (mOPV1 C and mOPV1 D) versus regular-potency mOPV1 (mOPV1 B) or tOPV Y given at birth and at 30 days (trial II).\nResults\nIn trial I, 597 newborns were enrolled, 66 withdrawn or excluded, leaving 531 (88.9%) subjects for analysis. Seroconversion to poliovirus type 1 was 10.4% for mOPV1 A, 15.6% for mOPV1 B and 10.2% for tOPV X. In trial II, 718 newborns were enrolled, 135 withdrawn or excluded, leaving 583 (81.2%) subjects for analysis. Seroconversion to poliovirus type 1 following a birth dose was 15.1%, 19.7%, 18.0% and 10.6%, following the 30-day dose 87.1%, 89.2%, 84.4%, or 55.9%, and cumulative for both doses 90.4%, 90.3%, 89.5% and 61.9% for mOPV1s B, C, and D and tOPV Y, respectively.\nConclusions\nIn both studies, seronconversion rates were unexpectedly low to poliovirus type 1 after mOPV1 or tOPV given at birth but high for all formulations of mOPV1 given at age 30 days. The cause for low immunogenicity of OPV at birth in India is not known.","container-title":"Vaccine","DOI":"10.1016/j.vaccine.2011.04.133","ISSN":"0264-410X","issue":"34","journalAbbreviation":"Vaccine","page":"5793-5801","source":"ScienceDirect","title":"Monovalent type 1 oral poliovirus vaccine among infants in India: Report of two randomized double-blind controlled clinical trials","title-short":"Monovalent type 1 oral poliovirus vaccine among infants in India","volume":"29","author":[{"family":"John","given":"T. Jacob"},{"family":"Jain","given":"Hemant"},{"family":"Ravishankar","given":"Kanithi"},{"family":"Amaresh","given":"A."},{"family":"Verma","given":"Harish"},{"family":"Deshpande","given":"Jagadish"},{"family":"Pallansch","given":"Mark A."},{"family":"Singh","given":"Ajit Pal"},{"family":"Sreevatsava","given":"Meghana"},{"family":"Burton","given":"Anthony"},{"family":"Malankar","given":"Pradeep"},{"family":"Chatterjee","given":"Arani"},{"family":"Sutter","given":"Roland W."}],"issued":{"date-parts":[["2011",8,5]]}}}],"schema":"https://github.com/citation-style-language/schema/raw/master/csl-citation.json"} </w:instrText>
      </w:r>
      <w:r w:rsidR="00887E1C" w:rsidRPr="00DC55B0">
        <w:rPr>
          <w:rFonts w:ascii="Calibri" w:hAnsi="Calibri" w:cs="Calibri"/>
        </w:rPr>
        <w:fldChar w:fldCharType="separate"/>
      </w:r>
      <w:r w:rsidR="008324C0" w:rsidRPr="00DC55B0">
        <w:rPr>
          <w:rFonts w:ascii="Calibri" w:hAnsi="Calibri" w:cs="Calibri"/>
          <w:kern w:val="0"/>
          <w:vertAlign w:val="superscript"/>
        </w:rPr>
        <w:t>98–100</w:t>
      </w:r>
      <w:r w:rsidR="00887E1C" w:rsidRPr="00DC55B0">
        <w:rPr>
          <w:rFonts w:ascii="Calibri" w:hAnsi="Calibri" w:cs="Calibri"/>
        </w:rPr>
        <w:fldChar w:fldCharType="end"/>
      </w:r>
    </w:p>
    <w:p w14:paraId="729EC80C" w14:textId="77777777" w:rsidR="00575C06" w:rsidRPr="00DC55B0" w:rsidRDefault="00575C06" w:rsidP="001F3ACA">
      <w:pPr>
        <w:rPr>
          <w:rFonts w:ascii="Calibri" w:hAnsi="Calibri" w:cs="Calibri"/>
        </w:rPr>
      </w:pPr>
    </w:p>
    <w:p w14:paraId="3B05617A" w14:textId="596D58CE" w:rsidR="005F1756" w:rsidRPr="00DC55B0" w:rsidRDefault="00575C06" w:rsidP="001F3ACA">
      <w:pPr>
        <w:rPr>
          <w:rFonts w:ascii="Calibri" w:hAnsi="Calibri" w:cs="Calibri"/>
        </w:rPr>
      </w:pPr>
      <w:r w:rsidRPr="00DC55B0">
        <w:rPr>
          <w:rFonts w:ascii="Calibri" w:hAnsi="Calibri" w:cs="Calibri"/>
        </w:rPr>
        <w:t>Because the BCG and oral polio vaccine</w:t>
      </w:r>
      <w:r w:rsidR="00A044F1" w:rsidRPr="00DC55B0">
        <w:rPr>
          <w:rFonts w:ascii="Calibri" w:hAnsi="Calibri" w:cs="Calibri"/>
        </w:rPr>
        <w:t>s</w:t>
      </w:r>
      <w:r w:rsidRPr="00DC55B0">
        <w:rPr>
          <w:rFonts w:ascii="Calibri" w:hAnsi="Calibri" w:cs="Calibri"/>
        </w:rPr>
        <w:t xml:space="preserve"> are both live attenuated vaccines, they have the </w:t>
      </w:r>
      <w:r w:rsidR="00744305" w:rsidRPr="00DC55B0">
        <w:rPr>
          <w:rFonts w:ascii="Calibri" w:hAnsi="Calibri" w:cs="Calibri"/>
        </w:rPr>
        <w:t xml:space="preserve">potential to cause </w:t>
      </w:r>
      <w:r w:rsidR="002D123E" w:rsidRPr="00DC55B0">
        <w:rPr>
          <w:rFonts w:ascii="Calibri" w:hAnsi="Calibri" w:cs="Calibri"/>
        </w:rPr>
        <w:t>disease, particularly in immunodeficient infants.</w:t>
      </w:r>
      <w:r w:rsidR="00CA2CBD" w:rsidRPr="00DC55B0">
        <w:rPr>
          <w:rFonts w:ascii="Calibri" w:hAnsi="Calibri" w:cs="Calibri"/>
        </w:rPr>
        <w:t xml:space="preserve"> In </w:t>
      </w:r>
      <w:r w:rsidR="00F6292E" w:rsidRPr="00DC55B0">
        <w:rPr>
          <w:rFonts w:ascii="Calibri" w:hAnsi="Calibri" w:cs="Calibri"/>
        </w:rPr>
        <w:t>the UK</w:t>
      </w:r>
      <w:r w:rsidR="00067C0B" w:rsidRPr="00DC55B0">
        <w:rPr>
          <w:rFonts w:ascii="Calibri" w:hAnsi="Calibri" w:cs="Calibri"/>
        </w:rPr>
        <w:t xml:space="preserve">, </w:t>
      </w:r>
      <w:r w:rsidR="00614FBF" w:rsidRPr="00DC55B0">
        <w:rPr>
          <w:rFonts w:ascii="Calibri" w:hAnsi="Calibri" w:cs="Calibri"/>
        </w:rPr>
        <w:t xml:space="preserve">BCG is only recommended to at-risk infants and, in regions where severe combined immunodeficiency (SCID) screening is offered, </w:t>
      </w:r>
      <w:r w:rsidR="00067C0B" w:rsidRPr="00DC55B0">
        <w:rPr>
          <w:rFonts w:ascii="Calibri" w:hAnsi="Calibri" w:cs="Calibri"/>
        </w:rPr>
        <w:t xml:space="preserve">the administration of the BCG is delayed until </w:t>
      </w:r>
      <w:r w:rsidR="00614FBF" w:rsidRPr="00DC55B0">
        <w:rPr>
          <w:rFonts w:ascii="Calibri" w:hAnsi="Calibri" w:cs="Calibri"/>
        </w:rPr>
        <w:t xml:space="preserve">the </w:t>
      </w:r>
      <w:r w:rsidR="00067C0B" w:rsidRPr="00DC55B0">
        <w:rPr>
          <w:rFonts w:ascii="Calibri" w:hAnsi="Calibri" w:cs="Calibri"/>
        </w:rPr>
        <w:t>results are available</w:t>
      </w:r>
      <w:r w:rsidR="0069355D" w:rsidRPr="00DC55B0">
        <w:rPr>
          <w:rFonts w:ascii="Calibri" w:hAnsi="Calibri" w:cs="Calibri"/>
        </w:rPr>
        <w:t>.</w:t>
      </w:r>
      <w:r w:rsidR="0069355D" w:rsidRPr="00DC55B0">
        <w:rPr>
          <w:rFonts w:ascii="Calibri" w:hAnsi="Calibri" w:cs="Calibri"/>
        </w:rPr>
        <w:fldChar w:fldCharType="begin"/>
      </w:r>
      <w:r w:rsidR="008324C0" w:rsidRPr="00DC55B0">
        <w:rPr>
          <w:rFonts w:ascii="Calibri" w:hAnsi="Calibri" w:cs="Calibri"/>
        </w:rPr>
        <w:instrText xml:space="preserve"> ADDIN ZOTERO_ITEM CSL_CITATION {"citationID":"ITvKuorm","properties":{"formattedCitation":"\\super 101\\nosupersub{}","plainCitation":"101","noteIndex":0},"citationItems":[{"id":151,"uris":["http://zotero.org/users/14445769/items/VSD4KHUJ"],"itemData":{"id":151,"type":"webpage","container-title":"GOV.UK","language":"en","title":"Vaccine update: issue 327, April 2022, SCID, TB and BCG special edition","title-short":"Vaccine update","URL":"https://www.gov.uk/government/publications/vaccine-update-issue-327-may-2022-scid-tb-and-bcg-special-edition/vaccine-update-issue-327-april-2022-scid-tb-and-bcg-special-edition","accessed":{"date-parts":[["2024",7,1]]}}}],"schema":"https://github.com/citation-style-language/schema/raw/master/csl-citation.json"} </w:instrText>
      </w:r>
      <w:r w:rsidR="0069355D" w:rsidRPr="00DC55B0">
        <w:rPr>
          <w:rFonts w:ascii="Calibri" w:hAnsi="Calibri" w:cs="Calibri"/>
        </w:rPr>
        <w:fldChar w:fldCharType="separate"/>
      </w:r>
      <w:r w:rsidR="008324C0" w:rsidRPr="00DC55B0">
        <w:rPr>
          <w:rFonts w:ascii="Calibri" w:hAnsi="Calibri" w:cs="Calibri"/>
          <w:kern w:val="0"/>
          <w:vertAlign w:val="superscript"/>
        </w:rPr>
        <w:t>101</w:t>
      </w:r>
      <w:r w:rsidR="0069355D" w:rsidRPr="00DC55B0">
        <w:rPr>
          <w:rFonts w:ascii="Calibri" w:hAnsi="Calibri" w:cs="Calibri"/>
        </w:rPr>
        <w:fldChar w:fldCharType="end"/>
      </w:r>
      <w:r w:rsidR="00067C0B" w:rsidRPr="00DC55B0">
        <w:rPr>
          <w:rFonts w:ascii="Calibri" w:hAnsi="Calibri" w:cs="Calibri"/>
        </w:rPr>
        <w:t xml:space="preserve"> </w:t>
      </w:r>
      <w:r w:rsidR="00C15EA4" w:rsidRPr="00DC55B0">
        <w:rPr>
          <w:rFonts w:ascii="Calibri" w:hAnsi="Calibri" w:cs="Calibri"/>
        </w:rPr>
        <w:t xml:space="preserve">The potential for harm from BCG administration, together with the relatively low effectiveness of this vaccine, means that the development of a new tuberculosis vaccine is a priority. </w:t>
      </w:r>
      <w:r w:rsidR="00AA2419" w:rsidRPr="00DC55B0">
        <w:rPr>
          <w:rFonts w:ascii="Calibri" w:hAnsi="Calibri" w:cs="Calibri"/>
        </w:rPr>
        <w:t xml:space="preserve">For </w:t>
      </w:r>
      <w:r w:rsidR="00A044F1" w:rsidRPr="00DC55B0">
        <w:rPr>
          <w:rFonts w:ascii="Calibri" w:hAnsi="Calibri" w:cs="Calibri"/>
        </w:rPr>
        <w:t xml:space="preserve">the </w:t>
      </w:r>
      <w:r w:rsidR="00AA2419" w:rsidRPr="00DC55B0">
        <w:rPr>
          <w:rFonts w:ascii="Calibri" w:hAnsi="Calibri" w:cs="Calibri"/>
        </w:rPr>
        <w:t xml:space="preserve">oral polio vaccine, administration at birth is thought to reduce the risk of </w:t>
      </w:r>
      <w:r w:rsidR="002579F3" w:rsidRPr="00DC55B0">
        <w:rPr>
          <w:rFonts w:ascii="Calibri" w:hAnsi="Calibri" w:cs="Calibri"/>
        </w:rPr>
        <w:t>vaccine-associated disease, since babies are still somewhat protected by maternal antibodies</w:t>
      </w:r>
      <w:r w:rsidR="00A044F1" w:rsidRPr="00DC55B0">
        <w:rPr>
          <w:rFonts w:ascii="Calibri" w:hAnsi="Calibri" w:cs="Calibri"/>
        </w:rPr>
        <w:t>.</w:t>
      </w:r>
      <w:r w:rsidR="00602657" w:rsidRPr="00DC55B0">
        <w:rPr>
          <w:rFonts w:ascii="Calibri" w:hAnsi="Calibri" w:cs="Calibri"/>
        </w:rPr>
        <w:t xml:space="preserve"> </w:t>
      </w:r>
      <w:r w:rsidR="00A044F1" w:rsidRPr="00DC55B0">
        <w:rPr>
          <w:rFonts w:ascii="Calibri" w:hAnsi="Calibri" w:cs="Calibri"/>
        </w:rPr>
        <w:t>A</w:t>
      </w:r>
      <w:r w:rsidR="00602657" w:rsidRPr="00DC55B0">
        <w:rPr>
          <w:rFonts w:ascii="Calibri" w:hAnsi="Calibri" w:cs="Calibri"/>
        </w:rPr>
        <w:t>s global eradication of the disease approaches, the oral vaccine will be phased out entirely</w:t>
      </w:r>
      <w:r w:rsidR="00C91568" w:rsidRPr="00DC55B0">
        <w:rPr>
          <w:rFonts w:ascii="Calibri" w:hAnsi="Calibri" w:cs="Calibri"/>
        </w:rPr>
        <w:t>.</w:t>
      </w:r>
      <w:r w:rsidR="00C91568" w:rsidRPr="00DC55B0">
        <w:rPr>
          <w:rFonts w:ascii="Calibri" w:hAnsi="Calibri" w:cs="Calibri"/>
        </w:rPr>
        <w:fldChar w:fldCharType="begin"/>
      </w:r>
      <w:r w:rsidR="008324C0" w:rsidRPr="00DC55B0">
        <w:rPr>
          <w:rFonts w:ascii="Calibri" w:hAnsi="Calibri" w:cs="Calibri"/>
        </w:rPr>
        <w:instrText xml:space="preserve"> ADDIN ZOTERO_ITEM CSL_CITATION {"citationID":"pHuqwBj6","properties":{"formattedCitation":"\\super 95\\nosupersub{}","plainCitation":"95","noteIndex":0},"citationItems":[{"id":148,"uris":["http://zotero.org/users/14445769/items/XMWKUJVJ"],"itemData":{"id":148,"type":"webpage","abstract":"In accordance with its mandate to provide guidance to Member States on health\npolicy matters, WHO issues a series of regularly updated position papers on\nvaccines and combinations of vaccines against diseases that have an international\npublic health impact. These papers are concerned primarily with the use of vaccines in large-scale immunization programmes. They summarize essential background information on diseases and vaccines and conclude with the current WHO position on the use of vaccines worldwide.","language":"en","title":"Polio vaccines: WHO position paper – June 2022","title-short":"Polio vaccines","URL":"https://www.who.int/publications/i/item/WHO-WER9725-277-300","accessed":{"date-parts":[["2024",7,1]]}}}],"schema":"https://github.com/citation-style-language/schema/raw/master/csl-citation.json"} </w:instrText>
      </w:r>
      <w:r w:rsidR="00C91568" w:rsidRPr="00DC55B0">
        <w:rPr>
          <w:rFonts w:ascii="Calibri" w:hAnsi="Calibri" w:cs="Calibri"/>
        </w:rPr>
        <w:fldChar w:fldCharType="separate"/>
      </w:r>
      <w:r w:rsidR="008324C0" w:rsidRPr="00DC55B0">
        <w:rPr>
          <w:rFonts w:ascii="Calibri" w:hAnsi="Calibri" w:cs="Calibri"/>
          <w:kern w:val="0"/>
          <w:vertAlign w:val="superscript"/>
        </w:rPr>
        <w:t>95</w:t>
      </w:r>
      <w:r w:rsidR="00C91568" w:rsidRPr="00DC55B0">
        <w:rPr>
          <w:rFonts w:ascii="Calibri" w:hAnsi="Calibri" w:cs="Calibri"/>
        </w:rPr>
        <w:fldChar w:fldCharType="end"/>
      </w:r>
    </w:p>
    <w:p w14:paraId="185E46EB" w14:textId="77777777" w:rsidR="000120A1" w:rsidRPr="00DC55B0" w:rsidRDefault="000120A1" w:rsidP="001F3ACA">
      <w:pPr>
        <w:rPr>
          <w:rFonts w:ascii="Calibri" w:hAnsi="Calibri" w:cs="Calibri"/>
        </w:rPr>
      </w:pPr>
    </w:p>
    <w:p w14:paraId="65F96C0D" w14:textId="73B208AD" w:rsidR="008125C8" w:rsidRPr="00DC55B0" w:rsidRDefault="008125C8" w:rsidP="001F3ACA">
      <w:pPr>
        <w:rPr>
          <w:rFonts w:ascii="Calibri" w:hAnsi="Calibri" w:cs="Calibri"/>
          <w:b/>
          <w:bCs/>
        </w:rPr>
      </w:pPr>
      <w:r w:rsidRPr="00DC55B0">
        <w:rPr>
          <w:rFonts w:ascii="Calibri" w:hAnsi="Calibri" w:cs="Calibri"/>
          <w:b/>
          <w:bCs/>
        </w:rPr>
        <w:t xml:space="preserve">Emerging programmes </w:t>
      </w:r>
      <w:r w:rsidR="000A48A9" w:rsidRPr="00DC55B0">
        <w:rPr>
          <w:rFonts w:ascii="Calibri" w:hAnsi="Calibri" w:cs="Calibri"/>
          <w:b/>
          <w:bCs/>
        </w:rPr>
        <w:t xml:space="preserve">to protect against </w:t>
      </w:r>
      <w:r w:rsidR="00A044F1" w:rsidRPr="00DC55B0">
        <w:rPr>
          <w:rFonts w:ascii="Calibri" w:hAnsi="Calibri" w:cs="Calibri"/>
          <w:b/>
          <w:bCs/>
        </w:rPr>
        <w:t>r</w:t>
      </w:r>
      <w:r w:rsidR="000A48A9" w:rsidRPr="00DC55B0">
        <w:rPr>
          <w:rFonts w:ascii="Calibri" w:hAnsi="Calibri" w:cs="Calibri"/>
          <w:b/>
          <w:bCs/>
        </w:rPr>
        <w:t xml:space="preserve">espiratory </w:t>
      </w:r>
      <w:r w:rsidR="00A044F1" w:rsidRPr="00DC55B0">
        <w:rPr>
          <w:rFonts w:ascii="Calibri" w:hAnsi="Calibri" w:cs="Calibri"/>
          <w:b/>
          <w:bCs/>
        </w:rPr>
        <w:t>s</w:t>
      </w:r>
      <w:r w:rsidR="000A48A9" w:rsidRPr="00DC55B0">
        <w:rPr>
          <w:rFonts w:ascii="Calibri" w:hAnsi="Calibri" w:cs="Calibri"/>
          <w:b/>
          <w:bCs/>
        </w:rPr>
        <w:t xml:space="preserve">yncytial </w:t>
      </w:r>
      <w:r w:rsidR="00A044F1" w:rsidRPr="00DC55B0">
        <w:rPr>
          <w:rFonts w:ascii="Calibri" w:hAnsi="Calibri" w:cs="Calibri"/>
          <w:b/>
          <w:bCs/>
        </w:rPr>
        <w:t>v</w:t>
      </w:r>
      <w:r w:rsidR="000A48A9" w:rsidRPr="00DC55B0">
        <w:rPr>
          <w:rFonts w:ascii="Calibri" w:hAnsi="Calibri" w:cs="Calibri"/>
          <w:b/>
          <w:bCs/>
        </w:rPr>
        <w:t>irus</w:t>
      </w:r>
    </w:p>
    <w:p w14:paraId="32082821" w14:textId="4BE4AA69" w:rsidR="00533C14" w:rsidRPr="00DC55B0" w:rsidRDefault="00533C14" w:rsidP="001F3ACA">
      <w:pPr>
        <w:rPr>
          <w:rFonts w:ascii="Calibri" w:hAnsi="Calibri" w:cs="Calibri"/>
        </w:rPr>
      </w:pPr>
      <w:r w:rsidRPr="00DC55B0">
        <w:rPr>
          <w:rFonts w:ascii="Calibri" w:hAnsi="Calibri" w:cs="Calibri"/>
        </w:rPr>
        <w:t xml:space="preserve">Respiratory </w:t>
      </w:r>
      <w:r w:rsidR="00A044F1" w:rsidRPr="00DC55B0">
        <w:rPr>
          <w:rFonts w:ascii="Calibri" w:hAnsi="Calibri" w:cs="Calibri"/>
        </w:rPr>
        <w:t>s</w:t>
      </w:r>
      <w:r w:rsidRPr="00DC55B0">
        <w:rPr>
          <w:rFonts w:ascii="Calibri" w:hAnsi="Calibri" w:cs="Calibri"/>
        </w:rPr>
        <w:t xml:space="preserve">yncytial </w:t>
      </w:r>
      <w:r w:rsidR="00A044F1" w:rsidRPr="00DC55B0">
        <w:rPr>
          <w:rFonts w:ascii="Calibri" w:hAnsi="Calibri" w:cs="Calibri"/>
        </w:rPr>
        <w:t>v</w:t>
      </w:r>
      <w:r w:rsidRPr="00DC55B0">
        <w:rPr>
          <w:rFonts w:ascii="Calibri" w:hAnsi="Calibri" w:cs="Calibri"/>
        </w:rPr>
        <w:t xml:space="preserve">irus (RSV) is a leading cause of acute lower respiratory tract infection (LRTI) in children. </w:t>
      </w:r>
      <w:r w:rsidR="00305ADB" w:rsidRPr="00DC55B0">
        <w:rPr>
          <w:rFonts w:ascii="Calibri" w:hAnsi="Calibri" w:cs="Calibri"/>
        </w:rPr>
        <w:t>Globally i</w:t>
      </w:r>
      <w:r w:rsidR="00210CF8" w:rsidRPr="00DC55B0">
        <w:rPr>
          <w:rFonts w:ascii="Calibri" w:hAnsi="Calibri" w:cs="Calibri"/>
        </w:rPr>
        <w:t>n 2019</w:t>
      </w:r>
      <w:r w:rsidRPr="00DC55B0">
        <w:rPr>
          <w:rFonts w:ascii="Calibri" w:hAnsi="Calibri" w:cs="Calibri"/>
        </w:rPr>
        <w:t xml:space="preserve">, an estimated 33 million cases of RSV-associated LRTI (RSV-LRTI) occurred in children </w:t>
      </w:r>
      <w:r w:rsidR="00210CF8" w:rsidRPr="00DC55B0">
        <w:rPr>
          <w:rFonts w:ascii="Calibri" w:hAnsi="Calibri" w:cs="Calibri"/>
        </w:rPr>
        <w:t>under 5</w:t>
      </w:r>
      <w:r w:rsidR="00A044F1" w:rsidRPr="00DC55B0">
        <w:rPr>
          <w:rFonts w:ascii="Calibri" w:hAnsi="Calibri" w:cs="Calibri"/>
        </w:rPr>
        <w:t xml:space="preserve"> years old</w:t>
      </w:r>
      <w:r w:rsidRPr="00DC55B0">
        <w:rPr>
          <w:rFonts w:ascii="Calibri" w:hAnsi="Calibri" w:cs="Calibri"/>
        </w:rPr>
        <w:t>, of which 95% of cases and 97% of the 100,000 deaths occurred in low- and middle-income countries.</w:t>
      </w:r>
      <w:r w:rsidR="00941F84" w:rsidRPr="00DC55B0">
        <w:rPr>
          <w:rFonts w:ascii="Calibri" w:hAnsi="Calibri" w:cs="Calibri"/>
        </w:rPr>
        <w:fldChar w:fldCharType="begin"/>
      </w:r>
      <w:r w:rsidR="008324C0" w:rsidRPr="00DC55B0">
        <w:rPr>
          <w:rFonts w:ascii="Calibri" w:hAnsi="Calibri" w:cs="Calibri"/>
        </w:rPr>
        <w:instrText xml:space="preserve"> ADDIN ZOTERO_ITEM CSL_CITATION {"citationID":"BCnElltd","properties":{"formattedCitation":"\\super 102,103\\nosupersub{}","plainCitation":"102,103","noteIndex":0},"citationItems":[{"id":209,"uris":["http://zotero.org/users/14445769/items/AIIXWZIX"],"itemData":{"id":209,"type":"article-journal","abstract":"BACKGROUND: Respiratory syncytial virus (RSV) is the most common cause of acute lower respiratory infection in young children. We previously estimated that in 2015, 33·1 million episodes of RSV-associated acute lower respiratory infection occurred in children aged 0-60 months, resulting in a total of 118 200 deaths worldwide. Since then, several community surveillance studies have been done to obtain a more precise estimation of RSV associated community deaths. We aimed to update RSV-associated acute lower respiratory infection morbidity and mortality at global, regional, and national levels in children aged 0-60 months for 2019, with focus on overall mortality and narrower infant age groups that are targeted by RSV prophylactics in development.\nMETHODS: In this systematic analysis, we expanded our global RSV disease burden dataset by obtaining new data from an updated search for papers published between Jan 1, 2017, and Dec 31, 2020, from MEDLINE, Embase, Global Health, CINAHL, Web of Science, LILACS, OpenGrey, CNKI, Wanfang, and ChongqingVIP. We also included unpublished data from RSV GEN collaborators. Eligible studies reported data for children aged 0-60 months with RSV as primary infection with acute lower respiratory infection in community settings, or acute lower respiratory infection necessitating hospital admission; reported data for at least 12 consecutive months, except for in-hospital case fatality ratio (CFR) or for where RSV seasonality is well-defined; and reported incidence rate, hospital admission rate, RSV positive proportion in acute lower respiratory infection hospital admission, or in-hospital CFR. Studies were excluded if case definition was not clearly defined or not consistently applied, RSV infection was not laboratory confirmed or based on serology alone, or if the report included fewer than 50 cases of acute lower respiratory infection. We applied a generalised linear mixed-effects model (GLMM) to estimate RSV-associated acute lower respiratory infection incidence, hospital admission, and in-hospital mortality both globally and regionally (by country development status and by World Bank Income Classification) in 2019. We estimated country-level RSV-associated acute lower respiratory infection incidence through a risk-factor based model. We developed new models (through GLMM) that incorporated the latest RSV community mortality data for estimating overall RSV mortality. This review was registered in PROSPERO (CRD42021252400).\nFINDINGS: In addition to 317 studies included in our previous review, we identified and included 113 new eligible studies and unpublished data from 51 studies, for a total of 481 studies. We estimated that globally in 2019, there were 33·0 million RSV-associated acute lower respiratory infection episodes (uncertainty range [UR] 25·4-44·6 million), 3·6 million RSV-associated acute lower respiratory infection hospital admissions (2·9-4·6 million), 26 300 RSV-associated acute lower respiratory infection in-hospital deaths (15 100-49 100), and 101 400 RSV-attributable overall deaths (84 500-125 200) in children aged 0-60 months. In infants aged 0-6 months, we estimated that there were 6·6 million RSV-associated acute lower respiratory infection episodes (4·6-9·7 million), 1·4 million RSV-associated acute lower respiratory infection hospital admissions (1·0-2·0 million), 13 300 RSV-associated acute lower respiratory infection in-hospital deaths (6800-28 100), and 45 700 RSV-attributable overall deaths (38 400-55 900). 2·0% of deaths in children aged 0-60 months (UR 1·6-2·4) and 3·6% of deaths in children aged 28 days to 6 months (3·0-4·4) were attributable to RSV. More than 95% of RSV-associated acute lower respiratory infection episodes and more than 97% of RSV-attributable deaths across all age bands were in low-income and middle-income countries (LMICs).\nINTERPRETATION: RSV contributes substantially to morbidity and mortality burden globally in children aged 0-60 months, especially during the first 6 months of life and in LMICs. We highlight the striking overall mortality burden of RSV disease worldwide, with one in every 50 deaths in children aged 0-60 months and one in every 28 deaths in children aged 28 days to 6 months attributable to RSV. For every RSV-associated acute lower respiratory infection in-hospital death, we estimate approximately three more deaths attributable to RSV in the community. RSV passive immunisation programmes targeting protection during the first 6 months of life could have a substantial effect on reducing RSV disease burden, although more data are needed to understand the implications of the potential age-shifts in peak RSV burden to older age when these are implemented.\nFUNDING: EU Innovative Medicines Initiative Respiratory Syncytial Virus Consortium in Europe (RESCEU).","container-title":"Lancet (London, England)","DOI":"10.1016/S0140-6736(22)00478-0","ISSN":"1474-547X","issue":"10340","journalAbbreviation":"Lancet","language":"eng","note":"PMID: 35598608\nPMCID: PMC7613574","page":"2047-2064","source":"PubMed","title":"Global, regional, and national disease burden estimates of acute lower respiratory infections due to respiratory syncytial virus in children younger than 5 years in 2019: a systematic analysis","title-short":"Global, regional, and national disease burden estimates of acute lower respiratory infections due to respiratory syncytial virus in children younger than 5 years in 2019","volume":"399","author":[{"family":"Li","given":"You"},{"family":"Wang","given":"Xin"},{"family":"Blau","given":"Dianna M."},{"family":"Caballero","given":"Mauricio T."},{"family":"Feikin","given":"Daniel R."},{"family":"Gill","given":"Christopher J."},{"family":"Madhi","given":"Shabir A."},{"family":"Omer","given":"Saad B."},{"family":"Simões","given":"Eric A. F."},{"family":"Campbell","given":"Harry"},{"family":"Pariente","given":"Ana Bermejo"},{"family":"Bardach","given":"Darmaa"},{"family":"Bassat","given":"Quique"},{"family":"Casalegno","given":"Jean-Sebastien"},{"family":"Chakhunashvili","given":"Giorgi"},{"family":"Crawford","given":"Nigel"},{"family":"Danilenko","given":"Daria"},{"family":"Do","given":"Lien Anh Ha"},{"family":"Echavarria","given":"Marcela"},{"family":"Gentile","given":"Angela"},{"family":"Gordon","given":"Aubree"},{"family":"Heikkinen","given":"Terho"},{"family":"Huang","given":"Q. Sue"},{"family":"Jullien","given":"Sophie"},{"family":"Krishnan","given":"Anand"},{"family":"Lopez","given":"Eduardo Luis"},{"family":"Markić","given":"Joško"},{"family":"Mira-Iglesias","given":"Ainara"},{"family":"Moore","given":"Hannah C."},{"family":"Moyes","given":"Jocelyn"},{"family":"Mwananyanda","given":"Lawrence"},{"family":"Nokes","given":"D. James"},{"family":"Noordeen","given":"Faseeha"},{"family":"Obodai","given":"Evangeline"},{"family":"Palani","given":"Nandhini"},{"family":"Romero","given":"Candice"},{"family":"Salimi","given":"Vahid"},{"family":"Satav","given":"Ashish"},{"family":"Seo","given":"Euri"},{"family":"Shchomak","given":"Zakhar"},{"family":"Singleton","given":"Rosalyn"},{"family":"Stolyarov","given":"Kirill"},{"family":"Stoszek","given":"Sonia K."},{"family":"Gottberg","given":"Anne","non-dropping-particle":"von"},{"family":"Wurzel","given":"Danielle"},{"family":"Yoshida","given":"Lay-Myint"},{"family":"Yung","given":"Chee Fu"},{"family":"Zar","given":"Heather J."},{"literal":"Respiratory Virus Global Epidemiology Network"},{"family":"Nair","given":"Harish"},{"literal":"RESCEU investigators"}],"issued":{"date-parts":[["2022",5,28]]}}},{"id":210,"uris":["http://zotero.org/users/14445769/items/NG6WZ8AS"],"itemData":{"id":210,"type":"article-journal","abstract":"BACKGROUND: Respiratory syncytial virus (RSV) is the leading cause of hospitalization in US infants. Accurate estimates of severe RSV disease inform policy decisions for RSV prevention.\nMETHODS: We conducted prospective surveillance for children &lt;5 years old with acute respiratory illness from 2016 to 2020 at 7 pediatric hospitals. We interviewed parents, reviewed medical records, and tested midturbinate nasal ± throat swabs by reverse transcription polymerase chain reaction for RSV and other respiratory viruses. We describe characteristics of children hospitalized with RSV, risk factors for ICU admission, and estimate RSV-associated hospitalization rates.\nRESULTS: Among 13 524 acute respiratory illness inpatients &lt;5 years old, 4243 (31.4%) were RSV-positive; 2751 (64.8%) of RSV-positive children had no underlying condition or history of prematurity. The average annual RSV-associated hospitalization rate was 4.0 (95% confidence interval [CI]: 3.8-4.1) per 1000 children &lt;5 years, was highest among children 0 to 2 months old (23.8 [95% CI: 22.5-25.2] per 1000) and decreased with increasing age. Higher RSV-associated hospitalization rates were found in premature versus term children (rate ratio = 1.95 [95% CI: 1.76-2.11]). Risk factors for ICU admission among RSV-positive inpatients included: age 0 to 2 and 3 to 5 months (adjusted odds ratio [aOR] = 1.97 [95% CI: 1.54-2.52] and aOR = 1.56 [95% CI: 1.18-2.06], respectively, compared with 24-59 months), prematurity (aOR = 1.32 [95% CI: 1.08-1.60]) and comorbid conditions (aOR = 1.35 [95% CI: 1.10-1.66]).\nCONCLUSIONS: Younger infants and premature children experienced the highest rates of RSV-associated hospitalization and had increased risk of ICU admission. RSV prevention products are needed to reduce RSV-associated morbidity in young infants.","container-title":"Pediatrics","DOI":"10.1542/peds.2023-062574","ISSN":"1098-4275","issue":"3","journalAbbreviation":"Pediatrics","language":"eng","note":"PMID: 38298053","page":"e2023062574","source":"PubMed","title":"Respiratory Syncytial Virus-Associated Hospitalizations Among Children &lt;5 Years Old: 2016 to 2020","title-short":"Respiratory Syncytial Virus-Associated Hospitalizations Among Children &lt;5 Years Old","volume":"153","author":[{"family":"Curns","given":"Aaron T."},{"family":"Rha","given":"Brian"},{"family":"Lively","given":"Joana Y."},{"family":"Sahni","given":"Leila C."},{"family":"Englund","given":"Janet A."},{"family":"Weinberg","given":"Geoffrey A."},{"family":"Halasa","given":"Natasha B."},{"family":"Staat","given":"Mary A."},{"family":"Selvarangan","given":"Rangaraj"},{"family":"Michaels","given":"Marian"},{"family":"Moline","given":"Heidi"},{"family":"Zhou","given":"Yingtao"},{"family":"Perez","given":"Ariana"},{"family":"Rohlfs","given":"Chelsea"},{"family":"Hickey","given":"Robert"},{"family":"Lacombe","given":"Kirsten"},{"family":"McHenry","given":"Rendie"},{"family":"Whitaker","given":"Brett"},{"family":"Schuster","given":"Jennifer"},{"family":"Pulido","given":"Claudia Guevara"},{"family":"Strelitz","given":"Bonnie"},{"family":"Quigley","given":"Christina"},{"family":"Dnp","given":"Gina Weddle"},{"family":"Avadhanula","given":"Vasanthi"},{"family":"Harrison","given":"Christopher J."},{"family":"Stewart","given":"Laura S."},{"family":"Schlaudecker","given":"Elizabeth"},{"family":"Szilagyi","given":"Peter G."},{"family":"Klein","given":"Eileen J."},{"family":"Boom","given":"Julie"},{"family":"Williams","given":"John V."},{"family":"Langley","given":"Gayle"},{"family":"Gerber","given":"Susan I."},{"family":"Hall","given":"Aron J."},{"family":"McMorrow","given":"Meredith L."}],"issued":{"date-parts":[["2024",3,1]]}}}],"schema":"https://github.com/citation-style-language/schema/raw/master/csl-citation.json"} </w:instrText>
      </w:r>
      <w:r w:rsidR="00941F84" w:rsidRPr="00DC55B0">
        <w:rPr>
          <w:rFonts w:ascii="Calibri" w:hAnsi="Calibri" w:cs="Calibri"/>
        </w:rPr>
        <w:fldChar w:fldCharType="separate"/>
      </w:r>
      <w:r w:rsidR="008324C0" w:rsidRPr="00DC55B0">
        <w:rPr>
          <w:rFonts w:ascii="Calibri" w:hAnsi="Calibri" w:cs="Calibri"/>
          <w:kern w:val="0"/>
          <w:vertAlign w:val="superscript"/>
        </w:rPr>
        <w:t>102,103</w:t>
      </w:r>
      <w:r w:rsidR="00941F84" w:rsidRPr="00DC55B0">
        <w:rPr>
          <w:rFonts w:ascii="Calibri" w:hAnsi="Calibri" w:cs="Calibri"/>
        </w:rPr>
        <w:fldChar w:fldCharType="end"/>
      </w:r>
      <w:r w:rsidRPr="00DC55B0">
        <w:rPr>
          <w:rFonts w:ascii="Calibri" w:hAnsi="Calibri" w:cs="Calibri"/>
        </w:rPr>
        <w:t xml:space="preserve"> In high-income countries, RSV is the leading cause of hospitalisation and an important healthcare resource issue. Young infants are disproportionately affected by severe disease,</w:t>
      </w:r>
      <w:r w:rsidR="00337C40" w:rsidRPr="00DC55B0">
        <w:rPr>
          <w:rFonts w:ascii="Calibri" w:hAnsi="Calibri" w:cs="Calibri"/>
        </w:rPr>
        <w:fldChar w:fldCharType="begin"/>
      </w:r>
      <w:r w:rsidR="008324C0" w:rsidRPr="00DC55B0">
        <w:rPr>
          <w:rFonts w:ascii="Calibri" w:hAnsi="Calibri" w:cs="Calibri"/>
        </w:rPr>
        <w:instrText xml:space="preserve"> ADDIN ZOTERO_ITEM CSL_CITATION {"citationID":"5CE3yv17","properties":{"formattedCitation":"\\super 104,105\\nosupersub{}","plainCitation":"104,105","noteIndex":0},"citationItems":[{"id":211,"uris":["http://zotero.org/users/14445769/items/RCHHZAZL"],"itemData":{"id":211,"type":"article-journal","abstract":"BACKGROUND: This study describes leading causes of hospitalization, including respiratory syncytial virus (RSV), in United States infants (&lt;1 year) from 2009 through 2019.\nMETHODS: Within the National (Nationwide) Inpatient Sample (NIS) data, hospitalizations were determined by primary diagnosis using International Classification of Diseases, Ninth or Tenth Revision codes. RSV was defined as 079.6, 466.11, 480.1, B97.4, J12.1, J20.5, or J21.0. Bronchiolitis was defined as 466.19, J21.8, or J21.9. Leading causes overall and by sociodemographic variables were identified. The Kids' Inpatient Database (KID) was used for confirmatory analyses.\nRESULTS: Acute bronchiolitis due to RSV (code 466.11 or J21.0) was the leading primary diagnosis, accounting for 9.6% (95% confidence interval [CI], 9.4%-9.9%) and 9.3% (95% CI, 9.0%-9.6%) of total infant hospitalizations from January 2009 through September 2015 and October 2015 through December 2019, respectively; it was the leading primary diagnosis in every year accounting for &gt;10% of total infant hospitalizations from December through March, reaching &gt;15% in January-February. From 2009 through 2011, acute bronchiolitis due to RSV was the leading primary diagnosis in every birth month. Acute bronchiolitis due to RSV was the leading cause among all races/ethnicities, except Asian/Pacific Islanders, and all insurance payer groups. KID analyses confirmed these results.\nCONCLUSIONS: Acute bronchiolitis due to RSV is the leading cause of US infant hospitalizations.","container-title":"The Journal of Infectious Diseases","DOI":"10.1093/infdis/jiac120","ISSN":"1537-6613","issue":"Suppl 2","journalAbbreviation":"J Infect Dis","language":"eng","note":"PMID: 35968878\nPMCID: PMC9377046","page":"S154-S163","source":"PubMed","title":"Respiratory Syncytial Virus Is the Leading Cause of United States Infant Hospitalizations, 2009-2019: A Study of the National (Nationwide) Inpatient Sample","title-short":"Respiratory Syncytial Virus Is the Leading Cause of United States Infant Hospitalizations, 2009-2019","volume":"226","author":[{"family":"Suh","given":"Mina"},{"family":"Movva","given":"Naimisha"},{"family":"Jiang","given":"Xiaohui"},{"family":"Bylsma","given":"Lauren C."},{"family":"Reichert","given":"Heidi"},{"family":"Fryzek","given":"Jon P."},{"family":"Nelson","given":"Christopher B."}],"issued":{"date-parts":[["2022",8,15]]}}},{"id":212,"uris":["http://zotero.org/users/14445769/items/M5EGNQCZ"],"itemData":{"id":212,"type":"article-journal","abstract":"BACKGROUND: The primary role of respiratory syncytial virus (RSV) in causing infant hospitalizations is well recognized, but the total burden of RSV infection among young children remains poorly defined.\nMETHODS: We conducted prospective, population-based surveillance of acute respiratory infections among children under 5 years of age in three U.S. counties. We enrolled hospitalized children from 2000 through 2004 and children presenting as outpatients in emergency departments and pediatric offices from 2002 through 2004. RSV was detected by culture and reverse-transcriptase polymerase chain reaction. Clinical information was obtained from parents and medical records. We calculated population-based rates of hospitalization associated with RSV infection and estimated the rates of RSV-associated outpatient visits.\nRESULTS: Among 5067 children enrolled in the study, 919 (18%) had RSV infections. Overall, RSV was associated with 20% of hospitalizations, 18% of emergency department visits, and 15% of office visits for acute respiratory infections from November through April. Average annual hospitalization rates were 17 per 1000 children under 6 months of age and 3 per 1000 children under 5 years of age. Most of the children had no coexisting illnesses. Only prematurity and a young age were independent risk factors for hospitalization. Estimated rates of RSV-associated office visits among children under 5 years of age were three times those in emergency departments. Outpatients had moderately severe RSV-associated illness, but few of the illnesses (3%) were diagnosed as being caused by RSV.\nCONCLUSIONS: RSV infection is associated with substantial morbidity in U.S. children in both inpatient and outpatient settings. Most children with RSV infection were previously healthy, suggesting that control strategies targeting only high-risk children will have a limited effect on the total disease burden of RSV infection.","container-title":"The New England Journal of Medicine","DOI":"10.1056/NEJMoa0804877","ISSN":"1533-4406","issue":"6","journalAbbreviation":"N Engl J Med","language":"eng","note":"PMID: 19196675\nPMCID: PMC4829966","page":"588-598","source":"PubMed","title":"The burden of respiratory syncytial virus infection in young children","volume":"360","author":[{"family":"Hall","given":"Caroline Breese"},{"family":"Weinberg","given":"Geoffrey A."},{"family":"Iwane","given":"Marika K."},{"family":"Blumkin","given":"Aaron K."},{"family":"Edwards","given":"Kathryn M."},{"family":"Staat","given":"Mary A."},{"family":"Auinger","given":"Peggy"},{"family":"Griffin","given":"Marie R."},{"family":"Poehling","given":"Katherine A."},{"family":"Erdman","given":"Dean"},{"family":"Grijalva","given":"Carlos G."},{"family":"Zhu","given":"Yuwei"},{"family":"Szilagyi","given":"Peter"}],"issued":{"date-parts":[["2009",2,5]]}}}],"schema":"https://github.com/citation-style-language/schema/raw/master/csl-citation.json"} </w:instrText>
      </w:r>
      <w:r w:rsidR="00337C40" w:rsidRPr="00DC55B0">
        <w:rPr>
          <w:rFonts w:ascii="Calibri" w:hAnsi="Calibri" w:cs="Calibri"/>
        </w:rPr>
        <w:fldChar w:fldCharType="separate"/>
      </w:r>
      <w:r w:rsidR="008324C0" w:rsidRPr="00DC55B0">
        <w:rPr>
          <w:rFonts w:ascii="Calibri" w:hAnsi="Calibri" w:cs="Calibri"/>
          <w:kern w:val="0"/>
          <w:vertAlign w:val="superscript"/>
        </w:rPr>
        <w:t>104,105</w:t>
      </w:r>
      <w:r w:rsidR="00337C40" w:rsidRPr="00DC55B0">
        <w:rPr>
          <w:rFonts w:ascii="Calibri" w:hAnsi="Calibri" w:cs="Calibri"/>
        </w:rPr>
        <w:fldChar w:fldCharType="end"/>
      </w:r>
      <w:r w:rsidRPr="00DC55B0">
        <w:rPr>
          <w:rFonts w:ascii="Calibri" w:hAnsi="Calibri" w:cs="Calibri"/>
        </w:rPr>
        <w:t xml:space="preserve"> with the highest rates of hospitalisation among</w:t>
      </w:r>
      <w:r w:rsidR="003A26BE" w:rsidRPr="00DC55B0">
        <w:rPr>
          <w:rFonts w:ascii="Calibri" w:hAnsi="Calibri" w:cs="Calibri"/>
        </w:rPr>
        <w:t xml:space="preserve"> those between</w:t>
      </w:r>
      <w:r w:rsidRPr="00DC55B0">
        <w:rPr>
          <w:rFonts w:ascii="Calibri" w:hAnsi="Calibri" w:cs="Calibri"/>
        </w:rPr>
        <w:t xml:space="preserve"> 28 days </w:t>
      </w:r>
      <w:r w:rsidR="003A26BE" w:rsidRPr="00DC55B0">
        <w:rPr>
          <w:rFonts w:ascii="Calibri" w:hAnsi="Calibri" w:cs="Calibri"/>
        </w:rPr>
        <w:t>and</w:t>
      </w:r>
      <w:r w:rsidRPr="00DC55B0">
        <w:rPr>
          <w:rFonts w:ascii="Calibri" w:hAnsi="Calibri" w:cs="Calibri"/>
        </w:rPr>
        <w:t xml:space="preserve"> 3 months of age.</w:t>
      </w:r>
      <w:r w:rsidR="00337C40" w:rsidRPr="00DC55B0">
        <w:rPr>
          <w:rFonts w:ascii="Calibri" w:hAnsi="Calibri" w:cs="Calibri"/>
        </w:rPr>
        <w:fldChar w:fldCharType="begin"/>
      </w:r>
      <w:r w:rsidR="008324C0" w:rsidRPr="00DC55B0">
        <w:rPr>
          <w:rFonts w:ascii="Calibri" w:hAnsi="Calibri" w:cs="Calibri"/>
        </w:rPr>
        <w:instrText xml:space="preserve"> ADDIN ZOTERO_ITEM CSL_CITATION {"citationID":"OtHA9mt3","properties":{"formattedCitation":"\\super 102\\nosupersub{}","plainCitation":"102","noteIndex":0},"citationItems":[{"id":209,"uris":["http://zotero.org/users/14445769/items/AIIXWZIX"],"itemData":{"id":209,"type":"article-journal","abstract":"BACKGROUND: Respiratory syncytial virus (RSV) is the most common cause of acute lower respiratory infection in young children. We previously estimated that in 2015, 33·1 million episodes of RSV-associated acute lower respiratory infection occurred in children aged 0-60 months, resulting in a total of 118 200 deaths worldwide. Since then, several community surveillance studies have been done to obtain a more precise estimation of RSV associated community deaths. We aimed to update RSV-associated acute lower respiratory infection morbidity and mortality at global, regional, and national levels in children aged 0-60 months for 2019, with focus on overall mortality and narrower infant age groups that are targeted by RSV prophylactics in development.\nMETHODS: In this systematic analysis, we expanded our global RSV disease burden dataset by obtaining new data from an updated search for papers published between Jan 1, 2017, and Dec 31, 2020, from MEDLINE, Embase, Global Health, CINAHL, Web of Science, LILACS, OpenGrey, CNKI, Wanfang, and ChongqingVIP. We also included unpublished data from RSV GEN collaborators. Eligible studies reported data for children aged 0-60 months with RSV as primary infection with acute lower respiratory infection in community settings, or acute lower respiratory infection necessitating hospital admission; reported data for at least 12 consecutive months, except for in-hospital case fatality ratio (CFR) or for where RSV seasonality is well-defined; and reported incidence rate, hospital admission rate, RSV positive proportion in acute lower respiratory infection hospital admission, or in-hospital CFR. Studies were excluded if case definition was not clearly defined or not consistently applied, RSV infection was not laboratory confirmed or based on serology alone, or if the report included fewer than 50 cases of acute lower respiratory infection. We applied a generalised linear mixed-effects model (GLMM) to estimate RSV-associated acute lower respiratory infection incidence, hospital admission, and in-hospital mortality both globally and regionally (by country development status and by World Bank Income Classification) in 2019. We estimated country-level RSV-associated acute lower respiratory infection incidence through a risk-factor based model. We developed new models (through GLMM) that incorporated the latest RSV community mortality data for estimating overall RSV mortality. This review was registered in PROSPERO (CRD42021252400).\nFINDINGS: In addition to 317 studies included in our previous review, we identified and included 113 new eligible studies and unpublished data from 51 studies, for a total of 481 studies. We estimated that globally in 2019, there were 33·0 million RSV-associated acute lower respiratory infection episodes (uncertainty range [UR] 25·4-44·6 million), 3·6 million RSV-associated acute lower respiratory infection hospital admissions (2·9-4·6 million), 26 300 RSV-associated acute lower respiratory infection in-hospital deaths (15 100-49 100), and 101 400 RSV-attributable overall deaths (84 500-125 200) in children aged 0-60 months. In infants aged 0-6 months, we estimated that there were 6·6 million RSV-associated acute lower respiratory infection episodes (4·6-9·7 million), 1·4 million RSV-associated acute lower respiratory infection hospital admissions (1·0-2·0 million), 13 300 RSV-associated acute lower respiratory infection in-hospital deaths (6800-28 100), and 45 700 RSV-attributable overall deaths (38 400-55 900). 2·0% of deaths in children aged 0-60 months (UR 1·6-2·4) and 3·6% of deaths in children aged 28 days to 6 months (3·0-4·4) were attributable to RSV. More than 95% of RSV-associated acute lower respiratory infection episodes and more than 97% of RSV-attributable deaths across all age bands were in low-income and middle-income countries (LMICs).\nINTERPRETATION: RSV contributes substantially to morbidity and mortality burden globally in children aged 0-60 months, especially during the first 6 months of life and in LMICs. We highlight the striking overall mortality burden of RSV disease worldwide, with one in every 50 deaths in children aged 0-60 months and one in every 28 deaths in children aged 28 days to 6 months attributable to RSV. For every RSV-associated acute lower respiratory infection in-hospital death, we estimate approximately three more deaths attributable to RSV in the community. RSV passive immunisation programmes targeting protection during the first 6 months of life could have a substantial effect on reducing RSV disease burden, although more data are needed to understand the implications of the potential age-shifts in peak RSV burden to older age when these are implemented.\nFUNDING: EU Innovative Medicines Initiative Respiratory Syncytial Virus Consortium in Europe (RESCEU).","container-title":"Lancet (London, England)","DOI":"10.1016/S0140-6736(22)00478-0","ISSN":"1474-547X","issue":"10340","journalAbbreviation":"Lancet","language":"eng","note":"PMID: 35598608\nPMCID: PMC7613574","page":"2047-2064","source":"PubMed","title":"Global, regional, and national disease burden estimates of acute lower respiratory infections due to respiratory syncytial virus in children younger than 5 years in 2019: a systematic analysis","title-short":"Global, regional, and national disease burden estimates of acute lower respiratory infections due to respiratory syncytial virus in children younger than 5 years in 2019","volume":"399","author":[{"family":"Li","given":"You"},{"family":"Wang","given":"Xin"},{"family":"Blau","given":"Dianna M."},{"family":"Caballero","given":"Mauricio T."},{"family":"Feikin","given":"Daniel R."},{"family":"Gill","given":"Christopher J."},{"family":"Madhi","given":"Shabir A."},{"family":"Omer","given":"Saad B."},{"family":"Simões","given":"Eric A. F."},{"family":"Campbell","given":"Harry"},{"family":"Pariente","given":"Ana Bermejo"},{"family":"Bardach","given":"Darmaa"},{"family":"Bassat","given":"Quique"},{"family":"Casalegno","given":"Jean-Sebastien"},{"family":"Chakhunashvili","given":"Giorgi"},{"family":"Crawford","given":"Nigel"},{"family":"Danilenko","given":"Daria"},{"family":"Do","given":"Lien Anh Ha"},{"family":"Echavarria","given":"Marcela"},{"family":"Gentile","given":"Angela"},{"family":"Gordon","given":"Aubree"},{"family":"Heikkinen","given":"Terho"},{"family":"Huang","given":"Q. Sue"},{"family":"Jullien","given":"Sophie"},{"family":"Krishnan","given":"Anand"},{"family":"Lopez","given":"Eduardo Luis"},{"family":"Markić","given":"Joško"},{"family":"Mira-Iglesias","given":"Ainara"},{"family":"Moore","given":"Hannah C."},{"family":"Moyes","given":"Jocelyn"},{"family":"Mwananyanda","given":"Lawrence"},{"family":"Nokes","given":"D. James"},{"family":"Noordeen","given":"Faseeha"},{"family":"Obodai","given":"Evangeline"},{"family":"Palani","given":"Nandhini"},{"family":"Romero","given":"Candice"},{"family":"Salimi","given":"Vahid"},{"family":"Satav","given":"Ashish"},{"family":"Seo","given":"Euri"},{"family":"Shchomak","given":"Zakhar"},{"family":"Singleton","given":"Rosalyn"},{"family":"Stolyarov","given":"Kirill"},{"family":"Stoszek","given":"Sonia K."},{"family":"Gottberg","given":"Anne","non-dropping-particle":"von"},{"family":"Wurzel","given":"Danielle"},{"family":"Yoshida","given":"Lay-Myint"},{"family":"Yung","given":"Chee Fu"},{"family":"Zar","given":"Heather J."},{"literal":"Respiratory Virus Global Epidemiology Network"},{"family":"Nair","given":"Harish"},{"literal":"RESCEU investigators"}],"issued":{"date-parts":[["2022",5,28]]}}}],"schema":"https://github.com/citation-style-language/schema/raw/master/csl-citation.json"} </w:instrText>
      </w:r>
      <w:r w:rsidR="00337C40" w:rsidRPr="00DC55B0">
        <w:rPr>
          <w:rFonts w:ascii="Calibri" w:hAnsi="Calibri" w:cs="Calibri"/>
        </w:rPr>
        <w:fldChar w:fldCharType="separate"/>
      </w:r>
      <w:r w:rsidR="008324C0" w:rsidRPr="00DC55B0">
        <w:rPr>
          <w:rFonts w:ascii="Calibri" w:hAnsi="Calibri" w:cs="Calibri"/>
          <w:kern w:val="0"/>
          <w:vertAlign w:val="superscript"/>
        </w:rPr>
        <w:t>102</w:t>
      </w:r>
      <w:r w:rsidR="00337C40" w:rsidRPr="00DC55B0">
        <w:rPr>
          <w:rFonts w:ascii="Calibri" w:hAnsi="Calibri" w:cs="Calibri"/>
        </w:rPr>
        <w:fldChar w:fldCharType="end"/>
      </w:r>
      <w:r w:rsidRPr="00DC55B0">
        <w:rPr>
          <w:rFonts w:ascii="Calibri" w:hAnsi="Calibri" w:cs="Calibri"/>
        </w:rPr>
        <w:t xml:space="preserve"> Preterm infants account for 25% of hospital admissions due to RSV-LRTI.</w:t>
      </w:r>
      <w:r w:rsidR="00A91887" w:rsidRPr="00DC55B0">
        <w:rPr>
          <w:rFonts w:ascii="Calibri" w:hAnsi="Calibri" w:cs="Calibri"/>
        </w:rPr>
        <w:fldChar w:fldCharType="begin"/>
      </w:r>
      <w:r w:rsidR="008324C0" w:rsidRPr="00DC55B0">
        <w:rPr>
          <w:rFonts w:ascii="Calibri" w:hAnsi="Calibri" w:cs="Calibri"/>
        </w:rPr>
        <w:instrText xml:space="preserve"> ADDIN ZOTERO_ITEM CSL_CITATION {"citationID":"FdjaJBj3","properties":{"formattedCitation":"\\super 106\\nosupersub{}","plainCitation":"106","noteIndex":0},"citationItems":[{"id":213,"uris":["http://zotero.org/users/14445769/items/6MUTD968"],"itemData":{"id":213,"type":"article-journal","abstract":"BACKGROUND: Infants and young children born prematurely are at high risk of severe acute lower respiratory infection (ALRI) caused by respiratory syncytial virus (RSV). In this study, we aimed to assess the global disease burden of and risk factors for RSV-associated ALRI in infants and young children born before 37 weeks of gestation.\nMETHODS: We conducted a systematic review and meta-analysis of aggregated data from studies published between Jan 1, 1995, and Dec 31, 2021, identified from MEDLINE, Embase, and Global Health, and individual participant data shared by the Respiratory Virus Global Epidemiology Network on respiratory infectious diseases. We estimated RSV-associated ALRI incidence in community, hospital admission, in-hospital mortality, and overall mortality among children younger than 2 years born prematurely. We conducted two-stage random-effects meta-regression analyses accounting for chronological age groups, gestational age bands (early preterm, &lt;32 weeks gestational age [wGA], and late preterm, 32 to &lt;37 wGA), and changes over 5-year intervals from 2000 to 2019. Using individual participant data, we assessed perinatal, sociodemographic, and household factors, and underlying medical conditions for RSV-associated ALRI incidence, hospital admission, and three severity outcome groups (longer hospital stay [&gt;4 days], use of supplemental oxygen and mechanical ventilation, or intensive care unit admission) by estimating pooled odds ratios (ORs) through a two-stage meta-analysis (multivariate logistic regression and random-effects meta-analysis). This study is registered with PROSPERO, CRD42021269742.\nFINDINGS: We included 47 studies from the literature and 17 studies with individual participant-level data contributed by the participating investigators. We estimated that, in 2019, 1 650 000 (95% uncertainty range [UR] 1 350 000-1 990 000) RSV-associated ALRI episodes, 533 000 (385 000-730 000) RSV-associated hospital admissions, 3050 (1080-8620) RSV-associated in-hospital deaths, and 26 760 (11 190-46 240) RSV-attributable deaths occurred in preterm infants worldwide. Among early preterm infants, the RSV-associated ALRI incidence rate and hospitalisation rate were significantly higher (rate ratio [RR] ranging from 1·69 to 3·87 across different age groups and outcomes) than for all infants born at any gestational age. In the second year of life, early preterm infants and young children had a similar incidence rate but still a significantly higher hospitalisation rate (RR 2·26 [95% UR 1·27-3·98]) compared with all infants and young children. Although late preterm infants had RSV-associated ALRI incidence rates similar to that of all infants younger than 1 year, they had higher RSV-associated ALRI hospitalisation rate in the first 6 months (RR 1·93 [1·11-3·26]). Overall, preterm infants accounted for 25% (95% UR 16-37) of RSV-associated ALRI hospitalisations in all infants of any gestational age. RSV-associated ALRI in-hospital case fatality ratio in preterm infants was similar to all infants. The factors identified to be associated with RSV-associated ALRI incidence were mainly perinatal and sociodemographic characteristics, and factors associated with severe outcomes from infection were mainly underlying medical conditions including congenital heart disease, tracheostomy, bronchopulmonary dysplasia, chronic lung disease, or Down syndrome (with ORs ranging from 1·40 to 4·23).\nINTERPRETATION: Preterm infants face a disproportionately high burden of RSV-associated disease, accounting for 25% of RSV hospitalisation burden. Early preterm infants have a substantial RSV hospitalisation burden persisting into the second year of life. Preventive products for RSV can have a substantial public health impact by preventing RSV-associated ALRI and severe outcomes from infection in preterm infants.\nFUNDING: EU Innovative Medicines Initiative Respiratory Syncytial Virus Consortium in Europe.","container-title":"Lancet (London, England)","DOI":"10.1016/S0140-6736(24)00138-7","ISSN":"1474-547X","issue":"10433","journalAbbreviation":"Lancet","language":"eng","note":"PMID: 38367641","page":"1241-1253","source":"PubMed","title":"Global disease burden of and risk factors for acute lower respiratory infections caused by respiratory syncytial virus in preterm infants and young children in 2019: a systematic review and meta-analysis of aggregated and individual participant data","title-short":"Global disease burden of and risk factors for acute lower respiratory infections caused by respiratory syncytial virus in preterm infants and young children in 2019","volume":"403","author":[{"family":"Wang","given":"Xin"},{"family":"Li","given":"You"},{"family":"Shi","given":"Ting"},{"family":"Bont","given":"Louis J."},{"family":"Chu","given":"Helen Y."},{"family":"Zar","given":"Heather J."},{"family":"Wahi-Singh","given":"Bhanu"},{"family":"Ma","given":"Yiming"},{"family":"Cong","given":"Bingbing"},{"family":"Sharland","given":"Emma"},{"family":"Riley","given":"Richard D."},{"family":"Deng","given":"Jikui"},{"family":"Figueras-Aloy","given":"Josep"},{"family":"Heikkinen","given":"Terho"},{"family":"Jones","given":"Marcus H."},{"family":"Liese","given":"Johannes G."},{"family":"Markić","given":"Joško"},{"family":"Mejias","given":"Asuncion"},{"family":"Nunes","given":"Marta C."},{"family":"Resch","given":"Bernhard"},{"family":"Satav","given":"Ashish"},{"family":"Yeo","given":"Kee Thai"},{"family":"Simões","given":"Eric A. F."},{"family":"Nair","given":"Harish"},{"literal":"Respiratory Virus Global Epidemiology Network"},{"literal":"RESCEU investigators"}],"issued":{"date-parts":[["2024",3,30]]}}}],"schema":"https://github.com/citation-style-language/schema/raw/master/csl-citation.json"} </w:instrText>
      </w:r>
      <w:r w:rsidR="00A91887" w:rsidRPr="00DC55B0">
        <w:rPr>
          <w:rFonts w:ascii="Calibri" w:hAnsi="Calibri" w:cs="Calibri"/>
        </w:rPr>
        <w:fldChar w:fldCharType="separate"/>
      </w:r>
      <w:r w:rsidR="008324C0" w:rsidRPr="00DC55B0">
        <w:rPr>
          <w:rFonts w:ascii="Calibri" w:hAnsi="Calibri" w:cs="Calibri"/>
          <w:kern w:val="0"/>
          <w:vertAlign w:val="superscript"/>
        </w:rPr>
        <w:t>106</w:t>
      </w:r>
      <w:r w:rsidR="00A91887" w:rsidRPr="00DC55B0">
        <w:rPr>
          <w:rFonts w:ascii="Calibri" w:hAnsi="Calibri" w:cs="Calibri"/>
        </w:rPr>
        <w:fldChar w:fldCharType="end"/>
      </w:r>
      <w:r w:rsidRPr="00DC55B0">
        <w:rPr>
          <w:rFonts w:ascii="Calibri" w:hAnsi="Calibri" w:cs="Calibri"/>
        </w:rPr>
        <w:t xml:space="preserve"> Safe, effective</w:t>
      </w:r>
      <w:r w:rsidR="00E73472" w:rsidRPr="00DC55B0">
        <w:rPr>
          <w:rFonts w:ascii="Calibri" w:hAnsi="Calibri" w:cs="Calibri"/>
        </w:rPr>
        <w:t>, affordable</w:t>
      </w:r>
      <w:r w:rsidRPr="00DC55B0">
        <w:rPr>
          <w:rFonts w:ascii="Calibri" w:hAnsi="Calibri" w:cs="Calibri"/>
        </w:rPr>
        <w:t xml:space="preserve"> </w:t>
      </w:r>
      <w:r w:rsidR="00254D19" w:rsidRPr="00DC55B0">
        <w:rPr>
          <w:rFonts w:ascii="Calibri" w:hAnsi="Calibri" w:cs="Calibri"/>
        </w:rPr>
        <w:t xml:space="preserve">strategies </w:t>
      </w:r>
      <w:r w:rsidRPr="00DC55B0">
        <w:rPr>
          <w:rFonts w:ascii="Calibri" w:hAnsi="Calibri" w:cs="Calibri"/>
        </w:rPr>
        <w:t xml:space="preserve">to prevent RSV-associated morbidity and mortality, including </w:t>
      </w:r>
      <w:r w:rsidR="00254D19" w:rsidRPr="00DC55B0">
        <w:rPr>
          <w:rFonts w:ascii="Calibri" w:hAnsi="Calibri" w:cs="Calibri"/>
        </w:rPr>
        <w:t xml:space="preserve">in premature </w:t>
      </w:r>
      <w:r w:rsidR="003A26BE" w:rsidRPr="00DC55B0">
        <w:rPr>
          <w:rFonts w:ascii="Calibri" w:hAnsi="Calibri" w:cs="Calibri"/>
        </w:rPr>
        <w:t>babies</w:t>
      </w:r>
      <w:r w:rsidRPr="00DC55B0">
        <w:rPr>
          <w:rFonts w:ascii="Calibri" w:hAnsi="Calibri" w:cs="Calibri"/>
        </w:rPr>
        <w:t xml:space="preserve">, are </w:t>
      </w:r>
      <w:r w:rsidR="00E73472" w:rsidRPr="00DC55B0">
        <w:rPr>
          <w:rFonts w:ascii="Calibri" w:hAnsi="Calibri" w:cs="Calibri"/>
        </w:rPr>
        <w:t xml:space="preserve">therefore </w:t>
      </w:r>
      <w:r w:rsidRPr="00DC55B0">
        <w:rPr>
          <w:rFonts w:ascii="Calibri" w:hAnsi="Calibri" w:cs="Calibri"/>
        </w:rPr>
        <w:t>a global priority</w:t>
      </w:r>
      <w:r w:rsidR="00E52C9C" w:rsidRPr="00DC55B0">
        <w:rPr>
          <w:rFonts w:ascii="Calibri" w:hAnsi="Calibri" w:cs="Calibri"/>
        </w:rPr>
        <w:fldChar w:fldCharType="begin"/>
      </w:r>
      <w:r w:rsidR="008324C0" w:rsidRPr="00DC55B0">
        <w:rPr>
          <w:rFonts w:ascii="Calibri" w:hAnsi="Calibri" w:cs="Calibri"/>
        </w:rPr>
        <w:instrText xml:space="preserve"> ADDIN ZOTERO_ITEM CSL_CITATION {"citationID":"wdVIZyBr","properties":{"formattedCitation":"\\super 107\\nosupersub{}","plainCitation":"107","noteIndex":0},"citationItems":[{"id":215,"uris":["http://zotero.org/users/14445769/items/F5WB8XRE"],"itemData":{"id":215,"type":"webpage","title":"RSV vaccine research and development technology roadmap: priority activities for development, testing, licensure and global use of RSV vaccines, with a specific focus on the medical need for young children in low- and middle-income countries","URL":"https://iris.who.int/handle/10665/258706","author":[{"family":"World Health Organization","given":""}],"issued":{"date-parts":[["2017"]]}}}],"schema":"https://github.com/citation-style-language/schema/raw/master/csl-citation.json"} </w:instrText>
      </w:r>
      <w:r w:rsidR="00E52C9C" w:rsidRPr="00DC55B0">
        <w:rPr>
          <w:rFonts w:ascii="Calibri" w:hAnsi="Calibri" w:cs="Calibri"/>
        </w:rPr>
        <w:fldChar w:fldCharType="separate"/>
      </w:r>
      <w:r w:rsidR="008324C0" w:rsidRPr="00DC55B0">
        <w:rPr>
          <w:rFonts w:ascii="Calibri" w:hAnsi="Calibri" w:cs="Calibri"/>
          <w:kern w:val="0"/>
          <w:vertAlign w:val="superscript"/>
        </w:rPr>
        <w:t>107</w:t>
      </w:r>
      <w:r w:rsidR="00E52C9C" w:rsidRPr="00DC55B0">
        <w:rPr>
          <w:rFonts w:ascii="Calibri" w:hAnsi="Calibri" w:cs="Calibri"/>
        </w:rPr>
        <w:fldChar w:fldCharType="end"/>
      </w:r>
      <w:r w:rsidR="00981F3D" w:rsidRPr="00DC55B0">
        <w:rPr>
          <w:rFonts w:ascii="Calibri" w:hAnsi="Calibri" w:cs="Calibri"/>
        </w:rPr>
        <w:t>.</w:t>
      </w:r>
      <w:r w:rsidR="00AC1E4A" w:rsidRPr="00DC55B0">
        <w:rPr>
          <w:rFonts w:ascii="Calibri" w:hAnsi="Calibri" w:cs="Calibri"/>
        </w:rPr>
        <w:t xml:space="preserve"> </w:t>
      </w:r>
      <w:r w:rsidR="00981F3D" w:rsidRPr="00DC55B0">
        <w:rPr>
          <w:rFonts w:ascii="Calibri" w:hAnsi="Calibri" w:cs="Calibri"/>
        </w:rPr>
        <w:t>R</w:t>
      </w:r>
      <w:r w:rsidR="00FD05F2" w:rsidRPr="00DC55B0">
        <w:rPr>
          <w:rFonts w:ascii="Calibri" w:hAnsi="Calibri" w:cs="Calibri"/>
        </w:rPr>
        <w:t>ecently</w:t>
      </w:r>
      <w:r w:rsidR="00981F3D" w:rsidRPr="00DC55B0">
        <w:rPr>
          <w:rFonts w:ascii="Calibri" w:hAnsi="Calibri" w:cs="Calibri"/>
        </w:rPr>
        <w:t>,</w:t>
      </w:r>
      <w:r w:rsidR="00FD05F2" w:rsidRPr="00DC55B0">
        <w:rPr>
          <w:rFonts w:ascii="Calibri" w:hAnsi="Calibri" w:cs="Calibri"/>
        </w:rPr>
        <w:t xml:space="preserve"> vaccination during pregnancy and universal infant immunisation with anti-RSV F monoclonal antibody have become available.</w:t>
      </w:r>
      <w:r w:rsidR="0033611A" w:rsidRPr="00DC55B0">
        <w:rPr>
          <w:rFonts w:ascii="Calibri" w:hAnsi="Calibri" w:cs="Calibri"/>
        </w:rPr>
        <w:t xml:space="preserve"> Both strategies aim to protect ne</w:t>
      </w:r>
      <w:r w:rsidR="005C59C1" w:rsidRPr="00DC55B0">
        <w:rPr>
          <w:rFonts w:ascii="Calibri" w:hAnsi="Calibri" w:cs="Calibri"/>
        </w:rPr>
        <w:t xml:space="preserve">wborns </w:t>
      </w:r>
      <w:r w:rsidR="0033611A" w:rsidRPr="00DC55B0">
        <w:rPr>
          <w:rFonts w:ascii="Calibri" w:hAnsi="Calibri" w:cs="Calibri"/>
        </w:rPr>
        <w:t>and infants entering their first RSV season by delaying the first RSV infection until the</w:t>
      </w:r>
      <w:r w:rsidR="00E022F8" w:rsidRPr="00DC55B0">
        <w:rPr>
          <w:rFonts w:ascii="Calibri" w:hAnsi="Calibri" w:cs="Calibri"/>
        </w:rPr>
        <w:t xml:space="preserve"> child is older</w:t>
      </w:r>
      <w:r w:rsidR="006C4FAA" w:rsidRPr="00DC55B0">
        <w:rPr>
          <w:rFonts w:ascii="Calibri" w:hAnsi="Calibri" w:cs="Calibri"/>
        </w:rPr>
        <w:t>, when</w:t>
      </w:r>
      <w:r w:rsidR="00E022F8" w:rsidRPr="00DC55B0">
        <w:rPr>
          <w:rFonts w:ascii="Calibri" w:hAnsi="Calibri" w:cs="Calibri"/>
        </w:rPr>
        <w:t xml:space="preserve"> there</w:t>
      </w:r>
      <w:r w:rsidR="005C59C1" w:rsidRPr="00DC55B0">
        <w:rPr>
          <w:rFonts w:ascii="Calibri" w:hAnsi="Calibri" w:cs="Calibri"/>
        </w:rPr>
        <w:t xml:space="preserve"> is a </w:t>
      </w:r>
      <w:r w:rsidR="00A67161" w:rsidRPr="00DC55B0">
        <w:rPr>
          <w:rFonts w:ascii="Calibri" w:hAnsi="Calibri" w:cs="Calibri"/>
        </w:rPr>
        <w:t>lower risk of</w:t>
      </w:r>
      <w:r w:rsidR="0033611A" w:rsidRPr="00DC55B0">
        <w:rPr>
          <w:rFonts w:ascii="Calibri" w:hAnsi="Calibri" w:cs="Calibri"/>
        </w:rPr>
        <w:t xml:space="preserve"> severe disease.</w:t>
      </w:r>
    </w:p>
    <w:p w14:paraId="7DDE6E1A" w14:textId="77777777" w:rsidR="00533C14" w:rsidRPr="00DC55B0" w:rsidRDefault="00533C14" w:rsidP="001F3ACA">
      <w:pPr>
        <w:rPr>
          <w:rFonts w:ascii="Calibri" w:hAnsi="Calibri" w:cs="Calibri"/>
        </w:rPr>
      </w:pPr>
    </w:p>
    <w:p w14:paraId="43B9ED03" w14:textId="17F449FF" w:rsidR="003401C3" w:rsidRPr="00DC55B0" w:rsidRDefault="003401C3" w:rsidP="001F3ACA">
      <w:pPr>
        <w:rPr>
          <w:rFonts w:ascii="Calibri" w:hAnsi="Calibri" w:cs="Calibri"/>
          <w:i/>
          <w:iCs/>
        </w:rPr>
      </w:pPr>
      <w:r w:rsidRPr="00DC55B0">
        <w:rPr>
          <w:rFonts w:ascii="Calibri" w:hAnsi="Calibri" w:cs="Calibri"/>
          <w:i/>
          <w:iCs/>
        </w:rPr>
        <w:t>RSV vaccination in pregnancy</w:t>
      </w:r>
    </w:p>
    <w:p w14:paraId="4DEA3473" w14:textId="64EA7581" w:rsidR="007623C0" w:rsidRPr="00DC55B0" w:rsidRDefault="00E01660" w:rsidP="001F3ACA">
      <w:pPr>
        <w:rPr>
          <w:rFonts w:ascii="Calibri" w:hAnsi="Calibri" w:cs="Calibri"/>
        </w:rPr>
      </w:pPr>
      <w:r w:rsidRPr="00DC55B0">
        <w:rPr>
          <w:rFonts w:ascii="Calibri" w:hAnsi="Calibri" w:cs="Calibri"/>
        </w:rPr>
        <w:t>An RSV pre-F protein vaccine</w:t>
      </w:r>
      <w:r w:rsidR="0004757B" w:rsidRPr="00DC55B0">
        <w:rPr>
          <w:rFonts w:ascii="Calibri" w:hAnsi="Calibri" w:cs="Calibri"/>
        </w:rPr>
        <w:t xml:space="preserve"> has recently been developed </w:t>
      </w:r>
      <w:r w:rsidR="00623DE1" w:rsidRPr="00DC55B0">
        <w:rPr>
          <w:rFonts w:ascii="Calibri" w:hAnsi="Calibri" w:cs="Calibri"/>
        </w:rPr>
        <w:t xml:space="preserve">for use in pregnancy </w:t>
      </w:r>
      <w:r w:rsidR="0004757B" w:rsidRPr="00DC55B0">
        <w:rPr>
          <w:rFonts w:ascii="Calibri" w:hAnsi="Calibri" w:cs="Calibri"/>
        </w:rPr>
        <w:t>and is licensed in several countries as Abrysvo.</w:t>
      </w:r>
      <w:r w:rsidR="00623DE1" w:rsidRPr="00DC55B0">
        <w:rPr>
          <w:rFonts w:ascii="Calibri" w:hAnsi="Calibri" w:cs="Calibri"/>
        </w:rPr>
        <w:t xml:space="preserve"> In </w:t>
      </w:r>
      <w:r w:rsidR="003639CC" w:rsidRPr="00DC55B0">
        <w:rPr>
          <w:rFonts w:ascii="Calibri" w:hAnsi="Calibri" w:cs="Calibri"/>
        </w:rPr>
        <w:t xml:space="preserve">a </w:t>
      </w:r>
      <w:r w:rsidR="00623DE1" w:rsidRPr="00DC55B0">
        <w:rPr>
          <w:rFonts w:ascii="Calibri" w:hAnsi="Calibri" w:cs="Calibri"/>
        </w:rPr>
        <w:t>phase II</w:t>
      </w:r>
      <w:r w:rsidR="00CA43B3" w:rsidRPr="00DC55B0">
        <w:rPr>
          <w:rFonts w:ascii="Calibri" w:hAnsi="Calibri" w:cs="Calibri"/>
        </w:rPr>
        <w:t>I</w:t>
      </w:r>
      <w:r w:rsidR="00623DE1" w:rsidRPr="00DC55B0">
        <w:rPr>
          <w:rFonts w:ascii="Calibri" w:hAnsi="Calibri" w:cs="Calibri"/>
        </w:rPr>
        <w:t xml:space="preserve"> trial, this vaccine demonstrated efficacy of </w:t>
      </w:r>
      <w:r w:rsidR="00D145C1" w:rsidRPr="00DC55B0">
        <w:rPr>
          <w:rFonts w:ascii="Calibri" w:hAnsi="Calibri" w:cs="Calibri"/>
        </w:rPr>
        <w:t xml:space="preserve">81.8% against medically attended severe RSV-LRTI </w:t>
      </w:r>
      <w:r w:rsidR="00AF5E9A" w:rsidRPr="00DC55B0">
        <w:rPr>
          <w:rFonts w:ascii="Calibri" w:hAnsi="Calibri" w:cs="Calibri"/>
        </w:rPr>
        <w:t>in infants younger than 90 days</w:t>
      </w:r>
      <w:r w:rsidR="00FC4E87" w:rsidRPr="00DC55B0">
        <w:rPr>
          <w:rFonts w:ascii="Calibri" w:hAnsi="Calibri" w:cs="Calibri"/>
        </w:rPr>
        <w:t xml:space="preserve"> (</w:t>
      </w:r>
      <w:r w:rsidR="00FE29E7" w:rsidRPr="00DC55B0">
        <w:rPr>
          <w:rFonts w:ascii="Calibri" w:hAnsi="Calibri" w:cs="Calibri"/>
        </w:rPr>
        <w:t>99.5% CI</w:t>
      </w:r>
      <w:r w:rsidR="00CE1357" w:rsidRPr="00DC55B0">
        <w:rPr>
          <w:rFonts w:ascii="Calibri" w:hAnsi="Calibri" w:cs="Calibri"/>
        </w:rPr>
        <w:t>:</w:t>
      </w:r>
      <w:r w:rsidR="00FE29E7" w:rsidRPr="00DC55B0">
        <w:rPr>
          <w:rFonts w:ascii="Calibri" w:hAnsi="Calibri" w:cs="Calibri"/>
        </w:rPr>
        <w:t xml:space="preserve"> 40.6</w:t>
      </w:r>
      <w:r w:rsidR="00CE1357" w:rsidRPr="00DC55B0">
        <w:rPr>
          <w:rFonts w:ascii="Calibri" w:hAnsi="Calibri" w:cs="Calibri"/>
        </w:rPr>
        <w:t>-</w:t>
      </w:r>
      <w:r w:rsidR="00FE29E7" w:rsidRPr="00DC55B0">
        <w:rPr>
          <w:rFonts w:ascii="Calibri" w:hAnsi="Calibri" w:cs="Calibri"/>
        </w:rPr>
        <w:t>96.3</w:t>
      </w:r>
      <w:r w:rsidR="00CE1357" w:rsidRPr="00DC55B0">
        <w:rPr>
          <w:rFonts w:ascii="Calibri" w:hAnsi="Calibri" w:cs="Calibri"/>
        </w:rPr>
        <w:t>%</w:t>
      </w:r>
      <w:r w:rsidR="00FE29E7" w:rsidRPr="00DC55B0">
        <w:rPr>
          <w:rFonts w:ascii="Calibri" w:hAnsi="Calibri" w:cs="Calibri"/>
        </w:rPr>
        <w:t>)</w:t>
      </w:r>
      <w:r w:rsidR="00D145C1" w:rsidRPr="00DC55B0">
        <w:rPr>
          <w:rFonts w:ascii="Calibri" w:hAnsi="Calibri" w:cs="Calibri"/>
        </w:rPr>
        <w:t xml:space="preserve"> and 69.4% </w:t>
      </w:r>
      <w:r w:rsidR="00AF5E9A" w:rsidRPr="00DC55B0">
        <w:rPr>
          <w:rFonts w:ascii="Calibri" w:hAnsi="Calibri" w:cs="Calibri"/>
        </w:rPr>
        <w:t>in those younger than 180 days</w:t>
      </w:r>
      <w:r w:rsidR="00CE1357" w:rsidRPr="00DC55B0">
        <w:rPr>
          <w:rFonts w:ascii="Calibri" w:hAnsi="Calibri" w:cs="Calibri"/>
        </w:rPr>
        <w:t xml:space="preserve"> (97.58% CI: 44.3-84.1%)</w:t>
      </w:r>
      <w:r w:rsidR="00CB238D" w:rsidRPr="00DC55B0">
        <w:rPr>
          <w:rFonts w:ascii="Calibri" w:hAnsi="Calibri" w:cs="Calibri"/>
        </w:rPr>
        <w:t>.</w:t>
      </w:r>
      <w:r w:rsidR="00CB238D" w:rsidRPr="00DC55B0">
        <w:rPr>
          <w:rFonts w:ascii="Calibri" w:hAnsi="Calibri" w:cs="Calibri"/>
        </w:rPr>
        <w:fldChar w:fldCharType="begin"/>
      </w:r>
      <w:r w:rsidR="003F3CD5" w:rsidRPr="00DC55B0">
        <w:rPr>
          <w:rFonts w:ascii="Calibri" w:hAnsi="Calibri" w:cs="Calibri"/>
        </w:rPr>
        <w:instrText xml:space="preserve"> ADDIN ZOTERO_ITEM CSL_CITATION {"citationID":"IvlJjWUn","properties":{"formattedCitation":"\\super 9\\nosupersub{}","plainCitation":"9","noteIndex":0},"citationItems":[{"id":91,"uris":["http://zotero.org/users/14445769/items/G4WIHRCU"],"itemData":{"id":91,"type":"article-journal","container-title":"New England Journal of Medicine","DOI":"10.1056/NEJMoa2216480","ISSN":"0028-4793, 1533-4406","issue":"16","journalAbbreviation":"N Engl J Med","language":"en","license":"http://www.nejmgroup.org/legal/terms-of-use.htm","page":"1451-1464","source":"DOI.org (Crossref)","title":"Bivalent Prefusion F Vaccine in Pregnancy to Prevent RSV Illness in Infants","volume":"388","author":[{"family":"Kampmann","given":"Beate"},{"family":"Madhi","given":"Shabir A."},{"family":"Munjal","given":"Iona"},{"family":"Simões","given":"Eric A.F."},{"family":"Pahud","given":"Barbara A."},{"family":"Llapur","given":"Conrado"},{"family":"Baker","given":"Jeffrey"},{"family":"Pérez Marc","given":"Gonzalo"},{"family":"Radley","given":"David"},{"family":"Shittu","given":"Emma"},{"family":"Glanternik","given":"Julia"},{"family":"Snaggs","given":"Hasra"},{"family":"Baber","given":"James"},{"family":"Zachariah","given":"Philip"},{"family":"Barnabas","given":"Shaun L."},{"family":"Fausett","given":"Merlin"},{"family":"Adam","given":"Tyler"},{"family":"Perreras","given":"Nicole"},{"family":"Van Houten","given":"Marlies A."},{"family":"Kantele","given":"Anu"},{"family":"Huang","given":"Li-Min"},{"family":"Bont","given":"Louis J."},{"family":"Otsuki","given":"Takeo"},{"family":"Vargas","given":"Sergio L."},{"family":"Gullam","given":"Joanna"},{"family":"Tapiero","given":"Bruce"},{"family":"Stein","given":"Renato T."},{"family":"Polack","given":"Fernando P."},{"family":"Zar","given":"Heather J."},{"family":"Staerke","given":"Nina B."},{"family":"Duron Padilla","given":"María"},{"family":"Richmond","given":"Peter C."},{"family":"Koury","given":"Kenneth"},{"family":"Schneider","given":"Katherine"},{"family":"Kalinina","given":"Elena V."},{"family":"Cooper","given":"David"},{"family":"Jansen","given":"Kathrin U."},{"family":"Anderson","given":"Annaliesa S."},{"family":"Swanson","given":"Kena A."},{"family":"Gruber","given":"William C."},{"family":"Gurtman","given":"Alejandra"}],"issued":{"date-parts":[["2023",4,20]]}}}],"schema":"https://github.com/citation-style-language/schema/raw/master/csl-citation.json"} </w:instrText>
      </w:r>
      <w:r w:rsidR="00CB238D" w:rsidRPr="00DC55B0">
        <w:rPr>
          <w:rFonts w:ascii="Calibri" w:hAnsi="Calibri" w:cs="Calibri"/>
        </w:rPr>
        <w:fldChar w:fldCharType="separate"/>
      </w:r>
      <w:r w:rsidR="003F3CD5" w:rsidRPr="00DC55B0">
        <w:rPr>
          <w:rFonts w:ascii="Calibri" w:hAnsi="Calibri" w:cs="Calibri"/>
          <w:kern w:val="0"/>
          <w:vertAlign w:val="superscript"/>
        </w:rPr>
        <w:t>9</w:t>
      </w:r>
      <w:r w:rsidR="00CB238D" w:rsidRPr="00DC55B0">
        <w:rPr>
          <w:rFonts w:ascii="Calibri" w:hAnsi="Calibri" w:cs="Calibri"/>
        </w:rPr>
        <w:fldChar w:fldCharType="end"/>
      </w:r>
      <w:r w:rsidR="00BE50A1" w:rsidRPr="00DC55B0">
        <w:rPr>
          <w:rFonts w:ascii="Calibri" w:hAnsi="Calibri" w:cs="Calibri"/>
        </w:rPr>
        <w:t xml:space="preserve"> </w:t>
      </w:r>
      <w:r w:rsidR="00BF0406" w:rsidRPr="00DC55B0">
        <w:rPr>
          <w:rFonts w:ascii="Calibri" w:hAnsi="Calibri" w:cs="Calibri"/>
        </w:rPr>
        <w:lastRenderedPageBreak/>
        <w:t xml:space="preserve">Vaccination </w:t>
      </w:r>
      <w:r w:rsidR="0036385C" w:rsidRPr="00DC55B0">
        <w:rPr>
          <w:rFonts w:ascii="Calibri" w:hAnsi="Calibri" w:cs="Calibri"/>
        </w:rPr>
        <w:t xml:space="preserve">with Abrysvo during pregnancy has </w:t>
      </w:r>
      <w:r w:rsidR="00CB238D" w:rsidRPr="00DC55B0">
        <w:rPr>
          <w:rFonts w:ascii="Calibri" w:hAnsi="Calibri" w:cs="Calibri"/>
        </w:rPr>
        <w:t>been implemented as a seasonal programme in Argentina and the USA from 2023 and as a year-round programme in the UK from 2024.</w:t>
      </w:r>
    </w:p>
    <w:p w14:paraId="5766B435" w14:textId="77777777" w:rsidR="00CB238D" w:rsidRPr="00DC55B0" w:rsidRDefault="00CB238D" w:rsidP="001F3ACA">
      <w:pPr>
        <w:rPr>
          <w:rFonts w:ascii="Calibri" w:hAnsi="Calibri" w:cs="Calibri"/>
        </w:rPr>
      </w:pPr>
    </w:p>
    <w:p w14:paraId="01333E2C" w14:textId="62A7C895" w:rsidR="003124F6" w:rsidRPr="00DC55B0" w:rsidRDefault="00CA43B3" w:rsidP="001F3ACA">
      <w:pPr>
        <w:rPr>
          <w:rFonts w:ascii="Calibri" w:hAnsi="Calibri" w:cs="Calibri"/>
        </w:rPr>
      </w:pPr>
      <w:r w:rsidRPr="00DC55B0">
        <w:rPr>
          <w:rFonts w:ascii="Calibri" w:hAnsi="Calibri" w:cs="Calibri"/>
        </w:rPr>
        <w:t xml:space="preserve">Of note, </w:t>
      </w:r>
      <w:r w:rsidR="003639CC" w:rsidRPr="00DC55B0">
        <w:rPr>
          <w:rFonts w:ascii="Calibri" w:hAnsi="Calibri" w:cs="Calibri"/>
        </w:rPr>
        <w:t>the phase III trial of Abrysvo reported</w:t>
      </w:r>
      <w:r w:rsidR="00697C5E" w:rsidRPr="00DC55B0">
        <w:rPr>
          <w:rFonts w:ascii="Calibri" w:hAnsi="Calibri" w:cs="Calibri"/>
        </w:rPr>
        <w:t xml:space="preserve"> a non-statistically significant imbalance of preterm births – but not associated mortality —in South Africa and Brazil, but not in high-income countries.</w:t>
      </w:r>
      <w:r w:rsidR="00CA3BC3" w:rsidRPr="00DC55B0">
        <w:rPr>
          <w:rFonts w:ascii="Calibri" w:hAnsi="Calibri" w:cs="Calibri"/>
        </w:rPr>
        <w:t xml:space="preserve"> This signal has been carefully considered during the licensure process, particularly in the light of the </w:t>
      </w:r>
      <w:r w:rsidR="00382EAC" w:rsidRPr="00DC55B0">
        <w:rPr>
          <w:rFonts w:ascii="Calibri" w:hAnsi="Calibri" w:cs="Calibri"/>
        </w:rPr>
        <w:t xml:space="preserve">phase III </w:t>
      </w:r>
      <w:r w:rsidR="00CA3BC3" w:rsidRPr="00DC55B0">
        <w:rPr>
          <w:rFonts w:ascii="Calibri" w:hAnsi="Calibri" w:cs="Calibri"/>
        </w:rPr>
        <w:t xml:space="preserve">trial of another </w:t>
      </w:r>
      <w:r w:rsidR="00382EAC" w:rsidRPr="00DC55B0">
        <w:rPr>
          <w:rFonts w:ascii="Calibri" w:hAnsi="Calibri" w:cs="Calibri"/>
        </w:rPr>
        <w:t>RSV pre-F fusion protein vaccine, which was</w:t>
      </w:r>
      <w:r w:rsidR="003124F6" w:rsidRPr="00DC55B0">
        <w:rPr>
          <w:rFonts w:ascii="Calibri" w:hAnsi="Calibri" w:cs="Calibri"/>
        </w:rPr>
        <w:t xml:space="preserve"> </w:t>
      </w:r>
      <w:r w:rsidR="00FA0325" w:rsidRPr="00DC55B0">
        <w:rPr>
          <w:rFonts w:ascii="Calibri" w:hAnsi="Calibri" w:cs="Calibri"/>
        </w:rPr>
        <w:t xml:space="preserve">halted in February 2022 due to </w:t>
      </w:r>
      <w:r w:rsidR="00F8648F" w:rsidRPr="00DC55B0">
        <w:rPr>
          <w:rFonts w:ascii="Calibri" w:hAnsi="Calibri" w:cs="Calibri"/>
        </w:rPr>
        <w:t>significant difference</w:t>
      </w:r>
      <w:r w:rsidR="00FA2F3C" w:rsidRPr="00DC55B0">
        <w:rPr>
          <w:rFonts w:ascii="Calibri" w:hAnsi="Calibri" w:cs="Calibri"/>
        </w:rPr>
        <w:t xml:space="preserve"> in</w:t>
      </w:r>
      <w:r w:rsidR="00FA0325" w:rsidRPr="00DC55B0">
        <w:rPr>
          <w:rFonts w:ascii="Calibri" w:hAnsi="Calibri" w:cs="Calibri"/>
        </w:rPr>
        <w:t xml:space="preserve"> preterm deliveries </w:t>
      </w:r>
      <w:r w:rsidR="00F643E4" w:rsidRPr="00DC55B0">
        <w:rPr>
          <w:rFonts w:ascii="Calibri" w:hAnsi="Calibri" w:cs="Calibri"/>
        </w:rPr>
        <w:t>between</w:t>
      </w:r>
      <w:r w:rsidR="00FA0325" w:rsidRPr="00DC55B0">
        <w:rPr>
          <w:rFonts w:ascii="Calibri" w:hAnsi="Calibri" w:cs="Calibri"/>
        </w:rPr>
        <w:t xml:space="preserve"> the vaccine </w:t>
      </w:r>
      <w:r w:rsidR="00F643E4" w:rsidRPr="00DC55B0">
        <w:rPr>
          <w:rFonts w:ascii="Calibri" w:hAnsi="Calibri" w:cs="Calibri"/>
        </w:rPr>
        <w:t>and</w:t>
      </w:r>
      <w:r w:rsidR="00FA0325" w:rsidRPr="00DC55B0">
        <w:rPr>
          <w:rFonts w:ascii="Calibri" w:hAnsi="Calibri" w:cs="Calibri"/>
        </w:rPr>
        <w:t xml:space="preserve"> placebo group</w:t>
      </w:r>
      <w:r w:rsidR="00F643E4" w:rsidRPr="00DC55B0">
        <w:rPr>
          <w:rFonts w:ascii="Calibri" w:hAnsi="Calibri" w:cs="Calibri"/>
        </w:rPr>
        <w:t>s</w:t>
      </w:r>
      <w:r w:rsidR="00FA0325" w:rsidRPr="00DC55B0">
        <w:rPr>
          <w:rFonts w:ascii="Calibri" w:hAnsi="Calibri" w:cs="Calibri"/>
        </w:rPr>
        <w:t xml:space="preserve"> (237/3496 [6.8%] versus 86/1739 [4.9%]; relative risk 1.37, 95% </w:t>
      </w:r>
      <w:r w:rsidR="00CE1357" w:rsidRPr="00DC55B0">
        <w:rPr>
          <w:rFonts w:ascii="Calibri" w:hAnsi="Calibri" w:cs="Calibri"/>
        </w:rPr>
        <w:t>CI</w:t>
      </w:r>
      <w:r w:rsidR="00FA0325" w:rsidRPr="00DC55B0">
        <w:rPr>
          <w:rFonts w:ascii="Calibri" w:hAnsi="Calibri" w:cs="Calibri"/>
        </w:rPr>
        <w:t xml:space="preserve"> 1.08-1.74)</w:t>
      </w:r>
      <w:r w:rsidR="00C04966" w:rsidRPr="00DC55B0">
        <w:rPr>
          <w:rFonts w:ascii="Calibri" w:hAnsi="Calibri" w:cs="Calibri"/>
        </w:rPr>
        <w:t xml:space="preserve">, driven by </w:t>
      </w:r>
      <w:r w:rsidR="00444B2B" w:rsidRPr="00DC55B0">
        <w:rPr>
          <w:rFonts w:ascii="Calibri" w:hAnsi="Calibri" w:cs="Calibri"/>
        </w:rPr>
        <w:t>an imbalance observed during a specific period in low- and middle-income countries</w:t>
      </w:r>
      <w:r w:rsidR="00FA0325" w:rsidRPr="00DC55B0">
        <w:rPr>
          <w:rFonts w:ascii="Calibri" w:hAnsi="Calibri" w:cs="Calibri"/>
        </w:rPr>
        <w:t>.</w:t>
      </w:r>
      <w:r w:rsidR="00843E42" w:rsidRPr="00DC55B0">
        <w:rPr>
          <w:rFonts w:ascii="Calibri" w:hAnsi="Calibri" w:cs="Calibri"/>
        </w:rPr>
        <w:fldChar w:fldCharType="begin"/>
      </w:r>
      <w:r w:rsidR="008324C0" w:rsidRPr="00DC55B0">
        <w:rPr>
          <w:rFonts w:ascii="Calibri" w:hAnsi="Calibri" w:cs="Calibri"/>
        </w:rPr>
        <w:instrText xml:space="preserve"> ADDIN ZOTERO_ITEM CSL_CITATION {"citationID":"O0cALdsr","properties":{"formattedCitation":"\\super 108\\nosupersub{}","plainCitation":"108","noteIndex":0},"citationItems":[{"id":218,"uris":["http://zotero.org/users/14445769/items/XS5QNDZF"],"itemData":{"id":218,"type":"article-journal","container-title":"New England Journal of Medicine","DOI":"10.1056/NEJMoa2305478","ISSN":"0028-4793, 1533-4406","issue":"11","journalAbbreviation":"N Engl J Med","language":"en","license":"http://www.nejmgroup.org/legal/terms-of-use.htm","page":"1009-1021","source":"DOI.org (Crossref)","title":"RSV Prefusion F Protein–Based Maternal Vaccine — Preterm Birth and Other Outcomes","volume":"390","author":[{"family":"Dieussaert","given":"Ilse"},{"family":"Hyung Kim","given":"Joon"},{"family":"Luik","given":"Sabine"},{"family":"Seidl","given":"Claudia"},{"family":"Pu","given":"Wenji"},{"family":"Stegmann","given":"Jens-Ulrich"},{"family":"Swamy","given":"Geeta K."},{"family":"Webster","given":"Peggy"},{"family":"Dormitzer","given":"Philip R."}],"issued":{"date-parts":[["2024",3,14]]}}}],"schema":"https://github.com/citation-style-language/schema/raw/master/csl-citation.json"} </w:instrText>
      </w:r>
      <w:r w:rsidR="00843E42" w:rsidRPr="00DC55B0">
        <w:rPr>
          <w:rFonts w:ascii="Calibri" w:hAnsi="Calibri" w:cs="Calibri"/>
        </w:rPr>
        <w:fldChar w:fldCharType="separate"/>
      </w:r>
      <w:r w:rsidR="008324C0" w:rsidRPr="00DC55B0">
        <w:rPr>
          <w:rFonts w:ascii="Calibri" w:hAnsi="Calibri" w:cs="Calibri"/>
          <w:kern w:val="0"/>
          <w:vertAlign w:val="superscript"/>
        </w:rPr>
        <w:t>108</w:t>
      </w:r>
      <w:r w:rsidR="00843E42" w:rsidRPr="00DC55B0">
        <w:rPr>
          <w:rFonts w:ascii="Calibri" w:hAnsi="Calibri" w:cs="Calibri"/>
        </w:rPr>
        <w:fldChar w:fldCharType="end"/>
      </w:r>
      <w:r w:rsidR="00F132BD" w:rsidRPr="00DC55B0">
        <w:rPr>
          <w:rFonts w:ascii="Calibri" w:hAnsi="Calibri" w:cs="Calibri"/>
        </w:rPr>
        <w:t xml:space="preserve"> </w:t>
      </w:r>
      <w:r w:rsidR="00FA2F3C" w:rsidRPr="00DC55B0">
        <w:rPr>
          <w:rFonts w:ascii="Calibri" w:hAnsi="Calibri" w:cs="Calibri"/>
        </w:rPr>
        <w:t xml:space="preserve">This </w:t>
      </w:r>
      <w:r w:rsidR="00430E24" w:rsidRPr="00DC55B0">
        <w:rPr>
          <w:rFonts w:ascii="Calibri" w:hAnsi="Calibri" w:cs="Calibri"/>
        </w:rPr>
        <w:t>signal</w:t>
      </w:r>
      <w:r w:rsidR="008B18C8" w:rsidRPr="00DC55B0">
        <w:rPr>
          <w:rFonts w:ascii="Calibri" w:hAnsi="Calibri" w:cs="Calibri"/>
        </w:rPr>
        <w:t xml:space="preserve"> </w:t>
      </w:r>
      <w:r w:rsidR="00C832AB" w:rsidRPr="00DC55B0">
        <w:rPr>
          <w:rFonts w:ascii="Calibri" w:hAnsi="Calibri" w:cs="Calibri"/>
        </w:rPr>
        <w:t>might</w:t>
      </w:r>
      <w:r w:rsidR="008B18C8" w:rsidRPr="00DC55B0">
        <w:rPr>
          <w:rFonts w:ascii="Calibri" w:hAnsi="Calibri" w:cs="Calibri"/>
        </w:rPr>
        <w:t xml:space="preserve"> reflect epidemiological features specific to lower income settings</w:t>
      </w:r>
      <w:r w:rsidR="00653799" w:rsidRPr="00DC55B0">
        <w:rPr>
          <w:rFonts w:ascii="Calibri" w:hAnsi="Calibri" w:cs="Calibri"/>
        </w:rPr>
        <w:t xml:space="preserve"> </w:t>
      </w:r>
      <w:r w:rsidR="00BA4B05" w:rsidRPr="00DC55B0">
        <w:rPr>
          <w:rFonts w:ascii="Calibri" w:hAnsi="Calibri" w:cs="Calibri"/>
        </w:rPr>
        <w:t>but</w:t>
      </w:r>
      <w:r w:rsidR="00653799" w:rsidRPr="00DC55B0">
        <w:rPr>
          <w:rFonts w:ascii="Calibri" w:hAnsi="Calibri" w:cs="Calibri"/>
        </w:rPr>
        <w:t xml:space="preserve"> </w:t>
      </w:r>
      <w:r w:rsidR="003F0070" w:rsidRPr="00DC55B0">
        <w:rPr>
          <w:rFonts w:ascii="Calibri" w:hAnsi="Calibri" w:cs="Calibri"/>
        </w:rPr>
        <w:t>the challenge of performing robust trials</w:t>
      </w:r>
      <w:r w:rsidR="007C78A1" w:rsidRPr="00DC55B0">
        <w:rPr>
          <w:rFonts w:ascii="Calibri" w:hAnsi="Calibri" w:cs="Calibri"/>
        </w:rPr>
        <w:t xml:space="preserve"> across multiple sites, where standards of antenatal care may vary</w:t>
      </w:r>
      <w:r w:rsidR="00BA4B05" w:rsidRPr="00DC55B0">
        <w:rPr>
          <w:rFonts w:ascii="Calibri" w:hAnsi="Calibri" w:cs="Calibri"/>
        </w:rPr>
        <w:t>, could</w:t>
      </w:r>
      <w:r w:rsidR="00430E24" w:rsidRPr="00DC55B0">
        <w:rPr>
          <w:rFonts w:ascii="Calibri" w:hAnsi="Calibri" w:cs="Calibri"/>
        </w:rPr>
        <w:t xml:space="preserve"> also be a contributing factor</w:t>
      </w:r>
      <w:r w:rsidR="007C78A1" w:rsidRPr="00DC55B0">
        <w:rPr>
          <w:rFonts w:ascii="Calibri" w:hAnsi="Calibri" w:cs="Calibri"/>
        </w:rPr>
        <w:t>.</w:t>
      </w:r>
      <w:r w:rsidR="00FA2F3C" w:rsidRPr="00DC55B0">
        <w:rPr>
          <w:rFonts w:ascii="Calibri" w:hAnsi="Calibri" w:cs="Calibri"/>
        </w:rPr>
        <w:t xml:space="preserve"> </w:t>
      </w:r>
      <w:r w:rsidR="004D6F40" w:rsidRPr="00DC55B0">
        <w:rPr>
          <w:rFonts w:ascii="Calibri" w:hAnsi="Calibri" w:cs="Calibri"/>
        </w:rPr>
        <w:t xml:space="preserve">The interval between vaccination and delivery were similar between groups and </w:t>
      </w:r>
      <w:r w:rsidR="00F56A18" w:rsidRPr="00DC55B0">
        <w:rPr>
          <w:rFonts w:ascii="Calibri" w:hAnsi="Calibri" w:cs="Calibri"/>
        </w:rPr>
        <w:t xml:space="preserve">no imbalance was seen in </w:t>
      </w:r>
      <w:r w:rsidR="006638AF" w:rsidRPr="00DC55B0">
        <w:rPr>
          <w:rFonts w:ascii="Calibri" w:hAnsi="Calibri" w:cs="Calibri"/>
        </w:rPr>
        <w:t>phase III trial specifically in high-risk pregnancies.</w:t>
      </w:r>
      <w:r w:rsidR="00B70FC6" w:rsidRPr="00DC55B0">
        <w:rPr>
          <w:rFonts w:ascii="Calibri" w:hAnsi="Calibri" w:cs="Calibri"/>
        </w:rPr>
        <w:fldChar w:fldCharType="begin"/>
      </w:r>
      <w:r w:rsidR="008324C0" w:rsidRPr="00DC55B0">
        <w:rPr>
          <w:rFonts w:ascii="Calibri" w:hAnsi="Calibri" w:cs="Calibri"/>
        </w:rPr>
        <w:instrText xml:space="preserve"> ADDIN ZOTERO_ITEM CSL_CITATION {"citationID":"sY84VYBy","properties":{"formattedCitation":"\\super 108\\nosupersub{}","plainCitation":"108","noteIndex":0},"citationItems":[{"id":218,"uris":["http://zotero.org/users/14445769/items/XS5QNDZF"],"itemData":{"id":218,"type":"article-journal","container-title":"New England Journal of Medicine","DOI":"10.1056/NEJMoa2305478","ISSN":"0028-4793, 1533-4406","issue":"11","journalAbbreviation":"N Engl J Med","language":"en","license":"http://www.nejmgroup.org/legal/terms-of-use.htm","page":"1009-1021","source":"DOI.org (Crossref)","title":"RSV Prefusion F Protein–Based Maternal Vaccine — Preterm Birth and Other Outcomes","volume":"390","author":[{"family":"Dieussaert","given":"Ilse"},{"family":"Hyung Kim","given":"Joon"},{"family":"Luik","given":"Sabine"},{"family":"Seidl","given":"Claudia"},{"family":"Pu","given":"Wenji"},{"family":"Stegmann","given":"Jens-Ulrich"},{"family":"Swamy","given":"Geeta K."},{"family":"Webster","given":"Peggy"},{"family":"Dormitzer","given":"Philip R."}],"issued":{"date-parts":[["2024",3,14]]}}}],"schema":"https://github.com/citation-style-language/schema/raw/master/csl-citation.json"} </w:instrText>
      </w:r>
      <w:r w:rsidR="00B70FC6" w:rsidRPr="00DC55B0">
        <w:rPr>
          <w:rFonts w:ascii="Calibri" w:hAnsi="Calibri" w:cs="Calibri"/>
        </w:rPr>
        <w:fldChar w:fldCharType="separate"/>
      </w:r>
      <w:r w:rsidR="008324C0" w:rsidRPr="00DC55B0">
        <w:rPr>
          <w:rFonts w:ascii="Calibri" w:hAnsi="Calibri" w:cs="Calibri"/>
          <w:kern w:val="0"/>
          <w:vertAlign w:val="superscript"/>
        </w:rPr>
        <w:t>108</w:t>
      </w:r>
      <w:r w:rsidR="00B70FC6" w:rsidRPr="00DC55B0">
        <w:rPr>
          <w:rFonts w:ascii="Calibri" w:hAnsi="Calibri" w:cs="Calibri"/>
        </w:rPr>
        <w:fldChar w:fldCharType="end"/>
      </w:r>
    </w:p>
    <w:p w14:paraId="136022FF" w14:textId="77777777" w:rsidR="009A2113" w:rsidRPr="00DC55B0" w:rsidRDefault="009A2113" w:rsidP="001F3ACA">
      <w:pPr>
        <w:rPr>
          <w:rFonts w:ascii="Calibri" w:hAnsi="Calibri" w:cs="Calibri"/>
        </w:rPr>
      </w:pPr>
    </w:p>
    <w:p w14:paraId="6B75DF1D" w14:textId="32390855" w:rsidR="002D7215" w:rsidRPr="00DC55B0" w:rsidRDefault="00CA6E9A" w:rsidP="001F3ACA">
      <w:pPr>
        <w:rPr>
          <w:rFonts w:ascii="Calibri" w:hAnsi="Calibri" w:cs="Calibri"/>
        </w:rPr>
      </w:pPr>
      <w:r w:rsidRPr="00DC55B0">
        <w:rPr>
          <w:rFonts w:ascii="Calibri" w:hAnsi="Calibri" w:cs="Calibri"/>
        </w:rPr>
        <w:t xml:space="preserve">That </w:t>
      </w:r>
      <w:r w:rsidR="00595C69" w:rsidRPr="00DC55B0">
        <w:rPr>
          <w:rFonts w:ascii="Calibri" w:hAnsi="Calibri" w:cs="Calibri"/>
        </w:rPr>
        <w:t>no signals emerged in</w:t>
      </w:r>
      <w:r w:rsidRPr="00DC55B0">
        <w:rPr>
          <w:rFonts w:ascii="Calibri" w:hAnsi="Calibri" w:cs="Calibri"/>
        </w:rPr>
        <w:t xml:space="preserve"> high</w:t>
      </w:r>
      <w:r w:rsidR="00981F3D" w:rsidRPr="00DC55B0">
        <w:rPr>
          <w:rFonts w:ascii="Calibri" w:hAnsi="Calibri" w:cs="Calibri"/>
        </w:rPr>
        <w:t>-</w:t>
      </w:r>
      <w:r w:rsidRPr="00DC55B0">
        <w:rPr>
          <w:rFonts w:ascii="Calibri" w:hAnsi="Calibri" w:cs="Calibri"/>
        </w:rPr>
        <w:t xml:space="preserve">income countries </w:t>
      </w:r>
      <w:r w:rsidR="00564EA3" w:rsidRPr="00DC55B0">
        <w:rPr>
          <w:rFonts w:ascii="Calibri" w:hAnsi="Calibri" w:cs="Calibri"/>
        </w:rPr>
        <w:t xml:space="preserve">indicates that the benefits of RSV vaccination </w:t>
      </w:r>
      <w:r w:rsidR="00A165BD" w:rsidRPr="00DC55B0">
        <w:rPr>
          <w:rFonts w:ascii="Calibri" w:hAnsi="Calibri" w:cs="Calibri"/>
        </w:rPr>
        <w:t xml:space="preserve">in pregnancy exceed the risks in </w:t>
      </w:r>
      <w:r w:rsidR="00981F3D" w:rsidRPr="00DC55B0">
        <w:rPr>
          <w:rFonts w:ascii="Calibri" w:hAnsi="Calibri" w:cs="Calibri"/>
        </w:rPr>
        <w:t>these countries</w:t>
      </w:r>
      <w:r w:rsidR="00276CFB" w:rsidRPr="00DC55B0">
        <w:rPr>
          <w:rFonts w:ascii="Calibri" w:hAnsi="Calibri" w:cs="Calibri"/>
        </w:rPr>
        <w:t xml:space="preserve">, </w:t>
      </w:r>
      <w:r w:rsidR="00E25DB9" w:rsidRPr="00DC55B0">
        <w:rPr>
          <w:rFonts w:ascii="Calibri" w:hAnsi="Calibri" w:cs="Calibri"/>
        </w:rPr>
        <w:t>but</w:t>
      </w:r>
      <w:r w:rsidR="00A165BD" w:rsidRPr="00DC55B0">
        <w:rPr>
          <w:rFonts w:ascii="Calibri" w:hAnsi="Calibri" w:cs="Calibri"/>
        </w:rPr>
        <w:t xml:space="preserve"> </w:t>
      </w:r>
      <w:r w:rsidR="00276CFB" w:rsidRPr="00DC55B0">
        <w:rPr>
          <w:rFonts w:ascii="Calibri" w:hAnsi="Calibri" w:cs="Calibri"/>
        </w:rPr>
        <w:t>t</w:t>
      </w:r>
      <w:r w:rsidR="003B68C8" w:rsidRPr="00DC55B0">
        <w:rPr>
          <w:rFonts w:ascii="Calibri" w:hAnsi="Calibri" w:cs="Calibri"/>
        </w:rPr>
        <w:t>o ensure confidence in the programme, r</w:t>
      </w:r>
      <w:r w:rsidR="005A2FA9" w:rsidRPr="00DC55B0">
        <w:rPr>
          <w:rFonts w:ascii="Calibri" w:hAnsi="Calibri" w:cs="Calibri"/>
        </w:rPr>
        <w:t xml:space="preserve">ates of prematurity </w:t>
      </w:r>
      <w:r w:rsidR="003B68C8" w:rsidRPr="00DC55B0">
        <w:rPr>
          <w:rFonts w:ascii="Calibri" w:hAnsi="Calibri" w:cs="Calibri"/>
        </w:rPr>
        <w:t>are being closely monitored</w:t>
      </w:r>
      <w:r w:rsidR="002D6852" w:rsidRPr="00DC55B0">
        <w:rPr>
          <w:rFonts w:ascii="Calibri" w:hAnsi="Calibri" w:cs="Calibri"/>
        </w:rPr>
        <w:t>.</w:t>
      </w:r>
      <w:r w:rsidR="003B68C8" w:rsidRPr="00DC55B0">
        <w:rPr>
          <w:rFonts w:ascii="Calibri" w:hAnsi="Calibri" w:cs="Calibri"/>
        </w:rPr>
        <w:t xml:space="preserve"> </w:t>
      </w:r>
      <w:r w:rsidR="002D6852" w:rsidRPr="00DC55B0">
        <w:rPr>
          <w:rFonts w:ascii="Calibri" w:hAnsi="Calibri" w:cs="Calibri"/>
        </w:rPr>
        <w:t>E</w:t>
      </w:r>
      <w:r w:rsidR="00533C14" w:rsidRPr="00DC55B0">
        <w:rPr>
          <w:rFonts w:ascii="Calibri" w:hAnsi="Calibri" w:cs="Calibri"/>
        </w:rPr>
        <w:t xml:space="preserve">merging data from the United States shows that the rate of preterm birth </w:t>
      </w:r>
      <w:r w:rsidR="008945CB" w:rsidRPr="00DC55B0">
        <w:rPr>
          <w:rFonts w:ascii="Calibri" w:hAnsi="Calibri" w:cs="Calibri"/>
        </w:rPr>
        <w:t xml:space="preserve">following RSV vaccination </w:t>
      </w:r>
      <w:r w:rsidR="00533C14" w:rsidRPr="00DC55B0">
        <w:rPr>
          <w:rFonts w:ascii="Calibri" w:hAnsi="Calibri" w:cs="Calibri"/>
        </w:rPr>
        <w:t>is in line with historical rates.</w:t>
      </w:r>
      <w:r w:rsidR="008D7E09" w:rsidRPr="00DC55B0">
        <w:rPr>
          <w:rFonts w:ascii="Calibri" w:hAnsi="Calibri" w:cs="Calibri"/>
        </w:rPr>
        <w:fldChar w:fldCharType="begin"/>
      </w:r>
      <w:r w:rsidR="008324C0" w:rsidRPr="00DC55B0">
        <w:rPr>
          <w:rFonts w:ascii="Calibri" w:hAnsi="Calibri" w:cs="Calibri"/>
        </w:rPr>
        <w:instrText xml:space="preserve"> ADDIN ZOTERO_ITEM CSL_CITATION {"citationID":"8Ubxlya6","properties":{"formattedCitation":"\\super 109\\nosupersub{}","plainCitation":"109","noteIndex":0},"citationItems":[{"id":222,"uris":["http://zotero.org/users/14445769/items/G5FXKVU2"],"itemData":{"id":222,"type":"webpage","title":"Maternal RSV vaccine safety surveillance","URL":"https://www.cdc.gov/acip/downloads/slides-2024-06-26-28/03-RSV-Mat-Peds-Moro-508.pdf","author":[{"family":"Moro","given":"Pedro"}],"issued":{"date-parts":[["2024"]]}}}],"schema":"https://github.com/citation-style-language/schema/raw/master/csl-citation.json"} </w:instrText>
      </w:r>
      <w:r w:rsidR="008D7E09" w:rsidRPr="00DC55B0">
        <w:rPr>
          <w:rFonts w:ascii="Calibri" w:hAnsi="Calibri" w:cs="Calibri"/>
        </w:rPr>
        <w:fldChar w:fldCharType="separate"/>
      </w:r>
      <w:r w:rsidR="008324C0" w:rsidRPr="00DC55B0">
        <w:rPr>
          <w:rFonts w:ascii="Calibri" w:hAnsi="Calibri" w:cs="Calibri"/>
          <w:kern w:val="0"/>
          <w:vertAlign w:val="superscript"/>
        </w:rPr>
        <w:t>109</w:t>
      </w:r>
      <w:r w:rsidR="008D7E09" w:rsidRPr="00DC55B0">
        <w:rPr>
          <w:rFonts w:ascii="Calibri" w:hAnsi="Calibri" w:cs="Calibri"/>
        </w:rPr>
        <w:fldChar w:fldCharType="end"/>
      </w:r>
      <w:r w:rsidR="00533C14" w:rsidRPr="00DC55B0">
        <w:rPr>
          <w:rFonts w:ascii="Calibri" w:hAnsi="Calibri" w:cs="Calibri"/>
        </w:rPr>
        <w:t xml:space="preserve"> </w:t>
      </w:r>
      <w:r w:rsidR="00E74E64" w:rsidRPr="00DC55B0">
        <w:rPr>
          <w:rFonts w:ascii="Calibri" w:hAnsi="Calibri" w:cs="Calibri"/>
        </w:rPr>
        <w:t>T</w:t>
      </w:r>
      <w:r w:rsidR="002D7215" w:rsidRPr="00DC55B0">
        <w:rPr>
          <w:rFonts w:ascii="Calibri" w:hAnsi="Calibri" w:cs="Calibri"/>
        </w:rPr>
        <w:t>o mitigate against a</w:t>
      </w:r>
      <w:r w:rsidR="00857687" w:rsidRPr="00DC55B0">
        <w:rPr>
          <w:rFonts w:ascii="Calibri" w:hAnsi="Calibri" w:cs="Calibri"/>
        </w:rPr>
        <w:t>ny</w:t>
      </w:r>
      <w:r w:rsidR="00397359" w:rsidRPr="00DC55B0">
        <w:rPr>
          <w:rFonts w:ascii="Calibri" w:hAnsi="Calibri" w:cs="Calibri"/>
        </w:rPr>
        <w:t xml:space="preserve"> potential</w:t>
      </w:r>
      <w:r w:rsidR="00857687" w:rsidRPr="00DC55B0">
        <w:rPr>
          <w:rFonts w:ascii="Calibri" w:hAnsi="Calibri" w:cs="Calibri"/>
        </w:rPr>
        <w:t xml:space="preserve"> increased risk of preterm birth, </w:t>
      </w:r>
      <w:r w:rsidR="00E74E64" w:rsidRPr="00DC55B0">
        <w:rPr>
          <w:rFonts w:ascii="Calibri" w:hAnsi="Calibri" w:cs="Calibri"/>
        </w:rPr>
        <w:t>the USA has chosen to offer</w:t>
      </w:r>
      <w:r w:rsidR="00AF3BF0" w:rsidRPr="00DC55B0">
        <w:rPr>
          <w:rFonts w:ascii="Calibri" w:hAnsi="Calibri" w:cs="Calibri"/>
        </w:rPr>
        <w:t xml:space="preserve"> the RSV vaccine a</w:t>
      </w:r>
      <w:r w:rsidR="005A60C9" w:rsidRPr="00DC55B0">
        <w:rPr>
          <w:rFonts w:ascii="Calibri" w:hAnsi="Calibri" w:cs="Calibri"/>
        </w:rPr>
        <w:t>fter 32 weeks</w:t>
      </w:r>
      <w:r w:rsidR="00E5382E" w:rsidRPr="00DC55B0">
        <w:rPr>
          <w:rFonts w:ascii="Calibri" w:hAnsi="Calibri" w:cs="Calibri"/>
        </w:rPr>
        <w:t xml:space="preserve"> of gestation</w:t>
      </w:r>
      <w:r w:rsidR="008D7E09" w:rsidRPr="00DC55B0">
        <w:rPr>
          <w:rFonts w:ascii="Calibri" w:hAnsi="Calibri" w:cs="Calibri"/>
        </w:rPr>
        <w:t>.</w:t>
      </w:r>
      <w:r w:rsidR="002230FE" w:rsidRPr="00DC55B0">
        <w:rPr>
          <w:rFonts w:ascii="Calibri" w:hAnsi="Calibri" w:cs="Calibri"/>
        </w:rPr>
        <w:fldChar w:fldCharType="begin"/>
      </w:r>
      <w:r w:rsidR="008324C0" w:rsidRPr="00DC55B0">
        <w:rPr>
          <w:rFonts w:ascii="Calibri" w:hAnsi="Calibri" w:cs="Calibri"/>
        </w:rPr>
        <w:instrText xml:space="preserve"> ADDIN ZOTERO_ITEM CSL_CITATION {"citationID":"3St14pZf","properties":{"formattedCitation":"\\super 110\\nosupersub{}","plainCitation":"110","noteIndex":0},"citationItems":[{"id":223,"uris":["http://zotero.org/users/14445769/items/MDUPJ82W"],"itemData":{"id":223,"type":"webpage","title":"181st Meeting of the Vaccines and Related Biological Products Advisory Committee (VRBPAC)","URL":"https://www.fda.gov/media/169361/download","author":[{"family":"(FDA)","given":"Food and Drug Administration"},{"family":"Center for Biologics Evaluation and Research (CBER)","given":""}],"issued":{"date-parts":[["2023"]]}}}],"schema":"https://github.com/citation-style-language/schema/raw/master/csl-citation.json"} </w:instrText>
      </w:r>
      <w:r w:rsidR="002230FE" w:rsidRPr="00DC55B0">
        <w:rPr>
          <w:rFonts w:ascii="Calibri" w:hAnsi="Calibri" w:cs="Calibri"/>
        </w:rPr>
        <w:fldChar w:fldCharType="separate"/>
      </w:r>
      <w:r w:rsidR="008324C0" w:rsidRPr="00DC55B0">
        <w:rPr>
          <w:rFonts w:ascii="Calibri" w:hAnsi="Calibri" w:cs="Calibri"/>
          <w:kern w:val="0"/>
          <w:vertAlign w:val="superscript"/>
        </w:rPr>
        <w:t>110</w:t>
      </w:r>
      <w:r w:rsidR="002230FE" w:rsidRPr="00DC55B0">
        <w:rPr>
          <w:rFonts w:ascii="Calibri" w:hAnsi="Calibri" w:cs="Calibri"/>
        </w:rPr>
        <w:fldChar w:fldCharType="end"/>
      </w:r>
      <w:r w:rsidR="00DF7D8B" w:rsidRPr="00DC55B0">
        <w:rPr>
          <w:rFonts w:ascii="Calibri" w:hAnsi="Calibri" w:cs="Calibri"/>
        </w:rPr>
        <w:t xml:space="preserve"> Argentina</w:t>
      </w:r>
      <w:r w:rsidR="00E5382E" w:rsidRPr="00DC55B0">
        <w:rPr>
          <w:rFonts w:ascii="Calibri" w:hAnsi="Calibri" w:cs="Calibri"/>
        </w:rPr>
        <w:t xml:space="preserve"> also offers RSV vaccination </w:t>
      </w:r>
      <w:r w:rsidR="000D250F" w:rsidRPr="00DC55B0">
        <w:rPr>
          <w:rFonts w:ascii="Calibri" w:hAnsi="Calibri" w:cs="Calibri"/>
        </w:rPr>
        <w:t>from</w:t>
      </w:r>
      <w:r w:rsidR="00E5382E" w:rsidRPr="00DC55B0">
        <w:rPr>
          <w:rFonts w:ascii="Calibri" w:hAnsi="Calibri" w:cs="Calibri"/>
        </w:rPr>
        <w:t xml:space="preserve"> 32 weeks</w:t>
      </w:r>
      <w:r w:rsidR="0036778F" w:rsidRPr="00DC55B0">
        <w:rPr>
          <w:rFonts w:ascii="Calibri" w:hAnsi="Calibri" w:cs="Calibri"/>
        </w:rPr>
        <w:t xml:space="preserve"> and the UK from 28 weeks</w:t>
      </w:r>
      <w:r w:rsidR="00E5382E" w:rsidRPr="00DC55B0">
        <w:rPr>
          <w:rFonts w:ascii="Calibri" w:hAnsi="Calibri" w:cs="Calibri"/>
        </w:rPr>
        <w:t>.</w:t>
      </w:r>
      <w:r w:rsidR="00360A7B" w:rsidRPr="00DC55B0">
        <w:rPr>
          <w:rFonts w:ascii="Calibri" w:hAnsi="Calibri" w:cs="Calibri"/>
        </w:rPr>
        <w:t xml:space="preserve"> This means that the most </w:t>
      </w:r>
      <w:r w:rsidR="00334A99" w:rsidRPr="00DC55B0">
        <w:rPr>
          <w:rFonts w:ascii="Calibri" w:hAnsi="Calibri" w:cs="Calibri"/>
        </w:rPr>
        <w:t xml:space="preserve">premature infants — that is, those </w:t>
      </w:r>
      <w:r w:rsidR="00360A7B" w:rsidRPr="00DC55B0">
        <w:rPr>
          <w:rFonts w:ascii="Calibri" w:hAnsi="Calibri" w:cs="Calibri"/>
        </w:rPr>
        <w:t>preterm infants born before vaccination could be offered</w:t>
      </w:r>
      <w:r w:rsidR="00334A99" w:rsidRPr="00DC55B0">
        <w:rPr>
          <w:rFonts w:ascii="Calibri" w:hAnsi="Calibri" w:cs="Calibri"/>
        </w:rPr>
        <w:t xml:space="preserve"> —</w:t>
      </w:r>
      <w:r w:rsidR="00360A7B" w:rsidRPr="00DC55B0">
        <w:rPr>
          <w:rFonts w:ascii="Calibri" w:hAnsi="Calibri" w:cs="Calibri"/>
        </w:rPr>
        <w:t xml:space="preserve"> will not benefit from maternally derived RSV-specific IgG transferred across the placenta but may still benefit from interruption of transmission of RSV and from RSV-specific antibody</w:t>
      </w:r>
      <w:r w:rsidR="00334A99" w:rsidRPr="00DC55B0">
        <w:rPr>
          <w:rFonts w:ascii="Calibri" w:hAnsi="Calibri" w:cs="Calibri"/>
        </w:rPr>
        <w:t xml:space="preserve"> transferred</w:t>
      </w:r>
      <w:r w:rsidR="00360A7B" w:rsidRPr="00DC55B0">
        <w:rPr>
          <w:rFonts w:ascii="Calibri" w:hAnsi="Calibri" w:cs="Calibri"/>
        </w:rPr>
        <w:t xml:space="preserve"> in breastmilk.</w:t>
      </w:r>
      <w:r w:rsidR="00334A99" w:rsidRPr="00DC55B0">
        <w:rPr>
          <w:rFonts w:ascii="Calibri" w:hAnsi="Calibri" w:cs="Calibri"/>
        </w:rPr>
        <w:t xml:space="preserve"> </w:t>
      </w:r>
      <w:r w:rsidR="00DA7D14" w:rsidRPr="00DC55B0">
        <w:rPr>
          <w:rFonts w:ascii="Calibri" w:hAnsi="Calibri" w:cs="Calibri"/>
        </w:rPr>
        <w:t>The seasonal nature of the offer</w:t>
      </w:r>
      <w:r w:rsidR="003E3A23" w:rsidRPr="00DC55B0">
        <w:rPr>
          <w:rFonts w:ascii="Calibri" w:hAnsi="Calibri" w:cs="Calibri"/>
        </w:rPr>
        <w:t xml:space="preserve"> in the</w:t>
      </w:r>
      <w:r w:rsidR="00515813" w:rsidRPr="00DC55B0">
        <w:rPr>
          <w:rFonts w:ascii="Calibri" w:hAnsi="Calibri" w:cs="Calibri"/>
        </w:rPr>
        <w:t xml:space="preserve"> USA and Argentina</w:t>
      </w:r>
      <w:r w:rsidR="003E3A23" w:rsidRPr="00DC55B0">
        <w:rPr>
          <w:rFonts w:ascii="Calibri" w:hAnsi="Calibri" w:cs="Calibri"/>
        </w:rPr>
        <w:t xml:space="preserve"> further limits the potential for benefit, as </w:t>
      </w:r>
      <w:r w:rsidR="002009A5" w:rsidRPr="00DC55B0">
        <w:rPr>
          <w:rFonts w:ascii="Calibri" w:hAnsi="Calibri" w:cs="Calibri"/>
        </w:rPr>
        <w:t xml:space="preserve">those with pregnancies outside the gestational </w:t>
      </w:r>
      <w:r w:rsidR="00C20DC9" w:rsidRPr="00DC55B0">
        <w:rPr>
          <w:rFonts w:ascii="Calibri" w:hAnsi="Calibri" w:cs="Calibri"/>
        </w:rPr>
        <w:t xml:space="preserve">age limits during </w:t>
      </w:r>
      <w:r w:rsidR="00EC7926" w:rsidRPr="00DC55B0">
        <w:rPr>
          <w:rFonts w:ascii="Calibri" w:hAnsi="Calibri" w:cs="Calibri"/>
        </w:rPr>
        <w:t>the</w:t>
      </w:r>
      <w:r w:rsidR="00C20DC9" w:rsidRPr="00DC55B0">
        <w:rPr>
          <w:rFonts w:ascii="Calibri" w:hAnsi="Calibri" w:cs="Calibri"/>
        </w:rPr>
        <w:t xml:space="preserve"> season will not be </w:t>
      </w:r>
      <w:r w:rsidR="00EC7926" w:rsidRPr="00DC55B0">
        <w:rPr>
          <w:rFonts w:ascii="Calibri" w:hAnsi="Calibri" w:cs="Calibri"/>
        </w:rPr>
        <w:t>offered an RSV vaccine.</w:t>
      </w:r>
    </w:p>
    <w:p w14:paraId="78A881F0" w14:textId="77777777" w:rsidR="00C24FDE" w:rsidRPr="00DC55B0" w:rsidRDefault="00C24FDE" w:rsidP="001F3ACA">
      <w:pPr>
        <w:rPr>
          <w:rFonts w:ascii="Calibri" w:hAnsi="Calibri" w:cs="Calibri"/>
        </w:rPr>
      </w:pPr>
    </w:p>
    <w:p w14:paraId="40729540" w14:textId="3D200816" w:rsidR="00C24FDE" w:rsidRPr="00DC55B0" w:rsidRDefault="001535DD" w:rsidP="001F3ACA">
      <w:pPr>
        <w:rPr>
          <w:rFonts w:ascii="Calibri" w:hAnsi="Calibri" w:cs="Calibri"/>
        </w:rPr>
      </w:pPr>
      <w:r w:rsidRPr="00DC55B0">
        <w:rPr>
          <w:rFonts w:ascii="Calibri" w:hAnsi="Calibri" w:cs="Calibri"/>
        </w:rPr>
        <w:t>An</w:t>
      </w:r>
      <w:r w:rsidR="00C24FDE" w:rsidRPr="00DC55B0">
        <w:rPr>
          <w:rFonts w:ascii="Calibri" w:hAnsi="Calibri" w:cs="Calibri"/>
        </w:rPr>
        <w:t xml:space="preserve"> mRNA vaccine (mRNA-1345</w:t>
      </w:r>
      <w:r w:rsidR="005A1DAF" w:rsidRPr="00DC55B0">
        <w:rPr>
          <w:rFonts w:ascii="Calibri" w:hAnsi="Calibri" w:cs="Calibri"/>
        </w:rPr>
        <w:t>, Moderna</w:t>
      </w:r>
      <w:r w:rsidR="00C24FDE" w:rsidRPr="00DC55B0">
        <w:rPr>
          <w:rFonts w:ascii="Calibri" w:hAnsi="Calibri" w:cs="Calibri"/>
        </w:rPr>
        <w:t>) encoding a stabilized pre-fusion F glycoprotein</w:t>
      </w:r>
      <w:r w:rsidR="00334A99" w:rsidRPr="00DC55B0">
        <w:rPr>
          <w:rFonts w:ascii="Calibri" w:hAnsi="Calibri" w:cs="Calibri"/>
        </w:rPr>
        <w:t xml:space="preserve"> </w:t>
      </w:r>
      <w:r w:rsidR="00C24FDE" w:rsidRPr="00DC55B0">
        <w:rPr>
          <w:rFonts w:ascii="Calibri" w:hAnsi="Calibri" w:cs="Calibri"/>
        </w:rPr>
        <w:t xml:space="preserve">is currently progressing through a global phase III clinical trial in pregnancy </w:t>
      </w:r>
      <w:r w:rsidR="002230FE" w:rsidRPr="00DC55B0">
        <w:rPr>
          <w:rFonts w:ascii="Calibri" w:hAnsi="Calibri" w:cs="Calibri"/>
        </w:rPr>
        <w:t>(NCT061</w:t>
      </w:r>
      <w:r w:rsidR="00710DA3" w:rsidRPr="00DC55B0">
        <w:rPr>
          <w:rFonts w:ascii="Calibri" w:hAnsi="Calibri" w:cs="Calibri"/>
        </w:rPr>
        <w:t xml:space="preserve">43046) </w:t>
      </w:r>
      <w:r w:rsidR="00C24FDE" w:rsidRPr="00DC55B0">
        <w:rPr>
          <w:rFonts w:ascii="Calibri" w:hAnsi="Calibri" w:cs="Calibri"/>
        </w:rPr>
        <w:t>and has recently been licensed for other indications.</w:t>
      </w:r>
      <w:r w:rsidR="00AC1E4A" w:rsidRPr="00DC55B0">
        <w:rPr>
          <w:rFonts w:ascii="Calibri" w:hAnsi="Calibri" w:cs="Calibri"/>
        </w:rPr>
        <w:t xml:space="preserve"> </w:t>
      </w:r>
    </w:p>
    <w:p w14:paraId="22AF76F0" w14:textId="77777777" w:rsidR="00C24FDE" w:rsidRPr="00DC55B0" w:rsidRDefault="00C24FDE" w:rsidP="001F3ACA">
      <w:pPr>
        <w:rPr>
          <w:rFonts w:ascii="Calibri" w:hAnsi="Calibri" w:cs="Calibri"/>
        </w:rPr>
      </w:pPr>
    </w:p>
    <w:p w14:paraId="2B4939D9" w14:textId="7B5E5CDF" w:rsidR="003401C3" w:rsidRPr="00DC55B0" w:rsidRDefault="003401C3" w:rsidP="001F3ACA">
      <w:pPr>
        <w:rPr>
          <w:rFonts w:ascii="Calibri" w:hAnsi="Calibri" w:cs="Calibri"/>
          <w:i/>
          <w:iCs/>
        </w:rPr>
      </w:pPr>
      <w:r w:rsidRPr="00DC55B0">
        <w:rPr>
          <w:rFonts w:ascii="Calibri" w:hAnsi="Calibri" w:cs="Calibri"/>
          <w:i/>
          <w:iCs/>
        </w:rPr>
        <w:t>Passive immunisation against RSV at birth</w:t>
      </w:r>
    </w:p>
    <w:p w14:paraId="03EBE471" w14:textId="7C5E5103" w:rsidR="00334760" w:rsidRPr="00DC55B0" w:rsidRDefault="00A67161" w:rsidP="001F3ACA">
      <w:pPr>
        <w:rPr>
          <w:rFonts w:ascii="Calibri" w:hAnsi="Calibri" w:cs="Calibri"/>
        </w:rPr>
      </w:pPr>
      <w:r w:rsidRPr="00DC55B0">
        <w:rPr>
          <w:rFonts w:ascii="Calibri" w:hAnsi="Calibri" w:cs="Calibri"/>
        </w:rPr>
        <w:t xml:space="preserve">Since the 1990s, monthly administration of palivizumab, a humanised anti-RSV fusion (F) protein monoclonal antibody, during the RSV season has been recommended for infants at highest risk of severe RSV disease in high-income countries. </w:t>
      </w:r>
      <w:r w:rsidR="00533C14" w:rsidRPr="00DC55B0">
        <w:rPr>
          <w:rFonts w:ascii="Calibri" w:hAnsi="Calibri" w:cs="Calibri"/>
        </w:rPr>
        <w:t xml:space="preserve">The </w:t>
      </w:r>
      <w:r w:rsidR="009F6377" w:rsidRPr="00DC55B0">
        <w:rPr>
          <w:rFonts w:ascii="Calibri" w:hAnsi="Calibri" w:cs="Calibri"/>
        </w:rPr>
        <w:t xml:space="preserve">recent </w:t>
      </w:r>
      <w:r w:rsidR="00533C14" w:rsidRPr="00DC55B0">
        <w:rPr>
          <w:rFonts w:ascii="Calibri" w:hAnsi="Calibri" w:cs="Calibri"/>
        </w:rPr>
        <w:t xml:space="preserve">development of </w:t>
      </w:r>
      <w:r w:rsidR="002D3F72" w:rsidRPr="00DC55B0">
        <w:rPr>
          <w:rFonts w:ascii="Calibri" w:hAnsi="Calibri" w:cs="Calibri"/>
        </w:rPr>
        <w:t>nirsev</w:t>
      </w:r>
      <w:r w:rsidR="009F6377" w:rsidRPr="00DC55B0">
        <w:rPr>
          <w:rFonts w:ascii="Calibri" w:hAnsi="Calibri" w:cs="Calibri"/>
        </w:rPr>
        <w:t xml:space="preserve">imab, </w:t>
      </w:r>
      <w:r w:rsidR="00533C14" w:rsidRPr="00DC55B0">
        <w:rPr>
          <w:rFonts w:ascii="Calibri" w:hAnsi="Calibri" w:cs="Calibri"/>
        </w:rPr>
        <w:t>a long-acting anti-RSV monoclonal antibody with a half-life of up to 79 days</w:t>
      </w:r>
      <w:r w:rsidR="006641E3" w:rsidRPr="00DC55B0">
        <w:rPr>
          <w:rFonts w:ascii="Calibri" w:hAnsi="Calibri" w:cs="Calibri"/>
        </w:rPr>
        <w:t xml:space="preserve"> </w:t>
      </w:r>
      <w:r w:rsidR="00602365" w:rsidRPr="00DC55B0">
        <w:rPr>
          <w:rFonts w:ascii="Calibri" w:hAnsi="Calibri" w:cs="Calibri"/>
        </w:rPr>
        <w:t>given as a single intramuscular dose</w:t>
      </w:r>
      <w:r w:rsidR="009F6377" w:rsidRPr="00DC55B0">
        <w:rPr>
          <w:rFonts w:ascii="Calibri" w:hAnsi="Calibri" w:cs="Calibri"/>
        </w:rPr>
        <w:t>,</w:t>
      </w:r>
      <w:r w:rsidR="001A4C5E" w:rsidRPr="00DC55B0">
        <w:rPr>
          <w:rFonts w:ascii="Calibri" w:hAnsi="Calibri" w:cs="Calibri"/>
        </w:rPr>
        <w:fldChar w:fldCharType="begin"/>
      </w:r>
      <w:r w:rsidR="008324C0" w:rsidRPr="00DC55B0">
        <w:rPr>
          <w:rFonts w:ascii="Calibri" w:hAnsi="Calibri" w:cs="Calibri"/>
        </w:rPr>
        <w:instrText xml:space="preserve"> ADDIN ZOTERO_ITEM CSL_CITATION {"citationID":"QUEpoTo2","properties":{"formattedCitation":"\\super 111\\nosupersub{}","plainCitation":"111","noteIndex":0},"citationItems":[{"id":224,"uris":["http://zotero.org/users/14445769/items/SS799Z2U"],"itemData":{"id":224,"type":"article-journal","abstract":"BACKGROUND: Respiratory syncytial virus (RSV) is a major cause of lower respiratory tract infection and hospitalization in infants. Nirsevimab is a monoclonal antibody to the RSV fusion protein that has an extended half-life. The efficacy and safety of nirsevimab in healthy late-preterm and term infants are uncertain.\nMETHODS: We randomly assigned, in a 2:1 ratio, infants who had been born at a gestational age of at least 35 weeks to receive a single intramuscular injection of nirsevimab or placebo before the start of an RSV season. The primary efficacy end point was medically attended RSV-associated lower respiratory tract infection through 150 days after the injection. The secondary efficacy end point was hospitalization for RSV-associated lower respiratory tract infection through 150 days after the injection.\nRESULTS: A total of 1490 infants underwent randomization: 994 were assigned to the nirsevimab group and 496 to the placebo group. Medically attended RSV-associated lower respiratory tract infection occurred in 12 infants (1.2%) in the nirsevimab group and in 25 infants (5.0%) in the placebo group; these findings correspond to an efficacy of 74.5% (95% confidence interval [CI], 49.6 to 87.1; P&lt;0.001) for nirsevimab. Hospitalization for RSV-associated lower respiratory tract infection occurred in 6 infants (0.6%) in the nirsevimab group and in 8 infants (1.6%) in the placebo group (efficacy, 62.1%; 95% CI, -8.6 to 86.8; P = 0.07). Among infants with data available to day 361, antidrug antibodies after baseline were detected in 58 of 951 (6.1%) in the nirsevimab group and in 5 of 473 (1.1%) in the placebo group. Serious adverse events were reported in 67 of 987 infants (6.8%) who received nirsevimab and in 36 of 491 infants (7.3%) who received placebo.\nCONCLUSIONS: A single injection of nirsevimab administered before the RSV season protected healthy late-preterm and term infants from medically attended RSV-associated lower respiratory tract infection. (Funded by MedImmune/AstraZeneca and Sanofi; MELODY ClinicalTrials.gov number, NCT03979313.).","container-title":"The New England Journal of Medicine","DOI":"10.1056/NEJMoa2110275","ISSN":"1533-4406","issue":"9","journalAbbreviation":"N Engl J Med","language":"eng","note":"PMID: 35235726","page":"837-846","source":"PubMed","title":"Nirsevimab for Prevention of RSV in Healthy Late-Preterm and Term Infants","volume":"386","author":[{"family":"Hammitt","given":"Laura L."},{"family":"Dagan","given":"Ron"},{"family":"Yuan","given":"Yuan"},{"family":"Baca Cots","given":"Manuel"},{"family":"Bosheva","given":"Miroslava"},{"family":"Madhi","given":"Shabir A."},{"family":"Muller","given":"William J."},{"family":"Zar","given":"Heather J."},{"family":"Brooks","given":"Dennis"},{"family":"Grenham","given":"Amy"},{"family":"Wählby Hamrén","given":"Ulrika"},{"family":"Mankad","given":"Vaishali S."},{"family":"Ren","given":"Pin"},{"family":"Takas","given":"Therese"},{"family":"Abram","given":"Michael E."},{"family":"Leach","given":"Amanda"},{"family":"Griffin","given":"M. Pamela"},{"family":"Villafana","given":"Tonya"},{"literal":"MELODY Study Group"}],"issued":{"date-parts":[["2022",3,3]]}}}],"schema":"https://github.com/citation-style-language/schema/raw/master/csl-citation.json"} </w:instrText>
      </w:r>
      <w:r w:rsidR="001A4C5E" w:rsidRPr="00DC55B0">
        <w:rPr>
          <w:rFonts w:ascii="Calibri" w:hAnsi="Calibri" w:cs="Calibri"/>
        </w:rPr>
        <w:fldChar w:fldCharType="separate"/>
      </w:r>
      <w:r w:rsidR="008324C0" w:rsidRPr="00DC55B0">
        <w:rPr>
          <w:rFonts w:ascii="Calibri" w:hAnsi="Calibri" w:cs="Calibri"/>
          <w:kern w:val="0"/>
          <w:vertAlign w:val="superscript"/>
        </w:rPr>
        <w:t>111</w:t>
      </w:r>
      <w:r w:rsidR="001A4C5E" w:rsidRPr="00DC55B0">
        <w:rPr>
          <w:rFonts w:ascii="Calibri" w:hAnsi="Calibri" w:cs="Calibri"/>
        </w:rPr>
        <w:fldChar w:fldCharType="end"/>
      </w:r>
      <w:r w:rsidR="00533C14" w:rsidRPr="00DC55B0">
        <w:rPr>
          <w:rFonts w:ascii="Calibri" w:hAnsi="Calibri" w:cs="Calibri"/>
        </w:rPr>
        <w:t xml:space="preserve"> has been groundbreaking, </w:t>
      </w:r>
      <w:r w:rsidR="00334760" w:rsidRPr="00DC55B0">
        <w:rPr>
          <w:rFonts w:ascii="Calibri" w:hAnsi="Calibri" w:cs="Calibri"/>
        </w:rPr>
        <w:t>allowing wider implementation of passive immunisation</w:t>
      </w:r>
      <w:r w:rsidR="00F77586" w:rsidRPr="00DC55B0">
        <w:rPr>
          <w:rFonts w:ascii="Calibri" w:hAnsi="Calibri" w:cs="Calibri"/>
        </w:rPr>
        <w:t xml:space="preserve"> to protect newborns across Europe</w:t>
      </w:r>
      <w:r w:rsidR="006641E3" w:rsidRPr="00DC55B0">
        <w:rPr>
          <w:rFonts w:ascii="Calibri" w:hAnsi="Calibri" w:cs="Calibri"/>
        </w:rPr>
        <w:t xml:space="preserve"> and North America.</w:t>
      </w:r>
    </w:p>
    <w:p w14:paraId="03D4E0FA" w14:textId="4904D96D" w:rsidR="00736378" w:rsidRPr="00DC55B0" w:rsidRDefault="00736378" w:rsidP="001F3ACA">
      <w:pPr>
        <w:rPr>
          <w:rFonts w:ascii="Calibri" w:hAnsi="Calibri" w:cs="Calibri"/>
        </w:rPr>
      </w:pPr>
    </w:p>
    <w:p w14:paraId="31D9082E" w14:textId="50A8C4A7" w:rsidR="00533C14" w:rsidRPr="00DC55B0" w:rsidRDefault="00736378" w:rsidP="001F3ACA">
      <w:pPr>
        <w:rPr>
          <w:rFonts w:ascii="Calibri" w:hAnsi="Calibri" w:cs="Calibri"/>
        </w:rPr>
      </w:pPr>
      <w:r w:rsidRPr="00DC55B0">
        <w:rPr>
          <w:rFonts w:ascii="Calibri" w:hAnsi="Calibri" w:cs="Calibri"/>
        </w:rPr>
        <w:t xml:space="preserve">In phase III studies, </w:t>
      </w:r>
      <w:r w:rsidR="000C3D22" w:rsidRPr="00DC55B0">
        <w:rPr>
          <w:rFonts w:ascii="Calibri" w:hAnsi="Calibri" w:cs="Calibri"/>
        </w:rPr>
        <w:t xml:space="preserve">nirsevimab (now licensed as Beyfortus) </w:t>
      </w:r>
      <w:r w:rsidR="00533C14" w:rsidRPr="00DC55B0">
        <w:rPr>
          <w:rFonts w:ascii="Calibri" w:hAnsi="Calibri" w:cs="Calibri"/>
        </w:rPr>
        <w:t xml:space="preserve">showed efficacy against medically attended RSV-LRTI up to 150 days in healthy term and preterm infants (&gt;35 weeks of gestation) of </w:t>
      </w:r>
      <w:r w:rsidR="00751AF4" w:rsidRPr="00DC55B0">
        <w:rPr>
          <w:rFonts w:ascii="Calibri" w:hAnsi="Calibri" w:cs="Calibri"/>
        </w:rPr>
        <w:t xml:space="preserve">74.5% (95% </w:t>
      </w:r>
      <w:r w:rsidR="000E426A" w:rsidRPr="00DC55B0">
        <w:rPr>
          <w:rFonts w:ascii="Calibri" w:hAnsi="Calibri" w:cs="Calibri"/>
        </w:rPr>
        <w:t>CI:</w:t>
      </w:r>
      <w:r w:rsidR="00751AF4" w:rsidRPr="00DC55B0">
        <w:rPr>
          <w:rFonts w:ascii="Calibri" w:hAnsi="Calibri" w:cs="Calibri"/>
        </w:rPr>
        <w:t xml:space="preserve"> 49.6</w:t>
      </w:r>
      <w:r w:rsidR="000E426A" w:rsidRPr="00DC55B0">
        <w:rPr>
          <w:rFonts w:ascii="Calibri" w:hAnsi="Calibri" w:cs="Calibri"/>
        </w:rPr>
        <w:t>-</w:t>
      </w:r>
      <w:r w:rsidR="00751AF4" w:rsidRPr="00DC55B0">
        <w:rPr>
          <w:rFonts w:ascii="Calibri" w:hAnsi="Calibri" w:cs="Calibri"/>
        </w:rPr>
        <w:t>87.1</w:t>
      </w:r>
      <w:r w:rsidR="000E426A" w:rsidRPr="00DC55B0">
        <w:rPr>
          <w:rFonts w:ascii="Calibri" w:hAnsi="Calibri" w:cs="Calibri"/>
        </w:rPr>
        <w:t>%)</w:t>
      </w:r>
      <w:r w:rsidR="002244DD" w:rsidRPr="00DC55B0">
        <w:rPr>
          <w:rFonts w:ascii="Calibri" w:hAnsi="Calibri" w:cs="Calibri"/>
          <w:kern w:val="0"/>
          <w:vertAlign w:val="superscript"/>
        </w:rPr>
        <w:t>112</w:t>
      </w:r>
      <w:r w:rsidR="00533C14" w:rsidRPr="00DC55B0">
        <w:rPr>
          <w:rFonts w:ascii="Calibri" w:hAnsi="Calibri" w:cs="Calibri"/>
        </w:rPr>
        <w:t xml:space="preserve"> and in preterm infants (29 to &lt;35 weeks of gestation) of 70.1% </w:t>
      </w:r>
      <w:r w:rsidR="009F5ED2" w:rsidRPr="00DC55B0">
        <w:rPr>
          <w:rFonts w:ascii="Calibri" w:hAnsi="Calibri" w:cs="Calibri"/>
        </w:rPr>
        <w:t>(95% CI: 52.3-81.2%)</w:t>
      </w:r>
      <w:r w:rsidR="00533C14" w:rsidRPr="00DC55B0">
        <w:rPr>
          <w:rFonts w:ascii="Calibri" w:hAnsi="Calibri" w:cs="Calibri"/>
        </w:rPr>
        <w:t>.</w:t>
      </w:r>
      <w:r w:rsidR="001A4C5E" w:rsidRPr="00DC55B0">
        <w:rPr>
          <w:rFonts w:ascii="Calibri" w:hAnsi="Calibri" w:cs="Calibri"/>
        </w:rPr>
        <w:fldChar w:fldCharType="begin"/>
      </w:r>
      <w:r w:rsidR="008324C0" w:rsidRPr="00DC55B0">
        <w:rPr>
          <w:rFonts w:ascii="Calibri" w:hAnsi="Calibri" w:cs="Calibri"/>
        </w:rPr>
        <w:instrText xml:space="preserve"> ADDIN ZOTERO_ITEM CSL_CITATION {"citationID":"JbAzW7SN","properties":{"unsorted":true,"formattedCitation":"\\super 112\\nosupersub{}","plainCitation":"112","noteIndex":0},"citationItems":[{"id":336,"uris":["http://zotero.org/users/14445769/items/8A7RPQYL"],"itemData":{"id":336,"type":"article-journal","container-title":"New England Journal of Medicine","DOI":"10.1056/NEJMoa1913556","ISSN":"0028-4793, 1533-4406","issue":"5","journalAbbreviation":"N Engl J Med","language":"en","page":"415-425","source":"DOI.org (Crossref)","title":"Single-Dose Nirsevimab for Prevention of RSV in Preterm Infants","volume":"383","author":[{"family":"Griffin","given":"M. Pamela"},{"family":"Yuan","given":"Yuan"},{"family":"Takas","given":"Therese"},{"family":"Domachowske","given":"Joseph B."},{"family":"Madhi","given":"Shabir A."},{"family":"Manzoni","given":"Paolo"},{"family":"Simões","given":"Eric A.F."},{"family":"Esser","given":"Mark T."},{"family":"Khan","given":"Anis A."},{"family":"Dubovsky","given":"Filip"},{"family":"Villafana","given":"Tonya"},{"family":"DeVincenzo","given":"John P."}],"issued":{"date-parts":[["2020",7,30]]}}}],"schema":"https://github.com/citation-style-language/schema/raw/master/csl-citation.json"} </w:instrText>
      </w:r>
      <w:r w:rsidR="001A4C5E" w:rsidRPr="00DC55B0">
        <w:rPr>
          <w:rFonts w:ascii="Calibri" w:hAnsi="Calibri" w:cs="Calibri"/>
        </w:rPr>
        <w:fldChar w:fldCharType="separate"/>
      </w:r>
      <w:r w:rsidR="008324C0" w:rsidRPr="00DC55B0">
        <w:rPr>
          <w:rFonts w:ascii="Calibri" w:hAnsi="Calibri" w:cs="Calibri"/>
          <w:kern w:val="0"/>
          <w:vertAlign w:val="superscript"/>
        </w:rPr>
        <w:t>112</w:t>
      </w:r>
      <w:r w:rsidR="001A4C5E" w:rsidRPr="00DC55B0">
        <w:rPr>
          <w:rFonts w:ascii="Calibri" w:hAnsi="Calibri" w:cs="Calibri"/>
        </w:rPr>
        <w:fldChar w:fldCharType="end"/>
      </w:r>
      <w:r w:rsidR="009031A5" w:rsidRPr="00DC55B0">
        <w:rPr>
          <w:rFonts w:ascii="Calibri" w:hAnsi="Calibri" w:cs="Calibri"/>
        </w:rPr>
        <w:t xml:space="preserve"> </w:t>
      </w:r>
      <w:r w:rsidR="00913981" w:rsidRPr="00DC55B0">
        <w:rPr>
          <w:rFonts w:ascii="Calibri" w:hAnsi="Calibri" w:cs="Calibri"/>
        </w:rPr>
        <w:t>The high</w:t>
      </w:r>
      <w:r w:rsidR="00533C14" w:rsidRPr="00DC55B0">
        <w:rPr>
          <w:rFonts w:ascii="Calibri" w:hAnsi="Calibri" w:cs="Calibri"/>
        </w:rPr>
        <w:t xml:space="preserve"> efficacy of nirsevimab has</w:t>
      </w:r>
      <w:r w:rsidR="00913981" w:rsidRPr="00DC55B0">
        <w:rPr>
          <w:rFonts w:ascii="Calibri" w:hAnsi="Calibri" w:cs="Calibri"/>
        </w:rPr>
        <w:t xml:space="preserve"> since</w:t>
      </w:r>
      <w:r w:rsidR="00533C14" w:rsidRPr="00DC55B0">
        <w:rPr>
          <w:rFonts w:ascii="Calibri" w:hAnsi="Calibri" w:cs="Calibri"/>
        </w:rPr>
        <w:t xml:space="preserve"> been </w:t>
      </w:r>
      <w:r w:rsidR="00533C14" w:rsidRPr="00DC55B0">
        <w:rPr>
          <w:rFonts w:ascii="Calibri" w:hAnsi="Calibri" w:cs="Calibri"/>
        </w:rPr>
        <w:lastRenderedPageBreak/>
        <w:t xml:space="preserve">confirmed in a multi-country clinical trial aiming to approximate real-world conditions, with efficacy of 83.2% against RSV-associated hospitalisations </w:t>
      </w:r>
      <w:r w:rsidR="00A742EE" w:rsidRPr="00DC55B0">
        <w:rPr>
          <w:rFonts w:ascii="Calibri" w:hAnsi="Calibri" w:cs="Calibri"/>
        </w:rPr>
        <w:t xml:space="preserve">(95% CI: 67.8-92.0%) </w:t>
      </w:r>
      <w:r w:rsidR="00533C14" w:rsidRPr="00DC55B0">
        <w:rPr>
          <w:rFonts w:ascii="Calibri" w:hAnsi="Calibri" w:cs="Calibri"/>
        </w:rPr>
        <w:t xml:space="preserve">and 75.7% against RSV-associated very severe LRTI </w:t>
      </w:r>
      <w:r w:rsidR="00667058" w:rsidRPr="00DC55B0">
        <w:rPr>
          <w:rFonts w:ascii="Calibri" w:hAnsi="Calibri" w:cs="Calibri"/>
        </w:rPr>
        <w:t xml:space="preserve">(95% CI: 32.8-92.9%) </w:t>
      </w:r>
      <w:r w:rsidR="00533C14" w:rsidRPr="00DC55B0">
        <w:rPr>
          <w:rFonts w:ascii="Calibri" w:hAnsi="Calibri" w:cs="Calibri"/>
        </w:rPr>
        <w:t>in infants less than 12 months of age entering their first RSV season and born at a gestational age at least 29 weeks.</w:t>
      </w:r>
      <w:r w:rsidR="008A40EC" w:rsidRPr="00DC55B0">
        <w:rPr>
          <w:rFonts w:ascii="Calibri" w:hAnsi="Calibri" w:cs="Calibri"/>
        </w:rPr>
        <w:fldChar w:fldCharType="begin"/>
      </w:r>
      <w:r w:rsidR="008324C0" w:rsidRPr="00DC55B0">
        <w:rPr>
          <w:rFonts w:ascii="Calibri" w:hAnsi="Calibri" w:cs="Calibri"/>
        </w:rPr>
        <w:instrText xml:space="preserve"> ADDIN ZOTERO_ITEM CSL_CITATION {"citationID":"sBH55KkT","properties":{"formattedCitation":"\\super 113\\nosupersub{}","plainCitation":"113","noteIndex":0},"citationItems":[{"id":225,"uris":["http://zotero.org/users/14445769/items/DTMRZU5Q"],"itemData":{"id":225,"type":"article-journal","abstract":"BACKGROUND: The safety of the monoclonal antibody nirsevimab and the effect of nirsevimab on hospitalizations for respiratory syncytial virus (RSV)-associated lower respiratory tract infection when administered in healthy infants are unclear.\nMETHODS: In a pragmatic trial, we randomly assigned, in a 1:1 ratio, infants who were 12 months of age or younger, had been born at a gestational age of at least 29 weeks, and were entering their first RSV season in France, Germany, or the United Kingdom to receive either a single intramuscular injection of nirsevimab or standard care (no intervention) before or during the RSV season. The primary end point was hospitalization for RSV-associated lower respiratory tract infection, defined as hospital admission and an RSV-positive test result. A key secondary end point was very severe RSV-associated lower respiratory tract infection, defined as hospitalization for RSV-associated lower respiratory tract infection with an oxygen saturation of less than 90% and the need for supplemental oxygen.\nRESULTS: A total of 8058 infants were randomly assigned to receive nirsevimab (4037 infants) or standard care (4021 infants). Eleven infants (0.3%) in the nirsevimab group and 60 (1.5%) in the standard-care group were hospitalized for RSV-associated lower respiratory tract infection, which corresponded to a nirsevimab efficacy of 83.2% (95% confidence interval [CI], 67.8 to 92.0; P&lt;0.001). Very severe RSV-associated lower respiratory tract infection occurred in 5 infants (0.1%) in the nirsevimab group and in 19 (0.5%) in the standard-care group, which represented a nirsevimab efficacy of 75.7% (95% CI, 32.8 to 92.9; P = 0.004). The efficacy of nirsevimab against hospitalization for RSV-associated lower respiratory tract infection was 89.6% (adjusted 95% CI, 58.8 to 98.7; multiplicity-adjusted P&lt;0.001) in France, 74.2% (adjusted 95% CI, 27.9 to 92.5; multiplicity-adjusted P = 0.006) in Germany, and 83.4% (adjusted 95% CI, 34.3 to 97.6; multiplicity-adjusted P = 0.003) in the United Kingdom. Treatment-related adverse events occurred in 86 infants (2.1%) in the nirsevimab group.\nCONCLUSIONS: Nirsevimab protected infants against hospitalization for RSV-associated lower respiratory tract infection and against very severe RSV-associated lower respiratory tract infection in conditions that approximated real-world settings. (Funded by Sanofi and AstraZeneca; HARMONIE ClinicalTrials.gov number, NCT05437510).","container-title":"The New England Journal of Medicine","DOI":"10.1056/NEJMoa2309189","ISSN":"1533-4406","issue":"26","journalAbbreviation":"N Engl J Med","language":"eng","note":"PMID: 38157500","page":"2425-2435","source":"PubMed","title":"Nirsevimab for Prevention of Hospitalizations Due to RSV in Infants","volume":"389","author":[{"family":"Drysdale","given":"Simon B."},{"family":"Cathie","given":"Katrina"},{"family":"Flamein","given":"Florence"},{"family":"Knuf","given":"Markus"},{"family":"Collins","given":"Andrea M."},{"family":"Hill","given":"Helen C."},{"family":"Kaiser","given":"Friedrich"},{"family":"Cohen","given":"Robert"},{"family":"Pinquier","given":"Didier"},{"family":"Felter","given":"Christian T."},{"family":"Vassilouthis","given":"Natalya C."},{"family":"Jin","given":"Jing"},{"family":"Bangert","given":"Mathieu"},{"family":"Mari","given":"Karine"},{"family":"Nteene","given":"Rapi"},{"family":"Wague","given":"Sophie"},{"family":"Roberts","given":"Michelle"},{"family":"Tissières","given":"Pierre"},{"family":"Royal","given":"Simon"},{"family":"Faust","given":"Saul N."},{"literal":"HARMONIE Study Group"}],"issued":{"date-parts":[["2023",12,28]]}}}],"schema":"https://github.com/citation-style-language/schema/raw/master/csl-citation.json"} </w:instrText>
      </w:r>
      <w:r w:rsidR="008A40EC" w:rsidRPr="00DC55B0">
        <w:rPr>
          <w:rFonts w:ascii="Calibri" w:hAnsi="Calibri" w:cs="Calibri"/>
        </w:rPr>
        <w:fldChar w:fldCharType="separate"/>
      </w:r>
      <w:r w:rsidR="008324C0" w:rsidRPr="00DC55B0">
        <w:rPr>
          <w:rFonts w:ascii="Calibri" w:hAnsi="Calibri" w:cs="Calibri"/>
          <w:kern w:val="0"/>
          <w:vertAlign w:val="superscript"/>
        </w:rPr>
        <w:t>113</w:t>
      </w:r>
      <w:r w:rsidR="008A40EC" w:rsidRPr="00DC55B0">
        <w:rPr>
          <w:rFonts w:ascii="Calibri" w:hAnsi="Calibri" w:cs="Calibri"/>
        </w:rPr>
        <w:fldChar w:fldCharType="end"/>
      </w:r>
      <w:r w:rsidR="00533C14" w:rsidRPr="00DC55B0">
        <w:rPr>
          <w:rFonts w:ascii="Calibri" w:hAnsi="Calibri" w:cs="Calibri"/>
        </w:rPr>
        <w:t xml:space="preserve"> </w:t>
      </w:r>
    </w:p>
    <w:p w14:paraId="6E1B96AA" w14:textId="77777777" w:rsidR="00533C14" w:rsidRPr="00DC55B0" w:rsidRDefault="00533C14" w:rsidP="001F3ACA">
      <w:pPr>
        <w:rPr>
          <w:rFonts w:ascii="Calibri" w:hAnsi="Calibri" w:cs="Calibri"/>
        </w:rPr>
      </w:pPr>
    </w:p>
    <w:p w14:paraId="336FDC50" w14:textId="453709CC" w:rsidR="00533C14" w:rsidRPr="00DC55B0" w:rsidRDefault="00533C14" w:rsidP="001F3ACA">
      <w:pPr>
        <w:rPr>
          <w:rFonts w:ascii="Calibri" w:hAnsi="Calibri" w:cs="Calibri"/>
        </w:rPr>
      </w:pPr>
      <w:r w:rsidRPr="00DC55B0">
        <w:rPr>
          <w:rFonts w:ascii="Calibri" w:hAnsi="Calibri" w:cs="Calibri"/>
        </w:rPr>
        <w:t xml:space="preserve">Since licensure and subsequent implementation of nirsevimab, multiple countries have shown excellent coverage with high efficacy. Following the introduction of an infant universal programme in Spain in September 2023, coverage of </w:t>
      </w:r>
      <w:r w:rsidR="000A4297" w:rsidRPr="00DC55B0">
        <w:rPr>
          <w:rFonts w:ascii="Calibri" w:hAnsi="Calibri" w:cs="Calibri"/>
        </w:rPr>
        <w:t xml:space="preserve">78.7% - 98.6% </w:t>
      </w:r>
      <w:r w:rsidRPr="00DC55B0">
        <w:rPr>
          <w:rFonts w:ascii="Calibri" w:hAnsi="Calibri" w:cs="Calibri"/>
        </w:rPr>
        <w:t>across three regions with an efficacy of 70</w:t>
      </w:r>
      <w:r w:rsidR="00FC1F07" w:rsidRPr="00DC55B0">
        <w:rPr>
          <w:rFonts w:ascii="Calibri" w:hAnsi="Calibri" w:cs="Calibri"/>
        </w:rPr>
        <w:t>.2</w:t>
      </w:r>
      <w:r w:rsidRPr="00DC55B0">
        <w:rPr>
          <w:rFonts w:ascii="Calibri" w:hAnsi="Calibri" w:cs="Calibri"/>
        </w:rPr>
        <w:t xml:space="preserve">% </w:t>
      </w:r>
      <w:r w:rsidR="00FC1F07" w:rsidRPr="00DC55B0">
        <w:rPr>
          <w:rFonts w:ascii="Calibri" w:hAnsi="Calibri" w:cs="Calibri"/>
        </w:rPr>
        <w:t>(95% CI: 38.3</w:t>
      </w:r>
      <w:r w:rsidR="00821875" w:rsidRPr="00DC55B0">
        <w:rPr>
          <w:rFonts w:ascii="Calibri" w:hAnsi="Calibri" w:cs="Calibri"/>
        </w:rPr>
        <w:t>-</w:t>
      </w:r>
      <w:r w:rsidR="00FC1F07" w:rsidRPr="00DC55B0">
        <w:rPr>
          <w:rFonts w:ascii="Calibri" w:hAnsi="Calibri" w:cs="Calibri"/>
        </w:rPr>
        <w:t>88.5</w:t>
      </w:r>
      <w:r w:rsidR="00821875" w:rsidRPr="00DC55B0">
        <w:rPr>
          <w:rFonts w:ascii="Calibri" w:hAnsi="Calibri" w:cs="Calibri"/>
        </w:rPr>
        <w:t>%)</w:t>
      </w:r>
      <w:r w:rsidR="00FC1F07" w:rsidRPr="00DC55B0">
        <w:rPr>
          <w:rFonts w:ascii="Calibri" w:hAnsi="Calibri" w:cs="Calibri"/>
        </w:rPr>
        <w:t xml:space="preserve"> </w:t>
      </w:r>
      <w:r w:rsidRPr="00DC55B0">
        <w:rPr>
          <w:rFonts w:ascii="Calibri" w:hAnsi="Calibri" w:cs="Calibri"/>
        </w:rPr>
        <w:t>against RSV-LRTI hospitalisations has been observed.</w:t>
      </w:r>
      <w:r w:rsidR="004D4FF3" w:rsidRPr="00DC55B0">
        <w:rPr>
          <w:rFonts w:ascii="Calibri" w:hAnsi="Calibri" w:cs="Calibri"/>
        </w:rPr>
        <w:fldChar w:fldCharType="begin"/>
      </w:r>
      <w:r w:rsidR="008324C0" w:rsidRPr="00DC55B0">
        <w:rPr>
          <w:rFonts w:ascii="Calibri" w:hAnsi="Calibri" w:cs="Calibri"/>
        </w:rPr>
        <w:instrText xml:space="preserve"> ADDIN ZOTERO_ITEM CSL_CITATION {"citationID":"ncSTnQNU","properties":{"formattedCitation":"\\super 114\\nosupersub{}","plainCitation":"114","noteIndex":0},"citationItems":[{"id":226,"uris":["http://zotero.org/users/14445769/items/FI3RUIKB"],"itemData":{"id":226,"type":"article-journal","abstract":"The monoclonal antibody nirsevimab was at least 70% effective in preventing hospitalisations in infants with lower respiratory tract infections (LRTI) positive for respiratory syncytial virus (RSV) in Spain (Oct 2023-Jan 2024), where a universal immunisation programme began late September (coverage range: 79-99%). High protection was confirmed by two methodological designs (screening and test-negative) in a multicentre active surveillance in nine hospitals in three regions. No protection against RSV-negative LRTI-hospitalisations was shown. These interim results could guide public-health decision-making.","container-title":"Euro Surveillance: Bulletin Europeen Sur Les Maladies Transmissibles = European Communicable Disease Bulletin","DOI":"10.2807/1560-7917.ES.2024.29.6.2400046","ISSN":"1560-7917","issue":"6","journalAbbreviation":"Euro Surveill","language":"eng","note":"PMID: 38333937\nPMCID: PMC10853977","page":"2400046","source":"PubMed","title":"Early estimates of nirsevimab immunoprophylaxis effectiveness against hospital admission for respiratory syncytial virus lower respiratory tract infections in infants, Spain, October 2023 to January 2024","volume":"29","author":[{"family":"López-Lacort","given":"Mónica"},{"family":"Muñoz-Quiles","given":"Cintia"},{"family":"Mira-Iglesias","given":"Ainara"},{"family":"López-Labrador","given":"F. Xavier"},{"family":"Mengual-Chuliá","given":"Beatriz"},{"family":"Fernández-García","given":"Carlos"},{"family":"Carballido-Fernández","given":"Mario"},{"family":"Pineda-Caplliure","given":"Ana"},{"family":"Mollar-Maseres","given":"Juan"},{"family":"Shalabi Benavent","given":"Maruan"},{"family":"Sanz-Herrero","given":"Francisco"},{"family":"Zornoza-Moreno","given":"Matilde"},{"family":"Pérez-Martín","given":"Jaime Jesús"},{"family":"Alfayate-Miguelez","given":"Santiago"},{"family":"Pérez Crespo","given":"Rocío"},{"family":"Bastida Sánchez","given":"Encarnación"},{"family":"Menasalvas-Ruiz","given":"Ana Isabel"},{"family":"Téllez-González","given":"Mª Cinta"},{"family":"Esquiva Soto","given":"Samuel"},{"family":"Del Toro Saravia","given":"Carlos"},{"family":"Sanz-Muñoz","given":"Iván"},{"family":"Eiros","given":"José María"},{"family":"Matías Del Pozo","given":"Vanesa"},{"family":"Toquero-Asensi","given":"Marina"},{"family":"Pastor-Villalba","given":"Eliseo"},{"family":"Lluch-Rodrigo","given":"José Antonio"},{"family":"Díez-Domingo","given":"Javier"},{"family":"Orrico-Sánchez","given":"Alejandro"}],"issued":{"date-parts":[["2024",2]]}}}],"schema":"https://github.com/citation-style-language/schema/raw/master/csl-citation.json"} </w:instrText>
      </w:r>
      <w:r w:rsidR="004D4FF3" w:rsidRPr="00DC55B0">
        <w:rPr>
          <w:rFonts w:ascii="Calibri" w:hAnsi="Calibri" w:cs="Calibri"/>
        </w:rPr>
        <w:fldChar w:fldCharType="separate"/>
      </w:r>
      <w:r w:rsidR="008324C0" w:rsidRPr="00DC55B0">
        <w:rPr>
          <w:rFonts w:ascii="Calibri" w:hAnsi="Calibri" w:cs="Calibri"/>
          <w:kern w:val="0"/>
          <w:vertAlign w:val="superscript"/>
        </w:rPr>
        <w:t>114</w:t>
      </w:r>
      <w:r w:rsidR="004D4FF3" w:rsidRPr="00DC55B0">
        <w:rPr>
          <w:rFonts w:ascii="Calibri" w:hAnsi="Calibri" w:cs="Calibri"/>
        </w:rPr>
        <w:fldChar w:fldCharType="end"/>
      </w:r>
      <w:r w:rsidRPr="00DC55B0">
        <w:rPr>
          <w:rFonts w:ascii="Calibri" w:hAnsi="Calibri" w:cs="Calibri"/>
        </w:rPr>
        <w:t xml:space="preserve"> These rates have been borne out in subsequent studies in </w:t>
      </w:r>
      <w:r w:rsidR="003E25FB" w:rsidRPr="00DC55B0">
        <w:rPr>
          <w:rFonts w:ascii="Calibri" w:hAnsi="Calibri" w:cs="Calibri"/>
        </w:rPr>
        <w:t xml:space="preserve">the </w:t>
      </w:r>
      <w:r w:rsidRPr="00DC55B0">
        <w:rPr>
          <w:rFonts w:ascii="Calibri" w:hAnsi="Calibri" w:cs="Calibri"/>
        </w:rPr>
        <w:t>Galicia</w:t>
      </w:r>
      <w:r w:rsidR="003E25FB" w:rsidRPr="00DC55B0">
        <w:rPr>
          <w:rFonts w:ascii="Calibri" w:hAnsi="Calibri" w:cs="Calibri"/>
        </w:rPr>
        <w:t xml:space="preserve"> region of</w:t>
      </w:r>
      <w:r w:rsidRPr="00DC55B0">
        <w:rPr>
          <w:rFonts w:ascii="Calibri" w:hAnsi="Calibri" w:cs="Calibri"/>
        </w:rPr>
        <w:t xml:space="preserve"> Spain and </w:t>
      </w:r>
      <w:r w:rsidR="003E25FB" w:rsidRPr="00DC55B0">
        <w:rPr>
          <w:rFonts w:ascii="Calibri" w:hAnsi="Calibri" w:cs="Calibri"/>
        </w:rPr>
        <w:t xml:space="preserve">in </w:t>
      </w:r>
      <w:r w:rsidRPr="00DC55B0">
        <w:rPr>
          <w:rFonts w:ascii="Calibri" w:hAnsi="Calibri" w:cs="Calibri"/>
        </w:rPr>
        <w:t>France, which showed that the number needed to immunise to prevent one RSV-associated hospitalisation was between 25</w:t>
      </w:r>
      <w:r w:rsidR="00943E67" w:rsidRPr="00DC55B0">
        <w:rPr>
          <w:rFonts w:ascii="Calibri" w:hAnsi="Calibri" w:cs="Calibri"/>
        </w:rPr>
        <w:fldChar w:fldCharType="begin"/>
      </w:r>
      <w:r w:rsidR="008324C0" w:rsidRPr="00DC55B0">
        <w:rPr>
          <w:rFonts w:ascii="Calibri" w:hAnsi="Calibri" w:cs="Calibri"/>
        </w:rPr>
        <w:instrText xml:space="preserve"> ADDIN ZOTERO_ITEM CSL_CITATION {"citationID":"nDDNBw9i","properties":{"formattedCitation":"\\super 115\\nosupersub{}","plainCitation":"115","noteIndex":0},"citationItems":[{"id":227,"uris":["http://zotero.org/users/14445769/items/FIJWIU8T"],"itemData":{"id":227,"type":"article-journal","abstract":"BACKGROUND: Galicia (Spain) was one of the first regions worldwide to incorporate nirsevimab for universal respiratory syncytial virus (RSV) prophylaxis in infants into its immunisation programme. The NIRSE-GAL longitudinal population-based study aimed to assess nirsevimab effectiveness in preventing hospitalisations (ie, admittance to hospital).\nMETHODS: The 2023-24 immunisation campaign with nirsevimab in Galicia began on Sept 25, 2023, and concluded on March 31, 2024. The campaign targeted three groups: infants born during the campaign (seasonal group), infants younger than 6 months at the start of the campaign (catch-up group), and infants aged 6-24 months with high-risk factors at the start of the campaign (high-risk group). Infants in the seasonal group were offered immunisation on the first day of life before discharge from hospital. Infants in the catch-up and high-risk groups received electronic appointments to attend a public hospital or health-care centre for nirsevimab administration. For this interim analysis, we used data collected from Sept 25 to Dec 31, 2023, from children born up to Dec 15, 2023. Data were retrieved from public health registries. Nirsevimab effectiveness in preventing RSV-associated lower respiratory tract infection (LRTI) hospitalisations; severe RSV-related LRTI requiring intensive care unit admission, mechanical ventilation, or oxygen support; all-cause LRTI hospitalisations; and all-cause hospitalisations was estimated using adjusted Poisson regression models. Data from five past RSV seasons (2016-17, 2017-18, 2018-19, 2019-20, and 2022-23), excluding the COVID-19 pandemic period, were used to estimate the number of RSV-related LRTI hospitalisations averted along with its IQR. The number needed to immunise to avoid one case in the 2023-24 season was then estimated from the averted cases. Nirsevimab safety was routinely monitored. The NIRSE-GAL study protocol was registered on ClinicalTrials.gov (NCT06180993), and follow-up of participants is ongoing.\nFINDINGS: 9408 (91·7%) of 10 259 eligible infants in the seasonal and catch-up groups received nirsevimab, including 6220 (89·9%) of 6919 in the catch-up group and 3188 (95·4%) of 3340 in the seasonal group. 360 in the high-risk group were offered nirsevimab, 348 (97%) of whom received it. Only infants in the seasonal and catch-up groups were included in analyses to estimate nirsevimab effectiveness and impact because there were too few events in the high-risk group. In the catch-up and seasonal groups combined, 30 (0·3%) of 9408 infants who received nirsevimab and 16 (1·9%) of 851 who did not receive nirsevimab were hospitalised for RSV-related LRTI, corresponding to an effectiveness of 82·0% (95% CI 65·6-90·2). Effectiveness was 86·9% (69·1-94·2) against severe RSV-related LRTI requiring oxygen support, 69·2% (55·9-78·0) against all-cause LRTI hospitalisations, and 66·2% (56·0-73·7) against all-cause hospitalisations. Nirsevimab effectiveness against other endpoints of severe RSV-related LRTI could not be estimated because of too few events. RSV-related LRTI hospitalisations were reduced by 89·8% (IQR 87·5-90·3), and the number needed to immunise to avoid one RSV-related LRTI hospitalisation was 25 (IQR 24-32). No severe adverse events related to nirsevimab were registered.\nINTERPRETATION: Nirsevimab substantially reduced infant hospitalisations for RSV-associated LRTI, severe RSV-associated LRTI requiring oxygen, and all-cause LRTI when given in real-world conditions. These findings offer policy makers and health authorities robust, real-world, population-based evidence to guide the development of strategies for RSV prevention.\nFUNDING: Sanofi and AstraZeneca.\nTRANSLATION: For the Spanish translation of the abstract see Supplementary Materials section.","container-title":"The Lancet. Infectious Diseases","DOI":"10.1016/S1473-3099(24)00215-9","ISSN":"1474-4457","issue":"8","journalAbbreviation":"Lancet Infect Dis","language":"eng","note":"PMID: 38701823","page":"817-828","source":"PubMed","title":"Effectiveness and impact of universal prophylaxis with nirsevimab in infants against hospitalisation for respiratory syncytial virus in Galicia, Spain: initial results of a population-based longitudinal study","title-short":"Effectiveness and impact of universal prophylaxis with nirsevimab in infants against hospitalisation for respiratory syncytial virus in Galicia, Spain","volume":"24","author":[{"family":"Ares-Gómez","given":"Sonia"},{"family":"Mallah","given":"Narmeen"},{"family":"Santiago-Pérez","given":"María-Isolina"},{"family":"Pardo-Seco","given":"Jacobo"},{"family":"Pérez-Martínez","given":"Olaia"},{"family":"Otero-Barrós","given":"María-Teresa"},{"family":"Suárez-Gaiche","given":"Nuria"},{"family":"Kramer","given":"Rolf"},{"family":"Jin","given":"Jing"},{"family":"Platero-Alonso","given":"Leticia"},{"family":"Alvárez-Gil","given":"Rosa-María"},{"family":"Ces-Ozores","given":"Olga-María"},{"family":"Nartallo-Penas","given":"Victoria"},{"family":"Mirás-Carballal","given":"Susana"},{"family":"Piñeiro-Sotelo","given":"Marta"},{"family":"Malvar-Pintos","given":"Alberto"},{"family":"González-Pérez","given":"Juan-Manuel"},{"family":"Rodríguez-Tenreiro-Sánchez","given":"Carmen"},{"family":"Rivero-Calle","given":"Irene"},{"family":"Salas","given":"Antonio"},{"family":"Durán-Parrondo","given":"Carmen"},{"family":"Martinón-Torres","given":"Federico"},{"literal":"NIRSE-GAL study group"}],"issued":{"date-parts":[["2024",8]]}}}],"schema":"https://github.com/citation-style-language/schema/raw/master/csl-citation.json"} </w:instrText>
      </w:r>
      <w:r w:rsidR="00943E67" w:rsidRPr="00DC55B0">
        <w:rPr>
          <w:rFonts w:ascii="Calibri" w:hAnsi="Calibri" w:cs="Calibri"/>
        </w:rPr>
        <w:fldChar w:fldCharType="separate"/>
      </w:r>
      <w:r w:rsidR="008324C0" w:rsidRPr="00DC55B0">
        <w:rPr>
          <w:rFonts w:ascii="Calibri" w:hAnsi="Calibri" w:cs="Calibri"/>
          <w:kern w:val="0"/>
          <w:vertAlign w:val="superscript"/>
        </w:rPr>
        <w:t>115</w:t>
      </w:r>
      <w:r w:rsidR="00943E67" w:rsidRPr="00DC55B0">
        <w:rPr>
          <w:rFonts w:ascii="Calibri" w:hAnsi="Calibri" w:cs="Calibri"/>
        </w:rPr>
        <w:fldChar w:fldCharType="end"/>
      </w:r>
      <w:r w:rsidRPr="00DC55B0">
        <w:rPr>
          <w:rFonts w:ascii="Calibri" w:hAnsi="Calibri" w:cs="Calibri"/>
        </w:rPr>
        <w:t xml:space="preserve"> and 39.</w:t>
      </w:r>
      <w:r w:rsidR="009B75D5" w:rsidRPr="00DC55B0">
        <w:rPr>
          <w:rFonts w:ascii="Calibri" w:hAnsi="Calibri" w:cs="Calibri"/>
        </w:rPr>
        <w:fldChar w:fldCharType="begin"/>
      </w:r>
      <w:r w:rsidR="008324C0" w:rsidRPr="00DC55B0">
        <w:rPr>
          <w:rFonts w:ascii="Calibri" w:hAnsi="Calibri" w:cs="Calibri"/>
        </w:rPr>
        <w:instrText xml:space="preserve"> ADDIN ZOTERO_ITEM CSL_CITATION {"citationID":"ZAE3P8HG","properties":{"formattedCitation":"\\super 116\\nosupersub{}","plainCitation":"116","noteIndex":0},"citationItems":[{"id":228,"uris":["http://zotero.org/users/14445769/items/ZV7DUJD5"],"itemData":{"id":228,"type":"article-journal","abstract":"European Commission, Laboratoire d'Excellence Integrative Biology of Emerging Infectious Diseases programme, and INCEPTION project.","container-title":"The Lancet. Child &amp; adolescent health","DOI":"10.1016/S2352-4642(24)00143-3","ISSN":"2352-4650","issue":"10","language":"en","note":"PMID: 39208833","source":"pubmed.ncbi.nlm.nih.gov","title":"Effect of nirsevimab on hospitalisations for respiratory syncytial virus bronchiolitis in France, 2023-24: a modelling study","title-short":"Effect of nirsevimab on hospitalisations for respiratory syncytial virus bronchiolitis in France, 2023-24","URL":"https://pubmed.ncbi.nlm.nih.gov/39208833/","volume":"8","author":[{"family":"Brault","given":"A"},{"family":"Pontais","given":"I"},{"family":"Enouf","given":"V"},{"family":"Debeuret","given":"C"},{"family":"Bloch","given":"E"},{"family":"Paireau","given":"J"},{"family":"Rameix-Welti","given":"M"},{"family":"White","given":"M"},{"family":"Baudemont","given":"G"},{"family":"Lina","given":"B"},{"family":"Parent du Châtelet","given":"I"},{"family":"Casalegno","given":"JS"},{"family":"Vaux","given":"S"},{"family":"Cauchemez","given":"S"}],"accessed":{"date-parts":[["2024",10,4]]},"issued":{"date-parts":[["2024",10]]}}}],"schema":"https://github.com/citation-style-language/schema/raw/master/csl-citation.json"} </w:instrText>
      </w:r>
      <w:r w:rsidR="009B75D5" w:rsidRPr="00DC55B0">
        <w:rPr>
          <w:rFonts w:ascii="Calibri" w:hAnsi="Calibri" w:cs="Calibri"/>
        </w:rPr>
        <w:fldChar w:fldCharType="separate"/>
      </w:r>
      <w:r w:rsidR="008324C0" w:rsidRPr="00DC55B0">
        <w:rPr>
          <w:rFonts w:ascii="Calibri" w:hAnsi="Calibri" w:cs="Calibri"/>
          <w:kern w:val="0"/>
          <w:vertAlign w:val="superscript"/>
        </w:rPr>
        <w:t>116</w:t>
      </w:r>
      <w:r w:rsidR="009B75D5" w:rsidRPr="00DC55B0">
        <w:rPr>
          <w:rFonts w:ascii="Calibri" w:hAnsi="Calibri" w:cs="Calibri"/>
        </w:rPr>
        <w:fldChar w:fldCharType="end"/>
      </w:r>
      <w:r w:rsidRPr="00DC55B0">
        <w:rPr>
          <w:rFonts w:ascii="Calibri" w:hAnsi="Calibri" w:cs="Calibri"/>
        </w:rPr>
        <w:t xml:space="preserve"> For those children less than 5 years of age hospitalised for RSV-LRTI in 2023 in Luxembourg, where the infant coverage was 84%, the mean age at admission increased (14.4 months versus 7.8 months</w:t>
      </w:r>
      <w:r w:rsidR="00E93F43" w:rsidRPr="00DC55B0">
        <w:rPr>
          <w:rFonts w:ascii="Calibri" w:hAnsi="Calibri" w:cs="Calibri"/>
        </w:rPr>
        <w:t xml:space="preserve"> in 2022</w:t>
      </w:r>
      <w:r w:rsidRPr="00DC55B0">
        <w:rPr>
          <w:rFonts w:ascii="Calibri" w:hAnsi="Calibri" w:cs="Calibri"/>
        </w:rPr>
        <w:t>) and the length of stay decreased amongst infants less than 6 months (3.4 days versus 5.6 days).</w:t>
      </w:r>
      <w:r w:rsidR="005C5460" w:rsidRPr="00DC55B0">
        <w:rPr>
          <w:rFonts w:ascii="Calibri" w:hAnsi="Calibri" w:cs="Calibri"/>
        </w:rPr>
        <w:fldChar w:fldCharType="begin"/>
      </w:r>
      <w:r w:rsidR="008324C0" w:rsidRPr="00DC55B0">
        <w:rPr>
          <w:rFonts w:ascii="Calibri" w:hAnsi="Calibri" w:cs="Calibri"/>
        </w:rPr>
        <w:instrText xml:space="preserve"> ADDIN ZOTERO_ITEM CSL_CITATION {"citationID":"X48RZvYT","properties":{"formattedCitation":"\\super 117\\nosupersub{}","plainCitation":"117","noteIndex":0},"citationItems":[{"id":229,"uris":["http://zotero.org/users/14445769/items/HQ6TNS3X"],"itemData":{"id":229,"type":"article-journal","abstract":"After Luxembourg introduced nirsevimab immunisation against respiratory syncytial virus (RSV), estimated neonatal coverage was 84% (1,277 doses/1,524 births) in 2023. That year, paediatric RSV-related hospitalisations, especially concerning infants &lt; 6 months old (n = 72) seemed to decrease compared to the same period in 2022 (n = 232). In 2023, hospitalised children's mean age increased (14.4 months vs 7.8 months in 2022; p &lt; 0.001) and hospital-stay length decreased (3.2 days vs 5.1 days; p &lt; 0.001). In infants &lt; 6 months old, intensive-care unit admissions appeared to drop (n = 28 vs 9). This suggests that nirsevimab prophylaxis reduced severe RSV infections, particularly in infants &lt; 6 months old, thereby alleviating healthcare strain.","container-title":"Euro Surveillance: Bulletin Europeen Sur Les Maladies Transmissibles = European Communicable Disease Bulletin","DOI":"10.2807/1560-7917.ES.2024.29.4.2400033","ISSN":"1560-7917","issue":"4","journalAbbreviation":"Euro Surveill","language":"eng","note":"PMID: 38275017\nPMCID: PMC10986653","page":"2400033","source":"PubMed","title":"Impact of nirsevimab prophylaxis on paediatric respiratory syncytial virus (RSV)-related hospitalisations during the initial 2023/24 season in Luxembourg","volume":"29","author":[{"family":"Ernst","given":"Corinna"},{"family":"Bejko","given":"Dritan"},{"family":"Gaasch","given":"Leo"},{"family":"Hannelas","given":"Emilie"},{"family":"Kahn","given":"Isaline"},{"family":"Pierron","given":"Charlotte"},{"family":"Del Lero","given":"Nesrine"},{"family":"Schalbar","given":"Claude"},{"family":"Do Carmo","given":"Elsa"},{"family":"Kohnen","given":"Michel"},{"family":"Andlauer","given":"Emmanuelle"},{"family":"Hublart","given":"Pauline"},{"family":"Masi","given":"Silvana"},{"family":"Fuente Garcia","given":"Isabel","non-dropping-particle":"de la"},{"family":"Vergison","given":"Anne"},{"family":"Mossong","given":"Joël"}],"issued":{"date-parts":[["2024",1]]}}}],"schema":"https://github.com/citation-style-language/schema/raw/master/csl-citation.json"} </w:instrText>
      </w:r>
      <w:r w:rsidR="005C5460" w:rsidRPr="00DC55B0">
        <w:rPr>
          <w:rFonts w:ascii="Calibri" w:hAnsi="Calibri" w:cs="Calibri"/>
        </w:rPr>
        <w:fldChar w:fldCharType="separate"/>
      </w:r>
      <w:r w:rsidR="008324C0" w:rsidRPr="00DC55B0">
        <w:rPr>
          <w:rFonts w:ascii="Calibri" w:hAnsi="Calibri" w:cs="Calibri"/>
          <w:kern w:val="0"/>
          <w:vertAlign w:val="superscript"/>
        </w:rPr>
        <w:t>117</w:t>
      </w:r>
      <w:r w:rsidR="005C5460" w:rsidRPr="00DC55B0">
        <w:rPr>
          <w:rFonts w:ascii="Calibri" w:hAnsi="Calibri" w:cs="Calibri"/>
        </w:rPr>
        <w:fldChar w:fldCharType="end"/>
      </w:r>
      <w:r w:rsidRPr="00DC55B0">
        <w:rPr>
          <w:rFonts w:ascii="Calibri" w:hAnsi="Calibri" w:cs="Calibri"/>
        </w:rPr>
        <w:t xml:space="preserve"> The reduction in severe RSV disease requiring admission to paediatric intensive care units observed in the pivotal phase III studies in nirsevimab recipients has been confirmed in real-world data from France, with effectiveness of </w:t>
      </w:r>
      <w:r w:rsidR="00241E55" w:rsidRPr="00DC55B0">
        <w:rPr>
          <w:rFonts w:ascii="Calibri" w:hAnsi="Calibri" w:cs="Calibri"/>
        </w:rPr>
        <w:t xml:space="preserve">75.9% (95% CI: 48.5–88.7%) </w:t>
      </w:r>
      <w:r w:rsidR="00FA00F9" w:rsidRPr="00DC55B0">
        <w:rPr>
          <w:rFonts w:ascii="Calibri" w:hAnsi="Calibri" w:cs="Calibri"/>
        </w:rPr>
        <w:fldChar w:fldCharType="begin"/>
      </w:r>
      <w:r w:rsidR="008324C0" w:rsidRPr="00DC55B0">
        <w:rPr>
          <w:rFonts w:ascii="Calibri" w:hAnsi="Calibri" w:cs="Calibri"/>
        </w:rPr>
        <w:instrText xml:space="preserve"> ADDIN ZOTERO_ITEM CSL_CITATION {"citationID":"QCUkOMI8","properties":{"formattedCitation":"\\super 118\\nosupersub{}","plainCitation":"118","noteIndex":0},"citationItems":[{"id":230,"uris":["http://zotero.org/users/14445769/items/GERVBED6"],"itemData":{"id":230,"type":"article-journal","abstract":"In September 2023, France was one of the first countries that started a national immunisation campaign with nirsevimab, a new monoclonal antibody against respiratory syncytial virus (RSV). Using data from a network of paediatric intensive care units (PICUs), we aimed to estimate nirsevimab effectiveness against severe cases of RSV bronchiolitis in France. We conducted a case-control study based on the test-negative design and included 288 infants reported by 20 PICUs. We estimated nirsevimab effectiveness at 75.9% (48.5-88.7) in the main analysis and 80.6% (61.6-90.3) and 80.4% (61.7-89.9) in two sensitivity analyses. These real-world estimates confirmed the efficacy observed in clinical studies.","container-title":"Influenza and Other Respiratory Viruses","DOI":"10.1111/irv.13311","ISSN":"1750-2659","issue":"6","journalAbbreviation":"Influenza Other Respir Viruses","language":"eng","note":"PMID: 38840301\nPMCID: PMC11154801","page":"e13311","source":"PubMed","title":"Nirsevimab Effectiveness Against Cases of Respiratory Syncytial Virus Bronchiolitis Hospitalised in Paediatric Intensive Care Units in France, September 2023-January 2024","volume":"18","author":[{"family":"Paireau","given":"Juliette"},{"family":"Durand","given":"Cécile"},{"family":"Raimbault","given":"Sylvain"},{"family":"Cazaubon","given":"Joséphine"},{"family":"Mortamet","given":"Guillaume"},{"family":"Viriot","given":"Delphine"},{"family":"Milesi","given":"Christophe"},{"family":"Daudens-Vaysse","given":"Elise"},{"family":"Ploin","given":"Dominique"},{"family":"Tessier","given":"Sabrina"},{"family":"Vanel","given":"Noémie"},{"family":"Chappert","given":"Jean-Loup"},{"family":"Levieux","given":"Karine"},{"family":"Ollivier","given":"Ronan"},{"family":"Daoudi","given":"Jamel"},{"family":"Coignard","given":"Bruno"},{"family":"Leteurtre","given":"Stéphane"},{"family":"Parent-du-Châtelet","given":"Isabelle"},{"family":"Vaux","given":"Sophie"}],"issued":{"date-parts":[["2024",6]]}}}],"schema":"https://github.com/citation-style-language/schema/raw/master/csl-citation.json"} </w:instrText>
      </w:r>
      <w:r w:rsidR="00FA00F9" w:rsidRPr="00DC55B0">
        <w:rPr>
          <w:rFonts w:ascii="Calibri" w:hAnsi="Calibri" w:cs="Calibri"/>
        </w:rPr>
        <w:fldChar w:fldCharType="separate"/>
      </w:r>
      <w:r w:rsidR="008324C0" w:rsidRPr="00DC55B0">
        <w:rPr>
          <w:rFonts w:ascii="Calibri" w:hAnsi="Calibri" w:cs="Calibri"/>
          <w:kern w:val="0"/>
          <w:vertAlign w:val="superscript"/>
        </w:rPr>
        <w:t>118</w:t>
      </w:r>
      <w:r w:rsidR="00FA00F9" w:rsidRPr="00DC55B0">
        <w:rPr>
          <w:rFonts w:ascii="Calibri" w:hAnsi="Calibri" w:cs="Calibri"/>
        </w:rPr>
        <w:fldChar w:fldCharType="end"/>
      </w:r>
      <w:r w:rsidR="004F4785" w:rsidRPr="00DC55B0">
        <w:rPr>
          <w:rFonts w:ascii="Calibri" w:hAnsi="Calibri" w:cs="Calibri"/>
        </w:rPr>
        <w:t xml:space="preserve"> Coverage observed in the New Vaccine Surveillance Network in </w:t>
      </w:r>
      <w:r w:rsidR="00001EBE" w:rsidRPr="00DC55B0">
        <w:rPr>
          <w:rFonts w:ascii="Calibri" w:hAnsi="Calibri" w:cs="Calibri"/>
        </w:rPr>
        <w:t>the USA</w:t>
      </w:r>
      <w:r w:rsidR="004F4785" w:rsidRPr="00DC55B0">
        <w:rPr>
          <w:rFonts w:ascii="Calibri" w:hAnsi="Calibri" w:cs="Calibri"/>
        </w:rPr>
        <w:t xml:space="preserve"> has been significantly lower (4-12%) </w:t>
      </w:r>
      <w:r w:rsidR="00001EBE" w:rsidRPr="00DC55B0">
        <w:rPr>
          <w:rFonts w:ascii="Calibri" w:hAnsi="Calibri" w:cs="Calibri"/>
        </w:rPr>
        <w:t>than</w:t>
      </w:r>
      <w:r w:rsidR="004F4785" w:rsidRPr="00DC55B0">
        <w:rPr>
          <w:rFonts w:ascii="Calibri" w:hAnsi="Calibri" w:cs="Calibri"/>
        </w:rPr>
        <w:t xml:space="preserve"> studies from Europe, however </w:t>
      </w:r>
      <w:r w:rsidR="00F74592" w:rsidRPr="00DC55B0">
        <w:rPr>
          <w:rFonts w:ascii="Calibri" w:hAnsi="Calibri" w:cs="Calibri"/>
        </w:rPr>
        <w:t>among those</w:t>
      </w:r>
      <w:r w:rsidR="00742143" w:rsidRPr="00DC55B0">
        <w:rPr>
          <w:rFonts w:ascii="Calibri" w:hAnsi="Calibri" w:cs="Calibri"/>
        </w:rPr>
        <w:t>,</w:t>
      </w:r>
      <w:r w:rsidR="00F74592" w:rsidRPr="00DC55B0">
        <w:rPr>
          <w:rFonts w:ascii="Calibri" w:hAnsi="Calibri" w:cs="Calibri"/>
        </w:rPr>
        <w:t xml:space="preserve"> infant </w:t>
      </w:r>
      <w:r w:rsidR="004F4785" w:rsidRPr="00DC55B0">
        <w:rPr>
          <w:rFonts w:ascii="Calibri" w:hAnsi="Calibri" w:cs="Calibri"/>
        </w:rPr>
        <w:t xml:space="preserve">effectiveness </w:t>
      </w:r>
      <w:r w:rsidR="00F74592" w:rsidRPr="00DC55B0">
        <w:rPr>
          <w:rFonts w:ascii="Calibri" w:hAnsi="Calibri" w:cs="Calibri"/>
        </w:rPr>
        <w:t>against RSV</w:t>
      </w:r>
      <w:r w:rsidR="004F4785" w:rsidRPr="00DC55B0">
        <w:rPr>
          <w:rFonts w:ascii="Calibri" w:hAnsi="Calibri" w:cs="Calibri"/>
        </w:rPr>
        <w:t>-associated hospitalisation</w:t>
      </w:r>
      <w:r w:rsidR="00F74592" w:rsidRPr="00DC55B0">
        <w:rPr>
          <w:rFonts w:ascii="Calibri" w:hAnsi="Calibri" w:cs="Calibri"/>
        </w:rPr>
        <w:t xml:space="preserve"> was 90%</w:t>
      </w:r>
      <w:r w:rsidR="00644423" w:rsidRPr="00DC55B0">
        <w:rPr>
          <w:rFonts w:ascii="Calibri" w:hAnsi="Calibri" w:cs="Calibri"/>
        </w:rPr>
        <w:t xml:space="preserve"> (95% CI: 75–96%)</w:t>
      </w:r>
      <w:r w:rsidR="004F4785" w:rsidRPr="00DC55B0">
        <w:rPr>
          <w:rFonts w:ascii="Calibri" w:hAnsi="Calibri" w:cs="Calibri"/>
        </w:rPr>
        <w:t>.</w:t>
      </w:r>
      <w:r w:rsidR="00C739B9" w:rsidRPr="00DC55B0">
        <w:rPr>
          <w:rFonts w:ascii="Calibri" w:hAnsi="Calibri" w:cs="Calibri"/>
        </w:rPr>
        <w:fldChar w:fldCharType="begin"/>
      </w:r>
      <w:r w:rsidR="008324C0" w:rsidRPr="00DC55B0">
        <w:rPr>
          <w:rFonts w:ascii="Calibri" w:hAnsi="Calibri" w:cs="Calibri"/>
        </w:rPr>
        <w:instrText xml:space="preserve"> ADDIN ZOTERO_ITEM CSL_CITATION {"citationID":"xN2WMUHo","properties":{"formattedCitation":"\\super 119\\nosupersub{}","plainCitation":"119","noteIndex":0},"citationItems":[{"id":231,"uris":["http://zotero.org/users/14445769/items/6FQ9VVXA"],"itemData":{"id":231,"type":"article-journal","abstract":"Respiratory syncytial virus (RSV) is the leading cause of hospitalization among infants in the United States. In August 2023, CDC's Advisory Committee on Immunization Practices recommended nirsevimab, a long-acting monoclonal antibody, for infants aged &lt;8 months to protect against RSV-associated lower respiratory tract infection during their first RSV season and for children aged 8-19 months at increased risk for severe RSV disease. In phase 3 clinical trials, nirsevimab efficacy against RSV-associated lower respiratory tract infection with hospitalization was 81% (95% CI = 62%-90%) through 150 days after receipt; post-introduction effectiveness has not been assessed in the United States. In this analysis, the New Vaccine Surveillance Network evaluated nirsevimab effectiveness against RSV-associated hospitalization among infants in their first RSV season during October 1, 2023-February 29, 2024. Among 699 infants hospitalized with acute respiratory illness, 59 (8%) received nirsevimab ≥7 days before symptom onset. Nirsevimab effectiveness was 90% (95% CI = 75%-96%) against RSV-associated hospitalization with a median time from receipt to symptom onset of 45 days (IQR = 19-76 days). The number of infants who received nirsevimab was too low to stratify by duration from receipt; however, nirsevimab effectiveness is expected to decrease with increasing time after receipt because of antibody decay. Although nirsevimab uptake and the interval from receipt of nirsevimab were limited in this analysis, this early estimate supports the current nirsevimab recommendation for the prevention of severe RSV disease in infants. Infants should be protected by maternal RSV vaccination or infant receipt of nirsevimab.","container-title":"MMWR. Morbidity and mortality weekly report","DOI":"10.15585/mmwr.mm7309a4","ISSN":"1545-861X","issue":"9","journalAbbreviation":"MMWR Morb Mortal Wkly Rep","language":"eng","note":"PMID: 38457312\nPMCID: PMC10932582","page":"209-214","source":"PubMed","title":"Early Estimate of Nirsevimab Effectiveness for Prevention of Respiratory Syncytial Virus-Associated Hospitalization Among Infants Entering Their First Respiratory Syncytial Virus Season - New Vaccine Surveillance Network, October 2023-February 2024","volume":"73","author":[{"family":"Moline","given":"Heidi L."},{"family":"Tannis","given":"Ayzsa"},{"family":"Toepfer","given":"Ariana P."},{"family":"Williams","given":"John V."},{"family":"Boom","given":"Julie A."},{"family":"Englund","given":"Janet A."},{"family":"Halasa","given":"Natasha B."},{"family":"Staat","given":"Mary Allen"},{"family":"Weinberg","given":"Geoffrey A."},{"family":"Selvarangan","given":"Rangaraj"},{"family":"Michaels","given":"Marian G."},{"family":"Sahni","given":"Leila C."},{"family":"Klein","given":"Eileen J."},{"family":"Stewart","given":"Laura S."},{"family":"Schlaudecker","given":"Elizabeth P."},{"family":"Szilagyi","given":"Peter G."},{"family":"Schuster","given":"Jennifer E."},{"family":"Goldstein","given":"Leah"},{"family":"Musa","given":"Samar"},{"family":"Piedra","given":"Pedro A."},{"family":"Zerr","given":"Danielle M."},{"family":"Betters","given":"Kristina A."},{"family":"Rohlfs","given":"Chelsea"},{"family":"Albertin","given":"Christina"},{"family":"Banerjee","given":"Dithi"},{"family":"McKeever","given":"Erin R."},{"family":"Kalman","given":"Casey"},{"family":"Clopper","given":"Benjamin R."},{"literal":"New Vaccine Surveillance Network Product Effectiveness Collaborators"},{"family":"McMorrow","given":"Meredith L."},{"family":"Dawood","given":"Fatimah S."}],"issued":{"date-parts":[["2024",3,7]]}}}],"schema":"https://github.com/citation-style-language/schema/raw/master/csl-citation.json"} </w:instrText>
      </w:r>
      <w:r w:rsidR="00C739B9" w:rsidRPr="00DC55B0">
        <w:rPr>
          <w:rFonts w:ascii="Calibri" w:hAnsi="Calibri" w:cs="Calibri"/>
        </w:rPr>
        <w:fldChar w:fldCharType="separate"/>
      </w:r>
      <w:r w:rsidR="008324C0" w:rsidRPr="00DC55B0">
        <w:rPr>
          <w:rFonts w:ascii="Calibri" w:hAnsi="Calibri" w:cs="Calibri"/>
          <w:kern w:val="0"/>
          <w:vertAlign w:val="superscript"/>
        </w:rPr>
        <w:t>119</w:t>
      </w:r>
      <w:r w:rsidR="00C739B9" w:rsidRPr="00DC55B0">
        <w:rPr>
          <w:rFonts w:ascii="Calibri" w:hAnsi="Calibri" w:cs="Calibri"/>
        </w:rPr>
        <w:fldChar w:fldCharType="end"/>
      </w:r>
    </w:p>
    <w:p w14:paraId="40BB6936" w14:textId="77777777" w:rsidR="001C2341" w:rsidRPr="00DC55B0" w:rsidRDefault="001C2341" w:rsidP="001F3ACA">
      <w:pPr>
        <w:rPr>
          <w:rFonts w:ascii="Calibri" w:hAnsi="Calibri" w:cs="Calibri"/>
        </w:rPr>
      </w:pPr>
    </w:p>
    <w:p w14:paraId="6BA12295" w14:textId="0A979078" w:rsidR="00285CA9" w:rsidRPr="00DC55B0" w:rsidRDefault="00215D0E" w:rsidP="001F3ACA">
      <w:pPr>
        <w:rPr>
          <w:rFonts w:ascii="Calibri" w:hAnsi="Calibri" w:cs="Calibri"/>
        </w:rPr>
      </w:pPr>
      <w:r w:rsidRPr="00DC55B0">
        <w:rPr>
          <w:rFonts w:ascii="Calibri" w:hAnsi="Calibri" w:cs="Calibri"/>
        </w:rPr>
        <w:t>Newborn monoclonal RSV administration is a very attractive strategy to protect infants up to six months of age, particularly in populations hesitant to receive vaccines during pregnancy. However, in most countries, a choice is not available to families, with the strategy decided at national level</w:t>
      </w:r>
      <w:r w:rsidR="00B60929" w:rsidRPr="00DC55B0">
        <w:rPr>
          <w:rFonts w:ascii="Calibri" w:hAnsi="Calibri" w:cs="Calibri"/>
        </w:rPr>
        <w:t xml:space="preserve"> (</w:t>
      </w:r>
      <w:r w:rsidR="00B60929" w:rsidRPr="00DC55B0">
        <w:rPr>
          <w:rFonts w:ascii="Calibri" w:hAnsi="Calibri" w:cs="Calibri"/>
          <w:b/>
          <w:bCs/>
        </w:rPr>
        <w:t>Table 2</w:t>
      </w:r>
      <w:r w:rsidR="00B60929" w:rsidRPr="00DC55B0">
        <w:rPr>
          <w:rFonts w:ascii="Calibri" w:hAnsi="Calibri" w:cs="Calibri"/>
        </w:rPr>
        <w:t>)</w:t>
      </w:r>
      <w:r w:rsidRPr="00DC55B0">
        <w:rPr>
          <w:rFonts w:ascii="Calibri" w:hAnsi="Calibri" w:cs="Calibri"/>
        </w:rPr>
        <w:t>. Moreover, the cost of this strategy limits global availability currently</w:t>
      </w:r>
      <w:r w:rsidR="00563E12" w:rsidRPr="00DC55B0">
        <w:rPr>
          <w:rFonts w:ascii="Calibri" w:hAnsi="Calibri" w:cs="Calibri"/>
        </w:rPr>
        <w:t>.</w:t>
      </w:r>
      <w:r w:rsidR="00A52683" w:rsidRPr="00DC55B0">
        <w:rPr>
          <w:rFonts w:ascii="Calibri" w:hAnsi="Calibri" w:cs="Calibri"/>
        </w:rPr>
        <w:t xml:space="preserve"> </w:t>
      </w:r>
      <w:r w:rsidR="00285CA9" w:rsidRPr="00DC55B0">
        <w:rPr>
          <w:rFonts w:ascii="Calibri" w:hAnsi="Calibri" w:cs="Calibri"/>
        </w:rPr>
        <w:t>The licensure of additional long-acting RSV monoclonal antibod</w:t>
      </w:r>
      <w:r w:rsidR="00EC7243" w:rsidRPr="00DC55B0">
        <w:rPr>
          <w:rFonts w:ascii="Calibri" w:hAnsi="Calibri" w:cs="Calibri"/>
        </w:rPr>
        <w:t>ies</w:t>
      </w:r>
      <w:r w:rsidR="005D6659" w:rsidRPr="00DC55B0">
        <w:rPr>
          <w:rFonts w:ascii="Calibri" w:hAnsi="Calibri" w:cs="Calibri"/>
        </w:rPr>
        <w:t xml:space="preserve"> will improve global supply and resilience</w:t>
      </w:r>
      <w:r w:rsidRPr="00DC55B0">
        <w:rPr>
          <w:rFonts w:ascii="Calibri" w:hAnsi="Calibri" w:cs="Calibri"/>
        </w:rPr>
        <w:t>, and may reduce costs</w:t>
      </w:r>
      <w:r w:rsidR="005D6659" w:rsidRPr="00DC55B0">
        <w:rPr>
          <w:rFonts w:ascii="Calibri" w:hAnsi="Calibri" w:cs="Calibri"/>
        </w:rPr>
        <w:t xml:space="preserve">. To this end, </w:t>
      </w:r>
      <w:r w:rsidR="003E25FB" w:rsidRPr="00DC55B0">
        <w:rPr>
          <w:rFonts w:ascii="Calibri" w:hAnsi="Calibri" w:cs="Calibri"/>
        </w:rPr>
        <w:t>clesrovimab</w:t>
      </w:r>
      <w:r w:rsidR="00614FBF" w:rsidRPr="00DC55B0">
        <w:rPr>
          <w:rFonts w:ascii="Calibri" w:hAnsi="Calibri" w:cs="Calibri"/>
        </w:rPr>
        <w:t>, which binds an alternative site on RSV F protein,</w:t>
      </w:r>
      <w:r w:rsidR="001F1843" w:rsidRPr="00DC55B0">
        <w:rPr>
          <w:rFonts w:ascii="Calibri" w:hAnsi="Calibri" w:cs="Calibri"/>
        </w:rPr>
        <w:fldChar w:fldCharType="begin"/>
      </w:r>
      <w:r w:rsidR="008324C0" w:rsidRPr="00DC55B0">
        <w:rPr>
          <w:rFonts w:ascii="Calibri" w:hAnsi="Calibri" w:cs="Calibri"/>
        </w:rPr>
        <w:instrText xml:space="preserve"> ADDIN ZOTERO_ITEM CSL_CITATION {"citationID":"nipG3aKE","properties":{"formattedCitation":"\\super 120\\nosupersub{}","plainCitation":"120","noteIndex":0},"citationItems":[{"id":232,"uris":["http://zotero.org/users/14445769/items/CS4GUNK2"],"itemData":{"id":232,"type":"article-journal","abstract":"Respiratory syncytial virus (RSV) infection is the leading cause of hospitalization and infant mortality under six months of age worldwide; therefore, the prevention of RSV infection in all infants represents a significant unmet medical need. Here we report the isolation of a potent and broadly neutralizing RSV monoclonal antibody derived from a human memory B-cell. This antibody, RB1, is equipotent on RSV A and B subtypes, potently neutralizes a diverse panel of clinical isolates in vitro and demonstrates in vivo protection. It binds to a highly conserved epitope in antigenic site IV of the RSV fusion glycoprotein. RB1 is the parental antibody to MK-1654 which is currently in clinical development for the prevention of RSV infection in infants.","container-title":"Nature Communications","DOI":"10.1038/s41467-019-12137-1","ISSN":"2041-1723","issue":"1","journalAbbreviation":"Nat Commun","language":"eng","note":"PMID: 31515478\nPMCID: PMC6742648","page":"4153","source":"PubMed","title":"A potent broadly neutralizing human RSV antibody targets conserved site IV of the fusion glycoprotein","volume":"10","author":[{"family":"Tang","given":"Aimin"},{"family":"Chen","given":"Zhifeng"},{"family":"Cox","given":"Kara S."},{"family":"Su","given":"Hua-Poo"},{"family":"Callahan","given":"Cheryl"},{"family":"Fridman","given":"Arthur"},{"family":"Zhang","given":"Lan"},{"family":"Patel","given":"Sangita B."},{"family":"Cejas","given":"Pedro J."},{"family":"Swoyer","given":"Ryan"},{"family":"Touch","given":"Sinoeun"},{"family":"Citron","given":"Michael P."},{"family":"Govindarajan","given":"Dhanasekaran"},{"family":"Luo","given":"Bin"},{"family":"Eddins","given":"Michael"},{"family":"Reid","given":"John C."},{"family":"Soisson","given":"Stephen M."},{"family":"Galli","given":"Jennifer"},{"family":"Wang","given":"Dai"},{"family":"Wen","given":"Zhiyun"},{"family":"Heidecker","given":"Gwendolyn J."},{"family":"Casimiro","given":"Danilo R."},{"family":"DiStefano","given":"Daniel J."},{"family":"Vora","given":"Kalpit A."}],"issued":{"date-parts":[["2019",9,12]]}}}],"schema":"https://github.com/citation-style-language/schema/raw/master/csl-citation.json"} </w:instrText>
      </w:r>
      <w:r w:rsidR="001F1843" w:rsidRPr="00DC55B0">
        <w:rPr>
          <w:rFonts w:ascii="Calibri" w:hAnsi="Calibri" w:cs="Calibri"/>
        </w:rPr>
        <w:fldChar w:fldCharType="separate"/>
      </w:r>
      <w:r w:rsidR="008324C0" w:rsidRPr="00DC55B0">
        <w:rPr>
          <w:rFonts w:ascii="Calibri" w:hAnsi="Calibri" w:cs="Calibri"/>
          <w:kern w:val="0"/>
          <w:vertAlign w:val="superscript"/>
        </w:rPr>
        <w:t>120</w:t>
      </w:r>
      <w:r w:rsidR="001F1843" w:rsidRPr="00DC55B0">
        <w:rPr>
          <w:rFonts w:ascii="Calibri" w:hAnsi="Calibri" w:cs="Calibri"/>
        </w:rPr>
        <w:fldChar w:fldCharType="end"/>
      </w:r>
      <w:r w:rsidR="004B6D86" w:rsidRPr="00DC55B0">
        <w:rPr>
          <w:rFonts w:ascii="Calibri" w:hAnsi="Calibri" w:cs="Calibri"/>
        </w:rPr>
        <w:t xml:space="preserve"> is nearing completion of a phase 3 study</w:t>
      </w:r>
      <w:r w:rsidR="003E25FB" w:rsidRPr="00DC55B0">
        <w:rPr>
          <w:rFonts w:ascii="Calibri" w:hAnsi="Calibri" w:cs="Calibri"/>
        </w:rPr>
        <w:t xml:space="preserve"> </w:t>
      </w:r>
      <w:r w:rsidR="004B6D86" w:rsidRPr="00DC55B0">
        <w:rPr>
          <w:rFonts w:ascii="Calibri" w:hAnsi="Calibri" w:cs="Calibri"/>
        </w:rPr>
        <w:t>(MK-1654,</w:t>
      </w:r>
      <w:r w:rsidR="00FD16CA" w:rsidRPr="00DC55B0">
        <w:rPr>
          <w:rFonts w:ascii="Calibri" w:hAnsi="Calibri" w:cs="Calibri"/>
        </w:rPr>
        <w:t xml:space="preserve"> NCT04767373</w:t>
      </w:r>
      <w:r w:rsidR="004B6D86" w:rsidRPr="00DC55B0">
        <w:rPr>
          <w:rFonts w:ascii="Calibri" w:hAnsi="Calibri" w:cs="Calibri"/>
        </w:rPr>
        <w:t>).</w:t>
      </w:r>
    </w:p>
    <w:p w14:paraId="36AA5C08" w14:textId="77777777" w:rsidR="008C7142" w:rsidRPr="00DC55B0" w:rsidRDefault="008C7142" w:rsidP="001F3ACA">
      <w:pPr>
        <w:rPr>
          <w:rFonts w:ascii="Calibri" w:hAnsi="Calibri" w:cs="Calibri"/>
        </w:rPr>
      </w:pPr>
    </w:p>
    <w:p w14:paraId="45D1A6A7" w14:textId="4D48388C" w:rsidR="008C7142" w:rsidRPr="00DC55B0" w:rsidRDefault="008C7142" w:rsidP="001F3ACA">
      <w:pPr>
        <w:rPr>
          <w:rFonts w:ascii="Calibri" w:hAnsi="Calibri" w:cs="Calibri"/>
        </w:rPr>
      </w:pPr>
      <w:r w:rsidRPr="00DC55B0">
        <w:rPr>
          <w:rFonts w:ascii="Calibri" w:hAnsi="Calibri" w:cs="Calibri"/>
        </w:rPr>
        <w:t>RSV vaccination in pregnancy and newborn monoclonal antibody administration protects the youngest and most vulnerable infants and RSV vaccines administered to older infants and young children have recently entered clinical trials. However, the US Food and Drug Administration (FDA)  has put all trials of RSV vaccines in children less than two years of age on hold.</w:t>
      </w:r>
      <w:r w:rsidRPr="00DC55B0">
        <w:rPr>
          <w:rFonts w:ascii="Calibri" w:hAnsi="Calibri" w:cs="Calibri"/>
        </w:rPr>
        <w:fldChar w:fldCharType="begin"/>
      </w:r>
      <w:r w:rsidRPr="00DC55B0">
        <w:rPr>
          <w:rFonts w:ascii="Calibri" w:hAnsi="Calibri" w:cs="Calibri"/>
        </w:rPr>
        <w:instrText xml:space="preserve"> ADDIN ZOTERO_ITEM CSL_CITATION {"citationID":"nvOWB56h","properties":{"formattedCitation":"\\super 121\\nosupersub{}","plainCitation":"121","noteIndex":0},"citationItems":[{"id":380,"uris":["http://zotero.org/users/14445769/items/6U4MCMX2"],"itemData":{"id":380,"type":"article-journal","container-title":"BMJ","DOI":"10.1136/bmj.q2852","ISSN":"1756-1833","journalAbbreviation":"BMJ","language":"en","page":"q2852","source":"DOI.org (Crossref)","title":"FDA pauses all infant RSV vaccine trials after rise in severe illnesses","author":[{"family":"Mahase","given":"Elisabeth"}],"issued":{"date-parts":[["2024",12,23]]}}}],"schema":"https://github.com/citation-style-language/schema/raw/master/csl-citation.json"} </w:instrText>
      </w:r>
      <w:r w:rsidRPr="00DC55B0">
        <w:rPr>
          <w:rFonts w:ascii="Calibri" w:hAnsi="Calibri" w:cs="Calibri"/>
        </w:rPr>
        <w:fldChar w:fldCharType="separate"/>
      </w:r>
      <w:r w:rsidRPr="00DC55B0">
        <w:rPr>
          <w:rFonts w:ascii="Calibri" w:hAnsi="Calibri" w:cs="Calibri"/>
          <w:kern w:val="0"/>
          <w:vertAlign w:val="superscript"/>
        </w:rPr>
        <w:t>121</w:t>
      </w:r>
      <w:r w:rsidRPr="00DC55B0">
        <w:rPr>
          <w:rFonts w:ascii="Calibri" w:hAnsi="Calibri" w:cs="Calibri"/>
        </w:rPr>
        <w:fldChar w:fldCharType="end"/>
      </w:r>
      <w:r w:rsidRPr="00DC55B0">
        <w:rPr>
          <w:rFonts w:ascii="Calibri" w:hAnsi="Calibri" w:cs="Calibri"/>
        </w:rPr>
        <w:t xml:space="preserve"> It is not anticipated that an RSV vaccine will be available for infants under six months of age. Therefore, it is unlikely that interference between </w:t>
      </w:r>
      <w:r w:rsidR="0059199A" w:rsidRPr="00DC55B0">
        <w:rPr>
          <w:rFonts w:ascii="Calibri" w:hAnsi="Calibri" w:cs="Calibri"/>
        </w:rPr>
        <w:t xml:space="preserve">the current </w:t>
      </w:r>
      <w:r w:rsidRPr="00DC55B0">
        <w:rPr>
          <w:rFonts w:ascii="Calibri" w:hAnsi="Calibri" w:cs="Calibri"/>
        </w:rPr>
        <w:t xml:space="preserve">maternal </w:t>
      </w:r>
      <w:r w:rsidR="0059199A" w:rsidRPr="00DC55B0">
        <w:rPr>
          <w:rFonts w:ascii="Calibri" w:hAnsi="Calibri" w:cs="Calibri"/>
        </w:rPr>
        <w:t>and</w:t>
      </w:r>
      <w:r w:rsidRPr="00DC55B0">
        <w:rPr>
          <w:rFonts w:ascii="Calibri" w:hAnsi="Calibri" w:cs="Calibri"/>
        </w:rPr>
        <w:t xml:space="preserve"> newborn </w:t>
      </w:r>
      <w:r w:rsidR="00953D40" w:rsidRPr="00DC55B0">
        <w:rPr>
          <w:rFonts w:ascii="Calibri" w:hAnsi="Calibri" w:cs="Calibri"/>
        </w:rPr>
        <w:t xml:space="preserve">passive </w:t>
      </w:r>
      <w:r w:rsidR="0059199A" w:rsidRPr="00DC55B0">
        <w:rPr>
          <w:rFonts w:ascii="Calibri" w:hAnsi="Calibri" w:cs="Calibri"/>
        </w:rPr>
        <w:t xml:space="preserve">immunisation </w:t>
      </w:r>
      <w:r w:rsidRPr="00DC55B0">
        <w:rPr>
          <w:rFonts w:ascii="Calibri" w:hAnsi="Calibri" w:cs="Calibri"/>
        </w:rPr>
        <w:t xml:space="preserve">programmes </w:t>
      </w:r>
      <w:r w:rsidR="00953D40" w:rsidRPr="00DC55B0">
        <w:rPr>
          <w:rFonts w:ascii="Calibri" w:hAnsi="Calibri" w:cs="Calibri"/>
        </w:rPr>
        <w:t>and infant vaccination</w:t>
      </w:r>
      <w:r w:rsidR="002C66B8" w:rsidRPr="00DC55B0">
        <w:rPr>
          <w:rFonts w:ascii="Calibri" w:hAnsi="Calibri" w:cs="Calibri"/>
        </w:rPr>
        <w:t xml:space="preserve"> will be a consideration in the near future</w:t>
      </w:r>
      <w:r w:rsidRPr="00DC55B0">
        <w:rPr>
          <w:rFonts w:ascii="Calibri" w:hAnsi="Calibri" w:cs="Calibri"/>
        </w:rPr>
        <w:t>.</w:t>
      </w:r>
    </w:p>
    <w:p w14:paraId="3CEEDEF6" w14:textId="77777777" w:rsidR="003B6773" w:rsidRPr="00DC55B0" w:rsidRDefault="003B6773" w:rsidP="001F3ACA">
      <w:pPr>
        <w:rPr>
          <w:rFonts w:ascii="Calibri" w:hAnsi="Calibri" w:cs="Calibri"/>
        </w:rPr>
      </w:pPr>
    </w:p>
    <w:p w14:paraId="64CF1147" w14:textId="0D949D33" w:rsidR="008125C8" w:rsidRPr="00DC55B0" w:rsidRDefault="008125C8" w:rsidP="001F3ACA">
      <w:pPr>
        <w:rPr>
          <w:rFonts w:ascii="Calibri" w:hAnsi="Calibri" w:cs="Calibri"/>
        </w:rPr>
      </w:pPr>
      <w:r w:rsidRPr="00DC55B0">
        <w:rPr>
          <w:rFonts w:ascii="Calibri" w:hAnsi="Calibri" w:cs="Calibri"/>
          <w:b/>
          <w:bCs/>
        </w:rPr>
        <w:t xml:space="preserve">Future programmes </w:t>
      </w:r>
      <w:r w:rsidR="003E5900" w:rsidRPr="00DC55B0">
        <w:rPr>
          <w:rFonts w:ascii="Calibri" w:hAnsi="Calibri" w:cs="Calibri"/>
          <w:b/>
          <w:bCs/>
        </w:rPr>
        <w:t>to protect against Group B Streptococcus</w:t>
      </w:r>
      <w:r w:rsidRPr="00DC55B0">
        <w:rPr>
          <w:rFonts w:ascii="Calibri" w:hAnsi="Calibri" w:cs="Calibri"/>
        </w:rPr>
        <w:t xml:space="preserve"> </w:t>
      </w:r>
    </w:p>
    <w:p w14:paraId="0B8E2DF4" w14:textId="0ABD1F5C" w:rsidR="00BF44DC" w:rsidRPr="00DC55B0" w:rsidRDefault="00DC7053" w:rsidP="001F3ACA">
      <w:pPr>
        <w:rPr>
          <w:rFonts w:ascii="Calibri" w:hAnsi="Calibri" w:cs="Calibri"/>
        </w:rPr>
      </w:pPr>
      <w:r w:rsidRPr="00DC55B0">
        <w:rPr>
          <w:rFonts w:ascii="Calibri" w:hAnsi="Calibri" w:cs="Calibri"/>
        </w:rPr>
        <w:t xml:space="preserve">Group B Streptococcus (GBS) is a leading cause of sepsis and meningitis amongst </w:t>
      </w:r>
      <w:r w:rsidR="00D66484" w:rsidRPr="00DC55B0">
        <w:rPr>
          <w:rFonts w:ascii="Calibri" w:hAnsi="Calibri" w:cs="Calibri"/>
        </w:rPr>
        <w:t>newborns</w:t>
      </w:r>
      <w:r w:rsidRPr="00DC55B0">
        <w:rPr>
          <w:rFonts w:ascii="Calibri" w:hAnsi="Calibri" w:cs="Calibri"/>
        </w:rPr>
        <w:t xml:space="preserve"> and young infants worldwide.</w:t>
      </w:r>
      <w:r w:rsidR="00C07E0B" w:rsidRPr="00DC55B0">
        <w:rPr>
          <w:rFonts w:ascii="Calibri" w:hAnsi="Calibri" w:cs="Calibri"/>
        </w:rPr>
        <w:fldChar w:fldCharType="begin"/>
      </w:r>
      <w:r w:rsidR="00061423" w:rsidRPr="00DC55B0">
        <w:rPr>
          <w:rFonts w:ascii="Calibri" w:hAnsi="Calibri" w:cs="Calibri"/>
        </w:rPr>
        <w:instrText xml:space="preserve"> ADDIN ZOTERO_ITEM CSL_CITATION {"citationID":"VGsnIQjF","properties":{"formattedCitation":"\\super 122\\nosupersub{}","plainCitation":"122","noteIndex":0},"citationItems":[{"id":233,"uris":["http://zotero.org/users/14445769/items/RX2DK6T5"],"itemData":{"id":233,"type":"article-journal","abstract":"BACKGROUND: We aimed to provide the first comprehensive estimates of the burden of group B Streptococcus (GBS), including invasive disease in pregnant and postpartum women, fetal infection/stillbirth, and infants. Intrapartum antibiotic prophylaxis is the current mainstay of prevention, reducing early-onset infant disease in high-income contexts. Maternal GBS vaccines are in development.\nMETHODS: For 2015 live births, we used a compartmental model to estimate (1) exposure to maternal GBS colonization, (2) cases of infant invasive GBS disease, (3) deaths, and (4) disabilities. We applied incidence or prevalence data to estimate cases of maternal and fetal infection/stillbirth, and infants with invasive GBS disease presenting with neonatal encephalopathy. We applied risk ratios to estimate numbers of preterm births attributable to GBS. Uncertainty was also estimated.\nRESULTS: Worldwide in 2015, we estimated 205000 (uncertainty range [UR], 101000-327000) infants with early-onset disease and 114000 (UR, 44000-326000) with late-onset disease, of whom a minimum of 7000 (UR, 0-19000) presented with neonatal encephalopathy. There were 90000 (UR, 36000-169000) deaths in infants &lt;3 months age, and, at least 10000 (UR, 3000-27000) children with disability each year. There were 33000 (UR, 13000-52000) cases of invasive GBS disease in pregnant or postpartum women, and 57000 (UR, 12000-104000) fetal infections/stillbirths. Up to 3.5 million preterm births may be attributable to GBS. Africa accounted for 54% of estimated cases and 65% of all fetal/infant deaths. A maternal vaccine with 80% efficacy and 90% coverage could prevent 107000 (UR, 20000-198000) stillbirths and infant deaths.\nCONCLUSIONS: Our conservative estimates suggest that GBS is a leading contributor to adverse maternal and newborn outcomes, with at least 409000 (UR, 144000-573000) maternal/fetal/infant cases and 147000 (UR, 47000-273000) stillbirths and infant deaths annually. An effective GBS vaccine could reduce disease in the mother, the fetus, and the infant.","container-title":"Clinical Infectious Diseases: An Official Publication of the Infectious Diseases Society of America","DOI":"10.1093/cid/cix664","ISSN":"1537-6591","issue":"suppl_2","journalAbbreviation":"Clin Infect Dis","language":"eng","note":"PMID: 29117332\nPMCID: PMC5849940","page":"S200-S219","source":"PubMed","title":"Estimates of the Burden of Group B Streptococcal Disease Worldwide for Pregnant Women, Stillbirths, and Children","volume":"65","author":[{"family":"Seale","given":"Anna C."},{"family":"Bianchi-Jassir","given":"Fiorella"},{"family":"Russell","given":"Neal J."},{"family":"Kohli-Lynch","given":"Maya"},{"family":"Tann","given":"Cally J."},{"family":"Hall","given":"Jenny"},{"family":"Madrid","given":"Lola"},{"family":"Blencowe","given":"Hannah"},{"family":"Cousens","given":"Simon"},{"family":"Baker","given":"Carol J."},{"family":"Bartlett","given":"Linda"},{"family":"Cutland","given":"Clare"},{"family":"Gravett","given":"Michael G."},{"family":"Heath","given":"Paul T."},{"family":"Ip","given":"Margaret"},{"family":"Le Doare","given":"Kirsty"},{"family":"Madhi","given":"Shabir A."},{"family":"Rubens","given":"Craig E."},{"family":"Saha","given":"Samir K."},{"family":"Schrag","given":"Stephanie J."},{"family":"Sobanjo-Ter Meulen","given":"Ajoke"},{"family":"Vekemans","given":"Johan"},{"family":"Lawn","given":"Joy E."}],"issued":{"date-parts":[["2017",11,6]]}}}],"schema":"https://github.com/citation-style-language/schema/raw/master/csl-citation.json"} </w:instrText>
      </w:r>
      <w:r w:rsidR="00C07E0B" w:rsidRPr="00DC55B0">
        <w:rPr>
          <w:rFonts w:ascii="Calibri" w:hAnsi="Calibri" w:cs="Calibri"/>
        </w:rPr>
        <w:fldChar w:fldCharType="separate"/>
      </w:r>
      <w:r w:rsidR="00061423" w:rsidRPr="00DC55B0">
        <w:rPr>
          <w:rFonts w:ascii="Calibri" w:hAnsi="Calibri" w:cs="Calibri"/>
          <w:kern w:val="0"/>
          <w:vertAlign w:val="superscript"/>
        </w:rPr>
        <w:t>122</w:t>
      </w:r>
      <w:r w:rsidR="00C07E0B" w:rsidRPr="00DC55B0">
        <w:rPr>
          <w:rFonts w:ascii="Calibri" w:hAnsi="Calibri" w:cs="Calibri"/>
        </w:rPr>
        <w:fldChar w:fldCharType="end"/>
      </w:r>
      <w:r w:rsidRPr="00DC55B0">
        <w:rPr>
          <w:rFonts w:ascii="Calibri" w:hAnsi="Calibri" w:cs="Calibri"/>
        </w:rPr>
        <w:t xml:space="preserve"> </w:t>
      </w:r>
      <w:r w:rsidR="002153E3" w:rsidRPr="00DC55B0">
        <w:rPr>
          <w:rFonts w:ascii="Calibri" w:hAnsi="Calibri" w:cs="Calibri"/>
        </w:rPr>
        <w:t>Between</w:t>
      </w:r>
      <w:r w:rsidR="00665132" w:rsidRPr="00DC55B0">
        <w:rPr>
          <w:rFonts w:ascii="Calibri" w:hAnsi="Calibri" w:cs="Calibri"/>
        </w:rPr>
        <w:t xml:space="preserve"> 8.9% (lower </w:t>
      </w:r>
      <w:r w:rsidR="009322C1" w:rsidRPr="00DC55B0">
        <w:rPr>
          <w:rFonts w:ascii="Calibri" w:hAnsi="Calibri" w:cs="Calibri"/>
        </w:rPr>
        <w:t xml:space="preserve">bound, East and South-east Asia) </w:t>
      </w:r>
      <w:r w:rsidR="00665132" w:rsidRPr="00DC55B0">
        <w:rPr>
          <w:rFonts w:ascii="Calibri" w:hAnsi="Calibri" w:cs="Calibri"/>
        </w:rPr>
        <w:t>and 24.2%</w:t>
      </w:r>
      <w:r w:rsidR="009322C1" w:rsidRPr="00DC55B0">
        <w:rPr>
          <w:rFonts w:ascii="Calibri" w:hAnsi="Calibri" w:cs="Calibri"/>
        </w:rPr>
        <w:t xml:space="preserve"> (upper bound, </w:t>
      </w:r>
      <w:r w:rsidR="00713C95" w:rsidRPr="00DC55B0">
        <w:rPr>
          <w:rFonts w:ascii="Calibri" w:hAnsi="Calibri" w:cs="Calibri"/>
        </w:rPr>
        <w:t xml:space="preserve">North Africa and West Asia) of pregnant individuals </w:t>
      </w:r>
      <w:r w:rsidR="00883E53" w:rsidRPr="00DC55B0">
        <w:rPr>
          <w:rFonts w:ascii="Calibri" w:hAnsi="Calibri" w:cs="Calibri"/>
        </w:rPr>
        <w:t>are colonised with GBS,</w:t>
      </w:r>
      <w:r w:rsidR="00883E53" w:rsidRPr="00DC55B0">
        <w:rPr>
          <w:rFonts w:ascii="Calibri" w:hAnsi="Calibri" w:cs="Calibri"/>
        </w:rPr>
        <w:fldChar w:fldCharType="begin"/>
      </w:r>
      <w:r w:rsidR="00061423" w:rsidRPr="00DC55B0">
        <w:rPr>
          <w:rFonts w:ascii="Calibri" w:hAnsi="Calibri" w:cs="Calibri"/>
        </w:rPr>
        <w:instrText xml:space="preserve"> ADDIN ZOTERO_ITEM CSL_CITATION {"citationID":"oHyyg5TB","properties":{"formattedCitation":"\\super 123\\nosupersub{}","plainCitation":"123","noteIndex":0},"citationItems":[{"id":332,"uris":["http://zotero.org/users/14445769/items/8CSKHHWJ"],"itemData":{"id":332,"type":"article-journal","abstract":"BACKGROUND: Group B streptococcus (GBS) colonisation during pregnancy can lead to invasive GBS disease (iGBS) in infants, including meningitis or sepsis, with a high mortality risk. Other outcomes include stillbirths, maternal infections, and prematurity. There are data gaps, notably regarding neurodevelopmental impairment (NDI), especially after iGBS sepsis, which have limited previous global estimates. In this study, we aimed to address this gap using newly available multicountry datasets.\nMETHODS: We collated and meta-analysed summary data, primarily identified in a series of systematic reviews published in 2017 but also from recent studies on NDI and stillbirths, using Bayesian hierarchical models, and estimated the burden for 183 countries in 2020 regarding: maternal GBS colonisation, iGBS cases and deaths in infants younger than 3 months, children surviving iGBS affected by NDI, and maternal iGBS cases. We analysed the proportion of stillbirths with GBS and applied this to the UN-estimated stillbirth risk per country. Excess preterm births associated with maternal GBS colonisation were calculated using meta-analysis and national preterm birth rates.\nFINDINGS: Data from the seven systematic reviews, published in 2017, that informed the previous burden estimation (a total of 515 data points) were combined with new data (17 data points) from large multicountry studies on neurodevelopmental impairment (two studies) and stillbirths (one study). A posterior median of 19·7 million (95% posterior interval 17·9-21·9) pregnant women were estimated to have rectovaginal colonisation with GBS in 2020. 231 800 (114 100-455 000) early-onset and 162 200 (70 200-394 400) late-onset infant iGBS cases were estimated to have occurred. In an analysis assuming a higher case fatality rate in the absence of a skilled birth attendant, 91 900 (44 800-187 800) iGBS infant deaths were estimated; in an analysis without this assumption, 58 300 (26 500-125 800) infant deaths from iGBS were estimated. 37 100 children who recovered from iGBS (14 600-96 200) were predicted to develop moderate or severe NDI. 40 500 (21 500-66 200) maternal iGBS cases and 46 200 (20 300-111 300) GBS stillbirths were predicted in 2020. GBS colonisation was also estimated to be potentially associated with considerable numbers of preterm births.\nINTERPRETATION: Our analysis provides a comprehensive assessment of the pregnancy-related GBS burden. The Bayesian approach enabled coherent propagation of uncertainty, which is considerable, notably regarding GBS-associated preterm births. Our findings on both the acute and long-term consequences of iGBS have public health implications for understanding the value of investment in maternal GBS immunisation and other preventive strategies.\nFUNDING: Bill &amp; Melinda Gates Foundation.","container-title":"The Lancet. Global Health","DOI":"10.1016/S2214-109X(22)00093-6","ISSN":"2214-109X","issue":"6","journalAbbreviation":"Lancet Glob Health","language":"eng","note":"PMID: 35490693\nPMCID: PMC9090904","page":"e807-e819","source":"PubMed","title":"Group B streptococcus infection during pregnancy and infancy: estimates of regional and global burden","title-short":"Group B streptococcus infection during pregnancy and infancy","volume":"10","author":[{"family":"Gonçalves","given":"Bronner P."},{"family":"Procter","given":"Simon R."},{"family":"Paul","given":"Proma"},{"family":"Chandna","given":"Jaya"},{"family":"Lewin","given":"Alexandra"},{"family":"Seedat","given":"Farah"},{"family":"Koukounari","given":"Artemis"},{"family":"Dangor","given":"Ziyaad"},{"family":"Leahy","given":"Shannon"},{"family":"Santhanam","given":"Sridhar"},{"family":"John","given":"Hima B."},{"family":"Bramugy","given":"Justina"},{"family":"Bardají","given":"Azucena"},{"family":"Abubakar","given":"Amina"},{"family":"Nasambu","given":"Carophine"},{"family":"Libster","given":"Romina"},{"family":"Sánchez Yanotti","given":"Clara"},{"family":"Horváth-Puhó","given":"Erzsébet"},{"family":"Sørensen","given":"Henrik T."},{"family":"Beek","given":"Diederik","non-dropping-particle":"van de"},{"family":"Bijlsma","given":"Merijn W."},{"family":"Gardner","given":"William M."},{"family":"Kassebaum","given":"Nicholas"},{"family":"Trotter","given":"Caroline"},{"family":"Bassat","given":"Quique"},{"family":"Madhi","given":"Shabir A."},{"family":"Lambach","given":"Philipp"},{"family":"Jit","given":"Mark"},{"family":"Lawn","given":"Joy E."},{"literal":"GBS Danish and Dutch collaborative group for long term outcomes"},{"literal":"GBS Low and Middle Income Countries collaborative group for long term outcomes"},{"literal":"GBS Scientific Advisory Group, epidemiological sub-group"},{"literal":"CHAMPS team"}],"issued":{"date-parts":[["2022",6]]}}}],"schema":"https://github.com/citation-style-language/schema/raw/master/csl-citation.json"} </w:instrText>
      </w:r>
      <w:r w:rsidR="00883E53" w:rsidRPr="00DC55B0">
        <w:rPr>
          <w:rFonts w:ascii="Calibri" w:hAnsi="Calibri" w:cs="Calibri"/>
        </w:rPr>
        <w:fldChar w:fldCharType="separate"/>
      </w:r>
      <w:r w:rsidR="00061423" w:rsidRPr="00DC55B0">
        <w:rPr>
          <w:rFonts w:ascii="Calibri" w:hAnsi="Calibri" w:cs="Calibri"/>
          <w:kern w:val="0"/>
          <w:vertAlign w:val="superscript"/>
        </w:rPr>
        <w:t>123</w:t>
      </w:r>
      <w:r w:rsidR="00883E53" w:rsidRPr="00DC55B0">
        <w:rPr>
          <w:rFonts w:ascii="Calibri" w:hAnsi="Calibri" w:cs="Calibri"/>
        </w:rPr>
        <w:fldChar w:fldCharType="end"/>
      </w:r>
      <w:r w:rsidR="00883E53" w:rsidRPr="00DC55B0">
        <w:rPr>
          <w:rFonts w:ascii="Calibri" w:hAnsi="Calibri" w:cs="Calibri"/>
        </w:rPr>
        <w:t xml:space="preserve"> a prerequisite for </w:t>
      </w:r>
      <w:r w:rsidR="0003090D" w:rsidRPr="00DC55B0">
        <w:rPr>
          <w:rFonts w:ascii="Calibri" w:hAnsi="Calibri" w:cs="Calibri"/>
        </w:rPr>
        <w:t xml:space="preserve">maternal and </w:t>
      </w:r>
      <w:r w:rsidR="00883E53" w:rsidRPr="00DC55B0">
        <w:rPr>
          <w:rFonts w:ascii="Calibri" w:hAnsi="Calibri" w:cs="Calibri"/>
        </w:rPr>
        <w:t xml:space="preserve">infant infection. </w:t>
      </w:r>
      <w:r w:rsidR="001A2D55" w:rsidRPr="00DC55B0">
        <w:rPr>
          <w:rFonts w:ascii="Calibri" w:hAnsi="Calibri" w:cs="Calibri"/>
        </w:rPr>
        <w:t xml:space="preserve">Worldwide, </w:t>
      </w:r>
      <w:r w:rsidRPr="00DC55B0">
        <w:rPr>
          <w:rFonts w:ascii="Calibri" w:hAnsi="Calibri" w:cs="Calibri"/>
        </w:rPr>
        <w:t xml:space="preserve">GBS is estimated to cause </w:t>
      </w:r>
      <w:r w:rsidR="00837364" w:rsidRPr="00DC55B0">
        <w:rPr>
          <w:rFonts w:ascii="Calibri" w:hAnsi="Calibri" w:cs="Calibri"/>
        </w:rPr>
        <w:t>46,200</w:t>
      </w:r>
      <w:r w:rsidRPr="00DC55B0">
        <w:rPr>
          <w:rFonts w:ascii="Calibri" w:hAnsi="Calibri" w:cs="Calibri"/>
        </w:rPr>
        <w:t xml:space="preserve"> stillbirths, </w:t>
      </w:r>
      <w:r w:rsidR="00B053D9" w:rsidRPr="00DC55B0">
        <w:rPr>
          <w:rFonts w:ascii="Calibri" w:hAnsi="Calibri" w:cs="Calibri"/>
        </w:rPr>
        <w:t xml:space="preserve">518,100 </w:t>
      </w:r>
      <w:r w:rsidRPr="00DC55B0">
        <w:rPr>
          <w:rFonts w:ascii="Calibri" w:hAnsi="Calibri" w:cs="Calibri"/>
        </w:rPr>
        <w:t>preterm births</w:t>
      </w:r>
      <w:r w:rsidR="00A008AA" w:rsidRPr="00DC55B0">
        <w:rPr>
          <w:rFonts w:ascii="Calibri" w:hAnsi="Calibri" w:cs="Calibri"/>
        </w:rPr>
        <w:t xml:space="preserve"> </w:t>
      </w:r>
      <w:r w:rsidR="00400BEE" w:rsidRPr="00DC55B0">
        <w:rPr>
          <w:rFonts w:ascii="Calibri" w:hAnsi="Calibri" w:cs="Calibri"/>
        </w:rPr>
        <w:t>and</w:t>
      </w:r>
      <w:r w:rsidR="0047026D" w:rsidRPr="00DC55B0">
        <w:rPr>
          <w:rFonts w:ascii="Calibri" w:hAnsi="Calibri" w:cs="Calibri"/>
        </w:rPr>
        <w:t xml:space="preserve"> 91,900 </w:t>
      </w:r>
      <w:r w:rsidR="00400BEE" w:rsidRPr="00DC55B0">
        <w:rPr>
          <w:rFonts w:ascii="Calibri" w:hAnsi="Calibri" w:cs="Calibri"/>
        </w:rPr>
        <w:t xml:space="preserve">infant deaths </w:t>
      </w:r>
      <w:r w:rsidR="001A2D55" w:rsidRPr="00DC55B0">
        <w:rPr>
          <w:rFonts w:ascii="Calibri" w:hAnsi="Calibri" w:cs="Calibri"/>
        </w:rPr>
        <w:t>annually</w:t>
      </w:r>
      <w:r w:rsidRPr="00DC55B0">
        <w:rPr>
          <w:rFonts w:ascii="Calibri" w:hAnsi="Calibri" w:cs="Calibri"/>
        </w:rPr>
        <w:t>.</w:t>
      </w:r>
      <w:r w:rsidR="00D961FD" w:rsidRPr="00DC55B0">
        <w:rPr>
          <w:rFonts w:ascii="Calibri" w:hAnsi="Calibri" w:cs="Calibri"/>
        </w:rPr>
        <w:fldChar w:fldCharType="begin"/>
      </w:r>
      <w:r w:rsidR="00061423" w:rsidRPr="00DC55B0">
        <w:rPr>
          <w:rFonts w:ascii="Calibri" w:hAnsi="Calibri" w:cs="Calibri"/>
        </w:rPr>
        <w:instrText xml:space="preserve"> ADDIN ZOTERO_ITEM CSL_CITATION {"citationID":"PeYckW5a","properties":{"formattedCitation":"\\super 123\\nosupersub{}","plainCitation":"123","noteIndex":0},"citationItems":[{"id":332,"uris":["http://zotero.org/users/14445769/items/8CSKHHWJ"],"itemData":{"id":332,"type":"article-journal","abstract":"BACKGROUND: Group B streptococcus (GBS) colonisation during pregnancy can lead to invasive GBS disease (iGBS) in infants, including meningitis or sepsis, with a high mortality risk. Other outcomes include stillbirths, maternal infections, and prematurity. There are data gaps, notably regarding neurodevelopmental impairment (NDI), especially after iGBS sepsis, which have limited previous global estimates. In this study, we aimed to address this gap using newly available multicountry datasets.\nMETHODS: We collated and meta-analysed summary data, primarily identified in a series of systematic reviews published in 2017 but also from recent studies on NDI and stillbirths, using Bayesian hierarchical models, and estimated the burden for 183 countries in 2020 regarding: maternal GBS colonisation, iGBS cases and deaths in infants younger than 3 months, children surviving iGBS affected by NDI, and maternal iGBS cases. We analysed the proportion of stillbirths with GBS and applied this to the UN-estimated stillbirth risk per country. Excess preterm births associated with maternal GBS colonisation were calculated using meta-analysis and national preterm birth rates.\nFINDINGS: Data from the seven systematic reviews, published in 2017, that informed the previous burden estimation (a total of 515 data points) were combined with new data (17 data points) from large multicountry studies on neurodevelopmental impairment (two studies) and stillbirths (one study). A posterior median of 19·7 million (95% posterior interval 17·9-21·9) pregnant women were estimated to have rectovaginal colonisation with GBS in 2020. 231 800 (114 100-455 000) early-onset and 162 200 (70 200-394 400) late-onset infant iGBS cases were estimated to have occurred. In an analysis assuming a higher case fatality rate in the absence of a skilled birth attendant, 91 900 (44 800-187 800) iGBS infant deaths were estimated; in an analysis without this assumption, 58 300 (26 500-125 800) infant deaths from iGBS were estimated. 37 100 children who recovered from iGBS (14 600-96 200) were predicted to develop moderate or severe NDI. 40 500 (21 500-66 200) maternal iGBS cases and 46 200 (20 300-111 300) GBS stillbirths were predicted in 2020. GBS colonisation was also estimated to be potentially associated with considerable numbers of preterm births.\nINTERPRETATION: Our analysis provides a comprehensive assessment of the pregnancy-related GBS burden. The Bayesian approach enabled coherent propagation of uncertainty, which is considerable, notably regarding GBS-associated preterm births. Our findings on both the acute and long-term consequences of iGBS have public health implications for understanding the value of investment in maternal GBS immunisation and other preventive strategies.\nFUNDING: Bill &amp; Melinda Gates Foundation.","container-title":"The Lancet. Global Health","DOI":"10.1016/S2214-109X(22)00093-6","ISSN":"2214-109X","issue":"6","journalAbbreviation":"Lancet Glob Health","language":"eng","note":"PMID: 35490693\nPMCID: PMC9090904","page":"e807-e819","source":"PubMed","title":"Group B streptococcus infection during pregnancy and infancy: estimates of regional and global burden","title-short":"Group B streptococcus infection during pregnancy and infancy","volume":"10","author":[{"family":"Gonçalves","given":"Bronner P."},{"family":"Procter","given":"Simon R."},{"family":"Paul","given":"Proma"},{"family":"Chandna","given":"Jaya"},{"family":"Lewin","given":"Alexandra"},{"family":"Seedat","given":"Farah"},{"family":"Koukounari","given":"Artemis"},{"family":"Dangor","given":"Ziyaad"},{"family":"Leahy","given":"Shannon"},{"family":"Santhanam","given":"Sridhar"},{"family":"John","given":"Hima B."},{"family":"Bramugy","given":"Justina"},{"family":"Bardají","given":"Azucena"},{"family":"Abubakar","given":"Amina"},{"family":"Nasambu","given":"Carophine"},{"family":"Libster","given":"Romina"},{"family":"Sánchez Yanotti","given":"Clara"},{"family":"Horváth-Puhó","given":"Erzsébet"},{"family":"Sørensen","given":"Henrik T."},{"family":"Beek","given":"Diederik","non-dropping-particle":"van de"},{"family":"Bijlsma","given":"Merijn W."},{"family":"Gardner","given":"William M."},{"family":"Kassebaum","given":"Nicholas"},{"family":"Trotter","given":"Caroline"},{"family":"Bassat","given":"Quique"},{"family":"Madhi","given":"Shabir A."},{"family":"Lambach","given":"Philipp"},{"family":"Jit","given":"Mark"},{"family":"Lawn","given":"Joy E."},{"literal":"GBS Danish and Dutch collaborative group for long term outcomes"},{"literal":"GBS Low and Middle Income Countries collaborative group for long term outcomes"},{"literal":"GBS Scientific Advisory Group, epidemiological sub-group"},{"literal":"CHAMPS team"}],"issued":{"date-parts":[["2022",6]]}}}],"schema":"https://github.com/citation-style-language/schema/raw/master/csl-citation.json"} </w:instrText>
      </w:r>
      <w:r w:rsidR="00D961FD" w:rsidRPr="00DC55B0">
        <w:rPr>
          <w:rFonts w:ascii="Calibri" w:hAnsi="Calibri" w:cs="Calibri"/>
        </w:rPr>
        <w:fldChar w:fldCharType="separate"/>
      </w:r>
      <w:r w:rsidR="00061423" w:rsidRPr="00DC55B0">
        <w:rPr>
          <w:rFonts w:ascii="Calibri" w:hAnsi="Calibri" w:cs="Calibri"/>
          <w:kern w:val="0"/>
          <w:vertAlign w:val="superscript"/>
        </w:rPr>
        <w:t>123</w:t>
      </w:r>
      <w:r w:rsidR="00D961FD" w:rsidRPr="00DC55B0">
        <w:rPr>
          <w:rFonts w:ascii="Calibri" w:hAnsi="Calibri" w:cs="Calibri"/>
        </w:rPr>
        <w:fldChar w:fldCharType="end"/>
      </w:r>
      <w:r w:rsidRPr="00DC55B0">
        <w:rPr>
          <w:rFonts w:ascii="Calibri" w:hAnsi="Calibri" w:cs="Calibri"/>
        </w:rPr>
        <w:t xml:space="preserve"> </w:t>
      </w:r>
      <w:r w:rsidR="00C45076" w:rsidRPr="00DC55B0">
        <w:rPr>
          <w:rFonts w:ascii="Calibri" w:hAnsi="Calibri" w:cs="Calibri"/>
        </w:rPr>
        <w:t>Currently, i</w:t>
      </w:r>
      <w:r w:rsidRPr="00DC55B0">
        <w:rPr>
          <w:rFonts w:ascii="Calibri" w:hAnsi="Calibri" w:cs="Calibri"/>
        </w:rPr>
        <w:t xml:space="preserve">ntrapartum antibiotic prophylaxis is the only strategy to reduce early onset disease (occurring within the first 7 days of life) but it has no impact on late-onset disease (7 </w:t>
      </w:r>
      <w:r w:rsidRPr="00DC55B0">
        <w:rPr>
          <w:rFonts w:ascii="Calibri" w:hAnsi="Calibri" w:cs="Calibri"/>
        </w:rPr>
        <w:lastRenderedPageBreak/>
        <w:t xml:space="preserve">to 90 days of life), stillbirths or preterm deliveries. Vaccination in pregnancy </w:t>
      </w:r>
      <w:r w:rsidR="00BF44DC" w:rsidRPr="00DC55B0">
        <w:rPr>
          <w:rFonts w:ascii="Calibri" w:hAnsi="Calibri" w:cs="Calibri"/>
        </w:rPr>
        <w:t>has the potential to impact</w:t>
      </w:r>
      <w:r w:rsidR="003840C0" w:rsidRPr="00DC55B0">
        <w:rPr>
          <w:rFonts w:ascii="Calibri" w:hAnsi="Calibri" w:cs="Calibri"/>
        </w:rPr>
        <w:t xml:space="preserve"> all these aspects of GBS disease</w:t>
      </w:r>
      <w:r w:rsidR="00E34404" w:rsidRPr="00DC55B0">
        <w:rPr>
          <w:rFonts w:ascii="Calibri" w:hAnsi="Calibri" w:cs="Calibri"/>
        </w:rPr>
        <w:t xml:space="preserve"> as well as reducing the need for intrapartum antibiotics</w:t>
      </w:r>
      <w:r w:rsidR="00295C11" w:rsidRPr="00DC55B0">
        <w:rPr>
          <w:rFonts w:ascii="Calibri" w:hAnsi="Calibri" w:cs="Calibri"/>
        </w:rPr>
        <w:t>, which may have long-term consequences</w:t>
      </w:r>
      <w:r w:rsidR="00B344F4" w:rsidRPr="00DC55B0">
        <w:rPr>
          <w:rFonts w:ascii="Calibri" w:hAnsi="Calibri" w:cs="Calibri"/>
        </w:rPr>
        <w:t xml:space="preserve"> for the newborn’s microbiome.</w:t>
      </w:r>
      <w:r w:rsidR="00257D99" w:rsidRPr="00DC55B0">
        <w:rPr>
          <w:rFonts w:ascii="Calibri" w:hAnsi="Calibri" w:cs="Calibri"/>
        </w:rPr>
        <w:fldChar w:fldCharType="begin"/>
      </w:r>
      <w:r w:rsidR="00061423" w:rsidRPr="00DC55B0">
        <w:rPr>
          <w:rFonts w:ascii="Calibri" w:hAnsi="Calibri" w:cs="Calibri"/>
        </w:rPr>
        <w:instrText xml:space="preserve"> ADDIN ZOTERO_ITEM CSL_CITATION {"citationID":"gbH0eyxA","properties":{"formattedCitation":"\\super 124\\nosupersub{}","plainCitation":"124","noteIndex":0},"citationItems":[{"id":236,"uris":["http://zotero.org/users/14445769/items/PCNAT7CU"],"itemData":{"id":236,"type":"article-journal","abstract":"Infants are born into a world filled with microbes and must adapt without undue immune response while exploiting the microbiota's ability to produce otherwise unavailable nutrients. The process by which humans and microbes establish this relationship has only recently begun to be studied with the aid of genomic methods. Nearly half of all pregnant women receive antibiotics during gestation to prevent maternal and neonatal infection. Though this has been largely successful in reducing early-onset sepsis, we have yet to understand the long-term consequences of antibiotic administration during gestation to developing infants. Studies involving antibiotic use in infants suggest that dysbiosis during this period is associated with increased obesity, allergy, autoimmunity, and chronic diseases in adulthood, however, research around the limited doses of intravenous antibiotics used for intrapartum prophylaxis is limited. In this mini review, we focused on the state of the science regarding the effects of intrapartum antibiotic prophylaxis on the newborn microbial colonization process. Although, the literature indicates that there is wide variety in the specific bacteria that colonize infants from birth, limited parenteral antibiotic administration prior to delivery consistently affects the microbiota of infants by decreasing bacteria in the phylum Bacteroidetes and increasing bacteria in the phylum Proteobacteria, thus altering the normal pattern of colonization that infants experience. Delivery by cesarean section and formula feeding magnify and prolong this effect. Our mini review shows that the impact of intravenous antibiotic administration during gestation has on early colonization, growth, or immune programming in the developing offspring has not been well studied in human or animal models.","container-title":"Frontiers in Pediatrics","DOI":"10.3389/fped.2021.754013","ISSN":"2296-2360","journalAbbreviation":"Front Pediatr","language":"eng","note":"PMID: 34956974\nPMCID: PMC8703107","page":"754013","source":"PubMed","title":"Impact of Intrapartum Antibiotic Prophylaxis on Offspring Microbiota","volume":"9","author":[{"family":"Prescott","given":"S."},{"family":"Dreisbach","given":"C."},{"family":"Baumgartel","given":"K."},{"family":"Koerner","given":"R."},{"family":"Gyamfi","given":"A."},{"family":"Canellas","given":"M."},{"family":"St Fleur","given":"A."},{"family":"Henderson","given":"W. A."},{"family":"Trinchieri","given":"G."}],"issued":{"date-parts":[["2021"]]}}}],"schema":"https://github.com/citation-style-language/schema/raw/master/csl-citation.json"} </w:instrText>
      </w:r>
      <w:r w:rsidR="00257D99" w:rsidRPr="00DC55B0">
        <w:rPr>
          <w:rFonts w:ascii="Calibri" w:hAnsi="Calibri" w:cs="Calibri"/>
        </w:rPr>
        <w:fldChar w:fldCharType="separate"/>
      </w:r>
      <w:r w:rsidR="00061423" w:rsidRPr="00DC55B0">
        <w:rPr>
          <w:rFonts w:ascii="Calibri" w:hAnsi="Calibri" w:cs="Calibri"/>
          <w:kern w:val="0"/>
          <w:vertAlign w:val="superscript"/>
        </w:rPr>
        <w:t>124</w:t>
      </w:r>
      <w:r w:rsidR="00257D99" w:rsidRPr="00DC55B0">
        <w:rPr>
          <w:rFonts w:ascii="Calibri" w:hAnsi="Calibri" w:cs="Calibri"/>
        </w:rPr>
        <w:fldChar w:fldCharType="end"/>
      </w:r>
    </w:p>
    <w:p w14:paraId="608E96D7" w14:textId="77777777" w:rsidR="00DC7053" w:rsidRPr="00DC55B0" w:rsidRDefault="00DC7053" w:rsidP="001F3ACA">
      <w:pPr>
        <w:rPr>
          <w:rFonts w:ascii="Calibri" w:hAnsi="Calibri" w:cs="Calibri"/>
        </w:rPr>
      </w:pPr>
    </w:p>
    <w:p w14:paraId="593D9B2F" w14:textId="0310D569" w:rsidR="00DC7053" w:rsidRPr="00DC55B0" w:rsidRDefault="007C4A6C" w:rsidP="001F3ACA">
      <w:pPr>
        <w:rPr>
          <w:rFonts w:ascii="Calibri" w:hAnsi="Calibri" w:cs="Calibri"/>
        </w:rPr>
      </w:pPr>
      <w:r w:rsidRPr="00DC55B0">
        <w:rPr>
          <w:rFonts w:ascii="Calibri" w:hAnsi="Calibri" w:cs="Calibri"/>
        </w:rPr>
        <w:t>The mothers of newborns who developed</w:t>
      </w:r>
      <w:r w:rsidR="00D362A3" w:rsidRPr="00DC55B0">
        <w:rPr>
          <w:rFonts w:ascii="Calibri" w:hAnsi="Calibri" w:cs="Calibri"/>
        </w:rPr>
        <w:t xml:space="preserve"> invasive GBS disease have lower titres of GBS serotype-specific</w:t>
      </w:r>
      <w:r w:rsidRPr="00DC55B0">
        <w:rPr>
          <w:rFonts w:ascii="Calibri" w:hAnsi="Calibri" w:cs="Calibri"/>
        </w:rPr>
        <w:t xml:space="preserve"> capsular</w:t>
      </w:r>
      <w:r w:rsidR="00EC5109" w:rsidRPr="00DC55B0">
        <w:rPr>
          <w:rFonts w:ascii="Calibri" w:hAnsi="Calibri" w:cs="Calibri"/>
        </w:rPr>
        <w:t xml:space="preserve"> </w:t>
      </w:r>
      <w:r w:rsidR="00025ACA" w:rsidRPr="00DC55B0">
        <w:rPr>
          <w:rFonts w:ascii="Calibri" w:hAnsi="Calibri" w:cs="Calibri"/>
        </w:rPr>
        <w:t>antibodies,</w:t>
      </w:r>
      <w:r w:rsidR="00025ACA" w:rsidRPr="00DC55B0">
        <w:rPr>
          <w:rFonts w:ascii="Calibri" w:hAnsi="Calibri" w:cs="Calibri"/>
        </w:rPr>
        <w:fldChar w:fldCharType="begin"/>
      </w:r>
      <w:r w:rsidR="00061423" w:rsidRPr="00DC55B0">
        <w:rPr>
          <w:rFonts w:ascii="Calibri" w:hAnsi="Calibri" w:cs="Calibri"/>
        </w:rPr>
        <w:instrText xml:space="preserve"> ADDIN ZOTERO_ITEM CSL_CITATION {"citationID":"hp4mHfo6","properties":{"formattedCitation":"\\super 125\\nosupersub{}","plainCitation":"125","noteIndex":0},"citationItems":[{"id":237,"uris":["http://zotero.org/users/14445769/items/8NDT7UGW"],"itemData":{"id":237,"type":"article-journal","abstract":"We investigated the role of maternal antibody in neonatal Group B streptococcal infection with a radioactive antigen-binding assay employing a purified polysaccharide antigen with both Type III and Group B determinants. Serums from seven women who gave birth to infants who had invasive Group B streptococcal infection with Type III strains were all deficient in antibody. In contrast, serums from 22 of 29 pregnant Type III vaginal carriers whose infants were healthy contained antibody with a prevalence significantly different from that in women delivering infants with Type III disease (P less than 0.01). Three healthy neonates born to women with antibody in serums had demonstrable antibody in umbilical-cord serum. These data suggest that transplacental transfer of maternal antibody protects infants from invasive Group B streptococcal infection with Type III strains.","container-title":"The New England Journal of Medicine","DOI":"10.1056/NEJM197604012941404","ISSN":"0028-4793","issue":"14","journalAbbreviation":"N Engl J Med","language":"eng","note":"PMID: 768760","page":"753-756","source":"PubMed","title":"Correlation of maternal antibody deficiency with susceptibility to neonatal group B streptococcal infection","volume":"294","author":[{"family":"Baker","given":"C. J."},{"family":"Kasper","given":"D. L."}],"issued":{"date-parts":[["1976",4,1]]}}}],"schema":"https://github.com/citation-style-language/schema/raw/master/csl-citation.json"} </w:instrText>
      </w:r>
      <w:r w:rsidR="00025ACA" w:rsidRPr="00DC55B0">
        <w:rPr>
          <w:rFonts w:ascii="Calibri" w:hAnsi="Calibri" w:cs="Calibri"/>
        </w:rPr>
        <w:fldChar w:fldCharType="separate"/>
      </w:r>
      <w:r w:rsidR="00061423" w:rsidRPr="00DC55B0">
        <w:rPr>
          <w:rFonts w:ascii="Calibri" w:hAnsi="Calibri" w:cs="Calibri"/>
          <w:kern w:val="0"/>
          <w:vertAlign w:val="superscript"/>
        </w:rPr>
        <w:t>125</w:t>
      </w:r>
      <w:r w:rsidR="00025ACA" w:rsidRPr="00DC55B0">
        <w:rPr>
          <w:rFonts w:ascii="Calibri" w:hAnsi="Calibri" w:cs="Calibri"/>
        </w:rPr>
        <w:fldChar w:fldCharType="end"/>
      </w:r>
      <w:r w:rsidR="00EC5109" w:rsidRPr="00DC55B0">
        <w:rPr>
          <w:rFonts w:ascii="Calibri" w:hAnsi="Calibri" w:cs="Calibri"/>
        </w:rPr>
        <w:t xml:space="preserve"> </w:t>
      </w:r>
      <w:r w:rsidR="00312BF5" w:rsidRPr="00DC55B0">
        <w:rPr>
          <w:rFonts w:ascii="Calibri" w:hAnsi="Calibri" w:cs="Calibri"/>
        </w:rPr>
        <w:t xml:space="preserve">so vaccine </w:t>
      </w:r>
      <w:r w:rsidR="00126FCF" w:rsidRPr="00DC55B0">
        <w:rPr>
          <w:rFonts w:ascii="Calibri" w:hAnsi="Calibri" w:cs="Calibri"/>
        </w:rPr>
        <w:t xml:space="preserve">development initially focussed on capsular polysaccharide vaccines. </w:t>
      </w:r>
      <w:r w:rsidR="00DC7053" w:rsidRPr="00DC55B0">
        <w:rPr>
          <w:rFonts w:ascii="Calibri" w:hAnsi="Calibri" w:cs="Calibri"/>
        </w:rPr>
        <w:t>A hexavalent polysaccharide CRM197 conjugated vaccine covering the major serotypes associated with disease has shown an acceptable safety profile in a phase I/II study (C1091002) with robust immune responses in pregnancy and transplacental antibody transfer at concentrations associated with a reduced risk of invasive GBS disease in infants.</w:t>
      </w:r>
      <w:r w:rsidR="00D92B70" w:rsidRPr="00DC55B0">
        <w:rPr>
          <w:rFonts w:ascii="Calibri" w:hAnsi="Calibri" w:cs="Calibri"/>
        </w:rPr>
        <w:fldChar w:fldCharType="begin"/>
      </w:r>
      <w:r w:rsidR="00061423" w:rsidRPr="00DC55B0">
        <w:rPr>
          <w:rFonts w:ascii="Calibri" w:hAnsi="Calibri" w:cs="Calibri"/>
        </w:rPr>
        <w:instrText xml:space="preserve"> ADDIN ZOTERO_ITEM CSL_CITATION {"citationID":"VYVBuTBC","properties":{"formattedCitation":"\\super 126\\uc0\\u8211{}128\\nosupersub{}","plainCitation":"126–128","noteIndex":0},"citationItems":[{"id":238,"uris":["http://zotero.org/users/14445769/items/AT4WVS76"],"itemData":{"id":238,"type":"article-journal","abstract":"BACKGROUND: Group B streptococcus (GBS) causes serious diseases in newborn infants, often resulting in lifelong neurologic impairments or death. Prophylactic vaccination of pregnant women prior to delivery could provide comprehensive protection, as early onset and late-onset disease and maternal complications potentially could be addressed.\nMETHODS: Capsular polysaccharide conjugate vaccine GBS6 was designed using surveillance data yielded by whole-genome sequencing of a global collection of recently recovered GBS isolates responsible for invasive neonatal GBS disease. Capsular polysaccharides were isolated, oxidized using sodium periodate, and conjugated to CRM197 by reductive amination in dimethyl sulfoxide. Immune responses in mice and rhesus macaques were measured in a multiplex Luminex immunoglobulin G (IgG) assay and opsonophagocytic activity assays.\nRESULTS: The optimized conjugates were immunogenic, alone and in combination, in mice and rhesus macaques, inducing IgG antibodies that mediated opsonophagocytic killing. Active immunization of murine dams with GBS6 prior to mating resulted in serotype-specific protection of pups from a lethal challenge with GBS. Protection following passive administration of serotype-specific IgG monoclonal antibodies to dams demonstrated conclusively that anticapsular polysaccharide IgG alone is sufficient for protection.\nCONCLUSIONS: The findings support the ongoing clinical evaluation of maternal GBS6 vaccination as a potential alternative method to prevent GBS disease in infants.","container-title":"The Journal of Infectious Diseases","DOI":"10.1093/infdis/jiz062","ISSN":"1537-6613","issue":"1","journalAbbreviation":"J Infect Dis","language":"eng","note":"PMID: 30778554\nPMCID: PMC6548902","page":"105-115","source":"PubMed","title":"A Novel Hexavalent Capsular Polysaccharide Conjugate Vaccine (GBS6) for the Prevention of Neonatal Group B Streptococcal Infections by Maternal Immunization","volume":"220","author":[{"family":"Buurman","given":"Ed T."},{"family":"Timofeyeva","given":"Yekaterina"},{"family":"Gu","given":"Jianxin"},{"family":"Kim","given":"Jin-Hwan"},{"family":"Kodali","given":"Srinivas"},{"family":"Liu","given":"Yongdong"},{"family":"Mininni","given":"Terri"},{"family":"Moghazeh","given":"Soraya"},{"family":"Pavliakova","given":"Danka"},{"family":"Singer","given":"Christine"},{"family":"Singh","given":"Suddham"},{"family":"Handke","given":"Luke D."},{"family":"Lotvin","given":"Jason"},{"family":"Prasad","given":"A. Krishna"},{"family":"Scully","given":"Ingrid L."},{"family":"Donald","given":"Robert G. K."},{"family":"Jansen","given":"Kathrin U."},{"family":"Anderson","given":"Annaliesa S."}],"issued":{"date-parts":[["2019",6,5]]}}},{"id":239,"uris":["http://zotero.org/users/14445769/items/E92SU5NS"],"itemData":{"id":239,"type":"article-journal","abstract":"BACKGROUND: Group B streptococcus (GBS) is a major cause of invasive disease in young infants. Infants born to women with sufficient pre-existing anti-GBS capsular IgG antibodies are at reduced risk of GBS disease, making maternal immunisation a potential strategy for prevention. We aimed to assess the safety and immunogenicity of a novel hexavalent (serotypes Ia, Ib, II, III, IV, and V) GBS conjugate vaccine (GBS6).\nMETHODS: This phase 1/2, placebo-controlled, observer-blinded, dose-escalation trial, was done at four clinical research centres in the USA (Kentucky, Georgia, and two sites in Utah). Healthy, non-pregnant adults aged 18-49 years were randomly assigned using an interactive, web-based response technology system. Within each dose group (low, medium, or high), participants in sentinel cohorts were randomly assigned 2:2:1 and expanded cohort participants were randomly assigned 4:4:1 to receive GBS6 with aluminium phosphate (AlPO4), GBS6 without AlPO4, or placebo (saline control). One 0·5 mL dose of either saline placebo or 5 μg capsular polysaccharide per serotype in the low-dose group, 10 μg capsular polysaccharide per serotype in the medium-dose group, or 20 μg capsular polysaccharide per serotype in the high-dose group was administered by intramuscular injection into the deltoid muscle on day 1. The primary outcome was safety up to 6 months after vaccination, including the proportion of sentinel cohort participants with clinical laboratory abnormalities at 1 week, the proportion of all participants reporting solicited local reactions, systemic events, or use of antipyretic or pain medication within 14 days, adverse events up to 1 month, and medically attended or serious adverse events up to 6 months. The secondary outcome was GBS immunogenicity (serotype-specific IgG geometric mean concentrations at 1 month). This study is registered with ClinicalTrials.gov, NCT03170609.\nFINDINGS: Between June 5, 2017, and June 25, 2018, 365 participants were randomly assigned and 364 (52 in each dose group) were vaccinated and included in the safety analysis. Unsolicited adverse events were reported by 15 (29%) participants in the 5 μg with AlPO4 group, 13 (25%) in the 5 μg without AlPO4 group, 22 (42%) in the 10 μg with AlPO4 group, 12 (23%) in the 10 μg without AlPO4 group, 25 (48%) in the 20 μg with AlPO4 group, 21 (40%) in the 20 μg without AlPO4 group, and 20 (38%) in the placebo group. The most common unsolicited adverse events were in the system organ class of infections and infestations in any dose or formulation of GBS6 (ranging from six [12%] in the 10 μg without AlPO4 group to 15 [29%] in the 20 μg with AlPO4 group and placebo group). Three participants reported at least one serious adverse event during the study, one each in the 5 μg GBS6 with AlPO4 group (diabetic ketoacidosis, two events; resolved), 10 μg GBS6 with AlPO4 group (died by suicide), and 20 μg GBS6 with AlPO4 group (metrorrhagia; resolved). None of these serious adverse events were considered related to the vaccine. 11 of the 365 participants were excluded from the evaluable immunogenicity population, including one participant who did not receive the vaccine, and ten who at 1 month after vaccination were withdrawn for various reasons. GBS serotype-specific IgG geometric mean concentrations increased by 1 week after vaccination for all GBS6 groups, peaked at 2 weeks, stabilised by 1 month, and declined gradually but remained higher than placebo at 6 months.\nINTERPRETATION: GBS6 was well tolerated in healthy adults and elicited robust immune responses for all dose levels and formulations that persisted 6 months after vaccination. This study supports further evaluation of GBS6 in pregnant women.\nFUNDING: Pfizer.","container-title":"The Lancet. Infectious Diseases","DOI":"10.1016/S1473-3099(20)30478-3","ISSN":"1474-4457","issue":"2","journalAbbreviation":"Lancet Infect Dis","language":"eng","note":"PMID: 32891191\nPMCID: PMC9760110","page":"263-274","source":"PubMed","title":"Safety and immunogenicity of a novel hexavalent group B streptococcus conjugate vaccine in healthy, non-pregnant adults: a phase 1/2, randomised, placebo-controlled, observer-blinded, dose-escalation trial","title-short":"Safety and immunogenicity of a novel hexavalent group B streptococcus conjugate vaccine in healthy, non-pregnant adults","volume":"21","author":[{"family":"Absalon","given":"Judith"},{"family":"Segall","given":"Nathan"},{"family":"Block","given":"Stan L."},{"family":"Center","given":"Kimberly J."},{"family":"Scully","given":"Ingrid L."},{"family":"Giardina","given":"Peter C."},{"family":"Peterson","given":"James"},{"family":"Watson","given":"Wendy J."},{"family":"Gruber","given":"William C."},{"family":"Jansen","given":"Kathrin U."},{"family":"Peng","given":"Yahong"},{"family":"Munson","given":"Samantha"},{"family":"Pavliakova","given":"Danka"},{"family":"Scott","given":"Daniel A."},{"family":"Anderson","given":"Annaliesa S."}],"issued":{"date-parts":[["2021",2]]}}},{"id":240,"uris":["http://zotero.org/users/14445769/items/ISPWFK7V"],"itemData":{"id":240,"type":"article-journal","abstract":"BACKGROUND: Natural history studies have correlated serotype-specific anti-capsular polysaccharide (CPS) IgG in newborns with a reduced risk of group B streptococcal disease. A hexavalent CPS-cross-reactive material 197 glycoconjugate vaccine (GBS6) is being developed as a maternal vaccine to prevent invasive group B streptococcus in young infants.\nMETHODS: In an ongoing phase 2, placebo-controlled trial involving pregnant women, we assessed the safety and immunogenicity of a single dose of various GBS6 formulations and analyzed maternally transferred anti-CPS antibodies. In a parallel seroepidemiologic study that was conducted in the same population, we assessed serotype-specific anti-CPS IgG concentrations that were associated with a reduced risk of invasive disease among newborns through 89 days of age to define putative protective thresholds.\nRESULTS: Naturally acquired anti-CPS IgG concentrations were associated with a reduced risk of disease among infants in the seroepidemiologic study. IgG thresholds that were determined to be associated with 75 to 95% reductions in the risk of disease were 0.184 to 0.827 μg per milliliter. No GBS6-associated safety signals were observed among the mothers or infants. The incidence of adverse events and of serious adverse events were similar across the trial groups for both mothers and infants; more local reactions were observed in the groups that received GBS6 containing aluminum phosphate. Among the infants, the most common serious adverse events were minor congenital anomalies (umbilical hernia and congenital dermal melanocytosis). GBS6 induced maternal antibody responses to all serotypes, with maternal-to-infant antibody ratios of approximately 0.4 to 1.3, depending on the dose. The percentage of infants with anti-CPS IgG concentrations above 0.184 μg per milliliter varied according to serotype and formulation, with 57 to 97% of the infants having a seroresponse to the most immunogenic formulation.\nCONCLUSIONS: GBS6 elicited anti-CPS antibodies against group B streptococcus in pregnant women that were transferred to infants at levels associated with a reduced risk of invasive group B streptococcal disease. (Funded by Pfizer and the Bill and Melinda Gates Foundation; C1091002 ClinicalTrials.gov number, NCT03765073.).","container-title":"The New England Journal of Medicine","DOI":"10.1056/NEJMoa2116045","ISSN":"1533-4406","issue":"3","journalAbbreviation":"N Engl J Med","language":"eng","note":"PMID: 37467497","page":"215-227","source":"PubMed","title":"Potential for Maternally Administered Vaccine for Infant Group B Streptococcus","volume":"389","author":[{"family":"Madhi","given":"Shabir A."},{"family":"Anderson","given":"Annaliesa S."},{"family":"Absalon","given":"Judith"},{"family":"Radley","given":"David"},{"family":"Simon","given":"Raphael"},{"family":"Jongihlati","given":"Babalwa"},{"family":"Strehlau","given":"Renate"},{"family":"Niekerk","given":"Anika M.","non-dropping-particle":"van"},{"family":"Izu","given":"Alane"},{"family":"Naidoo","given":"Niree"},{"family":"Kwatra","given":"Gaurav"},{"family":"Ramsamy","given":"Yogandree"},{"family":"Said","given":"Mohamed"},{"family":"Jones","given":"Stephanie"},{"family":"Jose","given":"Lisa"},{"family":"Fairlie","given":"Lee"},{"family":"Barnabas","given":"Shaun L."},{"family":"Newton","given":"Ryan"},{"family":"Munson","given":"Samantha"},{"family":"Jefferies","given":"Zahra"},{"family":"Pavliakova","given":"Danka"},{"family":"Silmon de Monerri","given":"Natalie C."},{"family":"Gomme","given":"Emily"},{"family":"Perez","given":"John L."},{"family":"Scott","given":"Daniel A."},{"family":"Gruber","given":"William C."},{"family":"Jansen","given":"Kathrin U."}],"issued":{"date-parts":[["2023",7,20]]}}}],"schema":"https://github.com/citation-style-language/schema/raw/master/csl-citation.json"} </w:instrText>
      </w:r>
      <w:r w:rsidR="00D92B70" w:rsidRPr="00DC55B0">
        <w:rPr>
          <w:rFonts w:ascii="Calibri" w:hAnsi="Calibri" w:cs="Calibri"/>
        </w:rPr>
        <w:fldChar w:fldCharType="separate"/>
      </w:r>
      <w:r w:rsidR="00061423" w:rsidRPr="00DC55B0">
        <w:rPr>
          <w:rFonts w:ascii="Calibri" w:hAnsi="Calibri" w:cs="Calibri"/>
          <w:kern w:val="0"/>
          <w:vertAlign w:val="superscript"/>
        </w:rPr>
        <w:t>126–128</w:t>
      </w:r>
      <w:r w:rsidR="00D92B70" w:rsidRPr="00DC55B0">
        <w:rPr>
          <w:rFonts w:ascii="Calibri" w:hAnsi="Calibri" w:cs="Calibri"/>
        </w:rPr>
        <w:fldChar w:fldCharType="end"/>
      </w:r>
      <w:r w:rsidR="00DC7053" w:rsidRPr="00DC55B0">
        <w:rPr>
          <w:rFonts w:ascii="Calibri" w:hAnsi="Calibri" w:cs="Calibri"/>
        </w:rPr>
        <w:t xml:space="preserve"> A phase III pivotal global study (C1091009) is being planned. </w:t>
      </w:r>
    </w:p>
    <w:p w14:paraId="2B773530" w14:textId="77777777" w:rsidR="00DC7053" w:rsidRPr="00DC55B0" w:rsidRDefault="00DC7053" w:rsidP="001F3ACA">
      <w:pPr>
        <w:rPr>
          <w:rFonts w:ascii="Calibri" w:hAnsi="Calibri" w:cs="Calibri"/>
        </w:rPr>
      </w:pPr>
    </w:p>
    <w:p w14:paraId="1740477C" w14:textId="1DB89049" w:rsidR="00DC7053" w:rsidRPr="00DC55B0" w:rsidRDefault="00DC7053" w:rsidP="001F3ACA">
      <w:pPr>
        <w:rPr>
          <w:rFonts w:ascii="Calibri" w:hAnsi="Calibri" w:cs="Calibri"/>
        </w:rPr>
      </w:pPr>
      <w:r w:rsidRPr="00DC55B0">
        <w:rPr>
          <w:rFonts w:ascii="Calibri" w:hAnsi="Calibri" w:cs="Calibri"/>
        </w:rPr>
        <w:t>Protein vaccines containing structurally conserved proteins across all GBS strains is an alternative approach.</w:t>
      </w:r>
      <w:r w:rsidR="00AC1E4A" w:rsidRPr="00DC55B0">
        <w:rPr>
          <w:rFonts w:ascii="Calibri" w:hAnsi="Calibri" w:cs="Calibri"/>
        </w:rPr>
        <w:t xml:space="preserve"> </w:t>
      </w:r>
      <w:r w:rsidRPr="00DC55B0">
        <w:rPr>
          <w:rFonts w:ascii="Calibri" w:hAnsi="Calibri" w:cs="Calibri"/>
        </w:rPr>
        <w:t xml:space="preserve">Minervax have developed a vaccine based on fusions of GBS surface proteins called the Alpha-like Proteins which are predicted to cover &gt;99% of clinical isolates. A phase II global study has been completed </w:t>
      </w:r>
      <w:r w:rsidR="00D92B70" w:rsidRPr="00DC55B0">
        <w:rPr>
          <w:rFonts w:ascii="Calibri" w:hAnsi="Calibri" w:cs="Calibri"/>
        </w:rPr>
        <w:t xml:space="preserve">(NCT05154578) </w:t>
      </w:r>
      <w:r w:rsidRPr="00DC55B0">
        <w:rPr>
          <w:rFonts w:ascii="Calibri" w:hAnsi="Calibri" w:cs="Calibri"/>
        </w:rPr>
        <w:t xml:space="preserve">and a further study including </w:t>
      </w:r>
      <w:r w:rsidR="0066311F" w:rsidRPr="00DC55B0">
        <w:rPr>
          <w:rFonts w:ascii="Calibri" w:hAnsi="Calibri" w:cs="Calibri"/>
        </w:rPr>
        <w:t>pregnant</w:t>
      </w:r>
      <w:r w:rsidR="00BE46C0" w:rsidRPr="00DC55B0">
        <w:rPr>
          <w:rFonts w:ascii="Calibri" w:hAnsi="Calibri" w:cs="Calibri"/>
        </w:rPr>
        <w:t xml:space="preserve"> individuals</w:t>
      </w:r>
      <w:r w:rsidRPr="00DC55B0">
        <w:rPr>
          <w:rFonts w:ascii="Calibri" w:hAnsi="Calibri" w:cs="Calibri"/>
        </w:rPr>
        <w:t xml:space="preserve"> living with and without HIV has also completed in South Africa and Uganda </w:t>
      </w:r>
      <w:r w:rsidR="00D92B70" w:rsidRPr="00DC55B0">
        <w:rPr>
          <w:rFonts w:ascii="Calibri" w:hAnsi="Calibri" w:cs="Calibri"/>
        </w:rPr>
        <w:t xml:space="preserve">(NCT04596878). </w:t>
      </w:r>
      <w:r w:rsidRPr="00DC55B0">
        <w:rPr>
          <w:rFonts w:ascii="Calibri" w:hAnsi="Calibri" w:cs="Calibri"/>
        </w:rPr>
        <w:t xml:space="preserve">A phase III study is planned, likely based on immunological endpoints. </w:t>
      </w:r>
    </w:p>
    <w:p w14:paraId="180319BF" w14:textId="77777777" w:rsidR="00DC7053" w:rsidRPr="00DC55B0" w:rsidRDefault="00DC7053" w:rsidP="001F3ACA">
      <w:pPr>
        <w:rPr>
          <w:rFonts w:ascii="Calibri" w:hAnsi="Calibri" w:cs="Calibri"/>
        </w:rPr>
      </w:pPr>
    </w:p>
    <w:p w14:paraId="26AD4E0C" w14:textId="09E5A9B9" w:rsidR="00DC7053" w:rsidRPr="00DC55B0" w:rsidRDefault="00DC7053" w:rsidP="001F3ACA">
      <w:pPr>
        <w:rPr>
          <w:rFonts w:ascii="Calibri" w:hAnsi="Calibri" w:cs="Calibri"/>
        </w:rPr>
      </w:pPr>
      <w:r w:rsidRPr="00DC55B0">
        <w:rPr>
          <w:rFonts w:ascii="Calibri" w:hAnsi="Calibri" w:cs="Calibri"/>
        </w:rPr>
        <w:t>The major obstacle in moving these vaccines through phase III clinical trials and towards licensure is the vast number of mothers and infants who would need to be included in a clinical efficacy study, making such studies commercially unviable. Immunological endpoints based on serological correlates of protection</w:t>
      </w:r>
      <w:r w:rsidR="00505A83" w:rsidRPr="00DC55B0">
        <w:rPr>
          <w:rFonts w:ascii="Calibri" w:hAnsi="Calibri" w:cs="Calibri"/>
        </w:rPr>
        <w:t xml:space="preserve"> are a more attractive option</w:t>
      </w:r>
      <w:r w:rsidRPr="00DC55B0">
        <w:rPr>
          <w:rFonts w:ascii="Calibri" w:hAnsi="Calibri" w:cs="Calibri"/>
        </w:rPr>
        <w:t>; however</w:t>
      </w:r>
      <w:r w:rsidR="004C4DA5" w:rsidRPr="00DC55B0">
        <w:rPr>
          <w:rFonts w:ascii="Calibri" w:hAnsi="Calibri" w:cs="Calibri"/>
        </w:rPr>
        <w:t>,</w:t>
      </w:r>
      <w:r w:rsidRPr="00DC55B0">
        <w:rPr>
          <w:rFonts w:ascii="Calibri" w:hAnsi="Calibri" w:cs="Calibri"/>
        </w:rPr>
        <w:t xml:space="preserve"> these must be defined for each GBS serotype and standardised assay methodology using standardised reference sera is essential. </w:t>
      </w:r>
      <w:r w:rsidR="00984B59" w:rsidRPr="00DC55B0">
        <w:rPr>
          <w:rFonts w:ascii="Calibri" w:hAnsi="Calibri" w:cs="Calibri"/>
        </w:rPr>
        <w:t>The greatest benefit of GBS vaccination is likely to be realised in low-income</w:t>
      </w:r>
      <w:r w:rsidR="00DC157E" w:rsidRPr="00DC55B0">
        <w:rPr>
          <w:rFonts w:ascii="Calibri" w:hAnsi="Calibri" w:cs="Calibri"/>
        </w:rPr>
        <w:t xml:space="preserve"> </w:t>
      </w:r>
      <w:r w:rsidR="00D432D6" w:rsidRPr="00DC55B0">
        <w:rPr>
          <w:rFonts w:ascii="Calibri" w:hAnsi="Calibri" w:cs="Calibri"/>
        </w:rPr>
        <w:t>countries</w:t>
      </w:r>
      <w:r w:rsidR="00DC157E" w:rsidRPr="00DC55B0">
        <w:rPr>
          <w:rFonts w:ascii="Calibri" w:hAnsi="Calibri" w:cs="Calibri"/>
        </w:rPr>
        <w:t>, but variable standards of antenatal care in these sett</w:t>
      </w:r>
      <w:r w:rsidR="00D432D6" w:rsidRPr="00DC55B0">
        <w:rPr>
          <w:rFonts w:ascii="Calibri" w:hAnsi="Calibri" w:cs="Calibri"/>
        </w:rPr>
        <w:t xml:space="preserve">ings also pose a challenge to the delivery of robust clinical trials. </w:t>
      </w:r>
      <w:r w:rsidRPr="00DC55B0">
        <w:rPr>
          <w:rFonts w:ascii="Calibri" w:hAnsi="Calibri" w:cs="Calibri"/>
        </w:rPr>
        <w:t xml:space="preserve">Despite these hurdles, the last few years have seen significant progress and investment, which provides hope for </w:t>
      </w:r>
      <w:r w:rsidR="004C4DA5" w:rsidRPr="00DC55B0">
        <w:rPr>
          <w:rFonts w:ascii="Calibri" w:hAnsi="Calibri" w:cs="Calibri"/>
        </w:rPr>
        <w:t xml:space="preserve">the emergence of </w:t>
      </w:r>
      <w:r w:rsidRPr="00DC55B0">
        <w:rPr>
          <w:rFonts w:ascii="Calibri" w:hAnsi="Calibri" w:cs="Calibri"/>
        </w:rPr>
        <w:t xml:space="preserve">an effective vaccine to tackle GBS globally. </w:t>
      </w:r>
    </w:p>
    <w:p w14:paraId="3BF09DCC" w14:textId="77777777" w:rsidR="008125C8" w:rsidRPr="00DC55B0" w:rsidRDefault="008125C8" w:rsidP="001F3ACA">
      <w:pPr>
        <w:rPr>
          <w:rFonts w:ascii="Calibri" w:hAnsi="Calibri" w:cs="Calibri"/>
        </w:rPr>
      </w:pPr>
    </w:p>
    <w:p w14:paraId="18E26F2E" w14:textId="7E13FC67" w:rsidR="008125C8" w:rsidRPr="00DC55B0" w:rsidRDefault="00F126FB" w:rsidP="001F3ACA">
      <w:pPr>
        <w:rPr>
          <w:rFonts w:ascii="Calibri" w:hAnsi="Calibri" w:cs="Calibri"/>
          <w:b/>
          <w:bCs/>
        </w:rPr>
      </w:pPr>
      <w:r w:rsidRPr="00DC55B0">
        <w:rPr>
          <w:rFonts w:ascii="Calibri" w:hAnsi="Calibri" w:cs="Calibri"/>
          <w:b/>
          <w:bCs/>
        </w:rPr>
        <w:t>Outlook</w:t>
      </w:r>
      <w:r w:rsidR="008125C8" w:rsidRPr="00DC55B0">
        <w:rPr>
          <w:rFonts w:ascii="Calibri" w:hAnsi="Calibri" w:cs="Calibri"/>
          <w:b/>
          <w:bCs/>
        </w:rPr>
        <w:t xml:space="preserve"> </w:t>
      </w:r>
    </w:p>
    <w:p w14:paraId="7806BE0E" w14:textId="62A2F59A" w:rsidR="00A82CBA" w:rsidRPr="00DC55B0" w:rsidRDefault="00944666" w:rsidP="001F3ACA">
      <w:pPr>
        <w:rPr>
          <w:rFonts w:ascii="Calibri" w:hAnsi="Calibri" w:cs="Calibri"/>
        </w:rPr>
      </w:pPr>
      <w:r w:rsidRPr="00DC55B0">
        <w:rPr>
          <w:rFonts w:ascii="Calibri" w:hAnsi="Calibri" w:cs="Calibri"/>
        </w:rPr>
        <w:t xml:space="preserve">The development of </w:t>
      </w:r>
      <w:r w:rsidR="006F41E3" w:rsidRPr="00DC55B0">
        <w:rPr>
          <w:rFonts w:ascii="Calibri" w:hAnsi="Calibri" w:cs="Calibri"/>
        </w:rPr>
        <w:t>new vaccines for use in</w:t>
      </w:r>
      <w:r w:rsidR="00AC36EA" w:rsidRPr="00DC55B0">
        <w:rPr>
          <w:rFonts w:ascii="Calibri" w:hAnsi="Calibri" w:cs="Calibri"/>
        </w:rPr>
        <w:t xml:space="preserve"> pregnancy </w:t>
      </w:r>
      <w:r w:rsidR="008B2C2C" w:rsidRPr="00DC55B0">
        <w:rPr>
          <w:rFonts w:ascii="Calibri" w:hAnsi="Calibri" w:cs="Calibri"/>
        </w:rPr>
        <w:t xml:space="preserve">and newborns </w:t>
      </w:r>
      <w:r w:rsidR="00AC36EA" w:rsidRPr="00DC55B0">
        <w:rPr>
          <w:rFonts w:ascii="Calibri" w:hAnsi="Calibri" w:cs="Calibri"/>
        </w:rPr>
        <w:t>is complicated by the additional logistical and ethical challenges of performing trials in</w:t>
      </w:r>
      <w:r w:rsidR="00071D89" w:rsidRPr="00DC55B0">
        <w:rPr>
          <w:rFonts w:ascii="Calibri" w:hAnsi="Calibri" w:cs="Calibri"/>
        </w:rPr>
        <w:t xml:space="preserve"> these groups</w:t>
      </w:r>
      <w:r w:rsidR="00B37134" w:rsidRPr="00DC55B0">
        <w:rPr>
          <w:rFonts w:ascii="Calibri" w:hAnsi="Calibri" w:cs="Calibri"/>
        </w:rPr>
        <w:t>, as well as the fact that th</w:t>
      </w:r>
      <w:r w:rsidR="008B2C2C" w:rsidRPr="00DC55B0">
        <w:rPr>
          <w:rFonts w:ascii="Calibri" w:hAnsi="Calibri" w:cs="Calibri"/>
        </w:rPr>
        <w:t>e</w:t>
      </w:r>
      <w:r w:rsidR="00071D89" w:rsidRPr="00DC55B0">
        <w:rPr>
          <w:rFonts w:ascii="Calibri" w:hAnsi="Calibri" w:cs="Calibri"/>
        </w:rPr>
        <w:t>y</w:t>
      </w:r>
      <w:r w:rsidR="00B37134" w:rsidRPr="00DC55B0">
        <w:rPr>
          <w:rFonts w:ascii="Calibri" w:hAnsi="Calibri" w:cs="Calibri"/>
        </w:rPr>
        <w:t xml:space="preserve"> ha</w:t>
      </w:r>
      <w:r w:rsidR="008B2C2C" w:rsidRPr="00DC55B0">
        <w:rPr>
          <w:rFonts w:ascii="Calibri" w:hAnsi="Calibri" w:cs="Calibri"/>
        </w:rPr>
        <w:t>ve</w:t>
      </w:r>
      <w:r w:rsidR="00943CE3" w:rsidRPr="00DC55B0">
        <w:rPr>
          <w:rFonts w:ascii="Calibri" w:hAnsi="Calibri" w:cs="Calibri"/>
        </w:rPr>
        <w:t xml:space="preserve"> been historically neglected. </w:t>
      </w:r>
      <w:r w:rsidR="00915CE1" w:rsidRPr="00DC55B0">
        <w:rPr>
          <w:rFonts w:ascii="Calibri" w:hAnsi="Calibri" w:cs="Calibri"/>
        </w:rPr>
        <w:t xml:space="preserve">New approaches are on the horizon, but greater engagement </w:t>
      </w:r>
      <w:r w:rsidR="00556415" w:rsidRPr="00DC55B0">
        <w:rPr>
          <w:rFonts w:ascii="Calibri" w:hAnsi="Calibri" w:cs="Calibri"/>
        </w:rPr>
        <w:t>with vaccine development and testing</w:t>
      </w:r>
      <w:r w:rsidR="00AB29B3" w:rsidRPr="00DC55B0">
        <w:rPr>
          <w:rFonts w:ascii="Calibri" w:hAnsi="Calibri" w:cs="Calibri"/>
        </w:rPr>
        <w:t xml:space="preserve"> in pregnancy and newborns</w:t>
      </w:r>
      <w:r w:rsidR="00556415" w:rsidRPr="00DC55B0">
        <w:rPr>
          <w:rFonts w:ascii="Calibri" w:hAnsi="Calibri" w:cs="Calibri"/>
        </w:rPr>
        <w:t xml:space="preserve"> is still needed </w:t>
      </w:r>
      <w:r w:rsidR="00915CE1" w:rsidRPr="00DC55B0">
        <w:rPr>
          <w:rFonts w:ascii="Calibri" w:hAnsi="Calibri" w:cs="Calibri"/>
        </w:rPr>
        <w:t>at all levels.</w:t>
      </w:r>
    </w:p>
    <w:p w14:paraId="0D7864B2" w14:textId="77777777" w:rsidR="00914B6F" w:rsidRPr="00DC55B0" w:rsidRDefault="00914B6F" w:rsidP="001F3ACA">
      <w:pPr>
        <w:rPr>
          <w:rFonts w:ascii="Calibri" w:hAnsi="Calibri" w:cs="Calibri"/>
        </w:rPr>
      </w:pPr>
    </w:p>
    <w:p w14:paraId="2105283A" w14:textId="6D058AAE" w:rsidR="00254287" w:rsidRPr="00DC55B0" w:rsidRDefault="00914B6F" w:rsidP="001F3ACA">
      <w:pPr>
        <w:rPr>
          <w:rFonts w:ascii="Calibri" w:hAnsi="Calibri" w:cs="Calibri"/>
        </w:rPr>
      </w:pPr>
      <w:r w:rsidRPr="00DC55B0">
        <w:rPr>
          <w:rFonts w:ascii="Calibri" w:hAnsi="Calibri" w:cs="Calibri"/>
        </w:rPr>
        <w:t>Even well-established programmes</w:t>
      </w:r>
      <w:r w:rsidR="00762DB9" w:rsidRPr="00DC55B0">
        <w:rPr>
          <w:rFonts w:ascii="Calibri" w:hAnsi="Calibri" w:cs="Calibri"/>
        </w:rPr>
        <w:t xml:space="preserve"> continue to face </w:t>
      </w:r>
      <w:r w:rsidR="0042768E" w:rsidRPr="00DC55B0">
        <w:rPr>
          <w:rFonts w:ascii="Calibri" w:hAnsi="Calibri" w:cs="Calibri"/>
        </w:rPr>
        <w:t>barriers to their success</w:t>
      </w:r>
      <w:r w:rsidR="00762DB9" w:rsidRPr="00DC55B0">
        <w:rPr>
          <w:rFonts w:ascii="Calibri" w:hAnsi="Calibri" w:cs="Calibri"/>
        </w:rPr>
        <w:t>.</w:t>
      </w:r>
      <w:r w:rsidR="002F48D0" w:rsidRPr="00DC55B0">
        <w:rPr>
          <w:rFonts w:ascii="Calibri" w:hAnsi="Calibri" w:cs="Calibri"/>
        </w:rPr>
        <w:t xml:space="preserve"> </w:t>
      </w:r>
      <w:r w:rsidR="005423B7" w:rsidRPr="00DC55B0">
        <w:rPr>
          <w:rFonts w:ascii="Calibri" w:hAnsi="Calibri" w:cs="Calibri"/>
        </w:rPr>
        <w:t>Access</w:t>
      </w:r>
      <w:r w:rsidR="001228B7" w:rsidRPr="00DC55B0">
        <w:rPr>
          <w:rFonts w:ascii="Calibri" w:hAnsi="Calibri" w:cs="Calibri"/>
        </w:rPr>
        <w:t xml:space="preserve"> </w:t>
      </w:r>
      <w:r w:rsidR="00CB00E2" w:rsidRPr="00DC55B0">
        <w:rPr>
          <w:rFonts w:ascii="Calibri" w:hAnsi="Calibri" w:cs="Calibri"/>
        </w:rPr>
        <w:t>and logistics</w:t>
      </w:r>
      <w:r w:rsidR="004C4DA5" w:rsidRPr="00DC55B0">
        <w:rPr>
          <w:rFonts w:ascii="Calibri" w:hAnsi="Calibri" w:cs="Calibri"/>
        </w:rPr>
        <w:t xml:space="preserve"> </w:t>
      </w:r>
      <w:r w:rsidR="001228B7" w:rsidRPr="00DC55B0">
        <w:rPr>
          <w:rFonts w:ascii="Calibri" w:hAnsi="Calibri" w:cs="Calibri"/>
        </w:rPr>
        <w:t xml:space="preserve">can pose a particular </w:t>
      </w:r>
      <w:r w:rsidR="0042768E" w:rsidRPr="00DC55B0">
        <w:rPr>
          <w:rFonts w:ascii="Calibri" w:hAnsi="Calibri" w:cs="Calibri"/>
        </w:rPr>
        <w:t>challenge</w:t>
      </w:r>
      <w:r w:rsidR="001228B7" w:rsidRPr="00DC55B0">
        <w:rPr>
          <w:rFonts w:ascii="Calibri" w:hAnsi="Calibri" w:cs="Calibri"/>
        </w:rPr>
        <w:t xml:space="preserve"> in low</w:t>
      </w:r>
      <w:r w:rsidR="007042F3" w:rsidRPr="00DC55B0">
        <w:rPr>
          <w:rFonts w:ascii="Calibri" w:hAnsi="Calibri" w:cs="Calibri"/>
        </w:rPr>
        <w:t>-</w:t>
      </w:r>
      <w:r w:rsidR="001228B7" w:rsidRPr="00DC55B0">
        <w:rPr>
          <w:rFonts w:ascii="Calibri" w:hAnsi="Calibri" w:cs="Calibri"/>
        </w:rPr>
        <w:t xml:space="preserve">income settings, where </w:t>
      </w:r>
      <w:r w:rsidR="0008252D" w:rsidRPr="00DC55B0">
        <w:rPr>
          <w:rFonts w:ascii="Calibri" w:hAnsi="Calibri" w:cs="Calibri"/>
        </w:rPr>
        <w:t>financial</w:t>
      </w:r>
      <w:r w:rsidR="00307189" w:rsidRPr="00DC55B0">
        <w:rPr>
          <w:rFonts w:ascii="Calibri" w:hAnsi="Calibri" w:cs="Calibri"/>
        </w:rPr>
        <w:t xml:space="preserve">, structural and </w:t>
      </w:r>
      <w:r w:rsidR="00455BBA" w:rsidRPr="00DC55B0">
        <w:rPr>
          <w:rFonts w:ascii="Calibri" w:hAnsi="Calibri" w:cs="Calibri"/>
        </w:rPr>
        <w:t>organisational</w:t>
      </w:r>
      <w:r w:rsidR="00307189" w:rsidRPr="00DC55B0">
        <w:rPr>
          <w:rFonts w:ascii="Calibri" w:hAnsi="Calibri" w:cs="Calibri"/>
        </w:rPr>
        <w:t xml:space="preserve"> support</w:t>
      </w:r>
      <w:r w:rsidR="00A70D81" w:rsidRPr="00DC55B0">
        <w:rPr>
          <w:rFonts w:ascii="Calibri" w:hAnsi="Calibri" w:cs="Calibri"/>
        </w:rPr>
        <w:t xml:space="preserve"> are </w:t>
      </w:r>
      <w:r w:rsidR="00BF08FF" w:rsidRPr="00DC55B0">
        <w:rPr>
          <w:rFonts w:ascii="Calibri" w:hAnsi="Calibri" w:cs="Calibri"/>
        </w:rPr>
        <w:t>vital</w:t>
      </w:r>
      <w:r w:rsidR="00A70D81" w:rsidRPr="00DC55B0">
        <w:rPr>
          <w:rFonts w:ascii="Calibri" w:hAnsi="Calibri" w:cs="Calibri"/>
        </w:rPr>
        <w:t xml:space="preserve"> </w:t>
      </w:r>
      <w:r w:rsidR="0008252D" w:rsidRPr="00DC55B0">
        <w:rPr>
          <w:rFonts w:ascii="Calibri" w:hAnsi="Calibri" w:cs="Calibri"/>
        </w:rPr>
        <w:t>to ensure</w:t>
      </w:r>
      <w:r w:rsidR="00A70D81" w:rsidRPr="00DC55B0">
        <w:rPr>
          <w:rFonts w:ascii="Calibri" w:hAnsi="Calibri" w:cs="Calibri"/>
        </w:rPr>
        <w:t xml:space="preserve"> equity of access</w:t>
      </w:r>
      <w:r w:rsidR="00FC60BE" w:rsidRPr="00DC55B0">
        <w:rPr>
          <w:rFonts w:ascii="Calibri" w:hAnsi="Calibri" w:cs="Calibri"/>
        </w:rPr>
        <w:t>.</w:t>
      </w:r>
      <w:r w:rsidR="00E85872" w:rsidRPr="00DC55B0">
        <w:rPr>
          <w:rFonts w:ascii="Calibri" w:hAnsi="Calibri" w:cs="Calibri"/>
        </w:rPr>
        <w:t xml:space="preserve"> </w:t>
      </w:r>
      <w:r w:rsidR="00FC60BE" w:rsidRPr="00DC55B0">
        <w:rPr>
          <w:rFonts w:ascii="Calibri" w:hAnsi="Calibri" w:cs="Calibri"/>
        </w:rPr>
        <w:t xml:space="preserve">Overcoming these </w:t>
      </w:r>
      <w:r w:rsidR="002F48D0" w:rsidRPr="00DC55B0">
        <w:rPr>
          <w:rFonts w:ascii="Calibri" w:hAnsi="Calibri" w:cs="Calibri"/>
        </w:rPr>
        <w:t>hindrances</w:t>
      </w:r>
      <w:r w:rsidR="00E85872" w:rsidRPr="00DC55B0">
        <w:rPr>
          <w:rFonts w:ascii="Calibri" w:hAnsi="Calibri" w:cs="Calibri"/>
        </w:rPr>
        <w:t xml:space="preserve"> is </w:t>
      </w:r>
      <w:r w:rsidR="00BF08FF" w:rsidRPr="00DC55B0">
        <w:rPr>
          <w:rFonts w:ascii="Calibri" w:hAnsi="Calibri" w:cs="Calibri"/>
        </w:rPr>
        <w:t>essential</w:t>
      </w:r>
      <w:r w:rsidR="00E85872" w:rsidRPr="00DC55B0">
        <w:rPr>
          <w:rFonts w:ascii="Calibri" w:hAnsi="Calibri" w:cs="Calibri"/>
        </w:rPr>
        <w:t xml:space="preserve"> given the </w:t>
      </w:r>
      <w:r w:rsidR="002E7930" w:rsidRPr="00DC55B0">
        <w:rPr>
          <w:rFonts w:ascii="Calibri" w:hAnsi="Calibri" w:cs="Calibri"/>
        </w:rPr>
        <w:t>high</w:t>
      </w:r>
      <w:r w:rsidR="0003604D" w:rsidRPr="00DC55B0">
        <w:rPr>
          <w:rFonts w:ascii="Calibri" w:hAnsi="Calibri" w:cs="Calibri"/>
        </w:rPr>
        <w:t>er</w:t>
      </w:r>
      <w:r w:rsidR="002E7930" w:rsidRPr="00DC55B0">
        <w:rPr>
          <w:rFonts w:ascii="Calibri" w:hAnsi="Calibri" w:cs="Calibri"/>
        </w:rPr>
        <w:t xml:space="preserve"> burden of neonatal mortality, and the corresponding</w:t>
      </w:r>
      <w:r w:rsidR="00220946" w:rsidRPr="00DC55B0">
        <w:rPr>
          <w:rFonts w:ascii="Calibri" w:hAnsi="Calibri" w:cs="Calibri"/>
        </w:rPr>
        <w:t>ly higher</w:t>
      </w:r>
      <w:r w:rsidR="002E7930" w:rsidRPr="00DC55B0">
        <w:rPr>
          <w:rFonts w:ascii="Calibri" w:hAnsi="Calibri" w:cs="Calibri"/>
        </w:rPr>
        <w:t xml:space="preserve"> value of </w:t>
      </w:r>
      <w:r w:rsidR="00FC60BE" w:rsidRPr="00DC55B0">
        <w:rPr>
          <w:rFonts w:ascii="Calibri" w:hAnsi="Calibri" w:cs="Calibri"/>
        </w:rPr>
        <w:t xml:space="preserve">maternal immunisation in these settings. </w:t>
      </w:r>
      <w:r w:rsidR="00994FF5" w:rsidRPr="00DC55B0">
        <w:rPr>
          <w:rFonts w:ascii="Calibri" w:hAnsi="Calibri" w:cs="Calibri"/>
        </w:rPr>
        <w:t>E</w:t>
      </w:r>
      <w:r w:rsidR="007042F3" w:rsidRPr="00DC55B0">
        <w:rPr>
          <w:rFonts w:ascii="Calibri" w:hAnsi="Calibri" w:cs="Calibri"/>
        </w:rPr>
        <w:t>ven in high</w:t>
      </w:r>
      <w:r w:rsidR="004C4DA5" w:rsidRPr="00DC55B0">
        <w:rPr>
          <w:rFonts w:ascii="Calibri" w:hAnsi="Calibri" w:cs="Calibri"/>
        </w:rPr>
        <w:t>-</w:t>
      </w:r>
      <w:r w:rsidR="007042F3" w:rsidRPr="00DC55B0">
        <w:rPr>
          <w:rFonts w:ascii="Calibri" w:hAnsi="Calibri" w:cs="Calibri"/>
        </w:rPr>
        <w:t>income</w:t>
      </w:r>
      <w:r w:rsidR="004C4DA5" w:rsidRPr="00DC55B0">
        <w:rPr>
          <w:rFonts w:ascii="Calibri" w:hAnsi="Calibri" w:cs="Calibri"/>
        </w:rPr>
        <w:t xml:space="preserve"> </w:t>
      </w:r>
      <w:r w:rsidR="007042F3" w:rsidRPr="00DC55B0">
        <w:rPr>
          <w:rFonts w:ascii="Calibri" w:hAnsi="Calibri" w:cs="Calibri"/>
        </w:rPr>
        <w:t xml:space="preserve">settings, ensuring supply is not without its </w:t>
      </w:r>
      <w:r w:rsidR="00A92D86" w:rsidRPr="00DC55B0">
        <w:rPr>
          <w:rFonts w:ascii="Calibri" w:hAnsi="Calibri" w:cs="Calibri"/>
        </w:rPr>
        <w:t>difficulties</w:t>
      </w:r>
      <w:r w:rsidR="007042F3" w:rsidRPr="00DC55B0">
        <w:rPr>
          <w:rFonts w:ascii="Calibri" w:hAnsi="Calibri" w:cs="Calibri"/>
        </w:rPr>
        <w:t xml:space="preserve">. </w:t>
      </w:r>
      <w:r w:rsidR="00067FD8" w:rsidRPr="00DC55B0">
        <w:rPr>
          <w:rFonts w:ascii="Calibri" w:hAnsi="Calibri" w:cs="Calibri"/>
        </w:rPr>
        <w:t xml:space="preserve">In France, supply issues resulted in available doses of nirsevimab being diverted to </w:t>
      </w:r>
      <w:r w:rsidR="00D66484" w:rsidRPr="00DC55B0">
        <w:rPr>
          <w:rFonts w:ascii="Calibri" w:hAnsi="Calibri" w:cs="Calibri"/>
        </w:rPr>
        <w:t>newborns</w:t>
      </w:r>
      <w:r w:rsidR="00067FD8" w:rsidRPr="00DC55B0">
        <w:rPr>
          <w:rFonts w:ascii="Calibri" w:hAnsi="Calibri" w:cs="Calibri"/>
        </w:rPr>
        <w:t xml:space="preserve"> on maternity wards</w:t>
      </w:r>
      <w:r w:rsidR="00890861" w:rsidRPr="00DC55B0">
        <w:rPr>
          <w:rFonts w:ascii="Calibri" w:hAnsi="Calibri" w:cs="Calibri"/>
        </w:rPr>
        <w:fldChar w:fldCharType="begin"/>
      </w:r>
      <w:r w:rsidR="00061423" w:rsidRPr="00DC55B0">
        <w:rPr>
          <w:rFonts w:ascii="Calibri" w:hAnsi="Calibri" w:cs="Calibri"/>
        </w:rPr>
        <w:instrText xml:space="preserve"> ADDIN ZOTERO_ITEM CSL_CITATION {"citationID":"wghiO8hr","properties":{"formattedCitation":"\\super 129\\nosupersub{}","plainCitation":"129","noteIndex":0},"citationItems":[{"id":241,"uris":["http://zotero.org/users/14445769/items/W2ERIBJN"],"itemData":{"id":241,"type":"webpage","title":"Beyfortus  (nirsevimab): priorisation temporaire des patients à immuniser.","URL":"https://sante.gouv.fr/IMG/pdf/dgs-urgent_-19_mise_a_disposition_beyfortus.pdf","author":[{"literal":"Ministère du travail, de la santé, et des solidarités."}],"issued":{"date-parts":[["2023"]]}}}],"schema":"https://github.com/citation-style-language/schema/raw/master/csl-citation.json"} </w:instrText>
      </w:r>
      <w:r w:rsidR="00890861" w:rsidRPr="00DC55B0">
        <w:rPr>
          <w:rFonts w:ascii="Calibri" w:hAnsi="Calibri" w:cs="Calibri"/>
        </w:rPr>
        <w:fldChar w:fldCharType="separate"/>
      </w:r>
      <w:r w:rsidR="00061423" w:rsidRPr="00DC55B0">
        <w:rPr>
          <w:rFonts w:ascii="Calibri" w:hAnsi="Calibri" w:cs="Calibri"/>
          <w:kern w:val="0"/>
          <w:vertAlign w:val="superscript"/>
        </w:rPr>
        <w:t>129</w:t>
      </w:r>
      <w:r w:rsidR="00890861" w:rsidRPr="00DC55B0">
        <w:rPr>
          <w:rFonts w:ascii="Calibri" w:hAnsi="Calibri" w:cs="Calibri"/>
        </w:rPr>
        <w:fldChar w:fldCharType="end"/>
      </w:r>
      <w:r w:rsidR="00067FD8" w:rsidRPr="00DC55B0">
        <w:rPr>
          <w:rFonts w:ascii="Calibri" w:hAnsi="Calibri" w:cs="Calibri"/>
        </w:rPr>
        <w:t xml:space="preserve"> and temporary shortages were also seen in some healthcare settings in the USA between </w:t>
      </w:r>
      <w:r w:rsidR="00067FD8" w:rsidRPr="00DC55B0">
        <w:rPr>
          <w:rFonts w:ascii="Calibri" w:hAnsi="Calibri" w:cs="Calibri"/>
        </w:rPr>
        <w:lastRenderedPageBreak/>
        <w:t>October 2023 and January 2024.</w:t>
      </w:r>
      <w:r w:rsidR="00934D48" w:rsidRPr="00DC55B0">
        <w:rPr>
          <w:rFonts w:ascii="Calibri" w:hAnsi="Calibri" w:cs="Calibri"/>
        </w:rPr>
        <w:fldChar w:fldCharType="begin"/>
      </w:r>
      <w:r w:rsidR="00061423" w:rsidRPr="00DC55B0">
        <w:rPr>
          <w:rFonts w:ascii="Calibri" w:hAnsi="Calibri" w:cs="Calibri"/>
        </w:rPr>
        <w:instrText xml:space="preserve"> ADDIN ZOTERO_ITEM CSL_CITATION {"citationID":"s6Xkrk3D","properties":{"formattedCitation":"\\super 130\\nosupersub{}","plainCitation":"130","noteIndex":0},"citationItems":[{"id":242,"uris":["http://zotero.org/users/14445769/items/IBRPU7VA"],"itemData":{"id":242,"type":"webpage","title":"Limited Availability of Nirsevimab in the United States—Interim CDC Recommendations to Protect Infants from Respiratory Syncytial Virus (RSV) during the 2023–2024 Respiratory Virus Season","URL":"https://emergency.cdc.gov/han/2023/han00499.asp","author":[{"literal":"Centers for Disease Control"}]}}],"schema":"https://github.com/citation-style-language/schema/raw/master/csl-citation.json"} </w:instrText>
      </w:r>
      <w:r w:rsidR="00934D48" w:rsidRPr="00DC55B0">
        <w:rPr>
          <w:rFonts w:ascii="Calibri" w:hAnsi="Calibri" w:cs="Calibri"/>
        </w:rPr>
        <w:fldChar w:fldCharType="separate"/>
      </w:r>
      <w:r w:rsidR="00061423" w:rsidRPr="00DC55B0">
        <w:rPr>
          <w:rFonts w:ascii="Calibri" w:hAnsi="Calibri" w:cs="Calibri"/>
          <w:kern w:val="0"/>
          <w:vertAlign w:val="superscript"/>
        </w:rPr>
        <w:t>130</w:t>
      </w:r>
      <w:r w:rsidR="00934D48" w:rsidRPr="00DC55B0">
        <w:rPr>
          <w:rFonts w:ascii="Calibri" w:hAnsi="Calibri" w:cs="Calibri"/>
        </w:rPr>
        <w:fldChar w:fldCharType="end"/>
      </w:r>
      <w:r w:rsidR="00AC1E4A" w:rsidRPr="00DC55B0">
        <w:rPr>
          <w:rFonts w:ascii="Calibri" w:hAnsi="Calibri" w:cs="Calibri"/>
        </w:rPr>
        <w:t xml:space="preserve"> </w:t>
      </w:r>
      <w:r w:rsidR="00434085" w:rsidRPr="00DC55B0">
        <w:rPr>
          <w:rFonts w:ascii="Calibri" w:hAnsi="Calibri" w:cs="Calibri"/>
        </w:rPr>
        <w:t>Even</w:t>
      </w:r>
      <w:r w:rsidR="00E04497" w:rsidRPr="00DC55B0">
        <w:rPr>
          <w:rFonts w:ascii="Calibri" w:hAnsi="Calibri" w:cs="Calibri"/>
        </w:rPr>
        <w:t xml:space="preserve"> where a vaccine against a</w:t>
      </w:r>
      <w:r w:rsidR="005423B7" w:rsidRPr="00DC55B0">
        <w:rPr>
          <w:rFonts w:ascii="Calibri" w:hAnsi="Calibri" w:cs="Calibri"/>
        </w:rPr>
        <w:t xml:space="preserve">n infectious agent </w:t>
      </w:r>
      <w:r w:rsidR="00E04497" w:rsidRPr="00DC55B0">
        <w:rPr>
          <w:rFonts w:ascii="Calibri" w:hAnsi="Calibri" w:cs="Calibri"/>
        </w:rPr>
        <w:t xml:space="preserve">has been licensed, it is crucial </w:t>
      </w:r>
      <w:r w:rsidR="005A1DAF" w:rsidRPr="00DC55B0">
        <w:rPr>
          <w:rFonts w:ascii="Calibri" w:hAnsi="Calibri" w:cs="Calibri"/>
        </w:rPr>
        <w:t>that trials of other vaccines continue to ensure global supply and resilience.</w:t>
      </w:r>
      <w:r w:rsidR="00DE31C4" w:rsidRPr="00DC55B0">
        <w:rPr>
          <w:rFonts w:ascii="Calibri" w:hAnsi="Calibri" w:cs="Calibri"/>
        </w:rPr>
        <w:t xml:space="preserve"> The limited time</w:t>
      </w:r>
      <w:r w:rsidR="00ED29A9" w:rsidRPr="00DC55B0">
        <w:rPr>
          <w:rFonts w:ascii="Calibri" w:hAnsi="Calibri" w:cs="Calibri"/>
        </w:rPr>
        <w:t>frame</w:t>
      </w:r>
      <w:r w:rsidR="001F4AEF" w:rsidRPr="00DC55B0">
        <w:rPr>
          <w:rFonts w:ascii="Calibri" w:hAnsi="Calibri" w:cs="Calibri"/>
        </w:rPr>
        <w:t xml:space="preserve"> during which </w:t>
      </w:r>
      <w:r w:rsidR="00ED29A9" w:rsidRPr="00DC55B0">
        <w:rPr>
          <w:rFonts w:ascii="Calibri" w:hAnsi="Calibri" w:cs="Calibri"/>
        </w:rPr>
        <w:t>vaccination i</w:t>
      </w:r>
      <w:r w:rsidR="009C0863" w:rsidRPr="00DC55B0">
        <w:rPr>
          <w:rFonts w:ascii="Calibri" w:hAnsi="Calibri" w:cs="Calibri"/>
        </w:rPr>
        <w:t>s most effective during</w:t>
      </w:r>
      <w:r w:rsidR="00ED29A9" w:rsidRPr="00DC55B0">
        <w:rPr>
          <w:rFonts w:ascii="Calibri" w:hAnsi="Calibri" w:cs="Calibri"/>
        </w:rPr>
        <w:t xml:space="preserve"> pregnancy </w:t>
      </w:r>
      <w:r w:rsidR="007A64CA" w:rsidRPr="00DC55B0">
        <w:rPr>
          <w:rFonts w:ascii="Calibri" w:hAnsi="Calibri" w:cs="Calibri"/>
        </w:rPr>
        <w:t xml:space="preserve">also poses </w:t>
      </w:r>
      <w:r w:rsidR="003E7390" w:rsidRPr="00DC55B0">
        <w:rPr>
          <w:rFonts w:ascii="Calibri" w:hAnsi="Calibri" w:cs="Calibri"/>
        </w:rPr>
        <w:t>programmatic challenges</w:t>
      </w:r>
      <w:r w:rsidR="007A64CA" w:rsidRPr="00DC55B0">
        <w:rPr>
          <w:rFonts w:ascii="Calibri" w:hAnsi="Calibri" w:cs="Calibri"/>
        </w:rPr>
        <w:t xml:space="preserve">: </w:t>
      </w:r>
      <w:r w:rsidR="009C0863" w:rsidRPr="00DC55B0">
        <w:rPr>
          <w:rFonts w:ascii="Calibri" w:hAnsi="Calibri" w:cs="Calibri"/>
        </w:rPr>
        <w:t>as more vaccines are added to the schedule, considerations around co-administration will become increasingly importa</w:t>
      </w:r>
      <w:r w:rsidR="00257B13" w:rsidRPr="00DC55B0">
        <w:rPr>
          <w:rFonts w:ascii="Calibri" w:hAnsi="Calibri" w:cs="Calibri"/>
        </w:rPr>
        <w:t>nt.</w:t>
      </w:r>
    </w:p>
    <w:p w14:paraId="2FAC6AD8" w14:textId="77777777" w:rsidR="00D942E1" w:rsidRPr="00DC55B0" w:rsidRDefault="00D942E1" w:rsidP="001F3ACA">
      <w:pPr>
        <w:rPr>
          <w:rFonts w:ascii="Calibri" w:hAnsi="Calibri" w:cs="Calibri"/>
          <w:b/>
          <w:bCs/>
        </w:rPr>
      </w:pPr>
    </w:p>
    <w:p w14:paraId="7A65F817" w14:textId="44BDDF8F" w:rsidR="00E90AFF" w:rsidRPr="00DC55B0" w:rsidRDefault="006A2A31" w:rsidP="001F3ACA">
      <w:pPr>
        <w:rPr>
          <w:rFonts w:ascii="Calibri" w:hAnsi="Calibri" w:cs="Calibri"/>
        </w:rPr>
      </w:pPr>
      <w:r w:rsidRPr="00DC55B0">
        <w:rPr>
          <w:rFonts w:ascii="Calibri" w:hAnsi="Calibri" w:cs="Calibri"/>
        </w:rPr>
        <w:t>Another challenge</w:t>
      </w:r>
      <w:r w:rsidR="00A92D86" w:rsidRPr="00DC55B0">
        <w:rPr>
          <w:rFonts w:ascii="Calibri" w:hAnsi="Calibri" w:cs="Calibri"/>
        </w:rPr>
        <w:t xml:space="preserve"> is acceptance. The low rates of uptake for vaccines</w:t>
      </w:r>
      <w:r w:rsidR="000A7D03" w:rsidRPr="00DC55B0">
        <w:rPr>
          <w:rFonts w:ascii="Calibri" w:hAnsi="Calibri" w:cs="Calibri"/>
        </w:rPr>
        <w:t xml:space="preserve"> recommended in pregnancy is a concern: </w:t>
      </w:r>
      <w:r w:rsidR="008A1CC7" w:rsidRPr="00DC55B0">
        <w:rPr>
          <w:rFonts w:ascii="Calibri" w:hAnsi="Calibri" w:cs="Calibri"/>
        </w:rPr>
        <w:t>coverage of prenatal pertussis</w:t>
      </w:r>
      <w:r w:rsidR="00EC491C" w:rsidRPr="00DC55B0">
        <w:rPr>
          <w:rFonts w:ascii="Calibri" w:hAnsi="Calibri" w:cs="Calibri"/>
        </w:rPr>
        <w:t xml:space="preserve"> and influenza vaccination</w:t>
      </w:r>
      <w:r w:rsidR="00C97AE1" w:rsidRPr="00DC55B0">
        <w:rPr>
          <w:rFonts w:ascii="Calibri" w:hAnsi="Calibri" w:cs="Calibri"/>
        </w:rPr>
        <w:t xml:space="preserve"> declined </w:t>
      </w:r>
      <w:r w:rsidR="0091215A" w:rsidRPr="00DC55B0">
        <w:rPr>
          <w:rFonts w:ascii="Calibri" w:hAnsi="Calibri" w:cs="Calibri"/>
        </w:rPr>
        <w:t xml:space="preserve">over the course of the COVID-19 pandemic, </w:t>
      </w:r>
      <w:r w:rsidR="008A1CC7" w:rsidRPr="00DC55B0">
        <w:rPr>
          <w:rFonts w:ascii="Calibri" w:hAnsi="Calibri" w:cs="Calibri"/>
        </w:rPr>
        <w:t xml:space="preserve">from </w:t>
      </w:r>
      <w:r w:rsidR="0091215A" w:rsidRPr="00DC55B0">
        <w:rPr>
          <w:rFonts w:ascii="Calibri" w:hAnsi="Calibri" w:cs="Calibri"/>
        </w:rPr>
        <w:t>7</w:t>
      </w:r>
      <w:r w:rsidR="00595C60" w:rsidRPr="00DC55B0">
        <w:rPr>
          <w:rFonts w:ascii="Calibri" w:hAnsi="Calibri" w:cs="Calibri"/>
        </w:rPr>
        <w:t>1</w:t>
      </w:r>
      <w:r w:rsidR="0091215A" w:rsidRPr="00DC55B0">
        <w:rPr>
          <w:rFonts w:ascii="Calibri" w:hAnsi="Calibri" w:cs="Calibri"/>
        </w:rPr>
        <w:t xml:space="preserve">% </w:t>
      </w:r>
      <w:r w:rsidR="00C97AE1" w:rsidRPr="00DC55B0">
        <w:rPr>
          <w:rFonts w:ascii="Calibri" w:hAnsi="Calibri" w:cs="Calibri"/>
        </w:rPr>
        <w:t>to 6</w:t>
      </w:r>
      <w:r w:rsidR="00595C60" w:rsidRPr="00DC55B0">
        <w:rPr>
          <w:rFonts w:ascii="Calibri" w:hAnsi="Calibri" w:cs="Calibri"/>
        </w:rPr>
        <w:t>1</w:t>
      </w:r>
      <w:r w:rsidR="00C97AE1" w:rsidRPr="00DC55B0">
        <w:rPr>
          <w:rFonts w:ascii="Calibri" w:hAnsi="Calibri" w:cs="Calibri"/>
        </w:rPr>
        <w:t xml:space="preserve">% and from </w:t>
      </w:r>
      <w:r w:rsidR="00737681" w:rsidRPr="00DC55B0">
        <w:rPr>
          <w:rFonts w:ascii="Calibri" w:hAnsi="Calibri" w:cs="Calibri"/>
        </w:rPr>
        <w:t>44% to 35%, respectively,</w:t>
      </w:r>
      <w:r w:rsidR="00741802" w:rsidRPr="00DC55B0">
        <w:rPr>
          <w:rFonts w:ascii="Calibri" w:hAnsi="Calibri" w:cs="Calibri"/>
        </w:rPr>
        <w:fldChar w:fldCharType="begin"/>
      </w:r>
      <w:r w:rsidR="00061423" w:rsidRPr="00DC55B0">
        <w:rPr>
          <w:rFonts w:ascii="Calibri" w:hAnsi="Calibri" w:cs="Calibri"/>
        </w:rPr>
        <w:instrText xml:space="preserve"> ADDIN ZOTERO_ITEM CSL_CITATION {"citationID":"yubvbGSo","properties":{"formattedCitation":"\\super 131,132\\nosupersub{}","plainCitation":"131,132","noteIndex":0},"citationItems":[{"id":246,"uris":["http://zotero.org/users/14445769/items/IDG5U8GQ"],"itemData":{"id":246,"type":"webpage","title":"Vaccine update: issue 344, November 2023, pregnancy special","URL":"https://www.gov.uk/government/publications/vaccine-update-issue-344-november-2023-pregnancy-special/vaccine-update-issue-344-november-2023-pregnancy-special#flu-vaccination-during-pregnancy","author":[{"literal":"UK Health and Security Agency"}],"issued":{"date-parts":[["2023",12,13]]}}},{"id":255,"uris":["http://zotero.org/users/14445769/items/77ZHTR42"],"itemData":{"id":255,"type":"webpage","title":"Influenza: the green book, chapter 19","URL":"https://www.gov.uk/government/publications/influenza-the-green-book-chapter-19","author":[{"literal":"UK Health Security Agency"}],"issued":{"date-parts":[["2023",11,10]]}}}],"schema":"https://github.com/citation-style-language/schema/raw/master/csl-citation.json"} </w:instrText>
      </w:r>
      <w:r w:rsidR="00741802" w:rsidRPr="00DC55B0">
        <w:rPr>
          <w:rFonts w:ascii="Calibri" w:hAnsi="Calibri" w:cs="Calibri"/>
        </w:rPr>
        <w:fldChar w:fldCharType="separate"/>
      </w:r>
      <w:r w:rsidR="00061423" w:rsidRPr="00DC55B0">
        <w:rPr>
          <w:rFonts w:ascii="Calibri" w:hAnsi="Calibri" w:cs="Calibri"/>
          <w:kern w:val="0"/>
          <w:vertAlign w:val="superscript"/>
        </w:rPr>
        <w:t>131,132</w:t>
      </w:r>
      <w:r w:rsidR="00741802" w:rsidRPr="00DC55B0">
        <w:rPr>
          <w:rFonts w:ascii="Calibri" w:hAnsi="Calibri" w:cs="Calibri"/>
        </w:rPr>
        <w:fldChar w:fldCharType="end"/>
      </w:r>
      <w:r w:rsidR="00741802" w:rsidRPr="00DC55B0">
        <w:rPr>
          <w:rFonts w:ascii="Calibri" w:hAnsi="Calibri" w:cs="Calibri"/>
        </w:rPr>
        <w:t xml:space="preserve"> </w:t>
      </w:r>
      <w:r w:rsidR="004152AD" w:rsidRPr="00DC55B0">
        <w:rPr>
          <w:rFonts w:ascii="Calibri" w:hAnsi="Calibri" w:cs="Calibri"/>
        </w:rPr>
        <w:t xml:space="preserve">and have not yet recovered. </w:t>
      </w:r>
      <w:r w:rsidR="003C3D0D" w:rsidRPr="00DC55B0">
        <w:rPr>
          <w:rFonts w:ascii="Calibri" w:hAnsi="Calibri" w:cs="Calibri"/>
        </w:rPr>
        <w:t>Effective strategi</w:t>
      </w:r>
      <w:r w:rsidR="00220FD2" w:rsidRPr="00DC55B0">
        <w:rPr>
          <w:rFonts w:ascii="Calibri" w:hAnsi="Calibri" w:cs="Calibri"/>
        </w:rPr>
        <w:t xml:space="preserve">es to increase uptake require co-ordination of health authorities, scientific societies and </w:t>
      </w:r>
      <w:r w:rsidR="00E67B19" w:rsidRPr="00DC55B0">
        <w:rPr>
          <w:rFonts w:ascii="Calibri" w:hAnsi="Calibri" w:cs="Calibri"/>
        </w:rPr>
        <w:t xml:space="preserve">healthcare professionals to ensure that </w:t>
      </w:r>
      <w:r w:rsidR="00982126" w:rsidRPr="00DC55B0">
        <w:rPr>
          <w:rFonts w:ascii="Calibri" w:hAnsi="Calibri" w:cs="Calibri"/>
        </w:rPr>
        <w:t>vaccination is fully covered in antenatal medical guidance</w:t>
      </w:r>
      <w:r w:rsidR="00B86585" w:rsidRPr="00DC55B0">
        <w:rPr>
          <w:rFonts w:ascii="Calibri" w:hAnsi="Calibri" w:cs="Calibri"/>
        </w:rPr>
        <w:t xml:space="preserve"> and that the concerns of specific </w:t>
      </w:r>
      <w:r w:rsidR="0091463F" w:rsidRPr="00DC55B0">
        <w:rPr>
          <w:rFonts w:ascii="Calibri" w:hAnsi="Calibri" w:cs="Calibri"/>
        </w:rPr>
        <w:t>groups are adequately addressed</w:t>
      </w:r>
      <w:r w:rsidR="00910E0B" w:rsidRPr="00DC55B0">
        <w:rPr>
          <w:rFonts w:ascii="Calibri" w:hAnsi="Calibri" w:cs="Calibri"/>
        </w:rPr>
        <w:t xml:space="preserve"> (</w:t>
      </w:r>
      <w:r w:rsidR="00910E0B" w:rsidRPr="00DC55B0">
        <w:rPr>
          <w:rFonts w:ascii="Calibri" w:hAnsi="Calibri" w:cs="Calibri"/>
          <w:b/>
          <w:bCs/>
        </w:rPr>
        <w:t xml:space="preserve">Box </w:t>
      </w:r>
      <w:r w:rsidR="00AA7325" w:rsidRPr="00DC55B0">
        <w:rPr>
          <w:rFonts w:ascii="Calibri" w:hAnsi="Calibri" w:cs="Calibri"/>
          <w:b/>
          <w:bCs/>
        </w:rPr>
        <w:t>2</w:t>
      </w:r>
      <w:r w:rsidR="00910E0B" w:rsidRPr="00DC55B0">
        <w:rPr>
          <w:rFonts w:ascii="Calibri" w:hAnsi="Calibri" w:cs="Calibri"/>
        </w:rPr>
        <w:t>).</w:t>
      </w:r>
      <w:r w:rsidR="0091463F" w:rsidRPr="00DC55B0">
        <w:rPr>
          <w:rFonts w:ascii="Calibri" w:hAnsi="Calibri" w:cs="Calibri"/>
        </w:rPr>
        <w:t xml:space="preserve"> </w:t>
      </w:r>
      <w:r w:rsidR="00866A81" w:rsidRPr="00DC55B0">
        <w:rPr>
          <w:rFonts w:ascii="Calibri" w:hAnsi="Calibri" w:cs="Calibri"/>
        </w:rPr>
        <w:t>Delivering this is</w:t>
      </w:r>
      <w:r w:rsidR="00056DE4" w:rsidRPr="00DC55B0">
        <w:rPr>
          <w:rFonts w:ascii="Calibri" w:hAnsi="Calibri" w:cs="Calibri"/>
        </w:rPr>
        <w:t xml:space="preserve"> demanding but is essential</w:t>
      </w:r>
      <w:r w:rsidR="00D22A64" w:rsidRPr="00DC55B0">
        <w:rPr>
          <w:rFonts w:ascii="Calibri" w:hAnsi="Calibri" w:cs="Calibri"/>
        </w:rPr>
        <w:t xml:space="preserve"> to ensure that</w:t>
      </w:r>
      <w:r w:rsidR="00032CA0" w:rsidRPr="00DC55B0">
        <w:rPr>
          <w:rFonts w:ascii="Calibri" w:hAnsi="Calibri" w:cs="Calibri"/>
        </w:rPr>
        <w:t xml:space="preserve"> we realise the maximum benefit from</w:t>
      </w:r>
      <w:r w:rsidR="00D22A64" w:rsidRPr="00DC55B0">
        <w:rPr>
          <w:rFonts w:ascii="Calibri" w:hAnsi="Calibri" w:cs="Calibri"/>
        </w:rPr>
        <w:t xml:space="preserve"> the </w:t>
      </w:r>
      <w:r w:rsidR="00032CA0" w:rsidRPr="00DC55B0">
        <w:rPr>
          <w:rFonts w:ascii="Calibri" w:hAnsi="Calibri" w:cs="Calibri"/>
        </w:rPr>
        <w:t xml:space="preserve">much greater </w:t>
      </w:r>
      <w:r w:rsidR="00D22A64" w:rsidRPr="00DC55B0">
        <w:rPr>
          <w:rFonts w:ascii="Calibri" w:hAnsi="Calibri" w:cs="Calibri"/>
        </w:rPr>
        <w:t>resources we have already committed to developing new strategies to protect newborns from infectious disease</w:t>
      </w:r>
      <w:r w:rsidR="00032CA0" w:rsidRPr="00DC55B0">
        <w:rPr>
          <w:rFonts w:ascii="Calibri" w:hAnsi="Calibri" w:cs="Calibri"/>
        </w:rPr>
        <w:t>.</w:t>
      </w:r>
      <w:r w:rsidR="002D1F94" w:rsidRPr="00DC55B0">
        <w:rPr>
          <w:rFonts w:ascii="Calibri" w:hAnsi="Calibri" w:cs="Calibri"/>
        </w:rPr>
        <w:br w:type="page"/>
      </w:r>
      <w:r w:rsidR="00E90AFF" w:rsidRPr="00DC55B0">
        <w:rPr>
          <w:rFonts w:ascii="Calibri" w:hAnsi="Calibri" w:cs="Calibri"/>
          <w:b/>
          <w:bCs/>
        </w:rPr>
        <w:lastRenderedPageBreak/>
        <w:t>Boxes</w:t>
      </w:r>
    </w:p>
    <w:p w14:paraId="0B850E76" w14:textId="77777777" w:rsidR="00AC2FBB" w:rsidRPr="00DC55B0" w:rsidRDefault="00AC2FBB" w:rsidP="001F3ACA">
      <w:pPr>
        <w:rPr>
          <w:rFonts w:ascii="Calibri" w:hAnsi="Calibri" w:cs="Calibri"/>
          <w:i/>
          <w:iCs/>
          <w:color w:val="222222"/>
          <w:shd w:val="clear" w:color="auto" w:fill="FFFFFF"/>
        </w:rPr>
      </w:pPr>
    </w:p>
    <w:p w14:paraId="1D2D4252" w14:textId="58E5AC38" w:rsidR="00AC2FBB" w:rsidRPr="00DC55B0" w:rsidRDefault="00E90AFF" w:rsidP="001F3ACA">
      <w:pPr>
        <w:rPr>
          <w:rFonts w:ascii="Calibri" w:hAnsi="Calibri" w:cs="Calibri"/>
          <w:i/>
          <w:iCs/>
          <w:color w:val="222222"/>
          <w:shd w:val="clear" w:color="auto" w:fill="FFFFFF"/>
        </w:rPr>
      </w:pPr>
      <w:r w:rsidRPr="00DC55B0">
        <w:rPr>
          <w:rFonts w:ascii="Calibri" w:hAnsi="Calibri" w:cs="Calibri"/>
          <w:i/>
          <w:iCs/>
          <w:color w:val="222222"/>
          <w:shd w:val="clear" w:color="auto" w:fill="FFFFFF"/>
        </w:rPr>
        <w:t xml:space="preserve">Box 1 – </w:t>
      </w:r>
      <w:r w:rsidR="002B486F" w:rsidRPr="00DC55B0">
        <w:rPr>
          <w:rFonts w:ascii="Calibri" w:hAnsi="Calibri" w:cs="Calibri"/>
          <w:i/>
          <w:iCs/>
          <w:color w:val="222222"/>
          <w:shd w:val="clear" w:color="auto" w:fill="FFFFFF"/>
        </w:rPr>
        <w:t>F</w:t>
      </w:r>
      <w:r w:rsidRPr="00DC55B0">
        <w:rPr>
          <w:rFonts w:ascii="Calibri" w:hAnsi="Calibri" w:cs="Calibri"/>
          <w:i/>
          <w:iCs/>
          <w:color w:val="222222"/>
          <w:shd w:val="clear" w:color="auto" w:fill="FFFFFF"/>
        </w:rPr>
        <w:t>actors affecting the timing of vaccination in pregnancy</w:t>
      </w:r>
    </w:p>
    <w:p w14:paraId="531234F4" w14:textId="0F9A439F" w:rsidR="00E413C9" w:rsidRPr="00DC55B0" w:rsidRDefault="004A6557" w:rsidP="001F3ACA">
      <w:pPr>
        <w:rPr>
          <w:rFonts w:ascii="Calibri" w:hAnsi="Calibri" w:cs="Calibri"/>
        </w:rPr>
      </w:pPr>
      <w:r w:rsidRPr="00DC55B0">
        <w:rPr>
          <w:rFonts w:ascii="Calibri" w:hAnsi="Calibri" w:cs="Calibri"/>
        </w:rPr>
        <w:t>Whe</w:t>
      </w:r>
      <w:r w:rsidR="008140B2" w:rsidRPr="00DC55B0">
        <w:rPr>
          <w:rFonts w:ascii="Calibri" w:hAnsi="Calibri" w:cs="Calibri"/>
        </w:rPr>
        <w:t>re</w:t>
      </w:r>
      <w:r w:rsidRPr="00DC55B0">
        <w:rPr>
          <w:rFonts w:ascii="Calibri" w:hAnsi="Calibri" w:cs="Calibri"/>
        </w:rPr>
        <w:t xml:space="preserve"> the primary goal is to protect the </w:t>
      </w:r>
      <w:r w:rsidR="00E413C9" w:rsidRPr="00DC55B0">
        <w:rPr>
          <w:rFonts w:ascii="Calibri" w:hAnsi="Calibri" w:cs="Calibri"/>
        </w:rPr>
        <w:t>baby after birth:</w:t>
      </w:r>
    </w:p>
    <w:p w14:paraId="7CC754BF" w14:textId="67588E44" w:rsidR="00C50CB1" w:rsidRPr="00DC55B0" w:rsidRDefault="00896923" w:rsidP="001F3ACA">
      <w:pPr>
        <w:pStyle w:val="ListParagraph"/>
        <w:numPr>
          <w:ilvl w:val="0"/>
          <w:numId w:val="19"/>
        </w:numPr>
        <w:rPr>
          <w:rFonts w:ascii="Calibri" w:hAnsi="Calibri" w:cs="Calibri"/>
        </w:rPr>
      </w:pPr>
      <w:r w:rsidRPr="00DC55B0">
        <w:rPr>
          <w:rFonts w:ascii="Calibri" w:hAnsi="Calibri" w:cs="Calibri"/>
          <w:color w:val="222222"/>
          <w:shd w:val="clear" w:color="auto" w:fill="FFFFFF"/>
        </w:rPr>
        <w:t>Vaccines</w:t>
      </w:r>
      <w:r w:rsidR="00074741" w:rsidRPr="00DC55B0">
        <w:rPr>
          <w:rFonts w:ascii="Calibri" w:hAnsi="Calibri" w:cs="Calibri"/>
          <w:color w:val="222222"/>
          <w:shd w:val="clear" w:color="auto" w:fill="FFFFFF"/>
        </w:rPr>
        <w:t xml:space="preserve"> are most effective when they are given </w:t>
      </w:r>
      <w:r w:rsidR="00F23C36" w:rsidRPr="00DC55B0">
        <w:rPr>
          <w:rFonts w:ascii="Calibri" w:hAnsi="Calibri" w:cs="Calibri"/>
          <w:color w:val="222222"/>
          <w:shd w:val="clear" w:color="auto" w:fill="FFFFFF"/>
        </w:rPr>
        <w:t xml:space="preserve">between </w:t>
      </w:r>
      <w:r w:rsidR="00110C24" w:rsidRPr="00DC55B0">
        <w:rPr>
          <w:rFonts w:ascii="Calibri" w:hAnsi="Calibri" w:cs="Calibri"/>
          <w:color w:val="222222"/>
          <w:shd w:val="clear" w:color="auto" w:fill="FFFFFF"/>
        </w:rPr>
        <w:t>2</w:t>
      </w:r>
      <w:r w:rsidR="00DD65CE" w:rsidRPr="00DC55B0">
        <w:rPr>
          <w:rFonts w:ascii="Calibri" w:hAnsi="Calibri" w:cs="Calibri"/>
          <w:color w:val="222222"/>
          <w:shd w:val="clear" w:color="auto" w:fill="FFFFFF"/>
        </w:rPr>
        <w:t>3</w:t>
      </w:r>
      <w:r w:rsidR="00110C24" w:rsidRPr="00DC55B0">
        <w:rPr>
          <w:rFonts w:ascii="Calibri" w:hAnsi="Calibri" w:cs="Calibri"/>
          <w:color w:val="222222"/>
          <w:shd w:val="clear" w:color="auto" w:fill="FFFFFF"/>
        </w:rPr>
        <w:t xml:space="preserve"> and 34 weeks</w:t>
      </w:r>
      <w:r w:rsidR="00FB7D9E" w:rsidRPr="00DC55B0">
        <w:rPr>
          <w:rFonts w:ascii="Calibri" w:hAnsi="Calibri" w:cs="Calibri"/>
          <w:color w:val="222222"/>
          <w:shd w:val="clear" w:color="auto" w:fill="FFFFFF"/>
        </w:rPr>
        <w:t>.</w:t>
      </w:r>
      <w:r w:rsidR="000D0294" w:rsidRPr="00DC55B0">
        <w:rPr>
          <w:rFonts w:ascii="Calibri" w:hAnsi="Calibri" w:cs="Calibri"/>
          <w:color w:val="222222"/>
          <w:shd w:val="clear" w:color="auto" w:fill="FFFFFF"/>
        </w:rPr>
        <w:fldChar w:fldCharType="begin"/>
      </w:r>
      <w:r w:rsidR="003F3CD5" w:rsidRPr="00DC55B0">
        <w:rPr>
          <w:rFonts w:ascii="Calibri" w:hAnsi="Calibri" w:cs="Calibri"/>
          <w:color w:val="222222"/>
          <w:shd w:val="clear" w:color="auto" w:fill="FFFFFF"/>
        </w:rPr>
        <w:instrText xml:space="preserve"> ADDIN ZOTERO_ITEM CSL_CITATION {"citationID":"Kd0XV0U0","properties":{"formattedCitation":"\\super 38\\uc0\\u8211{}40\\nosupersub{}","plainCitation":"38–40","noteIndex":0},"citationItems":[{"id":107,"uris":["http://zotero.org/users/14445769/items/GAWAUDFM"],"itemData":{"id":107,"type":"article-journal","container-title":"Clinical Infectious Diseases","DOI":"10.1093/cid/ciw027","ISSN":"1058-4838, 1537-6591","issue":"7","journalAbbreviation":"Clin Infect Dis.","language":"en","page":"829-836","source":"DOI.org (Crossref)","title":"Maternal Immunization Earlier in Pregnancy Maximizes Antibody Transfer and Expected Infant Seropositivity Against Pertussis","volume":"62","author":[{"family":"Eberhardt","given":"Christiane S."},{"family":"Blanchard-Rohner","given":"Geraldine"},{"family":"Lemaître","given":"Barbara"},{"family":"Boukrid","given":"Meriem"},{"family":"Combescure","given":"Christophe"},{"family":"Othenin-Girard","given":"Véronique"},{"family":"Chilin","given":"Antonina"},{"family":"Petre","given":"Jean"},{"family":"De Tejada","given":"Begoña Martinez"},{"family":"Siegrist","given":"Claire-Anne"}],"issued":{"date-parts":[["2016",4,1]]}}},{"id":108,"uris":["http://zotero.org/users/14445769/items/DDAX9ZKW"],"itemData":{"id":108,"type":"article-journal","abstract":"OBJECTIVE: \n              To describe maternal and umbilical cord blood anti-spike immunoglobulin (Ig)G levels at delivery with coronavirus disease 2019 (COVID-19) vaccination before and during pregnancy and to assess the association of prior severe acute respiratory syndrome coronavirus 2 (SARS-CoV-2) infection and a vaccine booster dose with anti-spike maternal and umbilical cord IgG levels. \n             \n             \n              METHODS: \n              We conducted a retrospective cohort study of women with self-reported COVID-19 vaccination (Pfizer-BioNTech, Moderna, or Johnson &amp; Johnson/Janssen), including a booster dose, during or before pregnancy, who delivered at 34 weeks of gestation or more. Maternal and umbilical cord blood samples at delivery were analyzed for semi-quantitative anti-spike IgG. We examined the association between timing of maternal vaccination and maternal and umbilical cord anti-spike levels using a rank sum test. The relationships between a prior history of SARS-CoV-2 infection and maternal and umbilical cord anti-spike IgG levels, and between a booster dose and maternal and umbilical cord anti-spike levels, were also evaluated using a rank sum test. \n             \n             \n              RESULTS: \n              We included data from 1,359 vaccinated pregnant women, including 20 women who received a booster dose, and 1,362 umbilical cord samples. Maternal anti-spike IgG levels were detectable at delivery regardless of timing of vaccination throughout pregnancy among fully vaccinated women; however, early third-trimester vaccination was associated with the highest anti-spike IgG levels in maternal and umbilical cord blood. Among women with a history of SARS-CoV-2 infection, maternal and cord blood antibody response achieved with vaccination in early pregnancy was comparable with third-trimester vaccination in pregnant women without a history of SARS-CoV-2 infection. A booster dose in the third trimester was associated with maternal anti-spike IgG levels greater than third-trimester vaccination in women with or without a history of SARS-CoV-2 infection. \n             \n             \n              DISCUSSION: \n              Vaccination against COVID-19 before and throughout pregnancy was associated with detectable maternal anti-spike IgG levels at delivery. A complete vaccination course, prior history of SARS-CoV-2 infection, and a third-trimester booster dose were associated with the highest maternal and umbilical cord antibody levels.","container-title":"Obstetrics &amp; Gynecology","DOI":"10.1097/AOG.0000000000004693","ISSN":"0029-7844","issue":"3","language":"en","page":"373-380","source":"DOI.org (Crossref)","title":"Association of Gestational Age at Coronavirus Disease 2019 (COVID-19) Vaccination, History of Severe Acute Respiratory Syndrome Coronavirus 2 (SARS-CoV-2) Infection, and a Vaccine Booster Dose With Maternal and Umbilical Cord Antibody Levels at Delivery","volume":"139","author":[{"family":"Yang","given":"Yawei J."},{"family":"Murphy","given":"Elisabeth A."},{"family":"Singh","given":"Sunidhi"},{"family":"Sukhu","given":"Ashley C."},{"family":"Wolfe","given":"Isabel"},{"family":"Adurty","given":"Sanjana"},{"family":"Eng","given":"Dorothy"},{"family":"Yee","given":"Jim"},{"family":"Mohammed","given":"Iman"},{"family":"Zhao","given":"Zhen"},{"family":"Riley","given":"Laura E."},{"family":"Prabhu","given":"Malavika"}],"issued":{"date-parts":[["2022",3]]}}},{"id":259,"uris":["http://zotero.org/users/14445769/items/Z9WDSI99"],"itemData":{"id":259,"type":"article-journal","abstract":"BACKGROUND: Pertussis vaccination in pregnancy is recommended in many countries to provide protection to young infants. The best timing for this vaccination is uncertain. In the UK, vaccination is recommended between 16 weeks and 32 weeks of gestation. In this trial we aimed to investigate the equivalence of three time periods for pertussis vaccination in pregnancy.\nMETHODS: In this open-label, equivalence, randomised controlled trial to investigate equivalence of different time windows for pertussis vaccination in pregnancy, participants were randomly assigned (1:1:1 ratio) to receive a pertussis-containing vaccine (Boostrix-inactivated poliovirus vaccine) in one of three gestational age groups, comprising group 1 (≤23 weeks + 6 days), group 2 (24-27 weeks + 6 days), and group 3 (28-31 weeks + 6 days) using a computer-generated randomisation list. The primary outcome was concentration of pertussis-specific antibodies in the infant born at term at birth. Maternal blood sampling was done before and 2 weeks after vaccination and at delivery, together with a cord sample, and an infant sample was collected at least 4 weeks after primary vaccination. Reactogenicity was assessed for 7 days after vaccination. This trial was registered with ClinicalTrials.gov (NCT03908164).\nFINDINGS: Between May 7, 2019, and Feb 13, 2020, of 1010 women assessed for eligibility, 364 women were recruited and 351 received the intervention (120 in group 1, 119 in group 2, and 112 in group 3). Equivalence of time periods was demonstrated for anti-pertussis toxin and anti-pertactin IgG concentrations. The cord blood geometric mean concentrations of anti-filamentous haemagglutinin IgG were higher with increasing gestational age at vaccination, such that for infants in group 1 (≤23 weeks + 6 days), equivalence to group 3 (28-31 weeks + 6 days) was not shown. Reported rates of fever were similar between study groups.\nINTERPRETATION: Pertussis vaccination at three different time intervals in pregnancy resulted in equivalent concentrations of IgG antibodies in infants against two of the three pertussis antigens assessed. Overall, these findings support recommendations to vaccinate any time between 16 weeks and 32 weeks of gestation.\nFUNDING: The Thrasher Research Fund and the National Immunisation Schedule Evaluation Consortium through the National Institute for Health and Care Research policy research programme.","container-title":"The Lancet. Microbe","DOI":"10.1016/S2666-5247(22)00332-9","ISSN":"2666-5247","issue":"5","journalAbbreviation":"Lancet Microbe","language":"eng","note":"PMID: 37080224","page":"e300-e308","source":"PubMed","title":"Optimising the timing of whooping cough immunisation in mums (OpTIMUM) through investigating pertussis vaccination in pregnancy: an open-label, equivalence, randomised controlled trial","title-short":"Optimising the timing of whooping cough immunisation in mums (OpTIMUM) through investigating pertussis vaccination in pregnancy","volume":"4","author":[{"family":"Calvert","given":"Anna"},{"family":"Amirthalingam","given":"Gayatri"},{"family":"Andrews","given":"Nick"},{"family":"Basude","given":"Sneha"},{"family":"Coleman","given":"Matthew"},{"family":"Cuthbertson","given":"Hannah"},{"family":"England","given":"Anna"},{"family":"Greening","given":"Vanessa"},{"family":"Hallis","given":"Bassam"},{"family":"Johnstone","given":"Edward"},{"family":"Jones","given":"Christine E."},{"family":"Karampatsas","given":"Konstantinos"},{"family":"Khalil","given":"Asma"},{"family":"Le Doare","given":"Kirsty"},{"family":"Matheson","given":"Mary"},{"family":"Peregrine","given":"Elisabeth"},{"family":"Snape","given":"Matthew D."},{"family":"Vatish","given":"Manu"},{"family":"Heath","given":"Paul T."},{"literal":"OpTIMUM Study Group"}],"issued":{"date-parts":[["2023",5]]}}}],"schema":"https://github.com/citation-style-language/schema/raw/master/csl-citation.json"} </w:instrText>
      </w:r>
      <w:r w:rsidR="000D0294" w:rsidRPr="00DC55B0">
        <w:rPr>
          <w:rFonts w:ascii="Calibri" w:hAnsi="Calibri" w:cs="Calibri"/>
          <w:color w:val="222222"/>
          <w:shd w:val="clear" w:color="auto" w:fill="FFFFFF"/>
        </w:rPr>
        <w:fldChar w:fldCharType="separate"/>
      </w:r>
      <w:r w:rsidR="003F3CD5" w:rsidRPr="00DC55B0">
        <w:rPr>
          <w:rFonts w:ascii="Calibri" w:hAnsi="Calibri" w:cs="Calibri"/>
          <w:kern w:val="0"/>
          <w:vertAlign w:val="superscript"/>
        </w:rPr>
        <w:t>38–40</w:t>
      </w:r>
      <w:r w:rsidR="000D0294" w:rsidRPr="00DC55B0">
        <w:rPr>
          <w:rFonts w:ascii="Calibri" w:hAnsi="Calibri" w:cs="Calibri"/>
          <w:color w:val="222222"/>
          <w:shd w:val="clear" w:color="auto" w:fill="FFFFFF"/>
        </w:rPr>
        <w:fldChar w:fldCharType="end"/>
      </w:r>
      <w:r w:rsidR="00FB7D9E" w:rsidRPr="00DC55B0">
        <w:rPr>
          <w:rFonts w:ascii="Calibri" w:hAnsi="Calibri" w:cs="Calibri"/>
          <w:color w:val="222222"/>
          <w:shd w:val="clear" w:color="auto" w:fill="FFFFFF"/>
        </w:rPr>
        <w:t xml:space="preserve"> Before 2016,</w:t>
      </w:r>
      <w:r w:rsidR="00434FFC" w:rsidRPr="00DC55B0">
        <w:rPr>
          <w:rFonts w:ascii="Calibri" w:hAnsi="Calibri" w:cs="Calibri"/>
          <w:color w:val="222222"/>
          <w:shd w:val="clear" w:color="auto" w:fill="FFFFFF"/>
        </w:rPr>
        <w:t xml:space="preserve"> the UK pertussis vaccine offer larg</w:t>
      </w:r>
      <w:r w:rsidR="004E301E" w:rsidRPr="00DC55B0">
        <w:rPr>
          <w:rFonts w:ascii="Calibri" w:hAnsi="Calibri" w:cs="Calibri"/>
          <w:color w:val="222222"/>
          <w:shd w:val="clear" w:color="auto" w:fill="FFFFFF"/>
        </w:rPr>
        <w:t>ely covered this time window</w:t>
      </w:r>
      <w:r w:rsidR="00B20860" w:rsidRPr="00DC55B0">
        <w:rPr>
          <w:rFonts w:ascii="Calibri" w:hAnsi="Calibri" w:cs="Calibri"/>
          <w:color w:val="222222"/>
          <w:shd w:val="clear" w:color="auto" w:fill="FFFFFF"/>
        </w:rPr>
        <w:t xml:space="preserve"> (28</w:t>
      </w:r>
      <w:r w:rsidR="000F76BA" w:rsidRPr="00DC55B0">
        <w:rPr>
          <w:rFonts w:ascii="Calibri" w:hAnsi="Calibri" w:cs="Calibri"/>
          <w:color w:val="222222"/>
          <w:shd w:val="clear" w:color="auto" w:fill="FFFFFF"/>
        </w:rPr>
        <w:t xml:space="preserve"> – 38 weeks)</w:t>
      </w:r>
      <w:r w:rsidR="004E301E" w:rsidRPr="00DC55B0">
        <w:rPr>
          <w:rFonts w:ascii="Calibri" w:hAnsi="Calibri" w:cs="Calibri"/>
          <w:color w:val="222222"/>
          <w:shd w:val="clear" w:color="auto" w:fill="FFFFFF"/>
        </w:rPr>
        <w:t>.</w:t>
      </w:r>
      <w:r w:rsidR="00C2439B" w:rsidRPr="00DC55B0">
        <w:rPr>
          <w:rFonts w:ascii="Calibri" w:hAnsi="Calibri" w:cs="Calibri"/>
          <w:color w:val="222222"/>
          <w:shd w:val="clear" w:color="auto" w:fill="FFFFFF"/>
        </w:rPr>
        <w:t xml:space="preserve"> </w:t>
      </w:r>
    </w:p>
    <w:p w14:paraId="51A068EF" w14:textId="422320B1" w:rsidR="00EF564C" w:rsidRPr="00DC55B0" w:rsidRDefault="00EF564C" w:rsidP="001F3ACA">
      <w:pPr>
        <w:pStyle w:val="ListParagraph"/>
        <w:numPr>
          <w:ilvl w:val="0"/>
          <w:numId w:val="19"/>
        </w:numPr>
        <w:rPr>
          <w:rFonts w:ascii="Calibri" w:hAnsi="Calibri" w:cs="Calibri"/>
        </w:rPr>
      </w:pPr>
      <w:r w:rsidRPr="00DC55B0">
        <w:rPr>
          <w:rFonts w:ascii="Calibri" w:hAnsi="Calibri" w:cs="Calibri"/>
          <w:color w:val="222222"/>
          <w:shd w:val="clear" w:color="auto" w:fill="FFFFFF"/>
        </w:rPr>
        <w:t xml:space="preserve">However, restricting the offer of vaccination to later in pregnancy may prevent babies born preterm from benefiting. </w:t>
      </w:r>
      <w:r w:rsidR="00C524E4" w:rsidRPr="00DC55B0">
        <w:rPr>
          <w:rFonts w:ascii="Calibri" w:hAnsi="Calibri" w:cs="Calibri"/>
          <w:color w:val="222222"/>
          <w:shd w:val="clear" w:color="auto" w:fill="FFFFFF"/>
        </w:rPr>
        <w:t>This was one reason that</w:t>
      </w:r>
      <w:r w:rsidR="00B628F2" w:rsidRPr="00DC55B0">
        <w:rPr>
          <w:rFonts w:ascii="Calibri" w:hAnsi="Calibri" w:cs="Calibri"/>
          <w:color w:val="222222"/>
          <w:shd w:val="clear" w:color="auto" w:fill="FFFFFF"/>
        </w:rPr>
        <w:t>, in 2016,</w:t>
      </w:r>
      <w:r w:rsidR="00C524E4" w:rsidRPr="00DC55B0">
        <w:rPr>
          <w:rFonts w:ascii="Calibri" w:hAnsi="Calibri" w:cs="Calibri"/>
          <w:color w:val="222222"/>
          <w:shd w:val="clear" w:color="auto" w:fill="FFFFFF"/>
        </w:rPr>
        <w:t xml:space="preserve"> the UK moved to offering pertussis vaccin</w:t>
      </w:r>
      <w:r w:rsidR="00B628F2" w:rsidRPr="00DC55B0">
        <w:rPr>
          <w:rFonts w:ascii="Calibri" w:hAnsi="Calibri" w:cs="Calibri"/>
          <w:color w:val="222222"/>
          <w:shd w:val="clear" w:color="auto" w:fill="FFFFFF"/>
        </w:rPr>
        <w:t xml:space="preserve">ation between </w:t>
      </w:r>
      <w:r w:rsidR="00093394" w:rsidRPr="00DC55B0">
        <w:rPr>
          <w:rFonts w:ascii="Calibri" w:hAnsi="Calibri" w:cs="Calibri"/>
        </w:rPr>
        <w:t>16 and 32 weeks.</w:t>
      </w:r>
      <w:r w:rsidR="000F76BA" w:rsidRPr="00DC55B0">
        <w:rPr>
          <w:rFonts w:ascii="Calibri" w:hAnsi="Calibri" w:cs="Calibri"/>
        </w:rPr>
        <w:t xml:space="preserve"> Countries that </w:t>
      </w:r>
      <w:r w:rsidR="009F1060" w:rsidRPr="00DC55B0">
        <w:rPr>
          <w:rFonts w:ascii="Calibri" w:hAnsi="Calibri" w:cs="Calibri"/>
        </w:rPr>
        <w:t>restrict</w:t>
      </w:r>
      <w:r w:rsidR="000F76BA" w:rsidRPr="00DC55B0">
        <w:rPr>
          <w:rFonts w:ascii="Calibri" w:hAnsi="Calibri" w:cs="Calibri"/>
        </w:rPr>
        <w:t xml:space="preserve"> the offer of RSV vaccine</w:t>
      </w:r>
      <w:r w:rsidR="00B51DA7" w:rsidRPr="00DC55B0">
        <w:rPr>
          <w:rFonts w:ascii="Calibri" w:hAnsi="Calibri" w:cs="Calibri"/>
        </w:rPr>
        <w:t>s</w:t>
      </w:r>
      <w:r w:rsidR="000F76BA" w:rsidRPr="00DC55B0">
        <w:rPr>
          <w:rFonts w:ascii="Calibri" w:hAnsi="Calibri" w:cs="Calibri"/>
        </w:rPr>
        <w:t xml:space="preserve"> to after </w:t>
      </w:r>
      <w:r w:rsidR="00B51DA7" w:rsidRPr="00DC55B0">
        <w:rPr>
          <w:rFonts w:ascii="Calibri" w:hAnsi="Calibri" w:cs="Calibri"/>
        </w:rPr>
        <w:t>32 weeks</w:t>
      </w:r>
      <w:r w:rsidR="005F0AF8" w:rsidRPr="00DC55B0">
        <w:rPr>
          <w:rFonts w:ascii="Calibri" w:hAnsi="Calibri" w:cs="Calibri"/>
        </w:rPr>
        <w:t xml:space="preserve"> or pregnancy may</w:t>
      </w:r>
      <w:r w:rsidR="00D73EB0" w:rsidRPr="00DC55B0">
        <w:rPr>
          <w:rFonts w:ascii="Calibri" w:hAnsi="Calibri" w:cs="Calibri"/>
        </w:rPr>
        <w:t xml:space="preserve"> limit </w:t>
      </w:r>
      <w:r w:rsidR="00BE6064" w:rsidRPr="00DC55B0">
        <w:rPr>
          <w:rFonts w:ascii="Calibri" w:hAnsi="Calibri" w:cs="Calibri"/>
        </w:rPr>
        <w:t xml:space="preserve">protection </w:t>
      </w:r>
      <w:r w:rsidR="00951805" w:rsidRPr="00DC55B0">
        <w:rPr>
          <w:rFonts w:ascii="Calibri" w:hAnsi="Calibri" w:cs="Calibri"/>
        </w:rPr>
        <w:t>afforded to</w:t>
      </w:r>
      <w:r w:rsidR="00BE6064" w:rsidRPr="00DC55B0">
        <w:rPr>
          <w:rFonts w:ascii="Calibri" w:hAnsi="Calibri" w:cs="Calibri"/>
        </w:rPr>
        <w:t xml:space="preserve"> infants born preterm.</w:t>
      </w:r>
    </w:p>
    <w:p w14:paraId="5B21B198" w14:textId="22BF4294" w:rsidR="00695689" w:rsidRPr="00DC55B0" w:rsidRDefault="00695689" w:rsidP="001F3ACA">
      <w:pPr>
        <w:pStyle w:val="ListParagraph"/>
        <w:numPr>
          <w:ilvl w:val="0"/>
          <w:numId w:val="19"/>
        </w:numPr>
        <w:rPr>
          <w:rFonts w:ascii="Calibri" w:hAnsi="Calibri" w:cs="Calibri"/>
        </w:rPr>
      </w:pPr>
      <w:r w:rsidRPr="00DC55B0">
        <w:rPr>
          <w:rFonts w:ascii="Calibri" w:hAnsi="Calibri" w:cs="Calibri"/>
        </w:rPr>
        <w:t>Restricting the offer of vaccination to earlier in pregnancy may mean that some pregnant individuals miss the opportunity to be vaccinated</w:t>
      </w:r>
      <w:r w:rsidR="008140B2" w:rsidRPr="00DC55B0">
        <w:rPr>
          <w:rFonts w:ascii="Calibri" w:hAnsi="Calibri" w:cs="Calibri"/>
        </w:rPr>
        <w:t>.</w:t>
      </w:r>
      <w:r w:rsidR="0063506D" w:rsidRPr="00DC55B0">
        <w:rPr>
          <w:rFonts w:ascii="Calibri" w:hAnsi="Calibri" w:cs="Calibri"/>
        </w:rPr>
        <w:t xml:space="preserve"> For this reason,</w:t>
      </w:r>
      <w:r w:rsidR="000A4A5D" w:rsidRPr="00DC55B0">
        <w:rPr>
          <w:rFonts w:ascii="Calibri" w:hAnsi="Calibri" w:cs="Calibri"/>
        </w:rPr>
        <w:t xml:space="preserve"> in the UK, individuals who do not receive the pertussis vaccination during the </w:t>
      </w:r>
      <w:r w:rsidR="00C40F74" w:rsidRPr="00DC55B0">
        <w:rPr>
          <w:rFonts w:ascii="Calibri" w:hAnsi="Calibri" w:cs="Calibri"/>
        </w:rPr>
        <w:t>recommended offer window can still receive it later.</w:t>
      </w:r>
    </w:p>
    <w:p w14:paraId="7302F3FB" w14:textId="77777777" w:rsidR="00B1438C" w:rsidRPr="00DC55B0" w:rsidRDefault="00B1438C" w:rsidP="001F3ACA">
      <w:pPr>
        <w:pStyle w:val="ListParagraph"/>
        <w:rPr>
          <w:rFonts w:ascii="Calibri" w:hAnsi="Calibri" w:cs="Calibri"/>
        </w:rPr>
      </w:pPr>
    </w:p>
    <w:p w14:paraId="4F5DFAD9" w14:textId="44C951B4" w:rsidR="008140B2" w:rsidRPr="00DC55B0" w:rsidRDefault="008140B2" w:rsidP="001F3ACA">
      <w:pPr>
        <w:rPr>
          <w:rFonts w:ascii="Calibri" w:hAnsi="Calibri" w:cs="Calibri"/>
        </w:rPr>
      </w:pPr>
      <w:r w:rsidRPr="00DC55B0">
        <w:rPr>
          <w:rFonts w:ascii="Calibri" w:hAnsi="Calibri" w:cs="Calibri"/>
        </w:rPr>
        <w:t>Where the primary goal is to protect</w:t>
      </w:r>
      <w:r w:rsidR="003D5920" w:rsidRPr="00DC55B0">
        <w:rPr>
          <w:rFonts w:ascii="Calibri" w:hAnsi="Calibri" w:cs="Calibri"/>
        </w:rPr>
        <w:t xml:space="preserve"> </w:t>
      </w:r>
      <w:r w:rsidR="00C305E2" w:rsidRPr="00DC55B0">
        <w:rPr>
          <w:rFonts w:ascii="Calibri" w:hAnsi="Calibri" w:cs="Calibri"/>
        </w:rPr>
        <w:t>mother and fetus during pregnancy:</w:t>
      </w:r>
    </w:p>
    <w:p w14:paraId="2169B619" w14:textId="53868E19" w:rsidR="00BE6064" w:rsidRPr="00DC55B0" w:rsidRDefault="00907D4E" w:rsidP="001F3ACA">
      <w:pPr>
        <w:pStyle w:val="ListParagraph"/>
        <w:numPr>
          <w:ilvl w:val="0"/>
          <w:numId w:val="19"/>
        </w:numPr>
        <w:rPr>
          <w:rFonts w:ascii="Calibri" w:hAnsi="Calibri" w:cs="Calibri"/>
        </w:rPr>
      </w:pPr>
      <w:r w:rsidRPr="00DC55B0">
        <w:rPr>
          <w:rFonts w:ascii="Calibri" w:hAnsi="Calibri" w:cs="Calibri"/>
        </w:rPr>
        <w:t xml:space="preserve">Vaccinations targeting seasonal viruses may be offered as seasonal programmes. In the UK, </w:t>
      </w:r>
      <w:r w:rsidR="00E95707" w:rsidRPr="00DC55B0">
        <w:rPr>
          <w:rFonts w:ascii="Calibri" w:hAnsi="Calibri" w:cs="Calibri"/>
        </w:rPr>
        <w:t xml:space="preserve">an </w:t>
      </w:r>
      <w:r w:rsidR="00DA2E4D" w:rsidRPr="00DC55B0">
        <w:rPr>
          <w:rFonts w:ascii="Calibri" w:hAnsi="Calibri" w:cs="Calibri"/>
        </w:rPr>
        <w:t xml:space="preserve">“autumn booster” </w:t>
      </w:r>
      <w:r w:rsidRPr="00DC55B0">
        <w:rPr>
          <w:rFonts w:ascii="Calibri" w:hAnsi="Calibri" w:cs="Calibri"/>
        </w:rPr>
        <w:t>influenza vaccination</w:t>
      </w:r>
      <w:r w:rsidR="00E95707" w:rsidRPr="00DC55B0">
        <w:rPr>
          <w:rFonts w:ascii="Calibri" w:hAnsi="Calibri" w:cs="Calibri"/>
        </w:rPr>
        <w:t xml:space="preserve"> is</w:t>
      </w:r>
      <w:r w:rsidRPr="00DC55B0">
        <w:rPr>
          <w:rFonts w:ascii="Calibri" w:hAnsi="Calibri" w:cs="Calibri"/>
        </w:rPr>
        <w:t xml:space="preserve"> offered</w:t>
      </w:r>
      <w:r w:rsidR="00EF777F" w:rsidRPr="00DC55B0">
        <w:rPr>
          <w:rFonts w:ascii="Calibri" w:hAnsi="Calibri" w:cs="Calibri"/>
        </w:rPr>
        <w:t xml:space="preserve">, before the time of </w:t>
      </w:r>
      <w:r w:rsidR="009F37B4" w:rsidRPr="00DC55B0">
        <w:rPr>
          <w:rFonts w:ascii="Calibri" w:hAnsi="Calibri" w:cs="Calibri"/>
        </w:rPr>
        <w:t>highest predicted viral circulation.</w:t>
      </w:r>
      <w:r w:rsidRPr="00DC55B0">
        <w:rPr>
          <w:rFonts w:ascii="Calibri" w:hAnsi="Calibri" w:cs="Calibri"/>
        </w:rPr>
        <w:t xml:space="preserve"> </w:t>
      </w:r>
    </w:p>
    <w:p w14:paraId="482184DF" w14:textId="5B861462" w:rsidR="00E90AFF" w:rsidRPr="00DC55B0" w:rsidRDefault="00B1438C" w:rsidP="001F3ACA">
      <w:pPr>
        <w:pStyle w:val="ListParagraph"/>
        <w:numPr>
          <w:ilvl w:val="0"/>
          <w:numId w:val="19"/>
        </w:numPr>
        <w:rPr>
          <w:rFonts w:ascii="Calibri" w:hAnsi="Calibri" w:cs="Calibri"/>
        </w:rPr>
      </w:pPr>
      <w:r w:rsidRPr="00DC55B0">
        <w:rPr>
          <w:rFonts w:ascii="Calibri" w:hAnsi="Calibri" w:cs="Calibri"/>
        </w:rPr>
        <w:t xml:space="preserve">For viruses that rapidly mutate, </w:t>
      </w:r>
      <w:r w:rsidR="00C04373" w:rsidRPr="00DC55B0">
        <w:rPr>
          <w:rFonts w:ascii="Calibri" w:hAnsi="Calibri" w:cs="Calibri"/>
        </w:rPr>
        <w:t xml:space="preserve">a booster may be offered as soon as a vaccine against a new variant is available. </w:t>
      </w:r>
      <w:r w:rsidR="00485A24" w:rsidRPr="00DC55B0">
        <w:rPr>
          <w:rFonts w:ascii="Calibri" w:hAnsi="Calibri" w:cs="Calibri"/>
        </w:rPr>
        <w:t>This approach is currently used in the USA for COVID-19 vaccination</w:t>
      </w:r>
      <w:r w:rsidR="00783ED1" w:rsidRPr="00DC55B0">
        <w:rPr>
          <w:rFonts w:ascii="Calibri" w:hAnsi="Calibri" w:cs="Calibri"/>
        </w:rPr>
        <w:t>.</w:t>
      </w:r>
    </w:p>
    <w:p w14:paraId="4E5C18A2" w14:textId="77777777" w:rsidR="00783ED1" w:rsidRPr="00DC55B0" w:rsidRDefault="00783ED1" w:rsidP="001F3ACA">
      <w:pPr>
        <w:pStyle w:val="ListParagraph"/>
        <w:rPr>
          <w:rFonts w:ascii="Calibri" w:hAnsi="Calibri" w:cs="Calibri"/>
        </w:rPr>
      </w:pPr>
    </w:p>
    <w:p w14:paraId="74DA6294" w14:textId="31A5A7A6" w:rsidR="001F5E2C" w:rsidRPr="00DC55B0" w:rsidRDefault="00783ED1" w:rsidP="001F3ACA">
      <w:pPr>
        <w:rPr>
          <w:rFonts w:ascii="Calibri" w:hAnsi="Calibri" w:cs="Calibri"/>
        </w:rPr>
      </w:pPr>
      <w:r w:rsidRPr="00DC55B0">
        <w:rPr>
          <w:rFonts w:ascii="Calibri" w:hAnsi="Calibri" w:cs="Calibri"/>
        </w:rPr>
        <w:t>General considerations:</w:t>
      </w:r>
    </w:p>
    <w:p w14:paraId="39C0DD8B" w14:textId="748030BB" w:rsidR="007E4253" w:rsidRPr="00DC55B0" w:rsidRDefault="007E4253" w:rsidP="001F3ACA">
      <w:pPr>
        <w:pStyle w:val="ListParagraph"/>
        <w:numPr>
          <w:ilvl w:val="0"/>
          <w:numId w:val="20"/>
        </w:numPr>
        <w:rPr>
          <w:rFonts w:ascii="Calibri" w:hAnsi="Calibri" w:cs="Calibri"/>
        </w:rPr>
      </w:pPr>
      <w:r w:rsidRPr="00DC55B0">
        <w:rPr>
          <w:rFonts w:ascii="Calibri" w:hAnsi="Calibri" w:cs="Calibri"/>
        </w:rPr>
        <w:t xml:space="preserve">When shortages occur, it may be necessary to </w:t>
      </w:r>
      <w:r w:rsidR="009956FA" w:rsidRPr="00DC55B0">
        <w:rPr>
          <w:rFonts w:ascii="Calibri" w:hAnsi="Calibri" w:cs="Calibri"/>
        </w:rPr>
        <w:t>offer vaccines when they become available</w:t>
      </w:r>
      <w:r w:rsidR="00E134E8" w:rsidRPr="00DC55B0">
        <w:rPr>
          <w:rFonts w:ascii="Calibri" w:hAnsi="Calibri" w:cs="Calibri"/>
        </w:rPr>
        <w:t>.</w:t>
      </w:r>
    </w:p>
    <w:p w14:paraId="7E1BE70B" w14:textId="656A4AB5" w:rsidR="007E4253" w:rsidRPr="00DC55B0" w:rsidRDefault="007E4253" w:rsidP="001F3ACA">
      <w:pPr>
        <w:pStyle w:val="ListParagraph"/>
        <w:numPr>
          <w:ilvl w:val="0"/>
          <w:numId w:val="20"/>
        </w:numPr>
        <w:rPr>
          <w:rFonts w:ascii="Calibri" w:hAnsi="Calibri" w:cs="Calibri"/>
        </w:rPr>
      </w:pPr>
      <w:r w:rsidRPr="00DC55B0">
        <w:rPr>
          <w:rFonts w:ascii="Calibri" w:hAnsi="Calibri" w:cs="Calibri"/>
        </w:rPr>
        <w:t>As more vaccines are developed for use in pregnancy, it will become increasingly necessary to consider their safety and effectiveness when co-administered.</w:t>
      </w:r>
    </w:p>
    <w:p w14:paraId="7452D914" w14:textId="77777777" w:rsidR="00FB6DFE" w:rsidRPr="00DC55B0" w:rsidRDefault="00FB6DFE" w:rsidP="001F3ACA">
      <w:pPr>
        <w:rPr>
          <w:rFonts w:ascii="Calibri" w:hAnsi="Calibri" w:cs="Calibri"/>
        </w:rPr>
      </w:pPr>
    </w:p>
    <w:p w14:paraId="0ED6A1B3" w14:textId="77777777" w:rsidR="00960562" w:rsidRPr="00DC55B0" w:rsidRDefault="00FA72F6" w:rsidP="001F3ACA">
      <w:pPr>
        <w:rPr>
          <w:rFonts w:ascii="Calibri" w:hAnsi="Calibri" w:cs="Calibri"/>
          <w:b/>
          <w:bCs/>
        </w:rPr>
      </w:pPr>
      <w:r w:rsidRPr="00DC55B0">
        <w:rPr>
          <w:rFonts w:ascii="Calibri" w:hAnsi="Calibri" w:cs="Calibri"/>
        </w:rPr>
        <w:t>The</w:t>
      </w:r>
      <w:r w:rsidR="00FB6DFE" w:rsidRPr="00DC55B0">
        <w:rPr>
          <w:rFonts w:ascii="Calibri" w:hAnsi="Calibri" w:cs="Calibri"/>
        </w:rPr>
        <w:t xml:space="preserve"> </w:t>
      </w:r>
      <w:r w:rsidR="00717ADF" w:rsidRPr="00DC55B0">
        <w:rPr>
          <w:rFonts w:ascii="Calibri" w:hAnsi="Calibri" w:cs="Calibri"/>
        </w:rPr>
        <w:t>schedule of vaccinations in pregnancy in the UK</w:t>
      </w:r>
      <w:r w:rsidRPr="00DC55B0">
        <w:rPr>
          <w:rFonts w:ascii="Calibri" w:hAnsi="Calibri" w:cs="Calibri"/>
        </w:rPr>
        <w:t xml:space="preserve">, USA and India are shown in </w:t>
      </w:r>
      <w:r w:rsidRPr="00DC55B0">
        <w:rPr>
          <w:rFonts w:ascii="Calibri" w:hAnsi="Calibri" w:cs="Calibri"/>
          <w:b/>
          <w:bCs/>
        </w:rPr>
        <w:t xml:space="preserve">Figure </w:t>
      </w:r>
      <w:r w:rsidR="00A9483D" w:rsidRPr="00DC55B0">
        <w:rPr>
          <w:rFonts w:ascii="Calibri" w:hAnsi="Calibri" w:cs="Calibri"/>
          <w:b/>
          <w:bCs/>
        </w:rPr>
        <w:t>3</w:t>
      </w:r>
      <w:r w:rsidRPr="00DC55B0">
        <w:rPr>
          <w:rFonts w:ascii="Calibri" w:hAnsi="Calibri" w:cs="Calibri"/>
        </w:rPr>
        <w:t>, with additional detail</w:t>
      </w:r>
      <w:r w:rsidR="000A7BEE" w:rsidRPr="00DC55B0">
        <w:rPr>
          <w:rFonts w:ascii="Calibri" w:hAnsi="Calibri" w:cs="Calibri"/>
        </w:rPr>
        <w:t xml:space="preserve"> for the UK in </w:t>
      </w:r>
      <w:r w:rsidR="000A7BEE" w:rsidRPr="00DC55B0">
        <w:rPr>
          <w:rFonts w:ascii="Calibri" w:hAnsi="Calibri" w:cs="Calibri"/>
          <w:b/>
          <w:bCs/>
        </w:rPr>
        <w:t>Table 1.</w:t>
      </w:r>
    </w:p>
    <w:p w14:paraId="00D61BDF" w14:textId="6FB6AB71" w:rsidR="00FB6DFE" w:rsidRPr="00DC55B0" w:rsidRDefault="00FB6DFE" w:rsidP="001F3ACA">
      <w:pPr>
        <w:rPr>
          <w:rFonts w:ascii="Calibri" w:eastAsiaTheme="majorEastAsia" w:hAnsi="Calibri" w:cs="Calibri"/>
          <w:i/>
          <w:iCs/>
          <w:color w:val="0F4761" w:themeColor="accent1" w:themeShade="BF"/>
        </w:rPr>
      </w:pPr>
      <w:r w:rsidRPr="00DC55B0">
        <w:rPr>
          <w:rFonts w:ascii="Calibri" w:hAnsi="Calibri" w:cs="Calibri"/>
          <w:i/>
          <w:iCs/>
        </w:rPr>
        <w:br w:type="page"/>
      </w:r>
    </w:p>
    <w:p w14:paraId="033EDBA9" w14:textId="47684542" w:rsidR="00591D4E" w:rsidRPr="00DC55B0" w:rsidRDefault="00591D4E" w:rsidP="001F3ACA">
      <w:pPr>
        <w:rPr>
          <w:rFonts w:ascii="Calibri" w:hAnsi="Calibri" w:cs="Calibri"/>
          <w:i/>
          <w:iCs/>
        </w:rPr>
      </w:pPr>
      <w:r w:rsidRPr="00DC55B0">
        <w:rPr>
          <w:rFonts w:ascii="Calibri" w:hAnsi="Calibri" w:cs="Calibri"/>
          <w:i/>
          <w:iCs/>
        </w:rPr>
        <w:lastRenderedPageBreak/>
        <w:t xml:space="preserve">Box </w:t>
      </w:r>
      <w:r w:rsidR="00A421D3" w:rsidRPr="00DC55B0">
        <w:rPr>
          <w:rFonts w:ascii="Calibri" w:hAnsi="Calibri" w:cs="Calibri"/>
          <w:i/>
          <w:iCs/>
        </w:rPr>
        <w:t>2</w:t>
      </w:r>
      <w:r w:rsidRPr="00DC55B0">
        <w:rPr>
          <w:rFonts w:ascii="Calibri" w:hAnsi="Calibri" w:cs="Calibri"/>
          <w:i/>
          <w:iCs/>
        </w:rPr>
        <w:t xml:space="preserve"> – </w:t>
      </w:r>
      <w:r w:rsidR="002B486F" w:rsidRPr="00DC55B0">
        <w:rPr>
          <w:rFonts w:ascii="Calibri" w:hAnsi="Calibri" w:cs="Calibri"/>
          <w:i/>
          <w:iCs/>
        </w:rPr>
        <w:t>F</w:t>
      </w:r>
      <w:r w:rsidRPr="00DC55B0">
        <w:rPr>
          <w:rFonts w:ascii="Calibri" w:hAnsi="Calibri" w:cs="Calibri"/>
          <w:i/>
          <w:iCs/>
        </w:rPr>
        <w:t>actors affecting the uptake of vaccinations in pregnancy</w:t>
      </w:r>
    </w:p>
    <w:p w14:paraId="1D7D9174" w14:textId="697B1161" w:rsidR="00591D4E" w:rsidRPr="00DC55B0" w:rsidRDefault="00591D4E" w:rsidP="001F3ACA">
      <w:pPr>
        <w:rPr>
          <w:rFonts w:ascii="Calibri" w:hAnsi="Calibri" w:cs="Calibri"/>
        </w:rPr>
      </w:pPr>
      <w:r w:rsidRPr="00DC55B0">
        <w:rPr>
          <w:rFonts w:ascii="Calibri" w:hAnsi="Calibri" w:cs="Calibri"/>
          <w:b/>
          <w:bCs/>
        </w:rPr>
        <w:t xml:space="preserve">Access. </w:t>
      </w:r>
      <w:r w:rsidRPr="00DC55B0">
        <w:rPr>
          <w:rFonts w:ascii="Calibri" w:hAnsi="Calibri" w:cs="Calibri"/>
        </w:rPr>
        <w:t>People who are willing to be vaccinated during pregnancy may delay or fail to attend for vaccination because of financial or logistical barriers. Programmes should ensure that vaccination is free at the point of delivery and available in multiple healthcare settings, including at antenatal appointments.</w:t>
      </w:r>
      <w:r w:rsidRPr="00DC55B0">
        <w:rPr>
          <w:rFonts w:ascii="Calibri" w:hAnsi="Calibri" w:cs="Calibri"/>
        </w:rPr>
        <w:fldChar w:fldCharType="begin"/>
      </w:r>
      <w:r w:rsidR="00F807FE" w:rsidRPr="00DC55B0">
        <w:rPr>
          <w:rFonts w:ascii="Calibri" w:hAnsi="Calibri" w:cs="Calibri"/>
        </w:rPr>
        <w:instrText xml:space="preserve"> ADDIN ZOTERO_ITEM CSL_CITATION {"citationID":"3tvHtl2L","properties":{"formattedCitation":"\\super 133\\nosupersub{}","plainCitation":"133","noteIndex":0},"citationItems":[{"id":276,"uris":["http://zotero.org/users/14445769/items/5BJI6K8S"],"itemData":{"id":276,"type":"article-journal","abstract":"BACKGROUND: Pertussis and seasonal influenza are responsible for significant maternal, neonatal, and infant morbidity and mortality, but vaccine coverage rates (VCR) for both pertussis (administered as a tetanus, diphtheria, acellular pertussis [Tdap] vaccination) and seasonal influenza in pregnancy remain generally low. Only a small number of countries, including Spain, the United Kingdom (UK), and the United States (US), have high Tdap and seasonal influenza VCRs in pregnancy. The purpose of this study was to identify the key factors that contributed to the high VCRs observed in these countries.\nMETHODS: The experience from both Tdap and seasonal influenza vaccination programmes during pregnancy were documented in Spain, the UK, and the US using a three-step approach. A literature review yielded 157 publications, and a further 117 documents were selected through desk research. A published five-pillar VCR framework for influenza was amended to evaluate the specific contributing factors leading to high Tdap and seasonal influenza VCRs among pregnant women.\nRESULTS: The analysis identified components that contributed to higher VCR in pregnant women across three different healthcare systems in Spain, UK, and US. The combination of several key interventions in each country led to a rapid increase in VCR that reached near-optimal levels (i.e. 75% for seasonal influenza) within a few years. As well as inclusion in national immunisation programme and vaccine reimbursement, key components that were identified included the mobilisation of health authorities, prenatal care Healthcare Professionals (HCP) and scientific societies, the inclusion of vaccination in antenatal medical guidance, the provision of educational material to HCPs, and a strong disease awareness driven by recent pertussis outbreaks in each country.\nCONCLUSIONS: Although there is no simple, universal solution to improving sub-optimal VCRs, the list of components identified in this study from three countries with high-performing Tdap and seasonal influenza vaccination programmes provides a basis for public health and medical stakeholders in other countries to define strategies to successfully implement national vaccination programmes for pregnant women.","container-title":"BMC public health","DOI":"10.1186/s12889-021-12198-2","ISSN":"1471-2458","issue":"1","journalAbbreviation":"BMC Public Health","language":"eng","note":"PMID: 34844567\nPMCID: PMC8628032","page":"2182","source":"PubMed","title":"Vaccination in pregnancy against pertussis and seasonal influenza: key learnings and components from high-performing vaccine programmes in three countries: the United Kingdom, the United States and Spain","title-short":"Vaccination in pregnancy against pertussis and seasonal influenza","volume":"21","author":[{"family":"Baïssas","given":"Théophile"},{"family":"Boisnard","given":"Florence"},{"family":"Cuesta Esteve","given":"Inmaculada"},{"family":"Garcia Sánchez","given":"Marta"},{"family":"Jones","given":"Christine E."},{"family":"Rigoine de Fougerolles","given":"Thierry"},{"family":"Tan","given":"Litjen"},{"family":"Vitoux","given":"Olivier"},{"family":"Klein","given":"Christina"}],"issued":{"date-parts":[["2021",11,29]]}}}],"schema":"https://github.com/citation-style-language/schema/raw/master/csl-citation.json"} </w:instrText>
      </w:r>
      <w:r w:rsidRPr="00DC55B0">
        <w:rPr>
          <w:rFonts w:ascii="Calibri" w:hAnsi="Calibri" w:cs="Calibri"/>
        </w:rPr>
        <w:fldChar w:fldCharType="separate"/>
      </w:r>
      <w:r w:rsidR="00F807FE" w:rsidRPr="00DC55B0">
        <w:rPr>
          <w:rFonts w:ascii="Calibri" w:hAnsi="Calibri" w:cs="Calibri"/>
          <w:kern w:val="0"/>
          <w:vertAlign w:val="superscript"/>
        </w:rPr>
        <w:t>133</w:t>
      </w:r>
      <w:r w:rsidRPr="00DC55B0">
        <w:rPr>
          <w:rFonts w:ascii="Calibri" w:hAnsi="Calibri" w:cs="Calibri"/>
        </w:rPr>
        <w:fldChar w:fldCharType="end"/>
      </w:r>
    </w:p>
    <w:p w14:paraId="7541C550" w14:textId="77777777" w:rsidR="00591D4E" w:rsidRPr="00DC55B0" w:rsidRDefault="00591D4E" w:rsidP="001F3ACA">
      <w:pPr>
        <w:rPr>
          <w:rFonts w:ascii="Calibri" w:hAnsi="Calibri" w:cs="Calibri"/>
        </w:rPr>
      </w:pPr>
    </w:p>
    <w:p w14:paraId="773B8B6A" w14:textId="4EEA637A" w:rsidR="00591D4E" w:rsidRPr="00DC55B0" w:rsidRDefault="00591D4E" w:rsidP="001F3ACA">
      <w:pPr>
        <w:rPr>
          <w:rFonts w:ascii="Calibri" w:hAnsi="Calibri" w:cs="Calibri"/>
        </w:rPr>
      </w:pPr>
      <w:r w:rsidRPr="00DC55B0">
        <w:rPr>
          <w:rFonts w:ascii="Calibri" w:hAnsi="Calibri" w:cs="Calibri"/>
          <w:b/>
          <w:bCs/>
        </w:rPr>
        <w:t xml:space="preserve">Information. </w:t>
      </w:r>
      <w:r w:rsidRPr="00DC55B0">
        <w:rPr>
          <w:rFonts w:ascii="Calibri" w:hAnsi="Calibri" w:cs="Calibri"/>
        </w:rPr>
        <w:t>Some people who would accept a recommendation to be vaccinated outside pregnancy are hesitant during pregnancy, because of concerns about safety for the fetus. The perception that the risk of disease is low also reduces the willingness of individuals to be vaccinated. Provision of evidence that addresses risks and benefits to the fetus/newborn increases uptake in these individuals.</w:t>
      </w:r>
      <w:r w:rsidRPr="00DC55B0">
        <w:rPr>
          <w:rFonts w:ascii="Calibri" w:hAnsi="Calibri" w:cs="Calibri"/>
        </w:rPr>
        <w:fldChar w:fldCharType="begin"/>
      </w:r>
      <w:r w:rsidR="00F807FE" w:rsidRPr="00DC55B0">
        <w:rPr>
          <w:rFonts w:ascii="Calibri" w:hAnsi="Calibri" w:cs="Calibri"/>
        </w:rPr>
        <w:instrText xml:space="preserve"> ADDIN ZOTERO_ITEM CSL_CITATION {"citationID":"pKWnwaVR","properties":{"formattedCitation":"\\super 134\\nosupersub{}","plainCitation":"134","noteIndex":0},"citationItems":[{"id":189,"uris":["http://zotero.org/users/14445769/items/C462TIV6"],"itemData":{"id":189,"type":"article-journal","container-title":"Vaccine","DOI":"10.1016/j.vaccine.2023.05.047","ISSN":"0264410X","issue":"29","journalAbbreviation":"Vaccine","language":"en","page":"4220-4227","source":"DOI.org (Crossref)","title":"Vaccine hesitancy in pregnant Women: A narrative review","title-short":"Vaccine hesitancy in pregnant Women","volume":"41","author":[{"family":"Mitchell","given":"Stephanie L."},{"family":"Schulkin","given":"Jay"},{"family":"Power","given":"Michael L."}],"issued":{"date-parts":[["2023",6]]}}}],"schema":"https://github.com/citation-style-language/schema/raw/master/csl-citation.json"} </w:instrText>
      </w:r>
      <w:r w:rsidRPr="00DC55B0">
        <w:rPr>
          <w:rFonts w:ascii="Calibri" w:hAnsi="Calibri" w:cs="Calibri"/>
        </w:rPr>
        <w:fldChar w:fldCharType="separate"/>
      </w:r>
      <w:r w:rsidR="00F807FE" w:rsidRPr="00DC55B0">
        <w:rPr>
          <w:rFonts w:ascii="Calibri" w:hAnsi="Calibri" w:cs="Calibri"/>
          <w:kern w:val="0"/>
          <w:vertAlign w:val="superscript"/>
        </w:rPr>
        <w:t>134</w:t>
      </w:r>
      <w:r w:rsidRPr="00DC55B0">
        <w:rPr>
          <w:rFonts w:ascii="Calibri" w:hAnsi="Calibri" w:cs="Calibri"/>
        </w:rPr>
        <w:fldChar w:fldCharType="end"/>
      </w:r>
    </w:p>
    <w:p w14:paraId="42605D5D" w14:textId="77777777" w:rsidR="00591D4E" w:rsidRPr="00DC55B0" w:rsidRDefault="00591D4E" w:rsidP="001F3ACA">
      <w:pPr>
        <w:rPr>
          <w:rFonts w:ascii="Calibri" w:hAnsi="Calibri" w:cs="Calibri"/>
        </w:rPr>
      </w:pPr>
    </w:p>
    <w:p w14:paraId="7D747487" w14:textId="0F60EF4B" w:rsidR="00B831DC" w:rsidRPr="00DC55B0" w:rsidRDefault="00591D4E" w:rsidP="001F3ACA">
      <w:pPr>
        <w:rPr>
          <w:rFonts w:ascii="Calibri" w:hAnsi="Calibri" w:cs="Calibri"/>
          <w:b/>
          <w:bCs/>
        </w:rPr>
      </w:pPr>
      <w:r w:rsidRPr="00DC55B0">
        <w:rPr>
          <w:rFonts w:ascii="Calibri" w:hAnsi="Calibri" w:cs="Calibri"/>
          <w:b/>
          <w:bCs/>
        </w:rPr>
        <w:t xml:space="preserve">Trust. </w:t>
      </w:r>
      <w:r w:rsidRPr="00DC55B0">
        <w:rPr>
          <w:rFonts w:ascii="Calibri" w:hAnsi="Calibri" w:cs="Calibri"/>
        </w:rPr>
        <w:t>Some people decline vaccination during pregnancy as part of a wider distrust of vaccines, healthcare authorities and healthcare professionals.</w:t>
      </w:r>
      <w:r w:rsidRPr="00DC55B0">
        <w:rPr>
          <w:rFonts w:ascii="Calibri" w:hAnsi="Calibri" w:cs="Calibri"/>
        </w:rPr>
        <w:fldChar w:fldCharType="begin"/>
      </w:r>
      <w:r w:rsidR="00F807FE" w:rsidRPr="00DC55B0">
        <w:rPr>
          <w:rFonts w:ascii="Calibri" w:hAnsi="Calibri" w:cs="Calibri"/>
        </w:rPr>
        <w:instrText xml:space="preserve"> ADDIN ZOTERO_ITEM CSL_CITATION {"citationID":"PlzfP7ya","properties":{"formattedCitation":"\\super 134\\nosupersub{}","plainCitation":"134","noteIndex":0},"citationItems":[{"id":189,"uris":["http://zotero.org/users/14445769/items/C462TIV6"],"itemData":{"id":189,"type":"article-journal","container-title":"Vaccine","DOI":"10.1016/j.vaccine.2023.05.047","ISSN":"0264410X","issue":"29","journalAbbreviation":"Vaccine","language":"en","page":"4220-4227","source":"DOI.org (Crossref)","title":"Vaccine hesitancy in pregnant Women: A narrative review","title-short":"Vaccine hesitancy in pregnant Women","volume":"41","author":[{"family":"Mitchell","given":"Stephanie L."},{"family":"Schulkin","given":"Jay"},{"family":"Power","given":"Michael L."}],"issued":{"date-parts":[["2023",6]]}}}],"schema":"https://github.com/citation-style-language/schema/raw/master/csl-citation.json"} </w:instrText>
      </w:r>
      <w:r w:rsidRPr="00DC55B0">
        <w:rPr>
          <w:rFonts w:ascii="Calibri" w:hAnsi="Calibri" w:cs="Calibri"/>
        </w:rPr>
        <w:fldChar w:fldCharType="separate"/>
      </w:r>
      <w:r w:rsidR="00F807FE" w:rsidRPr="00DC55B0">
        <w:rPr>
          <w:rFonts w:ascii="Calibri" w:hAnsi="Calibri" w:cs="Calibri"/>
          <w:kern w:val="0"/>
          <w:vertAlign w:val="superscript"/>
        </w:rPr>
        <w:t>134</w:t>
      </w:r>
      <w:r w:rsidRPr="00DC55B0">
        <w:rPr>
          <w:rFonts w:ascii="Calibri" w:hAnsi="Calibri" w:cs="Calibri"/>
        </w:rPr>
        <w:fldChar w:fldCharType="end"/>
      </w:r>
      <w:r w:rsidRPr="00DC55B0">
        <w:rPr>
          <w:rFonts w:ascii="Calibri" w:hAnsi="Calibri" w:cs="Calibri"/>
        </w:rPr>
        <w:t xml:space="preserve"> Motivational interviewing can be a useful tool to build rapport, increasing receptiveness to new information,</w:t>
      </w:r>
      <w:r w:rsidRPr="00DC55B0">
        <w:rPr>
          <w:rFonts w:ascii="Calibri" w:hAnsi="Calibri" w:cs="Calibri"/>
        </w:rPr>
        <w:fldChar w:fldCharType="begin"/>
      </w:r>
      <w:r w:rsidR="00F807FE" w:rsidRPr="00DC55B0">
        <w:rPr>
          <w:rFonts w:ascii="Calibri" w:hAnsi="Calibri" w:cs="Calibri"/>
        </w:rPr>
        <w:instrText xml:space="preserve"> ADDIN ZOTERO_ITEM CSL_CITATION {"citationID":"P71hmON1","properties":{"formattedCitation":"\\super 135\\nosupersub{}","plainCitation":"135","noteIndex":0},"citationItems":[{"id":345,"uris":["http://zotero.org/users/14445769/items/PYU3L7NZ"],"itemData":{"id":345,"type":"article-journal","container-title":"Vaccine","DOI":"10.1016/j.vaccine.2017.10.049","ISSN":"1873-2518","issue":"44","journalAbbreviation":"Vaccine","language":"eng","note":"PMID: 30301523","page":"6553-6555","source":"PubMed","title":"Motivational interviewing: A promising tool to address vaccine hesitancy","title-short":"Motivational interviewing","volume":"36","author":[{"family":"Gagneur","given":"Arnaud"},{"family":"Gosselin","given":"Virginie"},{"family":"Dubé","given":"Ève"}],"issued":{"date-parts":[["2018",10,22]]}}}],"schema":"https://github.com/citation-style-language/schema/raw/master/csl-citation.json"} </w:instrText>
      </w:r>
      <w:r w:rsidRPr="00DC55B0">
        <w:rPr>
          <w:rFonts w:ascii="Calibri" w:hAnsi="Calibri" w:cs="Calibri"/>
        </w:rPr>
        <w:fldChar w:fldCharType="separate"/>
      </w:r>
      <w:r w:rsidR="00F807FE" w:rsidRPr="00DC55B0">
        <w:rPr>
          <w:rFonts w:ascii="Calibri" w:hAnsi="Calibri" w:cs="Calibri"/>
          <w:kern w:val="0"/>
          <w:vertAlign w:val="superscript"/>
        </w:rPr>
        <w:t>135</w:t>
      </w:r>
      <w:r w:rsidRPr="00DC55B0">
        <w:rPr>
          <w:rFonts w:ascii="Calibri" w:hAnsi="Calibri" w:cs="Calibri"/>
        </w:rPr>
        <w:fldChar w:fldCharType="end"/>
      </w:r>
      <w:r w:rsidRPr="00DC55B0">
        <w:rPr>
          <w:rFonts w:ascii="Calibri" w:hAnsi="Calibri" w:cs="Calibri"/>
        </w:rPr>
        <w:t xml:space="preserve"> but this requires structural support for training and additional time in antenatal appointments.</w:t>
      </w:r>
    </w:p>
    <w:p w14:paraId="698A1A0D" w14:textId="77777777" w:rsidR="00591D4E" w:rsidRPr="00DC55B0" w:rsidRDefault="00591D4E" w:rsidP="001F3ACA">
      <w:pPr>
        <w:rPr>
          <w:rFonts w:ascii="Calibri" w:hAnsi="Calibri" w:cs="Calibri"/>
          <w:i/>
          <w:iCs/>
        </w:rPr>
      </w:pPr>
      <w:r w:rsidRPr="00DC55B0">
        <w:rPr>
          <w:rFonts w:ascii="Calibri" w:hAnsi="Calibri" w:cs="Calibri"/>
          <w:i/>
          <w:iCs/>
        </w:rPr>
        <w:br w:type="page"/>
      </w:r>
    </w:p>
    <w:p w14:paraId="52138A2D" w14:textId="77615C9E" w:rsidR="00AC2FBB" w:rsidRPr="00DC55B0" w:rsidRDefault="00E90AFF" w:rsidP="001F3ACA">
      <w:pPr>
        <w:rPr>
          <w:rFonts w:ascii="Calibri" w:hAnsi="Calibri" w:cs="Calibri"/>
          <w:i/>
          <w:iCs/>
        </w:rPr>
      </w:pPr>
      <w:r w:rsidRPr="00DC55B0">
        <w:rPr>
          <w:rFonts w:ascii="Calibri" w:hAnsi="Calibri" w:cs="Calibri"/>
          <w:i/>
          <w:iCs/>
        </w:rPr>
        <w:lastRenderedPageBreak/>
        <w:t xml:space="preserve">Box </w:t>
      </w:r>
      <w:r w:rsidR="00A421D3" w:rsidRPr="00DC55B0">
        <w:rPr>
          <w:rFonts w:ascii="Calibri" w:hAnsi="Calibri" w:cs="Calibri"/>
          <w:i/>
          <w:iCs/>
        </w:rPr>
        <w:t>3</w:t>
      </w:r>
      <w:r w:rsidRPr="00DC55B0">
        <w:rPr>
          <w:rFonts w:ascii="Calibri" w:hAnsi="Calibri" w:cs="Calibri"/>
          <w:i/>
          <w:iCs/>
        </w:rPr>
        <w:t xml:space="preserve"> – </w:t>
      </w:r>
      <w:r w:rsidR="001032A8" w:rsidRPr="00DC55B0">
        <w:rPr>
          <w:rFonts w:ascii="Calibri" w:hAnsi="Calibri" w:cs="Calibri"/>
          <w:i/>
          <w:iCs/>
        </w:rPr>
        <w:t>Future</w:t>
      </w:r>
      <w:r w:rsidRPr="00DC55B0">
        <w:rPr>
          <w:rFonts w:ascii="Calibri" w:hAnsi="Calibri" w:cs="Calibri"/>
          <w:i/>
          <w:iCs/>
        </w:rPr>
        <w:t xml:space="preserve"> targets of vaccination in pregnancy or prior to conception</w:t>
      </w:r>
    </w:p>
    <w:p w14:paraId="3814DB22" w14:textId="0D4C1725" w:rsidR="00E90AFF" w:rsidRPr="00DC55B0" w:rsidRDefault="00C64ED6" w:rsidP="001F3ACA">
      <w:pPr>
        <w:rPr>
          <w:rFonts w:ascii="Calibri" w:hAnsi="Calibri" w:cs="Calibri"/>
          <w:b/>
          <w:bCs/>
        </w:rPr>
      </w:pPr>
      <w:r w:rsidRPr="00DC55B0">
        <w:rPr>
          <w:rFonts w:ascii="Calibri" w:hAnsi="Calibri" w:cs="Calibri"/>
          <w:b/>
          <w:bCs/>
        </w:rPr>
        <w:t>I</w:t>
      </w:r>
      <w:r w:rsidR="00E90AFF" w:rsidRPr="00DC55B0">
        <w:rPr>
          <w:rFonts w:ascii="Calibri" w:hAnsi="Calibri" w:cs="Calibri"/>
          <w:b/>
          <w:bCs/>
        </w:rPr>
        <w:t>nfections associated with significant congenital abnormalities</w:t>
      </w:r>
    </w:p>
    <w:p w14:paraId="13277248" w14:textId="4343AD27" w:rsidR="00E90AFF" w:rsidRPr="00DC55B0" w:rsidRDefault="000336D8" w:rsidP="001F3ACA">
      <w:pPr>
        <w:pStyle w:val="ListParagraph"/>
        <w:numPr>
          <w:ilvl w:val="0"/>
          <w:numId w:val="16"/>
        </w:numPr>
        <w:rPr>
          <w:rFonts w:ascii="Calibri" w:hAnsi="Calibri" w:cs="Calibri"/>
          <w:b/>
          <w:bCs/>
        </w:rPr>
      </w:pPr>
      <w:r w:rsidRPr="00DC55B0">
        <w:rPr>
          <w:rFonts w:ascii="Calibri" w:hAnsi="Calibri" w:cs="Calibri"/>
        </w:rPr>
        <w:t xml:space="preserve">Congenital </w:t>
      </w:r>
      <w:r w:rsidR="00C81BD6" w:rsidRPr="00DC55B0">
        <w:rPr>
          <w:rFonts w:ascii="Calibri" w:hAnsi="Calibri" w:cs="Calibri"/>
          <w:b/>
          <w:bCs/>
        </w:rPr>
        <w:t>cytomegalovirus</w:t>
      </w:r>
      <w:r w:rsidRPr="00DC55B0">
        <w:rPr>
          <w:rFonts w:ascii="Calibri" w:hAnsi="Calibri" w:cs="Calibri"/>
          <w:b/>
          <w:bCs/>
        </w:rPr>
        <w:t xml:space="preserve"> </w:t>
      </w:r>
      <w:r w:rsidRPr="00DC55B0">
        <w:rPr>
          <w:rFonts w:ascii="Calibri" w:hAnsi="Calibri" w:cs="Calibri"/>
        </w:rPr>
        <w:t xml:space="preserve">infection is </w:t>
      </w:r>
      <w:r w:rsidR="000F446D" w:rsidRPr="00DC55B0">
        <w:rPr>
          <w:rFonts w:ascii="Calibri" w:hAnsi="Calibri" w:cs="Calibri"/>
        </w:rPr>
        <w:t xml:space="preserve">a leading cause of </w:t>
      </w:r>
      <w:r w:rsidR="00CF3EFB" w:rsidRPr="00DC55B0">
        <w:rPr>
          <w:rFonts w:ascii="Calibri" w:hAnsi="Calibri" w:cs="Calibri"/>
        </w:rPr>
        <w:t>hearing loss</w:t>
      </w:r>
      <w:r w:rsidR="00F13442" w:rsidRPr="00DC55B0">
        <w:rPr>
          <w:rFonts w:ascii="Calibri" w:hAnsi="Calibri" w:cs="Calibri"/>
        </w:rPr>
        <w:t xml:space="preserve">, </w:t>
      </w:r>
      <w:r w:rsidR="00B00626" w:rsidRPr="00DC55B0">
        <w:rPr>
          <w:rFonts w:ascii="Calibri" w:hAnsi="Calibri" w:cs="Calibri"/>
        </w:rPr>
        <w:t xml:space="preserve">visual impairment and </w:t>
      </w:r>
      <w:r w:rsidR="00F70F7E" w:rsidRPr="00DC55B0">
        <w:rPr>
          <w:rFonts w:ascii="Calibri" w:hAnsi="Calibri" w:cs="Calibri"/>
        </w:rPr>
        <w:t>neurodevelopmental delay</w:t>
      </w:r>
      <w:r w:rsidR="00B00626" w:rsidRPr="00DC55B0">
        <w:rPr>
          <w:rFonts w:ascii="Calibri" w:hAnsi="Calibri" w:cs="Calibri"/>
        </w:rPr>
        <w:t>.</w:t>
      </w:r>
      <w:r w:rsidR="004D2BED" w:rsidRPr="00DC55B0">
        <w:rPr>
          <w:rFonts w:ascii="Calibri" w:hAnsi="Calibri" w:cs="Calibri"/>
        </w:rPr>
        <w:t xml:space="preserve"> </w:t>
      </w:r>
      <w:r w:rsidR="00523E8A" w:rsidRPr="00DC55B0">
        <w:rPr>
          <w:rFonts w:ascii="Calibri" w:hAnsi="Calibri" w:cs="Calibri"/>
        </w:rPr>
        <w:t>Vaccine development has been hampered by extensive immune evasion strategies employed by the virus</w:t>
      </w:r>
      <w:r w:rsidR="00B5350D" w:rsidRPr="00DC55B0">
        <w:rPr>
          <w:rFonts w:ascii="Calibri" w:hAnsi="Calibri" w:cs="Calibri"/>
        </w:rPr>
        <w:t xml:space="preserve">, but </w:t>
      </w:r>
      <w:r w:rsidR="00700424" w:rsidRPr="00DC55B0">
        <w:rPr>
          <w:rFonts w:ascii="Calibri" w:hAnsi="Calibri" w:cs="Calibri"/>
        </w:rPr>
        <w:t>one can</w:t>
      </w:r>
      <w:r w:rsidR="007F4586" w:rsidRPr="00DC55B0">
        <w:rPr>
          <w:rFonts w:ascii="Calibri" w:hAnsi="Calibri" w:cs="Calibri"/>
        </w:rPr>
        <w:t xml:space="preserve">didate mRNA vaccine is now undergoing phase III trials in </w:t>
      </w:r>
      <w:r w:rsidR="00F70F7E" w:rsidRPr="00DC55B0">
        <w:rPr>
          <w:rFonts w:ascii="Calibri" w:hAnsi="Calibri" w:cs="Calibri"/>
        </w:rPr>
        <w:t xml:space="preserve">adults (NCT04232280) and </w:t>
      </w:r>
      <w:r w:rsidR="007F4586" w:rsidRPr="00DC55B0">
        <w:rPr>
          <w:rFonts w:ascii="Calibri" w:hAnsi="Calibri" w:cs="Calibri"/>
        </w:rPr>
        <w:t>adolescent</w:t>
      </w:r>
      <w:r w:rsidR="00CB3965" w:rsidRPr="00DC55B0">
        <w:rPr>
          <w:rFonts w:ascii="Calibri" w:hAnsi="Calibri" w:cs="Calibri"/>
        </w:rPr>
        <w:t xml:space="preserve"> girls (</w:t>
      </w:r>
      <w:r w:rsidR="00D52FBC" w:rsidRPr="00DC55B0">
        <w:rPr>
          <w:rFonts w:ascii="Calibri" w:hAnsi="Calibri" w:cs="Calibri"/>
        </w:rPr>
        <w:t>NCT05085366).</w:t>
      </w:r>
      <w:r w:rsidR="0015711E" w:rsidRPr="00DC55B0">
        <w:rPr>
          <w:rFonts w:ascii="Calibri" w:hAnsi="Calibri" w:cs="Calibri"/>
        </w:rPr>
        <w:fldChar w:fldCharType="begin"/>
      </w:r>
      <w:r w:rsidR="00F807FE" w:rsidRPr="00DC55B0">
        <w:rPr>
          <w:rFonts w:ascii="Calibri" w:hAnsi="Calibri" w:cs="Calibri"/>
        </w:rPr>
        <w:instrText xml:space="preserve"> ADDIN ZOTERO_ITEM CSL_CITATION {"citationID":"Ym5gSQtf","properties":{"formattedCitation":"\\super 136\\nosupersub{}","plainCitation":"136","noteIndex":0},"citationItems":[{"id":248,"uris":["http://zotero.org/users/14445769/items/GM3XS76F"],"itemData":{"id":248,"type":"article-journal","abstract":"Human cytomegalovirus (HCMV) infection, the most common cause of congenital disease globally, affecting an estimated 1 million newborns annually, can result in lifelong sequelae in infants, such as sensorineural hearing loss and brain damage. HCMV infection also leads to a significant disease burden in immunocompromised individuals. Hence, an effective HCMV vaccine is urgently needed to prevent infection and HCMV-associated diseases. Unfortunately, despite more than five decades of vaccine development, no successful HCMV vaccine is available. This review summarizes what we have learned from acquired natural immunity, including innate and adaptive immunity; the successes and failures of HCMV vaccine human clinical trials; the progress in related animal models; and the analysis of protective immune responses during natural infection and vaccination settings. Finally, we propose novel vaccine strategies that will harness the knowledge of protective immunity and employ new technology and vaccine concepts to inform next-generation HCMV vaccine development.","container-title":"Annual Review of Virology","DOI":"10.1146/annurev-virology-100220-010653","ISSN":"2327-0578","issue":"1","journalAbbreviation":"Annu Rev Virol","language":"eng","note":"PMID: 35704747\nPMCID: PMC10154983","page":"491-520","source":"PubMed","title":"Lessons from Acquired Natural Immunity and Clinical Trials to Inform Next-Generation Human Cytomegalovirus Vaccine Development","volume":"9","author":[{"family":"Hu","given":"Xintao"},{"family":"Wang","given":"Hsuan-Yuan"},{"family":"Otero","given":"Claire E."},{"family":"Jenks","given":"Jennifer A."},{"family":"Permar","given":"Sallie R."}],"issued":{"date-parts":[["2022",9,29]]}}}],"schema":"https://github.com/citation-style-language/schema/raw/master/csl-citation.json"} </w:instrText>
      </w:r>
      <w:r w:rsidR="0015711E" w:rsidRPr="00DC55B0">
        <w:rPr>
          <w:rFonts w:ascii="Calibri" w:hAnsi="Calibri" w:cs="Calibri"/>
        </w:rPr>
        <w:fldChar w:fldCharType="separate"/>
      </w:r>
      <w:r w:rsidR="00F807FE" w:rsidRPr="00DC55B0">
        <w:rPr>
          <w:rFonts w:ascii="Calibri" w:hAnsi="Calibri" w:cs="Calibri"/>
          <w:kern w:val="0"/>
          <w:vertAlign w:val="superscript"/>
        </w:rPr>
        <w:t>136</w:t>
      </w:r>
      <w:r w:rsidR="0015711E" w:rsidRPr="00DC55B0">
        <w:rPr>
          <w:rFonts w:ascii="Calibri" w:hAnsi="Calibri" w:cs="Calibri"/>
        </w:rPr>
        <w:fldChar w:fldCharType="end"/>
      </w:r>
    </w:p>
    <w:p w14:paraId="6B580035" w14:textId="650ABDB8" w:rsidR="00E90AFF" w:rsidRPr="00DC55B0" w:rsidRDefault="005A5075" w:rsidP="001F3ACA">
      <w:pPr>
        <w:pStyle w:val="ListParagraph"/>
        <w:numPr>
          <w:ilvl w:val="0"/>
          <w:numId w:val="16"/>
        </w:numPr>
        <w:rPr>
          <w:rFonts w:ascii="Calibri" w:hAnsi="Calibri" w:cs="Calibri"/>
        </w:rPr>
      </w:pPr>
      <w:r w:rsidRPr="00DC55B0">
        <w:rPr>
          <w:rFonts w:ascii="Calibri" w:hAnsi="Calibri" w:cs="Calibri"/>
          <w:b/>
          <w:bCs/>
        </w:rPr>
        <w:t xml:space="preserve">Zikavirus </w:t>
      </w:r>
      <w:r w:rsidRPr="00DC55B0">
        <w:rPr>
          <w:rFonts w:ascii="Calibri" w:hAnsi="Calibri" w:cs="Calibri"/>
        </w:rPr>
        <w:t>is a mosquito-borne virus that is endemic to equatorial Africa and Asia. Its spread to the Americas led to an epidemic in 2015-16, with over 3,500 cases of microcephaly and brain abnormalities occurring in infants as a result of congenital infection. Currently, there are four vaccine candidates in or entering phase 2 clinical trials.</w:t>
      </w:r>
      <w:r w:rsidRPr="00DC55B0">
        <w:rPr>
          <w:rFonts w:ascii="Calibri" w:hAnsi="Calibri" w:cs="Calibri"/>
        </w:rPr>
        <w:fldChar w:fldCharType="begin"/>
      </w:r>
      <w:r w:rsidR="00F807FE" w:rsidRPr="00DC55B0">
        <w:rPr>
          <w:rFonts w:ascii="Calibri" w:hAnsi="Calibri" w:cs="Calibri"/>
        </w:rPr>
        <w:instrText xml:space="preserve"> ADDIN ZOTERO_ITEM CSL_CITATION {"citationID":"QgdX7jzl","properties":{"formattedCitation":"\\super 137\\nosupersub{}","plainCitation":"137","noteIndex":0},"citationItems":[{"id":247,"uris":["http://zotero.org/users/14445769/items/6Q5WSPZI"],"itemData":{"id":247,"type":"article-journal","abstract":"The 2016 Zika virus (ZIKV) epidemic catalyzed a global effort to develop diagnostic tests, vaccines, and therapeutic treatments. However, the rapid waning epidemiology of ZIKV stalled many countermeasure development efforts. On January 31 and February 1, 2023, the National Institute of Allergy and Infectious Diseases (NIAID) hosted “Continuing Development of Vaccines and Monoclonal Antibodies Against Zika Virus,” a workshop of assembled experts from multiple fields and sectors to review the latest ZIKV research findings and develop recommendations for advancing vaccines and monoclonal antibodies. This report describes the workshop proceedings and summarizes the key challenges and major recommendations identified at the workshop. While the current incidence and testing for ZIKV are low globally, ZIKV has not disappeared, and future large-scale outbreaks are possible. Developing an effective vaccine and monoclonal antibody treatment is still a public health priority, especially for persons who can become pregnant and who live or travel in ZIKV-endemic regions.","container-title":"npj Vaccines","DOI":"10.1038/s41541-024-00889-x","ISSN":"2059-0105","issue":"1","language":"en","license":"2024 This is a U.S. Government work and not under copyright protection in the US; foreign copyright protection may apply","page":"1-8","source":"www.nature.com","title":"Continuing development of vaccines and monoclonal antibodies against Zika virus","volume":"9","author":[{"family":"Woodson","given":"Sara E."},{"family":"Morabito","given":"Kaitlyn M."}],"issued":{"date-parts":[["2024",5,24]]}}}],"schema":"https://github.com/citation-style-language/schema/raw/master/csl-citation.json"} </w:instrText>
      </w:r>
      <w:r w:rsidRPr="00DC55B0">
        <w:rPr>
          <w:rFonts w:ascii="Calibri" w:hAnsi="Calibri" w:cs="Calibri"/>
        </w:rPr>
        <w:fldChar w:fldCharType="separate"/>
      </w:r>
      <w:r w:rsidR="00F807FE" w:rsidRPr="00DC55B0">
        <w:rPr>
          <w:rFonts w:ascii="Calibri" w:hAnsi="Calibri" w:cs="Calibri"/>
          <w:kern w:val="0"/>
          <w:vertAlign w:val="superscript"/>
        </w:rPr>
        <w:t>137</w:t>
      </w:r>
      <w:r w:rsidRPr="00DC55B0">
        <w:rPr>
          <w:rFonts w:ascii="Calibri" w:hAnsi="Calibri" w:cs="Calibri"/>
        </w:rPr>
        <w:fldChar w:fldCharType="end"/>
      </w:r>
    </w:p>
    <w:p w14:paraId="2A0CD91B" w14:textId="77777777" w:rsidR="00E90AFF" w:rsidRPr="00DC55B0" w:rsidRDefault="00E90AFF" w:rsidP="001F3ACA">
      <w:pPr>
        <w:rPr>
          <w:rFonts w:ascii="Calibri" w:hAnsi="Calibri" w:cs="Calibri"/>
          <w:b/>
          <w:bCs/>
        </w:rPr>
      </w:pPr>
      <w:r w:rsidRPr="00DC55B0">
        <w:rPr>
          <w:rFonts w:ascii="Calibri" w:hAnsi="Calibri" w:cs="Calibri"/>
          <w:b/>
          <w:bCs/>
        </w:rPr>
        <w:t>Infections that are more severe in pregnancy</w:t>
      </w:r>
    </w:p>
    <w:p w14:paraId="49F1B15B" w14:textId="046B07FC" w:rsidR="00E90AFF" w:rsidRPr="00DC55B0" w:rsidRDefault="00E90AFF" w:rsidP="001F3ACA">
      <w:pPr>
        <w:pStyle w:val="ListParagraph"/>
        <w:numPr>
          <w:ilvl w:val="0"/>
          <w:numId w:val="16"/>
        </w:numPr>
        <w:rPr>
          <w:rFonts w:ascii="Calibri" w:hAnsi="Calibri" w:cs="Calibri"/>
          <w:b/>
          <w:bCs/>
        </w:rPr>
      </w:pPr>
      <w:r w:rsidRPr="00DC55B0">
        <w:rPr>
          <w:rFonts w:ascii="Calibri" w:hAnsi="Calibri" w:cs="Calibri"/>
          <w:b/>
          <w:bCs/>
        </w:rPr>
        <w:t>Lassavirus</w:t>
      </w:r>
      <w:r w:rsidR="00624E8C" w:rsidRPr="00DC55B0">
        <w:rPr>
          <w:rFonts w:ascii="Calibri" w:hAnsi="Calibri" w:cs="Calibri"/>
          <w:b/>
          <w:bCs/>
        </w:rPr>
        <w:t xml:space="preserve"> </w:t>
      </w:r>
      <w:r w:rsidR="00624E8C" w:rsidRPr="00DC55B0">
        <w:rPr>
          <w:rFonts w:ascii="Calibri" w:hAnsi="Calibri" w:cs="Calibri"/>
        </w:rPr>
        <w:t>is</w:t>
      </w:r>
      <w:r w:rsidR="006B2778" w:rsidRPr="00DC55B0">
        <w:rPr>
          <w:rFonts w:ascii="Calibri" w:hAnsi="Calibri" w:cs="Calibri"/>
        </w:rPr>
        <w:t xml:space="preserve"> a zoonotic</w:t>
      </w:r>
      <w:r w:rsidR="00D96214" w:rsidRPr="00DC55B0">
        <w:rPr>
          <w:rFonts w:ascii="Calibri" w:hAnsi="Calibri" w:cs="Calibri"/>
        </w:rPr>
        <w:t xml:space="preserve"> disease </w:t>
      </w:r>
      <w:r w:rsidR="00C018C5" w:rsidRPr="00DC55B0">
        <w:rPr>
          <w:rFonts w:ascii="Calibri" w:hAnsi="Calibri" w:cs="Calibri"/>
        </w:rPr>
        <w:t>endemic</w:t>
      </w:r>
      <w:r w:rsidR="00D96214" w:rsidRPr="00DC55B0">
        <w:rPr>
          <w:rFonts w:ascii="Calibri" w:hAnsi="Calibri" w:cs="Calibri"/>
        </w:rPr>
        <w:t xml:space="preserve"> to West Africa</w:t>
      </w:r>
      <w:r w:rsidR="00E90CE8" w:rsidRPr="00DC55B0">
        <w:rPr>
          <w:rFonts w:ascii="Calibri" w:hAnsi="Calibri" w:cs="Calibri"/>
        </w:rPr>
        <w:t xml:space="preserve">, which </w:t>
      </w:r>
      <w:r w:rsidR="00D90C86" w:rsidRPr="00DC55B0">
        <w:rPr>
          <w:rFonts w:ascii="Calibri" w:hAnsi="Calibri" w:cs="Calibri"/>
        </w:rPr>
        <w:t>causes haemorrhagic fever</w:t>
      </w:r>
      <w:r w:rsidR="0027314C" w:rsidRPr="00DC55B0">
        <w:rPr>
          <w:rFonts w:ascii="Calibri" w:hAnsi="Calibri" w:cs="Calibri"/>
        </w:rPr>
        <w:t>. Pregnancy is associated with a 2.86-fold increased risk of death</w:t>
      </w:r>
      <w:r w:rsidR="00F46D8F" w:rsidRPr="00DC55B0">
        <w:rPr>
          <w:rFonts w:ascii="Calibri" w:hAnsi="Calibri" w:cs="Calibri"/>
        </w:rPr>
        <w:t>.</w:t>
      </w:r>
      <w:r w:rsidR="00D90C86" w:rsidRPr="00DC55B0">
        <w:rPr>
          <w:rFonts w:ascii="Calibri" w:hAnsi="Calibri" w:cs="Calibri"/>
        </w:rPr>
        <w:fldChar w:fldCharType="begin"/>
      </w:r>
      <w:r w:rsidR="00F807FE" w:rsidRPr="00DC55B0">
        <w:rPr>
          <w:rFonts w:ascii="Calibri" w:hAnsi="Calibri" w:cs="Calibri"/>
        </w:rPr>
        <w:instrText xml:space="preserve"> ADDIN ZOTERO_ITEM CSL_CITATION {"citationID":"NPjkBn93","properties":{"formattedCitation":"\\super 138\\nosupersub{}","plainCitation":"138","noteIndex":0},"citationItems":[{"id":249,"uris":["http://zotero.org/users/14445769/items/S2X85H49"],"itemData":{"id":249,"type":"article-journal","abstract":"Lassa fever is a zoonotic infection endemic to West Africa and is known to have adverse effects in pregnancy. We sought to synthesize and critically appraise currently available evidence on the effects of Lassa fever in pregnancy. An exhaustive bibliographic search from dates of inception to 30 September 2019 yielded 13 studies, from which individual patient data were extracted. The absolute risk of maternal death associated with Lassa fever was estimated at 33.73% (95% CI 22.05 to 46.42%, I2=72.40%, p=0.0014). The relative risk of death in pregnant women compared with non-pregnant women was estimated at 2·86 (95% CI 1.77 to 4.63, I2=27.27%, p=0.239). The formal gap analysis shows imprecise data on the risk of Lassa-related maternal and perinatal mortality and insufficient data for other pregnancy outcomes. The currently available evidence for the use of ribavirin in pregnant patients is not conclusive. With a threefold increased risk of mortality, there is a need to prioritize pregnant women as a special subgroup of interest for Lassa research. Robust prospective studies estimating the true incidence of adverse maternal and perinatal outcomes and randomized controlled trials to evaluate the efficacy of therapeutics for maternal Lassa virus infection are urgently needed.","container-title":"Transactions of the Royal Society of Tropical Medicine and Hygiene","DOI":"10.1093/trstmh/traa011","ISSN":"1878-3503","issue":"5","journalAbbreviation":"Trans R Soc Trop Med Hyg","language":"eng","note":"PMID: 32125412\nPMCID: PMC7197258","page":"385-396","source":"PubMed","title":"Lassa fever in pregnancy: a systematic review and meta-analysis","title-short":"Lassa fever in pregnancy","volume":"114","author":[{"family":"Kayem","given":"Nzelle D."},{"family":"Benson","given":"Charlotte"},{"family":"Aye","given":"Christina Y. L."},{"family":"Barker","given":"Sarah"},{"family":"Tome","given":"Mariana"},{"family":"Kennedy","given":"Stephen"},{"family":"Ariana","given":"Proochista"},{"family":"Horby","given":"Peter"}],"issued":{"date-parts":[["2020",5,7]]}}}],"schema":"https://github.com/citation-style-language/schema/raw/master/csl-citation.json"} </w:instrText>
      </w:r>
      <w:r w:rsidR="00D90C86" w:rsidRPr="00DC55B0">
        <w:rPr>
          <w:rFonts w:ascii="Calibri" w:hAnsi="Calibri" w:cs="Calibri"/>
        </w:rPr>
        <w:fldChar w:fldCharType="separate"/>
      </w:r>
      <w:r w:rsidR="00F807FE" w:rsidRPr="00DC55B0">
        <w:rPr>
          <w:rFonts w:ascii="Calibri" w:hAnsi="Calibri" w:cs="Calibri"/>
          <w:kern w:val="0"/>
          <w:vertAlign w:val="superscript"/>
        </w:rPr>
        <w:t>138</w:t>
      </w:r>
      <w:r w:rsidR="00D90C86" w:rsidRPr="00DC55B0">
        <w:rPr>
          <w:rFonts w:ascii="Calibri" w:hAnsi="Calibri" w:cs="Calibri"/>
        </w:rPr>
        <w:fldChar w:fldCharType="end"/>
      </w:r>
      <w:r w:rsidR="00E37ACA" w:rsidRPr="00DC55B0">
        <w:rPr>
          <w:rFonts w:ascii="Calibri" w:hAnsi="Calibri" w:cs="Calibri"/>
        </w:rPr>
        <w:t xml:space="preserve"> A </w:t>
      </w:r>
      <w:r w:rsidR="0003449A" w:rsidRPr="00DC55B0">
        <w:rPr>
          <w:rFonts w:ascii="Calibri" w:hAnsi="Calibri" w:cs="Calibri"/>
        </w:rPr>
        <w:t>VSV-vectored vaccine candidate entered phase 2 trials in 2024 (NCT05868733).</w:t>
      </w:r>
    </w:p>
    <w:p w14:paraId="21F8D2D0" w14:textId="644A25F7" w:rsidR="00515BEF" w:rsidRPr="00DC55B0" w:rsidRDefault="00E90AFF" w:rsidP="001F3ACA">
      <w:pPr>
        <w:pStyle w:val="ListParagraph"/>
        <w:numPr>
          <w:ilvl w:val="0"/>
          <w:numId w:val="16"/>
        </w:numPr>
        <w:rPr>
          <w:rFonts w:ascii="Calibri" w:hAnsi="Calibri" w:cs="Calibri"/>
          <w:b/>
          <w:bCs/>
        </w:rPr>
      </w:pPr>
      <w:r w:rsidRPr="00DC55B0">
        <w:rPr>
          <w:rFonts w:ascii="Calibri" w:hAnsi="Calibri" w:cs="Calibri"/>
          <w:b/>
          <w:bCs/>
        </w:rPr>
        <w:t>Hepatitis E</w:t>
      </w:r>
      <w:r w:rsidR="00653AA2" w:rsidRPr="00DC55B0">
        <w:rPr>
          <w:rFonts w:ascii="Calibri" w:hAnsi="Calibri" w:cs="Calibri"/>
          <w:b/>
          <w:bCs/>
        </w:rPr>
        <w:t xml:space="preserve"> virus </w:t>
      </w:r>
      <w:r w:rsidR="00653AA2" w:rsidRPr="00DC55B0">
        <w:rPr>
          <w:rFonts w:ascii="Calibri" w:hAnsi="Calibri" w:cs="Calibri"/>
        </w:rPr>
        <w:t xml:space="preserve">is transmitted </w:t>
      </w:r>
      <w:r w:rsidR="00AF21A9" w:rsidRPr="00DC55B0">
        <w:rPr>
          <w:rFonts w:ascii="Calibri" w:hAnsi="Calibri" w:cs="Calibri"/>
        </w:rPr>
        <w:t>by the fecal-oral route and causes acute hepatitis.</w:t>
      </w:r>
      <w:r w:rsidR="009C23CD" w:rsidRPr="00DC55B0">
        <w:rPr>
          <w:rFonts w:ascii="Calibri" w:hAnsi="Calibri" w:cs="Calibri"/>
          <w:b/>
          <w:bCs/>
        </w:rPr>
        <w:t xml:space="preserve"> </w:t>
      </w:r>
      <w:r w:rsidR="00F46D8F" w:rsidRPr="00DC55B0">
        <w:rPr>
          <w:rFonts w:ascii="Calibri" w:hAnsi="Calibri" w:cs="Calibri"/>
        </w:rPr>
        <w:t>I</w:t>
      </w:r>
      <w:r w:rsidR="009C23CD" w:rsidRPr="00DC55B0">
        <w:rPr>
          <w:rFonts w:ascii="Calibri" w:hAnsi="Calibri" w:cs="Calibri"/>
        </w:rPr>
        <w:t>nfection</w:t>
      </w:r>
      <w:r w:rsidR="00F46D8F" w:rsidRPr="00DC55B0">
        <w:rPr>
          <w:rFonts w:ascii="Calibri" w:hAnsi="Calibri" w:cs="Calibri"/>
        </w:rPr>
        <w:t xml:space="preserve"> in pregnancy</w:t>
      </w:r>
      <w:r w:rsidR="009C23CD" w:rsidRPr="00DC55B0">
        <w:rPr>
          <w:rFonts w:ascii="Calibri" w:hAnsi="Calibri" w:cs="Calibri"/>
        </w:rPr>
        <w:t xml:space="preserve"> i</w:t>
      </w:r>
      <w:r w:rsidR="004E4CCF" w:rsidRPr="00DC55B0">
        <w:rPr>
          <w:rFonts w:ascii="Calibri" w:hAnsi="Calibri" w:cs="Calibri"/>
        </w:rPr>
        <w:t>s associated with a 6-fold increased risk of death</w:t>
      </w:r>
      <w:r w:rsidR="00F36B31" w:rsidRPr="00DC55B0">
        <w:rPr>
          <w:rFonts w:ascii="Calibri" w:hAnsi="Calibri" w:cs="Calibri"/>
        </w:rPr>
        <w:t>.</w:t>
      </w:r>
      <w:r w:rsidR="005C5437" w:rsidRPr="00DC55B0">
        <w:rPr>
          <w:rFonts w:ascii="Calibri" w:hAnsi="Calibri" w:cs="Calibri"/>
        </w:rPr>
        <w:fldChar w:fldCharType="begin"/>
      </w:r>
      <w:r w:rsidR="00F807FE" w:rsidRPr="00DC55B0">
        <w:rPr>
          <w:rFonts w:ascii="Calibri" w:hAnsi="Calibri" w:cs="Calibri"/>
        </w:rPr>
        <w:instrText xml:space="preserve"> ADDIN ZOTERO_ITEM CSL_CITATION {"citationID":"26ZZCsJN","properties":{"formattedCitation":"\\super 139\\nosupersub{}","plainCitation":"139","noteIndex":0},"citationItems":[{"id":250,"uris":["http://zotero.org/users/14445769/items/ATW4HAHN"],"itemData":{"id":250,"type":"article-journal","abstract":"BACKGROUND: Hepatitis E virus (HEV) infection is known to cause severe liver disease in pregnant women. It is unclear whether obstetric and fetal outcomes are worse in pregnant women with HEV infection than in women with other forms of viral hepatitis.\nOBJECTIVE: To compare maternal, obstetric, and fetal outcomes in pregnant women with acute viral hepatitis caused by HEV and other hepatitis viruses.\nDESIGN: Observational cohort.\nSETTING: Tertiary care hospital, New Delhi, India.\nPATIENTS: 220 consecutive pregnant women presenting with jaundice caused by acute viral hepatitis.\nMEASUREMENTS: Maternal mortality and medical complications, obstetric complications, deliveries, and fetal outcomes.\nRESULTS: Infection with HEV caused acute viral hepatitis in 60% of included women. Fulminant hepatic failure was more common (relative risk, 2.7 [95% CI, 1.7 to 4.2]; P = 0.001) and maternal mortality was greater (relative risk, 6.0 [CI, 2.7 to 13.3]; P &lt; 0.001) in HEV-infected women than in non-HEV-infected women. Women with HEV infection were more likely than those with other forms of viral hepatitis to have obstetric complications (relative risk, 4.1 [CI, 1.7 to 10.2] for antepartum hemorrhage and 1.9 [CI, 1.3 to 2.7] for intrauterine fetal death; P &lt; 0.001 for both) and poor fetal outcomes (relative risk, 1.2 [CI, 1.0 to 1.4] for preterm delivery [P = 0.005] and 1.8 [CI, 1.2 to 2.5] for stillbirth [P = 0.026]).\nLIMITATIONS: The findings may not apply to community settings, to women who are asymptomatic or have only minor symptoms, or in the setting of an HEV epidemic.\nCONCLUSIONS: Pregnant women with jaundice and acute viral hepatitis caused by HEV infection had a higher maternal mortality rate and worse obstetric and fetal outcomes than did pregnant women with jaundice and acute viral hepatitis caused by other types of viral hepatitis.","container-title":"Annals of Internal Medicine","DOI":"10.7326/0003-4819-147-1-200707030-00005","ISSN":"1539-3704","issue":"1","journalAbbreviation":"Ann Intern Med","language":"eng","note":"PMID: 17606958","page":"28-33","source":"PubMed","title":"Maternal and fetal outcomes in pregnant women with acute hepatitis E virus infection","volume":"147","author":[{"family":"Patra","given":"Sharda"},{"family":"Kumar","given":"Ashish"},{"family":"Trivedi","given":"Shubha Sagar"},{"family":"Puri","given":"Manju"},{"family":"Sarin","given":"Shiv Kumar"}],"issued":{"date-parts":[["2007",7,3]]}}}],"schema":"https://github.com/citation-style-language/schema/raw/master/csl-citation.json"} </w:instrText>
      </w:r>
      <w:r w:rsidR="005C5437" w:rsidRPr="00DC55B0">
        <w:rPr>
          <w:rFonts w:ascii="Calibri" w:hAnsi="Calibri" w:cs="Calibri"/>
        </w:rPr>
        <w:fldChar w:fldCharType="separate"/>
      </w:r>
      <w:r w:rsidR="00F807FE" w:rsidRPr="00DC55B0">
        <w:rPr>
          <w:rFonts w:ascii="Calibri" w:hAnsi="Calibri" w:cs="Calibri"/>
          <w:kern w:val="0"/>
          <w:vertAlign w:val="superscript"/>
        </w:rPr>
        <w:t>139</w:t>
      </w:r>
      <w:r w:rsidR="005C5437" w:rsidRPr="00DC55B0">
        <w:rPr>
          <w:rFonts w:ascii="Calibri" w:hAnsi="Calibri" w:cs="Calibri"/>
        </w:rPr>
        <w:fldChar w:fldCharType="end"/>
      </w:r>
      <w:r w:rsidR="004E4CCF" w:rsidRPr="00DC55B0">
        <w:rPr>
          <w:rFonts w:ascii="Calibri" w:hAnsi="Calibri" w:cs="Calibri"/>
        </w:rPr>
        <w:t xml:space="preserve"> </w:t>
      </w:r>
      <w:r w:rsidR="0027380A" w:rsidRPr="00DC55B0">
        <w:rPr>
          <w:rFonts w:ascii="Calibri" w:hAnsi="Calibri" w:cs="Calibri"/>
        </w:rPr>
        <w:t xml:space="preserve">A </w:t>
      </w:r>
      <w:r w:rsidR="00DC71B5" w:rsidRPr="00DC55B0">
        <w:rPr>
          <w:rFonts w:ascii="Calibri" w:hAnsi="Calibri" w:cs="Calibri"/>
        </w:rPr>
        <w:t xml:space="preserve">virus-like-particle </w:t>
      </w:r>
      <w:r w:rsidR="0027380A" w:rsidRPr="00DC55B0">
        <w:rPr>
          <w:rFonts w:ascii="Calibri" w:hAnsi="Calibri" w:cs="Calibri"/>
        </w:rPr>
        <w:t>vaccine against Hepatitis E has been licensed for use in China</w:t>
      </w:r>
      <w:r w:rsidR="00EB4B27" w:rsidRPr="00DC55B0">
        <w:rPr>
          <w:rFonts w:ascii="Calibri" w:hAnsi="Calibri" w:cs="Calibri"/>
        </w:rPr>
        <w:t>. T</w:t>
      </w:r>
      <w:r w:rsidR="00AD1973" w:rsidRPr="00DC55B0">
        <w:rPr>
          <w:rFonts w:ascii="Calibri" w:hAnsi="Calibri" w:cs="Calibri"/>
        </w:rPr>
        <w:t xml:space="preserve">he WHO has not recommended its widespread adoption, due to insufficient </w:t>
      </w:r>
      <w:r w:rsidR="00EB4B27" w:rsidRPr="00DC55B0">
        <w:rPr>
          <w:rFonts w:ascii="Calibri" w:hAnsi="Calibri" w:cs="Calibri"/>
        </w:rPr>
        <w:t>information on safety and effectiveness</w:t>
      </w:r>
      <w:r w:rsidR="00EB4B27" w:rsidRPr="00DC55B0">
        <w:rPr>
          <w:rFonts w:ascii="Calibri" w:hAnsi="Calibri" w:cs="Calibri"/>
        </w:rPr>
        <w:fldChar w:fldCharType="begin"/>
      </w:r>
      <w:r w:rsidR="00F807FE" w:rsidRPr="00DC55B0">
        <w:rPr>
          <w:rFonts w:ascii="Calibri" w:hAnsi="Calibri" w:cs="Calibri"/>
        </w:rPr>
        <w:instrText xml:space="preserve"> ADDIN ZOTERO_ITEM CSL_CITATION {"citationID":"gvGhMPa0","properties":{"formattedCitation":"\\super 140\\nosupersub{}","plainCitation":"140","noteIndex":0},"citationItems":[{"id":251,"uris":["http://zotero.org/users/14445769/items/DHBKUQDE"],"itemData":{"id":251,"type":"webpage","title":"Hepatitis E vaccine: WHO position paper, May 2015","URL":"https://iris.who.int/bitstream/handle/10665/242352/WER9018_185-200.PDF?sequence=1","author":[{"literal":"World Health Organization"}],"issued":{"date-parts":[["2015",5]]}}}],"schema":"https://github.com/citation-style-language/schema/raw/master/csl-citation.json"} </w:instrText>
      </w:r>
      <w:r w:rsidR="00EB4B27" w:rsidRPr="00DC55B0">
        <w:rPr>
          <w:rFonts w:ascii="Calibri" w:hAnsi="Calibri" w:cs="Calibri"/>
        </w:rPr>
        <w:fldChar w:fldCharType="separate"/>
      </w:r>
      <w:r w:rsidR="00F807FE" w:rsidRPr="00DC55B0">
        <w:rPr>
          <w:rFonts w:ascii="Calibri" w:hAnsi="Calibri" w:cs="Calibri"/>
          <w:kern w:val="0"/>
          <w:vertAlign w:val="superscript"/>
        </w:rPr>
        <w:t>140</w:t>
      </w:r>
      <w:r w:rsidR="00EB4B27" w:rsidRPr="00DC55B0">
        <w:rPr>
          <w:rFonts w:ascii="Calibri" w:hAnsi="Calibri" w:cs="Calibri"/>
        </w:rPr>
        <w:fldChar w:fldCharType="end"/>
      </w:r>
      <w:r w:rsidR="00EB4B27" w:rsidRPr="00DC55B0">
        <w:rPr>
          <w:rFonts w:ascii="Calibri" w:hAnsi="Calibri" w:cs="Calibri"/>
        </w:rPr>
        <w:t xml:space="preserve"> but </w:t>
      </w:r>
      <w:r w:rsidR="00C8128B" w:rsidRPr="00DC55B0">
        <w:rPr>
          <w:rFonts w:ascii="Calibri" w:hAnsi="Calibri" w:cs="Calibri"/>
        </w:rPr>
        <w:t>the publication</w:t>
      </w:r>
      <w:r w:rsidR="00F42336" w:rsidRPr="00DC55B0">
        <w:rPr>
          <w:rFonts w:ascii="Calibri" w:hAnsi="Calibri" w:cs="Calibri"/>
        </w:rPr>
        <w:t>, in 2024,</w:t>
      </w:r>
      <w:r w:rsidR="00C8128B" w:rsidRPr="00DC55B0">
        <w:rPr>
          <w:rFonts w:ascii="Calibri" w:hAnsi="Calibri" w:cs="Calibri"/>
        </w:rPr>
        <w:t xml:space="preserve"> of results from a </w:t>
      </w:r>
      <w:r w:rsidR="00F42336" w:rsidRPr="00DC55B0">
        <w:rPr>
          <w:rFonts w:ascii="Calibri" w:hAnsi="Calibri" w:cs="Calibri"/>
        </w:rPr>
        <w:t xml:space="preserve">ten-year </w:t>
      </w:r>
      <w:r w:rsidR="00C8128B" w:rsidRPr="00DC55B0">
        <w:rPr>
          <w:rFonts w:ascii="Calibri" w:hAnsi="Calibri" w:cs="Calibri"/>
        </w:rPr>
        <w:t>phase 3 trial may change this.</w:t>
      </w:r>
      <w:r w:rsidR="00B77A11" w:rsidRPr="00DC55B0">
        <w:rPr>
          <w:rFonts w:ascii="Calibri" w:hAnsi="Calibri" w:cs="Calibri"/>
        </w:rPr>
        <w:fldChar w:fldCharType="begin"/>
      </w:r>
      <w:r w:rsidR="00F807FE" w:rsidRPr="00DC55B0">
        <w:rPr>
          <w:rFonts w:ascii="Calibri" w:hAnsi="Calibri" w:cs="Calibri"/>
        </w:rPr>
        <w:instrText xml:space="preserve"> ADDIN ZOTERO_ITEM CSL_CITATION {"citationID":"tYg29GrU","properties":{"formattedCitation":"\\super 141\\nosupersub{}","plainCitation":"141","noteIndex":0},"citationItems":[{"id":252,"uris":["http://zotero.org/users/14445769/items/FT8EWX6Z"],"itemData":{"id":252,"type":"article-journal","abstract":"BACKGROUND: Hepatitis E virus (HEV) is a frequently overlooked causative agent of acute hepatitis. Evaluating the long-term durability of hepatitis E vaccine efficacy holds crucial importance.\nMETHODS: This study was an extension to a randomised, double-blind, placebo-controlled, phase-3 clinical trial of the hepatitis E vaccine conducted in Dontai County, Jiangsu, China. Participants were recruited from 11 townships in Dongtai County. In the initial trial, a total of 112 604 healthy adults aged 16-65 years were enrolled, stratified according to age and sex, and randomly assigned in a 1:1 ratio to receive three doses of hepatitis E vaccine or placebo intramuscularly at month 0, month 1, and month 6. A sensitive hepatitis E surveillance system including 205 clinical sentinels, covering the entire study region, was established and maintained for 10 years after vaccination. The primary outcome was the per-protocol efficacy of hepatitis E virus vaccine to prevent confirmed hepatitis E occurring at least 30 days after administration of the third dose. Throughout the study, the participants, site investigators, and laboratory staff remained blinded to the treatment assignments. This study is registered with ClinicalTrials.gov (NCT01014845).\nFINDINGS: During the 10-year study period from Aug 22, 2007, to Oct 31, 2017, 90 people with hepatitis E were identified; 13 in the vaccine group (0·2 per 10 000 person-years) and 77 in the placebo group (1·4 per 10 000 person-years), corresponding to a vaccine efficacy of 83·1% (95% CI 69·4-91·4) in the modified intention-to-treat analysis and 86·6% (73·0 to 94·1) in the per-protocol analysis. In the subsets of participants assessed for immunogenicity persistence, of those who were seronegative at baseline and received three doses of hepatitis E vaccine, 254 (87·3%) of 291 vaccinees in Qindong at the 8·5-year mark and 1270 (73·0%) of 1740 vaccinees in Anfeng at the 7·5-year mark maintained detectable concentrations of antibodies.\nINTERPRETATION: Immunisation with this hepatitis E vaccine offers durable protection against hepatitis E for up to 10 years, with vaccine-induced antibodies against HEV persisting for at least 8·5 years.\nFUNDING: National Natural Science Foundation of China, Fujian Provincial Natural Science Foundation, Chinese Academy of Medical Sciences Innovation Fund for Medical Sciences, and the Fundamental Research Funds for the Central Universities.","container-title":"Lancet (London, England)","DOI":"10.1016/S0140-6736(23)02234-1","ISSN":"1474-547X","issue":"10429","journalAbbreviation":"Lancet","language":"eng","note":"PMID: 38387470","page":"813-823","source":"PubMed","title":"Long-term efficacy of a recombinant hepatitis E vaccine in adults: 10-year results from a randomised, double-blind, placebo-controlled, phase 3 trial","title-short":"Long-term efficacy of a recombinant hepatitis E vaccine in adults","volume":"403","author":[{"family":"Huang","given":"Shoujie"},{"family":"Zhang","given":"Xuefeng"},{"family":"Su","given":"Yingying"},{"family":"Zhuang","given":"Chunlan"},{"family":"Tang","given":"Zimin"},{"family":"Huang","given":"Xingcheng"},{"family":"Chen","given":"Qi"},{"family":"Zhu","given":"Kongxin"},{"family":"Hu","given":"Xiaowen"},{"family":"Ying","given":"Dong"},{"family":"Liu","given":"Xiaohui"},{"family":"Jiang","given":"Hanmin"},{"family":"Zang","given":"Xia"},{"family":"Wang","given":"Zhongze"},{"family":"Yang","given":"Changlin"},{"family":"Liu","given":"Donglin"},{"family":"Wang","given":"Yijun"},{"family":"Tang","given":"Quan"},{"family":"Shen","given":"Wentong"},{"family":"Cao","given":"Huanhuan"},{"family":"Pan","given":"Huirong"},{"family":"Ge","given":"Shengxiang"},{"family":"Huang","given":"Yue"},{"family":"Wu","given":"Ting"},{"family":"Zheng","given":"Zizheng"},{"family":"Zhu","given":"Fengcai"},{"family":"Zhang","given":"Jun"},{"family":"Xia","given":"Ningshao"}],"issued":{"date-parts":[["2024",3,2]]}}}],"schema":"https://github.com/citation-style-language/schema/raw/master/csl-citation.json"} </w:instrText>
      </w:r>
      <w:r w:rsidR="00B77A11" w:rsidRPr="00DC55B0">
        <w:rPr>
          <w:rFonts w:ascii="Calibri" w:hAnsi="Calibri" w:cs="Calibri"/>
        </w:rPr>
        <w:fldChar w:fldCharType="separate"/>
      </w:r>
      <w:r w:rsidR="00F807FE" w:rsidRPr="00DC55B0">
        <w:rPr>
          <w:rFonts w:ascii="Calibri" w:hAnsi="Calibri" w:cs="Calibri"/>
          <w:kern w:val="0"/>
          <w:vertAlign w:val="superscript"/>
        </w:rPr>
        <w:t>141</w:t>
      </w:r>
      <w:r w:rsidR="00B77A11" w:rsidRPr="00DC55B0">
        <w:rPr>
          <w:rFonts w:ascii="Calibri" w:hAnsi="Calibri" w:cs="Calibri"/>
        </w:rPr>
        <w:fldChar w:fldCharType="end"/>
      </w:r>
    </w:p>
    <w:p w14:paraId="712B5CC4" w14:textId="77777777" w:rsidR="00E90AFF" w:rsidRPr="00DC55B0" w:rsidRDefault="00E90AFF" w:rsidP="001F3ACA">
      <w:pPr>
        <w:rPr>
          <w:rFonts w:ascii="Calibri" w:hAnsi="Calibri" w:cs="Calibri"/>
          <w:b/>
          <w:bCs/>
        </w:rPr>
      </w:pPr>
      <w:r w:rsidRPr="00DC55B0">
        <w:rPr>
          <w:rFonts w:ascii="Calibri" w:hAnsi="Calibri" w:cs="Calibri"/>
          <w:b/>
          <w:bCs/>
        </w:rPr>
        <w:t>Infections that are more severe in newborns</w:t>
      </w:r>
    </w:p>
    <w:p w14:paraId="4396BFC8" w14:textId="3AA704C4" w:rsidR="00717CDB" w:rsidRPr="00DC55B0" w:rsidRDefault="00077AF0" w:rsidP="001F3ACA">
      <w:pPr>
        <w:pStyle w:val="ListParagraph"/>
        <w:numPr>
          <w:ilvl w:val="0"/>
          <w:numId w:val="16"/>
        </w:numPr>
        <w:rPr>
          <w:rFonts w:ascii="Calibri" w:hAnsi="Calibri" w:cs="Calibri"/>
        </w:rPr>
      </w:pPr>
      <w:r w:rsidRPr="00DC55B0">
        <w:rPr>
          <w:rFonts w:ascii="Calibri" w:hAnsi="Calibri" w:cs="Calibri"/>
        </w:rPr>
        <w:t xml:space="preserve">Infants are at greater risk of </w:t>
      </w:r>
      <w:r w:rsidRPr="00DC55B0">
        <w:rPr>
          <w:rFonts w:ascii="Calibri" w:hAnsi="Calibri" w:cs="Calibri"/>
          <w:b/>
          <w:bCs/>
        </w:rPr>
        <w:t xml:space="preserve">tuberculosis </w:t>
      </w:r>
      <w:r w:rsidRPr="00DC55B0">
        <w:rPr>
          <w:rFonts w:ascii="Calibri" w:hAnsi="Calibri" w:cs="Calibri"/>
        </w:rPr>
        <w:t>but the</w:t>
      </w:r>
      <w:r w:rsidR="008407F9" w:rsidRPr="00DC55B0">
        <w:rPr>
          <w:rFonts w:ascii="Calibri" w:hAnsi="Calibri" w:cs="Calibri"/>
        </w:rPr>
        <w:t xml:space="preserve"> potential for harm from BCG administration, together with the relatively low effectiveness of this vaccine, means that the development of a new vaccine is a priority.</w:t>
      </w:r>
      <w:r w:rsidRPr="00DC55B0">
        <w:rPr>
          <w:rFonts w:ascii="Calibri" w:hAnsi="Calibri" w:cs="Calibri"/>
        </w:rPr>
        <w:t xml:space="preserve"> </w:t>
      </w:r>
      <w:r w:rsidR="00462CB7" w:rsidRPr="00DC55B0">
        <w:rPr>
          <w:rFonts w:ascii="Calibri" w:hAnsi="Calibri" w:cs="Calibri"/>
        </w:rPr>
        <w:t>Trials of a new</w:t>
      </w:r>
      <w:r w:rsidR="0069014E" w:rsidRPr="00DC55B0">
        <w:rPr>
          <w:rFonts w:ascii="Calibri" w:hAnsi="Calibri" w:cs="Calibri"/>
        </w:rPr>
        <w:t xml:space="preserve"> adjuvanted subunit vaccine (M72/AS01E)</w:t>
      </w:r>
      <w:r w:rsidR="00462CB7" w:rsidRPr="00DC55B0">
        <w:rPr>
          <w:rFonts w:ascii="Calibri" w:hAnsi="Calibri" w:cs="Calibri"/>
        </w:rPr>
        <w:t xml:space="preserve"> </w:t>
      </w:r>
      <w:r w:rsidR="00742FA8" w:rsidRPr="00DC55B0">
        <w:rPr>
          <w:rFonts w:ascii="Calibri" w:hAnsi="Calibri" w:cs="Calibri"/>
        </w:rPr>
        <w:t xml:space="preserve">in non-pregnant adults </w:t>
      </w:r>
      <w:r w:rsidR="00A86FCB" w:rsidRPr="00DC55B0">
        <w:rPr>
          <w:rFonts w:ascii="Calibri" w:hAnsi="Calibri" w:cs="Calibri"/>
        </w:rPr>
        <w:t>began in South Africa in 2024</w:t>
      </w:r>
      <w:r w:rsidR="003538E3" w:rsidRPr="00DC55B0">
        <w:rPr>
          <w:rFonts w:ascii="Calibri" w:hAnsi="Calibri" w:cs="Calibri"/>
        </w:rPr>
        <w:t>, and vaccination prior to conception may provide some protection for newborns.</w:t>
      </w:r>
    </w:p>
    <w:p w14:paraId="7F2A410C" w14:textId="77777777" w:rsidR="00B03642" w:rsidRPr="00DC55B0" w:rsidRDefault="00B03642" w:rsidP="001F3ACA">
      <w:pPr>
        <w:rPr>
          <w:rFonts w:ascii="Calibri" w:hAnsi="Calibri" w:cs="Calibri"/>
        </w:rPr>
      </w:pPr>
    </w:p>
    <w:p w14:paraId="113020EE" w14:textId="29DDE3CD" w:rsidR="000E65C7" w:rsidRPr="00DC55B0" w:rsidRDefault="000E65C7" w:rsidP="001F3ACA">
      <w:pPr>
        <w:rPr>
          <w:rFonts w:ascii="Calibri" w:hAnsi="Calibri" w:cs="Calibri"/>
        </w:rPr>
      </w:pPr>
      <w:r w:rsidRPr="00DC55B0">
        <w:rPr>
          <w:rFonts w:ascii="Calibri" w:hAnsi="Calibri" w:cs="Calibri"/>
          <w:i/>
          <w:iCs/>
        </w:rPr>
        <w:br w:type="page"/>
      </w:r>
    </w:p>
    <w:p w14:paraId="50ABFDDD" w14:textId="498FED12" w:rsidR="00D4233B" w:rsidRPr="00DC55B0" w:rsidRDefault="00D4233B" w:rsidP="001F3ACA">
      <w:pPr>
        <w:rPr>
          <w:rFonts w:ascii="Calibri" w:hAnsi="Calibri" w:cs="Calibri"/>
          <w:i/>
          <w:iCs/>
        </w:rPr>
      </w:pPr>
      <w:r w:rsidRPr="00DC55B0">
        <w:rPr>
          <w:rFonts w:ascii="Calibri" w:hAnsi="Calibri" w:cs="Calibri"/>
          <w:i/>
          <w:iCs/>
        </w:rPr>
        <w:lastRenderedPageBreak/>
        <w:t xml:space="preserve">Table 1 – Vaccines </w:t>
      </w:r>
      <w:r w:rsidR="004436A0" w:rsidRPr="00DC55B0">
        <w:rPr>
          <w:rFonts w:ascii="Calibri" w:hAnsi="Calibri" w:cs="Calibri"/>
          <w:i/>
          <w:iCs/>
        </w:rPr>
        <w:t>recommended</w:t>
      </w:r>
      <w:r w:rsidRPr="00DC55B0">
        <w:rPr>
          <w:rFonts w:ascii="Calibri" w:hAnsi="Calibri" w:cs="Calibri"/>
          <w:i/>
          <w:iCs/>
        </w:rPr>
        <w:t xml:space="preserve"> during pregnancy in the UK</w:t>
      </w:r>
    </w:p>
    <w:p w14:paraId="34B95559" w14:textId="77777777" w:rsidR="007C5F2D" w:rsidRPr="00DC55B0" w:rsidRDefault="007C5F2D" w:rsidP="001F3ACA">
      <w:pPr>
        <w:rPr>
          <w:rFonts w:ascii="Calibri" w:hAnsi="Calibri" w:cs="Calibri"/>
          <w:i/>
          <w:iCs/>
        </w:rPr>
      </w:pPr>
    </w:p>
    <w:tbl>
      <w:tblPr>
        <w:tblStyle w:val="TableGrid"/>
        <w:tblW w:w="8926" w:type="dxa"/>
        <w:tblLayout w:type="fixed"/>
        <w:tblLook w:val="04A0" w:firstRow="1" w:lastRow="0" w:firstColumn="1" w:lastColumn="0" w:noHBand="0" w:noVBand="1"/>
      </w:tblPr>
      <w:tblGrid>
        <w:gridCol w:w="1540"/>
        <w:gridCol w:w="1541"/>
        <w:gridCol w:w="1876"/>
        <w:gridCol w:w="992"/>
        <w:gridCol w:w="2410"/>
        <w:gridCol w:w="567"/>
      </w:tblGrid>
      <w:tr w:rsidR="00684552" w:rsidRPr="00DC55B0" w14:paraId="162A1C03" w14:textId="77777777" w:rsidTr="00684552">
        <w:trPr>
          <w:trHeight w:val="602"/>
        </w:trPr>
        <w:tc>
          <w:tcPr>
            <w:tcW w:w="1540" w:type="dxa"/>
          </w:tcPr>
          <w:p w14:paraId="18F0EDAF" w14:textId="6940840D" w:rsidR="00684552" w:rsidRPr="00DC55B0" w:rsidRDefault="00684552" w:rsidP="001F3ACA">
            <w:pPr>
              <w:rPr>
                <w:rFonts w:ascii="Calibri" w:hAnsi="Calibri" w:cs="Calibri"/>
                <w:sz w:val="22"/>
                <w:szCs w:val="22"/>
              </w:rPr>
            </w:pPr>
            <w:r w:rsidRPr="00DC55B0">
              <w:rPr>
                <w:rFonts w:ascii="Calibri" w:hAnsi="Calibri" w:cs="Calibri"/>
                <w:sz w:val="22"/>
                <w:szCs w:val="22"/>
              </w:rPr>
              <w:t>Pathogen targeted</w:t>
            </w:r>
          </w:p>
        </w:tc>
        <w:tc>
          <w:tcPr>
            <w:tcW w:w="1541" w:type="dxa"/>
          </w:tcPr>
          <w:p w14:paraId="6DDB1974" w14:textId="6F334862" w:rsidR="00684552" w:rsidRPr="00DC55B0" w:rsidRDefault="00684552" w:rsidP="001F3ACA">
            <w:pPr>
              <w:rPr>
                <w:rFonts w:ascii="Calibri" w:hAnsi="Calibri" w:cs="Calibri"/>
                <w:sz w:val="22"/>
                <w:szCs w:val="22"/>
              </w:rPr>
            </w:pPr>
            <w:r w:rsidRPr="00DC55B0">
              <w:rPr>
                <w:rFonts w:ascii="Calibri" w:hAnsi="Calibri" w:cs="Calibri"/>
                <w:sz w:val="22"/>
                <w:szCs w:val="22"/>
              </w:rPr>
              <w:t>Vaccine name</w:t>
            </w:r>
          </w:p>
        </w:tc>
        <w:tc>
          <w:tcPr>
            <w:tcW w:w="1876" w:type="dxa"/>
          </w:tcPr>
          <w:p w14:paraId="096C70E7" w14:textId="6B22B8E0" w:rsidR="00684552" w:rsidRPr="00DC55B0" w:rsidRDefault="00684552" w:rsidP="001F3ACA">
            <w:pPr>
              <w:rPr>
                <w:rFonts w:ascii="Calibri" w:hAnsi="Calibri" w:cs="Calibri"/>
                <w:sz w:val="22"/>
                <w:szCs w:val="22"/>
              </w:rPr>
            </w:pPr>
            <w:r w:rsidRPr="00DC55B0">
              <w:rPr>
                <w:rFonts w:ascii="Calibri" w:hAnsi="Calibri" w:cs="Calibri"/>
                <w:sz w:val="22"/>
                <w:szCs w:val="22"/>
              </w:rPr>
              <w:t>Formulation</w:t>
            </w:r>
          </w:p>
        </w:tc>
        <w:tc>
          <w:tcPr>
            <w:tcW w:w="992" w:type="dxa"/>
          </w:tcPr>
          <w:p w14:paraId="725E03A9" w14:textId="33C121BC" w:rsidR="00684552" w:rsidRPr="00DC55B0" w:rsidRDefault="00684552" w:rsidP="001F3ACA">
            <w:pPr>
              <w:rPr>
                <w:rFonts w:ascii="Calibri" w:hAnsi="Calibri" w:cs="Calibri"/>
                <w:sz w:val="22"/>
                <w:szCs w:val="22"/>
              </w:rPr>
            </w:pPr>
            <w:r w:rsidRPr="00DC55B0">
              <w:rPr>
                <w:rFonts w:ascii="Calibri" w:hAnsi="Calibri" w:cs="Calibri"/>
                <w:sz w:val="22"/>
                <w:szCs w:val="22"/>
              </w:rPr>
              <w:t>Timing</w:t>
            </w:r>
          </w:p>
        </w:tc>
        <w:tc>
          <w:tcPr>
            <w:tcW w:w="2410" w:type="dxa"/>
          </w:tcPr>
          <w:p w14:paraId="071D863F" w14:textId="47CF2F7F" w:rsidR="00684552" w:rsidRPr="00DC55B0" w:rsidRDefault="00684552" w:rsidP="001F3ACA">
            <w:pPr>
              <w:rPr>
                <w:rFonts w:ascii="Calibri" w:hAnsi="Calibri" w:cs="Calibri"/>
                <w:sz w:val="22"/>
                <w:szCs w:val="22"/>
              </w:rPr>
            </w:pPr>
            <w:r w:rsidRPr="00DC55B0">
              <w:rPr>
                <w:rFonts w:ascii="Calibri" w:hAnsi="Calibri" w:cs="Calibri"/>
                <w:sz w:val="22"/>
                <w:szCs w:val="22"/>
              </w:rPr>
              <w:t>Considerations</w:t>
            </w:r>
          </w:p>
        </w:tc>
        <w:tc>
          <w:tcPr>
            <w:tcW w:w="567" w:type="dxa"/>
          </w:tcPr>
          <w:p w14:paraId="12B3C8C6" w14:textId="69B47774" w:rsidR="00684552" w:rsidRPr="00DC55B0" w:rsidRDefault="00684552" w:rsidP="001F3ACA">
            <w:pPr>
              <w:rPr>
                <w:rFonts w:ascii="Calibri" w:hAnsi="Calibri" w:cs="Calibri"/>
                <w:sz w:val="22"/>
                <w:szCs w:val="22"/>
              </w:rPr>
            </w:pPr>
            <w:r w:rsidRPr="00DC55B0">
              <w:rPr>
                <w:rFonts w:ascii="Calibri" w:hAnsi="Calibri" w:cs="Calibri"/>
                <w:sz w:val="22"/>
                <w:szCs w:val="22"/>
              </w:rPr>
              <w:t>Ref.</w:t>
            </w:r>
          </w:p>
        </w:tc>
      </w:tr>
      <w:tr w:rsidR="00684552" w:rsidRPr="00DC55B0" w14:paraId="2182A2CB" w14:textId="77777777" w:rsidTr="00684552">
        <w:trPr>
          <w:trHeight w:val="2411"/>
        </w:trPr>
        <w:tc>
          <w:tcPr>
            <w:tcW w:w="1540" w:type="dxa"/>
          </w:tcPr>
          <w:p w14:paraId="68816EE3" w14:textId="1B64AFCF" w:rsidR="00684552" w:rsidRPr="00DC55B0" w:rsidRDefault="00684552" w:rsidP="001F3ACA">
            <w:pPr>
              <w:rPr>
                <w:rFonts w:ascii="Calibri" w:hAnsi="Calibri" w:cs="Calibri"/>
                <w:i/>
                <w:iCs/>
                <w:sz w:val="22"/>
                <w:szCs w:val="22"/>
              </w:rPr>
            </w:pPr>
            <w:r w:rsidRPr="00DC55B0">
              <w:rPr>
                <w:rFonts w:ascii="Calibri" w:hAnsi="Calibri" w:cs="Calibri"/>
                <w:i/>
                <w:iCs/>
                <w:sz w:val="22"/>
                <w:szCs w:val="22"/>
              </w:rPr>
              <w:t>Bordetella pertussis</w:t>
            </w:r>
          </w:p>
        </w:tc>
        <w:tc>
          <w:tcPr>
            <w:tcW w:w="1541" w:type="dxa"/>
          </w:tcPr>
          <w:p w14:paraId="4887E576" w14:textId="7B2552FF" w:rsidR="00684552" w:rsidRPr="00DC55B0" w:rsidRDefault="00684552" w:rsidP="001F3ACA">
            <w:pPr>
              <w:rPr>
                <w:rFonts w:ascii="Calibri" w:hAnsi="Calibri" w:cs="Calibri"/>
                <w:sz w:val="22"/>
                <w:szCs w:val="22"/>
              </w:rPr>
            </w:pPr>
            <w:r w:rsidRPr="00DC55B0">
              <w:rPr>
                <w:rFonts w:ascii="Calibri" w:hAnsi="Calibri" w:cs="Calibri"/>
                <w:sz w:val="22"/>
                <w:szCs w:val="22"/>
              </w:rPr>
              <w:t>ADACEL (Sanofi Pasteur) Tdap vaccine</w:t>
            </w:r>
          </w:p>
        </w:tc>
        <w:tc>
          <w:tcPr>
            <w:tcW w:w="1876" w:type="dxa"/>
          </w:tcPr>
          <w:p w14:paraId="207AC865" w14:textId="7F9CC615" w:rsidR="00684552" w:rsidRPr="00DC55B0" w:rsidRDefault="00684552" w:rsidP="001F3ACA">
            <w:pPr>
              <w:rPr>
                <w:rFonts w:ascii="Calibri" w:hAnsi="Calibri" w:cs="Calibri"/>
                <w:sz w:val="22"/>
                <w:szCs w:val="22"/>
              </w:rPr>
            </w:pPr>
            <w:r w:rsidRPr="00DC55B0">
              <w:rPr>
                <w:rFonts w:ascii="Calibri" w:hAnsi="Calibri" w:cs="Calibri"/>
                <w:sz w:val="22"/>
                <w:szCs w:val="22"/>
              </w:rPr>
              <w:t>Inactivated protein (diptheria, tetanus and pertussis toxoids, and three further acellular pertussis antigens). Aluminium phosphate adjuvant.</w:t>
            </w:r>
          </w:p>
        </w:tc>
        <w:tc>
          <w:tcPr>
            <w:tcW w:w="992" w:type="dxa"/>
          </w:tcPr>
          <w:p w14:paraId="488B9CE7" w14:textId="7FBCF62C" w:rsidR="00684552" w:rsidRPr="00DC55B0" w:rsidRDefault="001A414A" w:rsidP="001F3ACA">
            <w:pPr>
              <w:rPr>
                <w:rFonts w:ascii="Calibri" w:hAnsi="Calibri" w:cs="Calibri"/>
                <w:sz w:val="22"/>
                <w:szCs w:val="22"/>
              </w:rPr>
            </w:pPr>
            <w:r w:rsidRPr="00DC55B0">
              <w:rPr>
                <w:rFonts w:ascii="Calibri" w:hAnsi="Calibri" w:cs="Calibri"/>
                <w:sz w:val="22"/>
                <w:szCs w:val="22"/>
              </w:rPr>
              <w:t>16 – 32 weeks</w:t>
            </w:r>
          </w:p>
        </w:tc>
        <w:tc>
          <w:tcPr>
            <w:tcW w:w="2410" w:type="dxa"/>
          </w:tcPr>
          <w:p w14:paraId="763F0F8E" w14:textId="21E77BF8" w:rsidR="00684552" w:rsidRPr="00DC55B0" w:rsidRDefault="00684552" w:rsidP="001F3ACA">
            <w:pPr>
              <w:rPr>
                <w:rFonts w:ascii="Calibri" w:hAnsi="Calibri" w:cs="Calibri"/>
                <w:sz w:val="22"/>
                <w:szCs w:val="22"/>
              </w:rPr>
            </w:pPr>
            <w:r w:rsidRPr="00DC55B0">
              <w:rPr>
                <w:rFonts w:ascii="Calibri" w:hAnsi="Calibri" w:cs="Calibri"/>
                <w:sz w:val="22"/>
                <w:szCs w:val="22"/>
              </w:rPr>
              <w:t>ADACEL is preferred since it does not contain an IPV component, which may blunt infant responses to polio vaccination. If ADACEL is not available, IPV-containing formulations may be offered.</w:t>
            </w:r>
          </w:p>
        </w:tc>
        <w:tc>
          <w:tcPr>
            <w:tcW w:w="567" w:type="dxa"/>
          </w:tcPr>
          <w:p w14:paraId="6C44ABE0" w14:textId="3CB78685" w:rsidR="00684552" w:rsidRPr="00DC55B0" w:rsidRDefault="00684552" w:rsidP="001F3ACA">
            <w:pPr>
              <w:rPr>
                <w:rFonts w:ascii="Calibri" w:hAnsi="Calibri" w:cs="Calibri"/>
                <w:sz w:val="22"/>
                <w:szCs w:val="22"/>
              </w:rPr>
            </w:pPr>
            <w:r w:rsidRPr="00DC55B0">
              <w:rPr>
                <w:rFonts w:ascii="Calibri" w:hAnsi="Calibri" w:cs="Calibri"/>
                <w:sz w:val="22"/>
                <w:szCs w:val="22"/>
              </w:rPr>
              <w:fldChar w:fldCharType="begin"/>
            </w:r>
            <w:r w:rsidR="00061423" w:rsidRPr="00DC55B0">
              <w:rPr>
                <w:rFonts w:ascii="Calibri" w:hAnsi="Calibri" w:cs="Calibri"/>
                <w:sz w:val="22"/>
                <w:szCs w:val="22"/>
              </w:rPr>
              <w:instrText xml:space="preserve"> ADDIN ZOTERO_ITEM CSL_CITATION {"citationID":"lpm5Nzt2","properties":{"formattedCitation":"\\super 142\\nosupersub{}","plainCitation":"142","noteIndex":0},"citationItems":[{"id":257,"uris":["http://zotero.org/users/14445769/items/PWW866RX"],"itemData":{"id":257,"type":"webpage","title":"Pertussis: the green book, chapter 24","URL":"https://www.gov.uk/government/publications/pertussis-the-green-book-chapter-24","author":[{"literal":"UK Health Security Agency"}],"issued":{"date-parts":[["2024",6,28]]}}}],"schema":"https://github.com/citation-style-language/schema/raw/master/csl-citation.json"} </w:instrText>
            </w:r>
            <w:r w:rsidRPr="00DC55B0">
              <w:rPr>
                <w:rFonts w:ascii="Calibri" w:hAnsi="Calibri" w:cs="Calibri"/>
                <w:sz w:val="22"/>
                <w:szCs w:val="22"/>
              </w:rPr>
              <w:fldChar w:fldCharType="separate"/>
            </w:r>
            <w:r w:rsidR="00061423" w:rsidRPr="00DC55B0">
              <w:rPr>
                <w:rFonts w:ascii="Calibri" w:hAnsi="Calibri" w:cs="Calibri"/>
                <w:kern w:val="0"/>
                <w:sz w:val="22"/>
                <w:vertAlign w:val="superscript"/>
              </w:rPr>
              <w:t>142</w:t>
            </w:r>
            <w:r w:rsidRPr="00DC55B0">
              <w:rPr>
                <w:rFonts w:ascii="Calibri" w:hAnsi="Calibri" w:cs="Calibri"/>
                <w:sz w:val="22"/>
                <w:szCs w:val="22"/>
              </w:rPr>
              <w:fldChar w:fldCharType="end"/>
            </w:r>
          </w:p>
        </w:tc>
      </w:tr>
      <w:tr w:rsidR="00684552" w:rsidRPr="00DC55B0" w14:paraId="132F4A1B" w14:textId="77777777" w:rsidTr="00684552">
        <w:trPr>
          <w:trHeight w:val="587"/>
        </w:trPr>
        <w:tc>
          <w:tcPr>
            <w:tcW w:w="1540" w:type="dxa"/>
          </w:tcPr>
          <w:p w14:paraId="2BAC074F" w14:textId="0C36C762" w:rsidR="00684552" w:rsidRPr="00DC55B0" w:rsidRDefault="00684552" w:rsidP="001F3ACA">
            <w:pPr>
              <w:rPr>
                <w:rFonts w:ascii="Calibri" w:hAnsi="Calibri" w:cs="Calibri"/>
                <w:sz w:val="22"/>
                <w:szCs w:val="22"/>
              </w:rPr>
            </w:pPr>
            <w:r w:rsidRPr="00DC55B0">
              <w:rPr>
                <w:rFonts w:ascii="Calibri" w:hAnsi="Calibri" w:cs="Calibri"/>
                <w:sz w:val="22"/>
                <w:szCs w:val="22"/>
              </w:rPr>
              <w:t>Influenza virus</w:t>
            </w:r>
          </w:p>
        </w:tc>
        <w:tc>
          <w:tcPr>
            <w:tcW w:w="1541" w:type="dxa"/>
          </w:tcPr>
          <w:p w14:paraId="01A13912" w14:textId="449E4101" w:rsidR="00684552" w:rsidRPr="00DC55B0" w:rsidRDefault="00684552" w:rsidP="001F3ACA">
            <w:pPr>
              <w:rPr>
                <w:rFonts w:ascii="Calibri" w:hAnsi="Calibri" w:cs="Calibri"/>
                <w:sz w:val="22"/>
                <w:szCs w:val="22"/>
              </w:rPr>
            </w:pPr>
            <w:r w:rsidRPr="00DC55B0">
              <w:rPr>
                <w:rFonts w:ascii="Calibri" w:hAnsi="Calibri" w:cs="Calibri"/>
                <w:sz w:val="22"/>
                <w:szCs w:val="22"/>
              </w:rPr>
              <w:t>Cell-based quadrivalent influenza vaccine Seqirus (CSL Seqirus UK)</w:t>
            </w:r>
          </w:p>
        </w:tc>
        <w:tc>
          <w:tcPr>
            <w:tcW w:w="1876" w:type="dxa"/>
          </w:tcPr>
          <w:p w14:paraId="21171313" w14:textId="041AE064" w:rsidR="00684552" w:rsidRPr="00DC55B0" w:rsidRDefault="00684552" w:rsidP="001F3ACA">
            <w:pPr>
              <w:rPr>
                <w:rFonts w:ascii="Calibri" w:hAnsi="Calibri" w:cs="Calibri"/>
                <w:sz w:val="22"/>
                <w:szCs w:val="22"/>
              </w:rPr>
            </w:pPr>
            <w:r w:rsidRPr="00DC55B0">
              <w:rPr>
                <w:rFonts w:ascii="Calibri" w:hAnsi="Calibri" w:cs="Calibri"/>
                <w:sz w:val="22"/>
                <w:szCs w:val="22"/>
              </w:rPr>
              <w:t>Inactivated virus (four strains of influenza virus). Unadjuvanted.</w:t>
            </w:r>
          </w:p>
        </w:tc>
        <w:tc>
          <w:tcPr>
            <w:tcW w:w="992" w:type="dxa"/>
          </w:tcPr>
          <w:p w14:paraId="3008367C" w14:textId="53290BD2" w:rsidR="00684552" w:rsidRPr="00DC55B0" w:rsidRDefault="00A7325A" w:rsidP="001F3ACA">
            <w:pPr>
              <w:rPr>
                <w:rFonts w:ascii="Calibri" w:hAnsi="Calibri" w:cs="Calibri"/>
                <w:sz w:val="22"/>
                <w:szCs w:val="22"/>
              </w:rPr>
            </w:pPr>
            <w:r w:rsidRPr="00DC55B0">
              <w:rPr>
                <w:rFonts w:ascii="Calibri" w:hAnsi="Calibri" w:cs="Calibri"/>
                <w:sz w:val="22"/>
                <w:szCs w:val="22"/>
              </w:rPr>
              <w:t>Autumn</w:t>
            </w:r>
          </w:p>
        </w:tc>
        <w:tc>
          <w:tcPr>
            <w:tcW w:w="2410" w:type="dxa"/>
          </w:tcPr>
          <w:p w14:paraId="72BEEA1A" w14:textId="4A0B56A8" w:rsidR="00684552" w:rsidRPr="00DC55B0" w:rsidRDefault="00684552" w:rsidP="001F3ACA">
            <w:pPr>
              <w:rPr>
                <w:rFonts w:ascii="Calibri" w:hAnsi="Calibri" w:cs="Calibri"/>
                <w:sz w:val="22"/>
                <w:szCs w:val="22"/>
              </w:rPr>
            </w:pPr>
            <w:r w:rsidRPr="00DC55B0">
              <w:rPr>
                <w:rFonts w:ascii="Calibri" w:hAnsi="Calibri" w:cs="Calibri"/>
                <w:sz w:val="22"/>
                <w:szCs w:val="22"/>
              </w:rPr>
              <w:t>Cell-based influenza vaccines are preferred since they are safe for individuals with egg allergy. If cell-based vaccines are unavailable, formulations grown in chicken eggs may be offered to those without allergies.</w:t>
            </w:r>
          </w:p>
        </w:tc>
        <w:tc>
          <w:tcPr>
            <w:tcW w:w="567" w:type="dxa"/>
          </w:tcPr>
          <w:p w14:paraId="2127E956" w14:textId="194E0DB6" w:rsidR="00684552" w:rsidRPr="00DC55B0" w:rsidRDefault="00684552" w:rsidP="001F3ACA">
            <w:pPr>
              <w:rPr>
                <w:rFonts w:ascii="Calibri" w:hAnsi="Calibri" w:cs="Calibri"/>
                <w:sz w:val="22"/>
                <w:szCs w:val="22"/>
              </w:rPr>
            </w:pPr>
            <w:r w:rsidRPr="00DC55B0">
              <w:rPr>
                <w:rFonts w:ascii="Calibri" w:hAnsi="Calibri" w:cs="Calibri"/>
                <w:sz w:val="22"/>
                <w:szCs w:val="22"/>
              </w:rPr>
              <w:fldChar w:fldCharType="begin"/>
            </w:r>
            <w:r w:rsidR="00061423" w:rsidRPr="00DC55B0">
              <w:rPr>
                <w:rFonts w:ascii="Calibri" w:hAnsi="Calibri" w:cs="Calibri"/>
                <w:sz w:val="22"/>
                <w:szCs w:val="22"/>
              </w:rPr>
              <w:instrText xml:space="preserve"> ADDIN ZOTERO_ITEM CSL_CITATION {"citationID":"juHFfZfn","properties":{"formattedCitation":"\\super 132\\nosupersub{}","plainCitation":"132","noteIndex":0},"citationItems":[{"id":255,"uris":["http://zotero.org/users/14445769/items/77ZHTR42"],"itemData":{"id":255,"type":"webpage","title":"Influenza: the green book, chapter 19","URL":"https://www.gov.uk/government/publications/influenza-the-green-book-chapter-19","author":[{"literal":"UK Health Security Agency"}],"issued":{"date-parts":[["2023",11,10]]}}}],"schema":"https://github.com/citation-style-language/schema/raw/master/csl-citation.json"} </w:instrText>
            </w:r>
            <w:r w:rsidRPr="00DC55B0">
              <w:rPr>
                <w:rFonts w:ascii="Calibri" w:hAnsi="Calibri" w:cs="Calibri"/>
                <w:sz w:val="22"/>
                <w:szCs w:val="22"/>
              </w:rPr>
              <w:fldChar w:fldCharType="separate"/>
            </w:r>
            <w:r w:rsidR="00061423" w:rsidRPr="00DC55B0">
              <w:rPr>
                <w:rFonts w:ascii="Calibri" w:hAnsi="Calibri" w:cs="Calibri"/>
                <w:kern w:val="0"/>
                <w:sz w:val="22"/>
                <w:vertAlign w:val="superscript"/>
              </w:rPr>
              <w:t>132</w:t>
            </w:r>
            <w:r w:rsidRPr="00DC55B0">
              <w:rPr>
                <w:rFonts w:ascii="Calibri" w:hAnsi="Calibri" w:cs="Calibri"/>
                <w:sz w:val="22"/>
                <w:szCs w:val="22"/>
              </w:rPr>
              <w:fldChar w:fldCharType="end"/>
            </w:r>
          </w:p>
        </w:tc>
      </w:tr>
      <w:tr w:rsidR="00684552" w:rsidRPr="00DC55B0" w14:paraId="552BC8FE" w14:textId="77777777" w:rsidTr="00684552">
        <w:trPr>
          <w:trHeight w:val="293"/>
        </w:trPr>
        <w:tc>
          <w:tcPr>
            <w:tcW w:w="1540" w:type="dxa"/>
          </w:tcPr>
          <w:p w14:paraId="2D18FC46" w14:textId="71F358AA" w:rsidR="00684552" w:rsidRPr="00DC55B0" w:rsidRDefault="00684552" w:rsidP="001F3ACA">
            <w:pPr>
              <w:rPr>
                <w:rFonts w:ascii="Calibri" w:hAnsi="Calibri" w:cs="Calibri"/>
                <w:sz w:val="22"/>
                <w:szCs w:val="22"/>
              </w:rPr>
            </w:pPr>
            <w:r w:rsidRPr="00DC55B0">
              <w:rPr>
                <w:rFonts w:ascii="Calibri" w:hAnsi="Calibri" w:cs="Calibri"/>
                <w:sz w:val="22"/>
                <w:szCs w:val="22"/>
              </w:rPr>
              <w:t>RSV</w:t>
            </w:r>
          </w:p>
        </w:tc>
        <w:tc>
          <w:tcPr>
            <w:tcW w:w="1541" w:type="dxa"/>
          </w:tcPr>
          <w:p w14:paraId="3292C3F3" w14:textId="2447559C" w:rsidR="00684552" w:rsidRPr="00DC55B0" w:rsidRDefault="00684552" w:rsidP="001F3ACA">
            <w:pPr>
              <w:rPr>
                <w:rFonts w:ascii="Calibri" w:hAnsi="Calibri" w:cs="Calibri"/>
                <w:sz w:val="22"/>
                <w:szCs w:val="22"/>
              </w:rPr>
            </w:pPr>
            <w:r w:rsidRPr="00DC55B0">
              <w:rPr>
                <w:rFonts w:ascii="Calibri" w:hAnsi="Calibri" w:cs="Calibri"/>
                <w:sz w:val="22"/>
                <w:szCs w:val="22"/>
              </w:rPr>
              <w:t>Abrysvo (Pfizer)</w:t>
            </w:r>
          </w:p>
        </w:tc>
        <w:tc>
          <w:tcPr>
            <w:tcW w:w="1876" w:type="dxa"/>
          </w:tcPr>
          <w:p w14:paraId="437415CC" w14:textId="0ABF1696" w:rsidR="00684552" w:rsidRPr="00DC55B0" w:rsidRDefault="00684552" w:rsidP="001F3ACA">
            <w:pPr>
              <w:rPr>
                <w:rFonts w:ascii="Calibri" w:hAnsi="Calibri" w:cs="Calibri"/>
                <w:sz w:val="22"/>
                <w:szCs w:val="22"/>
              </w:rPr>
            </w:pPr>
            <w:r w:rsidRPr="00DC55B0">
              <w:rPr>
                <w:rFonts w:ascii="Calibri" w:hAnsi="Calibri" w:cs="Calibri"/>
                <w:sz w:val="22"/>
                <w:szCs w:val="22"/>
              </w:rPr>
              <w:t>Recombinant protein (preF from two strains). Unadjuvanted.</w:t>
            </w:r>
          </w:p>
        </w:tc>
        <w:tc>
          <w:tcPr>
            <w:tcW w:w="992" w:type="dxa"/>
          </w:tcPr>
          <w:p w14:paraId="4D8133B1" w14:textId="44C1A022" w:rsidR="00684552" w:rsidRPr="00DC55B0" w:rsidRDefault="003C0033" w:rsidP="001F3ACA">
            <w:pPr>
              <w:rPr>
                <w:rFonts w:ascii="Calibri" w:hAnsi="Calibri" w:cs="Calibri"/>
                <w:sz w:val="22"/>
                <w:szCs w:val="22"/>
              </w:rPr>
            </w:pPr>
            <w:r w:rsidRPr="00DC55B0">
              <w:rPr>
                <w:rFonts w:ascii="Calibri" w:hAnsi="Calibri" w:cs="Calibri"/>
                <w:sz w:val="22"/>
                <w:szCs w:val="22"/>
              </w:rPr>
              <w:t>From 28 weeks</w:t>
            </w:r>
          </w:p>
        </w:tc>
        <w:tc>
          <w:tcPr>
            <w:tcW w:w="2410" w:type="dxa"/>
          </w:tcPr>
          <w:p w14:paraId="3FDD9F31" w14:textId="20E35D5B" w:rsidR="00684552" w:rsidRPr="00DC55B0" w:rsidRDefault="00684552" w:rsidP="001F3ACA">
            <w:pPr>
              <w:rPr>
                <w:rFonts w:ascii="Calibri" w:hAnsi="Calibri" w:cs="Calibri"/>
                <w:sz w:val="22"/>
                <w:szCs w:val="22"/>
              </w:rPr>
            </w:pPr>
            <w:r w:rsidRPr="00DC55B0">
              <w:rPr>
                <w:rFonts w:ascii="Calibri" w:hAnsi="Calibri" w:cs="Calibri"/>
                <w:sz w:val="22"/>
                <w:szCs w:val="22"/>
              </w:rPr>
              <w:t>Abrysvo is currently a “black triangle” product, indicating that it has been recently introduced and that all suspected adverse reactions should be reported to the MHRA using the Yellow Card scheme.</w:t>
            </w:r>
          </w:p>
        </w:tc>
        <w:tc>
          <w:tcPr>
            <w:tcW w:w="567" w:type="dxa"/>
          </w:tcPr>
          <w:p w14:paraId="3430F4CA" w14:textId="72B43255" w:rsidR="00684552" w:rsidRPr="00DC55B0" w:rsidRDefault="00684552" w:rsidP="001F3ACA">
            <w:pPr>
              <w:rPr>
                <w:rFonts w:ascii="Calibri" w:hAnsi="Calibri" w:cs="Calibri"/>
                <w:sz w:val="22"/>
                <w:szCs w:val="22"/>
              </w:rPr>
            </w:pPr>
            <w:r w:rsidRPr="00DC55B0">
              <w:rPr>
                <w:rFonts w:ascii="Calibri" w:hAnsi="Calibri" w:cs="Calibri"/>
                <w:sz w:val="22"/>
                <w:szCs w:val="22"/>
              </w:rPr>
              <w:fldChar w:fldCharType="begin"/>
            </w:r>
            <w:r w:rsidR="00061423" w:rsidRPr="00DC55B0">
              <w:rPr>
                <w:rFonts w:ascii="Calibri" w:hAnsi="Calibri" w:cs="Calibri"/>
                <w:sz w:val="22"/>
                <w:szCs w:val="22"/>
              </w:rPr>
              <w:instrText xml:space="preserve"> ADDIN ZOTERO_ITEM CSL_CITATION {"citationID":"CkRSCAmP","properties":{"formattedCitation":"\\super 143\\nosupersub{}","plainCitation":"143","noteIndex":0},"citationItems":[{"id":256,"uris":["http://zotero.org/users/14445769/items/99MZQ23H"],"itemData":{"id":256,"type":"webpage","title":"Respiratory syncytial virus: the green book, chapter 27a","URL":"https://www.gov.uk/government/publications/respiratory-syncytial-virus-the-green-book-chapter-27a","author":[{"literal":"UK Health Security Agency"}],"issued":{"date-parts":[["2024",10,1]]}}}],"schema":"https://github.com/citation-style-language/schema/raw/master/csl-citation.json"} </w:instrText>
            </w:r>
            <w:r w:rsidRPr="00DC55B0">
              <w:rPr>
                <w:rFonts w:ascii="Calibri" w:hAnsi="Calibri" w:cs="Calibri"/>
                <w:sz w:val="22"/>
                <w:szCs w:val="22"/>
              </w:rPr>
              <w:fldChar w:fldCharType="separate"/>
            </w:r>
            <w:r w:rsidR="00061423" w:rsidRPr="00DC55B0">
              <w:rPr>
                <w:rFonts w:ascii="Calibri" w:hAnsi="Calibri" w:cs="Calibri"/>
                <w:kern w:val="0"/>
                <w:sz w:val="22"/>
                <w:vertAlign w:val="superscript"/>
              </w:rPr>
              <w:t>143</w:t>
            </w:r>
            <w:r w:rsidRPr="00DC55B0">
              <w:rPr>
                <w:rFonts w:ascii="Calibri" w:hAnsi="Calibri" w:cs="Calibri"/>
                <w:sz w:val="22"/>
                <w:szCs w:val="22"/>
              </w:rPr>
              <w:fldChar w:fldCharType="end"/>
            </w:r>
          </w:p>
        </w:tc>
      </w:tr>
    </w:tbl>
    <w:p w14:paraId="50FA4EE2" w14:textId="77777777" w:rsidR="00A421D3" w:rsidRPr="00DC55B0" w:rsidRDefault="00A421D3" w:rsidP="001F3ACA">
      <w:pPr>
        <w:rPr>
          <w:rFonts w:ascii="Calibri" w:hAnsi="Calibri" w:cs="Calibri"/>
          <w:b/>
          <w:bCs/>
        </w:rPr>
      </w:pPr>
    </w:p>
    <w:p w14:paraId="2EF18FBB" w14:textId="77777777" w:rsidR="00A421D3" w:rsidRPr="00DC55B0" w:rsidRDefault="00A421D3">
      <w:pPr>
        <w:spacing w:after="160" w:line="259" w:lineRule="auto"/>
        <w:rPr>
          <w:rFonts w:ascii="Calibri" w:hAnsi="Calibri" w:cs="Calibri"/>
          <w:b/>
          <w:bCs/>
        </w:rPr>
      </w:pPr>
      <w:r w:rsidRPr="00DC55B0">
        <w:rPr>
          <w:rFonts w:ascii="Calibri" w:hAnsi="Calibri" w:cs="Calibri"/>
          <w:b/>
          <w:bCs/>
        </w:rPr>
        <w:br w:type="page"/>
      </w:r>
    </w:p>
    <w:p w14:paraId="04224984" w14:textId="7874A8CC" w:rsidR="00A421D3" w:rsidRPr="00DC55B0" w:rsidRDefault="00A421D3" w:rsidP="00A421D3">
      <w:pPr>
        <w:pStyle w:val="Heading3"/>
        <w:spacing w:before="0" w:after="0"/>
        <w:contextualSpacing/>
        <w:rPr>
          <w:rFonts w:ascii="Calibri" w:hAnsi="Calibri" w:cs="Calibri"/>
          <w:i/>
          <w:iCs/>
          <w:color w:val="auto"/>
          <w:sz w:val="24"/>
          <w:szCs w:val="24"/>
        </w:rPr>
      </w:pPr>
      <w:r w:rsidRPr="00DC55B0">
        <w:rPr>
          <w:rFonts w:ascii="Calibri" w:hAnsi="Calibri" w:cs="Calibri"/>
          <w:i/>
          <w:iCs/>
          <w:color w:val="auto"/>
          <w:sz w:val="24"/>
          <w:szCs w:val="24"/>
        </w:rPr>
        <w:lastRenderedPageBreak/>
        <w:t xml:space="preserve">Table 2 - Considerations for RSV </w:t>
      </w:r>
      <w:r w:rsidR="00E96207" w:rsidRPr="00DC55B0">
        <w:rPr>
          <w:rFonts w:ascii="Calibri" w:hAnsi="Calibri" w:cs="Calibri"/>
          <w:i/>
          <w:iCs/>
          <w:color w:val="auto"/>
          <w:sz w:val="24"/>
          <w:szCs w:val="24"/>
        </w:rPr>
        <w:t xml:space="preserve">immunisation </w:t>
      </w:r>
      <w:r w:rsidRPr="00DC55B0">
        <w:rPr>
          <w:rFonts w:ascii="Calibri" w:hAnsi="Calibri" w:cs="Calibri"/>
          <w:i/>
          <w:iCs/>
          <w:color w:val="auto"/>
          <w:sz w:val="24"/>
          <w:szCs w:val="24"/>
        </w:rPr>
        <w:t xml:space="preserve">programmes </w:t>
      </w:r>
    </w:p>
    <w:p w14:paraId="6E3A3D74" w14:textId="77777777" w:rsidR="00666F17" w:rsidRPr="00DC55B0" w:rsidRDefault="00666F17" w:rsidP="00A421D3">
      <w:pPr>
        <w:pStyle w:val="NormalWeb"/>
        <w:spacing w:before="0" w:beforeAutospacing="0" w:after="0" w:afterAutospacing="0"/>
        <w:contextualSpacing/>
        <w:rPr>
          <w:rStyle w:val="Strong"/>
          <w:rFonts w:ascii="Calibri" w:eastAsiaTheme="majorEastAsia" w:hAnsi="Calibri" w:cs="Calibri"/>
          <w:color w:val="242424"/>
        </w:rPr>
      </w:pPr>
    </w:p>
    <w:tbl>
      <w:tblPr>
        <w:tblStyle w:val="TableGrid"/>
        <w:tblW w:w="0" w:type="auto"/>
        <w:tblLook w:val="04A0" w:firstRow="1" w:lastRow="0" w:firstColumn="1" w:lastColumn="0" w:noHBand="0" w:noVBand="1"/>
      </w:tblPr>
      <w:tblGrid>
        <w:gridCol w:w="1838"/>
        <w:gridCol w:w="3589"/>
        <w:gridCol w:w="3589"/>
      </w:tblGrid>
      <w:tr w:rsidR="00D36D09" w:rsidRPr="00DC55B0" w14:paraId="0C24657B" w14:textId="77777777" w:rsidTr="00D36D09">
        <w:tc>
          <w:tcPr>
            <w:tcW w:w="1838" w:type="dxa"/>
          </w:tcPr>
          <w:p w14:paraId="0A484BBC" w14:textId="77777777" w:rsidR="00D36D09" w:rsidRPr="00DC55B0" w:rsidRDefault="00D36D09"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128E24D8" w14:textId="2726B419" w:rsidR="00D36D09" w:rsidRPr="00DC55B0" w:rsidRDefault="00D36D09"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RSV vaccination in pregnancy</w:t>
            </w:r>
          </w:p>
        </w:tc>
        <w:tc>
          <w:tcPr>
            <w:tcW w:w="3589" w:type="dxa"/>
          </w:tcPr>
          <w:p w14:paraId="72283920" w14:textId="06D6DF45" w:rsidR="00D36D09" w:rsidRPr="00DC55B0" w:rsidRDefault="00D36D09"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Infant monoclonal antibody</w:t>
            </w:r>
          </w:p>
        </w:tc>
      </w:tr>
      <w:tr w:rsidR="00476832" w:rsidRPr="00DC55B0" w14:paraId="31C2163E" w14:textId="77777777" w:rsidTr="00D36D09">
        <w:tc>
          <w:tcPr>
            <w:tcW w:w="1838" w:type="dxa"/>
            <w:vMerge w:val="restart"/>
          </w:tcPr>
          <w:p w14:paraId="6B55E60A" w14:textId="14EEE906"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Effectiveness</w:t>
            </w:r>
          </w:p>
        </w:tc>
        <w:tc>
          <w:tcPr>
            <w:tcW w:w="3589" w:type="dxa"/>
          </w:tcPr>
          <w:p w14:paraId="5966FCFA" w14:textId="2CC7D2DA" w:rsidR="00476832" w:rsidRPr="00DC55B0" w:rsidRDefault="00476832" w:rsidP="00172DDE">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Immediate protection for newborn through transplacental antibody transfer, lasting until at least six months of age</w:t>
            </w:r>
          </w:p>
        </w:tc>
        <w:tc>
          <w:tcPr>
            <w:tcW w:w="3589" w:type="dxa"/>
          </w:tcPr>
          <w:p w14:paraId="5F03D9A9" w14:textId="3D48CFDC"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Provides protection to infant from time of administration, lasting until at least six months of age. May have longer duration of protection than vaccination in pregnancy, mediated through Fc modification of antibody</w:t>
            </w:r>
          </w:p>
        </w:tc>
      </w:tr>
      <w:tr w:rsidR="00476832" w:rsidRPr="00DC55B0" w14:paraId="3DDEE548" w14:textId="77777777" w:rsidTr="00D36D09">
        <w:tc>
          <w:tcPr>
            <w:tcW w:w="1838" w:type="dxa"/>
            <w:vMerge/>
          </w:tcPr>
          <w:p w14:paraId="7DDC06EF" w14:textId="77777777"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7D030AC9" w14:textId="513F29A1"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Provides protection for mother</w:t>
            </w:r>
          </w:p>
        </w:tc>
        <w:tc>
          <w:tcPr>
            <w:tcW w:w="3589" w:type="dxa"/>
          </w:tcPr>
          <w:p w14:paraId="78C1CCE8" w14:textId="1F4DFB98"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No protection for mother</w:t>
            </w:r>
          </w:p>
        </w:tc>
      </w:tr>
      <w:tr w:rsidR="00476832" w:rsidRPr="00DC55B0" w14:paraId="240356C3" w14:textId="77777777" w:rsidTr="00D36D09">
        <w:tc>
          <w:tcPr>
            <w:tcW w:w="1838" w:type="dxa"/>
            <w:vMerge/>
          </w:tcPr>
          <w:p w14:paraId="4529F349" w14:textId="77777777"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756713C1" w14:textId="1C91EE26"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Fonts w:ascii="Calibri" w:hAnsi="Calibri" w:cs="Calibri"/>
                <w:color w:val="242424"/>
                <w:sz w:val="20"/>
                <w:szCs w:val="20"/>
              </w:rPr>
              <w:t>Potential for additional protection through RSV-specific antibody in breastmilk</w:t>
            </w:r>
          </w:p>
        </w:tc>
        <w:tc>
          <w:tcPr>
            <w:tcW w:w="3589" w:type="dxa"/>
          </w:tcPr>
          <w:p w14:paraId="0E6DC3F5" w14:textId="7F7185E6"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No potential for additional protection through breastmilk</w:t>
            </w:r>
          </w:p>
        </w:tc>
      </w:tr>
      <w:tr w:rsidR="00476832" w:rsidRPr="00DC55B0" w14:paraId="689D9FD3" w14:textId="77777777" w:rsidTr="00D36D09">
        <w:tc>
          <w:tcPr>
            <w:tcW w:w="1838" w:type="dxa"/>
            <w:vMerge/>
          </w:tcPr>
          <w:p w14:paraId="2B0EBE85" w14:textId="77777777"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6FAFB31B" w14:textId="39EDB9FA"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Highly effective at preventing severe RSV disease and hospitalisation</w:t>
            </w:r>
          </w:p>
        </w:tc>
        <w:tc>
          <w:tcPr>
            <w:tcW w:w="3589" w:type="dxa"/>
          </w:tcPr>
          <w:p w14:paraId="4276F4E4" w14:textId="0F3EAF18" w:rsidR="00476832"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Highly effective at preventing severe RSV disease and hospitalisation</w:t>
            </w:r>
          </w:p>
        </w:tc>
      </w:tr>
      <w:tr w:rsidR="00D36D09" w:rsidRPr="00DC55B0" w14:paraId="5CA4A0C3" w14:textId="77777777" w:rsidTr="00D36D09">
        <w:tc>
          <w:tcPr>
            <w:tcW w:w="1838" w:type="dxa"/>
          </w:tcPr>
          <w:p w14:paraId="0209490F" w14:textId="70C2157F" w:rsidR="00D36D09" w:rsidRPr="00DC55B0" w:rsidRDefault="002B057F"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Protection of preterm infants</w:t>
            </w:r>
          </w:p>
        </w:tc>
        <w:tc>
          <w:tcPr>
            <w:tcW w:w="3589" w:type="dxa"/>
          </w:tcPr>
          <w:p w14:paraId="39446B0A" w14:textId="4C62250F" w:rsidR="00D36D09" w:rsidRPr="00DC55B0" w:rsidRDefault="002B057F"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No protection for extremely preterm infants and limited protection for moderate- or late-preterm infants, depending on timing of administration of maternal vaccine</w:t>
            </w:r>
          </w:p>
        </w:tc>
        <w:tc>
          <w:tcPr>
            <w:tcW w:w="3589" w:type="dxa"/>
          </w:tcPr>
          <w:p w14:paraId="10CB2705" w14:textId="00E300B5" w:rsidR="00D36D09" w:rsidRPr="00DC55B0" w:rsidRDefault="002B057F"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Can provide protection to preterm infants from time of administration</w:t>
            </w:r>
          </w:p>
        </w:tc>
      </w:tr>
      <w:tr w:rsidR="00D36D09" w:rsidRPr="00DC55B0" w14:paraId="50057A1B" w14:textId="77777777" w:rsidTr="00D36D09">
        <w:tc>
          <w:tcPr>
            <w:tcW w:w="1838" w:type="dxa"/>
          </w:tcPr>
          <w:p w14:paraId="32B850A7" w14:textId="2E6E7CB5" w:rsidR="00D36D09" w:rsidRPr="00DC55B0" w:rsidRDefault="00AF4AA8"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Immunity generated</w:t>
            </w:r>
          </w:p>
        </w:tc>
        <w:tc>
          <w:tcPr>
            <w:tcW w:w="3589" w:type="dxa"/>
          </w:tcPr>
          <w:p w14:paraId="63FADB27" w14:textId="2CBD4158" w:rsidR="00D36D09" w:rsidRPr="00DC55B0" w:rsidRDefault="00AF4AA8"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Elicits a polyclonal antibody response,</w:t>
            </w:r>
            <w:r w:rsidR="00476832" w:rsidRPr="00DC55B0">
              <w:rPr>
                <w:rStyle w:val="Strong"/>
                <w:rFonts w:ascii="Calibri" w:eastAsiaTheme="majorEastAsia" w:hAnsi="Calibri" w:cs="Calibri"/>
                <w:b w:val="0"/>
                <w:bCs w:val="0"/>
                <w:color w:val="242424"/>
                <w:sz w:val="20"/>
                <w:szCs w:val="20"/>
              </w:rPr>
              <w:t xml:space="preserve"> expected to be robust to vaccine escape</w:t>
            </w:r>
          </w:p>
        </w:tc>
        <w:tc>
          <w:tcPr>
            <w:tcW w:w="3589" w:type="dxa"/>
          </w:tcPr>
          <w:p w14:paraId="29B641C2" w14:textId="653436E9" w:rsidR="00D36D09" w:rsidRPr="00DC55B0" w:rsidRDefault="00AF4AA8"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 xml:space="preserve">Monoclonal antibody with theoretical potential for vaccine escape  </w:t>
            </w:r>
          </w:p>
        </w:tc>
      </w:tr>
      <w:tr w:rsidR="00F51A77" w:rsidRPr="00DC55B0" w14:paraId="5833F8A9" w14:textId="77777777" w:rsidTr="00D36D09">
        <w:tc>
          <w:tcPr>
            <w:tcW w:w="1838" w:type="dxa"/>
            <w:vMerge w:val="restart"/>
          </w:tcPr>
          <w:p w14:paraId="7D2A3459" w14:textId="7580C1B3" w:rsidR="00F51A77" w:rsidRPr="00DC55B0" w:rsidRDefault="00F51A77"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Safety and side effects</w:t>
            </w:r>
          </w:p>
        </w:tc>
        <w:tc>
          <w:tcPr>
            <w:tcW w:w="3589" w:type="dxa"/>
          </w:tcPr>
          <w:p w14:paraId="572732AA" w14:textId="2AAB10EC" w:rsidR="00F51A77" w:rsidRPr="00DC55B0" w:rsidRDefault="00F51A77"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Common side effects for pregnant vaccine recipients include arm pain, headache, muscle pain, and nausea.</w:t>
            </w:r>
          </w:p>
        </w:tc>
        <w:tc>
          <w:tcPr>
            <w:tcW w:w="3589" w:type="dxa"/>
          </w:tcPr>
          <w:p w14:paraId="15CF992C" w14:textId="440767E4" w:rsidR="00F51A77" w:rsidRPr="00DC55B0" w:rsidRDefault="00F51A77"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 xml:space="preserve">Common side effects in infants include pain, redness, or swelling at the injection site. </w:t>
            </w:r>
          </w:p>
        </w:tc>
      </w:tr>
      <w:tr w:rsidR="00F51A77" w:rsidRPr="00DC55B0" w14:paraId="2E73B69F" w14:textId="77777777" w:rsidTr="00D36D09">
        <w:tc>
          <w:tcPr>
            <w:tcW w:w="1838" w:type="dxa"/>
            <w:vMerge/>
          </w:tcPr>
          <w:p w14:paraId="0D735BFD" w14:textId="77777777" w:rsidR="00F51A77" w:rsidRPr="00DC55B0" w:rsidRDefault="00F51A77"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1D9CAD10" w14:textId="5DE7D82E" w:rsidR="00F51A77" w:rsidRPr="00DC55B0" w:rsidRDefault="00F51A77"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Potential for increased late preterm deliveries to be closely monitored. No other safety concerns identified in clinical trials, but post-implementation monitoring is essential.</w:t>
            </w:r>
          </w:p>
        </w:tc>
        <w:tc>
          <w:tcPr>
            <w:tcW w:w="3589" w:type="dxa"/>
          </w:tcPr>
          <w:p w14:paraId="1EA8027A" w14:textId="2F23CB00" w:rsidR="00F51A77" w:rsidRPr="00DC55B0" w:rsidRDefault="00F51A77"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Rare hypersensitivity reactions have been reported.</w:t>
            </w:r>
          </w:p>
        </w:tc>
      </w:tr>
      <w:tr w:rsidR="00D36D09" w:rsidRPr="00DC55B0" w14:paraId="38ADC538" w14:textId="77777777" w:rsidTr="00D36D09">
        <w:tc>
          <w:tcPr>
            <w:tcW w:w="1838" w:type="dxa"/>
          </w:tcPr>
          <w:p w14:paraId="5CD756C4" w14:textId="32576E19" w:rsidR="00D36D09" w:rsidRPr="00DC55B0" w:rsidRDefault="00476832"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Timing and administration</w:t>
            </w:r>
          </w:p>
        </w:tc>
        <w:tc>
          <w:tcPr>
            <w:tcW w:w="3589" w:type="dxa"/>
          </w:tcPr>
          <w:p w14:paraId="4C288235" w14:textId="6FC50A10" w:rsidR="00D36D09"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Administered between 28 and 36 weeks of pregnancy, depending on country-specific recommendations, as either a year-round or seasonal programme</w:t>
            </w:r>
          </w:p>
        </w:tc>
        <w:tc>
          <w:tcPr>
            <w:tcW w:w="3589" w:type="dxa"/>
          </w:tcPr>
          <w:p w14:paraId="4917FF66" w14:textId="026E750B" w:rsidR="00D36D09" w:rsidRPr="00DC55B0" w:rsidRDefault="00476832"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Administered shortly before or during the RSV season, ideally within the first week of life if born during the season</w:t>
            </w:r>
          </w:p>
        </w:tc>
      </w:tr>
      <w:tr w:rsidR="00BF4C8F" w:rsidRPr="00DC55B0" w14:paraId="4D56F76E" w14:textId="77777777" w:rsidTr="00D36D09">
        <w:tc>
          <w:tcPr>
            <w:tcW w:w="1838" w:type="dxa"/>
            <w:vMerge w:val="restart"/>
          </w:tcPr>
          <w:p w14:paraId="48AD22E4" w14:textId="5ED6A78F" w:rsidR="00BF4C8F" w:rsidRPr="00DC55B0" w:rsidRDefault="00BF4C8F"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Programmatic considerations</w:t>
            </w:r>
          </w:p>
        </w:tc>
        <w:tc>
          <w:tcPr>
            <w:tcW w:w="3589" w:type="dxa"/>
          </w:tcPr>
          <w:p w14:paraId="3520584D" w14:textId="10DDE785" w:rsidR="00BF4C8F" w:rsidRPr="00DC55B0" w:rsidRDefault="00BF4C8F"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Challenges of timing with routine antenatal care visits and co-administration with other vaccines</w:t>
            </w:r>
          </w:p>
        </w:tc>
        <w:tc>
          <w:tcPr>
            <w:tcW w:w="3589" w:type="dxa"/>
          </w:tcPr>
          <w:p w14:paraId="34E842C9" w14:textId="1D5FF000" w:rsidR="00BF4C8F" w:rsidRPr="00DC55B0" w:rsidRDefault="00BF4C8F" w:rsidP="00BF4C8F">
            <w:pPr>
              <w:pStyle w:val="NormalWeb"/>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 xml:space="preserve">Challenges of delivery of immunisation to newborns in countries where this is not routine; challenges of co-administration where other neonatal vaccine programmes exist. </w:t>
            </w:r>
          </w:p>
        </w:tc>
      </w:tr>
      <w:tr w:rsidR="00BF4C8F" w:rsidRPr="00DC55B0" w14:paraId="4D84CF8E" w14:textId="77777777" w:rsidTr="00D36D09">
        <w:tc>
          <w:tcPr>
            <w:tcW w:w="1838" w:type="dxa"/>
            <w:vMerge/>
          </w:tcPr>
          <w:p w14:paraId="1A314AD4" w14:textId="77777777" w:rsidR="00BF4C8F" w:rsidRPr="00DC55B0" w:rsidRDefault="00BF4C8F"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7010644E" w14:textId="3D6C7327" w:rsidR="00BF4C8F" w:rsidRPr="00DC55B0" w:rsidRDefault="00BF4C8F"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Challenges of delivering a seasonal programme, in countries where this is relevant</w:t>
            </w:r>
          </w:p>
        </w:tc>
        <w:tc>
          <w:tcPr>
            <w:tcW w:w="3589" w:type="dxa"/>
          </w:tcPr>
          <w:p w14:paraId="3FE4F481" w14:textId="0B08E4D1" w:rsidR="00BF4C8F" w:rsidRPr="00DC55B0" w:rsidRDefault="00BF4C8F" w:rsidP="00BF4C8F">
            <w:pPr>
              <w:pStyle w:val="NormalWeb"/>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Challenges of delivering a seasonal programme</w:t>
            </w:r>
          </w:p>
        </w:tc>
      </w:tr>
      <w:tr w:rsidR="00BF4C8F" w:rsidRPr="00DC55B0" w14:paraId="6A392C44" w14:textId="77777777" w:rsidTr="00D36D09">
        <w:tc>
          <w:tcPr>
            <w:tcW w:w="1838" w:type="dxa"/>
            <w:vMerge/>
          </w:tcPr>
          <w:p w14:paraId="5FA1A554" w14:textId="77777777" w:rsidR="00BF4C8F" w:rsidRPr="00DC55B0" w:rsidRDefault="00BF4C8F"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575071D6" w14:textId="7B17CF8C" w:rsidR="00BF4C8F" w:rsidRPr="00DC55B0" w:rsidRDefault="00BF4C8F" w:rsidP="00A421D3">
            <w:pPr>
              <w:pStyle w:val="NormalWeb"/>
              <w:spacing w:before="0" w:beforeAutospacing="0" w:after="0" w:afterAutospacing="0"/>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Financial, structural and organisational support is vital to ensure equity of access and programmatic success</w:t>
            </w:r>
          </w:p>
        </w:tc>
        <w:tc>
          <w:tcPr>
            <w:tcW w:w="3589" w:type="dxa"/>
          </w:tcPr>
          <w:p w14:paraId="442C1547" w14:textId="2D53205F" w:rsidR="00BF4C8F" w:rsidRPr="00DC55B0" w:rsidRDefault="00BF4C8F" w:rsidP="00BF4C8F">
            <w:pPr>
              <w:pStyle w:val="NormalWeb"/>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 xml:space="preserve">Financial, structural and organisational support is vital to ensure equity of access and programmatic success </w:t>
            </w:r>
          </w:p>
        </w:tc>
      </w:tr>
      <w:tr w:rsidR="00B33596" w:rsidRPr="00DC55B0" w14:paraId="58CFF70A" w14:textId="77777777" w:rsidTr="00D36D09">
        <w:tc>
          <w:tcPr>
            <w:tcW w:w="1838" w:type="dxa"/>
            <w:vMerge w:val="restart"/>
          </w:tcPr>
          <w:p w14:paraId="06AE8EFC" w14:textId="569FDB3F" w:rsidR="00B33596" w:rsidRPr="00DC55B0" w:rsidRDefault="00B33596" w:rsidP="00A421D3">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Cost and availability</w:t>
            </w:r>
          </w:p>
        </w:tc>
        <w:tc>
          <w:tcPr>
            <w:tcW w:w="3589" w:type="dxa"/>
          </w:tcPr>
          <w:p w14:paraId="71AFFC50" w14:textId="23A128CF" w:rsidR="00B33596" w:rsidRPr="00DC55B0" w:rsidRDefault="00B33596" w:rsidP="00B33596">
            <w:pPr>
              <w:pStyle w:val="NormalWeb"/>
              <w:spacing w:before="0" w:beforeAutospacing="0" w:after="0" w:afterAutospacing="0"/>
              <w:contextualSpacing/>
              <w:rPr>
                <w:rFonts w:ascii="Calibri" w:hAnsi="Calibri" w:cs="Calibri"/>
                <w:sz w:val="20"/>
                <w:szCs w:val="20"/>
              </w:rPr>
            </w:pPr>
            <w:r w:rsidRPr="00DC55B0">
              <w:rPr>
                <w:rFonts w:ascii="Calibri" w:hAnsi="Calibri" w:cs="Calibri"/>
                <w:sz w:val="20"/>
                <w:szCs w:val="20"/>
              </w:rPr>
              <w:t xml:space="preserve">Lower cost product </w:t>
            </w:r>
          </w:p>
        </w:tc>
        <w:tc>
          <w:tcPr>
            <w:tcW w:w="3589" w:type="dxa"/>
          </w:tcPr>
          <w:p w14:paraId="076F6DB2" w14:textId="15B78841" w:rsidR="00B33596" w:rsidRPr="00DC55B0" w:rsidRDefault="00B33596" w:rsidP="00476832">
            <w:pPr>
              <w:pStyle w:val="NormalWeb"/>
              <w:contextualSpacing/>
              <w:rPr>
                <w:rStyle w:val="Strong"/>
                <w:rFonts w:ascii="Calibri" w:eastAsiaTheme="majorEastAsia" w:hAnsi="Calibri" w:cs="Calibri"/>
                <w:b w:val="0"/>
                <w:bCs w:val="0"/>
                <w:color w:val="242424"/>
                <w:sz w:val="20"/>
                <w:szCs w:val="20"/>
              </w:rPr>
            </w:pPr>
            <w:r w:rsidRPr="00DC55B0">
              <w:rPr>
                <w:rStyle w:val="Strong"/>
                <w:rFonts w:ascii="Calibri" w:eastAsiaTheme="majorEastAsia" w:hAnsi="Calibri" w:cs="Calibri"/>
                <w:b w:val="0"/>
                <w:bCs w:val="0"/>
                <w:color w:val="242424"/>
                <w:sz w:val="20"/>
                <w:szCs w:val="20"/>
              </w:rPr>
              <w:t>Higher cost product</w:t>
            </w:r>
          </w:p>
        </w:tc>
      </w:tr>
      <w:tr w:rsidR="00B33596" w:rsidRPr="00DC55B0" w14:paraId="2C069A0B" w14:textId="77777777" w:rsidTr="00D36D09">
        <w:tc>
          <w:tcPr>
            <w:tcW w:w="1838" w:type="dxa"/>
            <w:vMerge/>
          </w:tcPr>
          <w:p w14:paraId="72051958" w14:textId="77777777" w:rsidR="00B33596" w:rsidRPr="00DC55B0" w:rsidRDefault="00B33596" w:rsidP="00A421D3">
            <w:pPr>
              <w:pStyle w:val="NormalWeb"/>
              <w:spacing w:before="0" w:beforeAutospacing="0" w:after="0" w:afterAutospacing="0"/>
              <w:contextualSpacing/>
              <w:rPr>
                <w:rStyle w:val="Strong"/>
                <w:rFonts w:ascii="Calibri" w:eastAsiaTheme="majorEastAsia" w:hAnsi="Calibri" w:cs="Calibri"/>
                <w:color w:val="242424"/>
                <w:sz w:val="20"/>
                <w:szCs w:val="20"/>
              </w:rPr>
            </w:pPr>
          </w:p>
        </w:tc>
        <w:tc>
          <w:tcPr>
            <w:tcW w:w="3589" w:type="dxa"/>
          </w:tcPr>
          <w:p w14:paraId="6A3A6BB3" w14:textId="60CE65E6" w:rsidR="00B33596" w:rsidRPr="00DC55B0" w:rsidRDefault="00B33596" w:rsidP="00B33596">
            <w:pPr>
              <w:pStyle w:val="NormalWeb"/>
              <w:spacing w:before="0" w:beforeAutospacing="0" w:after="0" w:afterAutospacing="0"/>
              <w:contextualSpacing/>
              <w:rPr>
                <w:rFonts w:ascii="Calibri" w:hAnsi="Calibri" w:cs="Calibri"/>
                <w:b/>
                <w:bCs/>
                <w:sz w:val="20"/>
                <w:szCs w:val="20"/>
              </w:rPr>
            </w:pPr>
            <w:r w:rsidRPr="00DC55B0">
              <w:rPr>
                <w:rFonts w:ascii="Calibri" w:hAnsi="Calibri" w:cs="Calibri"/>
                <w:sz w:val="20"/>
                <w:szCs w:val="20"/>
              </w:rPr>
              <w:t xml:space="preserve">Not currently available for most of the global population </w:t>
            </w:r>
          </w:p>
          <w:p w14:paraId="48AA43F9" w14:textId="5BE72F3D" w:rsidR="00B33596" w:rsidRPr="00DC55B0" w:rsidRDefault="00B33596" w:rsidP="00476832">
            <w:pPr>
              <w:pStyle w:val="NormalWeb"/>
              <w:spacing w:before="0" w:beforeAutospacing="0" w:after="0" w:afterAutospacing="0"/>
              <w:contextualSpacing/>
              <w:rPr>
                <w:rFonts w:ascii="Calibri" w:hAnsi="Calibri" w:cs="Calibri"/>
                <w:sz w:val="20"/>
                <w:szCs w:val="20"/>
              </w:rPr>
            </w:pPr>
          </w:p>
        </w:tc>
        <w:tc>
          <w:tcPr>
            <w:tcW w:w="3589" w:type="dxa"/>
          </w:tcPr>
          <w:p w14:paraId="46FE7CCD" w14:textId="6B640A4D" w:rsidR="00B33596" w:rsidRPr="00DC55B0" w:rsidRDefault="00B33596" w:rsidP="00476832">
            <w:pPr>
              <w:pStyle w:val="NormalWeb"/>
              <w:contextualSpacing/>
              <w:rPr>
                <w:rStyle w:val="Strong"/>
                <w:rFonts w:ascii="Calibri" w:eastAsiaTheme="majorEastAsia" w:hAnsi="Calibri" w:cs="Calibri"/>
                <w:b w:val="0"/>
                <w:bCs w:val="0"/>
                <w:color w:val="242424"/>
                <w:sz w:val="20"/>
                <w:szCs w:val="20"/>
              </w:rPr>
            </w:pPr>
            <w:r w:rsidRPr="00DC55B0">
              <w:rPr>
                <w:rFonts w:ascii="Calibri" w:hAnsi="Calibri" w:cs="Calibri"/>
                <w:sz w:val="20"/>
                <w:szCs w:val="20"/>
              </w:rPr>
              <w:t xml:space="preserve">Not currently available for most of the global population; temporary supply issues in some </w:t>
            </w:r>
            <w:r w:rsidR="00F17658" w:rsidRPr="00DC55B0">
              <w:rPr>
                <w:rFonts w:ascii="Calibri" w:hAnsi="Calibri" w:cs="Calibri"/>
                <w:sz w:val="20"/>
                <w:szCs w:val="20"/>
              </w:rPr>
              <w:t>high-income</w:t>
            </w:r>
            <w:r w:rsidRPr="00DC55B0">
              <w:rPr>
                <w:rFonts w:ascii="Calibri" w:hAnsi="Calibri" w:cs="Calibri"/>
                <w:sz w:val="20"/>
                <w:szCs w:val="20"/>
              </w:rPr>
              <w:t xml:space="preserve"> countries</w:t>
            </w:r>
          </w:p>
        </w:tc>
      </w:tr>
      <w:tr w:rsidR="00B33596" w:rsidRPr="00DC55B0" w14:paraId="1A94BCD3" w14:textId="77777777" w:rsidTr="009210BB">
        <w:tc>
          <w:tcPr>
            <w:tcW w:w="1838" w:type="dxa"/>
          </w:tcPr>
          <w:p w14:paraId="5DBB8FFD" w14:textId="4B71779F" w:rsidR="00B33596" w:rsidRPr="00DC55B0" w:rsidRDefault="00B33596" w:rsidP="00B33596">
            <w:pPr>
              <w:pStyle w:val="NormalWeb"/>
              <w:spacing w:before="0" w:beforeAutospacing="0" w:after="0" w:afterAutospacing="0"/>
              <w:contextualSpacing/>
              <w:rPr>
                <w:rStyle w:val="Strong"/>
                <w:rFonts w:ascii="Calibri" w:eastAsiaTheme="majorEastAsia" w:hAnsi="Calibri" w:cs="Calibri"/>
                <w:color w:val="242424"/>
                <w:sz w:val="20"/>
                <w:szCs w:val="20"/>
              </w:rPr>
            </w:pPr>
            <w:r w:rsidRPr="00DC55B0">
              <w:rPr>
                <w:rStyle w:val="Strong"/>
                <w:rFonts w:ascii="Calibri" w:eastAsiaTheme="majorEastAsia" w:hAnsi="Calibri" w:cs="Calibri"/>
                <w:color w:val="242424"/>
                <w:sz w:val="20"/>
                <w:szCs w:val="20"/>
              </w:rPr>
              <w:t>Uptake and acceptability</w:t>
            </w:r>
          </w:p>
        </w:tc>
        <w:tc>
          <w:tcPr>
            <w:tcW w:w="7178" w:type="dxa"/>
            <w:gridSpan w:val="2"/>
          </w:tcPr>
          <w:p w14:paraId="4AF7AC2B" w14:textId="6B71509C" w:rsidR="00B33596" w:rsidRPr="00DC55B0" w:rsidRDefault="00B33596" w:rsidP="00B33596">
            <w:pPr>
              <w:pStyle w:val="NormalWeb"/>
              <w:contextualSpacing/>
              <w:rPr>
                <w:rFonts w:ascii="Calibri" w:hAnsi="Calibri" w:cs="Calibri"/>
                <w:sz w:val="20"/>
                <w:szCs w:val="20"/>
              </w:rPr>
            </w:pPr>
            <w:r w:rsidRPr="00DC55B0">
              <w:rPr>
                <w:rFonts w:ascii="Calibri" w:hAnsi="Calibri" w:cs="Calibri"/>
                <w:color w:val="242424"/>
                <w:sz w:val="20"/>
                <w:szCs w:val="20"/>
              </w:rPr>
              <w:t>Uptake of other vaccines during pregnancy has been lower than that observed for infant RSV monoclonal administration in the first countries implementing this strategy, but this may vary with country or population</w:t>
            </w:r>
          </w:p>
        </w:tc>
      </w:tr>
    </w:tbl>
    <w:p w14:paraId="4EBA1E80" w14:textId="37064CEF" w:rsidR="009577AE" w:rsidRPr="00DC55B0" w:rsidRDefault="00626D04" w:rsidP="001F3ACA">
      <w:pPr>
        <w:rPr>
          <w:rFonts w:ascii="Calibri" w:hAnsi="Calibri" w:cs="Calibri"/>
          <w:b/>
          <w:bCs/>
        </w:rPr>
      </w:pPr>
      <w:r w:rsidRPr="00DC55B0">
        <w:rPr>
          <w:rFonts w:ascii="Calibri" w:hAnsi="Calibri" w:cs="Calibri"/>
          <w:b/>
          <w:bCs/>
        </w:rPr>
        <w:br w:type="page"/>
      </w:r>
      <w:r w:rsidR="004A41EE" w:rsidRPr="00DC55B0">
        <w:rPr>
          <w:rFonts w:ascii="Calibri" w:hAnsi="Calibri" w:cs="Calibri"/>
          <w:b/>
          <w:bCs/>
        </w:rPr>
        <w:lastRenderedPageBreak/>
        <w:t xml:space="preserve"> </w:t>
      </w:r>
      <w:r w:rsidR="009577AE" w:rsidRPr="00DC55B0">
        <w:rPr>
          <w:rFonts w:ascii="Calibri" w:hAnsi="Calibri" w:cs="Calibri"/>
          <w:b/>
          <w:bCs/>
        </w:rPr>
        <w:t xml:space="preserve">Figure 1 – TO BE ADAPTED FROM  </w:t>
      </w:r>
      <w:hyperlink r:id="rId7" w:history="1">
        <w:r w:rsidR="00DE65D4" w:rsidRPr="00DC55B0">
          <w:rPr>
            <w:rStyle w:val="Hyperlink"/>
            <w:rFonts w:ascii="Calibri" w:hAnsi="Calibri" w:cs="Calibri"/>
            <w:b/>
            <w:bCs/>
          </w:rPr>
          <w:t>PYZIK</w:t>
        </w:r>
      </w:hyperlink>
    </w:p>
    <w:p w14:paraId="2F963D66" w14:textId="0309FF59" w:rsidR="00DE65D4" w:rsidRPr="00DC55B0" w:rsidRDefault="00617E13" w:rsidP="001F3ACA">
      <w:pPr>
        <w:rPr>
          <w:rFonts w:ascii="Calibri" w:hAnsi="Calibri" w:cs="Calibri"/>
        </w:rPr>
      </w:pPr>
      <w:r w:rsidRPr="00DC55B0">
        <w:rPr>
          <w:rFonts w:ascii="Calibri" w:hAnsi="Calibri" w:cs="Calibri"/>
          <w:noProof/>
        </w:rPr>
        <w:drawing>
          <wp:inline distT="0" distB="0" distL="0" distR="0" wp14:anchorId="4585430F" wp14:editId="3B2B1DBB">
            <wp:extent cx="5715000" cy="2486025"/>
            <wp:effectExtent l="0" t="0" r="0" b="9525"/>
            <wp:docPr id="75255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0" cy="2486025"/>
                    </a:xfrm>
                    <a:prstGeom prst="rect">
                      <a:avLst/>
                    </a:prstGeom>
                    <a:noFill/>
                    <a:ln>
                      <a:noFill/>
                    </a:ln>
                  </pic:spPr>
                </pic:pic>
              </a:graphicData>
            </a:graphic>
          </wp:inline>
        </w:drawing>
      </w:r>
    </w:p>
    <w:p w14:paraId="52095034" w14:textId="77777777" w:rsidR="003D7242" w:rsidRPr="00DC55B0" w:rsidRDefault="003D7242" w:rsidP="001F3ACA">
      <w:pPr>
        <w:rPr>
          <w:rFonts w:ascii="Calibri" w:hAnsi="Calibri" w:cs="Calibri"/>
          <w:i/>
          <w:iCs/>
        </w:rPr>
      </w:pPr>
      <w:r w:rsidRPr="00DC55B0">
        <w:rPr>
          <w:rFonts w:ascii="Calibri" w:hAnsi="Calibri" w:cs="Calibri"/>
          <w:i/>
          <w:iCs/>
        </w:rPr>
        <w:t>Figure 1. Transplacental transport of IgG.</w:t>
      </w:r>
    </w:p>
    <w:p w14:paraId="3BD046E0" w14:textId="21BD2287" w:rsidR="009577AE" w:rsidRPr="00DC55B0" w:rsidRDefault="003C6E32" w:rsidP="001F3ACA">
      <w:pPr>
        <w:rPr>
          <w:rFonts w:ascii="Calibri" w:hAnsi="Calibri" w:cs="Calibri"/>
        </w:rPr>
      </w:pPr>
      <w:r w:rsidRPr="00DC55B0">
        <w:rPr>
          <w:rFonts w:ascii="Calibri" w:hAnsi="Calibri" w:cs="Calibri"/>
        </w:rPr>
        <w:t xml:space="preserve">A. </w:t>
      </w:r>
      <w:r w:rsidR="002703EC" w:rsidRPr="00DC55B0">
        <w:rPr>
          <w:rFonts w:ascii="Calibri" w:hAnsi="Calibri" w:cs="Calibri"/>
        </w:rPr>
        <w:t>The maternal and fetal circulations are separated by villous trophoblast cells,</w:t>
      </w:r>
      <w:r w:rsidRPr="00DC55B0">
        <w:rPr>
          <w:rFonts w:ascii="Calibri" w:hAnsi="Calibri" w:cs="Calibri"/>
        </w:rPr>
        <w:t xml:space="preserve"> fetal connective tissue and fetal endothelial cells.</w:t>
      </w:r>
      <w:r w:rsidR="00A3416C" w:rsidRPr="00DC55B0">
        <w:rPr>
          <w:rFonts w:ascii="Calibri" w:hAnsi="Calibri" w:cs="Calibri"/>
        </w:rPr>
        <w:t xml:space="preserve"> </w:t>
      </w:r>
      <w:r w:rsidR="003E023B" w:rsidRPr="00DC55B0">
        <w:rPr>
          <w:rFonts w:ascii="Calibri" w:hAnsi="Calibri" w:cs="Calibri"/>
        </w:rPr>
        <w:t>IgG is transported</w:t>
      </w:r>
      <w:r w:rsidR="00A3416C" w:rsidRPr="00DC55B0">
        <w:rPr>
          <w:rFonts w:ascii="Calibri" w:hAnsi="Calibri" w:cs="Calibri"/>
        </w:rPr>
        <w:t xml:space="preserve"> through the </w:t>
      </w:r>
      <w:r w:rsidR="00B34B3F" w:rsidRPr="00DC55B0">
        <w:rPr>
          <w:rFonts w:ascii="Calibri" w:hAnsi="Calibri" w:cs="Calibri"/>
        </w:rPr>
        <w:t>villous syncytiotrophoblast by FcRN</w:t>
      </w:r>
      <w:r w:rsidR="00FB75F7" w:rsidRPr="00DC55B0">
        <w:rPr>
          <w:rFonts w:ascii="Calibri" w:hAnsi="Calibri" w:cs="Calibri"/>
        </w:rPr>
        <w:t>-mediated transcytosis</w:t>
      </w:r>
      <w:r w:rsidR="00E169C8" w:rsidRPr="00DC55B0">
        <w:rPr>
          <w:rFonts w:ascii="Calibri" w:hAnsi="Calibri" w:cs="Calibri"/>
        </w:rPr>
        <w:t xml:space="preserve"> (detail shown in B)</w:t>
      </w:r>
      <w:r w:rsidR="003E023B" w:rsidRPr="00DC55B0">
        <w:rPr>
          <w:rFonts w:ascii="Calibri" w:hAnsi="Calibri" w:cs="Calibri"/>
        </w:rPr>
        <w:t xml:space="preserve">. It is less clear how </w:t>
      </w:r>
      <w:r w:rsidR="00A5774E" w:rsidRPr="00DC55B0">
        <w:rPr>
          <w:rFonts w:ascii="Calibri" w:hAnsi="Calibri" w:cs="Calibri"/>
        </w:rPr>
        <w:t>IgG moves through the connective tissue</w:t>
      </w:r>
      <w:r w:rsidR="009016EE" w:rsidRPr="00DC55B0">
        <w:rPr>
          <w:rFonts w:ascii="Calibri" w:hAnsi="Calibri" w:cs="Calibri"/>
        </w:rPr>
        <w:t xml:space="preserve"> and fetal endothelium, but FcRN and other FcγRs expressed by placental macrophages (Hofbauer cells) and fetal endothelial cells may play a role. </w:t>
      </w:r>
      <w:r w:rsidR="00CF3DEA" w:rsidRPr="00DC55B0">
        <w:rPr>
          <w:rFonts w:ascii="Calibri" w:hAnsi="Calibri" w:cs="Calibri"/>
        </w:rPr>
        <w:t>B. Syncytiotrophoblast cells</w:t>
      </w:r>
      <w:r w:rsidR="00E169C8" w:rsidRPr="00DC55B0">
        <w:rPr>
          <w:rFonts w:ascii="Calibri" w:hAnsi="Calibri" w:cs="Calibri"/>
        </w:rPr>
        <w:t xml:space="preserve"> take up maternal IgG by pinocytosis</w:t>
      </w:r>
      <w:r w:rsidR="00014FB4" w:rsidRPr="00DC55B0">
        <w:rPr>
          <w:rFonts w:ascii="Calibri" w:hAnsi="Calibri" w:cs="Calibri"/>
        </w:rPr>
        <w:t>. The IgG-containing vesicles fuse with endosomes</w:t>
      </w:r>
      <w:r w:rsidR="00FB75F7" w:rsidRPr="00DC55B0">
        <w:rPr>
          <w:rFonts w:ascii="Calibri" w:hAnsi="Calibri" w:cs="Calibri"/>
        </w:rPr>
        <w:t xml:space="preserve"> containing FcRn, which protect IgG from proteolytic degradation at low pH</w:t>
      </w:r>
      <w:r w:rsidR="00661B56" w:rsidRPr="00DC55B0">
        <w:rPr>
          <w:rFonts w:ascii="Calibri" w:hAnsi="Calibri" w:cs="Calibri"/>
        </w:rPr>
        <w:t>. As the endosome fuses with the fetal side of the syncytiotrophoblast</w:t>
      </w:r>
      <w:r w:rsidR="002F6A33" w:rsidRPr="00DC55B0">
        <w:rPr>
          <w:rFonts w:ascii="Calibri" w:hAnsi="Calibri" w:cs="Calibri"/>
        </w:rPr>
        <w:t xml:space="preserve">, the increasing pH causes FcRn to release its IgG cargo into the </w:t>
      </w:r>
      <w:r w:rsidR="0063131B" w:rsidRPr="00DC55B0">
        <w:rPr>
          <w:rFonts w:ascii="Calibri" w:hAnsi="Calibri" w:cs="Calibri"/>
        </w:rPr>
        <w:t>villous connective tissue.</w:t>
      </w:r>
      <w:r w:rsidR="009577AE" w:rsidRPr="00DC55B0">
        <w:rPr>
          <w:rFonts w:ascii="Calibri" w:hAnsi="Calibri" w:cs="Calibri"/>
          <w:b/>
          <w:bCs/>
        </w:rPr>
        <w:br w:type="page"/>
      </w:r>
    </w:p>
    <w:p w14:paraId="0D1F4917" w14:textId="7F9CC220" w:rsidR="00626D04" w:rsidRPr="00DC55B0" w:rsidRDefault="00626D04" w:rsidP="001F3ACA">
      <w:pPr>
        <w:rPr>
          <w:rFonts w:ascii="Calibri" w:hAnsi="Calibri" w:cs="Calibri"/>
        </w:rPr>
      </w:pPr>
      <w:r w:rsidRPr="00DC55B0">
        <w:rPr>
          <w:rFonts w:ascii="Calibri" w:hAnsi="Calibri" w:cs="Calibri"/>
          <w:b/>
          <w:bCs/>
        </w:rPr>
        <w:lastRenderedPageBreak/>
        <w:t xml:space="preserve">Figure </w:t>
      </w:r>
      <w:r w:rsidR="00A9483D" w:rsidRPr="00DC55B0">
        <w:rPr>
          <w:rFonts w:ascii="Calibri" w:hAnsi="Calibri" w:cs="Calibri"/>
          <w:b/>
          <w:bCs/>
        </w:rPr>
        <w:t>2</w:t>
      </w:r>
      <w:r w:rsidR="00861D51" w:rsidRPr="00DC55B0">
        <w:rPr>
          <w:rFonts w:ascii="Calibri" w:hAnsi="Calibri" w:cs="Calibri"/>
          <w:b/>
          <w:bCs/>
        </w:rPr>
        <w:t xml:space="preserve"> – </w:t>
      </w:r>
      <w:r w:rsidR="0059247E" w:rsidRPr="00DC55B0">
        <w:rPr>
          <w:rFonts w:ascii="Calibri" w:hAnsi="Calibri" w:cs="Calibri"/>
          <w:b/>
          <w:bCs/>
        </w:rPr>
        <w:t xml:space="preserve">SKETCH, TO BE PROFESSIONALLY REDRAWN </w:t>
      </w:r>
    </w:p>
    <w:p w14:paraId="272E2A91" w14:textId="77777777" w:rsidR="0008093A" w:rsidRPr="00DC55B0" w:rsidRDefault="00861D51" w:rsidP="001F3ACA">
      <w:pPr>
        <w:rPr>
          <w:rFonts w:ascii="Calibri" w:hAnsi="Calibri" w:cs="Calibri"/>
          <w:b/>
          <w:bCs/>
        </w:rPr>
      </w:pPr>
      <w:r w:rsidRPr="00DC55B0">
        <w:rPr>
          <w:rFonts w:ascii="Calibri" w:hAnsi="Calibri" w:cs="Calibri"/>
          <w:b/>
          <w:bCs/>
          <w:noProof/>
        </w:rPr>
        <w:drawing>
          <wp:inline distT="0" distB="0" distL="0" distR="0" wp14:anchorId="171261CB" wp14:editId="553F9D7B">
            <wp:extent cx="5724525" cy="3590925"/>
            <wp:effectExtent l="0" t="0" r="9525" b="9525"/>
            <wp:docPr id="141151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590925"/>
                    </a:xfrm>
                    <a:prstGeom prst="rect">
                      <a:avLst/>
                    </a:prstGeom>
                    <a:noFill/>
                    <a:ln>
                      <a:noFill/>
                    </a:ln>
                  </pic:spPr>
                </pic:pic>
              </a:graphicData>
            </a:graphic>
          </wp:inline>
        </w:drawing>
      </w:r>
    </w:p>
    <w:p w14:paraId="46ABD33E" w14:textId="5ABC0AEE" w:rsidR="0008093A" w:rsidRPr="00DC55B0" w:rsidRDefault="0008093A" w:rsidP="001F3ACA">
      <w:pPr>
        <w:rPr>
          <w:rFonts w:ascii="Calibri" w:hAnsi="Calibri" w:cs="Calibri"/>
          <w:b/>
          <w:bCs/>
          <w:i/>
          <w:iCs/>
        </w:rPr>
      </w:pPr>
      <w:r w:rsidRPr="00DC55B0">
        <w:rPr>
          <w:rFonts w:ascii="Calibri" w:hAnsi="Calibri" w:cs="Calibri"/>
          <w:i/>
          <w:iCs/>
        </w:rPr>
        <w:t xml:space="preserve">Figure </w:t>
      </w:r>
      <w:r w:rsidR="00A9483D" w:rsidRPr="00DC55B0">
        <w:rPr>
          <w:rFonts w:ascii="Calibri" w:hAnsi="Calibri" w:cs="Calibri"/>
          <w:i/>
          <w:iCs/>
        </w:rPr>
        <w:t>2.</w:t>
      </w:r>
      <w:r w:rsidRPr="00DC55B0">
        <w:rPr>
          <w:rFonts w:ascii="Calibri" w:hAnsi="Calibri" w:cs="Calibri"/>
          <w:i/>
          <w:iCs/>
        </w:rPr>
        <w:t xml:space="preserve"> Mechanisms by which vaccination during pregnancy protects the newborn</w:t>
      </w:r>
    </w:p>
    <w:p w14:paraId="0249E826" w14:textId="77777777" w:rsidR="0008093A" w:rsidRPr="00DC55B0" w:rsidRDefault="0008093A" w:rsidP="001F3ACA">
      <w:pPr>
        <w:rPr>
          <w:rFonts w:ascii="Calibri" w:hAnsi="Calibri" w:cs="Calibri"/>
          <w:b/>
          <w:bCs/>
          <w:i/>
          <w:iCs/>
        </w:rPr>
      </w:pPr>
      <w:r w:rsidRPr="00DC55B0">
        <w:rPr>
          <w:rFonts w:ascii="Calibri" w:hAnsi="Calibri" w:cs="Calibri"/>
          <w:b/>
          <w:bCs/>
          <w:i/>
          <w:iCs/>
        </w:rPr>
        <w:br w:type="page"/>
      </w:r>
    </w:p>
    <w:p w14:paraId="66FA12E3" w14:textId="7F5E94C4" w:rsidR="0008093A" w:rsidRPr="00DC55B0" w:rsidRDefault="0008093A" w:rsidP="001F3ACA">
      <w:pPr>
        <w:rPr>
          <w:rFonts w:ascii="Calibri" w:hAnsi="Calibri" w:cs="Calibri"/>
          <w:b/>
          <w:bCs/>
        </w:rPr>
      </w:pPr>
      <w:r w:rsidRPr="00DC55B0">
        <w:rPr>
          <w:rFonts w:ascii="Calibri" w:hAnsi="Calibri" w:cs="Calibri"/>
          <w:b/>
          <w:bCs/>
        </w:rPr>
        <w:lastRenderedPageBreak/>
        <w:t xml:space="preserve">Figure </w:t>
      </w:r>
      <w:r w:rsidR="00A9483D" w:rsidRPr="00DC55B0">
        <w:rPr>
          <w:rFonts w:ascii="Calibri" w:hAnsi="Calibri" w:cs="Calibri"/>
          <w:b/>
          <w:bCs/>
        </w:rPr>
        <w:t>3</w:t>
      </w:r>
      <w:r w:rsidRPr="00DC55B0">
        <w:rPr>
          <w:rFonts w:ascii="Calibri" w:hAnsi="Calibri" w:cs="Calibri"/>
          <w:b/>
          <w:bCs/>
        </w:rPr>
        <w:t xml:space="preserve"> – SKETCH</w:t>
      </w:r>
      <w:r w:rsidR="0059247E" w:rsidRPr="00DC55B0">
        <w:rPr>
          <w:rFonts w:ascii="Calibri" w:hAnsi="Calibri" w:cs="Calibri"/>
          <w:b/>
          <w:bCs/>
        </w:rPr>
        <w:t xml:space="preserve">, TO BE PROFESSIONALLY REDRAWN </w:t>
      </w:r>
    </w:p>
    <w:p w14:paraId="6B524DC0" w14:textId="4829177B" w:rsidR="00482A23" w:rsidRPr="00DC55B0" w:rsidRDefault="008D5C0C" w:rsidP="001F3ACA">
      <w:pPr>
        <w:rPr>
          <w:rFonts w:ascii="Calibri" w:hAnsi="Calibri" w:cs="Calibri"/>
          <w:b/>
          <w:bCs/>
          <w:i/>
          <w:iCs/>
        </w:rPr>
      </w:pPr>
      <w:r w:rsidRPr="00DC55B0">
        <w:rPr>
          <w:rFonts w:ascii="Calibri" w:hAnsi="Calibri" w:cs="Calibri"/>
          <w:b/>
          <w:bCs/>
          <w:i/>
          <w:iCs/>
          <w:noProof/>
        </w:rPr>
        <w:drawing>
          <wp:inline distT="0" distB="0" distL="0" distR="0" wp14:anchorId="1713E9CB" wp14:editId="163346A0">
            <wp:extent cx="5724525" cy="3409950"/>
            <wp:effectExtent l="0" t="0" r="9525" b="0"/>
            <wp:docPr id="1227581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409950"/>
                    </a:xfrm>
                    <a:prstGeom prst="rect">
                      <a:avLst/>
                    </a:prstGeom>
                    <a:noFill/>
                    <a:ln>
                      <a:noFill/>
                    </a:ln>
                  </pic:spPr>
                </pic:pic>
              </a:graphicData>
            </a:graphic>
          </wp:inline>
        </w:drawing>
      </w:r>
    </w:p>
    <w:p w14:paraId="203C6048" w14:textId="75938138" w:rsidR="00AC2FBB" w:rsidRPr="00DC55B0" w:rsidRDefault="00482A23" w:rsidP="001F3ACA">
      <w:pPr>
        <w:rPr>
          <w:rFonts w:ascii="Calibri" w:hAnsi="Calibri" w:cs="Calibri"/>
        </w:rPr>
      </w:pPr>
      <w:r w:rsidRPr="00DC55B0">
        <w:rPr>
          <w:rFonts w:ascii="Calibri" w:hAnsi="Calibri" w:cs="Calibri"/>
          <w:i/>
          <w:iCs/>
        </w:rPr>
        <w:t xml:space="preserve">Figure </w:t>
      </w:r>
      <w:r w:rsidR="00A9483D" w:rsidRPr="00DC55B0">
        <w:rPr>
          <w:rFonts w:ascii="Calibri" w:hAnsi="Calibri" w:cs="Calibri"/>
          <w:i/>
          <w:iCs/>
        </w:rPr>
        <w:t>3</w:t>
      </w:r>
      <w:r w:rsidRPr="00DC55B0">
        <w:rPr>
          <w:rFonts w:ascii="Calibri" w:hAnsi="Calibri" w:cs="Calibri"/>
          <w:i/>
          <w:iCs/>
        </w:rPr>
        <w:t xml:space="preserve">. A timeline of vaccinations offered during pregnancy in the UK, USA and India. </w:t>
      </w:r>
      <w:r w:rsidR="00A94755" w:rsidRPr="00DC55B0">
        <w:rPr>
          <w:rFonts w:ascii="Calibri" w:hAnsi="Calibri" w:cs="Calibri"/>
        </w:rPr>
        <w:t xml:space="preserve">Vaccines offered seasonally are indicated </w:t>
      </w:r>
      <w:r w:rsidR="00EE4529" w:rsidRPr="00DC55B0">
        <w:rPr>
          <w:rFonts w:ascii="Calibri" w:hAnsi="Calibri" w:cs="Calibri"/>
        </w:rPr>
        <w:t>by (S)</w:t>
      </w:r>
      <w:r w:rsidR="00911682" w:rsidRPr="00DC55B0">
        <w:rPr>
          <w:rFonts w:ascii="Calibri" w:hAnsi="Calibri" w:cs="Calibri"/>
        </w:rPr>
        <w:t xml:space="preserve">, </w:t>
      </w:r>
      <w:r w:rsidR="00A94755" w:rsidRPr="00DC55B0">
        <w:rPr>
          <w:rFonts w:ascii="Calibri" w:hAnsi="Calibri" w:cs="Calibri"/>
        </w:rPr>
        <w:t xml:space="preserve">those offered when a formulation targeting a new variant </w:t>
      </w:r>
      <w:r w:rsidR="00911682" w:rsidRPr="00DC55B0">
        <w:rPr>
          <w:rFonts w:ascii="Calibri" w:hAnsi="Calibri" w:cs="Calibri"/>
        </w:rPr>
        <w:t>is</w:t>
      </w:r>
      <w:r w:rsidR="00A94755" w:rsidRPr="00DC55B0">
        <w:rPr>
          <w:rFonts w:ascii="Calibri" w:hAnsi="Calibri" w:cs="Calibri"/>
        </w:rPr>
        <w:t xml:space="preserve"> available </w:t>
      </w:r>
      <w:r w:rsidR="00911682" w:rsidRPr="00DC55B0">
        <w:rPr>
          <w:rFonts w:ascii="Calibri" w:hAnsi="Calibri" w:cs="Calibri"/>
        </w:rPr>
        <w:t xml:space="preserve">by (NV) and those offered only to those infants at high risk by (HR). </w:t>
      </w:r>
      <w:r w:rsidR="00396908" w:rsidRPr="00DC55B0">
        <w:rPr>
          <w:rFonts w:ascii="Calibri" w:hAnsi="Calibri" w:cs="Calibri"/>
        </w:rPr>
        <w:t xml:space="preserve">In the UK, </w:t>
      </w:r>
      <w:r w:rsidR="00416440" w:rsidRPr="00DC55B0">
        <w:rPr>
          <w:rFonts w:ascii="Calibri" w:hAnsi="Calibri" w:cs="Calibri"/>
        </w:rPr>
        <w:t>COVID-19 vaccination was offered as a seasonal campaign until Spring 2025, but cost-benefit analysis does not currently favour continuing the offer.</w:t>
      </w:r>
      <w:r w:rsidR="00416440" w:rsidRPr="00DC55B0">
        <w:rPr>
          <w:rFonts w:ascii="Calibri" w:hAnsi="Calibri" w:cs="Calibri"/>
        </w:rPr>
        <w:fldChar w:fldCharType="begin"/>
      </w:r>
      <w:r w:rsidR="00061423" w:rsidRPr="00DC55B0">
        <w:rPr>
          <w:rFonts w:ascii="Calibri" w:hAnsi="Calibri" w:cs="Calibri"/>
        </w:rPr>
        <w:instrText xml:space="preserve"> ADDIN ZOTERO_ITEM CSL_CITATION {"citationID":"CIUWvo7b","properties":{"formattedCitation":"\\super 144\\nosupersub{}","plainCitation":"144","noteIndex":0},"citationItems":[{"id":333,"uris":["http://zotero.org/users/14445769/items/4Z5QEG4R"],"itemData":{"id":333,"type":"webpage","container-title":"GOV.UK","language":"en","title":"JCVI statement on COVID-19 vaccination in 2025 and spring 2026","URL":"https://www.gov.uk/government/publications/covid-19-vaccination-in-2025-and-spring-2026-jcvi-advice/jcvi-statement-on-covid-19-vaccination-in-2025-and-spring-2026","accessed":{"date-parts":[["2025",1,16]]}}}],"schema":"https://github.com/citation-style-language/schema/raw/master/csl-citation.json"} </w:instrText>
      </w:r>
      <w:r w:rsidR="00416440" w:rsidRPr="00DC55B0">
        <w:rPr>
          <w:rFonts w:ascii="Calibri" w:hAnsi="Calibri" w:cs="Calibri"/>
        </w:rPr>
        <w:fldChar w:fldCharType="separate"/>
      </w:r>
      <w:r w:rsidR="00061423" w:rsidRPr="00DC55B0">
        <w:rPr>
          <w:rFonts w:ascii="Calibri" w:hAnsi="Calibri" w:cs="Calibri"/>
          <w:kern w:val="0"/>
          <w:vertAlign w:val="superscript"/>
        </w:rPr>
        <w:t>144</w:t>
      </w:r>
      <w:r w:rsidR="00416440" w:rsidRPr="00DC55B0">
        <w:rPr>
          <w:rFonts w:ascii="Calibri" w:hAnsi="Calibri" w:cs="Calibri"/>
        </w:rPr>
        <w:fldChar w:fldCharType="end"/>
      </w:r>
      <w:r w:rsidR="00573D7B" w:rsidRPr="00DC55B0">
        <w:rPr>
          <w:rFonts w:ascii="Calibri" w:hAnsi="Calibri" w:cs="Calibri"/>
        </w:rPr>
        <w:t xml:space="preserve"> </w:t>
      </w:r>
      <w:r w:rsidR="00506A79" w:rsidRPr="00DC55B0">
        <w:rPr>
          <w:rFonts w:ascii="Calibri" w:hAnsi="Calibri" w:cs="Calibri"/>
        </w:rPr>
        <w:t xml:space="preserve">In the USA, influenza vaccination is </w:t>
      </w:r>
      <w:r w:rsidR="00DD2641" w:rsidRPr="00DC55B0">
        <w:rPr>
          <w:rFonts w:ascii="Calibri" w:hAnsi="Calibri" w:cs="Calibri"/>
        </w:rPr>
        <w:t xml:space="preserve">usually </w:t>
      </w:r>
      <w:r w:rsidR="00506A79" w:rsidRPr="00DC55B0">
        <w:rPr>
          <w:rFonts w:ascii="Calibri" w:hAnsi="Calibri" w:cs="Calibri"/>
        </w:rPr>
        <w:t xml:space="preserve">offered in the autumn, </w:t>
      </w:r>
      <w:r w:rsidR="00877B70" w:rsidRPr="00DC55B0">
        <w:rPr>
          <w:rFonts w:ascii="Calibri" w:hAnsi="Calibri" w:cs="Calibri"/>
        </w:rPr>
        <w:t xml:space="preserve">but </w:t>
      </w:r>
      <w:r w:rsidR="006D2B82" w:rsidRPr="00DC55B0">
        <w:rPr>
          <w:rFonts w:ascii="Calibri" w:hAnsi="Calibri" w:cs="Calibri"/>
        </w:rPr>
        <w:t xml:space="preserve">where the third trimester occurs </w:t>
      </w:r>
      <w:r w:rsidR="00416440" w:rsidRPr="00DC55B0">
        <w:rPr>
          <w:rFonts w:ascii="Calibri" w:hAnsi="Calibri" w:cs="Calibri"/>
        </w:rPr>
        <w:t>in</w:t>
      </w:r>
      <w:r w:rsidR="006D2B82" w:rsidRPr="00DC55B0">
        <w:rPr>
          <w:rFonts w:ascii="Calibri" w:hAnsi="Calibri" w:cs="Calibri"/>
        </w:rPr>
        <w:t xml:space="preserve"> the summer, </w:t>
      </w:r>
      <w:r w:rsidR="00877B70" w:rsidRPr="00DC55B0">
        <w:rPr>
          <w:rFonts w:ascii="Calibri" w:hAnsi="Calibri" w:cs="Calibri"/>
        </w:rPr>
        <w:t>summer</w:t>
      </w:r>
      <w:r w:rsidR="006D2B82" w:rsidRPr="00DC55B0">
        <w:rPr>
          <w:rFonts w:ascii="Calibri" w:hAnsi="Calibri" w:cs="Calibri"/>
        </w:rPr>
        <w:t xml:space="preserve"> vaccination</w:t>
      </w:r>
      <w:r w:rsidR="00877B70" w:rsidRPr="00DC55B0">
        <w:rPr>
          <w:rFonts w:ascii="Calibri" w:hAnsi="Calibri" w:cs="Calibri"/>
        </w:rPr>
        <w:t xml:space="preserve"> to protect the newborn</w:t>
      </w:r>
      <w:r w:rsidR="006D2B82" w:rsidRPr="00DC55B0">
        <w:rPr>
          <w:rFonts w:ascii="Calibri" w:hAnsi="Calibri" w:cs="Calibri"/>
        </w:rPr>
        <w:t xml:space="preserve"> can be considered.</w:t>
      </w:r>
      <w:r w:rsidR="00877B70" w:rsidRPr="00DC55B0">
        <w:rPr>
          <w:rFonts w:ascii="Calibri" w:hAnsi="Calibri" w:cs="Calibri"/>
        </w:rPr>
        <w:fldChar w:fldCharType="begin"/>
      </w:r>
      <w:r w:rsidR="008324C0" w:rsidRPr="00DC55B0">
        <w:rPr>
          <w:rFonts w:ascii="Calibri" w:hAnsi="Calibri" w:cs="Calibri"/>
        </w:rPr>
        <w:instrText xml:space="preserve"> ADDIN ZOTERO_ITEM CSL_CITATION {"citationID":"PO41tevf","properties":{"formattedCitation":"\\super 83\\nosupersub{}","plainCitation":"83","noteIndex":0},"citationItems":[{"id":334,"uris":["http://zotero.org/users/14445769/items/RKR8MMFY"],"itemData":{"id":334,"type":"webpage","abstract":"Learn about flu vaccine safety during pregnancy","container-title":"Influenza (Flu)","language":"en-us","title":"Flu Vaccine Safety and Pregnancy","URL":"https://www.cdc.gov/flu/vaccine-safety/vaccine-pregnant.html","author":[{"literal":"CDC"}],"accessed":{"date-parts":[["2025",1,16]]},"issued":{"date-parts":[["2025",1,10]]}}}],"schema":"https://github.com/citation-style-language/schema/raw/master/csl-citation.json"} </w:instrText>
      </w:r>
      <w:r w:rsidR="00877B70" w:rsidRPr="00DC55B0">
        <w:rPr>
          <w:rFonts w:ascii="Calibri" w:hAnsi="Calibri" w:cs="Calibri"/>
        </w:rPr>
        <w:fldChar w:fldCharType="separate"/>
      </w:r>
      <w:r w:rsidR="008324C0" w:rsidRPr="00DC55B0">
        <w:rPr>
          <w:rFonts w:ascii="Calibri" w:hAnsi="Calibri" w:cs="Calibri"/>
          <w:kern w:val="0"/>
          <w:vertAlign w:val="superscript"/>
        </w:rPr>
        <w:t>83</w:t>
      </w:r>
      <w:r w:rsidR="00877B70" w:rsidRPr="00DC55B0">
        <w:rPr>
          <w:rFonts w:ascii="Calibri" w:hAnsi="Calibri" w:cs="Calibri"/>
        </w:rPr>
        <w:fldChar w:fldCharType="end"/>
      </w:r>
      <w:r w:rsidR="00396908" w:rsidRPr="00DC55B0">
        <w:rPr>
          <w:rFonts w:ascii="Calibri" w:hAnsi="Calibri" w:cs="Calibri"/>
        </w:rPr>
        <w:t xml:space="preserve"> </w:t>
      </w:r>
      <w:r w:rsidR="00FF2422" w:rsidRPr="00DC55B0">
        <w:rPr>
          <w:rFonts w:ascii="Calibri" w:hAnsi="Calibri" w:cs="Calibri"/>
        </w:rPr>
        <w:t>In India, the second tetanus vaccination may be combined with the pertussis booster</w:t>
      </w:r>
      <w:r w:rsidR="00231511" w:rsidRPr="00DC55B0">
        <w:rPr>
          <w:rFonts w:ascii="Calibri" w:hAnsi="Calibri" w:cs="Calibri"/>
        </w:rPr>
        <w:t xml:space="preserve"> as a </w:t>
      </w:r>
      <w:r w:rsidR="00D45391" w:rsidRPr="00DC55B0">
        <w:rPr>
          <w:rFonts w:ascii="Calibri" w:hAnsi="Calibri" w:cs="Calibri"/>
        </w:rPr>
        <w:t>Tdap</w:t>
      </w:r>
      <w:r w:rsidR="00D04985" w:rsidRPr="00DC55B0">
        <w:rPr>
          <w:rFonts w:ascii="Calibri" w:hAnsi="Calibri" w:cs="Calibri"/>
        </w:rPr>
        <w:t xml:space="preserve">. </w:t>
      </w:r>
      <w:r w:rsidR="00C93B5F" w:rsidRPr="00DC55B0">
        <w:rPr>
          <w:rFonts w:ascii="Calibri" w:hAnsi="Calibri" w:cs="Calibri"/>
        </w:rPr>
        <w:t xml:space="preserve">RSV, respiratory syncytial virus; HBV, hepatitis B virus; BCG, </w:t>
      </w:r>
      <w:r w:rsidR="00055239" w:rsidRPr="00DC55B0">
        <w:rPr>
          <w:rFonts w:ascii="Calibri" w:hAnsi="Calibri" w:cs="Calibri"/>
        </w:rPr>
        <w:t>B</w:t>
      </w:r>
      <w:r w:rsidR="00C93B5F" w:rsidRPr="00DC55B0">
        <w:rPr>
          <w:rFonts w:ascii="Calibri" w:hAnsi="Calibri" w:cs="Calibri"/>
        </w:rPr>
        <w:t>acill</w:t>
      </w:r>
      <w:r w:rsidR="00055239" w:rsidRPr="00DC55B0">
        <w:rPr>
          <w:rFonts w:ascii="Calibri" w:hAnsi="Calibri" w:cs="Calibri"/>
        </w:rPr>
        <w:t>us</w:t>
      </w:r>
      <w:r w:rsidR="00C93B5F" w:rsidRPr="00DC55B0">
        <w:rPr>
          <w:rFonts w:ascii="Calibri" w:hAnsi="Calibri" w:cs="Calibri"/>
        </w:rPr>
        <w:t xml:space="preserve"> Calmette</w:t>
      </w:r>
      <w:r w:rsidR="00055239" w:rsidRPr="00DC55B0">
        <w:rPr>
          <w:rFonts w:ascii="Calibri" w:hAnsi="Calibri" w:cs="Calibri"/>
        </w:rPr>
        <w:t>-</w:t>
      </w:r>
      <w:r w:rsidR="00C93B5F" w:rsidRPr="00DC55B0">
        <w:rPr>
          <w:rFonts w:ascii="Calibri" w:hAnsi="Calibri" w:cs="Calibri"/>
        </w:rPr>
        <w:t>Gu</w:t>
      </w:r>
      <w:r w:rsidR="00D145FA" w:rsidRPr="00DC55B0">
        <w:rPr>
          <w:rFonts w:ascii="Calibri" w:hAnsi="Calibri" w:cs="Calibri"/>
        </w:rPr>
        <w:t>é</w:t>
      </w:r>
      <w:r w:rsidR="00C93B5F" w:rsidRPr="00DC55B0">
        <w:rPr>
          <w:rFonts w:ascii="Calibri" w:hAnsi="Calibri" w:cs="Calibri"/>
        </w:rPr>
        <w:t>rin</w:t>
      </w:r>
      <w:r w:rsidR="00117EC5" w:rsidRPr="00DC55B0">
        <w:rPr>
          <w:rFonts w:ascii="Calibri" w:hAnsi="Calibri" w:cs="Calibri"/>
        </w:rPr>
        <w:t>; SCID, severe combined immunodeficiency.</w:t>
      </w:r>
      <w:r w:rsidR="00AC2FBB" w:rsidRPr="00DC55B0">
        <w:rPr>
          <w:rFonts w:ascii="Calibri" w:hAnsi="Calibri" w:cs="Calibri"/>
          <w:b/>
          <w:bCs/>
          <w:i/>
          <w:iCs/>
        </w:rPr>
        <w:br w:type="page"/>
      </w:r>
    </w:p>
    <w:p w14:paraId="45851568" w14:textId="7F48A059" w:rsidR="00A2465B" w:rsidRPr="00DC55B0" w:rsidRDefault="00A2465B" w:rsidP="001F3ACA">
      <w:pPr>
        <w:rPr>
          <w:rFonts w:ascii="Calibri" w:hAnsi="Calibri" w:cs="Calibri"/>
          <w:b/>
          <w:bCs/>
        </w:rPr>
      </w:pPr>
      <w:r w:rsidRPr="00DC55B0">
        <w:rPr>
          <w:rFonts w:ascii="Calibri" w:hAnsi="Calibri" w:cs="Calibri"/>
          <w:b/>
          <w:bCs/>
        </w:rPr>
        <w:lastRenderedPageBreak/>
        <w:t>References</w:t>
      </w:r>
    </w:p>
    <w:p w14:paraId="16DDE2D8" w14:textId="77777777" w:rsidR="00FD1901" w:rsidRPr="00DC55B0" w:rsidRDefault="00767DEC" w:rsidP="00FD1901">
      <w:pPr>
        <w:pStyle w:val="Bibliography"/>
      </w:pPr>
      <w:r w:rsidRPr="00DC55B0">
        <w:rPr>
          <w:rFonts w:ascii="Calibri" w:hAnsi="Calibri" w:cs="Calibri"/>
        </w:rPr>
        <w:fldChar w:fldCharType="begin"/>
      </w:r>
      <w:r w:rsidR="00F807FE" w:rsidRPr="00DC55B0">
        <w:rPr>
          <w:rFonts w:ascii="Calibri" w:hAnsi="Calibri" w:cs="Calibri"/>
        </w:rPr>
        <w:instrText xml:space="preserve"> ADDIN ZOTERO_BIBL {"uncited":[],"omitted":[],"custom":[]} CSL_BIBLIOGRAPHY </w:instrText>
      </w:r>
      <w:r w:rsidRPr="00DC55B0">
        <w:rPr>
          <w:rFonts w:ascii="Calibri" w:hAnsi="Calibri" w:cs="Calibri"/>
        </w:rPr>
        <w:fldChar w:fldCharType="separate"/>
      </w:r>
      <w:r w:rsidR="00FD1901" w:rsidRPr="00DC55B0">
        <w:t>1.</w:t>
      </w:r>
      <w:r w:rsidR="00FD1901" w:rsidRPr="00DC55B0">
        <w:tab/>
        <w:t xml:space="preserve">Liu, L. </w:t>
      </w:r>
      <w:r w:rsidR="00FD1901" w:rsidRPr="00DC55B0">
        <w:rPr>
          <w:i/>
          <w:iCs/>
        </w:rPr>
        <w:t>et al.</w:t>
      </w:r>
      <w:r w:rsidR="00FD1901" w:rsidRPr="00DC55B0">
        <w:t xml:space="preserve"> Global, regional, and national causes of under-5 mortality in 2000–15: an updated systematic analysis with implications for the Sustainable Development Goals. </w:t>
      </w:r>
      <w:r w:rsidR="00FD1901" w:rsidRPr="00DC55B0">
        <w:rPr>
          <w:i/>
          <w:iCs/>
        </w:rPr>
        <w:t>The Lancet</w:t>
      </w:r>
      <w:r w:rsidR="00FD1901" w:rsidRPr="00DC55B0">
        <w:t xml:space="preserve"> </w:t>
      </w:r>
      <w:r w:rsidR="00FD1901" w:rsidRPr="00DC55B0">
        <w:rPr>
          <w:b/>
          <w:bCs/>
        </w:rPr>
        <w:t>388</w:t>
      </w:r>
      <w:r w:rsidR="00FD1901" w:rsidRPr="00DC55B0">
        <w:t>, 3027–3035 (2016).</w:t>
      </w:r>
    </w:p>
    <w:p w14:paraId="59544528" w14:textId="77777777" w:rsidR="00FD1901" w:rsidRPr="00DC55B0" w:rsidRDefault="00FD1901" w:rsidP="00FD1901">
      <w:pPr>
        <w:pStyle w:val="Bibliography"/>
      </w:pPr>
      <w:r w:rsidRPr="00DC55B0">
        <w:t>2.</w:t>
      </w:r>
      <w:r w:rsidRPr="00DC55B0">
        <w:tab/>
        <w:t xml:space="preserve">Akeju, O., Lees, E. A., Amirthalingam, G., Ramsay, M. E. &amp; Pollard, A. J. Changes to the UK childhood immunisation schedule. </w:t>
      </w:r>
      <w:r w:rsidRPr="00DC55B0">
        <w:rPr>
          <w:i/>
          <w:iCs/>
        </w:rPr>
        <w:t>Arch. Dis. Child.</w:t>
      </w:r>
      <w:r w:rsidRPr="00DC55B0">
        <w:t xml:space="preserve"> archdischild-2023-326625 (2024) doi:10.1136/archdischild-2023-326625.</w:t>
      </w:r>
    </w:p>
    <w:p w14:paraId="10EDF912" w14:textId="77777777" w:rsidR="00FD1901" w:rsidRPr="00DC55B0" w:rsidRDefault="00FD1901" w:rsidP="00FD1901">
      <w:pPr>
        <w:pStyle w:val="Bibliography"/>
      </w:pPr>
      <w:r w:rsidRPr="00DC55B0">
        <w:t>3.</w:t>
      </w:r>
      <w:r w:rsidRPr="00DC55B0">
        <w:tab/>
        <w:t xml:space="preserve">Demicheli, V., Barale, A. &amp; Rivetti, A. Vaccines for women for preventing neonatal tetanus. </w:t>
      </w:r>
      <w:r w:rsidRPr="00DC55B0">
        <w:rPr>
          <w:i/>
          <w:iCs/>
        </w:rPr>
        <w:t>Cochrane Database Syst. Rev.</w:t>
      </w:r>
      <w:r w:rsidRPr="00DC55B0">
        <w:t xml:space="preserve"> (2015) doi:10.1002/14651858.CD002959.pub4.</w:t>
      </w:r>
    </w:p>
    <w:p w14:paraId="1478E821" w14:textId="77777777" w:rsidR="00FD1901" w:rsidRPr="00DC55B0" w:rsidRDefault="00FD1901" w:rsidP="00FD1901">
      <w:pPr>
        <w:pStyle w:val="Bibliography"/>
      </w:pPr>
      <w:r w:rsidRPr="00DC55B0">
        <w:t>4.</w:t>
      </w:r>
      <w:r w:rsidRPr="00DC55B0">
        <w:tab/>
        <w:t xml:space="preserve">Vygen-Bonnet, S. </w:t>
      </w:r>
      <w:r w:rsidRPr="00DC55B0">
        <w:rPr>
          <w:i/>
          <w:iCs/>
        </w:rPr>
        <w:t>et al.</w:t>
      </w:r>
      <w:r w:rsidRPr="00DC55B0">
        <w:t xml:space="preserve"> Safety and effectiveness of acellular pertussis vaccination during pregnancy: a systematic review. </w:t>
      </w:r>
      <w:r w:rsidRPr="00DC55B0">
        <w:rPr>
          <w:i/>
          <w:iCs/>
        </w:rPr>
        <w:t>BMC Infect. Dis.</w:t>
      </w:r>
      <w:r w:rsidRPr="00DC55B0">
        <w:t xml:space="preserve"> </w:t>
      </w:r>
      <w:r w:rsidRPr="00DC55B0">
        <w:rPr>
          <w:b/>
          <w:bCs/>
        </w:rPr>
        <w:t>20</w:t>
      </w:r>
      <w:r w:rsidRPr="00DC55B0">
        <w:t>, 136 (2020).</w:t>
      </w:r>
    </w:p>
    <w:p w14:paraId="7D6E037D" w14:textId="77777777" w:rsidR="00FD1901" w:rsidRPr="00DC55B0" w:rsidRDefault="00FD1901" w:rsidP="00FD1901">
      <w:pPr>
        <w:pStyle w:val="Bibliography"/>
      </w:pPr>
      <w:r w:rsidRPr="00DC55B0">
        <w:t>5.</w:t>
      </w:r>
      <w:r w:rsidRPr="00DC55B0">
        <w:tab/>
        <w:t xml:space="preserve">Amirthalingam, G. </w:t>
      </w:r>
      <w:r w:rsidRPr="00DC55B0">
        <w:rPr>
          <w:i/>
          <w:iCs/>
        </w:rPr>
        <w:t>et al.</w:t>
      </w:r>
      <w:r w:rsidRPr="00DC55B0">
        <w:t xml:space="preserve"> Effectiveness of maternal pertussis vaccination in England: an observational study. </w:t>
      </w:r>
      <w:r w:rsidRPr="00DC55B0">
        <w:rPr>
          <w:i/>
          <w:iCs/>
        </w:rPr>
        <w:t>The Lancet</w:t>
      </w:r>
      <w:r w:rsidRPr="00DC55B0">
        <w:t xml:space="preserve"> </w:t>
      </w:r>
      <w:r w:rsidRPr="00DC55B0">
        <w:rPr>
          <w:b/>
          <w:bCs/>
        </w:rPr>
        <w:t>384</w:t>
      </w:r>
      <w:r w:rsidRPr="00DC55B0">
        <w:t>, 1521–1528 (2014).</w:t>
      </w:r>
    </w:p>
    <w:p w14:paraId="0088D9E2" w14:textId="77777777" w:rsidR="00FD1901" w:rsidRPr="00DC55B0" w:rsidRDefault="00FD1901" w:rsidP="00FD1901">
      <w:pPr>
        <w:pStyle w:val="Bibliography"/>
      </w:pPr>
      <w:r w:rsidRPr="00DC55B0">
        <w:t>6.</w:t>
      </w:r>
      <w:r w:rsidRPr="00DC55B0">
        <w:tab/>
        <w:t xml:space="preserve">Demicheli, V., Jefferson, T., Ferroni, E., Rivetti, A. &amp; Di Pietrantonj, C. Vaccines for preventing influenza in healthy adults. </w:t>
      </w:r>
      <w:r w:rsidRPr="00DC55B0">
        <w:rPr>
          <w:i/>
          <w:iCs/>
        </w:rPr>
        <w:t>Cochrane Database Syst. Rev.</w:t>
      </w:r>
      <w:r w:rsidRPr="00DC55B0">
        <w:t xml:space="preserve"> </w:t>
      </w:r>
      <w:r w:rsidRPr="00DC55B0">
        <w:rPr>
          <w:b/>
          <w:bCs/>
        </w:rPr>
        <w:t>2</w:t>
      </w:r>
      <w:r w:rsidRPr="00DC55B0">
        <w:t>, CD001269 (2018).</w:t>
      </w:r>
    </w:p>
    <w:p w14:paraId="1D1B762A" w14:textId="77777777" w:rsidR="00FD1901" w:rsidRPr="00DC55B0" w:rsidRDefault="00FD1901" w:rsidP="00FD1901">
      <w:pPr>
        <w:pStyle w:val="Bibliography"/>
      </w:pPr>
      <w:r w:rsidRPr="00DC55B0">
        <w:t>7.</w:t>
      </w:r>
      <w:r w:rsidRPr="00DC55B0">
        <w:tab/>
        <w:t xml:space="preserve">Omer, S. B. </w:t>
      </w:r>
      <w:r w:rsidRPr="00DC55B0">
        <w:rPr>
          <w:i/>
          <w:iCs/>
        </w:rPr>
        <w:t>et al.</w:t>
      </w:r>
      <w:r w:rsidRPr="00DC55B0">
        <w:t xml:space="preserve"> Efficacy, duration of protection, birth outcomes, and infant growth associated with influenza vaccination in pregnancy: a pooled analysis of three randomised controlled trials. </w:t>
      </w:r>
      <w:r w:rsidRPr="00DC55B0">
        <w:rPr>
          <w:i/>
          <w:iCs/>
        </w:rPr>
        <w:t>Lancet Respir. Med.</w:t>
      </w:r>
      <w:r w:rsidRPr="00DC55B0">
        <w:t xml:space="preserve"> </w:t>
      </w:r>
      <w:r w:rsidRPr="00DC55B0">
        <w:rPr>
          <w:b/>
          <w:bCs/>
        </w:rPr>
        <w:t>8</w:t>
      </w:r>
      <w:r w:rsidRPr="00DC55B0">
        <w:t>, 597–608 (2020).</w:t>
      </w:r>
    </w:p>
    <w:p w14:paraId="4190F28A" w14:textId="77777777" w:rsidR="00FD1901" w:rsidRPr="00DC55B0" w:rsidRDefault="00FD1901" w:rsidP="00FD1901">
      <w:pPr>
        <w:pStyle w:val="Bibliography"/>
      </w:pPr>
      <w:r w:rsidRPr="00DC55B0">
        <w:t>8.</w:t>
      </w:r>
      <w:r w:rsidRPr="00DC55B0">
        <w:tab/>
        <w:t xml:space="preserve">Fernández-García, S. </w:t>
      </w:r>
      <w:r w:rsidRPr="00DC55B0">
        <w:rPr>
          <w:i/>
          <w:iCs/>
        </w:rPr>
        <w:t>et al.</w:t>
      </w:r>
      <w:r w:rsidRPr="00DC55B0">
        <w:t xml:space="preserve"> Effectiveness and safety of COVID-19 vaccines on maternal and perinatal outcomes: a systematic review and meta-analysis. </w:t>
      </w:r>
      <w:r w:rsidRPr="00DC55B0">
        <w:rPr>
          <w:i/>
          <w:iCs/>
        </w:rPr>
        <w:t>BMJ Glob. Health</w:t>
      </w:r>
      <w:r w:rsidRPr="00DC55B0">
        <w:t xml:space="preserve"> </w:t>
      </w:r>
      <w:r w:rsidRPr="00DC55B0">
        <w:rPr>
          <w:b/>
          <w:bCs/>
        </w:rPr>
        <w:t>9</w:t>
      </w:r>
      <w:r w:rsidRPr="00DC55B0">
        <w:t>, e014247 (2024).</w:t>
      </w:r>
    </w:p>
    <w:p w14:paraId="70B56FD5" w14:textId="77777777" w:rsidR="00FD1901" w:rsidRPr="00DC55B0" w:rsidRDefault="00FD1901" w:rsidP="00FD1901">
      <w:pPr>
        <w:pStyle w:val="Bibliography"/>
      </w:pPr>
      <w:r w:rsidRPr="00DC55B0">
        <w:t>9.</w:t>
      </w:r>
      <w:r w:rsidRPr="00DC55B0">
        <w:tab/>
        <w:t xml:space="preserve">Kampmann, B. </w:t>
      </w:r>
      <w:r w:rsidRPr="00DC55B0">
        <w:rPr>
          <w:i/>
          <w:iCs/>
        </w:rPr>
        <w:t>et al.</w:t>
      </w:r>
      <w:r w:rsidRPr="00DC55B0">
        <w:t xml:space="preserve"> Bivalent Prefusion F Vaccine in Pregnancy to Prevent RSV Illness in Infants. </w:t>
      </w:r>
      <w:r w:rsidRPr="00DC55B0">
        <w:rPr>
          <w:i/>
          <w:iCs/>
        </w:rPr>
        <w:t>N. Engl. J. Med.</w:t>
      </w:r>
      <w:r w:rsidRPr="00DC55B0">
        <w:t xml:space="preserve"> </w:t>
      </w:r>
      <w:r w:rsidRPr="00DC55B0">
        <w:rPr>
          <w:b/>
          <w:bCs/>
        </w:rPr>
        <w:t>388</w:t>
      </w:r>
      <w:r w:rsidRPr="00DC55B0">
        <w:t>, 1451–1464 (2023).</w:t>
      </w:r>
    </w:p>
    <w:p w14:paraId="7B9042D9" w14:textId="77777777" w:rsidR="00FD1901" w:rsidRPr="00DC55B0" w:rsidRDefault="00FD1901" w:rsidP="00FD1901">
      <w:pPr>
        <w:pStyle w:val="Bibliography"/>
      </w:pPr>
      <w:r w:rsidRPr="00DC55B0">
        <w:t>10.</w:t>
      </w:r>
      <w:r w:rsidRPr="00DC55B0">
        <w:tab/>
        <w:t xml:space="preserve">Brodin, P. Immune-microbe interactions early in life: A determinant of health and disease long term. </w:t>
      </w:r>
      <w:r w:rsidRPr="00DC55B0">
        <w:rPr>
          <w:i/>
          <w:iCs/>
        </w:rPr>
        <w:t>Science</w:t>
      </w:r>
      <w:r w:rsidRPr="00DC55B0">
        <w:t xml:space="preserve"> </w:t>
      </w:r>
      <w:r w:rsidRPr="00DC55B0">
        <w:rPr>
          <w:b/>
          <w:bCs/>
        </w:rPr>
        <w:t>376</w:t>
      </w:r>
      <w:r w:rsidRPr="00DC55B0">
        <w:t>, 945–950 (2022).</w:t>
      </w:r>
    </w:p>
    <w:p w14:paraId="6861846D" w14:textId="77777777" w:rsidR="00FD1901" w:rsidRPr="00DC55B0" w:rsidRDefault="00FD1901" w:rsidP="00FD1901">
      <w:pPr>
        <w:pStyle w:val="Bibliography"/>
      </w:pPr>
      <w:r w:rsidRPr="00DC55B0">
        <w:t>11.</w:t>
      </w:r>
      <w:r w:rsidRPr="00DC55B0">
        <w:tab/>
        <w:t xml:space="preserve">Siegrist, C.-A. The Challenges of Vaccine Responses in Early Life: Selected Examples. </w:t>
      </w:r>
      <w:r w:rsidRPr="00DC55B0">
        <w:rPr>
          <w:i/>
          <w:iCs/>
        </w:rPr>
        <w:t>J. Comp. Pathol.</w:t>
      </w:r>
      <w:r w:rsidRPr="00DC55B0">
        <w:t xml:space="preserve"> </w:t>
      </w:r>
      <w:r w:rsidRPr="00DC55B0">
        <w:rPr>
          <w:b/>
          <w:bCs/>
        </w:rPr>
        <w:t>137</w:t>
      </w:r>
      <w:r w:rsidRPr="00DC55B0">
        <w:t>, S4–S9 (2007).</w:t>
      </w:r>
    </w:p>
    <w:p w14:paraId="002244B6" w14:textId="77777777" w:rsidR="00FD1901" w:rsidRPr="00DC55B0" w:rsidRDefault="00FD1901" w:rsidP="00FD1901">
      <w:pPr>
        <w:pStyle w:val="Bibliography"/>
      </w:pPr>
      <w:r w:rsidRPr="00DC55B0">
        <w:t>12.</w:t>
      </w:r>
      <w:r w:rsidRPr="00DC55B0">
        <w:tab/>
        <w:t xml:space="preserve">Mor, G. &amp; Cardenas, I. REVIEW ARTICLE: The Immune System in Pregnancy: A Unique Complexity. </w:t>
      </w:r>
      <w:r w:rsidRPr="00DC55B0">
        <w:rPr>
          <w:i/>
          <w:iCs/>
        </w:rPr>
        <w:t>Am. J. Reprod. Immunol.</w:t>
      </w:r>
      <w:r w:rsidRPr="00DC55B0">
        <w:t xml:space="preserve"> </w:t>
      </w:r>
      <w:r w:rsidRPr="00DC55B0">
        <w:rPr>
          <w:b/>
          <w:bCs/>
        </w:rPr>
        <w:t>63</w:t>
      </w:r>
      <w:r w:rsidRPr="00DC55B0">
        <w:t>, 425–433 (2010).</w:t>
      </w:r>
    </w:p>
    <w:p w14:paraId="3DB297F0" w14:textId="77777777" w:rsidR="00FD1901" w:rsidRPr="00DC55B0" w:rsidRDefault="00FD1901" w:rsidP="00FD1901">
      <w:pPr>
        <w:pStyle w:val="Bibliography"/>
      </w:pPr>
      <w:r w:rsidRPr="00DC55B0">
        <w:t>13.</w:t>
      </w:r>
      <w:r w:rsidRPr="00DC55B0">
        <w:tab/>
        <w:t xml:space="preserve">Huygen, K., Caboré, R. N., Maertens, K., Van Damme, P. &amp; Leuridan, E. Humoral and cell mediated immune responses to a pertussis containing vaccine in pregnant and nonpregnant women. </w:t>
      </w:r>
      <w:r w:rsidRPr="00DC55B0">
        <w:rPr>
          <w:i/>
          <w:iCs/>
        </w:rPr>
        <w:t>Vaccine</w:t>
      </w:r>
      <w:r w:rsidRPr="00DC55B0">
        <w:t xml:space="preserve"> </w:t>
      </w:r>
      <w:r w:rsidRPr="00DC55B0">
        <w:rPr>
          <w:b/>
          <w:bCs/>
        </w:rPr>
        <w:t>33</w:t>
      </w:r>
      <w:r w:rsidRPr="00DC55B0">
        <w:t>, 4117–4123 (2015).</w:t>
      </w:r>
    </w:p>
    <w:p w14:paraId="077BB745" w14:textId="77777777" w:rsidR="00FD1901" w:rsidRPr="00DC55B0" w:rsidRDefault="00FD1901" w:rsidP="00FD1901">
      <w:pPr>
        <w:pStyle w:val="Bibliography"/>
      </w:pPr>
      <w:r w:rsidRPr="00DC55B0">
        <w:t>14.</w:t>
      </w:r>
      <w:r w:rsidRPr="00DC55B0">
        <w:tab/>
        <w:t xml:space="preserve">Munoz, F. M. </w:t>
      </w:r>
      <w:r w:rsidRPr="00DC55B0">
        <w:rPr>
          <w:i/>
          <w:iCs/>
        </w:rPr>
        <w:t>et al.</w:t>
      </w:r>
      <w:r w:rsidRPr="00DC55B0">
        <w:t xml:space="preserve"> Safety and Immunogenicity of Tetanus Diphtheria and Acellular Pertussis (Tdap) Immunization During Pregnancy in Mothers and Infants: A Randomized Clinical Trial. </w:t>
      </w:r>
      <w:r w:rsidRPr="00DC55B0">
        <w:rPr>
          <w:i/>
          <w:iCs/>
        </w:rPr>
        <w:t>JAMA</w:t>
      </w:r>
      <w:r w:rsidRPr="00DC55B0">
        <w:t xml:space="preserve"> </w:t>
      </w:r>
      <w:r w:rsidRPr="00DC55B0">
        <w:rPr>
          <w:b/>
          <w:bCs/>
        </w:rPr>
        <w:t>311</w:t>
      </w:r>
      <w:r w:rsidRPr="00DC55B0">
        <w:t>, 1760–1769 (2014).</w:t>
      </w:r>
    </w:p>
    <w:p w14:paraId="30329534" w14:textId="77777777" w:rsidR="00FD1901" w:rsidRPr="00DC55B0" w:rsidRDefault="00FD1901" w:rsidP="00FD1901">
      <w:pPr>
        <w:pStyle w:val="Bibliography"/>
      </w:pPr>
      <w:r w:rsidRPr="00DC55B0">
        <w:t>15.</w:t>
      </w:r>
      <w:r w:rsidRPr="00DC55B0">
        <w:tab/>
        <w:t xml:space="preserve">Peer, V., Muhsen, K., Betser, M. &amp; Green, M. S. Antibody Response to Pertussis Vaccination in Pregnant and Non-Pregnant Women—The Role of Sex Hormones. </w:t>
      </w:r>
      <w:r w:rsidRPr="00DC55B0">
        <w:rPr>
          <w:i/>
          <w:iCs/>
        </w:rPr>
        <w:t>Vaccines</w:t>
      </w:r>
      <w:r w:rsidRPr="00DC55B0">
        <w:t xml:space="preserve"> </w:t>
      </w:r>
      <w:r w:rsidRPr="00DC55B0">
        <w:rPr>
          <w:b/>
          <w:bCs/>
        </w:rPr>
        <w:t>9</w:t>
      </w:r>
      <w:r w:rsidRPr="00DC55B0">
        <w:t>, 637 (2021).</w:t>
      </w:r>
    </w:p>
    <w:p w14:paraId="1F92BC24" w14:textId="77777777" w:rsidR="00FD1901" w:rsidRPr="00DC55B0" w:rsidRDefault="00FD1901" w:rsidP="00FD1901">
      <w:pPr>
        <w:pStyle w:val="Bibliography"/>
      </w:pPr>
      <w:r w:rsidRPr="00DC55B0">
        <w:t>16.</w:t>
      </w:r>
      <w:r w:rsidRPr="00DC55B0">
        <w:tab/>
        <w:t xml:space="preserve">Fortner, K. B. </w:t>
      </w:r>
      <w:r w:rsidRPr="00DC55B0">
        <w:rPr>
          <w:i/>
          <w:iCs/>
        </w:rPr>
        <w:t>et al.</w:t>
      </w:r>
      <w:r w:rsidRPr="00DC55B0">
        <w:t xml:space="preserve"> Reactogenicity and immunogenicity of tetanus toxoid, reduced diphtheria toxoid, and acellular pertussis vaccine (Tdap) in pregnant and nonpregnant women. </w:t>
      </w:r>
      <w:r w:rsidRPr="00DC55B0">
        <w:rPr>
          <w:i/>
          <w:iCs/>
        </w:rPr>
        <w:t>Vaccine</w:t>
      </w:r>
      <w:r w:rsidRPr="00DC55B0">
        <w:t xml:space="preserve"> </w:t>
      </w:r>
      <w:r w:rsidRPr="00DC55B0">
        <w:rPr>
          <w:b/>
          <w:bCs/>
        </w:rPr>
        <w:t>36</w:t>
      </w:r>
      <w:r w:rsidRPr="00DC55B0">
        <w:t>, 6354–6360 (2018).</w:t>
      </w:r>
    </w:p>
    <w:p w14:paraId="5B487928" w14:textId="77777777" w:rsidR="00FD1901" w:rsidRPr="00DC55B0" w:rsidRDefault="00FD1901" w:rsidP="00FD1901">
      <w:pPr>
        <w:pStyle w:val="Bibliography"/>
      </w:pPr>
      <w:r w:rsidRPr="00DC55B0">
        <w:t>17.</w:t>
      </w:r>
      <w:r w:rsidRPr="00DC55B0">
        <w:tab/>
        <w:t xml:space="preserve">Kay, A. W. &amp; Blish, C. A. Immunogenicity and Clinical Efficacy of Influenza Vaccination in Pregnancy. </w:t>
      </w:r>
      <w:r w:rsidRPr="00DC55B0">
        <w:rPr>
          <w:i/>
          <w:iCs/>
        </w:rPr>
        <w:t>Front. Immunol.</w:t>
      </w:r>
      <w:r w:rsidRPr="00DC55B0">
        <w:t xml:space="preserve"> </w:t>
      </w:r>
      <w:r w:rsidRPr="00DC55B0">
        <w:rPr>
          <w:b/>
          <w:bCs/>
        </w:rPr>
        <w:t>6</w:t>
      </w:r>
      <w:r w:rsidRPr="00DC55B0">
        <w:t>, (2015).</w:t>
      </w:r>
    </w:p>
    <w:p w14:paraId="065CE9B2" w14:textId="77777777" w:rsidR="00FD1901" w:rsidRPr="00DC55B0" w:rsidRDefault="00FD1901" w:rsidP="00FD1901">
      <w:pPr>
        <w:pStyle w:val="Bibliography"/>
      </w:pPr>
      <w:r w:rsidRPr="00DC55B0">
        <w:t>18.</w:t>
      </w:r>
      <w:r w:rsidRPr="00DC55B0">
        <w:tab/>
        <w:t xml:space="preserve">Gray, K. J. </w:t>
      </w:r>
      <w:r w:rsidRPr="00DC55B0">
        <w:rPr>
          <w:i/>
          <w:iCs/>
        </w:rPr>
        <w:t>et al.</w:t>
      </w:r>
      <w:r w:rsidRPr="00DC55B0">
        <w:t xml:space="preserve"> Coronavirus disease 2019 vaccine response in pregnant and lactating women: a cohort study. </w:t>
      </w:r>
      <w:r w:rsidRPr="00DC55B0">
        <w:rPr>
          <w:i/>
          <w:iCs/>
        </w:rPr>
        <w:t>Am. J. Obstet. Gynecol.</w:t>
      </w:r>
      <w:r w:rsidRPr="00DC55B0">
        <w:t xml:space="preserve"> </w:t>
      </w:r>
      <w:r w:rsidRPr="00DC55B0">
        <w:rPr>
          <w:b/>
          <w:bCs/>
        </w:rPr>
        <w:t>225</w:t>
      </w:r>
      <w:r w:rsidRPr="00DC55B0">
        <w:t>, 303.e1-303.e17 (2021).</w:t>
      </w:r>
    </w:p>
    <w:p w14:paraId="357E164D" w14:textId="77777777" w:rsidR="00FD1901" w:rsidRPr="00DC55B0" w:rsidRDefault="00FD1901" w:rsidP="00FD1901">
      <w:pPr>
        <w:pStyle w:val="Bibliography"/>
      </w:pPr>
      <w:r w:rsidRPr="00DC55B0">
        <w:lastRenderedPageBreak/>
        <w:t>19.</w:t>
      </w:r>
      <w:r w:rsidRPr="00DC55B0">
        <w:tab/>
        <w:t xml:space="preserve">Collier, A.-R. Y. </w:t>
      </w:r>
      <w:r w:rsidRPr="00DC55B0">
        <w:rPr>
          <w:i/>
          <w:iCs/>
        </w:rPr>
        <w:t>et al.</w:t>
      </w:r>
      <w:r w:rsidRPr="00DC55B0">
        <w:t xml:space="preserve"> Immunogenicity of COVID-19 mRNA Vaccines in Pregnant and Lactating Women. </w:t>
      </w:r>
      <w:r w:rsidRPr="00DC55B0">
        <w:rPr>
          <w:i/>
          <w:iCs/>
        </w:rPr>
        <w:t>JAMA</w:t>
      </w:r>
      <w:r w:rsidRPr="00DC55B0">
        <w:t xml:space="preserve"> </w:t>
      </w:r>
      <w:r w:rsidRPr="00DC55B0">
        <w:rPr>
          <w:b/>
          <w:bCs/>
        </w:rPr>
        <w:t>325</w:t>
      </w:r>
      <w:r w:rsidRPr="00DC55B0">
        <w:t>, 2370–2380 (2021).</w:t>
      </w:r>
    </w:p>
    <w:p w14:paraId="412A4A22" w14:textId="77777777" w:rsidR="00FD1901" w:rsidRPr="00DC55B0" w:rsidRDefault="00FD1901" w:rsidP="00FD1901">
      <w:pPr>
        <w:pStyle w:val="Bibliography"/>
      </w:pPr>
      <w:r w:rsidRPr="00DC55B0">
        <w:t>20.</w:t>
      </w:r>
      <w:r w:rsidRPr="00DC55B0">
        <w:tab/>
        <w:t xml:space="preserve">Atyeo, C. </w:t>
      </w:r>
      <w:r w:rsidRPr="00DC55B0">
        <w:rPr>
          <w:i/>
          <w:iCs/>
        </w:rPr>
        <w:t>et al.</w:t>
      </w:r>
      <w:r w:rsidRPr="00DC55B0">
        <w:t xml:space="preserve"> COVID-19 booster dose induces robust antibody response in pregnant, lactating, and nonpregnant women. </w:t>
      </w:r>
      <w:r w:rsidRPr="00DC55B0">
        <w:rPr>
          <w:i/>
          <w:iCs/>
        </w:rPr>
        <w:t>Am. J. Obstet. Gynecol.</w:t>
      </w:r>
      <w:r w:rsidRPr="00DC55B0">
        <w:t xml:space="preserve"> </w:t>
      </w:r>
      <w:r w:rsidRPr="00DC55B0">
        <w:rPr>
          <w:b/>
          <w:bCs/>
        </w:rPr>
        <w:t>228</w:t>
      </w:r>
      <w:r w:rsidRPr="00DC55B0">
        <w:t>, 68.e1-68.e12 (2023).</w:t>
      </w:r>
    </w:p>
    <w:p w14:paraId="0E6AE31B" w14:textId="77777777" w:rsidR="00FD1901" w:rsidRPr="00DC55B0" w:rsidRDefault="00FD1901" w:rsidP="00FD1901">
      <w:pPr>
        <w:pStyle w:val="Bibliography"/>
      </w:pPr>
      <w:r w:rsidRPr="00DC55B0">
        <w:t>21.</w:t>
      </w:r>
      <w:r w:rsidRPr="00DC55B0">
        <w:tab/>
        <w:t xml:space="preserve">Atyeo, C. </w:t>
      </w:r>
      <w:r w:rsidRPr="00DC55B0">
        <w:rPr>
          <w:i/>
          <w:iCs/>
        </w:rPr>
        <w:t>et al.</w:t>
      </w:r>
      <w:r w:rsidRPr="00DC55B0">
        <w:t xml:space="preserve"> COVID-19 mRNA vaccines drive differential antibody Fc-functional profiles in pregnant, lactating, and nonpregnant women. </w:t>
      </w:r>
      <w:r w:rsidRPr="00DC55B0">
        <w:rPr>
          <w:i/>
          <w:iCs/>
        </w:rPr>
        <w:t>Sci. Transl. Med.</w:t>
      </w:r>
      <w:r w:rsidRPr="00DC55B0">
        <w:t xml:space="preserve"> </w:t>
      </w:r>
      <w:r w:rsidRPr="00DC55B0">
        <w:rPr>
          <w:b/>
          <w:bCs/>
        </w:rPr>
        <w:t>13</w:t>
      </w:r>
      <w:r w:rsidRPr="00DC55B0">
        <w:t>, eabi8631 (2021).</w:t>
      </w:r>
    </w:p>
    <w:p w14:paraId="359733BD" w14:textId="77777777" w:rsidR="00FD1901" w:rsidRPr="00DC55B0" w:rsidRDefault="00FD1901" w:rsidP="00FD1901">
      <w:pPr>
        <w:pStyle w:val="Bibliography"/>
      </w:pPr>
      <w:r w:rsidRPr="00DC55B0">
        <w:t>22.</w:t>
      </w:r>
      <w:r w:rsidRPr="00DC55B0">
        <w:tab/>
        <w:t xml:space="preserve">Atyeo, C. G. </w:t>
      </w:r>
      <w:r w:rsidRPr="00DC55B0">
        <w:rPr>
          <w:i/>
          <w:iCs/>
        </w:rPr>
        <w:t>et al.</w:t>
      </w:r>
      <w:r w:rsidRPr="00DC55B0">
        <w:t xml:space="preserve"> Maternal immune response and placental antibody transfer after COVID-19 vaccination across trimester and platforms. </w:t>
      </w:r>
      <w:r w:rsidRPr="00DC55B0">
        <w:rPr>
          <w:i/>
          <w:iCs/>
        </w:rPr>
        <w:t>Nat. Commun.</w:t>
      </w:r>
      <w:r w:rsidRPr="00DC55B0">
        <w:t xml:space="preserve"> </w:t>
      </w:r>
      <w:r w:rsidRPr="00DC55B0">
        <w:rPr>
          <w:b/>
          <w:bCs/>
        </w:rPr>
        <w:t>13</w:t>
      </w:r>
      <w:r w:rsidRPr="00DC55B0">
        <w:t>, 3571 (2022).</w:t>
      </w:r>
    </w:p>
    <w:p w14:paraId="04A8A498" w14:textId="77777777" w:rsidR="00FD1901" w:rsidRPr="00DC55B0" w:rsidRDefault="00FD1901" w:rsidP="00FD1901">
      <w:pPr>
        <w:pStyle w:val="Bibliography"/>
      </w:pPr>
      <w:r w:rsidRPr="00DC55B0">
        <w:t>23.</w:t>
      </w:r>
      <w:r w:rsidRPr="00DC55B0">
        <w:tab/>
        <w:t xml:space="preserve">Firan, M. </w:t>
      </w:r>
      <w:r w:rsidRPr="00DC55B0">
        <w:rPr>
          <w:i/>
          <w:iCs/>
        </w:rPr>
        <w:t>et al.</w:t>
      </w:r>
      <w:r w:rsidRPr="00DC55B0">
        <w:t xml:space="preserve"> The MHC class I-related receptor, FcRn, plays an essential role in the maternofetal transfer of γ-globulin in humans. </w:t>
      </w:r>
      <w:r w:rsidRPr="00DC55B0">
        <w:rPr>
          <w:i/>
          <w:iCs/>
        </w:rPr>
        <w:t>Int. Immunol.</w:t>
      </w:r>
      <w:r w:rsidRPr="00DC55B0">
        <w:t xml:space="preserve"> </w:t>
      </w:r>
      <w:r w:rsidRPr="00DC55B0">
        <w:rPr>
          <w:b/>
          <w:bCs/>
        </w:rPr>
        <w:t>13</w:t>
      </w:r>
      <w:r w:rsidRPr="00DC55B0">
        <w:t>, 993–1002 (2001).</w:t>
      </w:r>
    </w:p>
    <w:p w14:paraId="54BF00E8" w14:textId="77777777" w:rsidR="00FD1901" w:rsidRPr="00DC55B0" w:rsidRDefault="00FD1901" w:rsidP="00FD1901">
      <w:pPr>
        <w:pStyle w:val="Bibliography"/>
      </w:pPr>
      <w:r w:rsidRPr="00DC55B0">
        <w:t>24.</w:t>
      </w:r>
      <w:r w:rsidRPr="00DC55B0">
        <w:tab/>
        <w:t xml:space="preserve">Roy, S. </w:t>
      </w:r>
      <w:r w:rsidRPr="00DC55B0">
        <w:rPr>
          <w:i/>
          <w:iCs/>
        </w:rPr>
        <w:t>et al.</w:t>
      </w:r>
      <w:r w:rsidRPr="00DC55B0">
        <w:t xml:space="preserve"> M281, an anti-FcRn antibody, inhibits IgG transfer in a human ex vivo placental perfusion model. </w:t>
      </w:r>
      <w:r w:rsidRPr="00DC55B0">
        <w:rPr>
          <w:i/>
          <w:iCs/>
        </w:rPr>
        <w:t>Am. J. Obstet. Gynecol.</w:t>
      </w:r>
      <w:r w:rsidRPr="00DC55B0">
        <w:t xml:space="preserve"> </w:t>
      </w:r>
      <w:r w:rsidRPr="00DC55B0">
        <w:rPr>
          <w:b/>
          <w:bCs/>
        </w:rPr>
        <w:t>220</w:t>
      </w:r>
      <w:r w:rsidRPr="00DC55B0">
        <w:t>, 498.e1-498.e9 (2019).</w:t>
      </w:r>
    </w:p>
    <w:p w14:paraId="3E92AC22" w14:textId="77777777" w:rsidR="00FD1901" w:rsidRPr="00DC55B0" w:rsidRDefault="00FD1901" w:rsidP="00FD1901">
      <w:pPr>
        <w:pStyle w:val="Bibliography"/>
      </w:pPr>
      <w:r w:rsidRPr="00DC55B0">
        <w:t>25.</w:t>
      </w:r>
      <w:r w:rsidRPr="00DC55B0">
        <w:tab/>
        <w:t xml:space="preserve">Borghi, S. </w:t>
      </w:r>
      <w:r w:rsidRPr="00DC55B0">
        <w:rPr>
          <w:i/>
          <w:iCs/>
        </w:rPr>
        <w:t>et al.</w:t>
      </w:r>
      <w:r w:rsidRPr="00DC55B0">
        <w:t xml:space="preserve"> FcRn, but not FcγRs, drives maternal-fetal transplacental transport of human IgG antibodies. </w:t>
      </w:r>
      <w:r w:rsidRPr="00DC55B0">
        <w:rPr>
          <w:i/>
          <w:iCs/>
        </w:rPr>
        <w:t>Proc. Natl. Acad. Sci.</w:t>
      </w:r>
      <w:r w:rsidRPr="00DC55B0">
        <w:t xml:space="preserve"> </w:t>
      </w:r>
      <w:r w:rsidRPr="00DC55B0">
        <w:rPr>
          <w:b/>
          <w:bCs/>
        </w:rPr>
        <w:t>117</w:t>
      </w:r>
      <w:r w:rsidRPr="00DC55B0">
        <w:t>, 12943–12951 (2020).</w:t>
      </w:r>
    </w:p>
    <w:p w14:paraId="1BE264C1" w14:textId="77777777" w:rsidR="00FD1901" w:rsidRPr="00DC55B0" w:rsidRDefault="00FD1901" w:rsidP="00FD1901">
      <w:pPr>
        <w:pStyle w:val="Bibliography"/>
      </w:pPr>
      <w:r w:rsidRPr="00DC55B0">
        <w:t>26.</w:t>
      </w:r>
      <w:r w:rsidRPr="00DC55B0">
        <w:tab/>
        <w:t xml:space="preserve">Leach, J. L. </w:t>
      </w:r>
      <w:r w:rsidRPr="00DC55B0">
        <w:rPr>
          <w:i/>
          <w:iCs/>
        </w:rPr>
        <w:t>et al.</w:t>
      </w:r>
      <w:r w:rsidRPr="00DC55B0">
        <w:t xml:space="preserve"> Isolation from human placenta of the IgG transporter, FcRn, and localization to the syncytiotrophoblast: implications for maternal-fetal antibody transport. </w:t>
      </w:r>
      <w:r w:rsidRPr="00DC55B0">
        <w:rPr>
          <w:i/>
          <w:iCs/>
        </w:rPr>
        <w:t>J. Immunol.</w:t>
      </w:r>
      <w:r w:rsidRPr="00DC55B0">
        <w:t xml:space="preserve"> </w:t>
      </w:r>
      <w:r w:rsidRPr="00DC55B0">
        <w:rPr>
          <w:b/>
          <w:bCs/>
        </w:rPr>
        <w:t>157</w:t>
      </w:r>
      <w:r w:rsidRPr="00DC55B0">
        <w:t>, 3317–3322 (1996).</w:t>
      </w:r>
    </w:p>
    <w:p w14:paraId="573FEFC4" w14:textId="77777777" w:rsidR="00FD1901" w:rsidRPr="00DC55B0" w:rsidRDefault="00FD1901" w:rsidP="00FD1901">
      <w:pPr>
        <w:pStyle w:val="Bibliography"/>
      </w:pPr>
      <w:r w:rsidRPr="00DC55B0">
        <w:t>27.</w:t>
      </w:r>
      <w:r w:rsidRPr="00DC55B0">
        <w:tab/>
        <w:t xml:space="preserve">Simister, N. E., Story, C. M., Chen, H. L. &amp; Hunt, J. S. An IgG-transporting Fc receptor expressed in the syncytiotrophoblast of human placenta. </w:t>
      </w:r>
      <w:r w:rsidRPr="00DC55B0">
        <w:rPr>
          <w:i/>
          <w:iCs/>
        </w:rPr>
        <w:t>Eur. J. Immunol.</w:t>
      </w:r>
      <w:r w:rsidRPr="00DC55B0">
        <w:t xml:space="preserve"> </w:t>
      </w:r>
      <w:r w:rsidRPr="00DC55B0">
        <w:rPr>
          <w:b/>
          <w:bCs/>
        </w:rPr>
        <w:t>26</w:t>
      </w:r>
      <w:r w:rsidRPr="00DC55B0">
        <w:t>, 1527–1531 (1996).</w:t>
      </w:r>
    </w:p>
    <w:p w14:paraId="4ADE201F" w14:textId="77777777" w:rsidR="00FD1901" w:rsidRPr="00DC55B0" w:rsidRDefault="00FD1901" w:rsidP="00FD1901">
      <w:pPr>
        <w:pStyle w:val="Bibliography"/>
      </w:pPr>
      <w:r w:rsidRPr="00DC55B0">
        <w:t>28.</w:t>
      </w:r>
      <w:r w:rsidRPr="00DC55B0">
        <w:tab/>
        <w:t>Kristoffersen, E. K. &amp; Matre, R. Co</w:t>
      </w:r>
      <w:r w:rsidRPr="00DC55B0">
        <w:rPr>
          <w:rFonts w:ascii="Cambria Math" w:hAnsi="Cambria Math" w:cs="Cambria Math"/>
        </w:rPr>
        <w:t>‐</w:t>
      </w:r>
      <w:r w:rsidRPr="00DC55B0">
        <w:t>localization of the neonatal Fc</w:t>
      </w:r>
      <w:r w:rsidRPr="00DC55B0">
        <w:rPr>
          <w:rFonts w:ascii="Aptos" w:hAnsi="Aptos" w:cs="Aptos"/>
        </w:rPr>
        <w:t>γ</w:t>
      </w:r>
      <w:r w:rsidRPr="00DC55B0">
        <w:t xml:space="preserve"> receptor and IgG in human placental term syncytiotrophoblasts. </w:t>
      </w:r>
      <w:r w:rsidRPr="00DC55B0">
        <w:rPr>
          <w:i/>
          <w:iCs/>
        </w:rPr>
        <w:t>Eur. J. Immunol.</w:t>
      </w:r>
      <w:r w:rsidRPr="00DC55B0">
        <w:t xml:space="preserve"> </w:t>
      </w:r>
      <w:r w:rsidRPr="00DC55B0">
        <w:rPr>
          <w:b/>
          <w:bCs/>
        </w:rPr>
        <w:t>26</w:t>
      </w:r>
      <w:r w:rsidRPr="00DC55B0">
        <w:t>, 1668–1671 (1996).</w:t>
      </w:r>
    </w:p>
    <w:p w14:paraId="46833102" w14:textId="77777777" w:rsidR="00FD1901" w:rsidRPr="00DC55B0" w:rsidRDefault="00FD1901" w:rsidP="00FD1901">
      <w:pPr>
        <w:pStyle w:val="Bibliography"/>
      </w:pPr>
      <w:r w:rsidRPr="00DC55B0">
        <w:t>29.</w:t>
      </w:r>
      <w:r w:rsidRPr="00DC55B0">
        <w:tab/>
        <w:t xml:space="preserve">Leitner, K., Ellinger, I., Grill, M., Brabec, M. &amp; Fuchs, R. Efficient apical IgG recycling and apical-to-basolateral transcytosis in polarized BeWo cells overexpressing hFcRn. </w:t>
      </w:r>
      <w:r w:rsidRPr="00DC55B0">
        <w:rPr>
          <w:i/>
          <w:iCs/>
        </w:rPr>
        <w:t>Placenta</w:t>
      </w:r>
      <w:r w:rsidRPr="00DC55B0">
        <w:t xml:space="preserve"> </w:t>
      </w:r>
      <w:r w:rsidRPr="00DC55B0">
        <w:rPr>
          <w:b/>
          <w:bCs/>
        </w:rPr>
        <w:t>27</w:t>
      </w:r>
      <w:r w:rsidRPr="00DC55B0">
        <w:t>, 799–811 (2006).</w:t>
      </w:r>
    </w:p>
    <w:p w14:paraId="31FBFB36" w14:textId="77777777" w:rsidR="00FD1901" w:rsidRPr="00DC55B0" w:rsidRDefault="00FD1901" w:rsidP="00FD1901">
      <w:pPr>
        <w:pStyle w:val="Bibliography"/>
      </w:pPr>
      <w:r w:rsidRPr="00DC55B0">
        <w:t>30.</w:t>
      </w:r>
      <w:r w:rsidRPr="00DC55B0">
        <w:tab/>
        <w:t xml:space="preserve">Ober, R. J., Martinez, C., Lai, X., Zhou, J. &amp; Ward, E. S. Exocytosis of IgG as mediated by the receptor, FcRn: An analysis at the single-molecule level. </w:t>
      </w:r>
      <w:r w:rsidRPr="00DC55B0">
        <w:rPr>
          <w:i/>
          <w:iCs/>
        </w:rPr>
        <w:t>Proc. Natl. Acad. Sci.</w:t>
      </w:r>
      <w:r w:rsidRPr="00DC55B0">
        <w:t xml:space="preserve"> </w:t>
      </w:r>
      <w:r w:rsidRPr="00DC55B0">
        <w:rPr>
          <w:b/>
          <w:bCs/>
        </w:rPr>
        <w:t>101</w:t>
      </w:r>
      <w:r w:rsidRPr="00DC55B0">
        <w:t>, 11076–11081 (2004).</w:t>
      </w:r>
    </w:p>
    <w:p w14:paraId="2AE10628" w14:textId="77777777" w:rsidR="00FD1901" w:rsidRPr="00DC55B0" w:rsidRDefault="00FD1901" w:rsidP="00FD1901">
      <w:pPr>
        <w:pStyle w:val="Bibliography"/>
      </w:pPr>
      <w:r w:rsidRPr="00DC55B0">
        <w:t>31.</w:t>
      </w:r>
      <w:r w:rsidRPr="00DC55B0">
        <w:tab/>
        <w:t xml:space="preserve">Kameda, T. </w:t>
      </w:r>
      <w:r w:rsidRPr="00DC55B0">
        <w:rPr>
          <w:i/>
          <w:iCs/>
        </w:rPr>
        <w:t>et al.</w:t>
      </w:r>
      <w:r w:rsidRPr="00DC55B0">
        <w:t xml:space="preserve"> Localization of three subtypes of Fcγ receptors in human placenta by immunohistochemical analysis. </w:t>
      </w:r>
      <w:r w:rsidRPr="00DC55B0">
        <w:rPr>
          <w:i/>
          <w:iCs/>
        </w:rPr>
        <w:t>Placenta</w:t>
      </w:r>
      <w:r w:rsidRPr="00DC55B0">
        <w:t xml:space="preserve"> </w:t>
      </w:r>
      <w:r w:rsidRPr="00DC55B0">
        <w:rPr>
          <w:b/>
          <w:bCs/>
        </w:rPr>
        <w:t>12</w:t>
      </w:r>
      <w:r w:rsidRPr="00DC55B0">
        <w:t>, 15–26 (1991).</w:t>
      </w:r>
    </w:p>
    <w:p w14:paraId="15B60792" w14:textId="77777777" w:rsidR="00FD1901" w:rsidRPr="00DC55B0" w:rsidRDefault="00FD1901" w:rsidP="00FD1901">
      <w:pPr>
        <w:pStyle w:val="Bibliography"/>
      </w:pPr>
      <w:r w:rsidRPr="00DC55B0">
        <w:t>32.</w:t>
      </w:r>
      <w:r w:rsidRPr="00DC55B0">
        <w:tab/>
        <w:t xml:space="preserve">Kiskova, T. </w:t>
      </w:r>
      <w:r w:rsidRPr="00DC55B0">
        <w:rPr>
          <w:i/>
          <w:iCs/>
        </w:rPr>
        <w:t>et al.</w:t>
      </w:r>
      <w:r w:rsidRPr="00DC55B0">
        <w:t xml:space="preserve"> Expression of the neonatal Fc-receptor in placental-fetal endothelium and in cells of the placental immune system. </w:t>
      </w:r>
      <w:r w:rsidRPr="00DC55B0">
        <w:rPr>
          <w:i/>
          <w:iCs/>
        </w:rPr>
        <w:t>Placenta</w:t>
      </w:r>
      <w:r w:rsidRPr="00DC55B0">
        <w:t xml:space="preserve"> </w:t>
      </w:r>
      <w:r w:rsidRPr="00DC55B0">
        <w:rPr>
          <w:b/>
          <w:bCs/>
        </w:rPr>
        <w:t>78</w:t>
      </w:r>
      <w:r w:rsidRPr="00DC55B0">
        <w:t>, 36–43 (2019).</w:t>
      </w:r>
    </w:p>
    <w:p w14:paraId="034D3A1E" w14:textId="77777777" w:rsidR="00FD1901" w:rsidRPr="00DC55B0" w:rsidRDefault="00FD1901" w:rsidP="00FD1901">
      <w:pPr>
        <w:pStyle w:val="Bibliography"/>
      </w:pPr>
      <w:r w:rsidRPr="00DC55B0">
        <w:t>33.</w:t>
      </w:r>
      <w:r w:rsidRPr="00DC55B0">
        <w:tab/>
        <w:t xml:space="preserve">Antohe, F., Rădulescu, L., Gafencu, A., Gheţie, V. &amp; Simionescu, M. Expression of functionally active FcRn and the differentiated bidirectional transport of IgG in human placental endothelial cells. </w:t>
      </w:r>
      <w:r w:rsidRPr="00DC55B0">
        <w:rPr>
          <w:i/>
          <w:iCs/>
        </w:rPr>
        <w:t>Hum. Immunol.</w:t>
      </w:r>
      <w:r w:rsidRPr="00DC55B0">
        <w:t xml:space="preserve"> </w:t>
      </w:r>
      <w:r w:rsidRPr="00DC55B0">
        <w:rPr>
          <w:b/>
          <w:bCs/>
        </w:rPr>
        <w:t>62</w:t>
      </w:r>
      <w:r w:rsidRPr="00DC55B0">
        <w:t>, 93–105 (2001).</w:t>
      </w:r>
    </w:p>
    <w:p w14:paraId="44BB4EB7" w14:textId="77777777" w:rsidR="00FD1901" w:rsidRPr="00DC55B0" w:rsidRDefault="00FD1901" w:rsidP="00FD1901">
      <w:pPr>
        <w:pStyle w:val="Bibliography"/>
      </w:pPr>
      <w:r w:rsidRPr="00DC55B0">
        <w:t>34.</w:t>
      </w:r>
      <w:r w:rsidRPr="00DC55B0">
        <w:tab/>
        <w:t xml:space="preserve">Clements, T. </w:t>
      </w:r>
      <w:r w:rsidRPr="00DC55B0">
        <w:rPr>
          <w:i/>
          <w:iCs/>
        </w:rPr>
        <w:t>et al.</w:t>
      </w:r>
      <w:r w:rsidRPr="00DC55B0">
        <w:t xml:space="preserve"> Update on Transplacental Transfer of IgG Subclasses: Impact of Maternal and Fetal Factors. </w:t>
      </w:r>
      <w:r w:rsidRPr="00DC55B0">
        <w:rPr>
          <w:i/>
          <w:iCs/>
        </w:rPr>
        <w:t>Front. Immunol.</w:t>
      </w:r>
      <w:r w:rsidRPr="00DC55B0">
        <w:t xml:space="preserve"> </w:t>
      </w:r>
      <w:r w:rsidRPr="00DC55B0">
        <w:rPr>
          <w:b/>
          <w:bCs/>
        </w:rPr>
        <w:t>11</w:t>
      </w:r>
      <w:r w:rsidRPr="00DC55B0">
        <w:t>, 1920 (2020).</w:t>
      </w:r>
    </w:p>
    <w:p w14:paraId="60C796B3" w14:textId="77777777" w:rsidR="00FD1901" w:rsidRPr="00DC55B0" w:rsidRDefault="00FD1901" w:rsidP="00FD1901">
      <w:pPr>
        <w:pStyle w:val="Bibliography"/>
      </w:pPr>
      <w:r w:rsidRPr="00DC55B0">
        <w:t>35.</w:t>
      </w:r>
      <w:r w:rsidRPr="00DC55B0">
        <w:tab/>
        <w:t xml:space="preserve">Jauniaux, E. </w:t>
      </w:r>
      <w:r w:rsidRPr="00DC55B0">
        <w:rPr>
          <w:i/>
          <w:iCs/>
        </w:rPr>
        <w:t>et al.</w:t>
      </w:r>
      <w:r w:rsidRPr="00DC55B0">
        <w:t xml:space="preserve"> Materno-fetal immunoglobulin transfer and passive immunity during the first trimester of human pregnancy. </w:t>
      </w:r>
      <w:r w:rsidRPr="00DC55B0">
        <w:rPr>
          <w:i/>
          <w:iCs/>
        </w:rPr>
        <w:t>Hum. Reprod. Oxf. Engl.</w:t>
      </w:r>
      <w:r w:rsidRPr="00DC55B0">
        <w:t xml:space="preserve"> </w:t>
      </w:r>
      <w:r w:rsidRPr="00DC55B0">
        <w:rPr>
          <w:b/>
          <w:bCs/>
        </w:rPr>
        <w:t>10</w:t>
      </w:r>
      <w:r w:rsidRPr="00DC55B0">
        <w:t>, 3297–3300 (1995).</w:t>
      </w:r>
    </w:p>
    <w:p w14:paraId="63ED4829" w14:textId="77777777" w:rsidR="00FD1901" w:rsidRPr="00DC55B0" w:rsidRDefault="00FD1901" w:rsidP="00FD1901">
      <w:pPr>
        <w:pStyle w:val="Bibliography"/>
      </w:pPr>
      <w:r w:rsidRPr="00DC55B0">
        <w:t>36.</w:t>
      </w:r>
      <w:r w:rsidRPr="00DC55B0">
        <w:tab/>
        <w:t xml:space="preserve">Malek, A., Sager, R., Kuhn, P., Nicolaides, K. H. &amp; Schneider, H. Evolution of maternofetal transport of immunoglobulins during human pregnancy. </w:t>
      </w:r>
      <w:r w:rsidRPr="00DC55B0">
        <w:rPr>
          <w:i/>
          <w:iCs/>
        </w:rPr>
        <w:t>Am. J. Reprod. Immunol. N. Y. N 1989</w:t>
      </w:r>
      <w:r w:rsidRPr="00DC55B0">
        <w:t xml:space="preserve"> </w:t>
      </w:r>
      <w:r w:rsidRPr="00DC55B0">
        <w:rPr>
          <w:b/>
          <w:bCs/>
        </w:rPr>
        <w:t>36</w:t>
      </w:r>
      <w:r w:rsidRPr="00DC55B0">
        <w:t>, 248–255 (1996).</w:t>
      </w:r>
    </w:p>
    <w:p w14:paraId="20F645C2" w14:textId="77777777" w:rsidR="00FD1901" w:rsidRPr="00DC55B0" w:rsidRDefault="00FD1901" w:rsidP="00FD1901">
      <w:pPr>
        <w:pStyle w:val="Bibliography"/>
      </w:pPr>
      <w:r w:rsidRPr="00DC55B0">
        <w:lastRenderedPageBreak/>
        <w:t>37.</w:t>
      </w:r>
      <w:r w:rsidRPr="00DC55B0">
        <w:tab/>
        <w:t xml:space="preserve">Kohler, P. F. &amp; Farr, R. S. Elevation of cord over maternal IgG immunoglobulin: evidence for an active placental IgG transport. </w:t>
      </w:r>
      <w:r w:rsidRPr="00DC55B0">
        <w:rPr>
          <w:i/>
          <w:iCs/>
        </w:rPr>
        <w:t>Nature</w:t>
      </w:r>
      <w:r w:rsidRPr="00DC55B0">
        <w:t xml:space="preserve"> </w:t>
      </w:r>
      <w:r w:rsidRPr="00DC55B0">
        <w:rPr>
          <w:b/>
          <w:bCs/>
        </w:rPr>
        <w:t>210</w:t>
      </w:r>
      <w:r w:rsidRPr="00DC55B0">
        <w:t>, 1070–1071 (1966).</w:t>
      </w:r>
    </w:p>
    <w:p w14:paraId="22DED66E" w14:textId="77777777" w:rsidR="00FD1901" w:rsidRPr="00DC55B0" w:rsidRDefault="00FD1901" w:rsidP="00FD1901">
      <w:pPr>
        <w:pStyle w:val="Bibliography"/>
      </w:pPr>
      <w:r w:rsidRPr="00DC55B0">
        <w:t>38.</w:t>
      </w:r>
      <w:r w:rsidRPr="00DC55B0">
        <w:tab/>
        <w:t xml:space="preserve">Eberhardt, C. S. </w:t>
      </w:r>
      <w:r w:rsidRPr="00DC55B0">
        <w:rPr>
          <w:i/>
          <w:iCs/>
        </w:rPr>
        <w:t>et al.</w:t>
      </w:r>
      <w:r w:rsidRPr="00DC55B0">
        <w:t xml:space="preserve"> Maternal Immunization Earlier in Pregnancy Maximizes Antibody Transfer and Expected Infant Seropositivity Against Pertussis. </w:t>
      </w:r>
      <w:r w:rsidRPr="00DC55B0">
        <w:rPr>
          <w:i/>
          <w:iCs/>
        </w:rPr>
        <w:t>Clin. Infect. Dis.</w:t>
      </w:r>
      <w:r w:rsidRPr="00DC55B0">
        <w:t xml:space="preserve"> </w:t>
      </w:r>
      <w:r w:rsidRPr="00DC55B0">
        <w:rPr>
          <w:b/>
          <w:bCs/>
        </w:rPr>
        <w:t>62</w:t>
      </w:r>
      <w:r w:rsidRPr="00DC55B0">
        <w:t>, 829–836 (2016).</w:t>
      </w:r>
    </w:p>
    <w:p w14:paraId="59D50137" w14:textId="77777777" w:rsidR="00FD1901" w:rsidRPr="00DC55B0" w:rsidRDefault="00FD1901" w:rsidP="00FD1901">
      <w:pPr>
        <w:pStyle w:val="Bibliography"/>
      </w:pPr>
      <w:r w:rsidRPr="00DC55B0">
        <w:t>39.</w:t>
      </w:r>
      <w:r w:rsidRPr="00DC55B0">
        <w:tab/>
        <w:t xml:space="preserve">Yang, Y. J. </w:t>
      </w:r>
      <w:r w:rsidRPr="00DC55B0">
        <w:rPr>
          <w:i/>
          <w:iCs/>
        </w:rPr>
        <w:t>et al.</w:t>
      </w:r>
      <w:r w:rsidRPr="00DC55B0">
        <w:t xml:space="preserve"> Association of Gestational Age at Coronavirus Disease 2019 (COVID-19) Vaccination, History of Severe Acute Respiratory Syndrome Coronavirus 2 (SARS-CoV-2) Infection, and a Vaccine Booster Dose With Maternal and Umbilical Cord Antibody Levels at Delivery. </w:t>
      </w:r>
      <w:r w:rsidRPr="00DC55B0">
        <w:rPr>
          <w:i/>
          <w:iCs/>
        </w:rPr>
        <w:t>Obstet. Gynecol.</w:t>
      </w:r>
      <w:r w:rsidRPr="00DC55B0">
        <w:t xml:space="preserve"> </w:t>
      </w:r>
      <w:r w:rsidRPr="00DC55B0">
        <w:rPr>
          <w:b/>
          <w:bCs/>
        </w:rPr>
        <w:t>139</w:t>
      </w:r>
      <w:r w:rsidRPr="00DC55B0">
        <w:t>, 373–380 (2022).</w:t>
      </w:r>
    </w:p>
    <w:p w14:paraId="5B9C9137" w14:textId="77777777" w:rsidR="00FD1901" w:rsidRPr="00DC55B0" w:rsidRDefault="00FD1901" w:rsidP="00FD1901">
      <w:pPr>
        <w:pStyle w:val="Bibliography"/>
      </w:pPr>
      <w:r w:rsidRPr="00DC55B0">
        <w:t>40.</w:t>
      </w:r>
      <w:r w:rsidRPr="00DC55B0">
        <w:tab/>
        <w:t xml:space="preserve">Calvert, A. </w:t>
      </w:r>
      <w:r w:rsidRPr="00DC55B0">
        <w:rPr>
          <w:i/>
          <w:iCs/>
        </w:rPr>
        <w:t>et al.</w:t>
      </w:r>
      <w:r w:rsidRPr="00DC55B0">
        <w:t xml:space="preserve"> Optimising the timing of whooping cough immunisation in mums (OpTIMUM) through investigating pertussis vaccination in pregnancy: an open-label, equivalence, randomised controlled trial. </w:t>
      </w:r>
      <w:r w:rsidRPr="00DC55B0">
        <w:rPr>
          <w:i/>
          <w:iCs/>
        </w:rPr>
        <w:t>Lancet Microbe</w:t>
      </w:r>
      <w:r w:rsidRPr="00DC55B0">
        <w:t xml:space="preserve"> </w:t>
      </w:r>
      <w:r w:rsidRPr="00DC55B0">
        <w:rPr>
          <w:b/>
          <w:bCs/>
        </w:rPr>
        <w:t>4</w:t>
      </w:r>
      <w:r w:rsidRPr="00DC55B0">
        <w:t>, e300–e308 (2023).</w:t>
      </w:r>
    </w:p>
    <w:p w14:paraId="207BDCF3" w14:textId="77777777" w:rsidR="00FD1901" w:rsidRPr="00DC55B0" w:rsidRDefault="00FD1901" w:rsidP="00FD1901">
      <w:pPr>
        <w:pStyle w:val="Bibliography"/>
      </w:pPr>
      <w:r w:rsidRPr="00DC55B0">
        <w:t>41.</w:t>
      </w:r>
      <w:r w:rsidRPr="00DC55B0">
        <w:tab/>
        <w:t xml:space="preserve">Winter, K., Nickell, S., Powell, M. &amp; Harriman, K. Effectiveness of Prenatal Versus Postpartum Tetanus, Diphtheria, and Acellular Pertussis Vaccination in Preventing Infant Pertussis. </w:t>
      </w:r>
      <w:r w:rsidRPr="00DC55B0">
        <w:rPr>
          <w:i/>
          <w:iCs/>
        </w:rPr>
        <w:t>Clin. Infect. Dis.</w:t>
      </w:r>
      <w:r w:rsidRPr="00DC55B0">
        <w:t xml:space="preserve"> </w:t>
      </w:r>
      <w:r w:rsidRPr="00DC55B0">
        <w:rPr>
          <w:b/>
          <w:bCs/>
        </w:rPr>
        <w:t>64</w:t>
      </w:r>
      <w:r w:rsidRPr="00DC55B0">
        <w:t>, 3–8 (2017).</w:t>
      </w:r>
    </w:p>
    <w:p w14:paraId="4AD81451" w14:textId="77777777" w:rsidR="00FD1901" w:rsidRPr="00DC55B0" w:rsidRDefault="00FD1901" w:rsidP="00FD1901">
      <w:pPr>
        <w:pStyle w:val="Bibliography"/>
      </w:pPr>
      <w:r w:rsidRPr="00DC55B0">
        <w:t>42.</w:t>
      </w:r>
      <w:r w:rsidRPr="00DC55B0">
        <w:tab/>
        <w:t xml:space="preserve">Halasa, N. B. </w:t>
      </w:r>
      <w:r w:rsidRPr="00DC55B0">
        <w:rPr>
          <w:i/>
          <w:iCs/>
        </w:rPr>
        <w:t>et al.</w:t>
      </w:r>
      <w:r w:rsidRPr="00DC55B0">
        <w:t xml:space="preserve"> Maternal Vaccination and Risk of Hospitalization for Covid-19 among Infants. </w:t>
      </w:r>
      <w:r w:rsidRPr="00DC55B0">
        <w:rPr>
          <w:i/>
          <w:iCs/>
        </w:rPr>
        <w:t>N. Engl. J. Med.</w:t>
      </w:r>
      <w:r w:rsidRPr="00DC55B0">
        <w:t xml:space="preserve"> </w:t>
      </w:r>
      <w:r w:rsidRPr="00DC55B0">
        <w:rPr>
          <w:b/>
          <w:bCs/>
        </w:rPr>
        <w:t>387</w:t>
      </w:r>
      <w:r w:rsidRPr="00DC55B0">
        <w:t>, 109–119 (2022).</w:t>
      </w:r>
    </w:p>
    <w:p w14:paraId="5E90508C" w14:textId="77777777" w:rsidR="00FD1901" w:rsidRPr="00DC55B0" w:rsidRDefault="00FD1901" w:rsidP="00FD1901">
      <w:pPr>
        <w:pStyle w:val="Bibliography"/>
      </w:pPr>
      <w:r w:rsidRPr="00DC55B0">
        <w:t>43.</w:t>
      </w:r>
      <w:r w:rsidRPr="00DC55B0">
        <w:tab/>
        <w:t xml:space="preserve">Jorgensen, S. C. J. </w:t>
      </w:r>
      <w:r w:rsidRPr="00DC55B0">
        <w:rPr>
          <w:i/>
          <w:iCs/>
        </w:rPr>
        <w:t>et al.</w:t>
      </w:r>
      <w:r w:rsidRPr="00DC55B0">
        <w:t xml:space="preserve"> Maternal mRNA covid-19 vaccination during pregnancy and delta or omicron infection or hospital admission in infants: test negative design study. </w:t>
      </w:r>
      <w:r w:rsidRPr="00DC55B0">
        <w:rPr>
          <w:i/>
          <w:iCs/>
        </w:rPr>
        <w:t>BMJ</w:t>
      </w:r>
      <w:r w:rsidRPr="00DC55B0">
        <w:t xml:space="preserve"> </w:t>
      </w:r>
      <w:r w:rsidRPr="00DC55B0">
        <w:rPr>
          <w:b/>
          <w:bCs/>
        </w:rPr>
        <w:t>380</w:t>
      </w:r>
      <w:r w:rsidRPr="00DC55B0">
        <w:t>, e074035 (2023).</w:t>
      </w:r>
    </w:p>
    <w:p w14:paraId="616F04FE" w14:textId="77777777" w:rsidR="00FD1901" w:rsidRPr="00DC55B0" w:rsidRDefault="00FD1901" w:rsidP="00FD1901">
      <w:pPr>
        <w:pStyle w:val="Bibliography"/>
      </w:pPr>
      <w:r w:rsidRPr="00DC55B0">
        <w:t>44.</w:t>
      </w:r>
      <w:r w:rsidRPr="00DC55B0">
        <w:tab/>
        <w:t xml:space="preserve">Zerbo, O. </w:t>
      </w:r>
      <w:r w:rsidRPr="00DC55B0">
        <w:rPr>
          <w:i/>
          <w:iCs/>
        </w:rPr>
        <w:t>et al.</w:t>
      </w:r>
      <w:r w:rsidRPr="00DC55B0">
        <w:t xml:space="preserve"> Maternal SARS-CoV-2 vaccination and infant protection against SARS-CoV-2 during the first six months of life. </w:t>
      </w:r>
      <w:r w:rsidRPr="00DC55B0">
        <w:rPr>
          <w:i/>
          <w:iCs/>
        </w:rPr>
        <w:t>Nat. Commun.</w:t>
      </w:r>
      <w:r w:rsidRPr="00DC55B0">
        <w:t xml:space="preserve"> </w:t>
      </w:r>
      <w:r w:rsidRPr="00DC55B0">
        <w:rPr>
          <w:b/>
          <w:bCs/>
        </w:rPr>
        <w:t>14</w:t>
      </w:r>
      <w:r w:rsidRPr="00DC55B0">
        <w:t>, 894 (2023).</w:t>
      </w:r>
    </w:p>
    <w:p w14:paraId="7B1F60F5" w14:textId="77777777" w:rsidR="00FD1901" w:rsidRPr="00DC55B0" w:rsidRDefault="00FD1901" w:rsidP="00FD1901">
      <w:pPr>
        <w:pStyle w:val="Bibliography"/>
      </w:pPr>
      <w:r w:rsidRPr="00DC55B0">
        <w:t>45.</w:t>
      </w:r>
      <w:r w:rsidRPr="00DC55B0">
        <w:tab/>
        <w:t xml:space="preserve">Oguti, B. </w:t>
      </w:r>
      <w:r w:rsidRPr="00DC55B0">
        <w:rPr>
          <w:i/>
          <w:iCs/>
        </w:rPr>
        <w:t>et al.</w:t>
      </w:r>
      <w:r w:rsidRPr="00DC55B0">
        <w:t xml:space="preserve"> The half-life of maternal transplacental antibodies against diphtheria, tetanus, and pertussis in infants: an individual participant data meta-analysis. </w:t>
      </w:r>
      <w:r w:rsidRPr="00DC55B0">
        <w:rPr>
          <w:i/>
          <w:iCs/>
        </w:rPr>
        <w:t>Vaccine</w:t>
      </w:r>
      <w:r w:rsidRPr="00DC55B0">
        <w:t xml:space="preserve"> </w:t>
      </w:r>
      <w:r w:rsidRPr="00DC55B0">
        <w:rPr>
          <w:b/>
          <w:bCs/>
        </w:rPr>
        <w:t>40</w:t>
      </w:r>
      <w:r w:rsidRPr="00DC55B0">
        <w:t>, 450–458 (2022).</w:t>
      </w:r>
    </w:p>
    <w:p w14:paraId="7DD78B4A" w14:textId="77777777" w:rsidR="00FD1901" w:rsidRPr="00DC55B0" w:rsidRDefault="00FD1901" w:rsidP="00FD1901">
      <w:pPr>
        <w:pStyle w:val="Bibliography"/>
      </w:pPr>
      <w:r w:rsidRPr="00DC55B0">
        <w:t>46.</w:t>
      </w:r>
      <w:r w:rsidRPr="00DC55B0">
        <w:tab/>
        <w:t xml:space="preserve">Sarvas, H., Seppälä, I., Kurikka, S., Siegberg, R. &amp; Mäkelä, O. Half-life of the maternal IgG1 allotype in infants. </w:t>
      </w:r>
      <w:r w:rsidRPr="00DC55B0">
        <w:rPr>
          <w:i/>
          <w:iCs/>
        </w:rPr>
        <w:t>J. Clin. Immunol.</w:t>
      </w:r>
      <w:r w:rsidRPr="00DC55B0">
        <w:t xml:space="preserve"> </w:t>
      </w:r>
      <w:r w:rsidRPr="00DC55B0">
        <w:rPr>
          <w:b/>
          <w:bCs/>
        </w:rPr>
        <w:t>13</w:t>
      </w:r>
      <w:r w:rsidRPr="00DC55B0">
        <w:t>, 145–151 (1993).</w:t>
      </w:r>
    </w:p>
    <w:p w14:paraId="5107927D" w14:textId="77777777" w:rsidR="00FD1901" w:rsidRPr="00DC55B0" w:rsidRDefault="00FD1901" w:rsidP="00FD1901">
      <w:pPr>
        <w:pStyle w:val="Bibliography"/>
      </w:pPr>
      <w:r w:rsidRPr="00DC55B0">
        <w:t>47.</w:t>
      </w:r>
      <w:r w:rsidRPr="00DC55B0">
        <w:tab/>
        <w:t xml:space="preserve">Simeone, R. M. Effectiveness of Maternal mRNA COVID-19 Vaccination During Pregnancy Against COVID-19–Associated Hospitalizations in Infants Aged 6 Months During SARS-CoV-2 Omicron Predominance — 20 States, March 9, 2022–May 31, 2023. </w:t>
      </w:r>
      <w:r w:rsidRPr="00DC55B0">
        <w:rPr>
          <w:i/>
          <w:iCs/>
        </w:rPr>
        <w:t>MMWR Morb. Mortal. Wkly. Rep.</w:t>
      </w:r>
      <w:r w:rsidRPr="00DC55B0">
        <w:t xml:space="preserve"> </w:t>
      </w:r>
      <w:r w:rsidRPr="00DC55B0">
        <w:rPr>
          <w:b/>
          <w:bCs/>
        </w:rPr>
        <w:t>72</w:t>
      </w:r>
      <w:r w:rsidRPr="00DC55B0">
        <w:t>, (2023).</w:t>
      </w:r>
    </w:p>
    <w:p w14:paraId="2A8BA1F3" w14:textId="77777777" w:rsidR="00FD1901" w:rsidRPr="00DC55B0" w:rsidRDefault="00FD1901" w:rsidP="00FD1901">
      <w:pPr>
        <w:pStyle w:val="Bibliography"/>
      </w:pPr>
      <w:r w:rsidRPr="00DC55B0">
        <w:t>48.</w:t>
      </w:r>
      <w:r w:rsidRPr="00DC55B0">
        <w:tab/>
        <w:t xml:space="preserve">Voysey, M. </w:t>
      </w:r>
      <w:r w:rsidRPr="00DC55B0">
        <w:rPr>
          <w:i/>
          <w:iCs/>
        </w:rPr>
        <w:t>et al.</w:t>
      </w:r>
      <w:r w:rsidRPr="00DC55B0">
        <w:t xml:space="preserve"> The Influence of Maternally Derived Antibody and Infant Age at Vaccination on Infant Vaccine Responses</w:t>
      </w:r>
      <w:r w:rsidRPr="00DC55B0">
        <w:rPr>
          <w:rFonts w:ascii="Arial" w:hAnsi="Arial" w:cs="Arial"/>
        </w:rPr>
        <w:t> </w:t>
      </w:r>
      <w:r w:rsidRPr="00DC55B0">
        <w:t xml:space="preserve">: An Individual Participant Meta-analysis. </w:t>
      </w:r>
      <w:r w:rsidRPr="00DC55B0">
        <w:rPr>
          <w:i/>
          <w:iCs/>
        </w:rPr>
        <w:t>JAMA Pediatr.</w:t>
      </w:r>
      <w:r w:rsidRPr="00DC55B0">
        <w:t xml:space="preserve"> </w:t>
      </w:r>
      <w:r w:rsidRPr="00DC55B0">
        <w:rPr>
          <w:b/>
          <w:bCs/>
        </w:rPr>
        <w:t>171</w:t>
      </w:r>
      <w:r w:rsidRPr="00DC55B0">
        <w:t>, 637–646 (2017).</w:t>
      </w:r>
    </w:p>
    <w:p w14:paraId="49D0A744" w14:textId="77777777" w:rsidR="00FD1901" w:rsidRPr="00DC55B0" w:rsidRDefault="00FD1901" w:rsidP="00FD1901">
      <w:pPr>
        <w:pStyle w:val="Bibliography"/>
      </w:pPr>
      <w:r w:rsidRPr="00DC55B0">
        <w:t>49.</w:t>
      </w:r>
      <w:r w:rsidRPr="00DC55B0">
        <w:tab/>
        <w:t xml:space="preserve">Akhter, H., Aziz, F., Ullah, F. R., Ahsan, M. &amp; Islam, S. N. Immunoglobulins content in colostrum, transitional and mature milk of Bangladeshi mothers: Influence of parity and sociodemographic characteristics. </w:t>
      </w:r>
      <w:r w:rsidRPr="00DC55B0">
        <w:rPr>
          <w:i/>
          <w:iCs/>
        </w:rPr>
        <w:t>J. Mother Child</w:t>
      </w:r>
      <w:r w:rsidRPr="00DC55B0">
        <w:t xml:space="preserve"> </w:t>
      </w:r>
      <w:r w:rsidRPr="00DC55B0">
        <w:rPr>
          <w:b/>
          <w:bCs/>
        </w:rPr>
        <w:t>24</w:t>
      </w:r>
      <w:r w:rsidRPr="00DC55B0">
        <w:t>, 8–15 (2020).</w:t>
      </w:r>
    </w:p>
    <w:p w14:paraId="64ADBA30" w14:textId="77777777" w:rsidR="00FD1901" w:rsidRPr="00DC55B0" w:rsidRDefault="00FD1901" w:rsidP="00FD1901">
      <w:pPr>
        <w:pStyle w:val="Bibliography"/>
      </w:pPr>
      <w:r w:rsidRPr="00DC55B0">
        <w:t>50.</w:t>
      </w:r>
      <w:r w:rsidRPr="00DC55B0">
        <w:tab/>
        <w:t xml:space="preserve">Morteau, O. </w:t>
      </w:r>
      <w:r w:rsidRPr="00DC55B0">
        <w:rPr>
          <w:i/>
          <w:iCs/>
        </w:rPr>
        <w:t>et al.</w:t>
      </w:r>
      <w:r w:rsidRPr="00DC55B0">
        <w:t xml:space="preserve"> An indispensable role for the chemokine receptor CCR10 in IgA antibody-secreting cell accumulation. </w:t>
      </w:r>
      <w:r w:rsidRPr="00DC55B0">
        <w:rPr>
          <w:i/>
          <w:iCs/>
        </w:rPr>
        <w:t>J. Immunol. Baltim. Md 1950</w:t>
      </w:r>
      <w:r w:rsidRPr="00DC55B0">
        <w:t xml:space="preserve"> </w:t>
      </w:r>
      <w:r w:rsidRPr="00DC55B0">
        <w:rPr>
          <w:b/>
          <w:bCs/>
        </w:rPr>
        <w:t>181</w:t>
      </w:r>
      <w:r w:rsidRPr="00DC55B0">
        <w:t>, 6309–6315 (2008).</w:t>
      </w:r>
    </w:p>
    <w:p w14:paraId="77CC9F26" w14:textId="77777777" w:rsidR="00FD1901" w:rsidRPr="00DC55B0" w:rsidRDefault="00FD1901" w:rsidP="00FD1901">
      <w:pPr>
        <w:pStyle w:val="Bibliography"/>
      </w:pPr>
      <w:r w:rsidRPr="00DC55B0">
        <w:t>51.</w:t>
      </w:r>
      <w:r w:rsidRPr="00DC55B0">
        <w:tab/>
        <w:t xml:space="preserve">Wilson, E. &amp; Butcher, E. C. CCL28 controls immunoglobulin (Ig)A plasma cell accumulation in the lactating mammary gland and IgA antibody transfer to the neonate. </w:t>
      </w:r>
      <w:r w:rsidRPr="00DC55B0">
        <w:rPr>
          <w:i/>
          <w:iCs/>
        </w:rPr>
        <w:t>J. Exp. Med.</w:t>
      </w:r>
      <w:r w:rsidRPr="00DC55B0">
        <w:t xml:space="preserve"> </w:t>
      </w:r>
      <w:r w:rsidRPr="00DC55B0">
        <w:rPr>
          <w:b/>
          <w:bCs/>
        </w:rPr>
        <w:t>200</w:t>
      </w:r>
      <w:r w:rsidRPr="00DC55B0">
        <w:t>, 805–809 (2004).</w:t>
      </w:r>
    </w:p>
    <w:p w14:paraId="00025B3C" w14:textId="77777777" w:rsidR="00FD1901" w:rsidRPr="00DC55B0" w:rsidRDefault="00FD1901" w:rsidP="00FD1901">
      <w:pPr>
        <w:pStyle w:val="Bibliography"/>
      </w:pPr>
      <w:r w:rsidRPr="00DC55B0">
        <w:t>52.</w:t>
      </w:r>
      <w:r w:rsidRPr="00DC55B0">
        <w:tab/>
        <w:t xml:space="preserve">Lindner, C. </w:t>
      </w:r>
      <w:r w:rsidRPr="00DC55B0">
        <w:rPr>
          <w:i/>
          <w:iCs/>
        </w:rPr>
        <w:t>et al.</w:t>
      </w:r>
      <w:r w:rsidRPr="00DC55B0">
        <w:t xml:space="preserve"> Diversification of memory B cells drives the continuous adaptation of secretory antibodies to gut microbiota. </w:t>
      </w:r>
      <w:r w:rsidRPr="00DC55B0">
        <w:rPr>
          <w:i/>
          <w:iCs/>
        </w:rPr>
        <w:t>Nat. Immunol.</w:t>
      </w:r>
      <w:r w:rsidRPr="00DC55B0">
        <w:t xml:space="preserve"> </w:t>
      </w:r>
      <w:r w:rsidRPr="00DC55B0">
        <w:rPr>
          <w:b/>
          <w:bCs/>
        </w:rPr>
        <w:t>16</w:t>
      </w:r>
      <w:r w:rsidRPr="00DC55B0">
        <w:t>, 880–888 (2015).</w:t>
      </w:r>
    </w:p>
    <w:p w14:paraId="7572CBF5" w14:textId="77777777" w:rsidR="00FD1901" w:rsidRPr="00DC55B0" w:rsidRDefault="00FD1901" w:rsidP="00FD1901">
      <w:pPr>
        <w:pStyle w:val="Bibliography"/>
      </w:pPr>
      <w:r w:rsidRPr="00DC55B0">
        <w:lastRenderedPageBreak/>
        <w:t>53.</w:t>
      </w:r>
      <w:r w:rsidRPr="00DC55B0">
        <w:tab/>
        <w:t xml:space="preserve">Cianga, P., Cianga, C., Cozma, L., Ward, E. S. &amp; Carasevici, E. The MHC class I related Fc receptor, FcRn, is expressed in the epithelial cells of the human mammary gland. </w:t>
      </w:r>
      <w:r w:rsidRPr="00DC55B0">
        <w:rPr>
          <w:i/>
          <w:iCs/>
        </w:rPr>
        <w:t>Hum. Immunol.</w:t>
      </w:r>
      <w:r w:rsidRPr="00DC55B0">
        <w:t xml:space="preserve"> </w:t>
      </w:r>
      <w:r w:rsidRPr="00DC55B0">
        <w:rPr>
          <w:b/>
          <w:bCs/>
        </w:rPr>
        <w:t>64</w:t>
      </w:r>
      <w:r w:rsidRPr="00DC55B0">
        <w:t>, 1152–1159 (2003).</w:t>
      </w:r>
    </w:p>
    <w:p w14:paraId="50077AED" w14:textId="77777777" w:rsidR="00FD1901" w:rsidRPr="00DC55B0" w:rsidRDefault="00FD1901" w:rsidP="00FD1901">
      <w:pPr>
        <w:pStyle w:val="Bibliography"/>
      </w:pPr>
      <w:r w:rsidRPr="00DC55B0">
        <w:t>54.</w:t>
      </w:r>
      <w:r w:rsidRPr="00DC55B0">
        <w:tab/>
        <w:t xml:space="preserve">Schlaudecker, E. P. </w:t>
      </w:r>
      <w:r w:rsidRPr="00DC55B0">
        <w:rPr>
          <w:i/>
          <w:iCs/>
        </w:rPr>
        <w:t>et al.</w:t>
      </w:r>
      <w:r w:rsidRPr="00DC55B0">
        <w:t xml:space="preserve"> IgA and Neutralizing Antibodies to Influenza A Virus in Human Milk: A Randomized Trial of Antenatal Influenza Immunization. </w:t>
      </w:r>
      <w:r w:rsidRPr="00DC55B0">
        <w:rPr>
          <w:i/>
          <w:iCs/>
        </w:rPr>
        <w:t>PLOS ONE</w:t>
      </w:r>
      <w:r w:rsidRPr="00DC55B0">
        <w:t xml:space="preserve"> </w:t>
      </w:r>
      <w:r w:rsidRPr="00DC55B0">
        <w:rPr>
          <w:b/>
          <w:bCs/>
        </w:rPr>
        <w:t>8</w:t>
      </w:r>
      <w:r w:rsidRPr="00DC55B0">
        <w:t>, e70867 (2013).</w:t>
      </w:r>
    </w:p>
    <w:p w14:paraId="4A03C6B7" w14:textId="77777777" w:rsidR="00FD1901" w:rsidRPr="00DC55B0" w:rsidRDefault="00FD1901" w:rsidP="00FD1901">
      <w:pPr>
        <w:pStyle w:val="Bibliography"/>
      </w:pPr>
      <w:r w:rsidRPr="00DC55B0">
        <w:t>55.</w:t>
      </w:r>
      <w:r w:rsidRPr="00DC55B0">
        <w:tab/>
        <w:t xml:space="preserve">Maltezou, H. C. </w:t>
      </w:r>
      <w:r w:rsidRPr="00DC55B0">
        <w:rPr>
          <w:i/>
          <w:iCs/>
        </w:rPr>
        <w:t>et al.</w:t>
      </w:r>
      <w:r w:rsidRPr="00DC55B0">
        <w:t xml:space="preserve"> Impact of postpartum influenza vaccination of mothers and household contacts in preventing febrile episodes, influenza-like illness, healthcare seeking, and administration of antibiotics in young infants during the 2012-2013 influenza season. </w:t>
      </w:r>
      <w:r w:rsidRPr="00DC55B0">
        <w:rPr>
          <w:i/>
          <w:iCs/>
        </w:rPr>
        <w:t>Clin. Infect. Dis. Off. Publ. Infect. Dis. Soc. Am.</w:t>
      </w:r>
      <w:r w:rsidRPr="00DC55B0">
        <w:t xml:space="preserve"> </w:t>
      </w:r>
      <w:r w:rsidRPr="00DC55B0">
        <w:rPr>
          <w:b/>
          <w:bCs/>
        </w:rPr>
        <w:t>57</w:t>
      </w:r>
      <w:r w:rsidRPr="00DC55B0">
        <w:t>, 1520–1526 (2013).</w:t>
      </w:r>
    </w:p>
    <w:p w14:paraId="0DEB348C" w14:textId="77777777" w:rsidR="00FD1901" w:rsidRPr="00DC55B0" w:rsidRDefault="00FD1901" w:rsidP="00FD1901">
      <w:pPr>
        <w:pStyle w:val="Bibliography"/>
      </w:pPr>
      <w:r w:rsidRPr="00DC55B0">
        <w:t>56.</w:t>
      </w:r>
      <w:r w:rsidRPr="00DC55B0">
        <w:tab/>
        <w:t xml:space="preserve">Oguz, M. M. &amp; Senel, S. Effectiveness of cocoon strategy vaccination on prevention of influenza-like illness in young infants. </w:t>
      </w:r>
      <w:r w:rsidRPr="00DC55B0">
        <w:rPr>
          <w:i/>
          <w:iCs/>
        </w:rPr>
        <w:t>Hum. Vaccines Immunother.</w:t>
      </w:r>
      <w:r w:rsidRPr="00DC55B0">
        <w:t xml:space="preserve"> </w:t>
      </w:r>
      <w:r w:rsidRPr="00DC55B0">
        <w:rPr>
          <w:b/>
          <w:bCs/>
        </w:rPr>
        <w:t>20</w:t>
      </w:r>
      <w:r w:rsidRPr="00DC55B0">
        <w:t>, 2350090.</w:t>
      </w:r>
    </w:p>
    <w:p w14:paraId="134B9F13" w14:textId="77777777" w:rsidR="00FD1901" w:rsidRPr="00DC55B0" w:rsidRDefault="00FD1901" w:rsidP="00FD1901">
      <w:pPr>
        <w:pStyle w:val="Bibliography"/>
      </w:pPr>
      <w:r w:rsidRPr="00DC55B0">
        <w:t>57.</w:t>
      </w:r>
      <w:r w:rsidRPr="00DC55B0">
        <w:tab/>
        <w:t xml:space="preserve">Skowronski, D. M. </w:t>
      </w:r>
      <w:r w:rsidRPr="00DC55B0">
        <w:rPr>
          <w:i/>
          <w:iCs/>
        </w:rPr>
        <w:t>et al.</w:t>
      </w:r>
      <w:r w:rsidRPr="00DC55B0">
        <w:t xml:space="preserve"> The Number Needed to Vaccinate to Prevent Infant Pertussis Hospitalization and Death Through Parent Cocoon Immunization. </w:t>
      </w:r>
      <w:r w:rsidRPr="00DC55B0">
        <w:rPr>
          <w:i/>
          <w:iCs/>
        </w:rPr>
        <w:t>Clin. Infect. Dis.</w:t>
      </w:r>
      <w:r w:rsidRPr="00DC55B0">
        <w:t xml:space="preserve"> </w:t>
      </w:r>
      <w:r w:rsidRPr="00DC55B0">
        <w:rPr>
          <w:b/>
          <w:bCs/>
        </w:rPr>
        <w:t>54</w:t>
      </w:r>
      <w:r w:rsidRPr="00DC55B0">
        <w:t>, 318–327 (2012).</w:t>
      </w:r>
    </w:p>
    <w:p w14:paraId="572268ED" w14:textId="77777777" w:rsidR="00FD1901" w:rsidRPr="00DC55B0" w:rsidRDefault="00FD1901" w:rsidP="00FD1901">
      <w:pPr>
        <w:pStyle w:val="Bibliography"/>
      </w:pPr>
      <w:r w:rsidRPr="00DC55B0">
        <w:t>58.</w:t>
      </w:r>
      <w:r w:rsidRPr="00DC55B0">
        <w:tab/>
        <w:t xml:space="preserve">Bollinger, O. </w:t>
      </w:r>
      <w:r w:rsidRPr="00DC55B0">
        <w:rPr>
          <w:i/>
          <w:iCs/>
        </w:rPr>
        <w:t>Über Menschen- und Thierpocken, über den Ursprung der Kuhpocken und über intrauterine Vaccination</w:t>
      </w:r>
      <w:r w:rsidRPr="00DC55B0">
        <w:t>. (Breitkopf &amp; Härtel, 1877).</w:t>
      </w:r>
    </w:p>
    <w:p w14:paraId="5E2041CF" w14:textId="77777777" w:rsidR="00FD1901" w:rsidRPr="00DC55B0" w:rsidRDefault="00FD1901" w:rsidP="00FD1901">
      <w:pPr>
        <w:pStyle w:val="Bibliography"/>
      </w:pPr>
      <w:r w:rsidRPr="00DC55B0">
        <w:t>59.</w:t>
      </w:r>
      <w:r w:rsidRPr="00DC55B0">
        <w:tab/>
        <w:t xml:space="preserve">Roper, M. H., Vandelaer, J. H. &amp; Gasse, F. L. Maternal and neonatal tetanus. </w:t>
      </w:r>
      <w:r w:rsidRPr="00DC55B0">
        <w:rPr>
          <w:i/>
          <w:iCs/>
        </w:rPr>
        <w:t>The Lancet</w:t>
      </w:r>
      <w:r w:rsidRPr="00DC55B0">
        <w:t xml:space="preserve"> </w:t>
      </w:r>
      <w:r w:rsidRPr="00DC55B0">
        <w:rPr>
          <w:b/>
          <w:bCs/>
        </w:rPr>
        <w:t>370</w:t>
      </w:r>
      <w:r w:rsidRPr="00DC55B0">
        <w:t>, 1947–1959 (2007).</w:t>
      </w:r>
    </w:p>
    <w:p w14:paraId="168989C1" w14:textId="77777777" w:rsidR="00FD1901" w:rsidRPr="00DC55B0" w:rsidRDefault="00FD1901" w:rsidP="00FD1901">
      <w:pPr>
        <w:pStyle w:val="Bibliography"/>
      </w:pPr>
      <w:r w:rsidRPr="00DC55B0">
        <w:t>60.</w:t>
      </w:r>
      <w:r w:rsidRPr="00DC55B0">
        <w:tab/>
        <w:t xml:space="preserve">Schofield, F. D., Tucker, V. M. &amp; Westbrook, G. R. Neonatal Tetanus in New Guinea. </w:t>
      </w:r>
      <w:r w:rsidRPr="00DC55B0">
        <w:rPr>
          <w:i/>
          <w:iCs/>
        </w:rPr>
        <w:t>BMJ</w:t>
      </w:r>
      <w:r w:rsidRPr="00DC55B0">
        <w:t xml:space="preserve"> </w:t>
      </w:r>
      <w:r w:rsidRPr="00DC55B0">
        <w:rPr>
          <w:b/>
          <w:bCs/>
        </w:rPr>
        <w:t>2</w:t>
      </w:r>
      <w:r w:rsidRPr="00DC55B0">
        <w:t>, 785–789 (1961).</w:t>
      </w:r>
    </w:p>
    <w:p w14:paraId="357665A4" w14:textId="77777777" w:rsidR="00FD1901" w:rsidRPr="00DC55B0" w:rsidRDefault="00FD1901" w:rsidP="00FD1901">
      <w:pPr>
        <w:pStyle w:val="Bibliography"/>
      </w:pPr>
      <w:r w:rsidRPr="00DC55B0">
        <w:t>61.</w:t>
      </w:r>
      <w:r w:rsidRPr="00DC55B0">
        <w:tab/>
        <w:t xml:space="preserve">Newell, K. W., Dueñas Lehmann, A., LeBlanc, D. R. &amp; Garces Osorio, N. The use of toxoid for the prevention of tetanus neonatorum. Final report of a double-blind controlled field trial. </w:t>
      </w:r>
      <w:r w:rsidRPr="00DC55B0">
        <w:rPr>
          <w:i/>
          <w:iCs/>
        </w:rPr>
        <w:t>Bull. World Health Organ.</w:t>
      </w:r>
      <w:r w:rsidRPr="00DC55B0">
        <w:t xml:space="preserve"> </w:t>
      </w:r>
      <w:r w:rsidRPr="00DC55B0">
        <w:rPr>
          <w:b/>
          <w:bCs/>
        </w:rPr>
        <w:t>35</w:t>
      </w:r>
      <w:r w:rsidRPr="00DC55B0">
        <w:t>, 863–871 (1966).</w:t>
      </w:r>
    </w:p>
    <w:p w14:paraId="1A2604B8" w14:textId="77777777" w:rsidR="00FD1901" w:rsidRPr="00DC55B0" w:rsidRDefault="00FD1901" w:rsidP="00FD1901">
      <w:pPr>
        <w:pStyle w:val="Bibliography"/>
      </w:pPr>
      <w:r w:rsidRPr="00DC55B0">
        <w:t>62.</w:t>
      </w:r>
      <w:r w:rsidRPr="00DC55B0">
        <w:tab/>
        <w:t>Maternal and Neonatal Tetanus Elimination (MNTE). https://www.who.int/initiatives/maternal-and-neonatal-tetanus-elimination-(mnte).</w:t>
      </w:r>
    </w:p>
    <w:p w14:paraId="3F8FCCE7" w14:textId="77777777" w:rsidR="00FD1901" w:rsidRPr="00DC55B0" w:rsidRDefault="00FD1901" w:rsidP="00FD1901">
      <w:pPr>
        <w:pStyle w:val="Bibliography"/>
      </w:pPr>
      <w:r w:rsidRPr="00DC55B0">
        <w:t>63.</w:t>
      </w:r>
      <w:r w:rsidRPr="00DC55B0">
        <w:tab/>
        <w:t xml:space="preserve">Kendrick, P. L. Can Whooping Cough Be Eradicated? </w:t>
      </w:r>
      <w:r w:rsidRPr="00DC55B0">
        <w:rPr>
          <w:i/>
          <w:iCs/>
        </w:rPr>
        <w:t>J. Infect. Dis.</w:t>
      </w:r>
      <w:r w:rsidRPr="00DC55B0">
        <w:t xml:space="preserve"> </w:t>
      </w:r>
      <w:r w:rsidRPr="00DC55B0">
        <w:rPr>
          <w:b/>
          <w:bCs/>
        </w:rPr>
        <w:t>132</w:t>
      </w:r>
      <w:r w:rsidRPr="00DC55B0">
        <w:t>, 707–712 (1975).</w:t>
      </w:r>
    </w:p>
    <w:p w14:paraId="0AB48D64" w14:textId="77777777" w:rsidR="00FD1901" w:rsidRPr="00DC55B0" w:rsidRDefault="00FD1901" w:rsidP="00FD1901">
      <w:pPr>
        <w:pStyle w:val="Bibliography"/>
      </w:pPr>
      <w:r w:rsidRPr="00DC55B0">
        <w:t>64.</w:t>
      </w:r>
      <w:r w:rsidRPr="00DC55B0">
        <w:tab/>
        <w:t xml:space="preserve">Yeung, K. H. T., Duclos, P., Nelson, E. A. S. &amp; Hutubessy, R. C. W. An update of the global burden of pertussis in children younger than 5 years: a modelling study. </w:t>
      </w:r>
      <w:r w:rsidRPr="00DC55B0">
        <w:rPr>
          <w:i/>
          <w:iCs/>
        </w:rPr>
        <w:t>Lancet Infect. Dis.</w:t>
      </w:r>
      <w:r w:rsidRPr="00DC55B0">
        <w:t xml:space="preserve"> </w:t>
      </w:r>
      <w:r w:rsidRPr="00DC55B0">
        <w:rPr>
          <w:b/>
          <w:bCs/>
        </w:rPr>
        <w:t>17</w:t>
      </w:r>
      <w:r w:rsidRPr="00DC55B0">
        <w:t>, 974–980 (2017).</w:t>
      </w:r>
    </w:p>
    <w:p w14:paraId="4BA0F624" w14:textId="77777777" w:rsidR="00FD1901" w:rsidRPr="00DC55B0" w:rsidRDefault="00FD1901" w:rsidP="00FD1901">
      <w:pPr>
        <w:pStyle w:val="Bibliography"/>
      </w:pPr>
      <w:r w:rsidRPr="00DC55B0">
        <w:t>65.</w:t>
      </w:r>
      <w:r w:rsidRPr="00DC55B0">
        <w:tab/>
        <w:t xml:space="preserve">D. Frenkel, L. Infectious diseases as a cause of global childhood mortality and morbidity: Progress in recognition, prevention, and treatment. </w:t>
      </w:r>
      <w:r w:rsidRPr="00DC55B0">
        <w:rPr>
          <w:i/>
          <w:iCs/>
        </w:rPr>
        <w:t>Adv. Pediatr. Res.</w:t>
      </w:r>
      <w:r w:rsidRPr="00DC55B0">
        <w:t xml:space="preserve"> (2018) doi:10.24105/apr.2018.5.14.</w:t>
      </w:r>
    </w:p>
    <w:p w14:paraId="790FA17C" w14:textId="77777777" w:rsidR="00FD1901" w:rsidRPr="00DC55B0" w:rsidRDefault="00FD1901" w:rsidP="00FD1901">
      <w:pPr>
        <w:pStyle w:val="Bibliography"/>
      </w:pPr>
      <w:r w:rsidRPr="00DC55B0">
        <w:t>66.</w:t>
      </w:r>
      <w:r w:rsidRPr="00DC55B0">
        <w:tab/>
        <w:t xml:space="preserve">Cohen, P. &amp; Scadron, S. J. THE PLACENTAL TRANSMISSION OF PROTECTIVE ANTIBODIES AGAINST WHOOPING COUGH: BY INOCULATION OF THE PREGNANT MOTHER. </w:t>
      </w:r>
      <w:r w:rsidRPr="00DC55B0">
        <w:rPr>
          <w:i/>
          <w:iCs/>
        </w:rPr>
        <w:t>J. Am. Med. Assoc.</w:t>
      </w:r>
      <w:r w:rsidRPr="00DC55B0">
        <w:t xml:space="preserve"> </w:t>
      </w:r>
      <w:r w:rsidRPr="00DC55B0">
        <w:rPr>
          <w:b/>
          <w:bCs/>
        </w:rPr>
        <w:t>121</w:t>
      </w:r>
      <w:r w:rsidRPr="00DC55B0">
        <w:t>, 656 (1943).</w:t>
      </w:r>
    </w:p>
    <w:p w14:paraId="67B30D27" w14:textId="77777777" w:rsidR="00FD1901" w:rsidRPr="00DC55B0" w:rsidRDefault="00FD1901" w:rsidP="00FD1901">
      <w:pPr>
        <w:pStyle w:val="Bibliography"/>
      </w:pPr>
      <w:r w:rsidRPr="00DC55B0">
        <w:t>67.</w:t>
      </w:r>
      <w:r w:rsidRPr="00DC55B0">
        <w:tab/>
        <w:t xml:space="preserve">Sawyer, M., Liang, J. L., Messonnier, N. &amp; Clark, T. A. Updated Recommendations for Use of Tetanus Toxoid, Reduced Diphtheria Toxoid, and Acellular Pertussis Vaccine (Tdap) in Pregnant Women — Advisory Committee on Immunization Practices (ACIP), 2012. </w:t>
      </w:r>
      <w:r w:rsidRPr="00DC55B0">
        <w:rPr>
          <w:i/>
          <w:iCs/>
        </w:rPr>
        <w:t>Morb. Mortal. Wkly. Rep.</w:t>
      </w:r>
      <w:r w:rsidRPr="00DC55B0">
        <w:t xml:space="preserve"> </w:t>
      </w:r>
      <w:r w:rsidRPr="00DC55B0">
        <w:rPr>
          <w:b/>
          <w:bCs/>
        </w:rPr>
        <w:t>62</w:t>
      </w:r>
      <w:r w:rsidRPr="00DC55B0">
        <w:t>, 131–135 (2013).</w:t>
      </w:r>
    </w:p>
    <w:p w14:paraId="5B0C7BCA" w14:textId="77777777" w:rsidR="00FD1901" w:rsidRPr="00DC55B0" w:rsidRDefault="00FD1901" w:rsidP="00FD1901">
      <w:pPr>
        <w:pStyle w:val="Bibliography"/>
      </w:pPr>
      <w:r w:rsidRPr="00DC55B0">
        <w:t>68.</w:t>
      </w:r>
      <w:r w:rsidRPr="00DC55B0">
        <w:tab/>
        <w:t xml:space="preserve">Grassly, N. C. </w:t>
      </w:r>
      <w:r w:rsidRPr="00DC55B0">
        <w:rPr>
          <w:i/>
          <w:iCs/>
        </w:rPr>
        <w:t>et al.</w:t>
      </w:r>
      <w:r w:rsidRPr="00DC55B0">
        <w:t xml:space="preserve"> Effect of maternal immunisation with multivalent vaccines containing inactivated poliovirus vaccine (IPV) on infant IPV immune response: A phase 4, multi-centre randomised trial. </w:t>
      </w:r>
      <w:r w:rsidRPr="00DC55B0">
        <w:rPr>
          <w:i/>
          <w:iCs/>
        </w:rPr>
        <w:t>Vaccine</w:t>
      </w:r>
      <w:r w:rsidRPr="00DC55B0">
        <w:t xml:space="preserve"> </w:t>
      </w:r>
      <w:r w:rsidRPr="00DC55B0">
        <w:rPr>
          <w:b/>
          <w:bCs/>
        </w:rPr>
        <w:t>41</w:t>
      </w:r>
      <w:r w:rsidRPr="00DC55B0">
        <w:t>, 1299–1302 (2023).</w:t>
      </w:r>
    </w:p>
    <w:p w14:paraId="08F5E06F" w14:textId="77777777" w:rsidR="00FD1901" w:rsidRPr="00DC55B0" w:rsidRDefault="00FD1901" w:rsidP="00FD1901">
      <w:pPr>
        <w:pStyle w:val="Bibliography"/>
      </w:pPr>
      <w:r w:rsidRPr="00DC55B0">
        <w:t>69.</w:t>
      </w:r>
      <w:r w:rsidRPr="00DC55B0">
        <w:tab/>
        <w:t xml:space="preserve">Wanlapakorn, N. </w:t>
      </w:r>
      <w:r w:rsidRPr="00DC55B0">
        <w:rPr>
          <w:i/>
          <w:iCs/>
        </w:rPr>
        <w:t>et al.</w:t>
      </w:r>
      <w:r w:rsidRPr="00DC55B0">
        <w:t xml:space="preserve"> Quantity and Quality of Antibodies After Acellular Versus Whole-cell Pertussis Vaccines in Infants Born to Mothers Who Received Tetanus, </w:t>
      </w:r>
      <w:r w:rsidRPr="00DC55B0">
        <w:lastRenderedPageBreak/>
        <w:t xml:space="preserve">Diphtheria, and Acellular Pertussis Vaccine During Pregnancy: A Randomized Trial. </w:t>
      </w:r>
      <w:r w:rsidRPr="00DC55B0">
        <w:rPr>
          <w:i/>
          <w:iCs/>
        </w:rPr>
        <w:t>Clin. Infect. Dis. Off. Publ. Infect. Dis. Soc. Am.</w:t>
      </w:r>
      <w:r w:rsidRPr="00DC55B0">
        <w:t xml:space="preserve"> </w:t>
      </w:r>
      <w:r w:rsidRPr="00DC55B0">
        <w:rPr>
          <w:b/>
          <w:bCs/>
        </w:rPr>
        <w:t>71</w:t>
      </w:r>
      <w:r w:rsidRPr="00DC55B0">
        <w:t>, 72–80 (2020).</w:t>
      </w:r>
    </w:p>
    <w:p w14:paraId="5BAFB2F4" w14:textId="77777777" w:rsidR="00FD1901" w:rsidRPr="00DC55B0" w:rsidRDefault="00FD1901" w:rsidP="00FD1901">
      <w:pPr>
        <w:pStyle w:val="Bibliography"/>
      </w:pPr>
      <w:r w:rsidRPr="00DC55B0">
        <w:t>70.</w:t>
      </w:r>
      <w:r w:rsidRPr="00DC55B0">
        <w:tab/>
        <w:t xml:space="preserve">Briga, M., Goult, E., Brett, T. S., Rohani, P. &amp; Domenech de Cellès, M. Maternal pertussis immunization and the blunting of routine vaccine effectiveness: a meta-analysis and modeling study. </w:t>
      </w:r>
      <w:r w:rsidRPr="00DC55B0">
        <w:rPr>
          <w:i/>
          <w:iCs/>
        </w:rPr>
        <w:t>Nat. Commun.</w:t>
      </w:r>
      <w:r w:rsidRPr="00DC55B0">
        <w:t xml:space="preserve"> </w:t>
      </w:r>
      <w:r w:rsidRPr="00DC55B0">
        <w:rPr>
          <w:b/>
          <w:bCs/>
        </w:rPr>
        <w:t>15</w:t>
      </w:r>
      <w:r w:rsidRPr="00DC55B0">
        <w:t>, 921 (2024).</w:t>
      </w:r>
    </w:p>
    <w:p w14:paraId="7E71100E" w14:textId="77777777" w:rsidR="00FD1901" w:rsidRPr="00DC55B0" w:rsidRDefault="00FD1901" w:rsidP="00FD1901">
      <w:pPr>
        <w:pStyle w:val="Bibliography"/>
      </w:pPr>
      <w:r w:rsidRPr="00DC55B0">
        <w:t>71.</w:t>
      </w:r>
      <w:r w:rsidRPr="00DC55B0">
        <w:tab/>
        <w:t xml:space="preserve">Sappenfield, E., Jamieson, D. J. &amp; Kourtis, A. P. Pregnancy and Susceptibility to Infectious Diseases. </w:t>
      </w:r>
      <w:r w:rsidRPr="00DC55B0">
        <w:rPr>
          <w:i/>
          <w:iCs/>
        </w:rPr>
        <w:t>Infect. Dis. Obstet. Gynecol.</w:t>
      </w:r>
      <w:r w:rsidRPr="00DC55B0">
        <w:t xml:space="preserve"> </w:t>
      </w:r>
      <w:r w:rsidRPr="00DC55B0">
        <w:rPr>
          <w:b/>
          <w:bCs/>
        </w:rPr>
        <w:t>2013</w:t>
      </w:r>
      <w:r w:rsidRPr="00DC55B0">
        <w:t>, 1–8 (2013).</w:t>
      </w:r>
    </w:p>
    <w:p w14:paraId="5281EBFC" w14:textId="77777777" w:rsidR="00FD1901" w:rsidRPr="00DC55B0" w:rsidRDefault="00FD1901" w:rsidP="00FD1901">
      <w:pPr>
        <w:pStyle w:val="Bibliography"/>
      </w:pPr>
      <w:r w:rsidRPr="00DC55B0">
        <w:t>72.</w:t>
      </w:r>
      <w:r w:rsidRPr="00DC55B0">
        <w:tab/>
        <w:t xml:space="preserve">Omer, S. B. </w:t>
      </w:r>
      <w:r w:rsidRPr="00DC55B0">
        <w:rPr>
          <w:i/>
          <w:iCs/>
        </w:rPr>
        <w:t>et al.</w:t>
      </w:r>
      <w:r w:rsidRPr="00DC55B0">
        <w:t xml:space="preserve"> Maternal Influenza Immunization and Reduced Likelihood of Prematurity and Small for Gestational Age Births: A Retrospective Cohort Study. </w:t>
      </w:r>
      <w:r w:rsidRPr="00DC55B0">
        <w:rPr>
          <w:i/>
          <w:iCs/>
        </w:rPr>
        <w:t>PLOS Med.</w:t>
      </w:r>
      <w:r w:rsidRPr="00DC55B0">
        <w:t xml:space="preserve"> </w:t>
      </w:r>
      <w:r w:rsidRPr="00DC55B0">
        <w:rPr>
          <w:b/>
          <w:bCs/>
        </w:rPr>
        <w:t>8</w:t>
      </w:r>
      <w:r w:rsidRPr="00DC55B0">
        <w:t>, e1000441 (2011).</w:t>
      </w:r>
    </w:p>
    <w:p w14:paraId="5D4708F9" w14:textId="77777777" w:rsidR="00FD1901" w:rsidRPr="00DC55B0" w:rsidRDefault="00FD1901" w:rsidP="00FD1901">
      <w:pPr>
        <w:pStyle w:val="Bibliography"/>
      </w:pPr>
      <w:r w:rsidRPr="00DC55B0">
        <w:t>73.</w:t>
      </w:r>
      <w:r w:rsidRPr="00DC55B0">
        <w:tab/>
        <w:t xml:space="preserve">Eick, A. A. </w:t>
      </w:r>
      <w:r w:rsidRPr="00DC55B0">
        <w:rPr>
          <w:i/>
          <w:iCs/>
        </w:rPr>
        <w:t>et al.</w:t>
      </w:r>
      <w:r w:rsidRPr="00DC55B0">
        <w:t xml:space="preserve"> Maternal influenza vaccination and effect on influenza virus infection in young infants. </w:t>
      </w:r>
      <w:r w:rsidRPr="00DC55B0">
        <w:rPr>
          <w:i/>
          <w:iCs/>
        </w:rPr>
        <w:t>Arch. Pediatr. Adolesc. Med.</w:t>
      </w:r>
      <w:r w:rsidRPr="00DC55B0">
        <w:t xml:space="preserve"> </w:t>
      </w:r>
      <w:r w:rsidRPr="00DC55B0">
        <w:rPr>
          <w:b/>
          <w:bCs/>
        </w:rPr>
        <w:t>165</w:t>
      </w:r>
      <w:r w:rsidRPr="00DC55B0">
        <w:t>, 104–111 (2011).</w:t>
      </w:r>
    </w:p>
    <w:p w14:paraId="09301DEA" w14:textId="77777777" w:rsidR="00FD1901" w:rsidRPr="00DC55B0" w:rsidRDefault="00FD1901" w:rsidP="00FD1901">
      <w:pPr>
        <w:pStyle w:val="Bibliography"/>
      </w:pPr>
      <w:r w:rsidRPr="00DC55B0">
        <w:t>74.</w:t>
      </w:r>
      <w:r w:rsidRPr="00DC55B0">
        <w:tab/>
        <w:t xml:space="preserve">Dabrera, G. </w:t>
      </w:r>
      <w:r w:rsidRPr="00DC55B0">
        <w:rPr>
          <w:i/>
          <w:iCs/>
        </w:rPr>
        <w:t>et al.</w:t>
      </w:r>
      <w:r w:rsidRPr="00DC55B0">
        <w:t xml:space="preserve"> Effectiveness of seasonal influenza vaccination during pregnancy in preventing influenza infection in infants, England, 2013/14. </w:t>
      </w:r>
      <w:r w:rsidRPr="00DC55B0">
        <w:rPr>
          <w:i/>
          <w:iCs/>
        </w:rPr>
        <w:t>Eurosurveillance</w:t>
      </w:r>
      <w:r w:rsidRPr="00DC55B0">
        <w:t xml:space="preserve"> </w:t>
      </w:r>
      <w:r w:rsidRPr="00DC55B0">
        <w:rPr>
          <w:b/>
          <w:bCs/>
        </w:rPr>
        <w:t>19</w:t>
      </w:r>
      <w:r w:rsidRPr="00DC55B0">
        <w:t>, 20959 (2014).</w:t>
      </w:r>
    </w:p>
    <w:p w14:paraId="15F84B3D" w14:textId="77777777" w:rsidR="00FD1901" w:rsidRPr="00DC55B0" w:rsidRDefault="00FD1901" w:rsidP="00FD1901">
      <w:pPr>
        <w:pStyle w:val="Bibliography"/>
      </w:pPr>
      <w:r w:rsidRPr="00DC55B0">
        <w:t>75.</w:t>
      </w:r>
      <w:r w:rsidRPr="00DC55B0">
        <w:tab/>
        <w:t xml:space="preserve">Benowitz, I., Esposito, D. B., Gracey, K. D., Shapiro, E. D. &amp; Vázquez, M. Influenza Vaccine Given to Pregnant Women Reduces Hospitalization Due to Influenza in Their Infants. </w:t>
      </w:r>
      <w:r w:rsidRPr="00DC55B0">
        <w:rPr>
          <w:i/>
          <w:iCs/>
        </w:rPr>
        <w:t>Clin. Infect. Dis.</w:t>
      </w:r>
      <w:r w:rsidRPr="00DC55B0">
        <w:t xml:space="preserve"> </w:t>
      </w:r>
      <w:r w:rsidRPr="00DC55B0">
        <w:rPr>
          <w:b/>
          <w:bCs/>
        </w:rPr>
        <w:t>51</w:t>
      </w:r>
      <w:r w:rsidRPr="00DC55B0">
        <w:t>, 1355–1361 (2010).</w:t>
      </w:r>
    </w:p>
    <w:p w14:paraId="716B2399" w14:textId="77777777" w:rsidR="00FD1901" w:rsidRPr="00DC55B0" w:rsidRDefault="00FD1901" w:rsidP="00FD1901">
      <w:pPr>
        <w:pStyle w:val="Bibliography"/>
      </w:pPr>
      <w:r w:rsidRPr="00DC55B0">
        <w:t>76.</w:t>
      </w:r>
      <w:r w:rsidRPr="00DC55B0">
        <w:tab/>
        <w:t xml:space="preserve">Poehling, K. A. </w:t>
      </w:r>
      <w:r w:rsidRPr="00DC55B0">
        <w:rPr>
          <w:i/>
          <w:iCs/>
        </w:rPr>
        <w:t>et al.</w:t>
      </w:r>
      <w:r w:rsidRPr="00DC55B0">
        <w:t xml:space="preserve"> Impact of maternal immunization on influenza hospitalizations in infants. </w:t>
      </w:r>
      <w:r w:rsidRPr="00DC55B0">
        <w:rPr>
          <w:i/>
          <w:iCs/>
        </w:rPr>
        <w:t>Am. J. Obstet. Gynecol.</w:t>
      </w:r>
      <w:r w:rsidRPr="00DC55B0">
        <w:t xml:space="preserve"> </w:t>
      </w:r>
      <w:r w:rsidRPr="00DC55B0">
        <w:rPr>
          <w:b/>
          <w:bCs/>
        </w:rPr>
        <w:t>204</w:t>
      </w:r>
      <w:r w:rsidRPr="00DC55B0">
        <w:t>, S141-148 (2011).</w:t>
      </w:r>
    </w:p>
    <w:p w14:paraId="36418684" w14:textId="77777777" w:rsidR="00FD1901" w:rsidRPr="00DC55B0" w:rsidRDefault="00FD1901" w:rsidP="00FD1901">
      <w:pPr>
        <w:pStyle w:val="Bibliography"/>
      </w:pPr>
      <w:r w:rsidRPr="00DC55B0">
        <w:t>77.</w:t>
      </w:r>
      <w:r w:rsidRPr="00DC55B0">
        <w:tab/>
        <w:t xml:space="preserve">Carlsen, E. Ø. </w:t>
      </w:r>
      <w:r w:rsidRPr="00DC55B0">
        <w:rPr>
          <w:i/>
          <w:iCs/>
        </w:rPr>
        <w:t>et al.</w:t>
      </w:r>
      <w:r w:rsidRPr="00DC55B0">
        <w:t xml:space="preserve"> Association of COVID-19 Vaccination During Pregnancy With Incidence of SARS-CoV-2 Infection in Infants. </w:t>
      </w:r>
      <w:r w:rsidRPr="00DC55B0">
        <w:rPr>
          <w:i/>
          <w:iCs/>
        </w:rPr>
        <w:t>JAMA Intern. Med.</w:t>
      </w:r>
      <w:r w:rsidRPr="00DC55B0">
        <w:t xml:space="preserve"> </w:t>
      </w:r>
      <w:r w:rsidRPr="00DC55B0">
        <w:rPr>
          <w:b/>
          <w:bCs/>
        </w:rPr>
        <w:t>182</w:t>
      </w:r>
      <w:r w:rsidRPr="00DC55B0">
        <w:t>, 825–831 (2022).</w:t>
      </w:r>
    </w:p>
    <w:p w14:paraId="0AD23904" w14:textId="77777777" w:rsidR="00FD1901" w:rsidRPr="00DC55B0" w:rsidRDefault="00FD1901" w:rsidP="00FD1901">
      <w:pPr>
        <w:pStyle w:val="Bibliography"/>
      </w:pPr>
      <w:r w:rsidRPr="00DC55B0">
        <w:t>78.</w:t>
      </w:r>
      <w:r w:rsidRPr="00DC55B0">
        <w:tab/>
        <w:t xml:space="preserve">Guedalia, J. </w:t>
      </w:r>
      <w:r w:rsidRPr="00DC55B0">
        <w:rPr>
          <w:i/>
          <w:iCs/>
        </w:rPr>
        <w:t>et al.</w:t>
      </w:r>
      <w:r w:rsidRPr="00DC55B0">
        <w:t xml:space="preserve"> Effectiveness of a third BNT162b2 mRNA COVID-19 vaccination during pregnancy: a national observational study in Israel. </w:t>
      </w:r>
      <w:r w:rsidRPr="00DC55B0">
        <w:rPr>
          <w:i/>
          <w:iCs/>
        </w:rPr>
        <w:t>Nat. Commun.</w:t>
      </w:r>
      <w:r w:rsidRPr="00DC55B0">
        <w:t xml:space="preserve"> </w:t>
      </w:r>
      <w:r w:rsidRPr="00DC55B0">
        <w:rPr>
          <w:b/>
          <w:bCs/>
        </w:rPr>
        <w:t>13</w:t>
      </w:r>
      <w:r w:rsidRPr="00DC55B0">
        <w:t>, 6961 (2022).</w:t>
      </w:r>
    </w:p>
    <w:p w14:paraId="3DE217BC" w14:textId="77777777" w:rsidR="00FD1901" w:rsidRPr="00DC55B0" w:rsidRDefault="00FD1901" w:rsidP="00FD1901">
      <w:pPr>
        <w:pStyle w:val="Bibliography"/>
      </w:pPr>
      <w:r w:rsidRPr="00DC55B0">
        <w:t>79.</w:t>
      </w:r>
      <w:r w:rsidRPr="00DC55B0">
        <w:tab/>
        <w:t xml:space="preserve">Halasa, N. B. </w:t>
      </w:r>
      <w:r w:rsidRPr="00DC55B0">
        <w:rPr>
          <w:i/>
          <w:iCs/>
        </w:rPr>
        <w:t>et al.</w:t>
      </w:r>
      <w:r w:rsidRPr="00DC55B0">
        <w:t xml:space="preserve"> Effectiveness of Maternal Vaccination with mRNA COVID-19 Vaccine During Pregnancy Against COVID-19-Associated Hospitalization in Infants Aged &lt;6 Months - 17 States, July 2021-January 2022. </w:t>
      </w:r>
      <w:r w:rsidRPr="00DC55B0">
        <w:rPr>
          <w:i/>
          <w:iCs/>
        </w:rPr>
        <w:t>MMWR Morb. Mortal. Wkly. Rep.</w:t>
      </w:r>
      <w:r w:rsidRPr="00DC55B0">
        <w:t xml:space="preserve"> </w:t>
      </w:r>
      <w:r w:rsidRPr="00DC55B0">
        <w:rPr>
          <w:b/>
          <w:bCs/>
        </w:rPr>
        <w:t>71</w:t>
      </w:r>
      <w:r w:rsidRPr="00DC55B0">
        <w:t>, 264–270 (2022).</w:t>
      </w:r>
    </w:p>
    <w:p w14:paraId="25B55380" w14:textId="77777777" w:rsidR="00FD1901" w:rsidRPr="00DC55B0" w:rsidRDefault="00FD1901" w:rsidP="00FD1901">
      <w:pPr>
        <w:pStyle w:val="Bibliography"/>
      </w:pPr>
      <w:r w:rsidRPr="00DC55B0">
        <w:t>80.</w:t>
      </w:r>
      <w:r w:rsidRPr="00DC55B0">
        <w:tab/>
        <w:t xml:space="preserve">Danino, D. </w:t>
      </w:r>
      <w:r w:rsidRPr="00DC55B0">
        <w:rPr>
          <w:i/>
          <w:iCs/>
        </w:rPr>
        <w:t>et al.</w:t>
      </w:r>
      <w:r w:rsidRPr="00DC55B0">
        <w:t xml:space="preserve"> Effectiveness of BNT162b2 Vaccination During Pregnancy in Preventing Hospitalization for Severe Acute Respiratory Syndrome Coronavirus 2 in Infants. </w:t>
      </w:r>
      <w:r w:rsidRPr="00DC55B0">
        <w:rPr>
          <w:i/>
          <w:iCs/>
        </w:rPr>
        <w:t>J. Pediatr.</w:t>
      </w:r>
      <w:r w:rsidRPr="00DC55B0">
        <w:t xml:space="preserve"> </w:t>
      </w:r>
      <w:r w:rsidRPr="00DC55B0">
        <w:rPr>
          <w:b/>
          <w:bCs/>
        </w:rPr>
        <w:t>254</w:t>
      </w:r>
      <w:r w:rsidRPr="00DC55B0">
        <w:t>, 48-53.e1 (2023).</w:t>
      </w:r>
    </w:p>
    <w:p w14:paraId="385124ED" w14:textId="77777777" w:rsidR="00FD1901" w:rsidRPr="00DC55B0" w:rsidRDefault="00FD1901" w:rsidP="00FD1901">
      <w:pPr>
        <w:pStyle w:val="Bibliography"/>
      </w:pPr>
      <w:r w:rsidRPr="00DC55B0">
        <w:t>81.</w:t>
      </w:r>
      <w:r w:rsidRPr="00DC55B0">
        <w:tab/>
        <w:t xml:space="preserve">Wilde, H. </w:t>
      </w:r>
      <w:r w:rsidRPr="00DC55B0">
        <w:rPr>
          <w:i/>
          <w:iCs/>
        </w:rPr>
        <w:t>et al.</w:t>
      </w:r>
      <w:r w:rsidRPr="00DC55B0">
        <w:t xml:space="preserve"> Hospital admissions linked to SARS-CoV-2 infection in children and adolescents: cohort study of 3.2 million first ascertained infections in England. </w:t>
      </w:r>
      <w:r w:rsidRPr="00DC55B0">
        <w:rPr>
          <w:i/>
          <w:iCs/>
        </w:rPr>
        <w:t>BMJ</w:t>
      </w:r>
      <w:r w:rsidRPr="00DC55B0">
        <w:t xml:space="preserve"> </w:t>
      </w:r>
      <w:r w:rsidRPr="00DC55B0">
        <w:rPr>
          <w:b/>
          <w:bCs/>
        </w:rPr>
        <w:t>382</w:t>
      </w:r>
      <w:r w:rsidRPr="00DC55B0">
        <w:t>, e073639 (2023).</w:t>
      </w:r>
    </w:p>
    <w:p w14:paraId="1C026042" w14:textId="77777777" w:rsidR="00FD1901" w:rsidRPr="00DC55B0" w:rsidRDefault="00FD1901" w:rsidP="00FD1901">
      <w:pPr>
        <w:pStyle w:val="Bibliography"/>
      </w:pPr>
      <w:r w:rsidRPr="00DC55B0">
        <w:t>82.</w:t>
      </w:r>
      <w:r w:rsidRPr="00DC55B0">
        <w:tab/>
        <w:t xml:space="preserve">Havers, F. P. COVID-19–Associated Hospitalizations and Maternal Vaccination Among Infants Aged 6 Months — COVID-NET, 12 States, October 2022–April 2024. </w:t>
      </w:r>
      <w:r w:rsidRPr="00DC55B0">
        <w:rPr>
          <w:i/>
          <w:iCs/>
        </w:rPr>
        <w:t>MMWR Morb. Mortal. Wkly. Rep.</w:t>
      </w:r>
      <w:r w:rsidRPr="00DC55B0">
        <w:t xml:space="preserve"> </w:t>
      </w:r>
      <w:r w:rsidRPr="00DC55B0">
        <w:rPr>
          <w:b/>
          <w:bCs/>
        </w:rPr>
        <w:t>73</w:t>
      </w:r>
      <w:r w:rsidRPr="00DC55B0">
        <w:t>, (2024).</w:t>
      </w:r>
    </w:p>
    <w:p w14:paraId="22337462" w14:textId="77777777" w:rsidR="00FD1901" w:rsidRPr="00DC55B0" w:rsidRDefault="00FD1901" w:rsidP="00FD1901">
      <w:pPr>
        <w:pStyle w:val="Bibliography"/>
      </w:pPr>
      <w:r w:rsidRPr="00DC55B0">
        <w:t>83.</w:t>
      </w:r>
      <w:r w:rsidRPr="00DC55B0">
        <w:tab/>
        <w:t xml:space="preserve">CDC. Flu Vaccine Safety and Pregnancy. </w:t>
      </w:r>
      <w:r w:rsidRPr="00DC55B0">
        <w:rPr>
          <w:i/>
          <w:iCs/>
        </w:rPr>
        <w:t>Influenza (Flu)</w:t>
      </w:r>
      <w:r w:rsidRPr="00DC55B0">
        <w:t xml:space="preserve"> https://www.cdc.gov/flu/vaccine-safety/vaccine-pregnant.html (2025).</w:t>
      </w:r>
    </w:p>
    <w:p w14:paraId="2B04941E" w14:textId="77777777" w:rsidR="00FD1901" w:rsidRPr="00DC55B0" w:rsidRDefault="00FD1901" w:rsidP="00FD1901">
      <w:pPr>
        <w:pStyle w:val="Bibliography"/>
      </w:pPr>
      <w:r w:rsidRPr="00DC55B0">
        <w:t>84.</w:t>
      </w:r>
      <w:r w:rsidRPr="00DC55B0">
        <w:tab/>
        <w:t>Australian Government Department of Health and Aged Care. Therapeutic Goods Administration. Public Summary. VAXIGRIP TETRA Inactivated Quadrivalent Influenza Vaccine (Split Virion) influenza virus HA 60 mcg 0.5 mL suspension for injection PFS needle free. https://www.ebs.tga.gov.au/servlet/xmlmillr6?dbid=ebs/PublicHTML/pdfStore.nsf&amp;docid=299922&amp;agid=%28PrintDetailsPublic%29&amp;actionid=1.</w:t>
      </w:r>
    </w:p>
    <w:p w14:paraId="69B3056F" w14:textId="77777777" w:rsidR="00FD1901" w:rsidRPr="00DC55B0" w:rsidRDefault="00FD1901" w:rsidP="00FD1901">
      <w:pPr>
        <w:pStyle w:val="Bibliography"/>
      </w:pPr>
      <w:r w:rsidRPr="00DC55B0">
        <w:lastRenderedPageBreak/>
        <w:t>85.</w:t>
      </w:r>
      <w:r w:rsidRPr="00DC55B0">
        <w:tab/>
        <w:t xml:space="preserve">Stevens, C. E., Beasley, R. P., Tsui, J. &amp; Lee, W.-C. Vertical Transmission of Hepatitis B Antigen in Taiwan. </w:t>
      </w:r>
      <w:r w:rsidRPr="00DC55B0">
        <w:rPr>
          <w:i/>
          <w:iCs/>
        </w:rPr>
        <w:t>N. Engl. J. Med.</w:t>
      </w:r>
      <w:r w:rsidRPr="00DC55B0">
        <w:t xml:space="preserve"> </w:t>
      </w:r>
      <w:r w:rsidRPr="00DC55B0">
        <w:rPr>
          <w:b/>
          <w:bCs/>
        </w:rPr>
        <w:t>292</w:t>
      </w:r>
      <w:r w:rsidRPr="00DC55B0">
        <w:t>, 771–774 (1975).</w:t>
      </w:r>
    </w:p>
    <w:p w14:paraId="13E4588E" w14:textId="77777777" w:rsidR="00FD1901" w:rsidRPr="00DC55B0" w:rsidRDefault="00FD1901" w:rsidP="00FD1901">
      <w:pPr>
        <w:pStyle w:val="Bibliography"/>
      </w:pPr>
      <w:r w:rsidRPr="00DC55B0">
        <w:t>86.</w:t>
      </w:r>
      <w:r w:rsidRPr="00DC55B0">
        <w:tab/>
        <w:t xml:space="preserve">Stevens, C. E. </w:t>
      </w:r>
      <w:r w:rsidRPr="00DC55B0">
        <w:rPr>
          <w:i/>
          <w:iCs/>
        </w:rPr>
        <w:t>et al.</w:t>
      </w:r>
      <w:r w:rsidRPr="00DC55B0">
        <w:t xml:space="preserve"> Perinatal hepatitis B virus transmission in the United States. Prevention by passive-active immunization. </w:t>
      </w:r>
      <w:r w:rsidRPr="00DC55B0">
        <w:rPr>
          <w:i/>
          <w:iCs/>
        </w:rPr>
        <w:t>JAMA</w:t>
      </w:r>
      <w:r w:rsidRPr="00DC55B0">
        <w:t xml:space="preserve"> </w:t>
      </w:r>
      <w:r w:rsidRPr="00DC55B0">
        <w:rPr>
          <w:b/>
          <w:bCs/>
        </w:rPr>
        <w:t>253</w:t>
      </w:r>
      <w:r w:rsidRPr="00DC55B0">
        <w:t>, 1740–1745 (1985).</w:t>
      </w:r>
    </w:p>
    <w:p w14:paraId="3A260246" w14:textId="77777777" w:rsidR="00FD1901" w:rsidRPr="00DC55B0" w:rsidRDefault="00FD1901" w:rsidP="00FD1901">
      <w:pPr>
        <w:pStyle w:val="Bibliography"/>
      </w:pPr>
      <w:r w:rsidRPr="00DC55B0">
        <w:t>87.</w:t>
      </w:r>
      <w:r w:rsidRPr="00DC55B0">
        <w:tab/>
        <w:t>Global hepatitis report, 2017. https://www.who.int/publications/i/item/9789241565455.</w:t>
      </w:r>
    </w:p>
    <w:p w14:paraId="5F32043B" w14:textId="77777777" w:rsidR="00FD1901" w:rsidRPr="00DC55B0" w:rsidRDefault="00FD1901" w:rsidP="00FD1901">
      <w:pPr>
        <w:pStyle w:val="Bibliography"/>
      </w:pPr>
      <w:r w:rsidRPr="00DC55B0">
        <w:t>88.</w:t>
      </w:r>
      <w:r w:rsidRPr="00DC55B0">
        <w:tab/>
        <w:t xml:space="preserve">Eke, A. C., Eke, U. A. &amp; Uchenna, E. Hepatitis B immunoglobulin during pregnancy for the prevention of mother to child transmission of hepatitis B virus. </w:t>
      </w:r>
      <w:r w:rsidRPr="00DC55B0">
        <w:rPr>
          <w:i/>
          <w:iCs/>
        </w:rPr>
        <w:t>Cochrane Database Syst. Rev.</w:t>
      </w:r>
      <w:r w:rsidRPr="00DC55B0">
        <w:t xml:space="preserve"> (2010) doi:10.1002/14651858.CD008545.</w:t>
      </w:r>
    </w:p>
    <w:p w14:paraId="1CD92C3E" w14:textId="77777777" w:rsidR="00FD1901" w:rsidRPr="00DC55B0" w:rsidRDefault="00FD1901" w:rsidP="00FD1901">
      <w:pPr>
        <w:pStyle w:val="Bibliography"/>
      </w:pPr>
      <w:r w:rsidRPr="00DC55B0">
        <w:t>89.</w:t>
      </w:r>
      <w:r w:rsidRPr="00DC55B0">
        <w:tab/>
        <w:t xml:space="preserve">Lee, C., Gong, Y., Brok, J., Boxall, E. H. &amp; Gluud, C. Hepatitis B immunisation for newborn infants of hepatitis B surface antigen-positive mothers. </w:t>
      </w:r>
      <w:r w:rsidRPr="00DC55B0">
        <w:rPr>
          <w:i/>
          <w:iCs/>
        </w:rPr>
        <w:t>Cochrane Database Syst. Rev.</w:t>
      </w:r>
      <w:r w:rsidRPr="00DC55B0">
        <w:t xml:space="preserve"> (2006) doi:10.1002/14651858.CD004790.pub2.</w:t>
      </w:r>
    </w:p>
    <w:p w14:paraId="52831413" w14:textId="77777777" w:rsidR="00FD1901" w:rsidRPr="00DC55B0" w:rsidRDefault="00FD1901" w:rsidP="00FD1901">
      <w:pPr>
        <w:pStyle w:val="Bibliography"/>
      </w:pPr>
      <w:r w:rsidRPr="00DC55B0">
        <w:t>90.</w:t>
      </w:r>
      <w:r w:rsidRPr="00DC55B0">
        <w:tab/>
        <w:t xml:space="preserve">Lewis, E. </w:t>
      </w:r>
      <w:r w:rsidRPr="00DC55B0">
        <w:rPr>
          <w:i/>
          <w:iCs/>
        </w:rPr>
        <w:t>et al.</w:t>
      </w:r>
      <w:r w:rsidRPr="00DC55B0">
        <w:t xml:space="preserve"> Safety of neonatal hepatitis B vaccine administration. </w:t>
      </w:r>
      <w:r w:rsidRPr="00DC55B0">
        <w:rPr>
          <w:i/>
          <w:iCs/>
        </w:rPr>
        <w:t>Pediatr. Infect. Dis. J.</w:t>
      </w:r>
      <w:r w:rsidRPr="00DC55B0">
        <w:t xml:space="preserve"> </w:t>
      </w:r>
      <w:r w:rsidRPr="00DC55B0">
        <w:rPr>
          <w:b/>
          <w:bCs/>
        </w:rPr>
        <w:t>20</w:t>
      </w:r>
      <w:r w:rsidRPr="00DC55B0">
        <w:t>, 1049–1054 (2001).</w:t>
      </w:r>
    </w:p>
    <w:p w14:paraId="09A5F6AC" w14:textId="77777777" w:rsidR="00FD1901" w:rsidRPr="00DC55B0" w:rsidRDefault="00FD1901" w:rsidP="00FD1901">
      <w:pPr>
        <w:pStyle w:val="Bibliography"/>
      </w:pPr>
      <w:r w:rsidRPr="00DC55B0">
        <w:t>91.</w:t>
      </w:r>
      <w:r w:rsidRPr="00DC55B0">
        <w:tab/>
        <w:t xml:space="preserve">Eriksen, E. M. </w:t>
      </w:r>
      <w:r w:rsidRPr="00DC55B0">
        <w:rPr>
          <w:i/>
          <w:iCs/>
        </w:rPr>
        <w:t>et al.</w:t>
      </w:r>
      <w:r w:rsidRPr="00DC55B0">
        <w:t xml:space="preserve"> Lack of association between hepatitis B birth immunization and neonatal death: a population-based study from the vaccine safety datalink project. </w:t>
      </w:r>
      <w:r w:rsidRPr="00DC55B0">
        <w:rPr>
          <w:i/>
          <w:iCs/>
        </w:rPr>
        <w:t>Pediatr. Infect. Dis. J.</w:t>
      </w:r>
      <w:r w:rsidRPr="00DC55B0">
        <w:t xml:space="preserve"> </w:t>
      </w:r>
      <w:r w:rsidRPr="00DC55B0">
        <w:rPr>
          <w:b/>
          <w:bCs/>
        </w:rPr>
        <w:t>23</w:t>
      </w:r>
      <w:r w:rsidRPr="00DC55B0">
        <w:t>, 656–662 (2004).</w:t>
      </w:r>
    </w:p>
    <w:p w14:paraId="3EF4C8D3" w14:textId="77777777" w:rsidR="00FD1901" w:rsidRPr="00DC55B0" w:rsidRDefault="00FD1901" w:rsidP="00FD1901">
      <w:pPr>
        <w:pStyle w:val="Bibliography"/>
      </w:pPr>
      <w:r w:rsidRPr="00DC55B0">
        <w:t>92.</w:t>
      </w:r>
      <w:r w:rsidRPr="00DC55B0">
        <w:tab/>
        <w:t xml:space="preserve">Which countries include hepatitis B birth dose vaccines in their vaccination schedules? </w:t>
      </w:r>
      <w:r w:rsidRPr="00DC55B0">
        <w:rPr>
          <w:i/>
          <w:iCs/>
        </w:rPr>
        <w:t>Our World in Data</w:t>
      </w:r>
      <w:r w:rsidRPr="00DC55B0">
        <w:t xml:space="preserve"> https://ourworldindata.org/grapher/hepatitis-b-birth-dose-vaccine-immunization-schedule.</w:t>
      </w:r>
    </w:p>
    <w:p w14:paraId="4FC9242A" w14:textId="77777777" w:rsidR="00FD1901" w:rsidRPr="00DC55B0" w:rsidRDefault="00FD1901" w:rsidP="00FD1901">
      <w:pPr>
        <w:pStyle w:val="Bibliography"/>
      </w:pPr>
      <w:r w:rsidRPr="00DC55B0">
        <w:t>93.</w:t>
      </w:r>
      <w:r w:rsidRPr="00DC55B0">
        <w:tab/>
        <w:t xml:space="preserve">Jonas, M. M. </w:t>
      </w:r>
      <w:r w:rsidRPr="00DC55B0">
        <w:rPr>
          <w:i/>
          <w:iCs/>
        </w:rPr>
        <w:t>et al.</w:t>
      </w:r>
      <w:r w:rsidRPr="00DC55B0">
        <w:t xml:space="preserve"> Failure of Centers for Disease Control criteria to identify hepatitis B infection in a large municipal obstetrical population. </w:t>
      </w:r>
      <w:r w:rsidRPr="00DC55B0">
        <w:rPr>
          <w:i/>
          <w:iCs/>
        </w:rPr>
        <w:t>Ann. Intern. Med.</w:t>
      </w:r>
      <w:r w:rsidRPr="00DC55B0">
        <w:t xml:space="preserve"> </w:t>
      </w:r>
      <w:r w:rsidRPr="00DC55B0">
        <w:rPr>
          <w:b/>
          <w:bCs/>
        </w:rPr>
        <w:t>107</w:t>
      </w:r>
      <w:r w:rsidRPr="00DC55B0">
        <w:t>, 335–337 (1987).</w:t>
      </w:r>
    </w:p>
    <w:p w14:paraId="727D2D1B" w14:textId="77777777" w:rsidR="00FD1901" w:rsidRPr="00DC55B0" w:rsidRDefault="00FD1901" w:rsidP="00FD1901">
      <w:pPr>
        <w:pStyle w:val="Bibliography"/>
      </w:pPr>
      <w:r w:rsidRPr="00DC55B0">
        <w:t>94.</w:t>
      </w:r>
      <w:r w:rsidRPr="00DC55B0">
        <w:tab/>
        <w:t xml:space="preserve">Kumar, M. L. </w:t>
      </w:r>
      <w:r w:rsidRPr="00DC55B0">
        <w:rPr>
          <w:i/>
          <w:iCs/>
        </w:rPr>
        <w:t>et al.</w:t>
      </w:r>
      <w:r w:rsidRPr="00DC55B0">
        <w:t xml:space="preserve"> Should all pregnant women be screened for hepatitis B? </w:t>
      </w:r>
      <w:r w:rsidRPr="00DC55B0">
        <w:rPr>
          <w:i/>
          <w:iCs/>
        </w:rPr>
        <w:t>Ann. Intern. Med.</w:t>
      </w:r>
      <w:r w:rsidRPr="00DC55B0">
        <w:t xml:space="preserve"> </w:t>
      </w:r>
      <w:r w:rsidRPr="00DC55B0">
        <w:rPr>
          <w:b/>
          <w:bCs/>
        </w:rPr>
        <w:t>107</w:t>
      </w:r>
      <w:r w:rsidRPr="00DC55B0">
        <w:t>, 273–277 (1987).</w:t>
      </w:r>
    </w:p>
    <w:p w14:paraId="47385A72" w14:textId="77777777" w:rsidR="00FD1901" w:rsidRPr="00DC55B0" w:rsidRDefault="00FD1901" w:rsidP="00FD1901">
      <w:pPr>
        <w:pStyle w:val="Bibliography"/>
      </w:pPr>
      <w:r w:rsidRPr="00DC55B0">
        <w:t>95.</w:t>
      </w:r>
      <w:r w:rsidRPr="00DC55B0">
        <w:tab/>
        <w:t>Polio vaccines: WHO position paper – June 2022. https://www.who.int/publications/i/item/WHO-WER9725-277-300.</w:t>
      </w:r>
    </w:p>
    <w:p w14:paraId="57F2A825" w14:textId="77777777" w:rsidR="00FD1901" w:rsidRPr="00DC55B0" w:rsidRDefault="00FD1901" w:rsidP="00FD1901">
      <w:pPr>
        <w:pStyle w:val="Bibliography"/>
      </w:pPr>
      <w:r w:rsidRPr="00DC55B0">
        <w:t>96.</w:t>
      </w:r>
      <w:r w:rsidRPr="00DC55B0">
        <w:tab/>
        <w:t>BCG vaccines: WHO position paper – February 2018 – Vaccins BCG: Note de synthèse de l’OMS – Février 2018. https://www.who.int/publications/i/item/who-wer9308-73-96.</w:t>
      </w:r>
    </w:p>
    <w:p w14:paraId="13298064" w14:textId="77777777" w:rsidR="00FD1901" w:rsidRPr="00DC55B0" w:rsidRDefault="00FD1901" w:rsidP="00FD1901">
      <w:pPr>
        <w:pStyle w:val="Bibliography"/>
      </w:pPr>
      <w:r w:rsidRPr="00DC55B0">
        <w:t>97.</w:t>
      </w:r>
      <w:r w:rsidRPr="00DC55B0">
        <w:tab/>
        <w:t xml:space="preserve">Martinez, L. </w:t>
      </w:r>
      <w:r w:rsidRPr="00DC55B0">
        <w:rPr>
          <w:i/>
          <w:iCs/>
        </w:rPr>
        <w:t>et al.</w:t>
      </w:r>
      <w:r w:rsidRPr="00DC55B0">
        <w:t xml:space="preserve"> Infant BCG vaccination and risk of pulmonary and extrapulmonary tuberculosis throughout the life course: a systematic review and individual participant data meta-analysis. </w:t>
      </w:r>
      <w:r w:rsidRPr="00DC55B0">
        <w:rPr>
          <w:i/>
          <w:iCs/>
        </w:rPr>
        <w:t>Lancet Glob. Health</w:t>
      </w:r>
      <w:r w:rsidRPr="00DC55B0">
        <w:t xml:space="preserve"> </w:t>
      </w:r>
      <w:r w:rsidRPr="00DC55B0">
        <w:rPr>
          <w:b/>
          <w:bCs/>
        </w:rPr>
        <w:t>10</w:t>
      </w:r>
      <w:r w:rsidRPr="00DC55B0">
        <w:t>, e1307–e1316 (2022).</w:t>
      </w:r>
    </w:p>
    <w:p w14:paraId="3A2F33DA" w14:textId="77777777" w:rsidR="00FD1901" w:rsidRPr="00DC55B0" w:rsidRDefault="00FD1901" w:rsidP="00FD1901">
      <w:pPr>
        <w:pStyle w:val="Bibliography"/>
      </w:pPr>
      <w:r w:rsidRPr="00DC55B0">
        <w:t>98.</w:t>
      </w:r>
      <w:r w:rsidRPr="00DC55B0">
        <w:tab/>
        <w:t xml:space="preserve">Dong, D. X. </w:t>
      </w:r>
      <w:r w:rsidRPr="00DC55B0">
        <w:rPr>
          <w:i/>
          <w:iCs/>
        </w:rPr>
        <w:t>et al.</w:t>
      </w:r>
      <w:r w:rsidRPr="00DC55B0">
        <w:t xml:space="preserve"> Immunization of neonates with trivalent oral poliomyelitis vaccine (Sabin). </w:t>
      </w:r>
      <w:r w:rsidRPr="00DC55B0">
        <w:rPr>
          <w:i/>
          <w:iCs/>
        </w:rPr>
        <w:t>Bull. World Health Organ.</w:t>
      </w:r>
      <w:r w:rsidRPr="00DC55B0">
        <w:t xml:space="preserve"> </w:t>
      </w:r>
      <w:r w:rsidRPr="00DC55B0">
        <w:rPr>
          <w:b/>
          <w:bCs/>
        </w:rPr>
        <w:t>64</w:t>
      </w:r>
      <w:r w:rsidRPr="00DC55B0">
        <w:t>, 853–860 (1986).</w:t>
      </w:r>
    </w:p>
    <w:p w14:paraId="3FE4FC86" w14:textId="77777777" w:rsidR="00FD1901" w:rsidRPr="00DC55B0" w:rsidRDefault="00FD1901" w:rsidP="00FD1901">
      <w:pPr>
        <w:pStyle w:val="Bibliography"/>
      </w:pPr>
      <w:r w:rsidRPr="00DC55B0">
        <w:t>99.</w:t>
      </w:r>
      <w:r w:rsidRPr="00DC55B0">
        <w:tab/>
        <w:t xml:space="preserve">Bhaskaram, P., Nair, K. M., Hemalatha, P., Murthy, N. &amp; Nair, P. Systemic and mucosal immune response to polio vaccination with additional dose in newborn period. </w:t>
      </w:r>
      <w:r w:rsidRPr="00DC55B0">
        <w:rPr>
          <w:i/>
          <w:iCs/>
        </w:rPr>
        <w:t>J. Trop. Pediatr.</w:t>
      </w:r>
      <w:r w:rsidRPr="00DC55B0">
        <w:t xml:space="preserve"> </w:t>
      </w:r>
      <w:r w:rsidRPr="00DC55B0">
        <w:rPr>
          <w:b/>
          <w:bCs/>
        </w:rPr>
        <w:t>43</w:t>
      </w:r>
      <w:r w:rsidRPr="00DC55B0">
        <w:t>, 232–234 (1997).</w:t>
      </w:r>
    </w:p>
    <w:p w14:paraId="4EB881B6" w14:textId="77777777" w:rsidR="00FD1901" w:rsidRPr="00DC55B0" w:rsidRDefault="00FD1901" w:rsidP="00FD1901">
      <w:pPr>
        <w:pStyle w:val="Bibliography"/>
      </w:pPr>
      <w:r w:rsidRPr="00DC55B0">
        <w:t>100.</w:t>
      </w:r>
      <w:r w:rsidRPr="00DC55B0">
        <w:tab/>
        <w:t xml:space="preserve">John, T. J. </w:t>
      </w:r>
      <w:r w:rsidRPr="00DC55B0">
        <w:rPr>
          <w:i/>
          <w:iCs/>
        </w:rPr>
        <w:t>et al.</w:t>
      </w:r>
      <w:r w:rsidRPr="00DC55B0">
        <w:t xml:space="preserve"> Monovalent type 1 oral poliovirus vaccine among infants in India: Report of two randomized double-blind controlled clinical trials. </w:t>
      </w:r>
      <w:r w:rsidRPr="00DC55B0">
        <w:rPr>
          <w:i/>
          <w:iCs/>
        </w:rPr>
        <w:t>Vaccine</w:t>
      </w:r>
      <w:r w:rsidRPr="00DC55B0">
        <w:t xml:space="preserve"> </w:t>
      </w:r>
      <w:r w:rsidRPr="00DC55B0">
        <w:rPr>
          <w:b/>
          <w:bCs/>
        </w:rPr>
        <w:t>29</w:t>
      </w:r>
      <w:r w:rsidRPr="00DC55B0">
        <w:t>, 5793–5801 (2011).</w:t>
      </w:r>
    </w:p>
    <w:p w14:paraId="17550593" w14:textId="77777777" w:rsidR="00FD1901" w:rsidRPr="00DC55B0" w:rsidRDefault="00FD1901" w:rsidP="00FD1901">
      <w:pPr>
        <w:pStyle w:val="Bibliography"/>
      </w:pPr>
      <w:r w:rsidRPr="00DC55B0">
        <w:t>101.</w:t>
      </w:r>
      <w:r w:rsidRPr="00DC55B0">
        <w:tab/>
        <w:t xml:space="preserve">Vaccine update: issue 327, April 2022, SCID, TB and BCG special edition. </w:t>
      </w:r>
      <w:r w:rsidRPr="00DC55B0">
        <w:rPr>
          <w:i/>
          <w:iCs/>
        </w:rPr>
        <w:t>GOV.UK</w:t>
      </w:r>
      <w:r w:rsidRPr="00DC55B0">
        <w:t xml:space="preserve"> https://www.gov.uk/government/publications/vaccine-update-issue-327-may-2022-scid-tb-and-bcg-special-edition/vaccine-update-issue-327-april-2022-scid-tb-and-bcg-special-edition.</w:t>
      </w:r>
    </w:p>
    <w:p w14:paraId="33C3A5CE" w14:textId="77777777" w:rsidR="00FD1901" w:rsidRPr="00DC55B0" w:rsidRDefault="00FD1901" w:rsidP="00FD1901">
      <w:pPr>
        <w:pStyle w:val="Bibliography"/>
      </w:pPr>
      <w:r w:rsidRPr="00DC55B0">
        <w:lastRenderedPageBreak/>
        <w:t>102.</w:t>
      </w:r>
      <w:r w:rsidRPr="00DC55B0">
        <w:tab/>
        <w:t xml:space="preserve">Li, Y. </w:t>
      </w:r>
      <w:r w:rsidRPr="00DC55B0">
        <w:rPr>
          <w:i/>
          <w:iCs/>
        </w:rPr>
        <w:t>et al.</w:t>
      </w:r>
      <w:r w:rsidRPr="00DC55B0">
        <w:t xml:space="preserve"> Global, regional, and national disease burden estimates of acute lower respiratory infections due to respiratory syncytial virus in children younger than 5 years in 2019: a systematic analysis. </w:t>
      </w:r>
      <w:r w:rsidRPr="00DC55B0">
        <w:rPr>
          <w:i/>
          <w:iCs/>
        </w:rPr>
        <w:t>Lancet Lond. Engl.</w:t>
      </w:r>
      <w:r w:rsidRPr="00DC55B0">
        <w:t xml:space="preserve"> </w:t>
      </w:r>
      <w:r w:rsidRPr="00DC55B0">
        <w:rPr>
          <w:b/>
          <w:bCs/>
        </w:rPr>
        <w:t>399</w:t>
      </w:r>
      <w:r w:rsidRPr="00DC55B0">
        <w:t>, 2047–2064 (2022).</w:t>
      </w:r>
    </w:p>
    <w:p w14:paraId="73BC9BA9" w14:textId="77777777" w:rsidR="00FD1901" w:rsidRPr="00DC55B0" w:rsidRDefault="00FD1901" w:rsidP="00FD1901">
      <w:pPr>
        <w:pStyle w:val="Bibliography"/>
      </w:pPr>
      <w:r w:rsidRPr="00DC55B0">
        <w:t>103.</w:t>
      </w:r>
      <w:r w:rsidRPr="00DC55B0">
        <w:tab/>
        <w:t xml:space="preserve">Curns, A. T. </w:t>
      </w:r>
      <w:r w:rsidRPr="00DC55B0">
        <w:rPr>
          <w:i/>
          <w:iCs/>
        </w:rPr>
        <w:t>et al.</w:t>
      </w:r>
      <w:r w:rsidRPr="00DC55B0">
        <w:t xml:space="preserve"> Respiratory Syncytial Virus-Associated Hospitalizations Among Children &lt;5 Years Old: 2016 to 2020. </w:t>
      </w:r>
      <w:r w:rsidRPr="00DC55B0">
        <w:rPr>
          <w:i/>
          <w:iCs/>
        </w:rPr>
        <w:t>Pediatrics</w:t>
      </w:r>
      <w:r w:rsidRPr="00DC55B0">
        <w:t xml:space="preserve"> </w:t>
      </w:r>
      <w:r w:rsidRPr="00DC55B0">
        <w:rPr>
          <w:b/>
          <w:bCs/>
        </w:rPr>
        <w:t>153</w:t>
      </w:r>
      <w:r w:rsidRPr="00DC55B0">
        <w:t>, e2023062574 (2024).</w:t>
      </w:r>
    </w:p>
    <w:p w14:paraId="25AC9BB5" w14:textId="77777777" w:rsidR="00FD1901" w:rsidRPr="00DC55B0" w:rsidRDefault="00FD1901" w:rsidP="00FD1901">
      <w:pPr>
        <w:pStyle w:val="Bibliography"/>
      </w:pPr>
      <w:r w:rsidRPr="00DC55B0">
        <w:t>104.</w:t>
      </w:r>
      <w:r w:rsidRPr="00DC55B0">
        <w:tab/>
        <w:t xml:space="preserve">Suh, M. </w:t>
      </w:r>
      <w:r w:rsidRPr="00DC55B0">
        <w:rPr>
          <w:i/>
          <w:iCs/>
        </w:rPr>
        <w:t>et al.</w:t>
      </w:r>
      <w:r w:rsidRPr="00DC55B0">
        <w:t xml:space="preserve"> Respiratory Syncytial Virus Is the Leading Cause of United States Infant Hospitalizations, 2009-2019: A Study of the National (Nationwide) Inpatient Sample. </w:t>
      </w:r>
      <w:r w:rsidRPr="00DC55B0">
        <w:rPr>
          <w:i/>
          <w:iCs/>
        </w:rPr>
        <w:t>J. Infect. Dis.</w:t>
      </w:r>
      <w:r w:rsidRPr="00DC55B0">
        <w:t xml:space="preserve"> </w:t>
      </w:r>
      <w:r w:rsidRPr="00DC55B0">
        <w:rPr>
          <w:b/>
          <w:bCs/>
        </w:rPr>
        <w:t>226</w:t>
      </w:r>
      <w:r w:rsidRPr="00DC55B0">
        <w:t>, S154–S163 (2022).</w:t>
      </w:r>
    </w:p>
    <w:p w14:paraId="69DE2539" w14:textId="77777777" w:rsidR="00FD1901" w:rsidRPr="00DC55B0" w:rsidRDefault="00FD1901" w:rsidP="00FD1901">
      <w:pPr>
        <w:pStyle w:val="Bibliography"/>
      </w:pPr>
      <w:r w:rsidRPr="00DC55B0">
        <w:t>105.</w:t>
      </w:r>
      <w:r w:rsidRPr="00DC55B0">
        <w:tab/>
        <w:t xml:space="preserve">Hall, C. B. </w:t>
      </w:r>
      <w:r w:rsidRPr="00DC55B0">
        <w:rPr>
          <w:i/>
          <w:iCs/>
        </w:rPr>
        <w:t>et al.</w:t>
      </w:r>
      <w:r w:rsidRPr="00DC55B0">
        <w:t xml:space="preserve"> The burden of respiratory syncytial virus infection in young children. </w:t>
      </w:r>
      <w:r w:rsidRPr="00DC55B0">
        <w:rPr>
          <w:i/>
          <w:iCs/>
        </w:rPr>
        <w:t>N. Engl. J. Med.</w:t>
      </w:r>
      <w:r w:rsidRPr="00DC55B0">
        <w:t xml:space="preserve"> </w:t>
      </w:r>
      <w:r w:rsidRPr="00DC55B0">
        <w:rPr>
          <w:b/>
          <w:bCs/>
        </w:rPr>
        <w:t>360</w:t>
      </w:r>
      <w:r w:rsidRPr="00DC55B0">
        <w:t>, 588–598 (2009).</w:t>
      </w:r>
    </w:p>
    <w:p w14:paraId="0A46FDF0" w14:textId="77777777" w:rsidR="00FD1901" w:rsidRPr="00DC55B0" w:rsidRDefault="00FD1901" w:rsidP="00FD1901">
      <w:pPr>
        <w:pStyle w:val="Bibliography"/>
      </w:pPr>
      <w:r w:rsidRPr="00DC55B0">
        <w:t>106.</w:t>
      </w:r>
      <w:r w:rsidRPr="00DC55B0">
        <w:tab/>
        <w:t xml:space="preserve">Wang, X. </w:t>
      </w:r>
      <w:r w:rsidRPr="00DC55B0">
        <w:rPr>
          <w:i/>
          <w:iCs/>
        </w:rPr>
        <w:t>et al.</w:t>
      </w:r>
      <w:r w:rsidRPr="00DC55B0">
        <w:t xml:space="preserve"> Global disease burden of and risk factors for acute lower respiratory infections caused by respiratory syncytial virus in preterm infants and young children in 2019: a systematic review and meta-analysis of aggregated and individual participant data. </w:t>
      </w:r>
      <w:r w:rsidRPr="00DC55B0">
        <w:rPr>
          <w:i/>
          <w:iCs/>
        </w:rPr>
        <w:t>Lancet Lond. Engl.</w:t>
      </w:r>
      <w:r w:rsidRPr="00DC55B0">
        <w:t xml:space="preserve"> </w:t>
      </w:r>
      <w:r w:rsidRPr="00DC55B0">
        <w:rPr>
          <w:b/>
          <w:bCs/>
        </w:rPr>
        <w:t>403</w:t>
      </w:r>
      <w:r w:rsidRPr="00DC55B0">
        <w:t>, 1241–1253 (2024).</w:t>
      </w:r>
    </w:p>
    <w:p w14:paraId="608887D3" w14:textId="77777777" w:rsidR="00FD1901" w:rsidRPr="00DC55B0" w:rsidRDefault="00FD1901" w:rsidP="00FD1901">
      <w:pPr>
        <w:pStyle w:val="Bibliography"/>
      </w:pPr>
      <w:r w:rsidRPr="00DC55B0">
        <w:t>107.</w:t>
      </w:r>
      <w:r w:rsidRPr="00DC55B0">
        <w:tab/>
        <w:t>World Health Organization. RSV vaccine research and development technology roadmap: priority activities for development, testing, licensure and global use of RSV vaccines, with a specific focus on the medical need for young children in low- and middle-income countries. https://iris.who.int/handle/10665/258706 (2017).</w:t>
      </w:r>
    </w:p>
    <w:p w14:paraId="70CF86DC" w14:textId="77777777" w:rsidR="00FD1901" w:rsidRPr="00DC55B0" w:rsidRDefault="00FD1901" w:rsidP="00FD1901">
      <w:pPr>
        <w:pStyle w:val="Bibliography"/>
      </w:pPr>
      <w:r w:rsidRPr="00DC55B0">
        <w:t>108.</w:t>
      </w:r>
      <w:r w:rsidRPr="00DC55B0">
        <w:tab/>
        <w:t xml:space="preserve">Dieussaert, I. </w:t>
      </w:r>
      <w:r w:rsidRPr="00DC55B0">
        <w:rPr>
          <w:i/>
          <w:iCs/>
        </w:rPr>
        <w:t>et al.</w:t>
      </w:r>
      <w:r w:rsidRPr="00DC55B0">
        <w:t xml:space="preserve"> RSV Prefusion F Protein–Based Maternal Vaccine — Preterm Birth and Other Outcomes. </w:t>
      </w:r>
      <w:r w:rsidRPr="00DC55B0">
        <w:rPr>
          <w:i/>
          <w:iCs/>
        </w:rPr>
        <w:t>N. Engl. J. Med.</w:t>
      </w:r>
      <w:r w:rsidRPr="00DC55B0">
        <w:t xml:space="preserve"> </w:t>
      </w:r>
      <w:r w:rsidRPr="00DC55B0">
        <w:rPr>
          <w:b/>
          <w:bCs/>
        </w:rPr>
        <w:t>390</w:t>
      </w:r>
      <w:r w:rsidRPr="00DC55B0">
        <w:t>, 1009–1021 (2024).</w:t>
      </w:r>
    </w:p>
    <w:p w14:paraId="6475A4A0" w14:textId="77777777" w:rsidR="00FD1901" w:rsidRPr="00DC55B0" w:rsidRDefault="00FD1901" w:rsidP="00FD1901">
      <w:pPr>
        <w:pStyle w:val="Bibliography"/>
      </w:pPr>
      <w:r w:rsidRPr="00DC55B0">
        <w:t>109.</w:t>
      </w:r>
      <w:r w:rsidRPr="00DC55B0">
        <w:tab/>
        <w:t>Moro, P. Maternal RSV vaccine safety surveillance. https://www.cdc.gov/acip/downloads/slides-2024-06-26-28/03-RSV-Mat-Peds-Moro-508.pdf (2024).</w:t>
      </w:r>
    </w:p>
    <w:p w14:paraId="10396DF6" w14:textId="77777777" w:rsidR="00FD1901" w:rsidRPr="00DC55B0" w:rsidRDefault="00FD1901" w:rsidP="00FD1901">
      <w:pPr>
        <w:pStyle w:val="Bibliography"/>
      </w:pPr>
      <w:r w:rsidRPr="00DC55B0">
        <w:t>110.</w:t>
      </w:r>
      <w:r w:rsidRPr="00DC55B0">
        <w:tab/>
        <w:t>(FDA), F. and D. A. &amp; Center for Biologics Evaluation and Research (CBER). 181st Meeting of the Vaccines and Related Biological Products Advisory Committee (VRBPAC). https://www.fda.gov/media/169361/download (2023).</w:t>
      </w:r>
    </w:p>
    <w:p w14:paraId="063C360F" w14:textId="77777777" w:rsidR="00FD1901" w:rsidRPr="00DC55B0" w:rsidRDefault="00FD1901" w:rsidP="00FD1901">
      <w:pPr>
        <w:pStyle w:val="Bibliography"/>
      </w:pPr>
      <w:r w:rsidRPr="00DC55B0">
        <w:t>111.</w:t>
      </w:r>
      <w:r w:rsidRPr="00DC55B0">
        <w:tab/>
        <w:t xml:space="preserve">Hammitt, L. L. </w:t>
      </w:r>
      <w:r w:rsidRPr="00DC55B0">
        <w:rPr>
          <w:i/>
          <w:iCs/>
        </w:rPr>
        <w:t>et al.</w:t>
      </w:r>
      <w:r w:rsidRPr="00DC55B0">
        <w:t xml:space="preserve"> Nirsevimab for Prevention of RSV in Healthy Late-Preterm and Term Infants. </w:t>
      </w:r>
      <w:r w:rsidRPr="00DC55B0">
        <w:rPr>
          <w:i/>
          <w:iCs/>
        </w:rPr>
        <w:t>N. Engl. J. Med.</w:t>
      </w:r>
      <w:r w:rsidRPr="00DC55B0">
        <w:t xml:space="preserve"> </w:t>
      </w:r>
      <w:r w:rsidRPr="00DC55B0">
        <w:rPr>
          <w:b/>
          <w:bCs/>
        </w:rPr>
        <w:t>386</w:t>
      </w:r>
      <w:r w:rsidRPr="00DC55B0">
        <w:t>, 837–846 (2022).</w:t>
      </w:r>
    </w:p>
    <w:p w14:paraId="4EF2A00F" w14:textId="77777777" w:rsidR="00FD1901" w:rsidRPr="00DC55B0" w:rsidRDefault="00FD1901" w:rsidP="00FD1901">
      <w:pPr>
        <w:pStyle w:val="Bibliography"/>
      </w:pPr>
      <w:r w:rsidRPr="00DC55B0">
        <w:t>112.</w:t>
      </w:r>
      <w:r w:rsidRPr="00DC55B0">
        <w:tab/>
        <w:t xml:space="preserve">Griffin, M. P. </w:t>
      </w:r>
      <w:r w:rsidRPr="00DC55B0">
        <w:rPr>
          <w:i/>
          <w:iCs/>
        </w:rPr>
        <w:t>et al.</w:t>
      </w:r>
      <w:r w:rsidRPr="00DC55B0">
        <w:t xml:space="preserve"> Single-Dose Nirsevimab for Prevention of RSV in Preterm Infants. </w:t>
      </w:r>
      <w:r w:rsidRPr="00DC55B0">
        <w:rPr>
          <w:i/>
          <w:iCs/>
        </w:rPr>
        <w:t>N. Engl. J. Med.</w:t>
      </w:r>
      <w:r w:rsidRPr="00DC55B0">
        <w:t xml:space="preserve"> </w:t>
      </w:r>
      <w:r w:rsidRPr="00DC55B0">
        <w:rPr>
          <w:b/>
          <w:bCs/>
        </w:rPr>
        <w:t>383</w:t>
      </w:r>
      <w:r w:rsidRPr="00DC55B0">
        <w:t>, 415–425 (2020).</w:t>
      </w:r>
    </w:p>
    <w:p w14:paraId="4CF34BA5" w14:textId="77777777" w:rsidR="00FD1901" w:rsidRPr="00DC55B0" w:rsidRDefault="00FD1901" w:rsidP="00FD1901">
      <w:pPr>
        <w:pStyle w:val="Bibliography"/>
      </w:pPr>
      <w:r w:rsidRPr="00DC55B0">
        <w:t>113.</w:t>
      </w:r>
      <w:r w:rsidRPr="00DC55B0">
        <w:tab/>
        <w:t xml:space="preserve">Drysdale, S. B. </w:t>
      </w:r>
      <w:r w:rsidRPr="00DC55B0">
        <w:rPr>
          <w:i/>
          <w:iCs/>
        </w:rPr>
        <w:t>et al.</w:t>
      </w:r>
      <w:r w:rsidRPr="00DC55B0">
        <w:t xml:space="preserve"> Nirsevimab for Prevention of Hospitalizations Due to RSV in Infants. </w:t>
      </w:r>
      <w:r w:rsidRPr="00DC55B0">
        <w:rPr>
          <w:i/>
          <w:iCs/>
        </w:rPr>
        <w:t>N. Engl. J. Med.</w:t>
      </w:r>
      <w:r w:rsidRPr="00DC55B0">
        <w:t xml:space="preserve"> </w:t>
      </w:r>
      <w:r w:rsidRPr="00DC55B0">
        <w:rPr>
          <w:b/>
          <w:bCs/>
        </w:rPr>
        <w:t>389</w:t>
      </w:r>
      <w:r w:rsidRPr="00DC55B0">
        <w:t>, 2425–2435 (2023).</w:t>
      </w:r>
    </w:p>
    <w:p w14:paraId="2CA9DDDF" w14:textId="77777777" w:rsidR="00FD1901" w:rsidRPr="00DC55B0" w:rsidRDefault="00FD1901" w:rsidP="00FD1901">
      <w:pPr>
        <w:pStyle w:val="Bibliography"/>
      </w:pPr>
      <w:r w:rsidRPr="00DC55B0">
        <w:t>114.</w:t>
      </w:r>
      <w:r w:rsidRPr="00DC55B0">
        <w:tab/>
        <w:t xml:space="preserve">López-Lacort, M. </w:t>
      </w:r>
      <w:r w:rsidRPr="00DC55B0">
        <w:rPr>
          <w:i/>
          <w:iCs/>
        </w:rPr>
        <w:t>et al.</w:t>
      </w:r>
      <w:r w:rsidRPr="00DC55B0">
        <w:t xml:space="preserve"> Early estimates of nirsevimab immunoprophylaxis effectiveness against hospital admission for respiratory syncytial virus lower respiratory tract infections in infants, Spain, October 2023 to January 2024. </w:t>
      </w:r>
      <w:r w:rsidRPr="00DC55B0">
        <w:rPr>
          <w:i/>
          <w:iCs/>
        </w:rPr>
        <w:t>Euro Surveill. Bull. Eur. Sur Mal. Transm. Eur. Commun. Dis. Bull.</w:t>
      </w:r>
      <w:r w:rsidRPr="00DC55B0">
        <w:t xml:space="preserve"> </w:t>
      </w:r>
      <w:r w:rsidRPr="00DC55B0">
        <w:rPr>
          <w:b/>
          <w:bCs/>
        </w:rPr>
        <w:t>29</w:t>
      </w:r>
      <w:r w:rsidRPr="00DC55B0">
        <w:t>, 2400046 (2024).</w:t>
      </w:r>
    </w:p>
    <w:p w14:paraId="0BB18131" w14:textId="77777777" w:rsidR="00FD1901" w:rsidRPr="00DC55B0" w:rsidRDefault="00FD1901" w:rsidP="00FD1901">
      <w:pPr>
        <w:pStyle w:val="Bibliography"/>
      </w:pPr>
      <w:r w:rsidRPr="00DC55B0">
        <w:t>115.</w:t>
      </w:r>
      <w:r w:rsidRPr="00DC55B0">
        <w:tab/>
        <w:t xml:space="preserve">Ares-Gómez, S. </w:t>
      </w:r>
      <w:r w:rsidRPr="00DC55B0">
        <w:rPr>
          <w:i/>
          <w:iCs/>
        </w:rPr>
        <w:t>et al.</w:t>
      </w:r>
      <w:r w:rsidRPr="00DC55B0">
        <w:t xml:space="preserve"> Effectiveness and impact of universal prophylaxis with nirsevimab in infants against hospitalisation for respiratory syncytial virus in Galicia, Spain: initial results of a population-based longitudinal study. </w:t>
      </w:r>
      <w:r w:rsidRPr="00DC55B0">
        <w:rPr>
          <w:i/>
          <w:iCs/>
        </w:rPr>
        <w:t>Lancet Infect. Dis.</w:t>
      </w:r>
      <w:r w:rsidRPr="00DC55B0">
        <w:t xml:space="preserve"> </w:t>
      </w:r>
      <w:r w:rsidRPr="00DC55B0">
        <w:rPr>
          <w:b/>
          <w:bCs/>
        </w:rPr>
        <w:t>24</w:t>
      </w:r>
      <w:r w:rsidRPr="00DC55B0">
        <w:t>, 817–828 (2024).</w:t>
      </w:r>
    </w:p>
    <w:p w14:paraId="33B5EBB9" w14:textId="77777777" w:rsidR="00FD1901" w:rsidRPr="00DC55B0" w:rsidRDefault="00FD1901" w:rsidP="00FD1901">
      <w:pPr>
        <w:pStyle w:val="Bibliography"/>
      </w:pPr>
      <w:r w:rsidRPr="00DC55B0">
        <w:t>116.</w:t>
      </w:r>
      <w:r w:rsidRPr="00DC55B0">
        <w:tab/>
        <w:t xml:space="preserve">Brault, A. </w:t>
      </w:r>
      <w:r w:rsidRPr="00DC55B0">
        <w:rPr>
          <w:i/>
          <w:iCs/>
        </w:rPr>
        <w:t>et al.</w:t>
      </w:r>
      <w:r w:rsidRPr="00DC55B0">
        <w:t xml:space="preserve"> Effect of nirsevimab on hospitalisations for respiratory syncytial virus bronchiolitis in France, 2023-24: a modelling study. </w:t>
      </w:r>
      <w:r w:rsidRPr="00DC55B0">
        <w:rPr>
          <w:i/>
          <w:iCs/>
        </w:rPr>
        <w:t>Lancet Child Adolesc. Health</w:t>
      </w:r>
      <w:r w:rsidRPr="00DC55B0">
        <w:t xml:space="preserve"> </w:t>
      </w:r>
      <w:r w:rsidRPr="00DC55B0">
        <w:rPr>
          <w:b/>
          <w:bCs/>
        </w:rPr>
        <w:t>8</w:t>
      </w:r>
      <w:r w:rsidRPr="00DC55B0">
        <w:t>, (2024).</w:t>
      </w:r>
    </w:p>
    <w:p w14:paraId="6520F784" w14:textId="77777777" w:rsidR="00FD1901" w:rsidRPr="00DC55B0" w:rsidRDefault="00FD1901" w:rsidP="00FD1901">
      <w:pPr>
        <w:pStyle w:val="Bibliography"/>
      </w:pPr>
      <w:r w:rsidRPr="00DC55B0">
        <w:t>117.</w:t>
      </w:r>
      <w:r w:rsidRPr="00DC55B0">
        <w:tab/>
        <w:t xml:space="preserve">Ernst, C. </w:t>
      </w:r>
      <w:r w:rsidRPr="00DC55B0">
        <w:rPr>
          <w:i/>
          <w:iCs/>
        </w:rPr>
        <w:t>et al.</w:t>
      </w:r>
      <w:r w:rsidRPr="00DC55B0">
        <w:t xml:space="preserve"> Impact of nirsevimab prophylaxis on paediatric respiratory syncytial virus (RSV)-related hospitalisations during the initial 2023/24 season in Luxembourg. </w:t>
      </w:r>
      <w:r w:rsidRPr="00DC55B0">
        <w:rPr>
          <w:i/>
          <w:iCs/>
        </w:rPr>
        <w:t>Euro Surveill. Bull. Eur. Sur Mal. Transm. Eur. Commun. Dis. Bull.</w:t>
      </w:r>
      <w:r w:rsidRPr="00DC55B0">
        <w:t xml:space="preserve"> </w:t>
      </w:r>
      <w:r w:rsidRPr="00DC55B0">
        <w:rPr>
          <w:b/>
          <w:bCs/>
        </w:rPr>
        <w:t>29</w:t>
      </w:r>
      <w:r w:rsidRPr="00DC55B0">
        <w:t>, 2400033 (2024).</w:t>
      </w:r>
    </w:p>
    <w:p w14:paraId="3CC45E97" w14:textId="77777777" w:rsidR="00FD1901" w:rsidRPr="00DC55B0" w:rsidRDefault="00FD1901" w:rsidP="00FD1901">
      <w:pPr>
        <w:pStyle w:val="Bibliography"/>
      </w:pPr>
      <w:r w:rsidRPr="00DC55B0">
        <w:lastRenderedPageBreak/>
        <w:t>118.</w:t>
      </w:r>
      <w:r w:rsidRPr="00DC55B0">
        <w:tab/>
        <w:t xml:space="preserve">Paireau, J. </w:t>
      </w:r>
      <w:r w:rsidRPr="00DC55B0">
        <w:rPr>
          <w:i/>
          <w:iCs/>
        </w:rPr>
        <w:t>et al.</w:t>
      </w:r>
      <w:r w:rsidRPr="00DC55B0">
        <w:t xml:space="preserve"> Nirsevimab Effectiveness Against Cases of Respiratory Syncytial Virus Bronchiolitis Hospitalised in Paediatric Intensive Care Units in France, September 2023-January 2024. </w:t>
      </w:r>
      <w:r w:rsidRPr="00DC55B0">
        <w:rPr>
          <w:i/>
          <w:iCs/>
        </w:rPr>
        <w:t>Influenza Other Respir. Viruses</w:t>
      </w:r>
      <w:r w:rsidRPr="00DC55B0">
        <w:t xml:space="preserve"> </w:t>
      </w:r>
      <w:r w:rsidRPr="00DC55B0">
        <w:rPr>
          <w:b/>
          <w:bCs/>
        </w:rPr>
        <w:t>18</w:t>
      </w:r>
      <w:r w:rsidRPr="00DC55B0">
        <w:t>, e13311 (2024).</w:t>
      </w:r>
    </w:p>
    <w:p w14:paraId="546DA650" w14:textId="77777777" w:rsidR="00FD1901" w:rsidRPr="00DC55B0" w:rsidRDefault="00FD1901" w:rsidP="00FD1901">
      <w:pPr>
        <w:pStyle w:val="Bibliography"/>
      </w:pPr>
      <w:r w:rsidRPr="00DC55B0">
        <w:t>119.</w:t>
      </w:r>
      <w:r w:rsidRPr="00DC55B0">
        <w:tab/>
        <w:t xml:space="preserve">Moline, H. L. </w:t>
      </w:r>
      <w:r w:rsidRPr="00DC55B0">
        <w:rPr>
          <w:i/>
          <w:iCs/>
        </w:rPr>
        <w:t>et al.</w:t>
      </w:r>
      <w:r w:rsidRPr="00DC55B0">
        <w:t xml:space="preserve"> Early Estimate of Nirsevimab Effectiveness for Prevention of Respiratory Syncytial Virus-Associated Hospitalization Among Infants Entering Their First Respiratory Syncytial Virus Season - New Vaccine Surveillance Network, October 2023-February 2024. </w:t>
      </w:r>
      <w:r w:rsidRPr="00DC55B0">
        <w:rPr>
          <w:i/>
          <w:iCs/>
        </w:rPr>
        <w:t>MMWR Morb. Mortal. Wkly. Rep.</w:t>
      </w:r>
      <w:r w:rsidRPr="00DC55B0">
        <w:t xml:space="preserve"> </w:t>
      </w:r>
      <w:r w:rsidRPr="00DC55B0">
        <w:rPr>
          <w:b/>
          <w:bCs/>
        </w:rPr>
        <w:t>73</w:t>
      </w:r>
      <w:r w:rsidRPr="00DC55B0">
        <w:t>, 209–214 (2024).</w:t>
      </w:r>
    </w:p>
    <w:p w14:paraId="0D9234A4" w14:textId="77777777" w:rsidR="00FD1901" w:rsidRPr="00DC55B0" w:rsidRDefault="00FD1901" w:rsidP="00FD1901">
      <w:pPr>
        <w:pStyle w:val="Bibliography"/>
      </w:pPr>
      <w:r w:rsidRPr="00DC55B0">
        <w:t>120.</w:t>
      </w:r>
      <w:r w:rsidRPr="00DC55B0">
        <w:tab/>
        <w:t xml:space="preserve">Tang, A. </w:t>
      </w:r>
      <w:r w:rsidRPr="00DC55B0">
        <w:rPr>
          <w:i/>
          <w:iCs/>
        </w:rPr>
        <w:t>et al.</w:t>
      </w:r>
      <w:r w:rsidRPr="00DC55B0">
        <w:t xml:space="preserve"> A potent broadly neutralizing human RSV antibody targets conserved site IV of the fusion glycoprotein. </w:t>
      </w:r>
      <w:r w:rsidRPr="00DC55B0">
        <w:rPr>
          <w:i/>
          <w:iCs/>
        </w:rPr>
        <w:t>Nat. Commun.</w:t>
      </w:r>
      <w:r w:rsidRPr="00DC55B0">
        <w:t xml:space="preserve"> </w:t>
      </w:r>
      <w:r w:rsidRPr="00DC55B0">
        <w:rPr>
          <w:b/>
          <w:bCs/>
        </w:rPr>
        <w:t>10</w:t>
      </w:r>
      <w:r w:rsidRPr="00DC55B0">
        <w:t>, 4153 (2019).</w:t>
      </w:r>
    </w:p>
    <w:p w14:paraId="3CFA286F" w14:textId="77777777" w:rsidR="00FD1901" w:rsidRPr="00DC55B0" w:rsidRDefault="00FD1901" w:rsidP="00FD1901">
      <w:pPr>
        <w:pStyle w:val="Bibliography"/>
      </w:pPr>
      <w:r w:rsidRPr="00DC55B0">
        <w:t>121.</w:t>
      </w:r>
      <w:r w:rsidRPr="00DC55B0">
        <w:tab/>
        <w:t xml:space="preserve">Mahase, E. FDA pauses all infant RSV vaccine trials after rise in severe illnesses. </w:t>
      </w:r>
      <w:r w:rsidRPr="00DC55B0">
        <w:rPr>
          <w:i/>
          <w:iCs/>
        </w:rPr>
        <w:t>BMJ</w:t>
      </w:r>
      <w:r w:rsidRPr="00DC55B0">
        <w:t xml:space="preserve"> q2852 (2024) doi:10.1136/bmj.q2852.</w:t>
      </w:r>
    </w:p>
    <w:p w14:paraId="63EDEE48" w14:textId="77777777" w:rsidR="00FD1901" w:rsidRPr="00DC55B0" w:rsidRDefault="00FD1901" w:rsidP="00FD1901">
      <w:pPr>
        <w:pStyle w:val="Bibliography"/>
      </w:pPr>
      <w:r w:rsidRPr="00DC55B0">
        <w:t>122.</w:t>
      </w:r>
      <w:r w:rsidRPr="00DC55B0">
        <w:tab/>
        <w:t xml:space="preserve">Seale, A. C. </w:t>
      </w:r>
      <w:r w:rsidRPr="00DC55B0">
        <w:rPr>
          <w:i/>
          <w:iCs/>
        </w:rPr>
        <w:t>et al.</w:t>
      </w:r>
      <w:r w:rsidRPr="00DC55B0">
        <w:t xml:space="preserve"> Estimates of the Burden of Group B Streptococcal Disease Worldwide for Pregnant Women, Stillbirths, and Children. </w:t>
      </w:r>
      <w:r w:rsidRPr="00DC55B0">
        <w:rPr>
          <w:i/>
          <w:iCs/>
        </w:rPr>
        <w:t>Clin. Infect. Dis. Off. Publ. Infect. Dis. Soc. Am.</w:t>
      </w:r>
      <w:r w:rsidRPr="00DC55B0">
        <w:t xml:space="preserve"> </w:t>
      </w:r>
      <w:r w:rsidRPr="00DC55B0">
        <w:rPr>
          <w:b/>
          <w:bCs/>
        </w:rPr>
        <w:t>65</w:t>
      </w:r>
      <w:r w:rsidRPr="00DC55B0">
        <w:t>, S200–S219 (2017).</w:t>
      </w:r>
    </w:p>
    <w:p w14:paraId="39DB36B2" w14:textId="77777777" w:rsidR="00FD1901" w:rsidRPr="00DC55B0" w:rsidRDefault="00FD1901" w:rsidP="00FD1901">
      <w:pPr>
        <w:pStyle w:val="Bibliography"/>
      </w:pPr>
      <w:r w:rsidRPr="00DC55B0">
        <w:t>123.</w:t>
      </w:r>
      <w:r w:rsidRPr="00DC55B0">
        <w:tab/>
        <w:t xml:space="preserve">Gonçalves, B. P. </w:t>
      </w:r>
      <w:r w:rsidRPr="00DC55B0">
        <w:rPr>
          <w:i/>
          <w:iCs/>
        </w:rPr>
        <w:t>et al.</w:t>
      </w:r>
      <w:r w:rsidRPr="00DC55B0">
        <w:t xml:space="preserve"> Group B streptococcus infection during pregnancy and infancy: estimates of regional and global burden. </w:t>
      </w:r>
      <w:r w:rsidRPr="00DC55B0">
        <w:rPr>
          <w:i/>
          <w:iCs/>
        </w:rPr>
        <w:t>Lancet Glob. Health</w:t>
      </w:r>
      <w:r w:rsidRPr="00DC55B0">
        <w:t xml:space="preserve"> </w:t>
      </w:r>
      <w:r w:rsidRPr="00DC55B0">
        <w:rPr>
          <w:b/>
          <w:bCs/>
        </w:rPr>
        <w:t>10</w:t>
      </w:r>
      <w:r w:rsidRPr="00DC55B0">
        <w:t>, e807–e819 (2022).</w:t>
      </w:r>
    </w:p>
    <w:p w14:paraId="29CE0BC7" w14:textId="77777777" w:rsidR="00FD1901" w:rsidRPr="00DC55B0" w:rsidRDefault="00FD1901" w:rsidP="00FD1901">
      <w:pPr>
        <w:pStyle w:val="Bibliography"/>
      </w:pPr>
      <w:r w:rsidRPr="00DC55B0">
        <w:t>124.</w:t>
      </w:r>
      <w:r w:rsidRPr="00DC55B0">
        <w:tab/>
        <w:t xml:space="preserve">Prescott, S. </w:t>
      </w:r>
      <w:r w:rsidRPr="00DC55B0">
        <w:rPr>
          <w:i/>
          <w:iCs/>
        </w:rPr>
        <w:t>et al.</w:t>
      </w:r>
      <w:r w:rsidRPr="00DC55B0">
        <w:t xml:space="preserve"> Impact of Intrapartum Antibiotic Prophylaxis on Offspring Microbiota. </w:t>
      </w:r>
      <w:r w:rsidRPr="00DC55B0">
        <w:rPr>
          <w:i/>
          <w:iCs/>
        </w:rPr>
        <w:t>Front. Pediatr.</w:t>
      </w:r>
      <w:r w:rsidRPr="00DC55B0">
        <w:t xml:space="preserve"> </w:t>
      </w:r>
      <w:r w:rsidRPr="00DC55B0">
        <w:rPr>
          <w:b/>
          <w:bCs/>
        </w:rPr>
        <w:t>9</w:t>
      </w:r>
      <w:r w:rsidRPr="00DC55B0">
        <w:t>, 754013 (2021).</w:t>
      </w:r>
    </w:p>
    <w:p w14:paraId="60A6A536" w14:textId="77777777" w:rsidR="00FD1901" w:rsidRPr="00DC55B0" w:rsidRDefault="00FD1901" w:rsidP="00FD1901">
      <w:pPr>
        <w:pStyle w:val="Bibliography"/>
      </w:pPr>
      <w:r w:rsidRPr="00DC55B0">
        <w:t>125.</w:t>
      </w:r>
      <w:r w:rsidRPr="00DC55B0">
        <w:tab/>
        <w:t xml:space="preserve">Baker, C. J. &amp; Kasper, D. L. Correlation of maternal antibody deficiency with susceptibility to neonatal group B streptococcal infection. </w:t>
      </w:r>
      <w:r w:rsidRPr="00DC55B0">
        <w:rPr>
          <w:i/>
          <w:iCs/>
        </w:rPr>
        <w:t>N. Engl. J. Med.</w:t>
      </w:r>
      <w:r w:rsidRPr="00DC55B0">
        <w:t xml:space="preserve"> </w:t>
      </w:r>
      <w:r w:rsidRPr="00DC55B0">
        <w:rPr>
          <w:b/>
          <w:bCs/>
        </w:rPr>
        <w:t>294</w:t>
      </w:r>
      <w:r w:rsidRPr="00DC55B0">
        <w:t>, 753–756 (1976).</w:t>
      </w:r>
    </w:p>
    <w:p w14:paraId="741CF33D" w14:textId="77777777" w:rsidR="00FD1901" w:rsidRPr="00DC55B0" w:rsidRDefault="00FD1901" w:rsidP="00FD1901">
      <w:pPr>
        <w:pStyle w:val="Bibliography"/>
      </w:pPr>
      <w:r w:rsidRPr="00DC55B0">
        <w:t>126.</w:t>
      </w:r>
      <w:r w:rsidRPr="00DC55B0">
        <w:tab/>
        <w:t xml:space="preserve">Buurman, E. T. </w:t>
      </w:r>
      <w:r w:rsidRPr="00DC55B0">
        <w:rPr>
          <w:i/>
          <w:iCs/>
        </w:rPr>
        <w:t>et al.</w:t>
      </w:r>
      <w:r w:rsidRPr="00DC55B0">
        <w:t xml:space="preserve"> A Novel Hexavalent Capsular Polysaccharide Conjugate Vaccine (GBS6) for the Prevention of Neonatal Group B Streptococcal Infections by Maternal Immunization. </w:t>
      </w:r>
      <w:r w:rsidRPr="00DC55B0">
        <w:rPr>
          <w:i/>
          <w:iCs/>
        </w:rPr>
        <w:t>J. Infect. Dis.</w:t>
      </w:r>
      <w:r w:rsidRPr="00DC55B0">
        <w:t xml:space="preserve"> </w:t>
      </w:r>
      <w:r w:rsidRPr="00DC55B0">
        <w:rPr>
          <w:b/>
          <w:bCs/>
        </w:rPr>
        <w:t>220</w:t>
      </w:r>
      <w:r w:rsidRPr="00DC55B0">
        <w:t>, 105–115 (2019).</w:t>
      </w:r>
    </w:p>
    <w:p w14:paraId="15AC5736" w14:textId="77777777" w:rsidR="00FD1901" w:rsidRPr="00DC55B0" w:rsidRDefault="00FD1901" w:rsidP="00FD1901">
      <w:pPr>
        <w:pStyle w:val="Bibliography"/>
      </w:pPr>
      <w:r w:rsidRPr="00DC55B0">
        <w:t>127.</w:t>
      </w:r>
      <w:r w:rsidRPr="00DC55B0">
        <w:tab/>
        <w:t xml:space="preserve">Absalon, J. </w:t>
      </w:r>
      <w:r w:rsidRPr="00DC55B0">
        <w:rPr>
          <w:i/>
          <w:iCs/>
        </w:rPr>
        <w:t>et al.</w:t>
      </w:r>
      <w:r w:rsidRPr="00DC55B0">
        <w:t xml:space="preserve"> Safety and immunogenicity of a novel hexavalent group B streptococcus conjugate vaccine in healthy, non-pregnant adults: a phase 1/2, randomised, placebo-controlled, observer-blinded, dose-escalation trial. </w:t>
      </w:r>
      <w:r w:rsidRPr="00DC55B0">
        <w:rPr>
          <w:i/>
          <w:iCs/>
        </w:rPr>
        <w:t>Lancet Infect. Dis.</w:t>
      </w:r>
      <w:r w:rsidRPr="00DC55B0">
        <w:t xml:space="preserve"> </w:t>
      </w:r>
      <w:r w:rsidRPr="00DC55B0">
        <w:rPr>
          <w:b/>
          <w:bCs/>
        </w:rPr>
        <w:t>21</w:t>
      </w:r>
      <w:r w:rsidRPr="00DC55B0">
        <w:t>, 263–274 (2021).</w:t>
      </w:r>
    </w:p>
    <w:p w14:paraId="0F9A6366" w14:textId="77777777" w:rsidR="00FD1901" w:rsidRPr="00DC55B0" w:rsidRDefault="00FD1901" w:rsidP="00FD1901">
      <w:pPr>
        <w:pStyle w:val="Bibliography"/>
      </w:pPr>
      <w:r w:rsidRPr="00DC55B0">
        <w:t>128.</w:t>
      </w:r>
      <w:r w:rsidRPr="00DC55B0">
        <w:tab/>
        <w:t xml:space="preserve">Madhi, S. A. </w:t>
      </w:r>
      <w:r w:rsidRPr="00DC55B0">
        <w:rPr>
          <w:i/>
          <w:iCs/>
        </w:rPr>
        <w:t>et al.</w:t>
      </w:r>
      <w:r w:rsidRPr="00DC55B0">
        <w:t xml:space="preserve"> Potential for Maternally Administered Vaccine for Infant Group B Streptococcus. </w:t>
      </w:r>
      <w:r w:rsidRPr="00DC55B0">
        <w:rPr>
          <w:i/>
          <w:iCs/>
        </w:rPr>
        <w:t>N. Engl. J. Med.</w:t>
      </w:r>
      <w:r w:rsidRPr="00DC55B0">
        <w:t xml:space="preserve"> </w:t>
      </w:r>
      <w:r w:rsidRPr="00DC55B0">
        <w:rPr>
          <w:b/>
          <w:bCs/>
        </w:rPr>
        <w:t>389</w:t>
      </w:r>
      <w:r w:rsidRPr="00DC55B0">
        <w:t>, 215–227 (2023).</w:t>
      </w:r>
    </w:p>
    <w:p w14:paraId="30E3FD0C" w14:textId="77777777" w:rsidR="00FD1901" w:rsidRPr="00DC55B0" w:rsidRDefault="00FD1901" w:rsidP="00FD1901">
      <w:pPr>
        <w:pStyle w:val="Bibliography"/>
      </w:pPr>
      <w:r w:rsidRPr="00DC55B0">
        <w:t>129.</w:t>
      </w:r>
      <w:r w:rsidRPr="00DC55B0">
        <w:tab/>
        <w:t>Ministère du travail, de la santé, et des solidarités. Beyfortus  (nirsevimab): priorisation temporaire des patients à immuniser. https://sante.gouv.fr/IMG/pdf/dgs-urgent_-19_mise_a_disposition_beyfortus.pdf (2023).</w:t>
      </w:r>
    </w:p>
    <w:p w14:paraId="356F89A8" w14:textId="77777777" w:rsidR="00FD1901" w:rsidRPr="00DC55B0" w:rsidRDefault="00FD1901" w:rsidP="00FD1901">
      <w:pPr>
        <w:pStyle w:val="Bibliography"/>
      </w:pPr>
      <w:r w:rsidRPr="00DC55B0">
        <w:t>130.</w:t>
      </w:r>
      <w:r w:rsidRPr="00DC55B0">
        <w:tab/>
        <w:t>Centers for Disease Control. Limited Availability of Nirsevimab in the United States—Interim CDC Recommendations to Protect Infants from Respiratory Syncytial Virus (RSV) during the 2023–2024 Respiratory Virus Season. https://emergency.cdc.gov/han/2023/han00499.asp.</w:t>
      </w:r>
    </w:p>
    <w:p w14:paraId="1300B2C6" w14:textId="77777777" w:rsidR="00FD1901" w:rsidRPr="00DC55B0" w:rsidRDefault="00FD1901" w:rsidP="00FD1901">
      <w:pPr>
        <w:pStyle w:val="Bibliography"/>
      </w:pPr>
      <w:r w:rsidRPr="00DC55B0">
        <w:t>131.</w:t>
      </w:r>
      <w:r w:rsidRPr="00DC55B0">
        <w:tab/>
        <w:t>UK Health and Security Agency. Vaccine update: issue 344, November 2023, pregnancy special. https://www.gov.uk/government/publications/vaccine-update-issue-344-november-2023-pregnancy-special/vaccine-update-issue-344-november-2023-pregnancy-special#flu-vaccination-during-pregnancy (2023).</w:t>
      </w:r>
    </w:p>
    <w:p w14:paraId="1CD70703" w14:textId="77777777" w:rsidR="00FD1901" w:rsidRPr="00DC55B0" w:rsidRDefault="00FD1901" w:rsidP="00FD1901">
      <w:pPr>
        <w:pStyle w:val="Bibliography"/>
      </w:pPr>
      <w:r w:rsidRPr="00DC55B0">
        <w:t>132.</w:t>
      </w:r>
      <w:r w:rsidRPr="00DC55B0">
        <w:tab/>
        <w:t>UK Health Security Agency. Influenza: the green book, chapter 19. https://www.gov.uk/government/publications/influenza-the-green-book-chapter-19 (2023).</w:t>
      </w:r>
    </w:p>
    <w:p w14:paraId="0034B099" w14:textId="77777777" w:rsidR="00FD1901" w:rsidRPr="00DC55B0" w:rsidRDefault="00FD1901" w:rsidP="00FD1901">
      <w:pPr>
        <w:pStyle w:val="Bibliography"/>
      </w:pPr>
      <w:r w:rsidRPr="00DC55B0">
        <w:t>133.</w:t>
      </w:r>
      <w:r w:rsidRPr="00DC55B0">
        <w:tab/>
        <w:t xml:space="preserve">Baïssas, T. </w:t>
      </w:r>
      <w:r w:rsidRPr="00DC55B0">
        <w:rPr>
          <w:i/>
          <w:iCs/>
        </w:rPr>
        <w:t>et al.</w:t>
      </w:r>
      <w:r w:rsidRPr="00DC55B0">
        <w:t xml:space="preserve"> Vaccination in pregnancy against pertussis and seasonal influenza: key learnings and components from high-performing vaccine programmes in </w:t>
      </w:r>
      <w:r w:rsidRPr="00DC55B0">
        <w:lastRenderedPageBreak/>
        <w:t xml:space="preserve">three countries: the United Kingdom, the United States and Spain. </w:t>
      </w:r>
      <w:r w:rsidRPr="00DC55B0">
        <w:rPr>
          <w:i/>
          <w:iCs/>
        </w:rPr>
        <w:t>BMC Public Health</w:t>
      </w:r>
      <w:r w:rsidRPr="00DC55B0">
        <w:t xml:space="preserve"> </w:t>
      </w:r>
      <w:r w:rsidRPr="00DC55B0">
        <w:rPr>
          <w:b/>
          <w:bCs/>
        </w:rPr>
        <w:t>21</w:t>
      </w:r>
      <w:r w:rsidRPr="00DC55B0">
        <w:t>, 2182 (2021).</w:t>
      </w:r>
    </w:p>
    <w:p w14:paraId="00677B08" w14:textId="77777777" w:rsidR="00FD1901" w:rsidRPr="00DC55B0" w:rsidRDefault="00FD1901" w:rsidP="00FD1901">
      <w:pPr>
        <w:pStyle w:val="Bibliography"/>
      </w:pPr>
      <w:r w:rsidRPr="00DC55B0">
        <w:t>134.</w:t>
      </w:r>
      <w:r w:rsidRPr="00DC55B0">
        <w:tab/>
        <w:t xml:space="preserve">Mitchell, S. L., Schulkin, J. &amp; Power, M. L. Vaccine hesitancy in pregnant Women: A narrative review. </w:t>
      </w:r>
      <w:r w:rsidRPr="00DC55B0">
        <w:rPr>
          <w:i/>
          <w:iCs/>
        </w:rPr>
        <w:t>Vaccine</w:t>
      </w:r>
      <w:r w:rsidRPr="00DC55B0">
        <w:t xml:space="preserve"> </w:t>
      </w:r>
      <w:r w:rsidRPr="00DC55B0">
        <w:rPr>
          <w:b/>
          <w:bCs/>
        </w:rPr>
        <w:t>41</w:t>
      </w:r>
      <w:r w:rsidRPr="00DC55B0">
        <w:t>, 4220–4227 (2023).</w:t>
      </w:r>
    </w:p>
    <w:p w14:paraId="1CE7A426" w14:textId="77777777" w:rsidR="00FD1901" w:rsidRPr="00DC55B0" w:rsidRDefault="00FD1901" w:rsidP="00FD1901">
      <w:pPr>
        <w:pStyle w:val="Bibliography"/>
      </w:pPr>
      <w:r w:rsidRPr="00DC55B0">
        <w:t>135.</w:t>
      </w:r>
      <w:r w:rsidRPr="00DC55B0">
        <w:tab/>
        <w:t xml:space="preserve">Gagneur, A., Gosselin, V. &amp; Dubé, È. Motivational interviewing: A promising tool to address vaccine hesitancy. </w:t>
      </w:r>
      <w:r w:rsidRPr="00DC55B0">
        <w:rPr>
          <w:i/>
          <w:iCs/>
        </w:rPr>
        <w:t>Vaccine</w:t>
      </w:r>
      <w:r w:rsidRPr="00DC55B0">
        <w:t xml:space="preserve"> </w:t>
      </w:r>
      <w:r w:rsidRPr="00DC55B0">
        <w:rPr>
          <w:b/>
          <w:bCs/>
        </w:rPr>
        <w:t>36</w:t>
      </w:r>
      <w:r w:rsidRPr="00DC55B0">
        <w:t>, 6553–6555 (2018).</w:t>
      </w:r>
    </w:p>
    <w:p w14:paraId="7D90F72B" w14:textId="77777777" w:rsidR="00FD1901" w:rsidRPr="00DC55B0" w:rsidRDefault="00FD1901" w:rsidP="00FD1901">
      <w:pPr>
        <w:pStyle w:val="Bibliography"/>
      </w:pPr>
      <w:r w:rsidRPr="00DC55B0">
        <w:t>136.</w:t>
      </w:r>
      <w:r w:rsidRPr="00DC55B0">
        <w:tab/>
        <w:t xml:space="preserve">Hu, X., Wang, H.-Y., Otero, C. E., Jenks, J. A. &amp; Permar, S. R. Lessons from Acquired Natural Immunity and Clinical Trials to Inform Next-Generation Human Cytomegalovirus Vaccine Development. </w:t>
      </w:r>
      <w:r w:rsidRPr="00DC55B0">
        <w:rPr>
          <w:i/>
          <w:iCs/>
        </w:rPr>
        <w:t>Annu. Rev. Virol.</w:t>
      </w:r>
      <w:r w:rsidRPr="00DC55B0">
        <w:t xml:space="preserve"> </w:t>
      </w:r>
      <w:r w:rsidRPr="00DC55B0">
        <w:rPr>
          <w:b/>
          <w:bCs/>
        </w:rPr>
        <w:t>9</w:t>
      </w:r>
      <w:r w:rsidRPr="00DC55B0">
        <w:t>, 491–520 (2022).</w:t>
      </w:r>
    </w:p>
    <w:p w14:paraId="3D671BB4" w14:textId="77777777" w:rsidR="00FD1901" w:rsidRPr="00DC55B0" w:rsidRDefault="00FD1901" w:rsidP="00FD1901">
      <w:pPr>
        <w:pStyle w:val="Bibliography"/>
      </w:pPr>
      <w:r w:rsidRPr="00DC55B0">
        <w:t>137.</w:t>
      </w:r>
      <w:r w:rsidRPr="00DC55B0">
        <w:tab/>
        <w:t xml:space="preserve">Woodson, S. E. &amp; Morabito, K. M. Continuing development of vaccines and monoclonal antibodies against Zika virus. </w:t>
      </w:r>
      <w:r w:rsidRPr="00DC55B0">
        <w:rPr>
          <w:i/>
          <w:iCs/>
        </w:rPr>
        <w:t>Npj Vaccines</w:t>
      </w:r>
      <w:r w:rsidRPr="00DC55B0">
        <w:t xml:space="preserve"> </w:t>
      </w:r>
      <w:r w:rsidRPr="00DC55B0">
        <w:rPr>
          <w:b/>
          <w:bCs/>
        </w:rPr>
        <w:t>9</w:t>
      </w:r>
      <w:r w:rsidRPr="00DC55B0">
        <w:t>, 1–8 (2024).</w:t>
      </w:r>
    </w:p>
    <w:p w14:paraId="379E99FD" w14:textId="77777777" w:rsidR="00FD1901" w:rsidRPr="00DC55B0" w:rsidRDefault="00FD1901" w:rsidP="00FD1901">
      <w:pPr>
        <w:pStyle w:val="Bibliography"/>
      </w:pPr>
      <w:r w:rsidRPr="00DC55B0">
        <w:t>138.</w:t>
      </w:r>
      <w:r w:rsidRPr="00DC55B0">
        <w:tab/>
        <w:t xml:space="preserve">Kayem, N. D. </w:t>
      </w:r>
      <w:r w:rsidRPr="00DC55B0">
        <w:rPr>
          <w:i/>
          <w:iCs/>
        </w:rPr>
        <w:t>et al.</w:t>
      </w:r>
      <w:r w:rsidRPr="00DC55B0">
        <w:t xml:space="preserve"> Lassa fever in pregnancy: a systematic review and meta-analysis. </w:t>
      </w:r>
      <w:r w:rsidRPr="00DC55B0">
        <w:rPr>
          <w:i/>
          <w:iCs/>
        </w:rPr>
        <w:t>Trans. R. Soc. Trop. Med. Hyg.</w:t>
      </w:r>
      <w:r w:rsidRPr="00DC55B0">
        <w:t xml:space="preserve"> </w:t>
      </w:r>
      <w:r w:rsidRPr="00DC55B0">
        <w:rPr>
          <w:b/>
          <w:bCs/>
        </w:rPr>
        <w:t>114</w:t>
      </w:r>
      <w:r w:rsidRPr="00DC55B0">
        <w:t>, 385–396 (2020).</w:t>
      </w:r>
    </w:p>
    <w:p w14:paraId="5A865154" w14:textId="77777777" w:rsidR="00FD1901" w:rsidRPr="00DC55B0" w:rsidRDefault="00FD1901" w:rsidP="00FD1901">
      <w:pPr>
        <w:pStyle w:val="Bibliography"/>
      </w:pPr>
      <w:r w:rsidRPr="00DC55B0">
        <w:t>139.</w:t>
      </w:r>
      <w:r w:rsidRPr="00DC55B0">
        <w:tab/>
        <w:t xml:space="preserve">Patra, S., Kumar, A., Trivedi, S. S., Puri, M. &amp; Sarin, S. K. Maternal and fetal outcomes in pregnant women with acute hepatitis E virus infection. </w:t>
      </w:r>
      <w:r w:rsidRPr="00DC55B0">
        <w:rPr>
          <w:i/>
          <w:iCs/>
        </w:rPr>
        <w:t>Ann. Intern. Med.</w:t>
      </w:r>
      <w:r w:rsidRPr="00DC55B0">
        <w:t xml:space="preserve"> </w:t>
      </w:r>
      <w:r w:rsidRPr="00DC55B0">
        <w:rPr>
          <w:b/>
          <w:bCs/>
        </w:rPr>
        <w:t>147</w:t>
      </w:r>
      <w:r w:rsidRPr="00DC55B0">
        <w:t>, 28–33 (2007).</w:t>
      </w:r>
    </w:p>
    <w:p w14:paraId="6DEAFC39" w14:textId="77777777" w:rsidR="00FD1901" w:rsidRPr="00DC55B0" w:rsidRDefault="00FD1901" w:rsidP="00FD1901">
      <w:pPr>
        <w:pStyle w:val="Bibliography"/>
      </w:pPr>
      <w:r w:rsidRPr="00DC55B0">
        <w:t>140.</w:t>
      </w:r>
      <w:r w:rsidRPr="00DC55B0">
        <w:tab/>
        <w:t>World Health Organization. Hepatitis E vaccine: WHO position paper, May 2015. https://iris.who.int/bitstream/handle/10665/242352/WER9018_185-200.PDF?sequence=1 (2015).</w:t>
      </w:r>
    </w:p>
    <w:p w14:paraId="6ADB0872" w14:textId="77777777" w:rsidR="00FD1901" w:rsidRPr="00DC55B0" w:rsidRDefault="00FD1901" w:rsidP="00FD1901">
      <w:pPr>
        <w:pStyle w:val="Bibliography"/>
      </w:pPr>
      <w:r w:rsidRPr="00DC55B0">
        <w:t>141.</w:t>
      </w:r>
      <w:r w:rsidRPr="00DC55B0">
        <w:tab/>
        <w:t xml:space="preserve">Huang, S. </w:t>
      </w:r>
      <w:r w:rsidRPr="00DC55B0">
        <w:rPr>
          <w:i/>
          <w:iCs/>
        </w:rPr>
        <w:t>et al.</w:t>
      </w:r>
      <w:r w:rsidRPr="00DC55B0">
        <w:t xml:space="preserve"> Long-term efficacy of a recombinant hepatitis E vaccine in adults: 10-year results from a randomised, double-blind, placebo-controlled, phase 3 trial. </w:t>
      </w:r>
      <w:r w:rsidRPr="00DC55B0">
        <w:rPr>
          <w:i/>
          <w:iCs/>
        </w:rPr>
        <w:t>Lancet Lond. Engl.</w:t>
      </w:r>
      <w:r w:rsidRPr="00DC55B0">
        <w:t xml:space="preserve"> </w:t>
      </w:r>
      <w:r w:rsidRPr="00DC55B0">
        <w:rPr>
          <w:b/>
          <w:bCs/>
        </w:rPr>
        <w:t>403</w:t>
      </w:r>
      <w:r w:rsidRPr="00DC55B0">
        <w:t>, 813–823 (2024).</w:t>
      </w:r>
    </w:p>
    <w:p w14:paraId="6FDFF36C" w14:textId="77777777" w:rsidR="00FD1901" w:rsidRPr="00DC55B0" w:rsidRDefault="00FD1901" w:rsidP="00FD1901">
      <w:pPr>
        <w:pStyle w:val="Bibliography"/>
      </w:pPr>
      <w:r w:rsidRPr="00DC55B0">
        <w:t>142.</w:t>
      </w:r>
      <w:r w:rsidRPr="00DC55B0">
        <w:tab/>
        <w:t>UK Health Security Agency. Pertussis: the green book, chapter 24. https://www.gov.uk/government/publications/pertussis-the-green-book-chapter-24 (2024).</w:t>
      </w:r>
    </w:p>
    <w:p w14:paraId="7D8A79BB" w14:textId="77777777" w:rsidR="00FD1901" w:rsidRPr="00DC55B0" w:rsidRDefault="00FD1901" w:rsidP="00FD1901">
      <w:pPr>
        <w:pStyle w:val="Bibliography"/>
      </w:pPr>
      <w:r w:rsidRPr="00DC55B0">
        <w:t>143.</w:t>
      </w:r>
      <w:r w:rsidRPr="00DC55B0">
        <w:tab/>
        <w:t>UK Health Security Agency. Respiratory syncytial virus: the green book, chapter 27a. https://www.gov.uk/government/publications/respiratory-syncytial-virus-the-green-book-chapter-27a (2024).</w:t>
      </w:r>
    </w:p>
    <w:p w14:paraId="446CF2BE" w14:textId="77777777" w:rsidR="00FD1901" w:rsidRPr="00DC55B0" w:rsidRDefault="00FD1901" w:rsidP="00FD1901">
      <w:pPr>
        <w:pStyle w:val="Bibliography"/>
      </w:pPr>
      <w:r w:rsidRPr="00DC55B0">
        <w:t>144.</w:t>
      </w:r>
      <w:r w:rsidRPr="00DC55B0">
        <w:tab/>
        <w:t xml:space="preserve">JCVI statement on COVID-19 vaccination in 2025 and spring 2026. </w:t>
      </w:r>
      <w:r w:rsidRPr="00DC55B0">
        <w:rPr>
          <w:i/>
          <w:iCs/>
        </w:rPr>
        <w:t>GOV.UK</w:t>
      </w:r>
      <w:r w:rsidRPr="00DC55B0">
        <w:t xml:space="preserve"> https://www.gov.uk/government/publications/covid-19-vaccination-in-2025-and-spring-2026-jcvi-advice/jcvi-statement-on-covid-19-vaccination-in-2025-and-spring-2026.</w:t>
      </w:r>
    </w:p>
    <w:p w14:paraId="1819F398" w14:textId="54201E78" w:rsidR="00A2465B" w:rsidRPr="001B6CAC" w:rsidRDefault="00767DEC" w:rsidP="001F3ACA">
      <w:pPr>
        <w:rPr>
          <w:rFonts w:ascii="Calibri" w:hAnsi="Calibri" w:cs="Calibri"/>
        </w:rPr>
      </w:pPr>
      <w:r w:rsidRPr="00DC55B0">
        <w:rPr>
          <w:rFonts w:ascii="Calibri" w:hAnsi="Calibri" w:cs="Calibri"/>
        </w:rPr>
        <w:fldChar w:fldCharType="end"/>
      </w:r>
    </w:p>
    <w:sectPr w:rsidR="00A2465B" w:rsidRPr="001B6CAC" w:rsidSect="009755C1">
      <w:footerReference w:type="default" r:id="rId11"/>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E7758" w14:textId="77777777" w:rsidR="00E85B76" w:rsidRDefault="00E85B76" w:rsidP="009111CE">
      <w:r>
        <w:separator/>
      </w:r>
    </w:p>
  </w:endnote>
  <w:endnote w:type="continuationSeparator" w:id="0">
    <w:p w14:paraId="56C41C1C" w14:textId="77777777" w:rsidR="00E85B76" w:rsidRDefault="00E85B76" w:rsidP="00911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648684"/>
      <w:docPartObj>
        <w:docPartGallery w:val="Page Numbers (Bottom of Page)"/>
        <w:docPartUnique/>
      </w:docPartObj>
    </w:sdtPr>
    <w:sdtEndPr>
      <w:rPr>
        <w:noProof/>
      </w:rPr>
    </w:sdtEndPr>
    <w:sdtContent>
      <w:p w14:paraId="3744011D" w14:textId="263F5A9D" w:rsidR="009111CE" w:rsidRDefault="009111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F11D14" w14:textId="77777777" w:rsidR="009111CE" w:rsidRDefault="00911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D7A2F" w14:textId="77777777" w:rsidR="00E85B76" w:rsidRDefault="00E85B76" w:rsidP="009111CE">
      <w:r>
        <w:separator/>
      </w:r>
    </w:p>
  </w:footnote>
  <w:footnote w:type="continuationSeparator" w:id="0">
    <w:p w14:paraId="577FA0C0" w14:textId="77777777" w:rsidR="00E85B76" w:rsidRDefault="00E85B76" w:rsidP="00911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B29"/>
    <w:multiLevelType w:val="hybridMultilevel"/>
    <w:tmpl w:val="ADA07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90C93"/>
    <w:multiLevelType w:val="hybridMultilevel"/>
    <w:tmpl w:val="3DDEC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D152D"/>
    <w:multiLevelType w:val="hybridMultilevel"/>
    <w:tmpl w:val="33909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25E25"/>
    <w:multiLevelType w:val="hybridMultilevel"/>
    <w:tmpl w:val="13CA7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60DD3"/>
    <w:multiLevelType w:val="hybridMultilevel"/>
    <w:tmpl w:val="0450AA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785DAA"/>
    <w:multiLevelType w:val="multilevel"/>
    <w:tmpl w:val="0B36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341DF5"/>
    <w:multiLevelType w:val="hybridMultilevel"/>
    <w:tmpl w:val="27BCC85A"/>
    <w:lvl w:ilvl="0" w:tplc="F98AEE1C">
      <w:start w:val="1"/>
      <w:numFmt w:val="decimal"/>
      <w:lvlText w:val="%1."/>
      <w:lvlJc w:val="left"/>
      <w:pPr>
        <w:ind w:left="720" w:hanging="360"/>
      </w:pPr>
      <w:rPr>
        <w:rFonts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712E19"/>
    <w:multiLevelType w:val="hybridMultilevel"/>
    <w:tmpl w:val="4A5067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13212D"/>
    <w:multiLevelType w:val="hybridMultilevel"/>
    <w:tmpl w:val="EFFE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F294A"/>
    <w:multiLevelType w:val="hybridMultilevel"/>
    <w:tmpl w:val="C9C4F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90741A"/>
    <w:multiLevelType w:val="hybridMultilevel"/>
    <w:tmpl w:val="F53E0922"/>
    <w:lvl w:ilvl="0" w:tplc="08090001">
      <w:start w:val="1"/>
      <w:numFmt w:val="bullet"/>
      <w:lvlText w:val=""/>
      <w:lvlJc w:val="left"/>
      <w:pPr>
        <w:ind w:left="720" w:hanging="360"/>
      </w:pPr>
      <w:rPr>
        <w:rFonts w:ascii="Symbol" w:hAnsi="Symbol" w:hint="default"/>
        <w:color w:val="2222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41360B3"/>
    <w:multiLevelType w:val="hybridMultilevel"/>
    <w:tmpl w:val="18DCF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B6E85"/>
    <w:multiLevelType w:val="hybridMultilevel"/>
    <w:tmpl w:val="47981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3538D3"/>
    <w:multiLevelType w:val="hybridMultilevel"/>
    <w:tmpl w:val="27BCC85A"/>
    <w:lvl w:ilvl="0" w:tplc="FFFFFFFF">
      <w:start w:val="1"/>
      <w:numFmt w:val="decimal"/>
      <w:lvlText w:val="%1."/>
      <w:lvlJc w:val="left"/>
      <w:pPr>
        <w:ind w:left="720" w:hanging="360"/>
      </w:pPr>
      <w:rPr>
        <w:rFonts w:hint="default"/>
        <w:color w:val="2222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8854D0A"/>
    <w:multiLevelType w:val="multilevel"/>
    <w:tmpl w:val="5F86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611719"/>
    <w:multiLevelType w:val="hybridMultilevel"/>
    <w:tmpl w:val="A238AE72"/>
    <w:lvl w:ilvl="0" w:tplc="124A08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417632"/>
    <w:multiLevelType w:val="hybridMultilevel"/>
    <w:tmpl w:val="BFD856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A0083D"/>
    <w:multiLevelType w:val="hybridMultilevel"/>
    <w:tmpl w:val="7ABCF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5A168D"/>
    <w:multiLevelType w:val="multilevel"/>
    <w:tmpl w:val="950C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9475E"/>
    <w:multiLevelType w:val="hybridMultilevel"/>
    <w:tmpl w:val="2E783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27E5468"/>
    <w:multiLevelType w:val="hybridMultilevel"/>
    <w:tmpl w:val="D91CBCF8"/>
    <w:lvl w:ilvl="0" w:tplc="124A08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AF1092"/>
    <w:multiLevelType w:val="hybridMultilevel"/>
    <w:tmpl w:val="0526FF1E"/>
    <w:lvl w:ilvl="0" w:tplc="F70E86C0">
      <w:start w:val="2"/>
      <w:numFmt w:val="bullet"/>
      <w:lvlText w:val="-"/>
      <w:lvlJc w:val="left"/>
      <w:pPr>
        <w:ind w:left="720" w:hanging="360"/>
      </w:pPr>
      <w:rPr>
        <w:rFonts w:ascii="Calibri" w:eastAsiaTheme="majorEastAsia"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7E4B76"/>
    <w:multiLevelType w:val="hybridMultilevel"/>
    <w:tmpl w:val="8294E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AE1A7F"/>
    <w:multiLevelType w:val="hybridMultilevel"/>
    <w:tmpl w:val="595EE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C1E7856"/>
    <w:multiLevelType w:val="hybridMultilevel"/>
    <w:tmpl w:val="952E7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7759C0"/>
    <w:multiLevelType w:val="hybridMultilevel"/>
    <w:tmpl w:val="AB927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CB1398"/>
    <w:multiLevelType w:val="multilevel"/>
    <w:tmpl w:val="CD56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9B298B"/>
    <w:multiLevelType w:val="hybridMultilevel"/>
    <w:tmpl w:val="BA143A08"/>
    <w:lvl w:ilvl="0" w:tplc="124A080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703D8F"/>
    <w:multiLevelType w:val="hybridMultilevel"/>
    <w:tmpl w:val="D134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0799">
    <w:abstractNumId w:val="23"/>
  </w:num>
  <w:num w:numId="2" w16cid:durableId="191772625">
    <w:abstractNumId w:val="19"/>
  </w:num>
  <w:num w:numId="3" w16cid:durableId="1381857345">
    <w:abstractNumId w:val="19"/>
  </w:num>
  <w:num w:numId="4" w16cid:durableId="1284995770">
    <w:abstractNumId w:val="28"/>
  </w:num>
  <w:num w:numId="5" w16cid:durableId="552710">
    <w:abstractNumId w:val="3"/>
  </w:num>
  <w:num w:numId="6" w16cid:durableId="1705448478">
    <w:abstractNumId w:val="2"/>
  </w:num>
  <w:num w:numId="7" w16cid:durableId="1625771691">
    <w:abstractNumId w:val="5"/>
  </w:num>
  <w:num w:numId="8" w16cid:durableId="177472610">
    <w:abstractNumId w:val="11"/>
  </w:num>
  <w:num w:numId="9" w16cid:durableId="599947558">
    <w:abstractNumId w:val="22"/>
  </w:num>
  <w:num w:numId="10" w16cid:durableId="2102600855">
    <w:abstractNumId w:val="6"/>
  </w:num>
  <w:num w:numId="11" w16cid:durableId="966861459">
    <w:abstractNumId w:val="13"/>
  </w:num>
  <w:num w:numId="12" w16cid:durableId="65761131">
    <w:abstractNumId w:val="8"/>
  </w:num>
  <w:num w:numId="13" w16cid:durableId="1787432350">
    <w:abstractNumId w:val="27"/>
  </w:num>
  <w:num w:numId="14" w16cid:durableId="776028623">
    <w:abstractNumId w:val="20"/>
  </w:num>
  <w:num w:numId="15" w16cid:durableId="824784601">
    <w:abstractNumId w:val="15"/>
  </w:num>
  <w:num w:numId="16" w16cid:durableId="405231514">
    <w:abstractNumId w:val="25"/>
  </w:num>
  <w:num w:numId="17" w16cid:durableId="2081979001">
    <w:abstractNumId w:val="17"/>
  </w:num>
  <w:num w:numId="18" w16cid:durableId="1774203922">
    <w:abstractNumId w:val="0"/>
  </w:num>
  <w:num w:numId="19" w16cid:durableId="1517230634">
    <w:abstractNumId w:val="10"/>
  </w:num>
  <w:num w:numId="20" w16cid:durableId="357120053">
    <w:abstractNumId w:val="1"/>
  </w:num>
  <w:num w:numId="21" w16cid:durableId="1593247279">
    <w:abstractNumId w:val="16"/>
  </w:num>
  <w:num w:numId="22" w16cid:durableId="377512345">
    <w:abstractNumId w:val="9"/>
  </w:num>
  <w:num w:numId="23" w16cid:durableId="496460922">
    <w:abstractNumId w:val="14"/>
  </w:num>
  <w:num w:numId="24" w16cid:durableId="240333829">
    <w:abstractNumId w:val="18"/>
  </w:num>
  <w:num w:numId="25" w16cid:durableId="1188181691">
    <w:abstractNumId w:val="26"/>
  </w:num>
  <w:num w:numId="26" w16cid:durableId="413282231">
    <w:abstractNumId w:val="12"/>
  </w:num>
  <w:num w:numId="27" w16cid:durableId="1295142557">
    <w:abstractNumId w:val="7"/>
  </w:num>
  <w:num w:numId="28" w16cid:durableId="276303798">
    <w:abstractNumId w:val="24"/>
  </w:num>
  <w:num w:numId="29" w16cid:durableId="1658338201">
    <w:abstractNumId w:val="4"/>
  </w:num>
  <w:num w:numId="30" w16cid:durableId="6167190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D6"/>
    <w:rsid w:val="00000338"/>
    <w:rsid w:val="00000D20"/>
    <w:rsid w:val="00000EFE"/>
    <w:rsid w:val="000018A4"/>
    <w:rsid w:val="00001EBE"/>
    <w:rsid w:val="000020FB"/>
    <w:rsid w:val="00004AA5"/>
    <w:rsid w:val="000053C8"/>
    <w:rsid w:val="00005B6D"/>
    <w:rsid w:val="0000686B"/>
    <w:rsid w:val="00007253"/>
    <w:rsid w:val="000120A1"/>
    <w:rsid w:val="00012F0E"/>
    <w:rsid w:val="00013751"/>
    <w:rsid w:val="00014FB4"/>
    <w:rsid w:val="00016742"/>
    <w:rsid w:val="00017A33"/>
    <w:rsid w:val="0002074C"/>
    <w:rsid w:val="00020E25"/>
    <w:rsid w:val="000228C1"/>
    <w:rsid w:val="000243C6"/>
    <w:rsid w:val="000255D6"/>
    <w:rsid w:val="00025ACA"/>
    <w:rsid w:val="00026913"/>
    <w:rsid w:val="00026E70"/>
    <w:rsid w:val="00027264"/>
    <w:rsid w:val="000275AE"/>
    <w:rsid w:val="0003090D"/>
    <w:rsid w:val="00031714"/>
    <w:rsid w:val="00031ADD"/>
    <w:rsid w:val="00032CA0"/>
    <w:rsid w:val="000334D6"/>
    <w:rsid w:val="000336D8"/>
    <w:rsid w:val="00033F10"/>
    <w:rsid w:val="0003449A"/>
    <w:rsid w:val="00035517"/>
    <w:rsid w:val="00035654"/>
    <w:rsid w:val="0003604D"/>
    <w:rsid w:val="0003735B"/>
    <w:rsid w:val="00037958"/>
    <w:rsid w:val="00040039"/>
    <w:rsid w:val="000414BA"/>
    <w:rsid w:val="0004183A"/>
    <w:rsid w:val="00041C2A"/>
    <w:rsid w:val="00041F4E"/>
    <w:rsid w:val="000423BF"/>
    <w:rsid w:val="000424F1"/>
    <w:rsid w:val="00042F38"/>
    <w:rsid w:val="000438A2"/>
    <w:rsid w:val="00044981"/>
    <w:rsid w:val="00045240"/>
    <w:rsid w:val="0004549C"/>
    <w:rsid w:val="0004595A"/>
    <w:rsid w:val="00045CF8"/>
    <w:rsid w:val="0004757B"/>
    <w:rsid w:val="0004770A"/>
    <w:rsid w:val="00047759"/>
    <w:rsid w:val="00047B76"/>
    <w:rsid w:val="00050B2E"/>
    <w:rsid w:val="00051A3A"/>
    <w:rsid w:val="000549FE"/>
    <w:rsid w:val="00055239"/>
    <w:rsid w:val="00056DE4"/>
    <w:rsid w:val="00056F2F"/>
    <w:rsid w:val="00056FB8"/>
    <w:rsid w:val="00057C02"/>
    <w:rsid w:val="0006118D"/>
    <w:rsid w:val="00061423"/>
    <w:rsid w:val="0006189F"/>
    <w:rsid w:val="00062A47"/>
    <w:rsid w:val="0006354B"/>
    <w:rsid w:val="00065D05"/>
    <w:rsid w:val="000668C9"/>
    <w:rsid w:val="00067C0B"/>
    <w:rsid w:val="00067FD8"/>
    <w:rsid w:val="0007066A"/>
    <w:rsid w:val="000718BF"/>
    <w:rsid w:val="00071A8C"/>
    <w:rsid w:val="00071D89"/>
    <w:rsid w:val="00072506"/>
    <w:rsid w:val="00073AFA"/>
    <w:rsid w:val="0007445F"/>
    <w:rsid w:val="00074741"/>
    <w:rsid w:val="00074743"/>
    <w:rsid w:val="000757A4"/>
    <w:rsid w:val="00075B9A"/>
    <w:rsid w:val="00077AF0"/>
    <w:rsid w:val="0008093A"/>
    <w:rsid w:val="00080ABD"/>
    <w:rsid w:val="00080D24"/>
    <w:rsid w:val="00081A01"/>
    <w:rsid w:val="0008252D"/>
    <w:rsid w:val="00082DEB"/>
    <w:rsid w:val="000857FF"/>
    <w:rsid w:val="00085AD7"/>
    <w:rsid w:val="00086A4F"/>
    <w:rsid w:val="00090102"/>
    <w:rsid w:val="00093394"/>
    <w:rsid w:val="0009424C"/>
    <w:rsid w:val="00094547"/>
    <w:rsid w:val="000945C1"/>
    <w:rsid w:val="00094EDA"/>
    <w:rsid w:val="000953C9"/>
    <w:rsid w:val="00096259"/>
    <w:rsid w:val="00096AB4"/>
    <w:rsid w:val="000976F5"/>
    <w:rsid w:val="00097A09"/>
    <w:rsid w:val="000A1C28"/>
    <w:rsid w:val="000A35FA"/>
    <w:rsid w:val="000A4297"/>
    <w:rsid w:val="000A48A9"/>
    <w:rsid w:val="000A4A5D"/>
    <w:rsid w:val="000A7856"/>
    <w:rsid w:val="000A79F4"/>
    <w:rsid w:val="000A7BEE"/>
    <w:rsid w:val="000A7D03"/>
    <w:rsid w:val="000B11BB"/>
    <w:rsid w:val="000B2BB1"/>
    <w:rsid w:val="000B2EEC"/>
    <w:rsid w:val="000B4803"/>
    <w:rsid w:val="000B5D5C"/>
    <w:rsid w:val="000C0182"/>
    <w:rsid w:val="000C0926"/>
    <w:rsid w:val="000C1C53"/>
    <w:rsid w:val="000C26E3"/>
    <w:rsid w:val="000C2D07"/>
    <w:rsid w:val="000C30C9"/>
    <w:rsid w:val="000C3D22"/>
    <w:rsid w:val="000C3D67"/>
    <w:rsid w:val="000C4773"/>
    <w:rsid w:val="000C5D79"/>
    <w:rsid w:val="000C63DA"/>
    <w:rsid w:val="000C7BF8"/>
    <w:rsid w:val="000D0294"/>
    <w:rsid w:val="000D07D8"/>
    <w:rsid w:val="000D250F"/>
    <w:rsid w:val="000D3478"/>
    <w:rsid w:val="000D3C18"/>
    <w:rsid w:val="000D511F"/>
    <w:rsid w:val="000D613E"/>
    <w:rsid w:val="000D6668"/>
    <w:rsid w:val="000D705E"/>
    <w:rsid w:val="000D7F98"/>
    <w:rsid w:val="000E0913"/>
    <w:rsid w:val="000E426A"/>
    <w:rsid w:val="000E5428"/>
    <w:rsid w:val="000E65C7"/>
    <w:rsid w:val="000E721C"/>
    <w:rsid w:val="000E77C9"/>
    <w:rsid w:val="000F36B9"/>
    <w:rsid w:val="000F446D"/>
    <w:rsid w:val="000F5325"/>
    <w:rsid w:val="000F5B32"/>
    <w:rsid w:val="000F6375"/>
    <w:rsid w:val="000F68A6"/>
    <w:rsid w:val="000F7539"/>
    <w:rsid w:val="000F76BA"/>
    <w:rsid w:val="001003B1"/>
    <w:rsid w:val="001015D3"/>
    <w:rsid w:val="00101E7C"/>
    <w:rsid w:val="00102EF7"/>
    <w:rsid w:val="001032A8"/>
    <w:rsid w:val="001049DC"/>
    <w:rsid w:val="00104BED"/>
    <w:rsid w:val="001059BD"/>
    <w:rsid w:val="00105B80"/>
    <w:rsid w:val="0010625C"/>
    <w:rsid w:val="00107236"/>
    <w:rsid w:val="00107718"/>
    <w:rsid w:val="0010780E"/>
    <w:rsid w:val="00110054"/>
    <w:rsid w:val="00110C24"/>
    <w:rsid w:val="00111A6E"/>
    <w:rsid w:val="00112874"/>
    <w:rsid w:val="001135B8"/>
    <w:rsid w:val="001136A3"/>
    <w:rsid w:val="00113D08"/>
    <w:rsid w:val="001159D4"/>
    <w:rsid w:val="00116B96"/>
    <w:rsid w:val="001178D4"/>
    <w:rsid w:val="00117EC5"/>
    <w:rsid w:val="00117EFA"/>
    <w:rsid w:val="00120913"/>
    <w:rsid w:val="001212C6"/>
    <w:rsid w:val="001228B7"/>
    <w:rsid w:val="00125AAB"/>
    <w:rsid w:val="00125AC7"/>
    <w:rsid w:val="00125CD9"/>
    <w:rsid w:val="00125D7D"/>
    <w:rsid w:val="00125FD6"/>
    <w:rsid w:val="00126FCF"/>
    <w:rsid w:val="001306AE"/>
    <w:rsid w:val="00132005"/>
    <w:rsid w:val="0013221B"/>
    <w:rsid w:val="0013225B"/>
    <w:rsid w:val="00132347"/>
    <w:rsid w:val="001324E6"/>
    <w:rsid w:val="0013306D"/>
    <w:rsid w:val="00133893"/>
    <w:rsid w:val="00134C20"/>
    <w:rsid w:val="00135D54"/>
    <w:rsid w:val="001366E6"/>
    <w:rsid w:val="00136C96"/>
    <w:rsid w:val="001371B7"/>
    <w:rsid w:val="00137FAA"/>
    <w:rsid w:val="00140CD0"/>
    <w:rsid w:val="001411FE"/>
    <w:rsid w:val="001412E3"/>
    <w:rsid w:val="00142F7E"/>
    <w:rsid w:val="001441ED"/>
    <w:rsid w:val="00146A12"/>
    <w:rsid w:val="00147FFB"/>
    <w:rsid w:val="00151CBA"/>
    <w:rsid w:val="001522E7"/>
    <w:rsid w:val="00152E10"/>
    <w:rsid w:val="001535DD"/>
    <w:rsid w:val="001544C1"/>
    <w:rsid w:val="001554B5"/>
    <w:rsid w:val="00156637"/>
    <w:rsid w:val="0015711E"/>
    <w:rsid w:val="00157722"/>
    <w:rsid w:val="001602A9"/>
    <w:rsid w:val="00160C0F"/>
    <w:rsid w:val="0016133E"/>
    <w:rsid w:val="001615BA"/>
    <w:rsid w:val="00163D58"/>
    <w:rsid w:val="00166EF6"/>
    <w:rsid w:val="00166F72"/>
    <w:rsid w:val="00167AED"/>
    <w:rsid w:val="001715B5"/>
    <w:rsid w:val="001718E3"/>
    <w:rsid w:val="00172A1C"/>
    <w:rsid w:val="00172DDE"/>
    <w:rsid w:val="00175025"/>
    <w:rsid w:val="00177116"/>
    <w:rsid w:val="001779FA"/>
    <w:rsid w:val="00180AAE"/>
    <w:rsid w:val="00182765"/>
    <w:rsid w:val="00183682"/>
    <w:rsid w:val="00184112"/>
    <w:rsid w:val="00185703"/>
    <w:rsid w:val="001871B7"/>
    <w:rsid w:val="00187B52"/>
    <w:rsid w:val="0019131F"/>
    <w:rsid w:val="00191DEA"/>
    <w:rsid w:val="001922C9"/>
    <w:rsid w:val="001929F3"/>
    <w:rsid w:val="00192F9E"/>
    <w:rsid w:val="001931C9"/>
    <w:rsid w:val="001935B3"/>
    <w:rsid w:val="00193AFC"/>
    <w:rsid w:val="00193B77"/>
    <w:rsid w:val="001947FB"/>
    <w:rsid w:val="00195452"/>
    <w:rsid w:val="001977BB"/>
    <w:rsid w:val="001A2A17"/>
    <w:rsid w:val="001A2D55"/>
    <w:rsid w:val="001A414A"/>
    <w:rsid w:val="001A4C5E"/>
    <w:rsid w:val="001A64E9"/>
    <w:rsid w:val="001A671E"/>
    <w:rsid w:val="001B0B22"/>
    <w:rsid w:val="001B215D"/>
    <w:rsid w:val="001B27B3"/>
    <w:rsid w:val="001B52CE"/>
    <w:rsid w:val="001B6C72"/>
    <w:rsid w:val="001B6CAC"/>
    <w:rsid w:val="001C0292"/>
    <w:rsid w:val="001C2341"/>
    <w:rsid w:val="001C2716"/>
    <w:rsid w:val="001C5E66"/>
    <w:rsid w:val="001C5EC7"/>
    <w:rsid w:val="001C6CB6"/>
    <w:rsid w:val="001C6F3A"/>
    <w:rsid w:val="001C6FF5"/>
    <w:rsid w:val="001C7F96"/>
    <w:rsid w:val="001D117E"/>
    <w:rsid w:val="001D1548"/>
    <w:rsid w:val="001D167E"/>
    <w:rsid w:val="001D2FA4"/>
    <w:rsid w:val="001D3151"/>
    <w:rsid w:val="001D32B1"/>
    <w:rsid w:val="001D37FF"/>
    <w:rsid w:val="001D3A87"/>
    <w:rsid w:val="001D62A5"/>
    <w:rsid w:val="001D7FE6"/>
    <w:rsid w:val="001E08B4"/>
    <w:rsid w:val="001E550A"/>
    <w:rsid w:val="001E6397"/>
    <w:rsid w:val="001E75C7"/>
    <w:rsid w:val="001E7961"/>
    <w:rsid w:val="001F139E"/>
    <w:rsid w:val="001F1843"/>
    <w:rsid w:val="001F3ACA"/>
    <w:rsid w:val="001F4AEF"/>
    <w:rsid w:val="001F5E2C"/>
    <w:rsid w:val="001F75B1"/>
    <w:rsid w:val="001F78D2"/>
    <w:rsid w:val="001F7E2E"/>
    <w:rsid w:val="002002FE"/>
    <w:rsid w:val="0020077B"/>
    <w:rsid w:val="002009A5"/>
    <w:rsid w:val="00202880"/>
    <w:rsid w:val="002028E6"/>
    <w:rsid w:val="0020320D"/>
    <w:rsid w:val="00203377"/>
    <w:rsid w:val="00203DD9"/>
    <w:rsid w:val="00205E3B"/>
    <w:rsid w:val="00206407"/>
    <w:rsid w:val="002066BC"/>
    <w:rsid w:val="002066DB"/>
    <w:rsid w:val="00206878"/>
    <w:rsid w:val="00206A2B"/>
    <w:rsid w:val="002071EF"/>
    <w:rsid w:val="00207808"/>
    <w:rsid w:val="00207EA4"/>
    <w:rsid w:val="00210CF8"/>
    <w:rsid w:val="00212790"/>
    <w:rsid w:val="0021305E"/>
    <w:rsid w:val="00214F23"/>
    <w:rsid w:val="002153E3"/>
    <w:rsid w:val="00215D0E"/>
    <w:rsid w:val="00216333"/>
    <w:rsid w:val="002164BF"/>
    <w:rsid w:val="00217ACE"/>
    <w:rsid w:val="00220946"/>
    <w:rsid w:val="00220FD2"/>
    <w:rsid w:val="00221405"/>
    <w:rsid w:val="00221E8F"/>
    <w:rsid w:val="00221EDD"/>
    <w:rsid w:val="00222B95"/>
    <w:rsid w:val="002230FE"/>
    <w:rsid w:val="00223214"/>
    <w:rsid w:val="00223C30"/>
    <w:rsid w:val="00223D14"/>
    <w:rsid w:val="002244DD"/>
    <w:rsid w:val="00224EAD"/>
    <w:rsid w:val="002272A6"/>
    <w:rsid w:val="0022747E"/>
    <w:rsid w:val="00227E70"/>
    <w:rsid w:val="00227FC2"/>
    <w:rsid w:val="00230445"/>
    <w:rsid w:val="00231511"/>
    <w:rsid w:val="00231757"/>
    <w:rsid w:val="00232729"/>
    <w:rsid w:val="00232A30"/>
    <w:rsid w:val="00236469"/>
    <w:rsid w:val="0023693A"/>
    <w:rsid w:val="00240EBF"/>
    <w:rsid w:val="002410EE"/>
    <w:rsid w:val="002415D9"/>
    <w:rsid w:val="00241B39"/>
    <w:rsid w:val="00241E55"/>
    <w:rsid w:val="00245E10"/>
    <w:rsid w:val="00246DC5"/>
    <w:rsid w:val="0025022D"/>
    <w:rsid w:val="00252DEA"/>
    <w:rsid w:val="00252F64"/>
    <w:rsid w:val="00253604"/>
    <w:rsid w:val="00254287"/>
    <w:rsid w:val="00254D19"/>
    <w:rsid w:val="002561C2"/>
    <w:rsid w:val="002563C5"/>
    <w:rsid w:val="00257566"/>
    <w:rsid w:val="002579F3"/>
    <w:rsid w:val="00257B13"/>
    <w:rsid w:val="00257BBF"/>
    <w:rsid w:val="00257D99"/>
    <w:rsid w:val="00257E89"/>
    <w:rsid w:val="00260DE1"/>
    <w:rsid w:val="0026136E"/>
    <w:rsid w:val="0026331D"/>
    <w:rsid w:val="00264209"/>
    <w:rsid w:val="00264C12"/>
    <w:rsid w:val="00264DBC"/>
    <w:rsid w:val="00265A58"/>
    <w:rsid w:val="00266293"/>
    <w:rsid w:val="002703EC"/>
    <w:rsid w:val="00271EB7"/>
    <w:rsid w:val="0027314C"/>
    <w:rsid w:val="002732EA"/>
    <w:rsid w:val="0027380A"/>
    <w:rsid w:val="00274ED5"/>
    <w:rsid w:val="002750DE"/>
    <w:rsid w:val="002765DD"/>
    <w:rsid w:val="00276CFB"/>
    <w:rsid w:val="00281DE6"/>
    <w:rsid w:val="00282AE2"/>
    <w:rsid w:val="002832D3"/>
    <w:rsid w:val="00285CA9"/>
    <w:rsid w:val="002860FA"/>
    <w:rsid w:val="00286D26"/>
    <w:rsid w:val="00287AA7"/>
    <w:rsid w:val="00292142"/>
    <w:rsid w:val="00292364"/>
    <w:rsid w:val="00293079"/>
    <w:rsid w:val="00294854"/>
    <w:rsid w:val="00295C11"/>
    <w:rsid w:val="00297F08"/>
    <w:rsid w:val="002A0060"/>
    <w:rsid w:val="002A0591"/>
    <w:rsid w:val="002A11E8"/>
    <w:rsid w:val="002A2689"/>
    <w:rsid w:val="002A3D32"/>
    <w:rsid w:val="002A45D8"/>
    <w:rsid w:val="002A4925"/>
    <w:rsid w:val="002A6776"/>
    <w:rsid w:val="002A79F8"/>
    <w:rsid w:val="002B057F"/>
    <w:rsid w:val="002B07C0"/>
    <w:rsid w:val="002B2ACE"/>
    <w:rsid w:val="002B2C25"/>
    <w:rsid w:val="002B3233"/>
    <w:rsid w:val="002B3B95"/>
    <w:rsid w:val="002B42B7"/>
    <w:rsid w:val="002B486F"/>
    <w:rsid w:val="002B4B99"/>
    <w:rsid w:val="002B5043"/>
    <w:rsid w:val="002B7AF0"/>
    <w:rsid w:val="002B7FD6"/>
    <w:rsid w:val="002C036A"/>
    <w:rsid w:val="002C08DD"/>
    <w:rsid w:val="002C2766"/>
    <w:rsid w:val="002C34D2"/>
    <w:rsid w:val="002C3FF6"/>
    <w:rsid w:val="002C419B"/>
    <w:rsid w:val="002C533E"/>
    <w:rsid w:val="002C590B"/>
    <w:rsid w:val="002C66B8"/>
    <w:rsid w:val="002C76DD"/>
    <w:rsid w:val="002D04AB"/>
    <w:rsid w:val="002D123E"/>
    <w:rsid w:val="002D1F94"/>
    <w:rsid w:val="002D1FA8"/>
    <w:rsid w:val="002D247B"/>
    <w:rsid w:val="002D3F72"/>
    <w:rsid w:val="002D412D"/>
    <w:rsid w:val="002D5FE9"/>
    <w:rsid w:val="002D6852"/>
    <w:rsid w:val="002D6D71"/>
    <w:rsid w:val="002D7215"/>
    <w:rsid w:val="002D7A11"/>
    <w:rsid w:val="002E04C0"/>
    <w:rsid w:val="002E49E5"/>
    <w:rsid w:val="002E5270"/>
    <w:rsid w:val="002E52D9"/>
    <w:rsid w:val="002E550D"/>
    <w:rsid w:val="002E5AD4"/>
    <w:rsid w:val="002E5B11"/>
    <w:rsid w:val="002E6B99"/>
    <w:rsid w:val="002E70EE"/>
    <w:rsid w:val="002E7930"/>
    <w:rsid w:val="002F20AF"/>
    <w:rsid w:val="002F2C69"/>
    <w:rsid w:val="002F48D0"/>
    <w:rsid w:val="002F4F78"/>
    <w:rsid w:val="002F52A7"/>
    <w:rsid w:val="002F5564"/>
    <w:rsid w:val="002F6376"/>
    <w:rsid w:val="002F6A33"/>
    <w:rsid w:val="002F6ED5"/>
    <w:rsid w:val="002F7614"/>
    <w:rsid w:val="002F7E90"/>
    <w:rsid w:val="00301416"/>
    <w:rsid w:val="0030288C"/>
    <w:rsid w:val="00303605"/>
    <w:rsid w:val="0030425C"/>
    <w:rsid w:val="00304838"/>
    <w:rsid w:val="00305ADB"/>
    <w:rsid w:val="003066DE"/>
    <w:rsid w:val="0030685D"/>
    <w:rsid w:val="00307189"/>
    <w:rsid w:val="003107A5"/>
    <w:rsid w:val="003119E0"/>
    <w:rsid w:val="003124F6"/>
    <w:rsid w:val="00312BF5"/>
    <w:rsid w:val="0031332A"/>
    <w:rsid w:val="00314E4E"/>
    <w:rsid w:val="00314ECB"/>
    <w:rsid w:val="00314F85"/>
    <w:rsid w:val="003155EE"/>
    <w:rsid w:val="00315B49"/>
    <w:rsid w:val="00315E7A"/>
    <w:rsid w:val="003220E4"/>
    <w:rsid w:val="00323C02"/>
    <w:rsid w:val="00324838"/>
    <w:rsid w:val="00324ABF"/>
    <w:rsid w:val="0032681C"/>
    <w:rsid w:val="00327A31"/>
    <w:rsid w:val="00334760"/>
    <w:rsid w:val="00334A99"/>
    <w:rsid w:val="0033611A"/>
    <w:rsid w:val="00336907"/>
    <w:rsid w:val="00336AA0"/>
    <w:rsid w:val="00337C40"/>
    <w:rsid w:val="003401C3"/>
    <w:rsid w:val="003413F8"/>
    <w:rsid w:val="003418A2"/>
    <w:rsid w:val="00343003"/>
    <w:rsid w:val="0034420A"/>
    <w:rsid w:val="0034526E"/>
    <w:rsid w:val="00346059"/>
    <w:rsid w:val="00346F9A"/>
    <w:rsid w:val="0034703F"/>
    <w:rsid w:val="003473F0"/>
    <w:rsid w:val="003502DF"/>
    <w:rsid w:val="00350C9C"/>
    <w:rsid w:val="00351335"/>
    <w:rsid w:val="00351A13"/>
    <w:rsid w:val="00352A48"/>
    <w:rsid w:val="003538E3"/>
    <w:rsid w:val="00354BE0"/>
    <w:rsid w:val="00355754"/>
    <w:rsid w:val="00355B99"/>
    <w:rsid w:val="00355EC5"/>
    <w:rsid w:val="00360A7B"/>
    <w:rsid w:val="00360F32"/>
    <w:rsid w:val="00361157"/>
    <w:rsid w:val="0036385C"/>
    <w:rsid w:val="003639CC"/>
    <w:rsid w:val="003642CB"/>
    <w:rsid w:val="003646CF"/>
    <w:rsid w:val="003661DE"/>
    <w:rsid w:val="0036756B"/>
    <w:rsid w:val="003676EC"/>
    <w:rsid w:val="0036778F"/>
    <w:rsid w:val="003700C6"/>
    <w:rsid w:val="00371D51"/>
    <w:rsid w:val="003725AD"/>
    <w:rsid w:val="003728A5"/>
    <w:rsid w:val="00374029"/>
    <w:rsid w:val="0037429A"/>
    <w:rsid w:val="00377468"/>
    <w:rsid w:val="00380CA6"/>
    <w:rsid w:val="00382EAC"/>
    <w:rsid w:val="00383AB4"/>
    <w:rsid w:val="003840C0"/>
    <w:rsid w:val="003841B8"/>
    <w:rsid w:val="00385782"/>
    <w:rsid w:val="00386C03"/>
    <w:rsid w:val="0038722F"/>
    <w:rsid w:val="003911EB"/>
    <w:rsid w:val="003922DE"/>
    <w:rsid w:val="003926EC"/>
    <w:rsid w:val="00392A3B"/>
    <w:rsid w:val="003955FD"/>
    <w:rsid w:val="00395D33"/>
    <w:rsid w:val="00396908"/>
    <w:rsid w:val="00397359"/>
    <w:rsid w:val="003A1595"/>
    <w:rsid w:val="003A1672"/>
    <w:rsid w:val="003A26BE"/>
    <w:rsid w:val="003A4682"/>
    <w:rsid w:val="003A5A50"/>
    <w:rsid w:val="003A7397"/>
    <w:rsid w:val="003B17DF"/>
    <w:rsid w:val="003B3A67"/>
    <w:rsid w:val="003B3FA4"/>
    <w:rsid w:val="003B65DD"/>
    <w:rsid w:val="003B6773"/>
    <w:rsid w:val="003B68C8"/>
    <w:rsid w:val="003B6964"/>
    <w:rsid w:val="003B7ABC"/>
    <w:rsid w:val="003C0033"/>
    <w:rsid w:val="003C0293"/>
    <w:rsid w:val="003C1147"/>
    <w:rsid w:val="003C11F8"/>
    <w:rsid w:val="003C15C2"/>
    <w:rsid w:val="003C1C5F"/>
    <w:rsid w:val="003C2589"/>
    <w:rsid w:val="003C3D0D"/>
    <w:rsid w:val="003C3DB3"/>
    <w:rsid w:val="003C485A"/>
    <w:rsid w:val="003C6E32"/>
    <w:rsid w:val="003C7146"/>
    <w:rsid w:val="003C7A94"/>
    <w:rsid w:val="003D0CBB"/>
    <w:rsid w:val="003D5399"/>
    <w:rsid w:val="003D5920"/>
    <w:rsid w:val="003D5C0D"/>
    <w:rsid w:val="003D7242"/>
    <w:rsid w:val="003E023B"/>
    <w:rsid w:val="003E0E2F"/>
    <w:rsid w:val="003E15CE"/>
    <w:rsid w:val="003E25FB"/>
    <w:rsid w:val="003E3A23"/>
    <w:rsid w:val="003E46B1"/>
    <w:rsid w:val="003E587C"/>
    <w:rsid w:val="003E5900"/>
    <w:rsid w:val="003E6C81"/>
    <w:rsid w:val="003E7390"/>
    <w:rsid w:val="003F0070"/>
    <w:rsid w:val="003F03A5"/>
    <w:rsid w:val="003F1611"/>
    <w:rsid w:val="003F2D68"/>
    <w:rsid w:val="003F3CD5"/>
    <w:rsid w:val="003F4143"/>
    <w:rsid w:val="003F4A64"/>
    <w:rsid w:val="003F7273"/>
    <w:rsid w:val="00400BEE"/>
    <w:rsid w:val="0040121A"/>
    <w:rsid w:val="00401FB1"/>
    <w:rsid w:val="004027E3"/>
    <w:rsid w:val="00403928"/>
    <w:rsid w:val="00403A6A"/>
    <w:rsid w:val="00404B65"/>
    <w:rsid w:val="0041064B"/>
    <w:rsid w:val="00413899"/>
    <w:rsid w:val="00413B27"/>
    <w:rsid w:val="004152AD"/>
    <w:rsid w:val="004160A2"/>
    <w:rsid w:val="00416440"/>
    <w:rsid w:val="00416ECD"/>
    <w:rsid w:val="00417B4A"/>
    <w:rsid w:val="00420B2E"/>
    <w:rsid w:val="00420CD4"/>
    <w:rsid w:val="00420EF6"/>
    <w:rsid w:val="00421DB4"/>
    <w:rsid w:val="0042282C"/>
    <w:rsid w:val="00422B0D"/>
    <w:rsid w:val="00426B5A"/>
    <w:rsid w:val="0042768E"/>
    <w:rsid w:val="00430812"/>
    <w:rsid w:val="00430C3A"/>
    <w:rsid w:val="00430E24"/>
    <w:rsid w:val="004318E4"/>
    <w:rsid w:val="00432B5A"/>
    <w:rsid w:val="00433BEC"/>
    <w:rsid w:val="00434085"/>
    <w:rsid w:val="00434306"/>
    <w:rsid w:val="00434E68"/>
    <w:rsid w:val="00434FFC"/>
    <w:rsid w:val="004355FD"/>
    <w:rsid w:val="00436747"/>
    <w:rsid w:val="00441536"/>
    <w:rsid w:val="00441988"/>
    <w:rsid w:val="004419BD"/>
    <w:rsid w:val="0044266C"/>
    <w:rsid w:val="00442A63"/>
    <w:rsid w:val="004436A0"/>
    <w:rsid w:val="00444B2B"/>
    <w:rsid w:val="00444D29"/>
    <w:rsid w:val="00445309"/>
    <w:rsid w:val="004459F8"/>
    <w:rsid w:val="00446122"/>
    <w:rsid w:val="00447410"/>
    <w:rsid w:val="00455BBA"/>
    <w:rsid w:val="00455CC2"/>
    <w:rsid w:val="00455E62"/>
    <w:rsid w:val="004576B3"/>
    <w:rsid w:val="00457A9F"/>
    <w:rsid w:val="00460E2E"/>
    <w:rsid w:val="00461AC6"/>
    <w:rsid w:val="004627F5"/>
    <w:rsid w:val="00462CB7"/>
    <w:rsid w:val="0046652B"/>
    <w:rsid w:val="004665B9"/>
    <w:rsid w:val="00466BB3"/>
    <w:rsid w:val="00466E86"/>
    <w:rsid w:val="0047026D"/>
    <w:rsid w:val="00470AB2"/>
    <w:rsid w:val="00471541"/>
    <w:rsid w:val="00471903"/>
    <w:rsid w:val="004759ED"/>
    <w:rsid w:val="00476832"/>
    <w:rsid w:val="004802F0"/>
    <w:rsid w:val="00481C0F"/>
    <w:rsid w:val="00482A23"/>
    <w:rsid w:val="00483061"/>
    <w:rsid w:val="00484377"/>
    <w:rsid w:val="0048539A"/>
    <w:rsid w:val="00485A24"/>
    <w:rsid w:val="00487A1F"/>
    <w:rsid w:val="004904C3"/>
    <w:rsid w:val="004913BD"/>
    <w:rsid w:val="004936E3"/>
    <w:rsid w:val="004939C6"/>
    <w:rsid w:val="004954DA"/>
    <w:rsid w:val="004A193C"/>
    <w:rsid w:val="004A25F9"/>
    <w:rsid w:val="004A341E"/>
    <w:rsid w:val="004A36F7"/>
    <w:rsid w:val="004A3E6C"/>
    <w:rsid w:val="004A41EE"/>
    <w:rsid w:val="004A50BF"/>
    <w:rsid w:val="004A57BB"/>
    <w:rsid w:val="004A653E"/>
    <w:rsid w:val="004A6557"/>
    <w:rsid w:val="004A69C1"/>
    <w:rsid w:val="004A6B3A"/>
    <w:rsid w:val="004B0FEA"/>
    <w:rsid w:val="004B1D3C"/>
    <w:rsid w:val="004B2BA0"/>
    <w:rsid w:val="004B37D2"/>
    <w:rsid w:val="004B566E"/>
    <w:rsid w:val="004B5C59"/>
    <w:rsid w:val="004B650E"/>
    <w:rsid w:val="004B6D86"/>
    <w:rsid w:val="004C040D"/>
    <w:rsid w:val="004C1559"/>
    <w:rsid w:val="004C1693"/>
    <w:rsid w:val="004C1C5D"/>
    <w:rsid w:val="004C2385"/>
    <w:rsid w:val="004C28E1"/>
    <w:rsid w:val="004C33E2"/>
    <w:rsid w:val="004C4DA5"/>
    <w:rsid w:val="004C6369"/>
    <w:rsid w:val="004C63B2"/>
    <w:rsid w:val="004C716F"/>
    <w:rsid w:val="004D05B4"/>
    <w:rsid w:val="004D104A"/>
    <w:rsid w:val="004D2209"/>
    <w:rsid w:val="004D2BED"/>
    <w:rsid w:val="004D4FF3"/>
    <w:rsid w:val="004D5487"/>
    <w:rsid w:val="004D670B"/>
    <w:rsid w:val="004D6AC4"/>
    <w:rsid w:val="004D6F40"/>
    <w:rsid w:val="004D7655"/>
    <w:rsid w:val="004E0090"/>
    <w:rsid w:val="004E08EE"/>
    <w:rsid w:val="004E1CCB"/>
    <w:rsid w:val="004E249E"/>
    <w:rsid w:val="004E301E"/>
    <w:rsid w:val="004E301F"/>
    <w:rsid w:val="004E366E"/>
    <w:rsid w:val="004E441E"/>
    <w:rsid w:val="004E468C"/>
    <w:rsid w:val="004E4CCF"/>
    <w:rsid w:val="004E4F31"/>
    <w:rsid w:val="004E71C7"/>
    <w:rsid w:val="004E7236"/>
    <w:rsid w:val="004E79D7"/>
    <w:rsid w:val="004E7ADE"/>
    <w:rsid w:val="004F115C"/>
    <w:rsid w:val="004F2FA2"/>
    <w:rsid w:val="004F3FEE"/>
    <w:rsid w:val="004F4785"/>
    <w:rsid w:val="004F4DF2"/>
    <w:rsid w:val="004F4E1F"/>
    <w:rsid w:val="004F5084"/>
    <w:rsid w:val="004F5384"/>
    <w:rsid w:val="004F5B68"/>
    <w:rsid w:val="004F6BF5"/>
    <w:rsid w:val="005020A5"/>
    <w:rsid w:val="00502B76"/>
    <w:rsid w:val="005040BC"/>
    <w:rsid w:val="00505A83"/>
    <w:rsid w:val="00506A79"/>
    <w:rsid w:val="00506D59"/>
    <w:rsid w:val="00507012"/>
    <w:rsid w:val="00507159"/>
    <w:rsid w:val="005103AB"/>
    <w:rsid w:val="00511446"/>
    <w:rsid w:val="005118DB"/>
    <w:rsid w:val="00513C21"/>
    <w:rsid w:val="005142F7"/>
    <w:rsid w:val="00515813"/>
    <w:rsid w:val="00515BEF"/>
    <w:rsid w:val="00515CB6"/>
    <w:rsid w:val="00517BAB"/>
    <w:rsid w:val="005224CE"/>
    <w:rsid w:val="00522FF7"/>
    <w:rsid w:val="00523E8A"/>
    <w:rsid w:val="005245BB"/>
    <w:rsid w:val="0052471B"/>
    <w:rsid w:val="005251D3"/>
    <w:rsid w:val="005254C5"/>
    <w:rsid w:val="005265EF"/>
    <w:rsid w:val="00526AC8"/>
    <w:rsid w:val="00527E9D"/>
    <w:rsid w:val="00530D7A"/>
    <w:rsid w:val="00533C14"/>
    <w:rsid w:val="00533E83"/>
    <w:rsid w:val="005345C5"/>
    <w:rsid w:val="0053498C"/>
    <w:rsid w:val="00535D7D"/>
    <w:rsid w:val="005374C1"/>
    <w:rsid w:val="00537A2C"/>
    <w:rsid w:val="0054023E"/>
    <w:rsid w:val="005418D8"/>
    <w:rsid w:val="005423B7"/>
    <w:rsid w:val="0054276F"/>
    <w:rsid w:val="00546016"/>
    <w:rsid w:val="005466F2"/>
    <w:rsid w:val="00546887"/>
    <w:rsid w:val="005472F6"/>
    <w:rsid w:val="00547412"/>
    <w:rsid w:val="0054753A"/>
    <w:rsid w:val="00547568"/>
    <w:rsid w:val="00547DC1"/>
    <w:rsid w:val="00547EAA"/>
    <w:rsid w:val="00552B63"/>
    <w:rsid w:val="00553235"/>
    <w:rsid w:val="00553B38"/>
    <w:rsid w:val="00554318"/>
    <w:rsid w:val="0055465D"/>
    <w:rsid w:val="005552A3"/>
    <w:rsid w:val="0055588E"/>
    <w:rsid w:val="00555B8A"/>
    <w:rsid w:val="00555E74"/>
    <w:rsid w:val="005563EC"/>
    <w:rsid w:val="00556415"/>
    <w:rsid w:val="00556B50"/>
    <w:rsid w:val="00556B7E"/>
    <w:rsid w:val="00560B4E"/>
    <w:rsid w:val="0056167E"/>
    <w:rsid w:val="005619E6"/>
    <w:rsid w:val="00561E46"/>
    <w:rsid w:val="00563E12"/>
    <w:rsid w:val="00564EA3"/>
    <w:rsid w:val="005671DF"/>
    <w:rsid w:val="00570DA5"/>
    <w:rsid w:val="00571149"/>
    <w:rsid w:val="0057322C"/>
    <w:rsid w:val="00573D7B"/>
    <w:rsid w:val="005748FA"/>
    <w:rsid w:val="005754DE"/>
    <w:rsid w:val="00575C06"/>
    <w:rsid w:val="0057628A"/>
    <w:rsid w:val="005806FB"/>
    <w:rsid w:val="00581880"/>
    <w:rsid w:val="00582916"/>
    <w:rsid w:val="005830E8"/>
    <w:rsid w:val="005832B6"/>
    <w:rsid w:val="00585741"/>
    <w:rsid w:val="0058680F"/>
    <w:rsid w:val="00586E14"/>
    <w:rsid w:val="0058713F"/>
    <w:rsid w:val="005874EF"/>
    <w:rsid w:val="0059199A"/>
    <w:rsid w:val="00591D4E"/>
    <w:rsid w:val="0059247E"/>
    <w:rsid w:val="0059254C"/>
    <w:rsid w:val="00595C60"/>
    <w:rsid w:val="00595C69"/>
    <w:rsid w:val="00596E16"/>
    <w:rsid w:val="005A04A3"/>
    <w:rsid w:val="005A0637"/>
    <w:rsid w:val="005A07F0"/>
    <w:rsid w:val="005A13E3"/>
    <w:rsid w:val="005A1DAF"/>
    <w:rsid w:val="005A1FFC"/>
    <w:rsid w:val="005A2000"/>
    <w:rsid w:val="005A2FA9"/>
    <w:rsid w:val="005A4072"/>
    <w:rsid w:val="005A5075"/>
    <w:rsid w:val="005A5EAB"/>
    <w:rsid w:val="005A60C9"/>
    <w:rsid w:val="005A7BBC"/>
    <w:rsid w:val="005B00AE"/>
    <w:rsid w:val="005B2D64"/>
    <w:rsid w:val="005B2FC8"/>
    <w:rsid w:val="005B372C"/>
    <w:rsid w:val="005B59E5"/>
    <w:rsid w:val="005B74FD"/>
    <w:rsid w:val="005B7C76"/>
    <w:rsid w:val="005B7FA9"/>
    <w:rsid w:val="005C04CE"/>
    <w:rsid w:val="005C34D5"/>
    <w:rsid w:val="005C3802"/>
    <w:rsid w:val="005C3DDF"/>
    <w:rsid w:val="005C3E45"/>
    <w:rsid w:val="005C3EDC"/>
    <w:rsid w:val="005C4F07"/>
    <w:rsid w:val="005C5437"/>
    <w:rsid w:val="005C5460"/>
    <w:rsid w:val="005C59C1"/>
    <w:rsid w:val="005C63C9"/>
    <w:rsid w:val="005C65F2"/>
    <w:rsid w:val="005C72BF"/>
    <w:rsid w:val="005D08C7"/>
    <w:rsid w:val="005D1C66"/>
    <w:rsid w:val="005D342F"/>
    <w:rsid w:val="005D5517"/>
    <w:rsid w:val="005D56EE"/>
    <w:rsid w:val="005D6659"/>
    <w:rsid w:val="005D6A32"/>
    <w:rsid w:val="005D71A0"/>
    <w:rsid w:val="005E00CF"/>
    <w:rsid w:val="005E225A"/>
    <w:rsid w:val="005E3BC3"/>
    <w:rsid w:val="005E62DE"/>
    <w:rsid w:val="005E6ABE"/>
    <w:rsid w:val="005E7FA0"/>
    <w:rsid w:val="005F0AF8"/>
    <w:rsid w:val="005F1119"/>
    <w:rsid w:val="005F1756"/>
    <w:rsid w:val="005F196F"/>
    <w:rsid w:val="005F278D"/>
    <w:rsid w:val="005F3E8F"/>
    <w:rsid w:val="005F4583"/>
    <w:rsid w:val="005F4D07"/>
    <w:rsid w:val="005F6067"/>
    <w:rsid w:val="005F7CD3"/>
    <w:rsid w:val="006002DE"/>
    <w:rsid w:val="00600AA8"/>
    <w:rsid w:val="00601B1F"/>
    <w:rsid w:val="00602365"/>
    <w:rsid w:val="00602657"/>
    <w:rsid w:val="00602FE7"/>
    <w:rsid w:val="00606DEE"/>
    <w:rsid w:val="00607CB8"/>
    <w:rsid w:val="00610144"/>
    <w:rsid w:val="00610776"/>
    <w:rsid w:val="00610A94"/>
    <w:rsid w:val="006112BC"/>
    <w:rsid w:val="00611859"/>
    <w:rsid w:val="00613C12"/>
    <w:rsid w:val="00614D65"/>
    <w:rsid w:val="00614FBF"/>
    <w:rsid w:val="00617E13"/>
    <w:rsid w:val="006200CF"/>
    <w:rsid w:val="006202C5"/>
    <w:rsid w:val="00620B36"/>
    <w:rsid w:val="00622323"/>
    <w:rsid w:val="00623A7D"/>
    <w:rsid w:val="00623DE1"/>
    <w:rsid w:val="00624E8C"/>
    <w:rsid w:val="006255A5"/>
    <w:rsid w:val="00625DD6"/>
    <w:rsid w:val="00626D04"/>
    <w:rsid w:val="00630EC7"/>
    <w:rsid w:val="0063131B"/>
    <w:rsid w:val="0063246D"/>
    <w:rsid w:val="006326AF"/>
    <w:rsid w:val="0063506D"/>
    <w:rsid w:val="006362F2"/>
    <w:rsid w:val="00636A93"/>
    <w:rsid w:val="006371D1"/>
    <w:rsid w:val="006374D7"/>
    <w:rsid w:val="00637A41"/>
    <w:rsid w:val="00637E03"/>
    <w:rsid w:val="00637E5F"/>
    <w:rsid w:val="0064008D"/>
    <w:rsid w:val="006400F5"/>
    <w:rsid w:val="0064157F"/>
    <w:rsid w:val="006417E0"/>
    <w:rsid w:val="00642DA2"/>
    <w:rsid w:val="00643174"/>
    <w:rsid w:val="00643902"/>
    <w:rsid w:val="00644423"/>
    <w:rsid w:val="00645836"/>
    <w:rsid w:val="0064695C"/>
    <w:rsid w:val="0064727C"/>
    <w:rsid w:val="00647807"/>
    <w:rsid w:val="00650533"/>
    <w:rsid w:val="00651472"/>
    <w:rsid w:val="0065264C"/>
    <w:rsid w:val="00653799"/>
    <w:rsid w:val="00653AA2"/>
    <w:rsid w:val="006556B2"/>
    <w:rsid w:val="00657CCD"/>
    <w:rsid w:val="00660E00"/>
    <w:rsid w:val="006619DD"/>
    <w:rsid w:val="00661B56"/>
    <w:rsid w:val="0066311F"/>
    <w:rsid w:val="00663142"/>
    <w:rsid w:val="0066329E"/>
    <w:rsid w:val="00663618"/>
    <w:rsid w:val="006638AF"/>
    <w:rsid w:val="006641E3"/>
    <w:rsid w:val="00664AE1"/>
    <w:rsid w:val="00665132"/>
    <w:rsid w:val="006652EC"/>
    <w:rsid w:val="0066535E"/>
    <w:rsid w:val="0066587B"/>
    <w:rsid w:val="0066624D"/>
    <w:rsid w:val="00666C96"/>
    <w:rsid w:val="00666D5D"/>
    <w:rsid w:val="00666F17"/>
    <w:rsid w:val="00667058"/>
    <w:rsid w:val="00670B2F"/>
    <w:rsid w:val="006720D1"/>
    <w:rsid w:val="006733A0"/>
    <w:rsid w:val="00674DC0"/>
    <w:rsid w:val="006755D1"/>
    <w:rsid w:val="00676219"/>
    <w:rsid w:val="00676777"/>
    <w:rsid w:val="00676926"/>
    <w:rsid w:val="006771D0"/>
    <w:rsid w:val="006772EC"/>
    <w:rsid w:val="00682AD5"/>
    <w:rsid w:val="00682E35"/>
    <w:rsid w:val="006844E8"/>
    <w:rsid w:val="00684552"/>
    <w:rsid w:val="006862EB"/>
    <w:rsid w:val="0068780E"/>
    <w:rsid w:val="00687828"/>
    <w:rsid w:val="0069014E"/>
    <w:rsid w:val="00692C22"/>
    <w:rsid w:val="0069355D"/>
    <w:rsid w:val="006940C4"/>
    <w:rsid w:val="00694C7F"/>
    <w:rsid w:val="00695689"/>
    <w:rsid w:val="006966A7"/>
    <w:rsid w:val="00696B3C"/>
    <w:rsid w:val="00697C5E"/>
    <w:rsid w:val="00697E15"/>
    <w:rsid w:val="006A13B7"/>
    <w:rsid w:val="006A191D"/>
    <w:rsid w:val="006A1F26"/>
    <w:rsid w:val="006A2124"/>
    <w:rsid w:val="006A2A31"/>
    <w:rsid w:val="006A324F"/>
    <w:rsid w:val="006A4117"/>
    <w:rsid w:val="006A4B4A"/>
    <w:rsid w:val="006A5174"/>
    <w:rsid w:val="006A6B7F"/>
    <w:rsid w:val="006A7548"/>
    <w:rsid w:val="006B0504"/>
    <w:rsid w:val="006B19C5"/>
    <w:rsid w:val="006B2778"/>
    <w:rsid w:val="006B3916"/>
    <w:rsid w:val="006B4F2F"/>
    <w:rsid w:val="006B7084"/>
    <w:rsid w:val="006C0ACA"/>
    <w:rsid w:val="006C0C75"/>
    <w:rsid w:val="006C2D4D"/>
    <w:rsid w:val="006C3F69"/>
    <w:rsid w:val="006C4FAA"/>
    <w:rsid w:val="006C7BD7"/>
    <w:rsid w:val="006C7D60"/>
    <w:rsid w:val="006D0524"/>
    <w:rsid w:val="006D2B82"/>
    <w:rsid w:val="006D2BB1"/>
    <w:rsid w:val="006D4494"/>
    <w:rsid w:val="006D58F5"/>
    <w:rsid w:val="006D5A41"/>
    <w:rsid w:val="006D62FB"/>
    <w:rsid w:val="006D65ED"/>
    <w:rsid w:val="006E1064"/>
    <w:rsid w:val="006E1233"/>
    <w:rsid w:val="006E4EA0"/>
    <w:rsid w:val="006E54CF"/>
    <w:rsid w:val="006E5666"/>
    <w:rsid w:val="006E649D"/>
    <w:rsid w:val="006E77C6"/>
    <w:rsid w:val="006E7FA9"/>
    <w:rsid w:val="006F017F"/>
    <w:rsid w:val="006F18D9"/>
    <w:rsid w:val="006F1F9E"/>
    <w:rsid w:val="006F2A4E"/>
    <w:rsid w:val="006F2C5D"/>
    <w:rsid w:val="006F2F86"/>
    <w:rsid w:val="006F41E3"/>
    <w:rsid w:val="006F5E2F"/>
    <w:rsid w:val="006F64FA"/>
    <w:rsid w:val="006F7C8E"/>
    <w:rsid w:val="0070000B"/>
    <w:rsid w:val="007001ED"/>
    <w:rsid w:val="00700424"/>
    <w:rsid w:val="007018BD"/>
    <w:rsid w:val="00702E8A"/>
    <w:rsid w:val="00702F75"/>
    <w:rsid w:val="007034AD"/>
    <w:rsid w:val="007042F3"/>
    <w:rsid w:val="0070508F"/>
    <w:rsid w:val="007054AB"/>
    <w:rsid w:val="007101C7"/>
    <w:rsid w:val="00710DA3"/>
    <w:rsid w:val="0071102B"/>
    <w:rsid w:val="00711558"/>
    <w:rsid w:val="00712850"/>
    <w:rsid w:val="00713C95"/>
    <w:rsid w:val="00714275"/>
    <w:rsid w:val="00715BD6"/>
    <w:rsid w:val="00716E72"/>
    <w:rsid w:val="00717ADF"/>
    <w:rsid w:val="00717CDB"/>
    <w:rsid w:val="00721751"/>
    <w:rsid w:val="00723075"/>
    <w:rsid w:val="00723624"/>
    <w:rsid w:val="0072375C"/>
    <w:rsid w:val="00723B27"/>
    <w:rsid w:val="00725F83"/>
    <w:rsid w:val="007265C6"/>
    <w:rsid w:val="00726A59"/>
    <w:rsid w:val="00726FF1"/>
    <w:rsid w:val="0072756D"/>
    <w:rsid w:val="007318D2"/>
    <w:rsid w:val="00731967"/>
    <w:rsid w:val="00732FC4"/>
    <w:rsid w:val="0073435B"/>
    <w:rsid w:val="007347AA"/>
    <w:rsid w:val="00735184"/>
    <w:rsid w:val="00736378"/>
    <w:rsid w:val="00737681"/>
    <w:rsid w:val="0074048A"/>
    <w:rsid w:val="007408A6"/>
    <w:rsid w:val="007409E8"/>
    <w:rsid w:val="0074165A"/>
    <w:rsid w:val="00741802"/>
    <w:rsid w:val="00742143"/>
    <w:rsid w:val="00742647"/>
    <w:rsid w:val="00742D65"/>
    <w:rsid w:val="00742FA8"/>
    <w:rsid w:val="00743C91"/>
    <w:rsid w:val="00744305"/>
    <w:rsid w:val="00744583"/>
    <w:rsid w:val="00744B26"/>
    <w:rsid w:val="00744CAD"/>
    <w:rsid w:val="00745E25"/>
    <w:rsid w:val="0074640C"/>
    <w:rsid w:val="007465D5"/>
    <w:rsid w:val="00747829"/>
    <w:rsid w:val="00747878"/>
    <w:rsid w:val="00750B0B"/>
    <w:rsid w:val="00751AF4"/>
    <w:rsid w:val="00752562"/>
    <w:rsid w:val="00753176"/>
    <w:rsid w:val="007571B5"/>
    <w:rsid w:val="00757DF9"/>
    <w:rsid w:val="00761334"/>
    <w:rsid w:val="007623C0"/>
    <w:rsid w:val="00762A11"/>
    <w:rsid w:val="00762DB9"/>
    <w:rsid w:val="00763B92"/>
    <w:rsid w:val="00763EC1"/>
    <w:rsid w:val="00764860"/>
    <w:rsid w:val="00765BCD"/>
    <w:rsid w:val="00766565"/>
    <w:rsid w:val="00766A19"/>
    <w:rsid w:val="00766C9C"/>
    <w:rsid w:val="00767784"/>
    <w:rsid w:val="00767DEC"/>
    <w:rsid w:val="0077020B"/>
    <w:rsid w:val="007705A2"/>
    <w:rsid w:val="0077330F"/>
    <w:rsid w:val="007735D2"/>
    <w:rsid w:val="00775BDF"/>
    <w:rsid w:val="007771F3"/>
    <w:rsid w:val="00777DA7"/>
    <w:rsid w:val="007815F4"/>
    <w:rsid w:val="00781FBD"/>
    <w:rsid w:val="00783A06"/>
    <w:rsid w:val="00783ED1"/>
    <w:rsid w:val="0078433C"/>
    <w:rsid w:val="00787C91"/>
    <w:rsid w:val="00790488"/>
    <w:rsid w:val="00790B99"/>
    <w:rsid w:val="007943ED"/>
    <w:rsid w:val="007A0DBE"/>
    <w:rsid w:val="007A1773"/>
    <w:rsid w:val="007A2074"/>
    <w:rsid w:val="007A2330"/>
    <w:rsid w:val="007A2615"/>
    <w:rsid w:val="007A2DA8"/>
    <w:rsid w:val="007A3ADE"/>
    <w:rsid w:val="007A44C3"/>
    <w:rsid w:val="007A4CCB"/>
    <w:rsid w:val="007A5894"/>
    <w:rsid w:val="007A61CD"/>
    <w:rsid w:val="007A64CA"/>
    <w:rsid w:val="007A7ADE"/>
    <w:rsid w:val="007A7D6F"/>
    <w:rsid w:val="007B0D0D"/>
    <w:rsid w:val="007B2318"/>
    <w:rsid w:val="007B284F"/>
    <w:rsid w:val="007B2892"/>
    <w:rsid w:val="007B28DF"/>
    <w:rsid w:val="007B3C60"/>
    <w:rsid w:val="007B3D19"/>
    <w:rsid w:val="007B580B"/>
    <w:rsid w:val="007B5BC9"/>
    <w:rsid w:val="007C0D45"/>
    <w:rsid w:val="007C25ED"/>
    <w:rsid w:val="007C3546"/>
    <w:rsid w:val="007C3C0D"/>
    <w:rsid w:val="007C3FD2"/>
    <w:rsid w:val="007C4A6C"/>
    <w:rsid w:val="007C4B7F"/>
    <w:rsid w:val="007C5F2D"/>
    <w:rsid w:val="007C7483"/>
    <w:rsid w:val="007C78A1"/>
    <w:rsid w:val="007D09E9"/>
    <w:rsid w:val="007D1C69"/>
    <w:rsid w:val="007D2118"/>
    <w:rsid w:val="007D2DC0"/>
    <w:rsid w:val="007D5C3F"/>
    <w:rsid w:val="007D5D67"/>
    <w:rsid w:val="007D5EDA"/>
    <w:rsid w:val="007D69F1"/>
    <w:rsid w:val="007D7744"/>
    <w:rsid w:val="007E0E6F"/>
    <w:rsid w:val="007E1E04"/>
    <w:rsid w:val="007E31A3"/>
    <w:rsid w:val="007E38B5"/>
    <w:rsid w:val="007E4253"/>
    <w:rsid w:val="007E466B"/>
    <w:rsid w:val="007E4DB9"/>
    <w:rsid w:val="007E4F92"/>
    <w:rsid w:val="007E4FE4"/>
    <w:rsid w:val="007E6E87"/>
    <w:rsid w:val="007F033E"/>
    <w:rsid w:val="007F1B7D"/>
    <w:rsid w:val="007F20CD"/>
    <w:rsid w:val="007F2631"/>
    <w:rsid w:val="007F44E6"/>
    <w:rsid w:val="007F4586"/>
    <w:rsid w:val="007F68C8"/>
    <w:rsid w:val="007F699C"/>
    <w:rsid w:val="007F7FA1"/>
    <w:rsid w:val="00802BA9"/>
    <w:rsid w:val="00803820"/>
    <w:rsid w:val="00803E49"/>
    <w:rsid w:val="0080494D"/>
    <w:rsid w:val="00804CF8"/>
    <w:rsid w:val="00804D8E"/>
    <w:rsid w:val="00806863"/>
    <w:rsid w:val="00806F81"/>
    <w:rsid w:val="00807114"/>
    <w:rsid w:val="00811ABC"/>
    <w:rsid w:val="008125C8"/>
    <w:rsid w:val="008136F6"/>
    <w:rsid w:val="00813715"/>
    <w:rsid w:val="008140B2"/>
    <w:rsid w:val="00815F91"/>
    <w:rsid w:val="00816D04"/>
    <w:rsid w:val="008201CC"/>
    <w:rsid w:val="00820414"/>
    <w:rsid w:val="00821875"/>
    <w:rsid w:val="00821C42"/>
    <w:rsid w:val="00823C55"/>
    <w:rsid w:val="008245C2"/>
    <w:rsid w:val="00824835"/>
    <w:rsid w:val="00830072"/>
    <w:rsid w:val="00830E73"/>
    <w:rsid w:val="00831B7B"/>
    <w:rsid w:val="008324C0"/>
    <w:rsid w:val="008341B6"/>
    <w:rsid w:val="0083502A"/>
    <w:rsid w:val="0083617F"/>
    <w:rsid w:val="00837364"/>
    <w:rsid w:val="00837B72"/>
    <w:rsid w:val="008407F9"/>
    <w:rsid w:val="00840EDD"/>
    <w:rsid w:val="00841660"/>
    <w:rsid w:val="00841945"/>
    <w:rsid w:val="00842900"/>
    <w:rsid w:val="00843E42"/>
    <w:rsid w:val="008441F5"/>
    <w:rsid w:val="00844525"/>
    <w:rsid w:val="008461CC"/>
    <w:rsid w:val="00851791"/>
    <w:rsid w:val="00853D61"/>
    <w:rsid w:val="008546FB"/>
    <w:rsid w:val="00857687"/>
    <w:rsid w:val="008576EC"/>
    <w:rsid w:val="00857E83"/>
    <w:rsid w:val="008600A9"/>
    <w:rsid w:val="00860692"/>
    <w:rsid w:val="008614BB"/>
    <w:rsid w:val="00861C1C"/>
    <w:rsid w:val="00861D51"/>
    <w:rsid w:val="00862E89"/>
    <w:rsid w:val="00863AE5"/>
    <w:rsid w:val="00864CD4"/>
    <w:rsid w:val="008652D9"/>
    <w:rsid w:val="008667BA"/>
    <w:rsid w:val="00866A81"/>
    <w:rsid w:val="00866C2E"/>
    <w:rsid w:val="0086782E"/>
    <w:rsid w:val="008705A6"/>
    <w:rsid w:val="008715DC"/>
    <w:rsid w:val="00871FB6"/>
    <w:rsid w:val="00872167"/>
    <w:rsid w:val="008730AF"/>
    <w:rsid w:val="00875F63"/>
    <w:rsid w:val="008761A0"/>
    <w:rsid w:val="00877B70"/>
    <w:rsid w:val="00880EE7"/>
    <w:rsid w:val="00883E53"/>
    <w:rsid w:val="00884C1F"/>
    <w:rsid w:val="00884FBC"/>
    <w:rsid w:val="00884FE1"/>
    <w:rsid w:val="008867C6"/>
    <w:rsid w:val="00886C88"/>
    <w:rsid w:val="008875E7"/>
    <w:rsid w:val="00887E1C"/>
    <w:rsid w:val="00890676"/>
    <w:rsid w:val="0089080B"/>
    <w:rsid w:val="00890861"/>
    <w:rsid w:val="00892D8E"/>
    <w:rsid w:val="00893BB2"/>
    <w:rsid w:val="008945CB"/>
    <w:rsid w:val="00894EA3"/>
    <w:rsid w:val="00895687"/>
    <w:rsid w:val="0089588A"/>
    <w:rsid w:val="008958F5"/>
    <w:rsid w:val="008962D6"/>
    <w:rsid w:val="00896923"/>
    <w:rsid w:val="00896970"/>
    <w:rsid w:val="00896B2D"/>
    <w:rsid w:val="00897590"/>
    <w:rsid w:val="008A0069"/>
    <w:rsid w:val="008A1CC7"/>
    <w:rsid w:val="008A2342"/>
    <w:rsid w:val="008A253D"/>
    <w:rsid w:val="008A2F3B"/>
    <w:rsid w:val="008A40EC"/>
    <w:rsid w:val="008A4DB6"/>
    <w:rsid w:val="008A5C65"/>
    <w:rsid w:val="008A5E31"/>
    <w:rsid w:val="008A6F95"/>
    <w:rsid w:val="008A70CA"/>
    <w:rsid w:val="008A711C"/>
    <w:rsid w:val="008A79EF"/>
    <w:rsid w:val="008B03E9"/>
    <w:rsid w:val="008B18C8"/>
    <w:rsid w:val="008B1ABB"/>
    <w:rsid w:val="008B213A"/>
    <w:rsid w:val="008B2C2C"/>
    <w:rsid w:val="008B2F0A"/>
    <w:rsid w:val="008B3BE1"/>
    <w:rsid w:val="008B4742"/>
    <w:rsid w:val="008B4D3B"/>
    <w:rsid w:val="008B5651"/>
    <w:rsid w:val="008B7CDE"/>
    <w:rsid w:val="008C3410"/>
    <w:rsid w:val="008C3733"/>
    <w:rsid w:val="008C593F"/>
    <w:rsid w:val="008C5D8D"/>
    <w:rsid w:val="008C5F97"/>
    <w:rsid w:val="008C66DB"/>
    <w:rsid w:val="008C7142"/>
    <w:rsid w:val="008D1214"/>
    <w:rsid w:val="008D2572"/>
    <w:rsid w:val="008D3DC5"/>
    <w:rsid w:val="008D537B"/>
    <w:rsid w:val="008D5657"/>
    <w:rsid w:val="008D5A74"/>
    <w:rsid w:val="008D5C0C"/>
    <w:rsid w:val="008D74EA"/>
    <w:rsid w:val="008D78D3"/>
    <w:rsid w:val="008D7E09"/>
    <w:rsid w:val="008E0246"/>
    <w:rsid w:val="008E2C26"/>
    <w:rsid w:val="008E4661"/>
    <w:rsid w:val="008E4CCE"/>
    <w:rsid w:val="008E6327"/>
    <w:rsid w:val="008E6648"/>
    <w:rsid w:val="008E6FEF"/>
    <w:rsid w:val="008E796F"/>
    <w:rsid w:val="008F0250"/>
    <w:rsid w:val="008F3AF4"/>
    <w:rsid w:val="008F5528"/>
    <w:rsid w:val="008F7752"/>
    <w:rsid w:val="008F7B38"/>
    <w:rsid w:val="009016EE"/>
    <w:rsid w:val="00902FD4"/>
    <w:rsid w:val="009031A5"/>
    <w:rsid w:val="00903986"/>
    <w:rsid w:val="00903F0F"/>
    <w:rsid w:val="00904145"/>
    <w:rsid w:val="009054B3"/>
    <w:rsid w:val="009063F6"/>
    <w:rsid w:val="009066F8"/>
    <w:rsid w:val="00906D59"/>
    <w:rsid w:val="00907D4E"/>
    <w:rsid w:val="00910BE1"/>
    <w:rsid w:val="00910E0B"/>
    <w:rsid w:val="009111CE"/>
    <w:rsid w:val="009113C3"/>
    <w:rsid w:val="00911682"/>
    <w:rsid w:val="0091215A"/>
    <w:rsid w:val="00912EAA"/>
    <w:rsid w:val="00913981"/>
    <w:rsid w:val="0091463F"/>
    <w:rsid w:val="00914B6F"/>
    <w:rsid w:val="00915CE1"/>
    <w:rsid w:val="00915ED6"/>
    <w:rsid w:val="00916CDC"/>
    <w:rsid w:val="00916D55"/>
    <w:rsid w:val="009178A1"/>
    <w:rsid w:val="00920480"/>
    <w:rsid w:val="00925057"/>
    <w:rsid w:val="00927F6A"/>
    <w:rsid w:val="009306FF"/>
    <w:rsid w:val="009322C1"/>
    <w:rsid w:val="009330DC"/>
    <w:rsid w:val="0093371E"/>
    <w:rsid w:val="00934125"/>
    <w:rsid w:val="00934B69"/>
    <w:rsid w:val="00934D48"/>
    <w:rsid w:val="0094018F"/>
    <w:rsid w:val="009401D1"/>
    <w:rsid w:val="00940ECF"/>
    <w:rsid w:val="00941F84"/>
    <w:rsid w:val="00942A74"/>
    <w:rsid w:val="00942B8C"/>
    <w:rsid w:val="00943114"/>
    <w:rsid w:val="00943B51"/>
    <w:rsid w:val="00943CE3"/>
    <w:rsid w:val="00943D89"/>
    <w:rsid w:val="00943E04"/>
    <w:rsid w:val="00943E67"/>
    <w:rsid w:val="00944666"/>
    <w:rsid w:val="00944D4A"/>
    <w:rsid w:val="00946A2A"/>
    <w:rsid w:val="00950794"/>
    <w:rsid w:val="00951729"/>
    <w:rsid w:val="00951805"/>
    <w:rsid w:val="009537C7"/>
    <w:rsid w:val="00953D40"/>
    <w:rsid w:val="00955702"/>
    <w:rsid w:val="00956301"/>
    <w:rsid w:val="009577AE"/>
    <w:rsid w:val="00960562"/>
    <w:rsid w:val="00960F96"/>
    <w:rsid w:val="00962306"/>
    <w:rsid w:val="00962DF6"/>
    <w:rsid w:val="0096314A"/>
    <w:rsid w:val="009634C2"/>
    <w:rsid w:val="009650E6"/>
    <w:rsid w:val="0096518A"/>
    <w:rsid w:val="00967E5E"/>
    <w:rsid w:val="00967F9C"/>
    <w:rsid w:val="00971CA1"/>
    <w:rsid w:val="00971CE2"/>
    <w:rsid w:val="009745FC"/>
    <w:rsid w:val="0097485F"/>
    <w:rsid w:val="009755C1"/>
    <w:rsid w:val="009757E2"/>
    <w:rsid w:val="009762ED"/>
    <w:rsid w:val="0097720E"/>
    <w:rsid w:val="009815A5"/>
    <w:rsid w:val="00981F3D"/>
    <w:rsid w:val="00982126"/>
    <w:rsid w:val="00982BE5"/>
    <w:rsid w:val="00982C26"/>
    <w:rsid w:val="00984B59"/>
    <w:rsid w:val="009863EC"/>
    <w:rsid w:val="0098725A"/>
    <w:rsid w:val="009907D6"/>
    <w:rsid w:val="00991DBC"/>
    <w:rsid w:val="0099231A"/>
    <w:rsid w:val="00994F8D"/>
    <w:rsid w:val="00994FF5"/>
    <w:rsid w:val="009956FA"/>
    <w:rsid w:val="0099638B"/>
    <w:rsid w:val="00997C6F"/>
    <w:rsid w:val="009A00E4"/>
    <w:rsid w:val="009A0455"/>
    <w:rsid w:val="009A1638"/>
    <w:rsid w:val="009A2113"/>
    <w:rsid w:val="009A5C30"/>
    <w:rsid w:val="009A60B2"/>
    <w:rsid w:val="009A6E75"/>
    <w:rsid w:val="009A74DF"/>
    <w:rsid w:val="009B262C"/>
    <w:rsid w:val="009B29F3"/>
    <w:rsid w:val="009B45EC"/>
    <w:rsid w:val="009B6E04"/>
    <w:rsid w:val="009B6ED6"/>
    <w:rsid w:val="009B75D5"/>
    <w:rsid w:val="009C0117"/>
    <w:rsid w:val="009C0863"/>
    <w:rsid w:val="009C1A4A"/>
    <w:rsid w:val="009C1E4B"/>
    <w:rsid w:val="009C2192"/>
    <w:rsid w:val="009C23CD"/>
    <w:rsid w:val="009C28C5"/>
    <w:rsid w:val="009C509F"/>
    <w:rsid w:val="009C6E50"/>
    <w:rsid w:val="009D0203"/>
    <w:rsid w:val="009D020C"/>
    <w:rsid w:val="009D066B"/>
    <w:rsid w:val="009D14E3"/>
    <w:rsid w:val="009D2A2F"/>
    <w:rsid w:val="009D41BF"/>
    <w:rsid w:val="009D44EB"/>
    <w:rsid w:val="009D7356"/>
    <w:rsid w:val="009E01DA"/>
    <w:rsid w:val="009E0EFF"/>
    <w:rsid w:val="009E291C"/>
    <w:rsid w:val="009E3905"/>
    <w:rsid w:val="009E3D79"/>
    <w:rsid w:val="009E52BC"/>
    <w:rsid w:val="009F012B"/>
    <w:rsid w:val="009F0A83"/>
    <w:rsid w:val="009F1060"/>
    <w:rsid w:val="009F1D38"/>
    <w:rsid w:val="009F37B4"/>
    <w:rsid w:val="009F4C0C"/>
    <w:rsid w:val="009F5D31"/>
    <w:rsid w:val="009F5ED2"/>
    <w:rsid w:val="009F5FBE"/>
    <w:rsid w:val="009F6377"/>
    <w:rsid w:val="009F74EE"/>
    <w:rsid w:val="009F7CAC"/>
    <w:rsid w:val="00A008AA"/>
    <w:rsid w:val="00A013F6"/>
    <w:rsid w:val="00A01676"/>
    <w:rsid w:val="00A0249F"/>
    <w:rsid w:val="00A044F1"/>
    <w:rsid w:val="00A06E75"/>
    <w:rsid w:val="00A07520"/>
    <w:rsid w:val="00A07E53"/>
    <w:rsid w:val="00A108BB"/>
    <w:rsid w:val="00A10F31"/>
    <w:rsid w:val="00A122E5"/>
    <w:rsid w:val="00A13730"/>
    <w:rsid w:val="00A142C2"/>
    <w:rsid w:val="00A15B1F"/>
    <w:rsid w:val="00A165BD"/>
    <w:rsid w:val="00A16A81"/>
    <w:rsid w:val="00A16B00"/>
    <w:rsid w:val="00A16C33"/>
    <w:rsid w:val="00A20941"/>
    <w:rsid w:val="00A20CC4"/>
    <w:rsid w:val="00A228F4"/>
    <w:rsid w:val="00A2465B"/>
    <w:rsid w:val="00A25199"/>
    <w:rsid w:val="00A253F0"/>
    <w:rsid w:val="00A25865"/>
    <w:rsid w:val="00A26437"/>
    <w:rsid w:val="00A26A1A"/>
    <w:rsid w:val="00A2725D"/>
    <w:rsid w:val="00A27990"/>
    <w:rsid w:val="00A3047E"/>
    <w:rsid w:val="00A3270E"/>
    <w:rsid w:val="00A3416C"/>
    <w:rsid w:val="00A3434C"/>
    <w:rsid w:val="00A35DA1"/>
    <w:rsid w:val="00A3611D"/>
    <w:rsid w:val="00A371B4"/>
    <w:rsid w:val="00A375E1"/>
    <w:rsid w:val="00A41948"/>
    <w:rsid w:val="00A41992"/>
    <w:rsid w:val="00A421D3"/>
    <w:rsid w:val="00A443D6"/>
    <w:rsid w:val="00A45D0E"/>
    <w:rsid w:val="00A52683"/>
    <w:rsid w:val="00A53536"/>
    <w:rsid w:val="00A546C2"/>
    <w:rsid w:val="00A548AD"/>
    <w:rsid w:val="00A55728"/>
    <w:rsid w:val="00A568F6"/>
    <w:rsid w:val="00A56E3F"/>
    <w:rsid w:val="00A573A8"/>
    <w:rsid w:val="00A5774E"/>
    <w:rsid w:val="00A57B49"/>
    <w:rsid w:val="00A604F6"/>
    <w:rsid w:val="00A60E98"/>
    <w:rsid w:val="00A617C2"/>
    <w:rsid w:val="00A63263"/>
    <w:rsid w:val="00A63D6F"/>
    <w:rsid w:val="00A64CEF"/>
    <w:rsid w:val="00A65F3C"/>
    <w:rsid w:val="00A66FB8"/>
    <w:rsid w:val="00A67161"/>
    <w:rsid w:val="00A673BD"/>
    <w:rsid w:val="00A70854"/>
    <w:rsid w:val="00A70D81"/>
    <w:rsid w:val="00A71319"/>
    <w:rsid w:val="00A730A8"/>
    <w:rsid w:val="00A7325A"/>
    <w:rsid w:val="00A73A7C"/>
    <w:rsid w:val="00A73C19"/>
    <w:rsid w:val="00A742EE"/>
    <w:rsid w:val="00A77917"/>
    <w:rsid w:val="00A81FA9"/>
    <w:rsid w:val="00A82CBA"/>
    <w:rsid w:val="00A84AEB"/>
    <w:rsid w:val="00A858E5"/>
    <w:rsid w:val="00A86E27"/>
    <w:rsid w:val="00A86FCB"/>
    <w:rsid w:val="00A877CA"/>
    <w:rsid w:val="00A91312"/>
    <w:rsid w:val="00A91887"/>
    <w:rsid w:val="00A91F46"/>
    <w:rsid w:val="00A92247"/>
    <w:rsid w:val="00A92D55"/>
    <w:rsid w:val="00A92D86"/>
    <w:rsid w:val="00A94044"/>
    <w:rsid w:val="00A94755"/>
    <w:rsid w:val="00A9483D"/>
    <w:rsid w:val="00A9585E"/>
    <w:rsid w:val="00AA053C"/>
    <w:rsid w:val="00AA1C96"/>
    <w:rsid w:val="00AA2043"/>
    <w:rsid w:val="00AA227A"/>
    <w:rsid w:val="00AA2419"/>
    <w:rsid w:val="00AA3105"/>
    <w:rsid w:val="00AA39D0"/>
    <w:rsid w:val="00AA7325"/>
    <w:rsid w:val="00AA7659"/>
    <w:rsid w:val="00AA799A"/>
    <w:rsid w:val="00AB0155"/>
    <w:rsid w:val="00AB0766"/>
    <w:rsid w:val="00AB127D"/>
    <w:rsid w:val="00AB1ECF"/>
    <w:rsid w:val="00AB21D1"/>
    <w:rsid w:val="00AB233D"/>
    <w:rsid w:val="00AB2776"/>
    <w:rsid w:val="00AB29B3"/>
    <w:rsid w:val="00AB4467"/>
    <w:rsid w:val="00AB5A45"/>
    <w:rsid w:val="00AB632A"/>
    <w:rsid w:val="00AB6A2F"/>
    <w:rsid w:val="00AB775E"/>
    <w:rsid w:val="00AC0CC0"/>
    <w:rsid w:val="00AC1A13"/>
    <w:rsid w:val="00AC1E4A"/>
    <w:rsid w:val="00AC2DFC"/>
    <w:rsid w:val="00AC2E16"/>
    <w:rsid w:val="00AC2FBB"/>
    <w:rsid w:val="00AC36EA"/>
    <w:rsid w:val="00AC5681"/>
    <w:rsid w:val="00AC63A4"/>
    <w:rsid w:val="00AC7B94"/>
    <w:rsid w:val="00AD03C0"/>
    <w:rsid w:val="00AD1973"/>
    <w:rsid w:val="00AD1D8B"/>
    <w:rsid w:val="00AD2344"/>
    <w:rsid w:val="00AD2DA7"/>
    <w:rsid w:val="00AD49BF"/>
    <w:rsid w:val="00AD4FCF"/>
    <w:rsid w:val="00AD51A3"/>
    <w:rsid w:val="00AD62E1"/>
    <w:rsid w:val="00AE0331"/>
    <w:rsid w:val="00AE2B57"/>
    <w:rsid w:val="00AE3A61"/>
    <w:rsid w:val="00AE5A0B"/>
    <w:rsid w:val="00AE6678"/>
    <w:rsid w:val="00AE7654"/>
    <w:rsid w:val="00AF0354"/>
    <w:rsid w:val="00AF21A9"/>
    <w:rsid w:val="00AF31B0"/>
    <w:rsid w:val="00AF3BF0"/>
    <w:rsid w:val="00AF4244"/>
    <w:rsid w:val="00AF461F"/>
    <w:rsid w:val="00AF49CA"/>
    <w:rsid w:val="00AF4AA8"/>
    <w:rsid w:val="00AF4B52"/>
    <w:rsid w:val="00AF57D6"/>
    <w:rsid w:val="00AF5E9A"/>
    <w:rsid w:val="00AF69D2"/>
    <w:rsid w:val="00AF714B"/>
    <w:rsid w:val="00B00626"/>
    <w:rsid w:val="00B02044"/>
    <w:rsid w:val="00B03642"/>
    <w:rsid w:val="00B043FD"/>
    <w:rsid w:val="00B053D9"/>
    <w:rsid w:val="00B05BAF"/>
    <w:rsid w:val="00B05F43"/>
    <w:rsid w:val="00B060E0"/>
    <w:rsid w:val="00B06EE0"/>
    <w:rsid w:val="00B101A0"/>
    <w:rsid w:val="00B10B80"/>
    <w:rsid w:val="00B10F05"/>
    <w:rsid w:val="00B11A11"/>
    <w:rsid w:val="00B124E6"/>
    <w:rsid w:val="00B12AA5"/>
    <w:rsid w:val="00B1368F"/>
    <w:rsid w:val="00B1438C"/>
    <w:rsid w:val="00B14819"/>
    <w:rsid w:val="00B14DC5"/>
    <w:rsid w:val="00B14FF8"/>
    <w:rsid w:val="00B150E9"/>
    <w:rsid w:val="00B15BE6"/>
    <w:rsid w:val="00B17861"/>
    <w:rsid w:val="00B17923"/>
    <w:rsid w:val="00B20860"/>
    <w:rsid w:val="00B21C13"/>
    <w:rsid w:val="00B227A0"/>
    <w:rsid w:val="00B2290C"/>
    <w:rsid w:val="00B239FD"/>
    <w:rsid w:val="00B260B0"/>
    <w:rsid w:val="00B27D08"/>
    <w:rsid w:val="00B30CC1"/>
    <w:rsid w:val="00B32343"/>
    <w:rsid w:val="00B330F2"/>
    <w:rsid w:val="00B33596"/>
    <w:rsid w:val="00B344F4"/>
    <w:rsid w:val="00B34B3F"/>
    <w:rsid w:val="00B35EA0"/>
    <w:rsid w:val="00B37134"/>
    <w:rsid w:val="00B37BF4"/>
    <w:rsid w:val="00B37D90"/>
    <w:rsid w:val="00B37EB7"/>
    <w:rsid w:val="00B403F3"/>
    <w:rsid w:val="00B42DB0"/>
    <w:rsid w:val="00B42FEA"/>
    <w:rsid w:val="00B43635"/>
    <w:rsid w:val="00B44303"/>
    <w:rsid w:val="00B443E0"/>
    <w:rsid w:val="00B44723"/>
    <w:rsid w:val="00B44BBD"/>
    <w:rsid w:val="00B44FE4"/>
    <w:rsid w:val="00B45CCE"/>
    <w:rsid w:val="00B45D12"/>
    <w:rsid w:val="00B50C50"/>
    <w:rsid w:val="00B5150B"/>
    <w:rsid w:val="00B51CDD"/>
    <w:rsid w:val="00B51DA7"/>
    <w:rsid w:val="00B5350D"/>
    <w:rsid w:val="00B5362A"/>
    <w:rsid w:val="00B54373"/>
    <w:rsid w:val="00B5476B"/>
    <w:rsid w:val="00B56287"/>
    <w:rsid w:val="00B600BF"/>
    <w:rsid w:val="00B60929"/>
    <w:rsid w:val="00B61879"/>
    <w:rsid w:val="00B62248"/>
    <w:rsid w:val="00B628F2"/>
    <w:rsid w:val="00B62FD5"/>
    <w:rsid w:val="00B648CF"/>
    <w:rsid w:val="00B648E4"/>
    <w:rsid w:val="00B6516F"/>
    <w:rsid w:val="00B6579C"/>
    <w:rsid w:val="00B708EE"/>
    <w:rsid w:val="00B70FC6"/>
    <w:rsid w:val="00B71807"/>
    <w:rsid w:val="00B719BD"/>
    <w:rsid w:val="00B74003"/>
    <w:rsid w:val="00B75250"/>
    <w:rsid w:val="00B7646C"/>
    <w:rsid w:val="00B76C27"/>
    <w:rsid w:val="00B77045"/>
    <w:rsid w:val="00B77A11"/>
    <w:rsid w:val="00B77BAC"/>
    <w:rsid w:val="00B80389"/>
    <w:rsid w:val="00B82914"/>
    <w:rsid w:val="00B831DC"/>
    <w:rsid w:val="00B83FB0"/>
    <w:rsid w:val="00B85DFB"/>
    <w:rsid w:val="00B86585"/>
    <w:rsid w:val="00B8775C"/>
    <w:rsid w:val="00B90C00"/>
    <w:rsid w:val="00B91614"/>
    <w:rsid w:val="00B9355E"/>
    <w:rsid w:val="00B950DE"/>
    <w:rsid w:val="00B9565D"/>
    <w:rsid w:val="00B96D9A"/>
    <w:rsid w:val="00B978A7"/>
    <w:rsid w:val="00BA0B45"/>
    <w:rsid w:val="00BA1F77"/>
    <w:rsid w:val="00BA2135"/>
    <w:rsid w:val="00BA2700"/>
    <w:rsid w:val="00BA327B"/>
    <w:rsid w:val="00BA32C0"/>
    <w:rsid w:val="00BA374A"/>
    <w:rsid w:val="00BA4B05"/>
    <w:rsid w:val="00BA57F3"/>
    <w:rsid w:val="00BA5AE5"/>
    <w:rsid w:val="00BA7694"/>
    <w:rsid w:val="00BB2613"/>
    <w:rsid w:val="00BB29D1"/>
    <w:rsid w:val="00BB3431"/>
    <w:rsid w:val="00BB40A3"/>
    <w:rsid w:val="00BB446E"/>
    <w:rsid w:val="00BB4A56"/>
    <w:rsid w:val="00BB69B5"/>
    <w:rsid w:val="00BB73D6"/>
    <w:rsid w:val="00BB77A1"/>
    <w:rsid w:val="00BC1A75"/>
    <w:rsid w:val="00BC1D99"/>
    <w:rsid w:val="00BC2CFF"/>
    <w:rsid w:val="00BC431B"/>
    <w:rsid w:val="00BC4457"/>
    <w:rsid w:val="00BC4F76"/>
    <w:rsid w:val="00BC61B1"/>
    <w:rsid w:val="00BD0A07"/>
    <w:rsid w:val="00BD234E"/>
    <w:rsid w:val="00BD26B0"/>
    <w:rsid w:val="00BD2CAA"/>
    <w:rsid w:val="00BD55A6"/>
    <w:rsid w:val="00BD7B16"/>
    <w:rsid w:val="00BE00E7"/>
    <w:rsid w:val="00BE0636"/>
    <w:rsid w:val="00BE0BD6"/>
    <w:rsid w:val="00BE0FE3"/>
    <w:rsid w:val="00BE2613"/>
    <w:rsid w:val="00BE3333"/>
    <w:rsid w:val="00BE38D1"/>
    <w:rsid w:val="00BE3A65"/>
    <w:rsid w:val="00BE3DD7"/>
    <w:rsid w:val="00BE4691"/>
    <w:rsid w:val="00BE46C0"/>
    <w:rsid w:val="00BE4B2C"/>
    <w:rsid w:val="00BE50A1"/>
    <w:rsid w:val="00BE6064"/>
    <w:rsid w:val="00BE6EA3"/>
    <w:rsid w:val="00BF0406"/>
    <w:rsid w:val="00BF08FF"/>
    <w:rsid w:val="00BF23B1"/>
    <w:rsid w:val="00BF2648"/>
    <w:rsid w:val="00BF44DC"/>
    <w:rsid w:val="00BF4701"/>
    <w:rsid w:val="00BF4913"/>
    <w:rsid w:val="00BF4ACD"/>
    <w:rsid w:val="00BF4C8F"/>
    <w:rsid w:val="00BF5776"/>
    <w:rsid w:val="00C0106F"/>
    <w:rsid w:val="00C018C5"/>
    <w:rsid w:val="00C027F8"/>
    <w:rsid w:val="00C029E8"/>
    <w:rsid w:val="00C02BA7"/>
    <w:rsid w:val="00C030EA"/>
    <w:rsid w:val="00C035C0"/>
    <w:rsid w:val="00C0367F"/>
    <w:rsid w:val="00C04373"/>
    <w:rsid w:val="00C04966"/>
    <w:rsid w:val="00C04EFE"/>
    <w:rsid w:val="00C054A2"/>
    <w:rsid w:val="00C0550C"/>
    <w:rsid w:val="00C07E0B"/>
    <w:rsid w:val="00C10BAE"/>
    <w:rsid w:val="00C11AB4"/>
    <w:rsid w:val="00C12B7E"/>
    <w:rsid w:val="00C133F6"/>
    <w:rsid w:val="00C1372E"/>
    <w:rsid w:val="00C14AE1"/>
    <w:rsid w:val="00C15EA4"/>
    <w:rsid w:val="00C16426"/>
    <w:rsid w:val="00C16E93"/>
    <w:rsid w:val="00C178D3"/>
    <w:rsid w:val="00C20DC9"/>
    <w:rsid w:val="00C22107"/>
    <w:rsid w:val="00C2264E"/>
    <w:rsid w:val="00C228D5"/>
    <w:rsid w:val="00C23401"/>
    <w:rsid w:val="00C23E1E"/>
    <w:rsid w:val="00C2439B"/>
    <w:rsid w:val="00C245D9"/>
    <w:rsid w:val="00C24CF2"/>
    <w:rsid w:val="00C24FDE"/>
    <w:rsid w:val="00C27CA6"/>
    <w:rsid w:val="00C304C5"/>
    <w:rsid w:val="00C305E2"/>
    <w:rsid w:val="00C3090B"/>
    <w:rsid w:val="00C3181A"/>
    <w:rsid w:val="00C33197"/>
    <w:rsid w:val="00C331CC"/>
    <w:rsid w:val="00C33351"/>
    <w:rsid w:val="00C34D85"/>
    <w:rsid w:val="00C35E9B"/>
    <w:rsid w:val="00C37AEB"/>
    <w:rsid w:val="00C37B8E"/>
    <w:rsid w:val="00C40783"/>
    <w:rsid w:val="00C40F74"/>
    <w:rsid w:val="00C4177C"/>
    <w:rsid w:val="00C428E4"/>
    <w:rsid w:val="00C43D05"/>
    <w:rsid w:val="00C44819"/>
    <w:rsid w:val="00C45076"/>
    <w:rsid w:val="00C455E5"/>
    <w:rsid w:val="00C45A7C"/>
    <w:rsid w:val="00C47010"/>
    <w:rsid w:val="00C5005B"/>
    <w:rsid w:val="00C50CB1"/>
    <w:rsid w:val="00C50DAA"/>
    <w:rsid w:val="00C524E4"/>
    <w:rsid w:val="00C5269E"/>
    <w:rsid w:val="00C52A2B"/>
    <w:rsid w:val="00C52BFE"/>
    <w:rsid w:val="00C53670"/>
    <w:rsid w:val="00C54A0E"/>
    <w:rsid w:val="00C56672"/>
    <w:rsid w:val="00C56D4D"/>
    <w:rsid w:val="00C57E73"/>
    <w:rsid w:val="00C61E63"/>
    <w:rsid w:val="00C64ED6"/>
    <w:rsid w:val="00C65471"/>
    <w:rsid w:val="00C67D24"/>
    <w:rsid w:val="00C72193"/>
    <w:rsid w:val="00C7314A"/>
    <w:rsid w:val="00C739B9"/>
    <w:rsid w:val="00C746A7"/>
    <w:rsid w:val="00C751FB"/>
    <w:rsid w:val="00C762F0"/>
    <w:rsid w:val="00C76E08"/>
    <w:rsid w:val="00C779F2"/>
    <w:rsid w:val="00C80BD5"/>
    <w:rsid w:val="00C8128B"/>
    <w:rsid w:val="00C81BD6"/>
    <w:rsid w:val="00C81D9A"/>
    <w:rsid w:val="00C82351"/>
    <w:rsid w:val="00C82830"/>
    <w:rsid w:val="00C832AB"/>
    <w:rsid w:val="00C84D7D"/>
    <w:rsid w:val="00C85388"/>
    <w:rsid w:val="00C858A2"/>
    <w:rsid w:val="00C8696C"/>
    <w:rsid w:val="00C86F29"/>
    <w:rsid w:val="00C875C3"/>
    <w:rsid w:val="00C87C80"/>
    <w:rsid w:val="00C903DB"/>
    <w:rsid w:val="00C9040A"/>
    <w:rsid w:val="00C906D3"/>
    <w:rsid w:val="00C9084E"/>
    <w:rsid w:val="00C9087F"/>
    <w:rsid w:val="00C908A3"/>
    <w:rsid w:val="00C910B3"/>
    <w:rsid w:val="00C913DD"/>
    <w:rsid w:val="00C91568"/>
    <w:rsid w:val="00C917C4"/>
    <w:rsid w:val="00C92466"/>
    <w:rsid w:val="00C92A4F"/>
    <w:rsid w:val="00C93B5F"/>
    <w:rsid w:val="00C96B06"/>
    <w:rsid w:val="00C977D2"/>
    <w:rsid w:val="00C978B4"/>
    <w:rsid w:val="00C97AE1"/>
    <w:rsid w:val="00CA008A"/>
    <w:rsid w:val="00CA04BE"/>
    <w:rsid w:val="00CA07FB"/>
    <w:rsid w:val="00CA1582"/>
    <w:rsid w:val="00CA2211"/>
    <w:rsid w:val="00CA2CBD"/>
    <w:rsid w:val="00CA34FA"/>
    <w:rsid w:val="00CA3881"/>
    <w:rsid w:val="00CA3BC3"/>
    <w:rsid w:val="00CA43B3"/>
    <w:rsid w:val="00CA60DD"/>
    <w:rsid w:val="00CA6840"/>
    <w:rsid w:val="00CA6E9A"/>
    <w:rsid w:val="00CA77D1"/>
    <w:rsid w:val="00CB00E2"/>
    <w:rsid w:val="00CB0941"/>
    <w:rsid w:val="00CB238D"/>
    <w:rsid w:val="00CB29BF"/>
    <w:rsid w:val="00CB3965"/>
    <w:rsid w:val="00CB4B6E"/>
    <w:rsid w:val="00CB4BA3"/>
    <w:rsid w:val="00CB4FBA"/>
    <w:rsid w:val="00CB55E3"/>
    <w:rsid w:val="00CB5F49"/>
    <w:rsid w:val="00CB75B6"/>
    <w:rsid w:val="00CC216C"/>
    <w:rsid w:val="00CC27DD"/>
    <w:rsid w:val="00CC437D"/>
    <w:rsid w:val="00CC51C3"/>
    <w:rsid w:val="00CC6115"/>
    <w:rsid w:val="00CC79C6"/>
    <w:rsid w:val="00CD2872"/>
    <w:rsid w:val="00CD3E47"/>
    <w:rsid w:val="00CD4F1D"/>
    <w:rsid w:val="00CD6A8B"/>
    <w:rsid w:val="00CE04EF"/>
    <w:rsid w:val="00CE11F0"/>
    <w:rsid w:val="00CE1357"/>
    <w:rsid w:val="00CE3D83"/>
    <w:rsid w:val="00CE43D2"/>
    <w:rsid w:val="00CE608A"/>
    <w:rsid w:val="00CE766D"/>
    <w:rsid w:val="00CF040E"/>
    <w:rsid w:val="00CF1D2C"/>
    <w:rsid w:val="00CF29B0"/>
    <w:rsid w:val="00CF350E"/>
    <w:rsid w:val="00CF3DEA"/>
    <w:rsid w:val="00CF3EFB"/>
    <w:rsid w:val="00CF7107"/>
    <w:rsid w:val="00D0050D"/>
    <w:rsid w:val="00D01542"/>
    <w:rsid w:val="00D04854"/>
    <w:rsid w:val="00D0496E"/>
    <w:rsid w:val="00D04985"/>
    <w:rsid w:val="00D05161"/>
    <w:rsid w:val="00D06293"/>
    <w:rsid w:val="00D06D50"/>
    <w:rsid w:val="00D07463"/>
    <w:rsid w:val="00D10289"/>
    <w:rsid w:val="00D11278"/>
    <w:rsid w:val="00D1206E"/>
    <w:rsid w:val="00D1279E"/>
    <w:rsid w:val="00D13F9B"/>
    <w:rsid w:val="00D145C1"/>
    <w:rsid w:val="00D145FA"/>
    <w:rsid w:val="00D14691"/>
    <w:rsid w:val="00D16339"/>
    <w:rsid w:val="00D166FF"/>
    <w:rsid w:val="00D17499"/>
    <w:rsid w:val="00D17695"/>
    <w:rsid w:val="00D17CCC"/>
    <w:rsid w:val="00D22A64"/>
    <w:rsid w:val="00D22F81"/>
    <w:rsid w:val="00D23A58"/>
    <w:rsid w:val="00D253C4"/>
    <w:rsid w:val="00D25FA9"/>
    <w:rsid w:val="00D26839"/>
    <w:rsid w:val="00D26886"/>
    <w:rsid w:val="00D26CA6"/>
    <w:rsid w:val="00D26E5B"/>
    <w:rsid w:val="00D2749C"/>
    <w:rsid w:val="00D27738"/>
    <w:rsid w:val="00D278D4"/>
    <w:rsid w:val="00D279A2"/>
    <w:rsid w:val="00D31967"/>
    <w:rsid w:val="00D326A0"/>
    <w:rsid w:val="00D3367E"/>
    <w:rsid w:val="00D3418B"/>
    <w:rsid w:val="00D362A3"/>
    <w:rsid w:val="00D36B6E"/>
    <w:rsid w:val="00D36D09"/>
    <w:rsid w:val="00D3718C"/>
    <w:rsid w:val="00D4233B"/>
    <w:rsid w:val="00D432D6"/>
    <w:rsid w:val="00D44B8D"/>
    <w:rsid w:val="00D45391"/>
    <w:rsid w:val="00D45679"/>
    <w:rsid w:val="00D4686E"/>
    <w:rsid w:val="00D47FEC"/>
    <w:rsid w:val="00D52FBC"/>
    <w:rsid w:val="00D53B5B"/>
    <w:rsid w:val="00D556BF"/>
    <w:rsid w:val="00D55F7A"/>
    <w:rsid w:val="00D61285"/>
    <w:rsid w:val="00D63AE1"/>
    <w:rsid w:val="00D65182"/>
    <w:rsid w:val="00D66484"/>
    <w:rsid w:val="00D66A78"/>
    <w:rsid w:val="00D66DDE"/>
    <w:rsid w:val="00D67758"/>
    <w:rsid w:val="00D713A7"/>
    <w:rsid w:val="00D73EB0"/>
    <w:rsid w:val="00D74BF3"/>
    <w:rsid w:val="00D75A38"/>
    <w:rsid w:val="00D76BC9"/>
    <w:rsid w:val="00D775E3"/>
    <w:rsid w:val="00D821D4"/>
    <w:rsid w:val="00D82BB2"/>
    <w:rsid w:val="00D833E5"/>
    <w:rsid w:val="00D83F4B"/>
    <w:rsid w:val="00D844C5"/>
    <w:rsid w:val="00D845A2"/>
    <w:rsid w:val="00D85700"/>
    <w:rsid w:val="00D87859"/>
    <w:rsid w:val="00D90871"/>
    <w:rsid w:val="00D90C86"/>
    <w:rsid w:val="00D92B70"/>
    <w:rsid w:val="00D942E1"/>
    <w:rsid w:val="00D95DA2"/>
    <w:rsid w:val="00D961FD"/>
    <w:rsid w:val="00D96214"/>
    <w:rsid w:val="00D96A31"/>
    <w:rsid w:val="00D97076"/>
    <w:rsid w:val="00D973E7"/>
    <w:rsid w:val="00DA01D1"/>
    <w:rsid w:val="00DA0562"/>
    <w:rsid w:val="00DA0BB6"/>
    <w:rsid w:val="00DA19D7"/>
    <w:rsid w:val="00DA2E4D"/>
    <w:rsid w:val="00DA2F65"/>
    <w:rsid w:val="00DA6F33"/>
    <w:rsid w:val="00DA7D14"/>
    <w:rsid w:val="00DA7D35"/>
    <w:rsid w:val="00DB18A4"/>
    <w:rsid w:val="00DB5817"/>
    <w:rsid w:val="00DB7BC5"/>
    <w:rsid w:val="00DC012C"/>
    <w:rsid w:val="00DC157E"/>
    <w:rsid w:val="00DC2E81"/>
    <w:rsid w:val="00DC4229"/>
    <w:rsid w:val="00DC432F"/>
    <w:rsid w:val="00DC482E"/>
    <w:rsid w:val="00DC4A5B"/>
    <w:rsid w:val="00DC4B3C"/>
    <w:rsid w:val="00DC55B0"/>
    <w:rsid w:val="00DC55DB"/>
    <w:rsid w:val="00DC7053"/>
    <w:rsid w:val="00DC70F4"/>
    <w:rsid w:val="00DC71B5"/>
    <w:rsid w:val="00DD013D"/>
    <w:rsid w:val="00DD0FFB"/>
    <w:rsid w:val="00DD2641"/>
    <w:rsid w:val="00DD2985"/>
    <w:rsid w:val="00DD5224"/>
    <w:rsid w:val="00DD55A2"/>
    <w:rsid w:val="00DD61D1"/>
    <w:rsid w:val="00DD65CE"/>
    <w:rsid w:val="00DE0C74"/>
    <w:rsid w:val="00DE18E4"/>
    <w:rsid w:val="00DE22B6"/>
    <w:rsid w:val="00DE31C4"/>
    <w:rsid w:val="00DE65A4"/>
    <w:rsid w:val="00DE65D4"/>
    <w:rsid w:val="00DF073E"/>
    <w:rsid w:val="00DF18D5"/>
    <w:rsid w:val="00DF22F7"/>
    <w:rsid w:val="00DF2F6C"/>
    <w:rsid w:val="00DF3547"/>
    <w:rsid w:val="00DF5CC3"/>
    <w:rsid w:val="00DF7D8B"/>
    <w:rsid w:val="00E0141B"/>
    <w:rsid w:val="00E01660"/>
    <w:rsid w:val="00E022F8"/>
    <w:rsid w:val="00E038DD"/>
    <w:rsid w:val="00E04447"/>
    <w:rsid w:val="00E04497"/>
    <w:rsid w:val="00E04F66"/>
    <w:rsid w:val="00E05D85"/>
    <w:rsid w:val="00E06259"/>
    <w:rsid w:val="00E07104"/>
    <w:rsid w:val="00E10766"/>
    <w:rsid w:val="00E11164"/>
    <w:rsid w:val="00E11233"/>
    <w:rsid w:val="00E12122"/>
    <w:rsid w:val="00E134E8"/>
    <w:rsid w:val="00E140AC"/>
    <w:rsid w:val="00E153FE"/>
    <w:rsid w:val="00E169C8"/>
    <w:rsid w:val="00E16DF7"/>
    <w:rsid w:val="00E215BB"/>
    <w:rsid w:val="00E21DF8"/>
    <w:rsid w:val="00E2364C"/>
    <w:rsid w:val="00E23DA1"/>
    <w:rsid w:val="00E2413C"/>
    <w:rsid w:val="00E24833"/>
    <w:rsid w:val="00E25DB9"/>
    <w:rsid w:val="00E2704D"/>
    <w:rsid w:val="00E277A2"/>
    <w:rsid w:val="00E30B87"/>
    <w:rsid w:val="00E317B9"/>
    <w:rsid w:val="00E31943"/>
    <w:rsid w:val="00E34404"/>
    <w:rsid w:val="00E366AD"/>
    <w:rsid w:val="00E37ACA"/>
    <w:rsid w:val="00E37DEC"/>
    <w:rsid w:val="00E405E4"/>
    <w:rsid w:val="00E40A0F"/>
    <w:rsid w:val="00E413C9"/>
    <w:rsid w:val="00E42071"/>
    <w:rsid w:val="00E42EDA"/>
    <w:rsid w:val="00E4396A"/>
    <w:rsid w:val="00E44B5E"/>
    <w:rsid w:val="00E47230"/>
    <w:rsid w:val="00E50B1A"/>
    <w:rsid w:val="00E511D4"/>
    <w:rsid w:val="00E515FE"/>
    <w:rsid w:val="00E5228F"/>
    <w:rsid w:val="00E52C9C"/>
    <w:rsid w:val="00E5382E"/>
    <w:rsid w:val="00E556C5"/>
    <w:rsid w:val="00E5572D"/>
    <w:rsid w:val="00E56796"/>
    <w:rsid w:val="00E5786E"/>
    <w:rsid w:val="00E62805"/>
    <w:rsid w:val="00E633C4"/>
    <w:rsid w:val="00E64824"/>
    <w:rsid w:val="00E64AB0"/>
    <w:rsid w:val="00E64BF8"/>
    <w:rsid w:val="00E64D6C"/>
    <w:rsid w:val="00E6654A"/>
    <w:rsid w:val="00E665E8"/>
    <w:rsid w:val="00E66F67"/>
    <w:rsid w:val="00E67352"/>
    <w:rsid w:val="00E677EF"/>
    <w:rsid w:val="00E67B19"/>
    <w:rsid w:val="00E70335"/>
    <w:rsid w:val="00E704BD"/>
    <w:rsid w:val="00E7285A"/>
    <w:rsid w:val="00E73472"/>
    <w:rsid w:val="00E73473"/>
    <w:rsid w:val="00E736CB"/>
    <w:rsid w:val="00E74131"/>
    <w:rsid w:val="00E74169"/>
    <w:rsid w:val="00E748FF"/>
    <w:rsid w:val="00E74E64"/>
    <w:rsid w:val="00E75FD8"/>
    <w:rsid w:val="00E7673F"/>
    <w:rsid w:val="00E8025D"/>
    <w:rsid w:val="00E80D06"/>
    <w:rsid w:val="00E81EEC"/>
    <w:rsid w:val="00E82351"/>
    <w:rsid w:val="00E82D90"/>
    <w:rsid w:val="00E8586E"/>
    <w:rsid w:val="00E85872"/>
    <w:rsid w:val="00E85B76"/>
    <w:rsid w:val="00E877C6"/>
    <w:rsid w:val="00E9075A"/>
    <w:rsid w:val="00E90AFF"/>
    <w:rsid w:val="00E90CE8"/>
    <w:rsid w:val="00E93F43"/>
    <w:rsid w:val="00E94163"/>
    <w:rsid w:val="00E9479B"/>
    <w:rsid w:val="00E95707"/>
    <w:rsid w:val="00E959A5"/>
    <w:rsid w:val="00E95B84"/>
    <w:rsid w:val="00E96207"/>
    <w:rsid w:val="00E97D72"/>
    <w:rsid w:val="00EA010A"/>
    <w:rsid w:val="00EA0584"/>
    <w:rsid w:val="00EA18BF"/>
    <w:rsid w:val="00EA18E5"/>
    <w:rsid w:val="00EA43A9"/>
    <w:rsid w:val="00EA6250"/>
    <w:rsid w:val="00EB1C13"/>
    <w:rsid w:val="00EB394A"/>
    <w:rsid w:val="00EB434A"/>
    <w:rsid w:val="00EB4B27"/>
    <w:rsid w:val="00EB69B8"/>
    <w:rsid w:val="00EC0806"/>
    <w:rsid w:val="00EC1CA4"/>
    <w:rsid w:val="00EC2E7E"/>
    <w:rsid w:val="00EC491C"/>
    <w:rsid w:val="00EC5109"/>
    <w:rsid w:val="00EC6273"/>
    <w:rsid w:val="00EC6650"/>
    <w:rsid w:val="00EC7243"/>
    <w:rsid w:val="00EC7926"/>
    <w:rsid w:val="00ED03C3"/>
    <w:rsid w:val="00ED0D4E"/>
    <w:rsid w:val="00ED2989"/>
    <w:rsid w:val="00ED29A9"/>
    <w:rsid w:val="00ED33BD"/>
    <w:rsid w:val="00ED5856"/>
    <w:rsid w:val="00ED7661"/>
    <w:rsid w:val="00ED7A71"/>
    <w:rsid w:val="00ED7DA5"/>
    <w:rsid w:val="00EE023D"/>
    <w:rsid w:val="00EE257F"/>
    <w:rsid w:val="00EE451B"/>
    <w:rsid w:val="00EE4529"/>
    <w:rsid w:val="00EE4742"/>
    <w:rsid w:val="00EF04EA"/>
    <w:rsid w:val="00EF0548"/>
    <w:rsid w:val="00EF0C36"/>
    <w:rsid w:val="00EF12AA"/>
    <w:rsid w:val="00EF1C98"/>
    <w:rsid w:val="00EF30D9"/>
    <w:rsid w:val="00EF3DAC"/>
    <w:rsid w:val="00EF4495"/>
    <w:rsid w:val="00EF5273"/>
    <w:rsid w:val="00EF564C"/>
    <w:rsid w:val="00EF5694"/>
    <w:rsid w:val="00EF777F"/>
    <w:rsid w:val="00EF7964"/>
    <w:rsid w:val="00F01614"/>
    <w:rsid w:val="00F02277"/>
    <w:rsid w:val="00F036BE"/>
    <w:rsid w:val="00F038B4"/>
    <w:rsid w:val="00F03A98"/>
    <w:rsid w:val="00F040ED"/>
    <w:rsid w:val="00F05ABF"/>
    <w:rsid w:val="00F073BB"/>
    <w:rsid w:val="00F101B9"/>
    <w:rsid w:val="00F101C1"/>
    <w:rsid w:val="00F10ED3"/>
    <w:rsid w:val="00F1109B"/>
    <w:rsid w:val="00F126FB"/>
    <w:rsid w:val="00F12741"/>
    <w:rsid w:val="00F132BD"/>
    <w:rsid w:val="00F13442"/>
    <w:rsid w:val="00F1411A"/>
    <w:rsid w:val="00F15394"/>
    <w:rsid w:val="00F15815"/>
    <w:rsid w:val="00F15D5D"/>
    <w:rsid w:val="00F15EB6"/>
    <w:rsid w:val="00F17658"/>
    <w:rsid w:val="00F17936"/>
    <w:rsid w:val="00F2256F"/>
    <w:rsid w:val="00F23079"/>
    <w:rsid w:val="00F239B4"/>
    <w:rsid w:val="00F23C36"/>
    <w:rsid w:val="00F23D37"/>
    <w:rsid w:val="00F244E0"/>
    <w:rsid w:val="00F31CAD"/>
    <w:rsid w:val="00F324A6"/>
    <w:rsid w:val="00F36710"/>
    <w:rsid w:val="00F36B31"/>
    <w:rsid w:val="00F36E07"/>
    <w:rsid w:val="00F36F68"/>
    <w:rsid w:val="00F40486"/>
    <w:rsid w:val="00F40BAF"/>
    <w:rsid w:val="00F41B27"/>
    <w:rsid w:val="00F42336"/>
    <w:rsid w:val="00F428B4"/>
    <w:rsid w:val="00F4361A"/>
    <w:rsid w:val="00F4405F"/>
    <w:rsid w:val="00F44A30"/>
    <w:rsid w:val="00F45107"/>
    <w:rsid w:val="00F45F78"/>
    <w:rsid w:val="00F4667C"/>
    <w:rsid w:val="00F46D8F"/>
    <w:rsid w:val="00F508C3"/>
    <w:rsid w:val="00F50C30"/>
    <w:rsid w:val="00F51137"/>
    <w:rsid w:val="00F51468"/>
    <w:rsid w:val="00F51A77"/>
    <w:rsid w:val="00F523C9"/>
    <w:rsid w:val="00F53C39"/>
    <w:rsid w:val="00F545A0"/>
    <w:rsid w:val="00F55479"/>
    <w:rsid w:val="00F56A18"/>
    <w:rsid w:val="00F57198"/>
    <w:rsid w:val="00F61284"/>
    <w:rsid w:val="00F618FF"/>
    <w:rsid w:val="00F61BF7"/>
    <w:rsid w:val="00F621D1"/>
    <w:rsid w:val="00F6292E"/>
    <w:rsid w:val="00F62A8D"/>
    <w:rsid w:val="00F643E4"/>
    <w:rsid w:val="00F65BC2"/>
    <w:rsid w:val="00F65E57"/>
    <w:rsid w:val="00F6643C"/>
    <w:rsid w:val="00F670E7"/>
    <w:rsid w:val="00F6728C"/>
    <w:rsid w:val="00F6734E"/>
    <w:rsid w:val="00F67F31"/>
    <w:rsid w:val="00F700FD"/>
    <w:rsid w:val="00F70D67"/>
    <w:rsid w:val="00F70F7E"/>
    <w:rsid w:val="00F72B6B"/>
    <w:rsid w:val="00F73625"/>
    <w:rsid w:val="00F74592"/>
    <w:rsid w:val="00F76A13"/>
    <w:rsid w:val="00F76EF7"/>
    <w:rsid w:val="00F77586"/>
    <w:rsid w:val="00F775F3"/>
    <w:rsid w:val="00F77D98"/>
    <w:rsid w:val="00F80673"/>
    <w:rsid w:val="00F807FE"/>
    <w:rsid w:val="00F832C4"/>
    <w:rsid w:val="00F836C5"/>
    <w:rsid w:val="00F840C7"/>
    <w:rsid w:val="00F84EB5"/>
    <w:rsid w:val="00F8648F"/>
    <w:rsid w:val="00F871C5"/>
    <w:rsid w:val="00F87A9A"/>
    <w:rsid w:val="00F87C01"/>
    <w:rsid w:val="00F90F08"/>
    <w:rsid w:val="00F914BB"/>
    <w:rsid w:val="00F9290C"/>
    <w:rsid w:val="00F978AB"/>
    <w:rsid w:val="00FA00F9"/>
    <w:rsid w:val="00FA0325"/>
    <w:rsid w:val="00FA096F"/>
    <w:rsid w:val="00FA2D05"/>
    <w:rsid w:val="00FA2F3C"/>
    <w:rsid w:val="00FA44E6"/>
    <w:rsid w:val="00FA72F6"/>
    <w:rsid w:val="00FB057E"/>
    <w:rsid w:val="00FB16CA"/>
    <w:rsid w:val="00FB1B2F"/>
    <w:rsid w:val="00FB2801"/>
    <w:rsid w:val="00FB38C8"/>
    <w:rsid w:val="00FB3AF1"/>
    <w:rsid w:val="00FB65D5"/>
    <w:rsid w:val="00FB6D7F"/>
    <w:rsid w:val="00FB6DEE"/>
    <w:rsid w:val="00FB6DFE"/>
    <w:rsid w:val="00FB734F"/>
    <w:rsid w:val="00FB75F7"/>
    <w:rsid w:val="00FB7D9E"/>
    <w:rsid w:val="00FC0625"/>
    <w:rsid w:val="00FC1965"/>
    <w:rsid w:val="00FC1F07"/>
    <w:rsid w:val="00FC2818"/>
    <w:rsid w:val="00FC32E3"/>
    <w:rsid w:val="00FC4972"/>
    <w:rsid w:val="00FC4BA7"/>
    <w:rsid w:val="00FC4E87"/>
    <w:rsid w:val="00FC60BE"/>
    <w:rsid w:val="00FC674A"/>
    <w:rsid w:val="00FC69C8"/>
    <w:rsid w:val="00FC6B85"/>
    <w:rsid w:val="00FD05F2"/>
    <w:rsid w:val="00FD122E"/>
    <w:rsid w:val="00FD16CA"/>
    <w:rsid w:val="00FD1879"/>
    <w:rsid w:val="00FD1901"/>
    <w:rsid w:val="00FD1E22"/>
    <w:rsid w:val="00FD2DB4"/>
    <w:rsid w:val="00FD6669"/>
    <w:rsid w:val="00FD74F5"/>
    <w:rsid w:val="00FE0B9E"/>
    <w:rsid w:val="00FE29E7"/>
    <w:rsid w:val="00FE2B21"/>
    <w:rsid w:val="00FE306C"/>
    <w:rsid w:val="00FE4BD8"/>
    <w:rsid w:val="00FE4E03"/>
    <w:rsid w:val="00FE60A3"/>
    <w:rsid w:val="00FE718B"/>
    <w:rsid w:val="00FF2422"/>
    <w:rsid w:val="00FF2BE0"/>
    <w:rsid w:val="00FF31FD"/>
    <w:rsid w:val="00FF5E53"/>
    <w:rsid w:val="00FF6771"/>
    <w:rsid w:val="00FF70D4"/>
    <w:rsid w:val="00FF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9444"/>
  <w15:chartTrackingRefBased/>
  <w15:docId w15:val="{F197514A-4492-4FC1-90C9-1F240751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0E7"/>
    <w:pPr>
      <w:spacing w:after="0" w:line="240" w:lineRule="auto"/>
    </w:pPr>
    <w:rPr>
      <w:sz w:val="24"/>
      <w:szCs w:val="24"/>
    </w:rPr>
  </w:style>
  <w:style w:type="paragraph" w:styleId="Heading1">
    <w:name w:val="heading 1"/>
    <w:basedOn w:val="Normal"/>
    <w:next w:val="Normal"/>
    <w:link w:val="Heading1Char"/>
    <w:uiPriority w:val="9"/>
    <w:qFormat/>
    <w:rsid w:val="00715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5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B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B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B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B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15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BD6"/>
    <w:rPr>
      <w:rFonts w:eastAsiaTheme="majorEastAsia" w:cstheme="majorBidi"/>
      <w:color w:val="272727" w:themeColor="text1" w:themeTint="D8"/>
    </w:rPr>
  </w:style>
  <w:style w:type="paragraph" w:styleId="Title">
    <w:name w:val="Title"/>
    <w:basedOn w:val="Normal"/>
    <w:next w:val="Normal"/>
    <w:link w:val="TitleChar"/>
    <w:uiPriority w:val="10"/>
    <w:qFormat/>
    <w:rsid w:val="00715B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BD6"/>
    <w:pPr>
      <w:spacing w:before="160"/>
      <w:jc w:val="center"/>
    </w:pPr>
    <w:rPr>
      <w:i/>
      <w:iCs/>
      <w:color w:val="404040" w:themeColor="text1" w:themeTint="BF"/>
    </w:rPr>
  </w:style>
  <w:style w:type="character" w:customStyle="1" w:styleId="QuoteChar">
    <w:name w:val="Quote Char"/>
    <w:basedOn w:val="DefaultParagraphFont"/>
    <w:link w:val="Quote"/>
    <w:uiPriority w:val="29"/>
    <w:rsid w:val="00715BD6"/>
    <w:rPr>
      <w:i/>
      <w:iCs/>
      <w:color w:val="404040" w:themeColor="text1" w:themeTint="BF"/>
    </w:rPr>
  </w:style>
  <w:style w:type="paragraph" w:styleId="ListParagraph">
    <w:name w:val="List Paragraph"/>
    <w:basedOn w:val="Normal"/>
    <w:uiPriority w:val="34"/>
    <w:qFormat/>
    <w:rsid w:val="00715BD6"/>
    <w:pPr>
      <w:ind w:left="720"/>
      <w:contextualSpacing/>
    </w:pPr>
  </w:style>
  <w:style w:type="character" w:styleId="IntenseEmphasis">
    <w:name w:val="Intense Emphasis"/>
    <w:basedOn w:val="DefaultParagraphFont"/>
    <w:uiPriority w:val="21"/>
    <w:qFormat/>
    <w:rsid w:val="00715BD6"/>
    <w:rPr>
      <w:i/>
      <w:iCs/>
      <w:color w:val="0F4761" w:themeColor="accent1" w:themeShade="BF"/>
    </w:rPr>
  </w:style>
  <w:style w:type="paragraph" w:styleId="IntenseQuote">
    <w:name w:val="Intense Quote"/>
    <w:basedOn w:val="Normal"/>
    <w:next w:val="Normal"/>
    <w:link w:val="IntenseQuoteChar"/>
    <w:uiPriority w:val="30"/>
    <w:qFormat/>
    <w:rsid w:val="00715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BD6"/>
    <w:rPr>
      <w:i/>
      <w:iCs/>
      <w:color w:val="0F4761" w:themeColor="accent1" w:themeShade="BF"/>
    </w:rPr>
  </w:style>
  <w:style w:type="character" w:styleId="IntenseReference">
    <w:name w:val="Intense Reference"/>
    <w:basedOn w:val="DefaultParagraphFont"/>
    <w:uiPriority w:val="32"/>
    <w:qFormat/>
    <w:rsid w:val="00715BD6"/>
    <w:rPr>
      <w:b/>
      <w:bCs/>
      <w:smallCaps/>
      <w:color w:val="0F4761" w:themeColor="accent1" w:themeShade="BF"/>
      <w:spacing w:val="5"/>
    </w:rPr>
  </w:style>
  <w:style w:type="character" w:styleId="Hyperlink">
    <w:name w:val="Hyperlink"/>
    <w:basedOn w:val="DefaultParagraphFont"/>
    <w:uiPriority w:val="99"/>
    <w:unhideWhenUsed/>
    <w:rsid w:val="007F20CD"/>
    <w:rPr>
      <w:color w:val="467886" w:themeColor="hyperlink"/>
      <w:u w:val="single"/>
    </w:rPr>
  </w:style>
  <w:style w:type="character" w:styleId="UnresolvedMention">
    <w:name w:val="Unresolved Mention"/>
    <w:basedOn w:val="DefaultParagraphFont"/>
    <w:uiPriority w:val="99"/>
    <w:semiHidden/>
    <w:unhideWhenUsed/>
    <w:rsid w:val="007F20CD"/>
    <w:rPr>
      <w:color w:val="605E5C"/>
      <w:shd w:val="clear" w:color="auto" w:fill="E1DFDD"/>
    </w:rPr>
  </w:style>
  <w:style w:type="character" w:styleId="Emphasis">
    <w:name w:val="Emphasis"/>
    <w:basedOn w:val="DefaultParagraphFont"/>
    <w:uiPriority w:val="20"/>
    <w:qFormat/>
    <w:rsid w:val="009E52BC"/>
    <w:rPr>
      <w:i/>
      <w:iCs/>
    </w:rPr>
  </w:style>
  <w:style w:type="character" w:styleId="FollowedHyperlink">
    <w:name w:val="FollowedHyperlink"/>
    <w:basedOn w:val="DefaultParagraphFont"/>
    <w:uiPriority w:val="99"/>
    <w:semiHidden/>
    <w:unhideWhenUsed/>
    <w:rsid w:val="009F5D31"/>
    <w:rPr>
      <w:color w:val="96607D" w:themeColor="followedHyperlink"/>
      <w:u w:val="single"/>
    </w:rPr>
  </w:style>
  <w:style w:type="paragraph" w:customStyle="1" w:styleId="p">
    <w:name w:val="p"/>
    <w:basedOn w:val="Normal"/>
    <w:rsid w:val="0018368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18368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FE2B21"/>
    <w:rPr>
      <w:sz w:val="16"/>
      <w:szCs w:val="16"/>
    </w:rPr>
  </w:style>
  <w:style w:type="paragraph" w:styleId="CommentText">
    <w:name w:val="annotation text"/>
    <w:basedOn w:val="Normal"/>
    <w:link w:val="CommentTextChar"/>
    <w:uiPriority w:val="99"/>
    <w:unhideWhenUsed/>
    <w:rsid w:val="00FE2B21"/>
    <w:rPr>
      <w:sz w:val="20"/>
      <w:szCs w:val="20"/>
    </w:rPr>
  </w:style>
  <w:style w:type="character" w:customStyle="1" w:styleId="CommentTextChar">
    <w:name w:val="Comment Text Char"/>
    <w:basedOn w:val="DefaultParagraphFont"/>
    <w:link w:val="CommentText"/>
    <w:uiPriority w:val="99"/>
    <w:rsid w:val="00FE2B21"/>
    <w:rPr>
      <w:sz w:val="20"/>
      <w:szCs w:val="20"/>
    </w:rPr>
  </w:style>
  <w:style w:type="paragraph" w:styleId="CommentSubject">
    <w:name w:val="annotation subject"/>
    <w:basedOn w:val="CommentText"/>
    <w:next w:val="CommentText"/>
    <w:link w:val="CommentSubjectChar"/>
    <w:uiPriority w:val="99"/>
    <w:semiHidden/>
    <w:unhideWhenUsed/>
    <w:rsid w:val="00FE2B21"/>
    <w:rPr>
      <w:b/>
      <w:bCs/>
    </w:rPr>
  </w:style>
  <w:style w:type="character" w:customStyle="1" w:styleId="CommentSubjectChar">
    <w:name w:val="Comment Subject Char"/>
    <w:basedOn w:val="CommentTextChar"/>
    <w:link w:val="CommentSubject"/>
    <w:uiPriority w:val="99"/>
    <w:semiHidden/>
    <w:rsid w:val="00FE2B21"/>
    <w:rPr>
      <w:b/>
      <w:bCs/>
      <w:sz w:val="20"/>
      <w:szCs w:val="20"/>
    </w:rPr>
  </w:style>
  <w:style w:type="paragraph" w:styleId="Bibliography">
    <w:name w:val="Bibliography"/>
    <w:basedOn w:val="Normal"/>
    <w:next w:val="Normal"/>
    <w:uiPriority w:val="37"/>
    <w:unhideWhenUsed/>
    <w:rsid w:val="00F23079"/>
  </w:style>
  <w:style w:type="paragraph" w:styleId="Revision">
    <w:name w:val="Revision"/>
    <w:hidden/>
    <w:uiPriority w:val="99"/>
    <w:semiHidden/>
    <w:rsid w:val="00D92B70"/>
    <w:pPr>
      <w:spacing w:after="0" w:line="240" w:lineRule="auto"/>
    </w:pPr>
    <w:rPr>
      <w:sz w:val="24"/>
      <w:szCs w:val="24"/>
    </w:rPr>
  </w:style>
  <w:style w:type="paragraph" w:styleId="Header">
    <w:name w:val="header"/>
    <w:basedOn w:val="Normal"/>
    <w:link w:val="HeaderChar"/>
    <w:uiPriority w:val="99"/>
    <w:unhideWhenUsed/>
    <w:rsid w:val="009111CE"/>
    <w:pPr>
      <w:tabs>
        <w:tab w:val="center" w:pos="4513"/>
        <w:tab w:val="right" w:pos="9026"/>
      </w:tabs>
    </w:pPr>
  </w:style>
  <w:style w:type="character" w:customStyle="1" w:styleId="HeaderChar">
    <w:name w:val="Header Char"/>
    <w:basedOn w:val="DefaultParagraphFont"/>
    <w:link w:val="Header"/>
    <w:uiPriority w:val="99"/>
    <w:rsid w:val="009111CE"/>
    <w:rPr>
      <w:sz w:val="24"/>
      <w:szCs w:val="24"/>
    </w:rPr>
  </w:style>
  <w:style w:type="paragraph" w:styleId="Footer">
    <w:name w:val="footer"/>
    <w:basedOn w:val="Normal"/>
    <w:link w:val="FooterChar"/>
    <w:uiPriority w:val="99"/>
    <w:unhideWhenUsed/>
    <w:rsid w:val="009111CE"/>
    <w:pPr>
      <w:tabs>
        <w:tab w:val="center" w:pos="4513"/>
        <w:tab w:val="right" w:pos="9026"/>
      </w:tabs>
    </w:pPr>
  </w:style>
  <w:style w:type="character" w:customStyle="1" w:styleId="FooterChar">
    <w:name w:val="Footer Char"/>
    <w:basedOn w:val="DefaultParagraphFont"/>
    <w:link w:val="Footer"/>
    <w:uiPriority w:val="99"/>
    <w:rsid w:val="009111CE"/>
    <w:rPr>
      <w:sz w:val="24"/>
      <w:szCs w:val="24"/>
    </w:rPr>
  </w:style>
  <w:style w:type="table" w:styleId="TableGrid">
    <w:name w:val="Table Grid"/>
    <w:basedOn w:val="TableNormal"/>
    <w:uiPriority w:val="39"/>
    <w:rsid w:val="00AC2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9755C1"/>
  </w:style>
  <w:style w:type="character" w:styleId="Strong">
    <w:name w:val="Strong"/>
    <w:basedOn w:val="DefaultParagraphFont"/>
    <w:uiPriority w:val="22"/>
    <w:qFormat/>
    <w:rsid w:val="00026913"/>
    <w:rPr>
      <w:b/>
      <w:bCs/>
    </w:rPr>
  </w:style>
  <w:style w:type="character" w:customStyle="1" w:styleId="apple-converted-space">
    <w:name w:val="apple-converted-space"/>
    <w:basedOn w:val="DefaultParagraphFont"/>
    <w:rsid w:val="00837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2038">
      <w:bodyDiv w:val="1"/>
      <w:marLeft w:val="0"/>
      <w:marRight w:val="0"/>
      <w:marTop w:val="0"/>
      <w:marBottom w:val="0"/>
      <w:divBdr>
        <w:top w:val="none" w:sz="0" w:space="0" w:color="auto"/>
        <w:left w:val="none" w:sz="0" w:space="0" w:color="auto"/>
        <w:bottom w:val="none" w:sz="0" w:space="0" w:color="auto"/>
        <w:right w:val="none" w:sz="0" w:space="0" w:color="auto"/>
      </w:divBdr>
    </w:div>
    <w:div w:id="622199914">
      <w:bodyDiv w:val="1"/>
      <w:marLeft w:val="0"/>
      <w:marRight w:val="0"/>
      <w:marTop w:val="0"/>
      <w:marBottom w:val="0"/>
      <w:divBdr>
        <w:top w:val="none" w:sz="0" w:space="0" w:color="auto"/>
        <w:left w:val="none" w:sz="0" w:space="0" w:color="auto"/>
        <w:bottom w:val="none" w:sz="0" w:space="0" w:color="auto"/>
        <w:right w:val="none" w:sz="0" w:space="0" w:color="auto"/>
      </w:divBdr>
    </w:div>
    <w:div w:id="928927551">
      <w:bodyDiv w:val="1"/>
      <w:marLeft w:val="0"/>
      <w:marRight w:val="0"/>
      <w:marTop w:val="0"/>
      <w:marBottom w:val="0"/>
      <w:divBdr>
        <w:top w:val="none" w:sz="0" w:space="0" w:color="auto"/>
        <w:left w:val="none" w:sz="0" w:space="0" w:color="auto"/>
        <w:bottom w:val="none" w:sz="0" w:space="0" w:color="auto"/>
        <w:right w:val="none" w:sz="0" w:space="0" w:color="auto"/>
      </w:divBdr>
    </w:div>
    <w:div w:id="986514708">
      <w:bodyDiv w:val="1"/>
      <w:marLeft w:val="0"/>
      <w:marRight w:val="0"/>
      <w:marTop w:val="0"/>
      <w:marBottom w:val="0"/>
      <w:divBdr>
        <w:top w:val="none" w:sz="0" w:space="0" w:color="auto"/>
        <w:left w:val="none" w:sz="0" w:space="0" w:color="auto"/>
        <w:bottom w:val="none" w:sz="0" w:space="0" w:color="auto"/>
        <w:right w:val="none" w:sz="0" w:space="0" w:color="auto"/>
      </w:divBdr>
      <w:divsChild>
        <w:div w:id="1048726722">
          <w:marLeft w:val="0"/>
          <w:marRight w:val="0"/>
          <w:marTop w:val="400"/>
          <w:marBottom w:val="400"/>
          <w:divBdr>
            <w:top w:val="none" w:sz="0" w:space="0" w:color="auto"/>
            <w:left w:val="none" w:sz="0" w:space="0" w:color="auto"/>
            <w:bottom w:val="none" w:sz="0" w:space="0" w:color="auto"/>
            <w:right w:val="none" w:sz="0" w:space="0" w:color="auto"/>
          </w:divBdr>
          <w:divsChild>
            <w:div w:id="1189952172">
              <w:marLeft w:val="0"/>
              <w:marRight w:val="0"/>
              <w:marTop w:val="0"/>
              <w:marBottom w:val="0"/>
              <w:divBdr>
                <w:top w:val="none" w:sz="0" w:space="0" w:color="auto"/>
                <w:left w:val="none" w:sz="0" w:space="0" w:color="auto"/>
                <w:bottom w:val="none" w:sz="0" w:space="0" w:color="auto"/>
                <w:right w:val="none" w:sz="0" w:space="0" w:color="auto"/>
              </w:divBdr>
            </w:div>
            <w:div w:id="194997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160372">
      <w:bodyDiv w:val="1"/>
      <w:marLeft w:val="0"/>
      <w:marRight w:val="0"/>
      <w:marTop w:val="0"/>
      <w:marBottom w:val="0"/>
      <w:divBdr>
        <w:top w:val="none" w:sz="0" w:space="0" w:color="auto"/>
        <w:left w:val="none" w:sz="0" w:space="0" w:color="auto"/>
        <w:bottom w:val="none" w:sz="0" w:space="0" w:color="auto"/>
        <w:right w:val="none" w:sz="0" w:space="0" w:color="auto"/>
      </w:divBdr>
    </w:div>
    <w:div w:id="1671642373">
      <w:bodyDiv w:val="1"/>
      <w:marLeft w:val="0"/>
      <w:marRight w:val="0"/>
      <w:marTop w:val="0"/>
      <w:marBottom w:val="0"/>
      <w:divBdr>
        <w:top w:val="none" w:sz="0" w:space="0" w:color="auto"/>
        <w:left w:val="none" w:sz="0" w:space="0" w:color="auto"/>
        <w:bottom w:val="none" w:sz="0" w:space="0" w:color="auto"/>
        <w:right w:val="none" w:sz="0" w:space="0" w:color="auto"/>
      </w:divBdr>
      <w:divsChild>
        <w:div w:id="1108894256">
          <w:marLeft w:val="0"/>
          <w:marRight w:val="0"/>
          <w:marTop w:val="0"/>
          <w:marBottom w:val="0"/>
          <w:divBdr>
            <w:top w:val="none" w:sz="0" w:space="0" w:color="auto"/>
            <w:left w:val="none" w:sz="0" w:space="0" w:color="auto"/>
            <w:bottom w:val="none" w:sz="0" w:space="0" w:color="auto"/>
            <w:right w:val="none" w:sz="0" w:space="0" w:color="auto"/>
          </w:divBdr>
          <w:divsChild>
            <w:div w:id="2107264318">
              <w:marLeft w:val="0"/>
              <w:marRight w:val="0"/>
              <w:marTop w:val="0"/>
              <w:marBottom w:val="0"/>
              <w:divBdr>
                <w:top w:val="none" w:sz="0" w:space="0" w:color="auto"/>
                <w:left w:val="none" w:sz="0" w:space="0" w:color="auto"/>
                <w:bottom w:val="none" w:sz="0" w:space="0" w:color="auto"/>
                <w:right w:val="none" w:sz="0" w:space="0" w:color="auto"/>
              </w:divBdr>
              <w:divsChild>
                <w:div w:id="1808548545">
                  <w:marLeft w:val="600"/>
                  <w:marRight w:val="96"/>
                  <w:marTop w:val="0"/>
                  <w:marBottom w:val="0"/>
                  <w:divBdr>
                    <w:top w:val="none" w:sz="0" w:space="0" w:color="auto"/>
                    <w:left w:val="none" w:sz="0" w:space="0" w:color="auto"/>
                    <w:bottom w:val="none" w:sz="0" w:space="0" w:color="auto"/>
                    <w:right w:val="none" w:sz="0" w:space="0" w:color="auto"/>
                  </w:divBdr>
                </w:div>
              </w:divsChild>
            </w:div>
            <w:div w:id="1921088600">
              <w:marLeft w:val="0"/>
              <w:marRight w:val="0"/>
              <w:marTop w:val="0"/>
              <w:marBottom w:val="0"/>
              <w:divBdr>
                <w:top w:val="none" w:sz="0" w:space="0" w:color="auto"/>
                <w:left w:val="none" w:sz="0" w:space="0" w:color="auto"/>
                <w:bottom w:val="none" w:sz="0" w:space="0" w:color="auto"/>
                <w:right w:val="none" w:sz="0" w:space="0" w:color="auto"/>
              </w:divBdr>
              <w:divsChild>
                <w:div w:id="1795756560">
                  <w:marLeft w:val="600"/>
                  <w:marRight w:val="96"/>
                  <w:marTop w:val="0"/>
                  <w:marBottom w:val="0"/>
                  <w:divBdr>
                    <w:top w:val="none" w:sz="0" w:space="0" w:color="auto"/>
                    <w:left w:val="none" w:sz="0" w:space="0" w:color="auto"/>
                    <w:bottom w:val="none" w:sz="0" w:space="0" w:color="auto"/>
                    <w:right w:val="none" w:sz="0" w:space="0" w:color="auto"/>
                  </w:divBdr>
                </w:div>
              </w:divsChild>
            </w:div>
            <w:div w:id="854925135">
              <w:marLeft w:val="0"/>
              <w:marRight w:val="0"/>
              <w:marTop w:val="0"/>
              <w:marBottom w:val="0"/>
              <w:divBdr>
                <w:top w:val="none" w:sz="0" w:space="0" w:color="auto"/>
                <w:left w:val="none" w:sz="0" w:space="0" w:color="auto"/>
                <w:bottom w:val="none" w:sz="0" w:space="0" w:color="auto"/>
                <w:right w:val="none" w:sz="0" w:space="0" w:color="auto"/>
              </w:divBdr>
              <w:divsChild>
                <w:div w:id="1698390985">
                  <w:marLeft w:val="600"/>
                  <w:marRight w:val="96"/>
                  <w:marTop w:val="0"/>
                  <w:marBottom w:val="0"/>
                  <w:divBdr>
                    <w:top w:val="none" w:sz="0" w:space="0" w:color="auto"/>
                    <w:left w:val="none" w:sz="0" w:space="0" w:color="auto"/>
                    <w:bottom w:val="none" w:sz="0" w:space="0" w:color="auto"/>
                    <w:right w:val="none" w:sz="0" w:space="0" w:color="auto"/>
                  </w:divBdr>
                </w:div>
              </w:divsChild>
            </w:div>
            <w:div w:id="752505108">
              <w:marLeft w:val="0"/>
              <w:marRight w:val="0"/>
              <w:marTop w:val="0"/>
              <w:marBottom w:val="0"/>
              <w:divBdr>
                <w:top w:val="none" w:sz="0" w:space="0" w:color="auto"/>
                <w:left w:val="none" w:sz="0" w:space="0" w:color="auto"/>
                <w:bottom w:val="none" w:sz="0" w:space="0" w:color="auto"/>
                <w:right w:val="none" w:sz="0" w:space="0" w:color="auto"/>
              </w:divBdr>
              <w:divsChild>
                <w:div w:id="882407086">
                  <w:marLeft w:val="600"/>
                  <w:marRight w:val="96"/>
                  <w:marTop w:val="0"/>
                  <w:marBottom w:val="0"/>
                  <w:divBdr>
                    <w:top w:val="none" w:sz="0" w:space="0" w:color="auto"/>
                    <w:left w:val="none" w:sz="0" w:space="0" w:color="auto"/>
                    <w:bottom w:val="none" w:sz="0" w:space="0" w:color="auto"/>
                    <w:right w:val="none" w:sz="0" w:space="0" w:color="auto"/>
                  </w:divBdr>
                </w:div>
              </w:divsChild>
            </w:div>
            <w:div w:id="185294745">
              <w:marLeft w:val="0"/>
              <w:marRight w:val="0"/>
              <w:marTop w:val="0"/>
              <w:marBottom w:val="0"/>
              <w:divBdr>
                <w:top w:val="none" w:sz="0" w:space="0" w:color="auto"/>
                <w:left w:val="none" w:sz="0" w:space="0" w:color="auto"/>
                <w:bottom w:val="none" w:sz="0" w:space="0" w:color="auto"/>
                <w:right w:val="none" w:sz="0" w:space="0" w:color="auto"/>
              </w:divBdr>
              <w:divsChild>
                <w:div w:id="182061270">
                  <w:marLeft w:val="600"/>
                  <w:marRight w:val="96"/>
                  <w:marTop w:val="0"/>
                  <w:marBottom w:val="0"/>
                  <w:divBdr>
                    <w:top w:val="none" w:sz="0" w:space="0" w:color="auto"/>
                    <w:left w:val="none" w:sz="0" w:space="0" w:color="auto"/>
                    <w:bottom w:val="none" w:sz="0" w:space="0" w:color="auto"/>
                    <w:right w:val="none" w:sz="0" w:space="0" w:color="auto"/>
                  </w:divBdr>
                </w:div>
              </w:divsChild>
            </w:div>
            <w:div w:id="2016960267">
              <w:marLeft w:val="0"/>
              <w:marRight w:val="0"/>
              <w:marTop w:val="0"/>
              <w:marBottom w:val="0"/>
              <w:divBdr>
                <w:top w:val="none" w:sz="0" w:space="0" w:color="auto"/>
                <w:left w:val="none" w:sz="0" w:space="0" w:color="auto"/>
                <w:bottom w:val="none" w:sz="0" w:space="0" w:color="auto"/>
                <w:right w:val="none" w:sz="0" w:space="0" w:color="auto"/>
              </w:divBdr>
              <w:divsChild>
                <w:div w:id="615142365">
                  <w:marLeft w:val="600"/>
                  <w:marRight w:val="96"/>
                  <w:marTop w:val="0"/>
                  <w:marBottom w:val="0"/>
                  <w:divBdr>
                    <w:top w:val="none" w:sz="0" w:space="0" w:color="auto"/>
                    <w:left w:val="none" w:sz="0" w:space="0" w:color="auto"/>
                    <w:bottom w:val="none" w:sz="0" w:space="0" w:color="auto"/>
                    <w:right w:val="none" w:sz="0" w:space="0" w:color="auto"/>
                  </w:divBdr>
                </w:div>
              </w:divsChild>
            </w:div>
            <w:div w:id="137383991">
              <w:marLeft w:val="0"/>
              <w:marRight w:val="0"/>
              <w:marTop w:val="0"/>
              <w:marBottom w:val="0"/>
              <w:divBdr>
                <w:top w:val="none" w:sz="0" w:space="0" w:color="auto"/>
                <w:left w:val="none" w:sz="0" w:space="0" w:color="auto"/>
                <w:bottom w:val="none" w:sz="0" w:space="0" w:color="auto"/>
                <w:right w:val="none" w:sz="0" w:space="0" w:color="auto"/>
              </w:divBdr>
              <w:divsChild>
                <w:div w:id="1481967937">
                  <w:marLeft w:val="600"/>
                  <w:marRight w:val="96"/>
                  <w:marTop w:val="0"/>
                  <w:marBottom w:val="0"/>
                  <w:divBdr>
                    <w:top w:val="none" w:sz="0" w:space="0" w:color="auto"/>
                    <w:left w:val="none" w:sz="0" w:space="0" w:color="auto"/>
                    <w:bottom w:val="none" w:sz="0" w:space="0" w:color="auto"/>
                    <w:right w:val="none" w:sz="0" w:space="0" w:color="auto"/>
                  </w:divBdr>
                </w:div>
              </w:divsChild>
            </w:div>
            <w:div w:id="2025279124">
              <w:marLeft w:val="0"/>
              <w:marRight w:val="0"/>
              <w:marTop w:val="0"/>
              <w:marBottom w:val="0"/>
              <w:divBdr>
                <w:top w:val="none" w:sz="0" w:space="0" w:color="auto"/>
                <w:left w:val="none" w:sz="0" w:space="0" w:color="auto"/>
                <w:bottom w:val="none" w:sz="0" w:space="0" w:color="auto"/>
                <w:right w:val="none" w:sz="0" w:space="0" w:color="auto"/>
              </w:divBdr>
              <w:divsChild>
                <w:div w:id="1850676048">
                  <w:marLeft w:val="600"/>
                  <w:marRight w:val="96"/>
                  <w:marTop w:val="0"/>
                  <w:marBottom w:val="0"/>
                  <w:divBdr>
                    <w:top w:val="none" w:sz="0" w:space="0" w:color="auto"/>
                    <w:left w:val="none" w:sz="0" w:space="0" w:color="auto"/>
                    <w:bottom w:val="none" w:sz="0" w:space="0" w:color="auto"/>
                    <w:right w:val="none" w:sz="0" w:space="0" w:color="auto"/>
                  </w:divBdr>
                </w:div>
              </w:divsChild>
            </w:div>
            <w:div w:id="103110751">
              <w:marLeft w:val="0"/>
              <w:marRight w:val="0"/>
              <w:marTop w:val="0"/>
              <w:marBottom w:val="0"/>
              <w:divBdr>
                <w:top w:val="none" w:sz="0" w:space="0" w:color="auto"/>
                <w:left w:val="none" w:sz="0" w:space="0" w:color="auto"/>
                <w:bottom w:val="none" w:sz="0" w:space="0" w:color="auto"/>
                <w:right w:val="none" w:sz="0" w:space="0" w:color="auto"/>
              </w:divBdr>
              <w:divsChild>
                <w:div w:id="630594432">
                  <w:marLeft w:val="600"/>
                  <w:marRight w:val="96"/>
                  <w:marTop w:val="0"/>
                  <w:marBottom w:val="0"/>
                  <w:divBdr>
                    <w:top w:val="none" w:sz="0" w:space="0" w:color="auto"/>
                    <w:left w:val="none" w:sz="0" w:space="0" w:color="auto"/>
                    <w:bottom w:val="none" w:sz="0" w:space="0" w:color="auto"/>
                    <w:right w:val="none" w:sz="0" w:space="0" w:color="auto"/>
                  </w:divBdr>
                </w:div>
              </w:divsChild>
            </w:div>
            <w:div w:id="279653133">
              <w:marLeft w:val="0"/>
              <w:marRight w:val="0"/>
              <w:marTop w:val="0"/>
              <w:marBottom w:val="0"/>
              <w:divBdr>
                <w:top w:val="none" w:sz="0" w:space="0" w:color="auto"/>
                <w:left w:val="none" w:sz="0" w:space="0" w:color="auto"/>
                <w:bottom w:val="none" w:sz="0" w:space="0" w:color="auto"/>
                <w:right w:val="none" w:sz="0" w:space="0" w:color="auto"/>
              </w:divBdr>
              <w:divsChild>
                <w:div w:id="1385176423">
                  <w:marLeft w:val="600"/>
                  <w:marRight w:val="96"/>
                  <w:marTop w:val="0"/>
                  <w:marBottom w:val="0"/>
                  <w:divBdr>
                    <w:top w:val="none" w:sz="0" w:space="0" w:color="auto"/>
                    <w:left w:val="none" w:sz="0" w:space="0" w:color="auto"/>
                    <w:bottom w:val="none" w:sz="0" w:space="0" w:color="auto"/>
                    <w:right w:val="none" w:sz="0" w:space="0" w:color="auto"/>
                  </w:divBdr>
                </w:div>
              </w:divsChild>
            </w:div>
            <w:div w:id="764493246">
              <w:marLeft w:val="0"/>
              <w:marRight w:val="0"/>
              <w:marTop w:val="0"/>
              <w:marBottom w:val="0"/>
              <w:divBdr>
                <w:top w:val="none" w:sz="0" w:space="0" w:color="auto"/>
                <w:left w:val="none" w:sz="0" w:space="0" w:color="auto"/>
                <w:bottom w:val="none" w:sz="0" w:space="0" w:color="auto"/>
                <w:right w:val="none" w:sz="0" w:space="0" w:color="auto"/>
              </w:divBdr>
              <w:divsChild>
                <w:div w:id="730078394">
                  <w:marLeft w:val="600"/>
                  <w:marRight w:val="96"/>
                  <w:marTop w:val="0"/>
                  <w:marBottom w:val="0"/>
                  <w:divBdr>
                    <w:top w:val="none" w:sz="0" w:space="0" w:color="auto"/>
                    <w:left w:val="none" w:sz="0" w:space="0" w:color="auto"/>
                    <w:bottom w:val="none" w:sz="0" w:space="0" w:color="auto"/>
                    <w:right w:val="none" w:sz="0" w:space="0" w:color="auto"/>
                  </w:divBdr>
                </w:div>
              </w:divsChild>
            </w:div>
            <w:div w:id="679625557">
              <w:marLeft w:val="0"/>
              <w:marRight w:val="0"/>
              <w:marTop w:val="0"/>
              <w:marBottom w:val="0"/>
              <w:divBdr>
                <w:top w:val="none" w:sz="0" w:space="0" w:color="auto"/>
                <w:left w:val="none" w:sz="0" w:space="0" w:color="auto"/>
                <w:bottom w:val="none" w:sz="0" w:space="0" w:color="auto"/>
                <w:right w:val="none" w:sz="0" w:space="0" w:color="auto"/>
              </w:divBdr>
              <w:divsChild>
                <w:div w:id="939483007">
                  <w:marLeft w:val="600"/>
                  <w:marRight w:val="96"/>
                  <w:marTop w:val="0"/>
                  <w:marBottom w:val="0"/>
                  <w:divBdr>
                    <w:top w:val="none" w:sz="0" w:space="0" w:color="auto"/>
                    <w:left w:val="none" w:sz="0" w:space="0" w:color="auto"/>
                    <w:bottom w:val="none" w:sz="0" w:space="0" w:color="auto"/>
                    <w:right w:val="none" w:sz="0" w:space="0" w:color="auto"/>
                  </w:divBdr>
                </w:div>
              </w:divsChild>
            </w:div>
            <w:div w:id="1141465490">
              <w:marLeft w:val="0"/>
              <w:marRight w:val="0"/>
              <w:marTop w:val="0"/>
              <w:marBottom w:val="0"/>
              <w:divBdr>
                <w:top w:val="none" w:sz="0" w:space="0" w:color="auto"/>
                <w:left w:val="none" w:sz="0" w:space="0" w:color="auto"/>
                <w:bottom w:val="none" w:sz="0" w:space="0" w:color="auto"/>
                <w:right w:val="none" w:sz="0" w:space="0" w:color="auto"/>
              </w:divBdr>
              <w:divsChild>
                <w:div w:id="758062297">
                  <w:marLeft w:val="600"/>
                  <w:marRight w:val="96"/>
                  <w:marTop w:val="0"/>
                  <w:marBottom w:val="0"/>
                  <w:divBdr>
                    <w:top w:val="none" w:sz="0" w:space="0" w:color="auto"/>
                    <w:left w:val="none" w:sz="0" w:space="0" w:color="auto"/>
                    <w:bottom w:val="none" w:sz="0" w:space="0" w:color="auto"/>
                    <w:right w:val="none" w:sz="0" w:space="0" w:color="auto"/>
                  </w:divBdr>
                </w:div>
              </w:divsChild>
            </w:div>
            <w:div w:id="1386105384">
              <w:marLeft w:val="0"/>
              <w:marRight w:val="0"/>
              <w:marTop w:val="0"/>
              <w:marBottom w:val="0"/>
              <w:divBdr>
                <w:top w:val="none" w:sz="0" w:space="0" w:color="auto"/>
                <w:left w:val="none" w:sz="0" w:space="0" w:color="auto"/>
                <w:bottom w:val="none" w:sz="0" w:space="0" w:color="auto"/>
                <w:right w:val="none" w:sz="0" w:space="0" w:color="auto"/>
              </w:divBdr>
              <w:divsChild>
                <w:div w:id="1158349436">
                  <w:marLeft w:val="600"/>
                  <w:marRight w:val="96"/>
                  <w:marTop w:val="0"/>
                  <w:marBottom w:val="0"/>
                  <w:divBdr>
                    <w:top w:val="none" w:sz="0" w:space="0" w:color="auto"/>
                    <w:left w:val="none" w:sz="0" w:space="0" w:color="auto"/>
                    <w:bottom w:val="none" w:sz="0" w:space="0" w:color="auto"/>
                    <w:right w:val="none" w:sz="0" w:space="0" w:color="auto"/>
                  </w:divBdr>
                </w:div>
              </w:divsChild>
            </w:div>
            <w:div w:id="1829831715">
              <w:marLeft w:val="0"/>
              <w:marRight w:val="0"/>
              <w:marTop w:val="0"/>
              <w:marBottom w:val="0"/>
              <w:divBdr>
                <w:top w:val="none" w:sz="0" w:space="0" w:color="auto"/>
                <w:left w:val="none" w:sz="0" w:space="0" w:color="auto"/>
                <w:bottom w:val="none" w:sz="0" w:space="0" w:color="auto"/>
                <w:right w:val="none" w:sz="0" w:space="0" w:color="auto"/>
              </w:divBdr>
              <w:divsChild>
                <w:div w:id="128209218">
                  <w:marLeft w:val="600"/>
                  <w:marRight w:val="96"/>
                  <w:marTop w:val="0"/>
                  <w:marBottom w:val="0"/>
                  <w:divBdr>
                    <w:top w:val="none" w:sz="0" w:space="0" w:color="auto"/>
                    <w:left w:val="none" w:sz="0" w:space="0" w:color="auto"/>
                    <w:bottom w:val="none" w:sz="0" w:space="0" w:color="auto"/>
                    <w:right w:val="none" w:sz="0" w:space="0" w:color="auto"/>
                  </w:divBdr>
                </w:div>
              </w:divsChild>
            </w:div>
            <w:div w:id="1786777486">
              <w:marLeft w:val="0"/>
              <w:marRight w:val="0"/>
              <w:marTop w:val="0"/>
              <w:marBottom w:val="0"/>
              <w:divBdr>
                <w:top w:val="none" w:sz="0" w:space="0" w:color="auto"/>
                <w:left w:val="none" w:sz="0" w:space="0" w:color="auto"/>
                <w:bottom w:val="none" w:sz="0" w:space="0" w:color="auto"/>
                <w:right w:val="none" w:sz="0" w:space="0" w:color="auto"/>
              </w:divBdr>
              <w:divsChild>
                <w:div w:id="1187404622">
                  <w:marLeft w:val="600"/>
                  <w:marRight w:val="96"/>
                  <w:marTop w:val="0"/>
                  <w:marBottom w:val="0"/>
                  <w:divBdr>
                    <w:top w:val="none" w:sz="0" w:space="0" w:color="auto"/>
                    <w:left w:val="none" w:sz="0" w:space="0" w:color="auto"/>
                    <w:bottom w:val="none" w:sz="0" w:space="0" w:color="auto"/>
                    <w:right w:val="none" w:sz="0" w:space="0" w:color="auto"/>
                  </w:divBdr>
                </w:div>
              </w:divsChild>
            </w:div>
            <w:div w:id="702092892">
              <w:marLeft w:val="0"/>
              <w:marRight w:val="0"/>
              <w:marTop w:val="0"/>
              <w:marBottom w:val="0"/>
              <w:divBdr>
                <w:top w:val="none" w:sz="0" w:space="0" w:color="auto"/>
                <w:left w:val="none" w:sz="0" w:space="0" w:color="auto"/>
                <w:bottom w:val="none" w:sz="0" w:space="0" w:color="auto"/>
                <w:right w:val="none" w:sz="0" w:space="0" w:color="auto"/>
              </w:divBdr>
              <w:divsChild>
                <w:div w:id="1161697296">
                  <w:marLeft w:val="600"/>
                  <w:marRight w:val="96"/>
                  <w:marTop w:val="0"/>
                  <w:marBottom w:val="0"/>
                  <w:divBdr>
                    <w:top w:val="none" w:sz="0" w:space="0" w:color="auto"/>
                    <w:left w:val="none" w:sz="0" w:space="0" w:color="auto"/>
                    <w:bottom w:val="none" w:sz="0" w:space="0" w:color="auto"/>
                    <w:right w:val="none" w:sz="0" w:space="0" w:color="auto"/>
                  </w:divBdr>
                </w:div>
              </w:divsChild>
            </w:div>
            <w:div w:id="1178621521">
              <w:marLeft w:val="0"/>
              <w:marRight w:val="0"/>
              <w:marTop w:val="0"/>
              <w:marBottom w:val="0"/>
              <w:divBdr>
                <w:top w:val="none" w:sz="0" w:space="0" w:color="auto"/>
                <w:left w:val="none" w:sz="0" w:space="0" w:color="auto"/>
                <w:bottom w:val="none" w:sz="0" w:space="0" w:color="auto"/>
                <w:right w:val="none" w:sz="0" w:space="0" w:color="auto"/>
              </w:divBdr>
              <w:divsChild>
                <w:div w:id="1525047408">
                  <w:marLeft w:val="600"/>
                  <w:marRight w:val="96"/>
                  <w:marTop w:val="0"/>
                  <w:marBottom w:val="0"/>
                  <w:divBdr>
                    <w:top w:val="none" w:sz="0" w:space="0" w:color="auto"/>
                    <w:left w:val="none" w:sz="0" w:space="0" w:color="auto"/>
                    <w:bottom w:val="none" w:sz="0" w:space="0" w:color="auto"/>
                    <w:right w:val="none" w:sz="0" w:space="0" w:color="auto"/>
                  </w:divBdr>
                </w:div>
              </w:divsChild>
            </w:div>
            <w:div w:id="1539850040">
              <w:marLeft w:val="0"/>
              <w:marRight w:val="0"/>
              <w:marTop w:val="0"/>
              <w:marBottom w:val="0"/>
              <w:divBdr>
                <w:top w:val="none" w:sz="0" w:space="0" w:color="auto"/>
                <w:left w:val="none" w:sz="0" w:space="0" w:color="auto"/>
                <w:bottom w:val="none" w:sz="0" w:space="0" w:color="auto"/>
                <w:right w:val="none" w:sz="0" w:space="0" w:color="auto"/>
              </w:divBdr>
              <w:divsChild>
                <w:div w:id="16588965">
                  <w:marLeft w:val="600"/>
                  <w:marRight w:val="96"/>
                  <w:marTop w:val="0"/>
                  <w:marBottom w:val="0"/>
                  <w:divBdr>
                    <w:top w:val="none" w:sz="0" w:space="0" w:color="auto"/>
                    <w:left w:val="none" w:sz="0" w:space="0" w:color="auto"/>
                    <w:bottom w:val="none" w:sz="0" w:space="0" w:color="auto"/>
                    <w:right w:val="none" w:sz="0" w:space="0" w:color="auto"/>
                  </w:divBdr>
                </w:div>
              </w:divsChild>
            </w:div>
            <w:div w:id="1993099277">
              <w:marLeft w:val="0"/>
              <w:marRight w:val="0"/>
              <w:marTop w:val="0"/>
              <w:marBottom w:val="0"/>
              <w:divBdr>
                <w:top w:val="none" w:sz="0" w:space="0" w:color="auto"/>
                <w:left w:val="none" w:sz="0" w:space="0" w:color="auto"/>
                <w:bottom w:val="none" w:sz="0" w:space="0" w:color="auto"/>
                <w:right w:val="none" w:sz="0" w:space="0" w:color="auto"/>
              </w:divBdr>
              <w:divsChild>
                <w:div w:id="1778674912">
                  <w:marLeft w:val="600"/>
                  <w:marRight w:val="96"/>
                  <w:marTop w:val="0"/>
                  <w:marBottom w:val="0"/>
                  <w:divBdr>
                    <w:top w:val="none" w:sz="0" w:space="0" w:color="auto"/>
                    <w:left w:val="none" w:sz="0" w:space="0" w:color="auto"/>
                    <w:bottom w:val="none" w:sz="0" w:space="0" w:color="auto"/>
                    <w:right w:val="none" w:sz="0" w:space="0" w:color="auto"/>
                  </w:divBdr>
                </w:div>
              </w:divsChild>
            </w:div>
            <w:div w:id="1064522683">
              <w:marLeft w:val="0"/>
              <w:marRight w:val="0"/>
              <w:marTop w:val="0"/>
              <w:marBottom w:val="0"/>
              <w:divBdr>
                <w:top w:val="none" w:sz="0" w:space="0" w:color="auto"/>
                <w:left w:val="none" w:sz="0" w:space="0" w:color="auto"/>
                <w:bottom w:val="none" w:sz="0" w:space="0" w:color="auto"/>
                <w:right w:val="none" w:sz="0" w:space="0" w:color="auto"/>
              </w:divBdr>
              <w:divsChild>
                <w:div w:id="1102646895">
                  <w:marLeft w:val="600"/>
                  <w:marRight w:val="96"/>
                  <w:marTop w:val="0"/>
                  <w:marBottom w:val="0"/>
                  <w:divBdr>
                    <w:top w:val="none" w:sz="0" w:space="0" w:color="auto"/>
                    <w:left w:val="none" w:sz="0" w:space="0" w:color="auto"/>
                    <w:bottom w:val="none" w:sz="0" w:space="0" w:color="auto"/>
                    <w:right w:val="none" w:sz="0" w:space="0" w:color="auto"/>
                  </w:divBdr>
                </w:div>
              </w:divsChild>
            </w:div>
            <w:div w:id="666635451">
              <w:marLeft w:val="0"/>
              <w:marRight w:val="0"/>
              <w:marTop w:val="0"/>
              <w:marBottom w:val="0"/>
              <w:divBdr>
                <w:top w:val="none" w:sz="0" w:space="0" w:color="auto"/>
                <w:left w:val="none" w:sz="0" w:space="0" w:color="auto"/>
                <w:bottom w:val="none" w:sz="0" w:space="0" w:color="auto"/>
                <w:right w:val="none" w:sz="0" w:space="0" w:color="auto"/>
              </w:divBdr>
              <w:divsChild>
                <w:div w:id="1529175501">
                  <w:marLeft w:val="600"/>
                  <w:marRight w:val="96"/>
                  <w:marTop w:val="0"/>
                  <w:marBottom w:val="0"/>
                  <w:divBdr>
                    <w:top w:val="none" w:sz="0" w:space="0" w:color="auto"/>
                    <w:left w:val="none" w:sz="0" w:space="0" w:color="auto"/>
                    <w:bottom w:val="none" w:sz="0" w:space="0" w:color="auto"/>
                    <w:right w:val="none" w:sz="0" w:space="0" w:color="auto"/>
                  </w:divBdr>
                </w:div>
              </w:divsChild>
            </w:div>
            <w:div w:id="1237545224">
              <w:marLeft w:val="0"/>
              <w:marRight w:val="0"/>
              <w:marTop w:val="0"/>
              <w:marBottom w:val="0"/>
              <w:divBdr>
                <w:top w:val="none" w:sz="0" w:space="0" w:color="auto"/>
                <w:left w:val="none" w:sz="0" w:space="0" w:color="auto"/>
                <w:bottom w:val="none" w:sz="0" w:space="0" w:color="auto"/>
                <w:right w:val="none" w:sz="0" w:space="0" w:color="auto"/>
              </w:divBdr>
              <w:divsChild>
                <w:div w:id="2141419477">
                  <w:marLeft w:val="600"/>
                  <w:marRight w:val="96"/>
                  <w:marTop w:val="0"/>
                  <w:marBottom w:val="0"/>
                  <w:divBdr>
                    <w:top w:val="none" w:sz="0" w:space="0" w:color="auto"/>
                    <w:left w:val="none" w:sz="0" w:space="0" w:color="auto"/>
                    <w:bottom w:val="none" w:sz="0" w:space="0" w:color="auto"/>
                    <w:right w:val="none" w:sz="0" w:space="0" w:color="auto"/>
                  </w:divBdr>
                </w:div>
              </w:divsChild>
            </w:div>
            <w:div w:id="1319380283">
              <w:marLeft w:val="0"/>
              <w:marRight w:val="0"/>
              <w:marTop w:val="0"/>
              <w:marBottom w:val="0"/>
              <w:divBdr>
                <w:top w:val="none" w:sz="0" w:space="0" w:color="auto"/>
                <w:left w:val="none" w:sz="0" w:space="0" w:color="auto"/>
                <w:bottom w:val="none" w:sz="0" w:space="0" w:color="auto"/>
                <w:right w:val="none" w:sz="0" w:space="0" w:color="auto"/>
              </w:divBdr>
              <w:divsChild>
                <w:div w:id="1834251805">
                  <w:marLeft w:val="600"/>
                  <w:marRight w:val="96"/>
                  <w:marTop w:val="0"/>
                  <w:marBottom w:val="0"/>
                  <w:divBdr>
                    <w:top w:val="none" w:sz="0" w:space="0" w:color="auto"/>
                    <w:left w:val="none" w:sz="0" w:space="0" w:color="auto"/>
                    <w:bottom w:val="none" w:sz="0" w:space="0" w:color="auto"/>
                    <w:right w:val="none" w:sz="0" w:space="0" w:color="auto"/>
                  </w:divBdr>
                </w:div>
              </w:divsChild>
            </w:div>
            <w:div w:id="224605843">
              <w:marLeft w:val="0"/>
              <w:marRight w:val="0"/>
              <w:marTop w:val="0"/>
              <w:marBottom w:val="0"/>
              <w:divBdr>
                <w:top w:val="none" w:sz="0" w:space="0" w:color="auto"/>
                <w:left w:val="none" w:sz="0" w:space="0" w:color="auto"/>
                <w:bottom w:val="none" w:sz="0" w:space="0" w:color="auto"/>
                <w:right w:val="none" w:sz="0" w:space="0" w:color="auto"/>
              </w:divBdr>
              <w:divsChild>
                <w:div w:id="1377461966">
                  <w:marLeft w:val="600"/>
                  <w:marRight w:val="96"/>
                  <w:marTop w:val="0"/>
                  <w:marBottom w:val="0"/>
                  <w:divBdr>
                    <w:top w:val="none" w:sz="0" w:space="0" w:color="auto"/>
                    <w:left w:val="none" w:sz="0" w:space="0" w:color="auto"/>
                    <w:bottom w:val="none" w:sz="0" w:space="0" w:color="auto"/>
                    <w:right w:val="none" w:sz="0" w:space="0" w:color="auto"/>
                  </w:divBdr>
                </w:div>
              </w:divsChild>
            </w:div>
            <w:div w:id="1784566694">
              <w:marLeft w:val="0"/>
              <w:marRight w:val="0"/>
              <w:marTop w:val="0"/>
              <w:marBottom w:val="0"/>
              <w:divBdr>
                <w:top w:val="none" w:sz="0" w:space="0" w:color="auto"/>
                <w:left w:val="none" w:sz="0" w:space="0" w:color="auto"/>
                <w:bottom w:val="none" w:sz="0" w:space="0" w:color="auto"/>
                <w:right w:val="none" w:sz="0" w:space="0" w:color="auto"/>
              </w:divBdr>
              <w:divsChild>
                <w:div w:id="902062677">
                  <w:marLeft w:val="600"/>
                  <w:marRight w:val="96"/>
                  <w:marTop w:val="0"/>
                  <w:marBottom w:val="0"/>
                  <w:divBdr>
                    <w:top w:val="none" w:sz="0" w:space="0" w:color="auto"/>
                    <w:left w:val="none" w:sz="0" w:space="0" w:color="auto"/>
                    <w:bottom w:val="none" w:sz="0" w:space="0" w:color="auto"/>
                    <w:right w:val="none" w:sz="0" w:space="0" w:color="auto"/>
                  </w:divBdr>
                </w:div>
              </w:divsChild>
            </w:div>
            <w:div w:id="984311445">
              <w:marLeft w:val="0"/>
              <w:marRight w:val="0"/>
              <w:marTop w:val="0"/>
              <w:marBottom w:val="0"/>
              <w:divBdr>
                <w:top w:val="none" w:sz="0" w:space="0" w:color="auto"/>
                <w:left w:val="none" w:sz="0" w:space="0" w:color="auto"/>
                <w:bottom w:val="none" w:sz="0" w:space="0" w:color="auto"/>
                <w:right w:val="none" w:sz="0" w:space="0" w:color="auto"/>
              </w:divBdr>
              <w:divsChild>
                <w:div w:id="611673250">
                  <w:marLeft w:val="600"/>
                  <w:marRight w:val="96"/>
                  <w:marTop w:val="0"/>
                  <w:marBottom w:val="0"/>
                  <w:divBdr>
                    <w:top w:val="none" w:sz="0" w:space="0" w:color="auto"/>
                    <w:left w:val="none" w:sz="0" w:space="0" w:color="auto"/>
                    <w:bottom w:val="none" w:sz="0" w:space="0" w:color="auto"/>
                    <w:right w:val="none" w:sz="0" w:space="0" w:color="auto"/>
                  </w:divBdr>
                </w:div>
              </w:divsChild>
            </w:div>
            <w:div w:id="1838031413">
              <w:marLeft w:val="0"/>
              <w:marRight w:val="0"/>
              <w:marTop w:val="0"/>
              <w:marBottom w:val="0"/>
              <w:divBdr>
                <w:top w:val="none" w:sz="0" w:space="0" w:color="auto"/>
                <w:left w:val="none" w:sz="0" w:space="0" w:color="auto"/>
                <w:bottom w:val="none" w:sz="0" w:space="0" w:color="auto"/>
                <w:right w:val="none" w:sz="0" w:space="0" w:color="auto"/>
              </w:divBdr>
              <w:divsChild>
                <w:div w:id="358285982">
                  <w:marLeft w:val="600"/>
                  <w:marRight w:val="96"/>
                  <w:marTop w:val="0"/>
                  <w:marBottom w:val="0"/>
                  <w:divBdr>
                    <w:top w:val="none" w:sz="0" w:space="0" w:color="auto"/>
                    <w:left w:val="none" w:sz="0" w:space="0" w:color="auto"/>
                    <w:bottom w:val="none" w:sz="0" w:space="0" w:color="auto"/>
                    <w:right w:val="none" w:sz="0" w:space="0" w:color="auto"/>
                  </w:divBdr>
                </w:div>
              </w:divsChild>
            </w:div>
            <w:div w:id="717357190">
              <w:marLeft w:val="0"/>
              <w:marRight w:val="0"/>
              <w:marTop w:val="0"/>
              <w:marBottom w:val="0"/>
              <w:divBdr>
                <w:top w:val="none" w:sz="0" w:space="0" w:color="auto"/>
                <w:left w:val="none" w:sz="0" w:space="0" w:color="auto"/>
                <w:bottom w:val="none" w:sz="0" w:space="0" w:color="auto"/>
                <w:right w:val="none" w:sz="0" w:space="0" w:color="auto"/>
              </w:divBdr>
              <w:divsChild>
                <w:div w:id="1459881395">
                  <w:marLeft w:val="600"/>
                  <w:marRight w:val="96"/>
                  <w:marTop w:val="0"/>
                  <w:marBottom w:val="0"/>
                  <w:divBdr>
                    <w:top w:val="none" w:sz="0" w:space="0" w:color="auto"/>
                    <w:left w:val="none" w:sz="0" w:space="0" w:color="auto"/>
                    <w:bottom w:val="none" w:sz="0" w:space="0" w:color="auto"/>
                    <w:right w:val="none" w:sz="0" w:space="0" w:color="auto"/>
                  </w:divBdr>
                </w:div>
              </w:divsChild>
            </w:div>
            <w:div w:id="1414550378">
              <w:marLeft w:val="0"/>
              <w:marRight w:val="0"/>
              <w:marTop w:val="0"/>
              <w:marBottom w:val="0"/>
              <w:divBdr>
                <w:top w:val="none" w:sz="0" w:space="0" w:color="auto"/>
                <w:left w:val="none" w:sz="0" w:space="0" w:color="auto"/>
                <w:bottom w:val="none" w:sz="0" w:space="0" w:color="auto"/>
                <w:right w:val="none" w:sz="0" w:space="0" w:color="auto"/>
              </w:divBdr>
              <w:divsChild>
                <w:div w:id="785198819">
                  <w:marLeft w:val="600"/>
                  <w:marRight w:val="96"/>
                  <w:marTop w:val="0"/>
                  <w:marBottom w:val="0"/>
                  <w:divBdr>
                    <w:top w:val="none" w:sz="0" w:space="0" w:color="auto"/>
                    <w:left w:val="none" w:sz="0" w:space="0" w:color="auto"/>
                    <w:bottom w:val="none" w:sz="0" w:space="0" w:color="auto"/>
                    <w:right w:val="none" w:sz="0" w:space="0" w:color="auto"/>
                  </w:divBdr>
                </w:div>
              </w:divsChild>
            </w:div>
            <w:div w:id="309798262">
              <w:marLeft w:val="0"/>
              <w:marRight w:val="0"/>
              <w:marTop w:val="0"/>
              <w:marBottom w:val="0"/>
              <w:divBdr>
                <w:top w:val="none" w:sz="0" w:space="0" w:color="auto"/>
                <w:left w:val="none" w:sz="0" w:space="0" w:color="auto"/>
                <w:bottom w:val="none" w:sz="0" w:space="0" w:color="auto"/>
                <w:right w:val="none" w:sz="0" w:space="0" w:color="auto"/>
              </w:divBdr>
              <w:divsChild>
                <w:div w:id="641613675">
                  <w:marLeft w:val="600"/>
                  <w:marRight w:val="96"/>
                  <w:marTop w:val="0"/>
                  <w:marBottom w:val="0"/>
                  <w:divBdr>
                    <w:top w:val="none" w:sz="0" w:space="0" w:color="auto"/>
                    <w:left w:val="none" w:sz="0" w:space="0" w:color="auto"/>
                    <w:bottom w:val="none" w:sz="0" w:space="0" w:color="auto"/>
                    <w:right w:val="none" w:sz="0" w:space="0" w:color="auto"/>
                  </w:divBdr>
                </w:div>
              </w:divsChild>
            </w:div>
            <w:div w:id="741486118">
              <w:marLeft w:val="0"/>
              <w:marRight w:val="0"/>
              <w:marTop w:val="0"/>
              <w:marBottom w:val="0"/>
              <w:divBdr>
                <w:top w:val="none" w:sz="0" w:space="0" w:color="auto"/>
                <w:left w:val="none" w:sz="0" w:space="0" w:color="auto"/>
                <w:bottom w:val="none" w:sz="0" w:space="0" w:color="auto"/>
                <w:right w:val="none" w:sz="0" w:space="0" w:color="auto"/>
              </w:divBdr>
              <w:divsChild>
                <w:div w:id="1135832563">
                  <w:marLeft w:val="600"/>
                  <w:marRight w:val="96"/>
                  <w:marTop w:val="0"/>
                  <w:marBottom w:val="0"/>
                  <w:divBdr>
                    <w:top w:val="none" w:sz="0" w:space="0" w:color="auto"/>
                    <w:left w:val="none" w:sz="0" w:space="0" w:color="auto"/>
                    <w:bottom w:val="none" w:sz="0" w:space="0" w:color="auto"/>
                    <w:right w:val="none" w:sz="0" w:space="0" w:color="auto"/>
                  </w:divBdr>
                </w:div>
              </w:divsChild>
            </w:div>
            <w:div w:id="1205363235">
              <w:marLeft w:val="0"/>
              <w:marRight w:val="0"/>
              <w:marTop w:val="0"/>
              <w:marBottom w:val="0"/>
              <w:divBdr>
                <w:top w:val="none" w:sz="0" w:space="0" w:color="auto"/>
                <w:left w:val="none" w:sz="0" w:space="0" w:color="auto"/>
                <w:bottom w:val="none" w:sz="0" w:space="0" w:color="auto"/>
                <w:right w:val="none" w:sz="0" w:space="0" w:color="auto"/>
              </w:divBdr>
              <w:divsChild>
                <w:div w:id="1926768835">
                  <w:marLeft w:val="600"/>
                  <w:marRight w:val="96"/>
                  <w:marTop w:val="0"/>
                  <w:marBottom w:val="0"/>
                  <w:divBdr>
                    <w:top w:val="none" w:sz="0" w:space="0" w:color="auto"/>
                    <w:left w:val="none" w:sz="0" w:space="0" w:color="auto"/>
                    <w:bottom w:val="none" w:sz="0" w:space="0" w:color="auto"/>
                    <w:right w:val="none" w:sz="0" w:space="0" w:color="auto"/>
                  </w:divBdr>
                </w:div>
              </w:divsChild>
            </w:div>
            <w:div w:id="1988435594">
              <w:marLeft w:val="0"/>
              <w:marRight w:val="0"/>
              <w:marTop w:val="0"/>
              <w:marBottom w:val="0"/>
              <w:divBdr>
                <w:top w:val="none" w:sz="0" w:space="0" w:color="auto"/>
                <w:left w:val="none" w:sz="0" w:space="0" w:color="auto"/>
                <w:bottom w:val="none" w:sz="0" w:space="0" w:color="auto"/>
                <w:right w:val="none" w:sz="0" w:space="0" w:color="auto"/>
              </w:divBdr>
              <w:divsChild>
                <w:div w:id="1838114282">
                  <w:marLeft w:val="600"/>
                  <w:marRight w:val="96"/>
                  <w:marTop w:val="0"/>
                  <w:marBottom w:val="0"/>
                  <w:divBdr>
                    <w:top w:val="none" w:sz="0" w:space="0" w:color="auto"/>
                    <w:left w:val="none" w:sz="0" w:space="0" w:color="auto"/>
                    <w:bottom w:val="none" w:sz="0" w:space="0" w:color="auto"/>
                    <w:right w:val="none" w:sz="0" w:space="0" w:color="auto"/>
                  </w:divBdr>
                </w:div>
              </w:divsChild>
            </w:div>
            <w:div w:id="1142694815">
              <w:marLeft w:val="0"/>
              <w:marRight w:val="0"/>
              <w:marTop w:val="0"/>
              <w:marBottom w:val="0"/>
              <w:divBdr>
                <w:top w:val="none" w:sz="0" w:space="0" w:color="auto"/>
                <w:left w:val="none" w:sz="0" w:space="0" w:color="auto"/>
                <w:bottom w:val="none" w:sz="0" w:space="0" w:color="auto"/>
                <w:right w:val="none" w:sz="0" w:space="0" w:color="auto"/>
              </w:divBdr>
              <w:divsChild>
                <w:div w:id="851532831">
                  <w:marLeft w:val="600"/>
                  <w:marRight w:val="96"/>
                  <w:marTop w:val="0"/>
                  <w:marBottom w:val="0"/>
                  <w:divBdr>
                    <w:top w:val="none" w:sz="0" w:space="0" w:color="auto"/>
                    <w:left w:val="none" w:sz="0" w:space="0" w:color="auto"/>
                    <w:bottom w:val="none" w:sz="0" w:space="0" w:color="auto"/>
                    <w:right w:val="none" w:sz="0" w:space="0" w:color="auto"/>
                  </w:divBdr>
                </w:div>
              </w:divsChild>
            </w:div>
            <w:div w:id="658074795">
              <w:marLeft w:val="0"/>
              <w:marRight w:val="0"/>
              <w:marTop w:val="0"/>
              <w:marBottom w:val="0"/>
              <w:divBdr>
                <w:top w:val="none" w:sz="0" w:space="0" w:color="auto"/>
                <w:left w:val="none" w:sz="0" w:space="0" w:color="auto"/>
                <w:bottom w:val="none" w:sz="0" w:space="0" w:color="auto"/>
                <w:right w:val="none" w:sz="0" w:space="0" w:color="auto"/>
              </w:divBdr>
              <w:divsChild>
                <w:div w:id="345913456">
                  <w:marLeft w:val="600"/>
                  <w:marRight w:val="96"/>
                  <w:marTop w:val="0"/>
                  <w:marBottom w:val="0"/>
                  <w:divBdr>
                    <w:top w:val="none" w:sz="0" w:space="0" w:color="auto"/>
                    <w:left w:val="none" w:sz="0" w:space="0" w:color="auto"/>
                    <w:bottom w:val="none" w:sz="0" w:space="0" w:color="auto"/>
                    <w:right w:val="none" w:sz="0" w:space="0" w:color="auto"/>
                  </w:divBdr>
                </w:div>
              </w:divsChild>
            </w:div>
            <w:div w:id="769206586">
              <w:marLeft w:val="0"/>
              <w:marRight w:val="0"/>
              <w:marTop w:val="0"/>
              <w:marBottom w:val="0"/>
              <w:divBdr>
                <w:top w:val="none" w:sz="0" w:space="0" w:color="auto"/>
                <w:left w:val="none" w:sz="0" w:space="0" w:color="auto"/>
                <w:bottom w:val="none" w:sz="0" w:space="0" w:color="auto"/>
                <w:right w:val="none" w:sz="0" w:space="0" w:color="auto"/>
              </w:divBdr>
              <w:divsChild>
                <w:div w:id="2021545401">
                  <w:marLeft w:val="600"/>
                  <w:marRight w:val="96"/>
                  <w:marTop w:val="0"/>
                  <w:marBottom w:val="0"/>
                  <w:divBdr>
                    <w:top w:val="none" w:sz="0" w:space="0" w:color="auto"/>
                    <w:left w:val="none" w:sz="0" w:space="0" w:color="auto"/>
                    <w:bottom w:val="none" w:sz="0" w:space="0" w:color="auto"/>
                    <w:right w:val="none" w:sz="0" w:space="0" w:color="auto"/>
                  </w:divBdr>
                </w:div>
              </w:divsChild>
            </w:div>
            <w:div w:id="656999327">
              <w:marLeft w:val="0"/>
              <w:marRight w:val="0"/>
              <w:marTop w:val="0"/>
              <w:marBottom w:val="0"/>
              <w:divBdr>
                <w:top w:val="none" w:sz="0" w:space="0" w:color="auto"/>
                <w:left w:val="none" w:sz="0" w:space="0" w:color="auto"/>
                <w:bottom w:val="none" w:sz="0" w:space="0" w:color="auto"/>
                <w:right w:val="none" w:sz="0" w:space="0" w:color="auto"/>
              </w:divBdr>
              <w:divsChild>
                <w:div w:id="921254183">
                  <w:marLeft w:val="600"/>
                  <w:marRight w:val="96"/>
                  <w:marTop w:val="0"/>
                  <w:marBottom w:val="0"/>
                  <w:divBdr>
                    <w:top w:val="none" w:sz="0" w:space="0" w:color="auto"/>
                    <w:left w:val="none" w:sz="0" w:space="0" w:color="auto"/>
                    <w:bottom w:val="none" w:sz="0" w:space="0" w:color="auto"/>
                    <w:right w:val="none" w:sz="0" w:space="0" w:color="auto"/>
                  </w:divBdr>
                </w:div>
              </w:divsChild>
            </w:div>
            <w:div w:id="806779741">
              <w:marLeft w:val="0"/>
              <w:marRight w:val="0"/>
              <w:marTop w:val="0"/>
              <w:marBottom w:val="0"/>
              <w:divBdr>
                <w:top w:val="none" w:sz="0" w:space="0" w:color="auto"/>
                <w:left w:val="none" w:sz="0" w:space="0" w:color="auto"/>
                <w:bottom w:val="none" w:sz="0" w:space="0" w:color="auto"/>
                <w:right w:val="none" w:sz="0" w:space="0" w:color="auto"/>
              </w:divBdr>
              <w:divsChild>
                <w:div w:id="1760638781">
                  <w:marLeft w:val="600"/>
                  <w:marRight w:val="96"/>
                  <w:marTop w:val="0"/>
                  <w:marBottom w:val="0"/>
                  <w:divBdr>
                    <w:top w:val="none" w:sz="0" w:space="0" w:color="auto"/>
                    <w:left w:val="none" w:sz="0" w:space="0" w:color="auto"/>
                    <w:bottom w:val="none" w:sz="0" w:space="0" w:color="auto"/>
                    <w:right w:val="none" w:sz="0" w:space="0" w:color="auto"/>
                  </w:divBdr>
                </w:div>
              </w:divsChild>
            </w:div>
            <w:div w:id="1014766384">
              <w:marLeft w:val="0"/>
              <w:marRight w:val="0"/>
              <w:marTop w:val="0"/>
              <w:marBottom w:val="0"/>
              <w:divBdr>
                <w:top w:val="none" w:sz="0" w:space="0" w:color="auto"/>
                <w:left w:val="none" w:sz="0" w:space="0" w:color="auto"/>
                <w:bottom w:val="none" w:sz="0" w:space="0" w:color="auto"/>
                <w:right w:val="none" w:sz="0" w:space="0" w:color="auto"/>
              </w:divBdr>
              <w:divsChild>
                <w:div w:id="1136722952">
                  <w:marLeft w:val="600"/>
                  <w:marRight w:val="96"/>
                  <w:marTop w:val="0"/>
                  <w:marBottom w:val="0"/>
                  <w:divBdr>
                    <w:top w:val="none" w:sz="0" w:space="0" w:color="auto"/>
                    <w:left w:val="none" w:sz="0" w:space="0" w:color="auto"/>
                    <w:bottom w:val="none" w:sz="0" w:space="0" w:color="auto"/>
                    <w:right w:val="none" w:sz="0" w:space="0" w:color="auto"/>
                  </w:divBdr>
                </w:div>
              </w:divsChild>
            </w:div>
            <w:div w:id="1172644652">
              <w:marLeft w:val="0"/>
              <w:marRight w:val="0"/>
              <w:marTop w:val="0"/>
              <w:marBottom w:val="0"/>
              <w:divBdr>
                <w:top w:val="none" w:sz="0" w:space="0" w:color="auto"/>
                <w:left w:val="none" w:sz="0" w:space="0" w:color="auto"/>
                <w:bottom w:val="none" w:sz="0" w:space="0" w:color="auto"/>
                <w:right w:val="none" w:sz="0" w:space="0" w:color="auto"/>
              </w:divBdr>
              <w:divsChild>
                <w:div w:id="273633748">
                  <w:marLeft w:val="600"/>
                  <w:marRight w:val="96"/>
                  <w:marTop w:val="0"/>
                  <w:marBottom w:val="0"/>
                  <w:divBdr>
                    <w:top w:val="none" w:sz="0" w:space="0" w:color="auto"/>
                    <w:left w:val="none" w:sz="0" w:space="0" w:color="auto"/>
                    <w:bottom w:val="none" w:sz="0" w:space="0" w:color="auto"/>
                    <w:right w:val="none" w:sz="0" w:space="0" w:color="auto"/>
                  </w:divBdr>
                </w:div>
              </w:divsChild>
            </w:div>
            <w:div w:id="102923234">
              <w:marLeft w:val="0"/>
              <w:marRight w:val="0"/>
              <w:marTop w:val="0"/>
              <w:marBottom w:val="0"/>
              <w:divBdr>
                <w:top w:val="none" w:sz="0" w:space="0" w:color="auto"/>
                <w:left w:val="none" w:sz="0" w:space="0" w:color="auto"/>
                <w:bottom w:val="none" w:sz="0" w:space="0" w:color="auto"/>
                <w:right w:val="none" w:sz="0" w:space="0" w:color="auto"/>
              </w:divBdr>
              <w:divsChild>
                <w:div w:id="1591507513">
                  <w:marLeft w:val="600"/>
                  <w:marRight w:val="96"/>
                  <w:marTop w:val="0"/>
                  <w:marBottom w:val="0"/>
                  <w:divBdr>
                    <w:top w:val="none" w:sz="0" w:space="0" w:color="auto"/>
                    <w:left w:val="none" w:sz="0" w:space="0" w:color="auto"/>
                    <w:bottom w:val="none" w:sz="0" w:space="0" w:color="auto"/>
                    <w:right w:val="none" w:sz="0" w:space="0" w:color="auto"/>
                  </w:divBdr>
                </w:div>
              </w:divsChild>
            </w:div>
            <w:div w:id="633296713">
              <w:marLeft w:val="0"/>
              <w:marRight w:val="0"/>
              <w:marTop w:val="0"/>
              <w:marBottom w:val="0"/>
              <w:divBdr>
                <w:top w:val="none" w:sz="0" w:space="0" w:color="auto"/>
                <w:left w:val="none" w:sz="0" w:space="0" w:color="auto"/>
                <w:bottom w:val="none" w:sz="0" w:space="0" w:color="auto"/>
                <w:right w:val="none" w:sz="0" w:space="0" w:color="auto"/>
              </w:divBdr>
              <w:divsChild>
                <w:div w:id="759712771">
                  <w:marLeft w:val="600"/>
                  <w:marRight w:val="96"/>
                  <w:marTop w:val="0"/>
                  <w:marBottom w:val="0"/>
                  <w:divBdr>
                    <w:top w:val="none" w:sz="0" w:space="0" w:color="auto"/>
                    <w:left w:val="none" w:sz="0" w:space="0" w:color="auto"/>
                    <w:bottom w:val="none" w:sz="0" w:space="0" w:color="auto"/>
                    <w:right w:val="none" w:sz="0" w:space="0" w:color="auto"/>
                  </w:divBdr>
                </w:div>
              </w:divsChild>
            </w:div>
            <w:div w:id="430275215">
              <w:marLeft w:val="0"/>
              <w:marRight w:val="0"/>
              <w:marTop w:val="0"/>
              <w:marBottom w:val="0"/>
              <w:divBdr>
                <w:top w:val="none" w:sz="0" w:space="0" w:color="auto"/>
                <w:left w:val="none" w:sz="0" w:space="0" w:color="auto"/>
                <w:bottom w:val="none" w:sz="0" w:space="0" w:color="auto"/>
                <w:right w:val="none" w:sz="0" w:space="0" w:color="auto"/>
              </w:divBdr>
              <w:divsChild>
                <w:div w:id="653415727">
                  <w:marLeft w:val="600"/>
                  <w:marRight w:val="96"/>
                  <w:marTop w:val="0"/>
                  <w:marBottom w:val="0"/>
                  <w:divBdr>
                    <w:top w:val="none" w:sz="0" w:space="0" w:color="auto"/>
                    <w:left w:val="none" w:sz="0" w:space="0" w:color="auto"/>
                    <w:bottom w:val="none" w:sz="0" w:space="0" w:color="auto"/>
                    <w:right w:val="none" w:sz="0" w:space="0" w:color="auto"/>
                  </w:divBdr>
                </w:div>
              </w:divsChild>
            </w:div>
            <w:div w:id="244733432">
              <w:marLeft w:val="0"/>
              <w:marRight w:val="0"/>
              <w:marTop w:val="0"/>
              <w:marBottom w:val="0"/>
              <w:divBdr>
                <w:top w:val="none" w:sz="0" w:space="0" w:color="auto"/>
                <w:left w:val="none" w:sz="0" w:space="0" w:color="auto"/>
                <w:bottom w:val="none" w:sz="0" w:space="0" w:color="auto"/>
                <w:right w:val="none" w:sz="0" w:space="0" w:color="auto"/>
              </w:divBdr>
              <w:divsChild>
                <w:div w:id="1558080420">
                  <w:marLeft w:val="600"/>
                  <w:marRight w:val="96"/>
                  <w:marTop w:val="0"/>
                  <w:marBottom w:val="0"/>
                  <w:divBdr>
                    <w:top w:val="none" w:sz="0" w:space="0" w:color="auto"/>
                    <w:left w:val="none" w:sz="0" w:space="0" w:color="auto"/>
                    <w:bottom w:val="none" w:sz="0" w:space="0" w:color="auto"/>
                    <w:right w:val="none" w:sz="0" w:space="0" w:color="auto"/>
                  </w:divBdr>
                </w:div>
              </w:divsChild>
            </w:div>
            <w:div w:id="1930313208">
              <w:marLeft w:val="0"/>
              <w:marRight w:val="0"/>
              <w:marTop w:val="0"/>
              <w:marBottom w:val="0"/>
              <w:divBdr>
                <w:top w:val="none" w:sz="0" w:space="0" w:color="auto"/>
                <w:left w:val="none" w:sz="0" w:space="0" w:color="auto"/>
                <w:bottom w:val="none" w:sz="0" w:space="0" w:color="auto"/>
                <w:right w:val="none" w:sz="0" w:space="0" w:color="auto"/>
              </w:divBdr>
              <w:divsChild>
                <w:div w:id="936450349">
                  <w:marLeft w:val="600"/>
                  <w:marRight w:val="96"/>
                  <w:marTop w:val="0"/>
                  <w:marBottom w:val="0"/>
                  <w:divBdr>
                    <w:top w:val="none" w:sz="0" w:space="0" w:color="auto"/>
                    <w:left w:val="none" w:sz="0" w:space="0" w:color="auto"/>
                    <w:bottom w:val="none" w:sz="0" w:space="0" w:color="auto"/>
                    <w:right w:val="none" w:sz="0" w:space="0" w:color="auto"/>
                  </w:divBdr>
                </w:div>
              </w:divsChild>
            </w:div>
            <w:div w:id="692220547">
              <w:marLeft w:val="0"/>
              <w:marRight w:val="0"/>
              <w:marTop w:val="0"/>
              <w:marBottom w:val="0"/>
              <w:divBdr>
                <w:top w:val="none" w:sz="0" w:space="0" w:color="auto"/>
                <w:left w:val="none" w:sz="0" w:space="0" w:color="auto"/>
                <w:bottom w:val="none" w:sz="0" w:space="0" w:color="auto"/>
                <w:right w:val="none" w:sz="0" w:space="0" w:color="auto"/>
              </w:divBdr>
              <w:divsChild>
                <w:div w:id="1908761388">
                  <w:marLeft w:val="600"/>
                  <w:marRight w:val="96"/>
                  <w:marTop w:val="0"/>
                  <w:marBottom w:val="0"/>
                  <w:divBdr>
                    <w:top w:val="none" w:sz="0" w:space="0" w:color="auto"/>
                    <w:left w:val="none" w:sz="0" w:space="0" w:color="auto"/>
                    <w:bottom w:val="none" w:sz="0" w:space="0" w:color="auto"/>
                    <w:right w:val="none" w:sz="0" w:space="0" w:color="auto"/>
                  </w:divBdr>
                </w:div>
              </w:divsChild>
            </w:div>
            <w:div w:id="69665432">
              <w:marLeft w:val="0"/>
              <w:marRight w:val="0"/>
              <w:marTop w:val="0"/>
              <w:marBottom w:val="0"/>
              <w:divBdr>
                <w:top w:val="none" w:sz="0" w:space="0" w:color="auto"/>
                <w:left w:val="none" w:sz="0" w:space="0" w:color="auto"/>
                <w:bottom w:val="none" w:sz="0" w:space="0" w:color="auto"/>
                <w:right w:val="none" w:sz="0" w:space="0" w:color="auto"/>
              </w:divBdr>
              <w:divsChild>
                <w:div w:id="927730882">
                  <w:marLeft w:val="600"/>
                  <w:marRight w:val="96"/>
                  <w:marTop w:val="0"/>
                  <w:marBottom w:val="0"/>
                  <w:divBdr>
                    <w:top w:val="none" w:sz="0" w:space="0" w:color="auto"/>
                    <w:left w:val="none" w:sz="0" w:space="0" w:color="auto"/>
                    <w:bottom w:val="none" w:sz="0" w:space="0" w:color="auto"/>
                    <w:right w:val="none" w:sz="0" w:space="0" w:color="auto"/>
                  </w:divBdr>
                </w:div>
              </w:divsChild>
            </w:div>
            <w:div w:id="1798521933">
              <w:marLeft w:val="0"/>
              <w:marRight w:val="0"/>
              <w:marTop w:val="0"/>
              <w:marBottom w:val="0"/>
              <w:divBdr>
                <w:top w:val="none" w:sz="0" w:space="0" w:color="auto"/>
                <w:left w:val="none" w:sz="0" w:space="0" w:color="auto"/>
                <w:bottom w:val="none" w:sz="0" w:space="0" w:color="auto"/>
                <w:right w:val="none" w:sz="0" w:space="0" w:color="auto"/>
              </w:divBdr>
              <w:divsChild>
                <w:div w:id="2123525918">
                  <w:marLeft w:val="600"/>
                  <w:marRight w:val="96"/>
                  <w:marTop w:val="0"/>
                  <w:marBottom w:val="0"/>
                  <w:divBdr>
                    <w:top w:val="none" w:sz="0" w:space="0" w:color="auto"/>
                    <w:left w:val="none" w:sz="0" w:space="0" w:color="auto"/>
                    <w:bottom w:val="none" w:sz="0" w:space="0" w:color="auto"/>
                    <w:right w:val="none" w:sz="0" w:space="0" w:color="auto"/>
                  </w:divBdr>
                </w:div>
              </w:divsChild>
            </w:div>
            <w:div w:id="1490053863">
              <w:marLeft w:val="0"/>
              <w:marRight w:val="0"/>
              <w:marTop w:val="0"/>
              <w:marBottom w:val="0"/>
              <w:divBdr>
                <w:top w:val="none" w:sz="0" w:space="0" w:color="auto"/>
                <w:left w:val="none" w:sz="0" w:space="0" w:color="auto"/>
                <w:bottom w:val="none" w:sz="0" w:space="0" w:color="auto"/>
                <w:right w:val="none" w:sz="0" w:space="0" w:color="auto"/>
              </w:divBdr>
              <w:divsChild>
                <w:div w:id="1597708262">
                  <w:marLeft w:val="600"/>
                  <w:marRight w:val="96"/>
                  <w:marTop w:val="0"/>
                  <w:marBottom w:val="0"/>
                  <w:divBdr>
                    <w:top w:val="none" w:sz="0" w:space="0" w:color="auto"/>
                    <w:left w:val="none" w:sz="0" w:space="0" w:color="auto"/>
                    <w:bottom w:val="none" w:sz="0" w:space="0" w:color="auto"/>
                    <w:right w:val="none" w:sz="0" w:space="0" w:color="auto"/>
                  </w:divBdr>
                </w:div>
              </w:divsChild>
            </w:div>
            <w:div w:id="833953364">
              <w:marLeft w:val="0"/>
              <w:marRight w:val="0"/>
              <w:marTop w:val="0"/>
              <w:marBottom w:val="0"/>
              <w:divBdr>
                <w:top w:val="none" w:sz="0" w:space="0" w:color="auto"/>
                <w:left w:val="none" w:sz="0" w:space="0" w:color="auto"/>
                <w:bottom w:val="none" w:sz="0" w:space="0" w:color="auto"/>
                <w:right w:val="none" w:sz="0" w:space="0" w:color="auto"/>
              </w:divBdr>
              <w:divsChild>
                <w:div w:id="888494458">
                  <w:marLeft w:val="600"/>
                  <w:marRight w:val="96"/>
                  <w:marTop w:val="0"/>
                  <w:marBottom w:val="0"/>
                  <w:divBdr>
                    <w:top w:val="none" w:sz="0" w:space="0" w:color="auto"/>
                    <w:left w:val="none" w:sz="0" w:space="0" w:color="auto"/>
                    <w:bottom w:val="none" w:sz="0" w:space="0" w:color="auto"/>
                    <w:right w:val="none" w:sz="0" w:space="0" w:color="auto"/>
                  </w:divBdr>
                </w:div>
              </w:divsChild>
            </w:div>
            <w:div w:id="53286320">
              <w:marLeft w:val="0"/>
              <w:marRight w:val="0"/>
              <w:marTop w:val="0"/>
              <w:marBottom w:val="0"/>
              <w:divBdr>
                <w:top w:val="none" w:sz="0" w:space="0" w:color="auto"/>
                <w:left w:val="none" w:sz="0" w:space="0" w:color="auto"/>
                <w:bottom w:val="none" w:sz="0" w:space="0" w:color="auto"/>
                <w:right w:val="none" w:sz="0" w:space="0" w:color="auto"/>
              </w:divBdr>
              <w:divsChild>
                <w:div w:id="248971961">
                  <w:marLeft w:val="600"/>
                  <w:marRight w:val="96"/>
                  <w:marTop w:val="0"/>
                  <w:marBottom w:val="0"/>
                  <w:divBdr>
                    <w:top w:val="none" w:sz="0" w:space="0" w:color="auto"/>
                    <w:left w:val="none" w:sz="0" w:space="0" w:color="auto"/>
                    <w:bottom w:val="none" w:sz="0" w:space="0" w:color="auto"/>
                    <w:right w:val="none" w:sz="0" w:space="0" w:color="auto"/>
                  </w:divBdr>
                </w:div>
              </w:divsChild>
            </w:div>
            <w:div w:id="2585631">
              <w:marLeft w:val="0"/>
              <w:marRight w:val="0"/>
              <w:marTop w:val="0"/>
              <w:marBottom w:val="0"/>
              <w:divBdr>
                <w:top w:val="none" w:sz="0" w:space="0" w:color="auto"/>
                <w:left w:val="none" w:sz="0" w:space="0" w:color="auto"/>
                <w:bottom w:val="none" w:sz="0" w:space="0" w:color="auto"/>
                <w:right w:val="none" w:sz="0" w:space="0" w:color="auto"/>
              </w:divBdr>
              <w:divsChild>
                <w:div w:id="282201519">
                  <w:marLeft w:val="600"/>
                  <w:marRight w:val="96"/>
                  <w:marTop w:val="0"/>
                  <w:marBottom w:val="0"/>
                  <w:divBdr>
                    <w:top w:val="none" w:sz="0" w:space="0" w:color="auto"/>
                    <w:left w:val="none" w:sz="0" w:space="0" w:color="auto"/>
                    <w:bottom w:val="none" w:sz="0" w:space="0" w:color="auto"/>
                    <w:right w:val="none" w:sz="0" w:space="0" w:color="auto"/>
                  </w:divBdr>
                </w:div>
              </w:divsChild>
            </w:div>
            <w:div w:id="1561209540">
              <w:marLeft w:val="0"/>
              <w:marRight w:val="0"/>
              <w:marTop w:val="0"/>
              <w:marBottom w:val="0"/>
              <w:divBdr>
                <w:top w:val="none" w:sz="0" w:space="0" w:color="auto"/>
                <w:left w:val="none" w:sz="0" w:space="0" w:color="auto"/>
                <w:bottom w:val="none" w:sz="0" w:space="0" w:color="auto"/>
                <w:right w:val="none" w:sz="0" w:space="0" w:color="auto"/>
              </w:divBdr>
              <w:divsChild>
                <w:div w:id="1923488102">
                  <w:marLeft w:val="600"/>
                  <w:marRight w:val="96"/>
                  <w:marTop w:val="0"/>
                  <w:marBottom w:val="0"/>
                  <w:divBdr>
                    <w:top w:val="none" w:sz="0" w:space="0" w:color="auto"/>
                    <w:left w:val="none" w:sz="0" w:space="0" w:color="auto"/>
                    <w:bottom w:val="none" w:sz="0" w:space="0" w:color="auto"/>
                    <w:right w:val="none" w:sz="0" w:space="0" w:color="auto"/>
                  </w:divBdr>
                </w:div>
              </w:divsChild>
            </w:div>
            <w:div w:id="1135870443">
              <w:marLeft w:val="0"/>
              <w:marRight w:val="0"/>
              <w:marTop w:val="0"/>
              <w:marBottom w:val="0"/>
              <w:divBdr>
                <w:top w:val="none" w:sz="0" w:space="0" w:color="auto"/>
                <w:left w:val="none" w:sz="0" w:space="0" w:color="auto"/>
                <w:bottom w:val="none" w:sz="0" w:space="0" w:color="auto"/>
                <w:right w:val="none" w:sz="0" w:space="0" w:color="auto"/>
              </w:divBdr>
              <w:divsChild>
                <w:div w:id="1128202872">
                  <w:marLeft w:val="600"/>
                  <w:marRight w:val="96"/>
                  <w:marTop w:val="0"/>
                  <w:marBottom w:val="0"/>
                  <w:divBdr>
                    <w:top w:val="none" w:sz="0" w:space="0" w:color="auto"/>
                    <w:left w:val="none" w:sz="0" w:space="0" w:color="auto"/>
                    <w:bottom w:val="none" w:sz="0" w:space="0" w:color="auto"/>
                    <w:right w:val="none" w:sz="0" w:space="0" w:color="auto"/>
                  </w:divBdr>
                </w:div>
              </w:divsChild>
            </w:div>
            <w:div w:id="485516195">
              <w:marLeft w:val="0"/>
              <w:marRight w:val="0"/>
              <w:marTop w:val="0"/>
              <w:marBottom w:val="0"/>
              <w:divBdr>
                <w:top w:val="none" w:sz="0" w:space="0" w:color="auto"/>
                <w:left w:val="none" w:sz="0" w:space="0" w:color="auto"/>
                <w:bottom w:val="none" w:sz="0" w:space="0" w:color="auto"/>
                <w:right w:val="none" w:sz="0" w:space="0" w:color="auto"/>
              </w:divBdr>
              <w:divsChild>
                <w:div w:id="521550529">
                  <w:marLeft w:val="600"/>
                  <w:marRight w:val="96"/>
                  <w:marTop w:val="0"/>
                  <w:marBottom w:val="0"/>
                  <w:divBdr>
                    <w:top w:val="none" w:sz="0" w:space="0" w:color="auto"/>
                    <w:left w:val="none" w:sz="0" w:space="0" w:color="auto"/>
                    <w:bottom w:val="none" w:sz="0" w:space="0" w:color="auto"/>
                    <w:right w:val="none" w:sz="0" w:space="0" w:color="auto"/>
                  </w:divBdr>
                </w:div>
              </w:divsChild>
            </w:div>
            <w:div w:id="1203903758">
              <w:marLeft w:val="0"/>
              <w:marRight w:val="0"/>
              <w:marTop w:val="0"/>
              <w:marBottom w:val="0"/>
              <w:divBdr>
                <w:top w:val="none" w:sz="0" w:space="0" w:color="auto"/>
                <w:left w:val="none" w:sz="0" w:space="0" w:color="auto"/>
                <w:bottom w:val="none" w:sz="0" w:space="0" w:color="auto"/>
                <w:right w:val="none" w:sz="0" w:space="0" w:color="auto"/>
              </w:divBdr>
              <w:divsChild>
                <w:div w:id="64113431">
                  <w:marLeft w:val="600"/>
                  <w:marRight w:val="96"/>
                  <w:marTop w:val="0"/>
                  <w:marBottom w:val="0"/>
                  <w:divBdr>
                    <w:top w:val="none" w:sz="0" w:space="0" w:color="auto"/>
                    <w:left w:val="none" w:sz="0" w:space="0" w:color="auto"/>
                    <w:bottom w:val="none" w:sz="0" w:space="0" w:color="auto"/>
                    <w:right w:val="none" w:sz="0" w:space="0" w:color="auto"/>
                  </w:divBdr>
                </w:div>
              </w:divsChild>
            </w:div>
            <w:div w:id="173375421">
              <w:marLeft w:val="0"/>
              <w:marRight w:val="0"/>
              <w:marTop w:val="0"/>
              <w:marBottom w:val="0"/>
              <w:divBdr>
                <w:top w:val="none" w:sz="0" w:space="0" w:color="auto"/>
                <w:left w:val="none" w:sz="0" w:space="0" w:color="auto"/>
                <w:bottom w:val="none" w:sz="0" w:space="0" w:color="auto"/>
                <w:right w:val="none" w:sz="0" w:space="0" w:color="auto"/>
              </w:divBdr>
              <w:divsChild>
                <w:div w:id="963847084">
                  <w:marLeft w:val="600"/>
                  <w:marRight w:val="96"/>
                  <w:marTop w:val="0"/>
                  <w:marBottom w:val="0"/>
                  <w:divBdr>
                    <w:top w:val="none" w:sz="0" w:space="0" w:color="auto"/>
                    <w:left w:val="none" w:sz="0" w:space="0" w:color="auto"/>
                    <w:bottom w:val="none" w:sz="0" w:space="0" w:color="auto"/>
                    <w:right w:val="none" w:sz="0" w:space="0" w:color="auto"/>
                  </w:divBdr>
                </w:div>
              </w:divsChild>
            </w:div>
            <w:div w:id="980114459">
              <w:marLeft w:val="0"/>
              <w:marRight w:val="0"/>
              <w:marTop w:val="0"/>
              <w:marBottom w:val="0"/>
              <w:divBdr>
                <w:top w:val="none" w:sz="0" w:space="0" w:color="auto"/>
                <w:left w:val="none" w:sz="0" w:space="0" w:color="auto"/>
                <w:bottom w:val="none" w:sz="0" w:space="0" w:color="auto"/>
                <w:right w:val="none" w:sz="0" w:space="0" w:color="auto"/>
              </w:divBdr>
              <w:divsChild>
                <w:div w:id="647444449">
                  <w:marLeft w:val="600"/>
                  <w:marRight w:val="96"/>
                  <w:marTop w:val="0"/>
                  <w:marBottom w:val="0"/>
                  <w:divBdr>
                    <w:top w:val="none" w:sz="0" w:space="0" w:color="auto"/>
                    <w:left w:val="none" w:sz="0" w:space="0" w:color="auto"/>
                    <w:bottom w:val="none" w:sz="0" w:space="0" w:color="auto"/>
                    <w:right w:val="none" w:sz="0" w:space="0" w:color="auto"/>
                  </w:divBdr>
                </w:div>
              </w:divsChild>
            </w:div>
            <w:div w:id="555355627">
              <w:marLeft w:val="0"/>
              <w:marRight w:val="0"/>
              <w:marTop w:val="0"/>
              <w:marBottom w:val="0"/>
              <w:divBdr>
                <w:top w:val="none" w:sz="0" w:space="0" w:color="auto"/>
                <w:left w:val="none" w:sz="0" w:space="0" w:color="auto"/>
                <w:bottom w:val="none" w:sz="0" w:space="0" w:color="auto"/>
                <w:right w:val="none" w:sz="0" w:space="0" w:color="auto"/>
              </w:divBdr>
              <w:divsChild>
                <w:div w:id="625740214">
                  <w:marLeft w:val="600"/>
                  <w:marRight w:val="96"/>
                  <w:marTop w:val="0"/>
                  <w:marBottom w:val="0"/>
                  <w:divBdr>
                    <w:top w:val="none" w:sz="0" w:space="0" w:color="auto"/>
                    <w:left w:val="none" w:sz="0" w:space="0" w:color="auto"/>
                    <w:bottom w:val="none" w:sz="0" w:space="0" w:color="auto"/>
                    <w:right w:val="none" w:sz="0" w:space="0" w:color="auto"/>
                  </w:divBdr>
                </w:div>
              </w:divsChild>
            </w:div>
            <w:div w:id="31660401">
              <w:marLeft w:val="0"/>
              <w:marRight w:val="0"/>
              <w:marTop w:val="0"/>
              <w:marBottom w:val="0"/>
              <w:divBdr>
                <w:top w:val="none" w:sz="0" w:space="0" w:color="auto"/>
                <w:left w:val="none" w:sz="0" w:space="0" w:color="auto"/>
                <w:bottom w:val="none" w:sz="0" w:space="0" w:color="auto"/>
                <w:right w:val="none" w:sz="0" w:space="0" w:color="auto"/>
              </w:divBdr>
              <w:divsChild>
                <w:div w:id="1930387409">
                  <w:marLeft w:val="600"/>
                  <w:marRight w:val="96"/>
                  <w:marTop w:val="0"/>
                  <w:marBottom w:val="0"/>
                  <w:divBdr>
                    <w:top w:val="none" w:sz="0" w:space="0" w:color="auto"/>
                    <w:left w:val="none" w:sz="0" w:space="0" w:color="auto"/>
                    <w:bottom w:val="none" w:sz="0" w:space="0" w:color="auto"/>
                    <w:right w:val="none" w:sz="0" w:space="0" w:color="auto"/>
                  </w:divBdr>
                </w:div>
              </w:divsChild>
            </w:div>
            <w:div w:id="1500775091">
              <w:marLeft w:val="0"/>
              <w:marRight w:val="0"/>
              <w:marTop w:val="0"/>
              <w:marBottom w:val="0"/>
              <w:divBdr>
                <w:top w:val="none" w:sz="0" w:space="0" w:color="auto"/>
                <w:left w:val="none" w:sz="0" w:space="0" w:color="auto"/>
                <w:bottom w:val="none" w:sz="0" w:space="0" w:color="auto"/>
                <w:right w:val="none" w:sz="0" w:space="0" w:color="auto"/>
              </w:divBdr>
              <w:divsChild>
                <w:div w:id="440031597">
                  <w:marLeft w:val="600"/>
                  <w:marRight w:val="96"/>
                  <w:marTop w:val="0"/>
                  <w:marBottom w:val="0"/>
                  <w:divBdr>
                    <w:top w:val="none" w:sz="0" w:space="0" w:color="auto"/>
                    <w:left w:val="none" w:sz="0" w:space="0" w:color="auto"/>
                    <w:bottom w:val="none" w:sz="0" w:space="0" w:color="auto"/>
                    <w:right w:val="none" w:sz="0" w:space="0" w:color="auto"/>
                  </w:divBdr>
                </w:div>
              </w:divsChild>
            </w:div>
            <w:div w:id="328096653">
              <w:marLeft w:val="0"/>
              <w:marRight w:val="0"/>
              <w:marTop w:val="0"/>
              <w:marBottom w:val="0"/>
              <w:divBdr>
                <w:top w:val="none" w:sz="0" w:space="0" w:color="auto"/>
                <w:left w:val="none" w:sz="0" w:space="0" w:color="auto"/>
                <w:bottom w:val="none" w:sz="0" w:space="0" w:color="auto"/>
                <w:right w:val="none" w:sz="0" w:space="0" w:color="auto"/>
              </w:divBdr>
              <w:divsChild>
                <w:div w:id="356547476">
                  <w:marLeft w:val="600"/>
                  <w:marRight w:val="96"/>
                  <w:marTop w:val="0"/>
                  <w:marBottom w:val="0"/>
                  <w:divBdr>
                    <w:top w:val="none" w:sz="0" w:space="0" w:color="auto"/>
                    <w:left w:val="none" w:sz="0" w:space="0" w:color="auto"/>
                    <w:bottom w:val="none" w:sz="0" w:space="0" w:color="auto"/>
                    <w:right w:val="none" w:sz="0" w:space="0" w:color="auto"/>
                  </w:divBdr>
                </w:div>
              </w:divsChild>
            </w:div>
            <w:div w:id="439372869">
              <w:marLeft w:val="0"/>
              <w:marRight w:val="0"/>
              <w:marTop w:val="0"/>
              <w:marBottom w:val="0"/>
              <w:divBdr>
                <w:top w:val="none" w:sz="0" w:space="0" w:color="auto"/>
                <w:left w:val="none" w:sz="0" w:space="0" w:color="auto"/>
                <w:bottom w:val="none" w:sz="0" w:space="0" w:color="auto"/>
                <w:right w:val="none" w:sz="0" w:space="0" w:color="auto"/>
              </w:divBdr>
              <w:divsChild>
                <w:div w:id="1593926530">
                  <w:marLeft w:val="600"/>
                  <w:marRight w:val="96"/>
                  <w:marTop w:val="0"/>
                  <w:marBottom w:val="0"/>
                  <w:divBdr>
                    <w:top w:val="none" w:sz="0" w:space="0" w:color="auto"/>
                    <w:left w:val="none" w:sz="0" w:space="0" w:color="auto"/>
                    <w:bottom w:val="none" w:sz="0" w:space="0" w:color="auto"/>
                    <w:right w:val="none" w:sz="0" w:space="0" w:color="auto"/>
                  </w:divBdr>
                </w:div>
              </w:divsChild>
            </w:div>
            <w:div w:id="1269005049">
              <w:marLeft w:val="0"/>
              <w:marRight w:val="0"/>
              <w:marTop w:val="0"/>
              <w:marBottom w:val="0"/>
              <w:divBdr>
                <w:top w:val="none" w:sz="0" w:space="0" w:color="auto"/>
                <w:left w:val="none" w:sz="0" w:space="0" w:color="auto"/>
                <w:bottom w:val="none" w:sz="0" w:space="0" w:color="auto"/>
                <w:right w:val="none" w:sz="0" w:space="0" w:color="auto"/>
              </w:divBdr>
              <w:divsChild>
                <w:div w:id="528565972">
                  <w:marLeft w:val="600"/>
                  <w:marRight w:val="96"/>
                  <w:marTop w:val="0"/>
                  <w:marBottom w:val="0"/>
                  <w:divBdr>
                    <w:top w:val="none" w:sz="0" w:space="0" w:color="auto"/>
                    <w:left w:val="none" w:sz="0" w:space="0" w:color="auto"/>
                    <w:bottom w:val="none" w:sz="0" w:space="0" w:color="auto"/>
                    <w:right w:val="none" w:sz="0" w:space="0" w:color="auto"/>
                  </w:divBdr>
                </w:div>
              </w:divsChild>
            </w:div>
            <w:div w:id="710108772">
              <w:marLeft w:val="0"/>
              <w:marRight w:val="0"/>
              <w:marTop w:val="0"/>
              <w:marBottom w:val="0"/>
              <w:divBdr>
                <w:top w:val="none" w:sz="0" w:space="0" w:color="auto"/>
                <w:left w:val="none" w:sz="0" w:space="0" w:color="auto"/>
                <w:bottom w:val="none" w:sz="0" w:space="0" w:color="auto"/>
                <w:right w:val="none" w:sz="0" w:space="0" w:color="auto"/>
              </w:divBdr>
              <w:divsChild>
                <w:div w:id="1180311852">
                  <w:marLeft w:val="600"/>
                  <w:marRight w:val="96"/>
                  <w:marTop w:val="0"/>
                  <w:marBottom w:val="0"/>
                  <w:divBdr>
                    <w:top w:val="none" w:sz="0" w:space="0" w:color="auto"/>
                    <w:left w:val="none" w:sz="0" w:space="0" w:color="auto"/>
                    <w:bottom w:val="none" w:sz="0" w:space="0" w:color="auto"/>
                    <w:right w:val="none" w:sz="0" w:space="0" w:color="auto"/>
                  </w:divBdr>
                </w:div>
              </w:divsChild>
            </w:div>
            <w:div w:id="1800955301">
              <w:marLeft w:val="0"/>
              <w:marRight w:val="0"/>
              <w:marTop w:val="0"/>
              <w:marBottom w:val="0"/>
              <w:divBdr>
                <w:top w:val="none" w:sz="0" w:space="0" w:color="auto"/>
                <w:left w:val="none" w:sz="0" w:space="0" w:color="auto"/>
                <w:bottom w:val="none" w:sz="0" w:space="0" w:color="auto"/>
                <w:right w:val="none" w:sz="0" w:space="0" w:color="auto"/>
              </w:divBdr>
              <w:divsChild>
                <w:div w:id="955141645">
                  <w:marLeft w:val="600"/>
                  <w:marRight w:val="96"/>
                  <w:marTop w:val="0"/>
                  <w:marBottom w:val="0"/>
                  <w:divBdr>
                    <w:top w:val="none" w:sz="0" w:space="0" w:color="auto"/>
                    <w:left w:val="none" w:sz="0" w:space="0" w:color="auto"/>
                    <w:bottom w:val="none" w:sz="0" w:space="0" w:color="auto"/>
                    <w:right w:val="none" w:sz="0" w:space="0" w:color="auto"/>
                  </w:divBdr>
                </w:div>
              </w:divsChild>
            </w:div>
            <w:div w:id="1933779231">
              <w:marLeft w:val="0"/>
              <w:marRight w:val="0"/>
              <w:marTop w:val="0"/>
              <w:marBottom w:val="0"/>
              <w:divBdr>
                <w:top w:val="none" w:sz="0" w:space="0" w:color="auto"/>
                <w:left w:val="none" w:sz="0" w:space="0" w:color="auto"/>
                <w:bottom w:val="none" w:sz="0" w:space="0" w:color="auto"/>
                <w:right w:val="none" w:sz="0" w:space="0" w:color="auto"/>
              </w:divBdr>
              <w:divsChild>
                <w:div w:id="149710364">
                  <w:marLeft w:val="600"/>
                  <w:marRight w:val="96"/>
                  <w:marTop w:val="0"/>
                  <w:marBottom w:val="0"/>
                  <w:divBdr>
                    <w:top w:val="none" w:sz="0" w:space="0" w:color="auto"/>
                    <w:left w:val="none" w:sz="0" w:space="0" w:color="auto"/>
                    <w:bottom w:val="none" w:sz="0" w:space="0" w:color="auto"/>
                    <w:right w:val="none" w:sz="0" w:space="0" w:color="auto"/>
                  </w:divBdr>
                </w:div>
              </w:divsChild>
            </w:div>
            <w:div w:id="1983726122">
              <w:marLeft w:val="0"/>
              <w:marRight w:val="0"/>
              <w:marTop w:val="0"/>
              <w:marBottom w:val="0"/>
              <w:divBdr>
                <w:top w:val="none" w:sz="0" w:space="0" w:color="auto"/>
                <w:left w:val="none" w:sz="0" w:space="0" w:color="auto"/>
                <w:bottom w:val="none" w:sz="0" w:space="0" w:color="auto"/>
                <w:right w:val="none" w:sz="0" w:space="0" w:color="auto"/>
              </w:divBdr>
              <w:divsChild>
                <w:div w:id="1006321094">
                  <w:marLeft w:val="600"/>
                  <w:marRight w:val="96"/>
                  <w:marTop w:val="0"/>
                  <w:marBottom w:val="0"/>
                  <w:divBdr>
                    <w:top w:val="none" w:sz="0" w:space="0" w:color="auto"/>
                    <w:left w:val="none" w:sz="0" w:space="0" w:color="auto"/>
                    <w:bottom w:val="none" w:sz="0" w:space="0" w:color="auto"/>
                    <w:right w:val="none" w:sz="0" w:space="0" w:color="auto"/>
                  </w:divBdr>
                </w:div>
              </w:divsChild>
            </w:div>
            <w:div w:id="1643003626">
              <w:marLeft w:val="0"/>
              <w:marRight w:val="0"/>
              <w:marTop w:val="0"/>
              <w:marBottom w:val="0"/>
              <w:divBdr>
                <w:top w:val="none" w:sz="0" w:space="0" w:color="auto"/>
                <w:left w:val="none" w:sz="0" w:space="0" w:color="auto"/>
                <w:bottom w:val="none" w:sz="0" w:space="0" w:color="auto"/>
                <w:right w:val="none" w:sz="0" w:space="0" w:color="auto"/>
              </w:divBdr>
              <w:divsChild>
                <w:div w:id="1394304874">
                  <w:marLeft w:val="600"/>
                  <w:marRight w:val="96"/>
                  <w:marTop w:val="0"/>
                  <w:marBottom w:val="0"/>
                  <w:divBdr>
                    <w:top w:val="none" w:sz="0" w:space="0" w:color="auto"/>
                    <w:left w:val="none" w:sz="0" w:space="0" w:color="auto"/>
                    <w:bottom w:val="none" w:sz="0" w:space="0" w:color="auto"/>
                    <w:right w:val="none" w:sz="0" w:space="0" w:color="auto"/>
                  </w:divBdr>
                </w:div>
              </w:divsChild>
            </w:div>
            <w:div w:id="727730392">
              <w:marLeft w:val="0"/>
              <w:marRight w:val="0"/>
              <w:marTop w:val="0"/>
              <w:marBottom w:val="0"/>
              <w:divBdr>
                <w:top w:val="none" w:sz="0" w:space="0" w:color="auto"/>
                <w:left w:val="none" w:sz="0" w:space="0" w:color="auto"/>
                <w:bottom w:val="none" w:sz="0" w:space="0" w:color="auto"/>
                <w:right w:val="none" w:sz="0" w:space="0" w:color="auto"/>
              </w:divBdr>
              <w:divsChild>
                <w:div w:id="942346416">
                  <w:marLeft w:val="600"/>
                  <w:marRight w:val="96"/>
                  <w:marTop w:val="0"/>
                  <w:marBottom w:val="0"/>
                  <w:divBdr>
                    <w:top w:val="none" w:sz="0" w:space="0" w:color="auto"/>
                    <w:left w:val="none" w:sz="0" w:space="0" w:color="auto"/>
                    <w:bottom w:val="none" w:sz="0" w:space="0" w:color="auto"/>
                    <w:right w:val="none" w:sz="0" w:space="0" w:color="auto"/>
                  </w:divBdr>
                </w:div>
              </w:divsChild>
            </w:div>
            <w:div w:id="2103646972">
              <w:marLeft w:val="0"/>
              <w:marRight w:val="0"/>
              <w:marTop w:val="0"/>
              <w:marBottom w:val="0"/>
              <w:divBdr>
                <w:top w:val="none" w:sz="0" w:space="0" w:color="auto"/>
                <w:left w:val="none" w:sz="0" w:space="0" w:color="auto"/>
                <w:bottom w:val="none" w:sz="0" w:space="0" w:color="auto"/>
                <w:right w:val="none" w:sz="0" w:space="0" w:color="auto"/>
              </w:divBdr>
              <w:divsChild>
                <w:div w:id="476803226">
                  <w:marLeft w:val="600"/>
                  <w:marRight w:val="96"/>
                  <w:marTop w:val="0"/>
                  <w:marBottom w:val="0"/>
                  <w:divBdr>
                    <w:top w:val="none" w:sz="0" w:space="0" w:color="auto"/>
                    <w:left w:val="none" w:sz="0" w:space="0" w:color="auto"/>
                    <w:bottom w:val="none" w:sz="0" w:space="0" w:color="auto"/>
                    <w:right w:val="none" w:sz="0" w:space="0" w:color="auto"/>
                  </w:divBdr>
                </w:div>
              </w:divsChild>
            </w:div>
            <w:div w:id="1262713669">
              <w:marLeft w:val="0"/>
              <w:marRight w:val="0"/>
              <w:marTop w:val="0"/>
              <w:marBottom w:val="0"/>
              <w:divBdr>
                <w:top w:val="none" w:sz="0" w:space="0" w:color="auto"/>
                <w:left w:val="none" w:sz="0" w:space="0" w:color="auto"/>
                <w:bottom w:val="none" w:sz="0" w:space="0" w:color="auto"/>
                <w:right w:val="none" w:sz="0" w:space="0" w:color="auto"/>
              </w:divBdr>
              <w:divsChild>
                <w:div w:id="1156919681">
                  <w:marLeft w:val="600"/>
                  <w:marRight w:val="96"/>
                  <w:marTop w:val="0"/>
                  <w:marBottom w:val="0"/>
                  <w:divBdr>
                    <w:top w:val="none" w:sz="0" w:space="0" w:color="auto"/>
                    <w:left w:val="none" w:sz="0" w:space="0" w:color="auto"/>
                    <w:bottom w:val="none" w:sz="0" w:space="0" w:color="auto"/>
                    <w:right w:val="none" w:sz="0" w:space="0" w:color="auto"/>
                  </w:divBdr>
                </w:div>
              </w:divsChild>
            </w:div>
            <w:div w:id="698242398">
              <w:marLeft w:val="0"/>
              <w:marRight w:val="0"/>
              <w:marTop w:val="0"/>
              <w:marBottom w:val="0"/>
              <w:divBdr>
                <w:top w:val="none" w:sz="0" w:space="0" w:color="auto"/>
                <w:left w:val="none" w:sz="0" w:space="0" w:color="auto"/>
                <w:bottom w:val="none" w:sz="0" w:space="0" w:color="auto"/>
                <w:right w:val="none" w:sz="0" w:space="0" w:color="auto"/>
              </w:divBdr>
              <w:divsChild>
                <w:div w:id="557327814">
                  <w:marLeft w:val="600"/>
                  <w:marRight w:val="96"/>
                  <w:marTop w:val="0"/>
                  <w:marBottom w:val="0"/>
                  <w:divBdr>
                    <w:top w:val="none" w:sz="0" w:space="0" w:color="auto"/>
                    <w:left w:val="none" w:sz="0" w:space="0" w:color="auto"/>
                    <w:bottom w:val="none" w:sz="0" w:space="0" w:color="auto"/>
                    <w:right w:val="none" w:sz="0" w:space="0" w:color="auto"/>
                  </w:divBdr>
                </w:div>
              </w:divsChild>
            </w:div>
            <w:div w:id="2084377445">
              <w:marLeft w:val="0"/>
              <w:marRight w:val="0"/>
              <w:marTop w:val="0"/>
              <w:marBottom w:val="0"/>
              <w:divBdr>
                <w:top w:val="none" w:sz="0" w:space="0" w:color="auto"/>
                <w:left w:val="none" w:sz="0" w:space="0" w:color="auto"/>
                <w:bottom w:val="none" w:sz="0" w:space="0" w:color="auto"/>
                <w:right w:val="none" w:sz="0" w:space="0" w:color="auto"/>
              </w:divBdr>
              <w:divsChild>
                <w:div w:id="419059648">
                  <w:marLeft w:val="600"/>
                  <w:marRight w:val="96"/>
                  <w:marTop w:val="0"/>
                  <w:marBottom w:val="0"/>
                  <w:divBdr>
                    <w:top w:val="none" w:sz="0" w:space="0" w:color="auto"/>
                    <w:left w:val="none" w:sz="0" w:space="0" w:color="auto"/>
                    <w:bottom w:val="none" w:sz="0" w:space="0" w:color="auto"/>
                    <w:right w:val="none" w:sz="0" w:space="0" w:color="auto"/>
                  </w:divBdr>
                </w:div>
              </w:divsChild>
            </w:div>
            <w:div w:id="860825654">
              <w:marLeft w:val="0"/>
              <w:marRight w:val="0"/>
              <w:marTop w:val="0"/>
              <w:marBottom w:val="0"/>
              <w:divBdr>
                <w:top w:val="none" w:sz="0" w:space="0" w:color="auto"/>
                <w:left w:val="none" w:sz="0" w:space="0" w:color="auto"/>
                <w:bottom w:val="none" w:sz="0" w:space="0" w:color="auto"/>
                <w:right w:val="none" w:sz="0" w:space="0" w:color="auto"/>
              </w:divBdr>
              <w:divsChild>
                <w:div w:id="248851707">
                  <w:marLeft w:val="600"/>
                  <w:marRight w:val="96"/>
                  <w:marTop w:val="0"/>
                  <w:marBottom w:val="0"/>
                  <w:divBdr>
                    <w:top w:val="none" w:sz="0" w:space="0" w:color="auto"/>
                    <w:left w:val="none" w:sz="0" w:space="0" w:color="auto"/>
                    <w:bottom w:val="none" w:sz="0" w:space="0" w:color="auto"/>
                    <w:right w:val="none" w:sz="0" w:space="0" w:color="auto"/>
                  </w:divBdr>
                </w:div>
              </w:divsChild>
            </w:div>
            <w:div w:id="1527056552">
              <w:marLeft w:val="0"/>
              <w:marRight w:val="0"/>
              <w:marTop w:val="0"/>
              <w:marBottom w:val="0"/>
              <w:divBdr>
                <w:top w:val="none" w:sz="0" w:space="0" w:color="auto"/>
                <w:left w:val="none" w:sz="0" w:space="0" w:color="auto"/>
                <w:bottom w:val="none" w:sz="0" w:space="0" w:color="auto"/>
                <w:right w:val="none" w:sz="0" w:space="0" w:color="auto"/>
              </w:divBdr>
              <w:divsChild>
                <w:div w:id="1169902286">
                  <w:marLeft w:val="600"/>
                  <w:marRight w:val="96"/>
                  <w:marTop w:val="0"/>
                  <w:marBottom w:val="0"/>
                  <w:divBdr>
                    <w:top w:val="none" w:sz="0" w:space="0" w:color="auto"/>
                    <w:left w:val="none" w:sz="0" w:space="0" w:color="auto"/>
                    <w:bottom w:val="none" w:sz="0" w:space="0" w:color="auto"/>
                    <w:right w:val="none" w:sz="0" w:space="0" w:color="auto"/>
                  </w:divBdr>
                </w:div>
              </w:divsChild>
            </w:div>
            <w:div w:id="1701128425">
              <w:marLeft w:val="0"/>
              <w:marRight w:val="0"/>
              <w:marTop w:val="0"/>
              <w:marBottom w:val="0"/>
              <w:divBdr>
                <w:top w:val="none" w:sz="0" w:space="0" w:color="auto"/>
                <w:left w:val="none" w:sz="0" w:space="0" w:color="auto"/>
                <w:bottom w:val="none" w:sz="0" w:space="0" w:color="auto"/>
                <w:right w:val="none" w:sz="0" w:space="0" w:color="auto"/>
              </w:divBdr>
              <w:divsChild>
                <w:div w:id="580528040">
                  <w:marLeft w:val="600"/>
                  <w:marRight w:val="96"/>
                  <w:marTop w:val="0"/>
                  <w:marBottom w:val="0"/>
                  <w:divBdr>
                    <w:top w:val="none" w:sz="0" w:space="0" w:color="auto"/>
                    <w:left w:val="none" w:sz="0" w:space="0" w:color="auto"/>
                    <w:bottom w:val="none" w:sz="0" w:space="0" w:color="auto"/>
                    <w:right w:val="none" w:sz="0" w:space="0" w:color="auto"/>
                  </w:divBdr>
                </w:div>
              </w:divsChild>
            </w:div>
            <w:div w:id="668680265">
              <w:marLeft w:val="0"/>
              <w:marRight w:val="0"/>
              <w:marTop w:val="0"/>
              <w:marBottom w:val="0"/>
              <w:divBdr>
                <w:top w:val="none" w:sz="0" w:space="0" w:color="auto"/>
                <w:left w:val="none" w:sz="0" w:space="0" w:color="auto"/>
                <w:bottom w:val="none" w:sz="0" w:space="0" w:color="auto"/>
                <w:right w:val="none" w:sz="0" w:space="0" w:color="auto"/>
              </w:divBdr>
              <w:divsChild>
                <w:div w:id="2141267077">
                  <w:marLeft w:val="600"/>
                  <w:marRight w:val="96"/>
                  <w:marTop w:val="0"/>
                  <w:marBottom w:val="0"/>
                  <w:divBdr>
                    <w:top w:val="none" w:sz="0" w:space="0" w:color="auto"/>
                    <w:left w:val="none" w:sz="0" w:space="0" w:color="auto"/>
                    <w:bottom w:val="none" w:sz="0" w:space="0" w:color="auto"/>
                    <w:right w:val="none" w:sz="0" w:space="0" w:color="auto"/>
                  </w:divBdr>
                </w:div>
              </w:divsChild>
            </w:div>
            <w:div w:id="1818304362">
              <w:marLeft w:val="0"/>
              <w:marRight w:val="0"/>
              <w:marTop w:val="0"/>
              <w:marBottom w:val="0"/>
              <w:divBdr>
                <w:top w:val="none" w:sz="0" w:space="0" w:color="auto"/>
                <w:left w:val="none" w:sz="0" w:space="0" w:color="auto"/>
                <w:bottom w:val="none" w:sz="0" w:space="0" w:color="auto"/>
                <w:right w:val="none" w:sz="0" w:space="0" w:color="auto"/>
              </w:divBdr>
              <w:divsChild>
                <w:div w:id="1580141038">
                  <w:marLeft w:val="600"/>
                  <w:marRight w:val="96"/>
                  <w:marTop w:val="0"/>
                  <w:marBottom w:val="0"/>
                  <w:divBdr>
                    <w:top w:val="none" w:sz="0" w:space="0" w:color="auto"/>
                    <w:left w:val="none" w:sz="0" w:space="0" w:color="auto"/>
                    <w:bottom w:val="none" w:sz="0" w:space="0" w:color="auto"/>
                    <w:right w:val="none" w:sz="0" w:space="0" w:color="auto"/>
                  </w:divBdr>
                </w:div>
              </w:divsChild>
            </w:div>
            <w:div w:id="1771199285">
              <w:marLeft w:val="0"/>
              <w:marRight w:val="0"/>
              <w:marTop w:val="0"/>
              <w:marBottom w:val="0"/>
              <w:divBdr>
                <w:top w:val="none" w:sz="0" w:space="0" w:color="auto"/>
                <w:left w:val="none" w:sz="0" w:space="0" w:color="auto"/>
                <w:bottom w:val="none" w:sz="0" w:space="0" w:color="auto"/>
                <w:right w:val="none" w:sz="0" w:space="0" w:color="auto"/>
              </w:divBdr>
              <w:divsChild>
                <w:div w:id="826097598">
                  <w:marLeft w:val="600"/>
                  <w:marRight w:val="96"/>
                  <w:marTop w:val="0"/>
                  <w:marBottom w:val="0"/>
                  <w:divBdr>
                    <w:top w:val="none" w:sz="0" w:space="0" w:color="auto"/>
                    <w:left w:val="none" w:sz="0" w:space="0" w:color="auto"/>
                    <w:bottom w:val="none" w:sz="0" w:space="0" w:color="auto"/>
                    <w:right w:val="none" w:sz="0" w:space="0" w:color="auto"/>
                  </w:divBdr>
                </w:div>
              </w:divsChild>
            </w:div>
            <w:div w:id="871041497">
              <w:marLeft w:val="0"/>
              <w:marRight w:val="0"/>
              <w:marTop w:val="0"/>
              <w:marBottom w:val="0"/>
              <w:divBdr>
                <w:top w:val="none" w:sz="0" w:space="0" w:color="auto"/>
                <w:left w:val="none" w:sz="0" w:space="0" w:color="auto"/>
                <w:bottom w:val="none" w:sz="0" w:space="0" w:color="auto"/>
                <w:right w:val="none" w:sz="0" w:space="0" w:color="auto"/>
              </w:divBdr>
              <w:divsChild>
                <w:div w:id="788816894">
                  <w:marLeft w:val="600"/>
                  <w:marRight w:val="96"/>
                  <w:marTop w:val="0"/>
                  <w:marBottom w:val="0"/>
                  <w:divBdr>
                    <w:top w:val="none" w:sz="0" w:space="0" w:color="auto"/>
                    <w:left w:val="none" w:sz="0" w:space="0" w:color="auto"/>
                    <w:bottom w:val="none" w:sz="0" w:space="0" w:color="auto"/>
                    <w:right w:val="none" w:sz="0" w:space="0" w:color="auto"/>
                  </w:divBdr>
                </w:div>
              </w:divsChild>
            </w:div>
            <w:div w:id="1340808805">
              <w:marLeft w:val="0"/>
              <w:marRight w:val="0"/>
              <w:marTop w:val="0"/>
              <w:marBottom w:val="0"/>
              <w:divBdr>
                <w:top w:val="none" w:sz="0" w:space="0" w:color="auto"/>
                <w:left w:val="none" w:sz="0" w:space="0" w:color="auto"/>
                <w:bottom w:val="none" w:sz="0" w:space="0" w:color="auto"/>
                <w:right w:val="none" w:sz="0" w:space="0" w:color="auto"/>
              </w:divBdr>
              <w:divsChild>
                <w:div w:id="1564565916">
                  <w:marLeft w:val="600"/>
                  <w:marRight w:val="96"/>
                  <w:marTop w:val="0"/>
                  <w:marBottom w:val="0"/>
                  <w:divBdr>
                    <w:top w:val="none" w:sz="0" w:space="0" w:color="auto"/>
                    <w:left w:val="none" w:sz="0" w:space="0" w:color="auto"/>
                    <w:bottom w:val="none" w:sz="0" w:space="0" w:color="auto"/>
                    <w:right w:val="none" w:sz="0" w:space="0" w:color="auto"/>
                  </w:divBdr>
                </w:div>
              </w:divsChild>
            </w:div>
            <w:div w:id="798495972">
              <w:marLeft w:val="0"/>
              <w:marRight w:val="0"/>
              <w:marTop w:val="0"/>
              <w:marBottom w:val="0"/>
              <w:divBdr>
                <w:top w:val="none" w:sz="0" w:space="0" w:color="auto"/>
                <w:left w:val="none" w:sz="0" w:space="0" w:color="auto"/>
                <w:bottom w:val="none" w:sz="0" w:space="0" w:color="auto"/>
                <w:right w:val="none" w:sz="0" w:space="0" w:color="auto"/>
              </w:divBdr>
              <w:divsChild>
                <w:div w:id="135731613">
                  <w:marLeft w:val="600"/>
                  <w:marRight w:val="96"/>
                  <w:marTop w:val="0"/>
                  <w:marBottom w:val="0"/>
                  <w:divBdr>
                    <w:top w:val="none" w:sz="0" w:space="0" w:color="auto"/>
                    <w:left w:val="none" w:sz="0" w:space="0" w:color="auto"/>
                    <w:bottom w:val="none" w:sz="0" w:space="0" w:color="auto"/>
                    <w:right w:val="none" w:sz="0" w:space="0" w:color="auto"/>
                  </w:divBdr>
                </w:div>
              </w:divsChild>
            </w:div>
            <w:div w:id="785345881">
              <w:marLeft w:val="0"/>
              <w:marRight w:val="0"/>
              <w:marTop w:val="0"/>
              <w:marBottom w:val="0"/>
              <w:divBdr>
                <w:top w:val="none" w:sz="0" w:space="0" w:color="auto"/>
                <w:left w:val="none" w:sz="0" w:space="0" w:color="auto"/>
                <w:bottom w:val="none" w:sz="0" w:space="0" w:color="auto"/>
                <w:right w:val="none" w:sz="0" w:space="0" w:color="auto"/>
              </w:divBdr>
              <w:divsChild>
                <w:div w:id="100882466">
                  <w:marLeft w:val="600"/>
                  <w:marRight w:val="96"/>
                  <w:marTop w:val="0"/>
                  <w:marBottom w:val="0"/>
                  <w:divBdr>
                    <w:top w:val="none" w:sz="0" w:space="0" w:color="auto"/>
                    <w:left w:val="none" w:sz="0" w:space="0" w:color="auto"/>
                    <w:bottom w:val="none" w:sz="0" w:space="0" w:color="auto"/>
                    <w:right w:val="none" w:sz="0" w:space="0" w:color="auto"/>
                  </w:divBdr>
                </w:div>
              </w:divsChild>
            </w:div>
            <w:div w:id="1438059221">
              <w:marLeft w:val="0"/>
              <w:marRight w:val="0"/>
              <w:marTop w:val="0"/>
              <w:marBottom w:val="0"/>
              <w:divBdr>
                <w:top w:val="none" w:sz="0" w:space="0" w:color="auto"/>
                <w:left w:val="none" w:sz="0" w:space="0" w:color="auto"/>
                <w:bottom w:val="none" w:sz="0" w:space="0" w:color="auto"/>
                <w:right w:val="none" w:sz="0" w:space="0" w:color="auto"/>
              </w:divBdr>
              <w:divsChild>
                <w:div w:id="338776856">
                  <w:marLeft w:val="600"/>
                  <w:marRight w:val="96"/>
                  <w:marTop w:val="0"/>
                  <w:marBottom w:val="0"/>
                  <w:divBdr>
                    <w:top w:val="none" w:sz="0" w:space="0" w:color="auto"/>
                    <w:left w:val="none" w:sz="0" w:space="0" w:color="auto"/>
                    <w:bottom w:val="none" w:sz="0" w:space="0" w:color="auto"/>
                    <w:right w:val="none" w:sz="0" w:space="0" w:color="auto"/>
                  </w:divBdr>
                </w:div>
              </w:divsChild>
            </w:div>
            <w:div w:id="97021539">
              <w:marLeft w:val="0"/>
              <w:marRight w:val="0"/>
              <w:marTop w:val="0"/>
              <w:marBottom w:val="0"/>
              <w:divBdr>
                <w:top w:val="none" w:sz="0" w:space="0" w:color="auto"/>
                <w:left w:val="none" w:sz="0" w:space="0" w:color="auto"/>
                <w:bottom w:val="none" w:sz="0" w:space="0" w:color="auto"/>
                <w:right w:val="none" w:sz="0" w:space="0" w:color="auto"/>
              </w:divBdr>
              <w:divsChild>
                <w:div w:id="120080105">
                  <w:marLeft w:val="600"/>
                  <w:marRight w:val="96"/>
                  <w:marTop w:val="0"/>
                  <w:marBottom w:val="0"/>
                  <w:divBdr>
                    <w:top w:val="none" w:sz="0" w:space="0" w:color="auto"/>
                    <w:left w:val="none" w:sz="0" w:space="0" w:color="auto"/>
                    <w:bottom w:val="none" w:sz="0" w:space="0" w:color="auto"/>
                    <w:right w:val="none" w:sz="0" w:space="0" w:color="auto"/>
                  </w:divBdr>
                </w:div>
              </w:divsChild>
            </w:div>
            <w:div w:id="1299798134">
              <w:marLeft w:val="0"/>
              <w:marRight w:val="0"/>
              <w:marTop w:val="0"/>
              <w:marBottom w:val="0"/>
              <w:divBdr>
                <w:top w:val="none" w:sz="0" w:space="0" w:color="auto"/>
                <w:left w:val="none" w:sz="0" w:space="0" w:color="auto"/>
                <w:bottom w:val="none" w:sz="0" w:space="0" w:color="auto"/>
                <w:right w:val="none" w:sz="0" w:space="0" w:color="auto"/>
              </w:divBdr>
              <w:divsChild>
                <w:div w:id="1692293088">
                  <w:marLeft w:val="600"/>
                  <w:marRight w:val="96"/>
                  <w:marTop w:val="0"/>
                  <w:marBottom w:val="0"/>
                  <w:divBdr>
                    <w:top w:val="none" w:sz="0" w:space="0" w:color="auto"/>
                    <w:left w:val="none" w:sz="0" w:space="0" w:color="auto"/>
                    <w:bottom w:val="none" w:sz="0" w:space="0" w:color="auto"/>
                    <w:right w:val="none" w:sz="0" w:space="0" w:color="auto"/>
                  </w:divBdr>
                </w:div>
              </w:divsChild>
            </w:div>
            <w:div w:id="1905752037">
              <w:marLeft w:val="0"/>
              <w:marRight w:val="0"/>
              <w:marTop w:val="0"/>
              <w:marBottom w:val="0"/>
              <w:divBdr>
                <w:top w:val="none" w:sz="0" w:space="0" w:color="auto"/>
                <w:left w:val="none" w:sz="0" w:space="0" w:color="auto"/>
                <w:bottom w:val="none" w:sz="0" w:space="0" w:color="auto"/>
                <w:right w:val="none" w:sz="0" w:space="0" w:color="auto"/>
              </w:divBdr>
              <w:divsChild>
                <w:div w:id="1007445793">
                  <w:marLeft w:val="600"/>
                  <w:marRight w:val="96"/>
                  <w:marTop w:val="0"/>
                  <w:marBottom w:val="0"/>
                  <w:divBdr>
                    <w:top w:val="none" w:sz="0" w:space="0" w:color="auto"/>
                    <w:left w:val="none" w:sz="0" w:space="0" w:color="auto"/>
                    <w:bottom w:val="none" w:sz="0" w:space="0" w:color="auto"/>
                    <w:right w:val="none" w:sz="0" w:space="0" w:color="auto"/>
                  </w:divBdr>
                </w:div>
              </w:divsChild>
            </w:div>
            <w:div w:id="155388523">
              <w:marLeft w:val="0"/>
              <w:marRight w:val="0"/>
              <w:marTop w:val="0"/>
              <w:marBottom w:val="0"/>
              <w:divBdr>
                <w:top w:val="none" w:sz="0" w:space="0" w:color="auto"/>
                <w:left w:val="none" w:sz="0" w:space="0" w:color="auto"/>
                <w:bottom w:val="none" w:sz="0" w:space="0" w:color="auto"/>
                <w:right w:val="none" w:sz="0" w:space="0" w:color="auto"/>
              </w:divBdr>
              <w:divsChild>
                <w:div w:id="814176069">
                  <w:marLeft w:val="600"/>
                  <w:marRight w:val="96"/>
                  <w:marTop w:val="0"/>
                  <w:marBottom w:val="0"/>
                  <w:divBdr>
                    <w:top w:val="none" w:sz="0" w:space="0" w:color="auto"/>
                    <w:left w:val="none" w:sz="0" w:space="0" w:color="auto"/>
                    <w:bottom w:val="none" w:sz="0" w:space="0" w:color="auto"/>
                    <w:right w:val="none" w:sz="0" w:space="0" w:color="auto"/>
                  </w:divBdr>
                </w:div>
              </w:divsChild>
            </w:div>
            <w:div w:id="1937470571">
              <w:marLeft w:val="0"/>
              <w:marRight w:val="0"/>
              <w:marTop w:val="0"/>
              <w:marBottom w:val="0"/>
              <w:divBdr>
                <w:top w:val="none" w:sz="0" w:space="0" w:color="auto"/>
                <w:left w:val="none" w:sz="0" w:space="0" w:color="auto"/>
                <w:bottom w:val="none" w:sz="0" w:space="0" w:color="auto"/>
                <w:right w:val="none" w:sz="0" w:space="0" w:color="auto"/>
              </w:divBdr>
              <w:divsChild>
                <w:div w:id="918442770">
                  <w:marLeft w:val="600"/>
                  <w:marRight w:val="96"/>
                  <w:marTop w:val="0"/>
                  <w:marBottom w:val="0"/>
                  <w:divBdr>
                    <w:top w:val="none" w:sz="0" w:space="0" w:color="auto"/>
                    <w:left w:val="none" w:sz="0" w:space="0" w:color="auto"/>
                    <w:bottom w:val="none" w:sz="0" w:space="0" w:color="auto"/>
                    <w:right w:val="none" w:sz="0" w:space="0" w:color="auto"/>
                  </w:divBdr>
                </w:div>
              </w:divsChild>
            </w:div>
            <w:div w:id="357631594">
              <w:marLeft w:val="0"/>
              <w:marRight w:val="0"/>
              <w:marTop w:val="0"/>
              <w:marBottom w:val="0"/>
              <w:divBdr>
                <w:top w:val="none" w:sz="0" w:space="0" w:color="auto"/>
                <w:left w:val="none" w:sz="0" w:space="0" w:color="auto"/>
                <w:bottom w:val="none" w:sz="0" w:space="0" w:color="auto"/>
                <w:right w:val="none" w:sz="0" w:space="0" w:color="auto"/>
              </w:divBdr>
              <w:divsChild>
                <w:div w:id="1570265135">
                  <w:marLeft w:val="600"/>
                  <w:marRight w:val="96"/>
                  <w:marTop w:val="0"/>
                  <w:marBottom w:val="0"/>
                  <w:divBdr>
                    <w:top w:val="none" w:sz="0" w:space="0" w:color="auto"/>
                    <w:left w:val="none" w:sz="0" w:space="0" w:color="auto"/>
                    <w:bottom w:val="none" w:sz="0" w:space="0" w:color="auto"/>
                    <w:right w:val="none" w:sz="0" w:space="0" w:color="auto"/>
                  </w:divBdr>
                </w:div>
              </w:divsChild>
            </w:div>
            <w:div w:id="368187299">
              <w:marLeft w:val="0"/>
              <w:marRight w:val="0"/>
              <w:marTop w:val="0"/>
              <w:marBottom w:val="0"/>
              <w:divBdr>
                <w:top w:val="none" w:sz="0" w:space="0" w:color="auto"/>
                <w:left w:val="none" w:sz="0" w:space="0" w:color="auto"/>
                <w:bottom w:val="none" w:sz="0" w:space="0" w:color="auto"/>
                <w:right w:val="none" w:sz="0" w:space="0" w:color="auto"/>
              </w:divBdr>
              <w:divsChild>
                <w:div w:id="155151161">
                  <w:marLeft w:val="600"/>
                  <w:marRight w:val="96"/>
                  <w:marTop w:val="0"/>
                  <w:marBottom w:val="0"/>
                  <w:divBdr>
                    <w:top w:val="none" w:sz="0" w:space="0" w:color="auto"/>
                    <w:left w:val="none" w:sz="0" w:space="0" w:color="auto"/>
                    <w:bottom w:val="none" w:sz="0" w:space="0" w:color="auto"/>
                    <w:right w:val="none" w:sz="0" w:space="0" w:color="auto"/>
                  </w:divBdr>
                </w:div>
              </w:divsChild>
            </w:div>
            <w:div w:id="1112626597">
              <w:marLeft w:val="0"/>
              <w:marRight w:val="0"/>
              <w:marTop w:val="0"/>
              <w:marBottom w:val="0"/>
              <w:divBdr>
                <w:top w:val="none" w:sz="0" w:space="0" w:color="auto"/>
                <w:left w:val="none" w:sz="0" w:space="0" w:color="auto"/>
                <w:bottom w:val="none" w:sz="0" w:space="0" w:color="auto"/>
                <w:right w:val="none" w:sz="0" w:space="0" w:color="auto"/>
              </w:divBdr>
              <w:divsChild>
                <w:div w:id="1532837317">
                  <w:marLeft w:val="600"/>
                  <w:marRight w:val="96"/>
                  <w:marTop w:val="0"/>
                  <w:marBottom w:val="0"/>
                  <w:divBdr>
                    <w:top w:val="none" w:sz="0" w:space="0" w:color="auto"/>
                    <w:left w:val="none" w:sz="0" w:space="0" w:color="auto"/>
                    <w:bottom w:val="none" w:sz="0" w:space="0" w:color="auto"/>
                    <w:right w:val="none" w:sz="0" w:space="0" w:color="auto"/>
                  </w:divBdr>
                </w:div>
              </w:divsChild>
            </w:div>
            <w:div w:id="2781364">
              <w:marLeft w:val="0"/>
              <w:marRight w:val="0"/>
              <w:marTop w:val="0"/>
              <w:marBottom w:val="0"/>
              <w:divBdr>
                <w:top w:val="none" w:sz="0" w:space="0" w:color="auto"/>
                <w:left w:val="none" w:sz="0" w:space="0" w:color="auto"/>
                <w:bottom w:val="none" w:sz="0" w:space="0" w:color="auto"/>
                <w:right w:val="none" w:sz="0" w:space="0" w:color="auto"/>
              </w:divBdr>
              <w:divsChild>
                <w:div w:id="944993899">
                  <w:marLeft w:val="600"/>
                  <w:marRight w:val="96"/>
                  <w:marTop w:val="0"/>
                  <w:marBottom w:val="0"/>
                  <w:divBdr>
                    <w:top w:val="none" w:sz="0" w:space="0" w:color="auto"/>
                    <w:left w:val="none" w:sz="0" w:space="0" w:color="auto"/>
                    <w:bottom w:val="none" w:sz="0" w:space="0" w:color="auto"/>
                    <w:right w:val="none" w:sz="0" w:space="0" w:color="auto"/>
                  </w:divBdr>
                </w:div>
              </w:divsChild>
            </w:div>
            <w:div w:id="1197084295">
              <w:marLeft w:val="0"/>
              <w:marRight w:val="0"/>
              <w:marTop w:val="0"/>
              <w:marBottom w:val="0"/>
              <w:divBdr>
                <w:top w:val="none" w:sz="0" w:space="0" w:color="auto"/>
                <w:left w:val="none" w:sz="0" w:space="0" w:color="auto"/>
                <w:bottom w:val="none" w:sz="0" w:space="0" w:color="auto"/>
                <w:right w:val="none" w:sz="0" w:space="0" w:color="auto"/>
              </w:divBdr>
              <w:divsChild>
                <w:div w:id="1288582910">
                  <w:marLeft w:val="600"/>
                  <w:marRight w:val="96"/>
                  <w:marTop w:val="0"/>
                  <w:marBottom w:val="0"/>
                  <w:divBdr>
                    <w:top w:val="none" w:sz="0" w:space="0" w:color="auto"/>
                    <w:left w:val="none" w:sz="0" w:space="0" w:color="auto"/>
                    <w:bottom w:val="none" w:sz="0" w:space="0" w:color="auto"/>
                    <w:right w:val="none" w:sz="0" w:space="0" w:color="auto"/>
                  </w:divBdr>
                </w:div>
              </w:divsChild>
            </w:div>
            <w:div w:id="369501243">
              <w:marLeft w:val="0"/>
              <w:marRight w:val="0"/>
              <w:marTop w:val="0"/>
              <w:marBottom w:val="0"/>
              <w:divBdr>
                <w:top w:val="none" w:sz="0" w:space="0" w:color="auto"/>
                <w:left w:val="none" w:sz="0" w:space="0" w:color="auto"/>
                <w:bottom w:val="none" w:sz="0" w:space="0" w:color="auto"/>
                <w:right w:val="none" w:sz="0" w:space="0" w:color="auto"/>
              </w:divBdr>
              <w:divsChild>
                <w:div w:id="1263760796">
                  <w:marLeft w:val="600"/>
                  <w:marRight w:val="96"/>
                  <w:marTop w:val="0"/>
                  <w:marBottom w:val="0"/>
                  <w:divBdr>
                    <w:top w:val="none" w:sz="0" w:space="0" w:color="auto"/>
                    <w:left w:val="none" w:sz="0" w:space="0" w:color="auto"/>
                    <w:bottom w:val="none" w:sz="0" w:space="0" w:color="auto"/>
                    <w:right w:val="none" w:sz="0" w:space="0" w:color="auto"/>
                  </w:divBdr>
                </w:div>
              </w:divsChild>
            </w:div>
            <w:div w:id="1372607116">
              <w:marLeft w:val="0"/>
              <w:marRight w:val="0"/>
              <w:marTop w:val="0"/>
              <w:marBottom w:val="0"/>
              <w:divBdr>
                <w:top w:val="none" w:sz="0" w:space="0" w:color="auto"/>
                <w:left w:val="none" w:sz="0" w:space="0" w:color="auto"/>
                <w:bottom w:val="none" w:sz="0" w:space="0" w:color="auto"/>
                <w:right w:val="none" w:sz="0" w:space="0" w:color="auto"/>
              </w:divBdr>
              <w:divsChild>
                <w:div w:id="141967647">
                  <w:marLeft w:val="600"/>
                  <w:marRight w:val="96"/>
                  <w:marTop w:val="0"/>
                  <w:marBottom w:val="0"/>
                  <w:divBdr>
                    <w:top w:val="none" w:sz="0" w:space="0" w:color="auto"/>
                    <w:left w:val="none" w:sz="0" w:space="0" w:color="auto"/>
                    <w:bottom w:val="none" w:sz="0" w:space="0" w:color="auto"/>
                    <w:right w:val="none" w:sz="0" w:space="0" w:color="auto"/>
                  </w:divBdr>
                </w:div>
              </w:divsChild>
            </w:div>
            <w:div w:id="1728648804">
              <w:marLeft w:val="0"/>
              <w:marRight w:val="0"/>
              <w:marTop w:val="0"/>
              <w:marBottom w:val="0"/>
              <w:divBdr>
                <w:top w:val="none" w:sz="0" w:space="0" w:color="auto"/>
                <w:left w:val="none" w:sz="0" w:space="0" w:color="auto"/>
                <w:bottom w:val="none" w:sz="0" w:space="0" w:color="auto"/>
                <w:right w:val="none" w:sz="0" w:space="0" w:color="auto"/>
              </w:divBdr>
              <w:divsChild>
                <w:div w:id="1883402501">
                  <w:marLeft w:val="600"/>
                  <w:marRight w:val="96"/>
                  <w:marTop w:val="0"/>
                  <w:marBottom w:val="0"/>
                  <w:divBdr>
                    <w:top w:val="none" w:sz="0" w:space="0" w:color="auto"/>
                    <w:left w:val="none" w:sz="0" w:space="0" w:color="auto"/>
                    <w:bottom w:val="none" w:sz="0" w:space="0" w:color="auto"/>
                    <w:right w:val="none" w:sz="0" w:space="0" w:color="auto"/>
                  </w:divBdr>
                </w:div>
              </w:divsChild>
            </w:div>
            <w:div w:id="1405449698">
              <w:marLeft w:val="0"/>
              <w:marRight w:val="0"/>
              <w:marTop w:val="0"/>
              <w:marBottom w:val="0"/>
              <w:divBdr>
                <w:top w:val="none" w:sz="0" w:space="0" w:color="auto"/>
                <w:left w:val="none" w:sz="0" w:space="0" w:color="auto"/>
                <w:bottom w:val="none" w:sz="0" w:space="0" w:color="auto"/>
                <w:right w:val="none" w:sz="0" w:space="0" w:color="auto"/>
              </w:divBdr>
              <w:divsChild>
                <w:div w:id="373189852">
                  <w:marLeft w:val="600"/>
                  <w:marRight w:val="96"/>
                  <w:marTop w:val="0"/>
                  <w:marBottom w:val="0"/>
                  <w:divBdr>
                    <w:top w:val="none" w:sz="0" w:space="0" w:color="auto"/>
                    <w:left w:val="none" w:sz="0" w:space="0" w:color="auto"/>
                    <w:bottom w:val="none" w:sz="0" w:space="0" w:color="auto"/>
                    <w:right w:val="none" w:sz="0" w:space="0" w:color="auto"/>
                  </w:divBdr>
                </w:div>
              </w:divsChild>
            </w:div>
            <w:div w:id="1904948705">
              <w:marLeft w:val="0"/>
              <w:marRight w:val="0"/>
              <w:marTop w:val="0"/>
              <w:marBottom w:val="0"/>
              <w:divBdr>
                <w:top w:val="none" w:sz="0" w:space="0" w:color="auto"/>
                <w:left w:val="none" w:sz="0" w:space="0" w:color="auto"/>
                <w:bottom w:val="none" w:sz="0" w:space="0" w:color="auto"/>
                <w:right w:val="none" w:sz="0" w:space="0" w:color="auto"/>
              </w:divBdr>
              <w:divsChild>
                <w:div w:id="2135981061">
                  <w:marLeft w:val="600"/>
                  <w:marRight w:val="96"/>
                  <w:marTop w:val="0"/>
                  <w:marBottom w:val="0"/>
                  <w:divBdr>
                    <w:top w:val="none" w:sz="0" w:space="0" w:color="auto"/>
                    <w:left w:val="none" w:sz="0" w:space="0" w:color="auto"/>
                    <w:bottom w:val="none" w:sz="0" w:space="0" w:color="auto"/>
                    <w:right w:val="none" w:sz="0" w:space="0" w:color="auto"/>
                  </w:divBdr>
                </w:div>
              </w:divsChild>
            </w:div>
            <w:div w:id="1883515704">
              <w:marLeft w:val="0"/>
              <w:marRight w:val="0"/>
              <w:marTop w:val="0"/>
              <w:marBottom w:val="0"/>
              <w:divBdr>
                <w:top w:val="none" w:sz="0" w:space="0" w:color="auto"/>
                <w:left w:val="none" w:sz="0" w:space="0" w:color="auto"/>
                <w:bottom w:val="none" w:sz="0" w:space="0" w:color="auto"/>
                <w:right w:val="none" w:sz="0" w:space="0" w:color="auto"/>
              </w:divBdr>
              <w:divsChild>
                <w:div w:id="260264218">
                  <w:marLeft w:val="600"/>
                  <w:marRight w:val="96"/>
                  <w:marTop w:val="0"/>
                  <w:marBottom w:val="0"/>
                  <w:divBdr>
                    <w:top w:val="none" w:sz="0" w:space="0" w:color="auto"/>
                    <w:left w:val="none" w:sz="0" w:space="0" w:color="auto"/>
                    <w:bottom w:val="none" w:sz="0" w:space="0" w:color="auto"/>
                    <w:right w:val="none" w:sz="0" w:space="0" w:color="auto"/>
                  </w:divBdr>
                </w:div>
              </w:divsChild>
            </w:div>
            <w:div w:id="1581863631">
              <w:marLeft w:val="0"/>
              <w:marRight w:val="0"/>
              <w:marTop w:val="0"/>
              <w:marBottom w:val="0"/>
              <w:divBdr>
                <w:top w:val="none" w:sz="0" w:space="0" w:color="auto"/>
                <w:left w:val="none" w:sz="0" w:space="0" w:color="auto"/>
                <w:bottom w:val="none" w:sz="0" w:space="0" w:color="auto"/>
                <w:right w:val="none" w:sz="0" w:space="0" w:color="auto"/>
              </w:divBdr>
              <w:divsChild>
                <w:div w:id="186062702">
                  <w:marLeft w:val="600"/>
                  <w:marRight w:val="96"/>
                  <w:marTop w:val="0"/>
                  <w:marBottom w:val="0"/>
                  <w:divBdr>
                    <w:top w:val="none" w:sz="0" w:space="0" w:color="auto"/>
                    <w:left w:val="none" w:sz="0" w:space="0" w:color="auto"/>
                    <w:bottom w:val="none" w:sz="0" w:space="0" w:color="auto"/>
                    <w:right w:val="none" w:sz="0" w:space="0" w:color="auto"/>
                  </w:divBdr>
                </w:div>
              </w:divsChild>
            </w:div>
            <w:div w:id="924067561">
              <w:marLeft w:val="0"/>
              <w:marRight w:val="0"/>
              <w:marTop w:val="0"/>
              <w:marBottom w:val="0"/>
              <w:divBdr>
                <w:top w:val="none" w:sz="0" w:space="0" w:color="auto"/>
                <w:left w:val="none" w:sz="0" w:space="0" w:color="auto"/>
                <w:bottom w:val="none" w:sz="0" w:space="0" w:color="auto"/>
                <w:right w:val="none" w:sz="0" w:space="0" w:color="auto"/>
              </w:divBdr>
              <w:divsChild>
                <w:div w:id="49353847">
                  <w:marLeft w:val="600"/>
                  <w:marRight w:val="96"/>
                  <w:marTop w:val="0"/>
                  <w:marBottom w:val="0"/>
                  <w:divBdr>
                    <w:top w:val="none" w:sz="0" w:space="0" w:color="auto"/>
                    <w:left w:val="none" w:sz="0" w:space="0" w:color="auto"/>
                    <w:bottom w:val="none" w:sz="0" w:space="0" w:color="auto"/>
                    <w:right w:val="none" w:sz="0" w:space="0" w:color="auto"/>
                  </w:divBdr>
                </w:div>
              </w:divsChild>
            </w:div>
            <w:div w:id="1455445162">
              <w:marLeft w:val="0"/>
              <w:marRight w:val="0"/>
              <w:marTop w:val="0"/>
              <w:marBottom w:val="0"/>
              <w:divBdr>
                <w:top w:val="none" w:sz="0" w:space="0" w:color="auto"/>
                <w:left w:val="none" w:sz="0" w:space="0" w:color="auto"/>
                <w:bottom w:val="none" w:sz="0" w:space="0" w:color="auto"/>
                <w:right w:val="none" w:sz="0" w:space="0" w:color="auto"/>
              </w:divBdr>
              <w:divsChild>
                <w:div w:id="1306662959">
                  <w:marLeft w:val="600"/>
                  <w:marRight w:val="96"/>
                  <w:marTop w:val="0"/>
                  <w:marBottom w:val="0"/>
                  <w:divBdr>
                    <w:top w:val="none" w:sz="0" w:space="0" w:color="auto"/>
                    <w:left w:val="none" w:sz="0" w:space="0" w:color="auto"/>
                    <w:bottom w:val="none" w:sz="0" w:space="0" w:color="auto"/>
                    <w:right w:val="none" w:sz="0" w:space="0" w:color="auto"/>
                  </w:divBdr>
                </w:div>
              </w:divsChild>
            </w:div>
            <w:div w:id="951134367">
              <w:marLeft w:val="0"/>
              <w:marRight w:val="0"/>
              <w:marTop w:val="0"/>
              <w:marBottom w:val="0"/>
              <w:divBdr>
                <w:top w:val="none" w:sz="0" w:space="0" w:color="auto"/>
                <w:left w:val="none" w:sz="0" w:space="0" w:color="auto"/>
                <w:bottom w:val="none" w:sz="0" w:space="0" w:color="auto"/>
                <w:right w:val="none" w:sz="0" w:space="0" w:color="auto"/>
              </w:divBdr>
              <w:divsChild>
                <w:div w:id="573010276">
                  <w:marLeft w:val="600"/>
                  <w:marRight w:val="96"/>
                  <w:marTop w:val="0"/>
                  <w:marBottom w:val="0"/>
                  <w:divBdr>
                    <w:top w:val="none" w:sz="0" w:space="0" w:color="auto"/>
                    <w:left w:val="none" w:sz="0" w:space="0" w:color="auto"/>
                    <w:bottom w:val="none" w:sz="0" w:space="0" w:color="auto"/>
                    <w:right w:val="none" w:sz="0" w:space="0" w:color="auto"/>
                  </w:divBdr>
                </w:div>
              </w:divsChild>
            </w:div>
            <w:div w:id="1417363954">
              <w:marLeft w:val="0"/>
              <w:marRight w:val="0"/>
              <w:marTop w:val="0"/>
              <w:marBottom w:val="0"/>
              <w:divBdr>
                <w:top w:val="none" w:sz="0" w:space="0" w:color="auto"/>
                <w:left w:val="none" w:sz="0" w:space="0" w:color="auto"/>
                <w:bottom w:val="none" w:sz="0" w:space="0" w:color="auto"/>
                <w:right w:val="none" w:sz="0" w:space="0" w:color="auto"/>
              </w:divBdr>
              <w:divsChild>
                <w:div w:id="2112696169">
                  <w:marLeft w:val="600"/>
                  <w:marRight w:val="96"/>
                  <w:marTop w:val="0"/>
                  <w:marBottom w:val="0"/>
                  <w:divBdr>
                    <w:top w:val="none" w:sz="0" w:space="0" w:color="auto"/>
                    <w:left w:val="none" w:sz="0" w:space="0" w:color="auto"/>
                    <w:bottom w:val="none" w:sz="0" w:space="0" w:color="auto"/>
                    <w:right w:val="none" w:sz="0" w:space="0" w:color="auto"/>
                  </w:divBdr>
                </w:div>
              </w:divsChild>
            </w:div>
            <w:div w:id="1996716891">
              <w:marLeft w:val="0"/>
              <w:marRight w:val="0"/>
              <w:marTop w:val="0"/>
              <w:marBottom w:val="0"/>
              <w:divBdr>
                <w:top w:val="none" w:sz="0" w:space="0" w:color="auto"/>
                <w:left w:val="none" w:sz="0" w:space="0" w:color="auto"/>
                <w:bottom w:val="none" w:sz="0" w:space="0" w:color="auto"/>
                <w:right w:val="none" w:sz="0" w:space="0" w:color="auto"/>
              </w:divBdr>
              <w:divsChild>
                <w:div w:id="139420789">
                  <w:marLeft w:val="600"/>
                  <w:marRight w:val="96"/>
                  <w:marTop w:val="0"/>
                  <w:marBottom w:val="0"/>
                  <w:divBdr>
                    <w:top w:val="none" w:sz="0" w:space="0" w:color="auto"/>
                    <w:left w:val="none" w:sz="0" w:space="0" w:color="auto"/>
                    <w:bottom w:val="none" w:sz="0" w:space="0" w:color="auto"/>
                    <w:right w:val="none" w:sz="0" w:space="0" w:color="auto"/>
                  </w:divBdr>
                </w:div>
              </w:divsChild>
            </w:div>
            <w:div w:id="1746688303">
              <w:marLeft w:val="0"/>
              <w:marRight w:val="0"/>
              <w:marTop w:val="0"/>
              <w:marBottom w:val="0"/>
              <w:divBdr>
                <w:top w:val="none" w:sz="0" w:space="0" w:color="auto"/>
                <w:left w:val="none" w:sz="0" w:space="0" w:color="auto"/>
                <w:bottom w:val="none" w:sz="0" w:space="0" w:color="auto"/>
                <w:right w:val="none" w:sz="0" w:space="0" w:color="auto"/>
              </w:divBdr>
              <w:divsChild>
                <w:div w:id="1841461239">
                  <w:marLeft w:val="600"/>
                  <w:marRight w:val="96"/>
                  <w:marTop w:val="0"/>
                  <w:marBottom w:val="0"/>
                  <w:divBdr>
                    <w:top w:val="none" w:sz="0" w:space="0" w:color="auto"/>
                    <w:left w:val="none" w:sz="0" w:space="0" w:color="auto"/>
                    <w:bottom w:val="none" w:sz="0" w:space="0" w:color="auto"/>
                    <w:right w:val="none" w:sz="0" w:space="0" w:color="auto"/>
                  </w:divBdr>
                </w:div>
              </w:divsChild>
            </w:div>
            <w:div w:id="901016354">
              <w:marLeft w:val="0"/>
              <w:marRight w:val="0"/>
              <w:marTop w:val="0"/>
              <w:marBottom w:val="0"/>
              <w:divBdr>
                <w:top w:val="none" w:sz="0" w:space="0" w:color="auto"/>
                <w:left w:val="none" w:sz="0" w:space="0" w:color="auto"/>
                <w:bottom w:val="none" w:sz="0" w:space="0" w:color="auto"/>
                <w:right w:val="none" w:sz="0" w:space="0" w:color="auto"/>
              </w:divBdr>
              <w:divsChild>
                <w:div w:id="2133014740">
                  <w:marLeft w:val="600"/>
                  <w:marRight w:val="96"/>
                  <w:marTop w:val="0"/>
                  <w:marBottom w:val="0"/>
                  <w:divBdr>
                    <w:top w:val="none" w:sz="0" w:space="0" w:color="auto"/>
                    <w:left w:val="none" w:sz="0" w:space="0" w:color="auto"/>
                    <w:bottom w:val="none" w:sz="0" w:space="0" w:color="auto"/>
                    <w:right w:val="none" w:sz="0" w:space="0" w:color="auto"/>
                  </w:divBdr>
                </w:div>
              </w:divsChild>
            </w:div>
            <w:div w:id="1460033461">
              <w:marLeft w:val="0"/>
              <w:marRight w:val="0"/>
              <w:marTop w:val="0"/>
              <w:marBottom w:val="0"/>
              <w:divBdr>
                <w:top w:val="none" w:sz="0" w:space="0" w:color="auto"/>
                <w:left w:val="none" w:sz="0" w:space="0" w:color="auto"/>
                <w:bottom w:val="none" w:sz="0" w:space="0" w:color="auto"/>
                <w:right w:val="none" w:sz="0" w:space="0" w:color="auto"/>
              </w:divBdr>
              <w:divsChild>
                <w:div w:id="382143367">
                  <w:marLeft w:val="600"/>
                  <w:marRight w:val="96"/>
                  <w:marTop w:val="0"/>
                  <w:marBottom w:val="0"/>
                  <w:divBdr>
                    <w:top w:val="none" w:sz="0" w:space="0" w:color="auto"/>
                    <w:left w:val="none" w:sz="0" w:space="0" w:color="auto"/>
                    <w:bottom w:val="none" w:sz="0" w:space="0" w:color="auto"/>
                    <w:right w:val="none" w:sz="0" w:space="0" w:color="auto"/>
                  </w:divBdr>
                </w:div>
              </w:divsChild>
            </w:div>
            <w:div w:id="1876456732">
              <w:marLeft w:val="0"/>
              <w:marRight w:val="0"/>
              <w:marTop w:val="0"/>
              <w:marBottom w:val="0"/>
              <w:divBdr>
                <w:top w:val="none" w:sz="0" w:space="0" w:color="auto"/>
                <w:left w:val="none" w:sz="0" w:space="0" w:color="auto"/>
                <w:bottom w:val="none" w:sz="0" w:space="0" w:color="auto"/>
                <w:right w:val="none" w:sz="0" w:space="0" w:color="auto"/>
              </w:divBdr>
              <w:divsChild>
                <w:div w:id="1709987135">
                  <w:marLeft w:val="600"/>
                  <w:marRight w:val="96"/>
                  <w:marTop w:val="0"/>
                  <w:marBottom w:val="0"/>
                  <w:divBdr>
                    <w:top w:val="none" w:sz="0" w:space="0" w:color="auto"/>
                    <w:left w:val="none" w:sz="0" w:space="0" w:color="auto"/>
                    <w:bottom w:val="none" w:sz="0" w:space="0" w:color="auto"/>
                    <w:right w:val="none" w:sz="0" w:space="0" w:color="auto"/>
                  </w:divBdr>
                </w:div>
              </w:divsChild>
            </w:div>
            <w:div w:id="527066922">
              <w:marLeft w:val="0"/>
              <w:marRight w:val="0"/>
              <w:marTop w:val="0"/>
              <w:marBottom w:val="0"/>
              <w:divBdr>
                <w:top w:val="none" w:sz="0" w:space="0" w:color="auto"/>
                <w:left w:val="none" w:sz="0" w:space="0" w:color="auto"/>
                <w:bottom w:val="none" w:sz="0" w:space="0" w:color="auto"/>
                <w:right w:val="none" w:sz="0" w:space="0" w:color="auto"/>
              </w:divBdr>
              <w:divsChild>
                <w:div w:id="1486819370">
                  <w:marLeft w:val="600"/>
                  <w:marRight w:val="96"/>
                  <w:marTop w:val="0"/>
                  <w:marBottom w:val="0"/>
                  <w:divBdr>
                    <w:top w:val="none" w:sz="0" w:space="0" w:color="auto"/>
                    <w:left w:val="none" w:sz="0" w:space="0" w:color="auto"/>
                    <w:bottom w:val="none" w:sz="0" w:space="0" w:color="auto"/>
                    <w:right w:val="none" w:sz="0" w:space="0" w:color="auto"/>
                  </w:divBdr>
                </w:div>
              </w:divsChild>
            </w:div>
            <w:div w:id="1950550958">
              <w:marLeft w:val="0"/>
              <w:marRight w:val="0"/>
              <w:marTop w:val="0"/>
              <w:marBottom w:val="0"/>
              <w:divBdr>
                <w:top w:val="none" w:sz="0" w:space="0" w:color="auto"/>
                <w:left w:val="none" w:sz="0" w:space="0" w:color="auto"/>
                <w:bottom w:val="none" w:sz="0" w:space="0" w:color="auto"/>
                <w:right w:val="none" w:sz="0" w:space="0" w:color="auto"/>
              </w:divBdr>
              <w:divsChild>
                <w:div w:id="1563254403">
                  <w:marLeft w:val="600"/>
                  <w:marRight w:val="96"/>
                  <w:marTop w:val="0"/>
                  <w:marBottom w:val="0"/>
                  <w:divBdr>
                    <w:top w:val="none" w:sz="0" w:space="0" w:color="auto"/>
                    <w:left w:val="none" w:sz="0" w:space="0" w:color="auto"/>
                    <w:bottom w:val="none" w:sz="0" w:space="0" w:color="auto"/>
                    <w:right w:val="none" w:sz="0" w:space="0" w:color="auto"/>
                  </w:divBdr>
                </w:div>
              </w:divsChild>
            </w:div>
            <w:div w:id="1124421034">
              <w:marLeft w:val="0"/>
              <w:marRight w:val="0"/>
              <w:marTop w:val="0"/>
              <w:marBottom w:val="0"/>
              <w:divBdr>
                <w:top w:val="none" w:sz="0" w:space="0" w:color="auto"/>
                <w:left w:val="none" w:sz="0" w:space="0" w:color="auto"/>
                <w:bottom w:val="none" w:sz="0" w:space="0" w:color="auto"/>
                <w:right w:val="none" w:sz="0" w:space="0" w:color="auto"/>
              </w:divBdr>
              <w:divsChild>
                <w:div w:id="463734736">
                  <w:marLeft w:val="600"/>
                  <w:marRight w:val="96"/>
                  <w:marTop w:val="0"/>
                  <w:marBottom w:val="0"/>
                  <w:divBdr>
                    <w:top w:val="none" w:sz="0" w:space="0" w:color="auto"/>
                    <w:left w:val="none" w:sz="0" w:space="0" w:color="auto"/>
                    <w:bottom w:val="none" w:sz="0" w:space="0" w:color="auto"/>
                    <w:right w:val="none" w:sz="0" w:space="0" w:color="auto"/>
                  </w:divBdr>
                </w:div>
              </w:divsChild>
            </w:div>
            <w:div w:id="1705129095">
              <w:marLeft w:val="0"/>
              <w:marRight w:val="0"/>
              <w:marTop w:val="0"/>
              <w:marBottom w:val="0"/>
              <w:divBdr>
                <w:top w:val="none" w:sz="0" w:space="0" w:color="auto"/>
                <w:left w:val="none" w:sz="0" w:space="0" w:color="auto"/>
                <w:bottom w:val="none" w:sz="0" w:space="0" w:color="auto"/>
                <w:right w:val="none" w:sz="0" w:space="0" w:color="auto"/>
              </w:divBdr>
              <w:divsChild>
                <w:div w:id="187105923">
                  <w:marLeft w:val="600"/>
                  <w:marRight w:val="96"/>
                  <w:marTop w:val="0"/>
                  <w:marBottom w:val="0"/>
                  <w:divBdr>
                    <w:top w:val="none" w:sz="0" w:space="0" w:color="auto"/>
                    <w:left w:val="none" w:sz="0" w:space="0" w:color="auto"/>
                    <w:bottom w:val="none" w:sz="0" w:space="0" w:color="auto"/>
                    <w:right w:val="none" w:sz="0" w:space="0" w:color="auto"/>
                  </w:divBdr>
                </w:div>
              </w:divsChild>
            </w:div>
            <w:div w:id="1160467401">
              <w:marLeft w:val="0"/>
              <w:marRight w:val="0"/>
              <w:marTop w:val="0"/>
              <w:marBottom w:val="0"/>
              <w:divBdr>
                <w:top w:val="none" w:sz="0" w:space="0" w:color="auto"/>
                <w:left w:val="none" w:sz="0" w:space="0" w:color="auto"/>
                <w:bottom w:val="none" w:sz="0" w:space="0" w:color="auto"/>
                <w:right w:val="none" w:sz="0" w:space="0" w:color="auto"/>
              </w:divBdr>
              <w:divsChild>
                <w:div w:id="867569260">
                  <w:marLeft w:val="600"/>
                  <w:marRight w:val="96"/>
                  <w:marTop w:val="0"/>
                  <w:marBottom w:val="0"/>
                  <w:divBdr>
                    <w:top w:val="none" w:sz="0" w:space="0" w:color="auto"/>
                    <w:left w:val="none" w:sz="0" w:space="0" w:color="auto"/>
                    <w:bottom w:val="none" w:sz="0" w:space="0" w:color="auto"/>
                    <w:right w:val="none" w:sz="0" w:space="0" w:color="auto"/>
                  </w:divBdr>
                </w:div>
              </w:divsChild>
            </w:div>
            <w:div w:id="1829977613">
              <w:marLeft w:val="0"/>
              <w:marRight w:val="0"/>
              <w:marTop w:val="0"/>
              <w:marBottom w:val="0"/>
              <w:divBdr>
                <w:top w:val="none" w:sz="0" w:space="0" w:color="auto"/>
                <w:left w:val="none" w:sz="0" w:space="0" w:color="auto"/>
                <w:bottom w:val="none" w:sz="0" w:space="0" w:color="auto"/>
                <w:right w:val="none" w:sz="0" w:space="0" w:color="auto"/>
              </w:divBdr>
              <w:divsChild>
                <w:div w:id="1572352607">
                  <w:marLeft w:val="600"/>
                  <w:marRight w:val="96"/>
                  <w:marTop w:val="0"/>
                  <w:marBottom w:val="0"/>
                  <w:divBdr>
                    <w:top w:val="none" w:sz="0" w:space="0" w:color="auto"/>
                    <w:left w:val="none" w:sz="0" w:space="0" w:color="auto"/>
                    <w:bottom w:val="none" w:sz="0" w:space="0" w:color="auto"/>
                    <w:right w:val="none" w:sz="0" w:space="0" w:color="auto"/>
                  </w:divBdr>
                </w:div>
              </w:divsChild>
            </w:div>
            <w:div w:id="403452366">
              <w:marLeft w:val="0"/>
              <w:marRight w:val="0"/>
              <w:marTop w:val="0"/>
              <w:marBottom w:val="0"/>
              <w:divBdr>
                <w:top w:val="none" w:sz="0" w:space="0" w:color="auto"/>
                <w:left w:val="none" w:sz="0" w:space="0" w:color="auto"/>
                <w:bottom w:val="none" w:sz="0" w:space="0" w:color="auto"/>
                <w:right w:val="none" w:sz="0" w:space="0" w:color="auto"/>
              </w:divBdr>
              <w:divsChild>
                <w:div w:id="90011570">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925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ture.com/articles/s41577-022-00821-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1320</TotalTime>
  <Pages>29</Pages>
  <Words>79921</Words>
  <Characters>455556</Characters>
  <Application>Microsoft Office Word</Application>
  <DocSecurity>0</DocSecurity>
  <Lines>3796</Lines>
  <Paragraphs>1068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 Victoria H</dc:creator>
  <cp:keywords/>
  <dc:description/>
  <cp:lastModifiedBy>Male, Victoria H</cp:lastModifiedBy>
  <cp:revision>116</cp:revision>
  <dcterms:created xsi:type="dcterms:W3CDTF">2025-02-01T13:52:00Z</dcterms:created>
  <dcterms:modified xsi:type="dcterms:W3CDTF">2025-04-25T08:50:00Z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id="2xJ18Dfz"/&gt;&lt;style id="http://www.zotero.org/styles/nature" hasBibliography="1" bibliographyStyleHasBeenSet="1"/&gt;&lt;prefs&gt;&lt;pref name="fieldType" value="Field"/&gt;&lt;pref name="automaticJournalAbbreviati</vt:lpwstr>
  </property>
  <property fmtid="{D5CDD505-2E9C-101B-9397-08002B2CF9AE}" pid="3" name="ZOTERO_PREF_2">
    <vt:lpwstr>ons" value="true"/&gt;&lt;/prefs&gt;&lt;/data&gt;</vt:lpwstr>
  </property>
</Properties>
</file>