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3220A5"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rPr>
      </w:pPr>
      <w:r w:rsidRPr="00263445">
        <w:rPr>
          <w:rFonts w:asciiTheme="majorHAnsi" w:hAnsiTheme="majorHAnsi" w:cs="Calibri"/>
          <w:b/>
          <w:color w:val="323130"/>
          <w:bdr w:val="none" w:sz="0" w:space="0" w:color="auto" w:frame="1"/>
        </w:rPr>
        <w:t>Updates in diagnosis and management of pre-eclampsia in women with chronic kidney disease</w:t>
      </w:r>
    </w:p>
    <w:p w14:paraId="1F1B514E"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rPr>
      </w:pPr>
    </w:p>
    <w:p w14:paraId="760ADE72"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vertAlign w:val="superscript"/>
        </w:rPr>
      </w:pPr>
      <w:r w:rsidRPr="00263445">
        <w:rPr>
          <w:rFonts w:asciiTheme="majorHAnsi" w:hAnsiTheme="majorHAnsi" w:cs="Calibri"/>
          <w:b/>
          <w:color w:val="323130"/>
          <w:bdr w:val="none" w:sz="0" w:space="0" w:color="auto" w:frame="1"/>
        </w:rPr>
        <w:t xml:space="preserve">Kate Wiles </w:t>
      </w:r>
      <w:r w:rsidRPr="00263445">
        <w:rPr>
          <w:rFonts w:asciiTheme="majorHAnsi" w:hAnsiTheme="majorHAnsi" w:cs="Calibri"/>
          <w:b/>
          <w:color w:val="323130"/>
          <w:bdr w:val="none" w:sz="0" w:space="0" w:color="auto" w:frame="1"/>
          <w:vertAlign w:val="superscript"/>
        </w:rPr>
        <w:t>1,2</w:t>
      </w:r>
    </w:p>
    <w:p w14:paraId="1A04B5B3"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vertAlign w:val="superscript"/>
        </w:rPr>
      </w:pPr>
      <w:r w:rsidRPr="00263445">
        <w:rPr>
          <w:rFonts w:asciiTheme="majorHAnsi" w:hAnsiTheme="majorHAnsi" w:cs="Calibri"/>
          <w:b/>
          <w:color w:val="323130"/>
          <w:bdr w:val="none" w:sz="0" w:space="0" w:color="auto" w:frame="1"/>
        </w:rPr>
        <w:t xml:space="preserve">Lucy Chappell </w:t>
      </w:r>
      <w:r w:rsidRPr="00263445">
        <w:rPr>
          <w:rFonts w:asciiTheme="majorHAnsi" w:hAnsiTheme="majorHAnsi" w:cs="Calibri"/>
          <w:b/>
          <w:color w:val="323130"/>
          <w:bdr w:val="none" w:sz="0" w:space="0" w:color="auto" w:frame="1"/>
          <w:vertAlign w:val="superscript"/>
        </w:rPr>
        <w:t>1,3</w:t>
      </w:r>
    </w:p>
    <w:p w14:paraId="41BB584A"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rPr>
      </w:pPr>
      <w:r w:rsidRPr="00263445">
        <w:rPr>
          <w:rFonts w:asciiTheme="majorHAnsi" w:hAnsiTheme="majorHAnsi" w:cs="Calibri"/>
          <w:b/>
          <w:color w:val="323130"/>
          <w:bdr w:val="none" w:sz="0" w:space="0" w:color="auto" w:frame="1"/>
        </w:rPr>
        <w:t xml:space="preserve">Liz </w:t>
      </w:r>
      <w:proofErr w:type="spellStart"/>
      <w:r w:rsidRPr="00263445">
        <w:rPr>
          <w:rFonts w:asciiTheme="majorHAnsi" w:hAnsiTheme="majorHAnsi" w:cs="Calibri"/>
          <w:b/>
          <w:color w:val="323130"/>
          <w:bdr w:val="none" w:sz="0" w:space="0" w:color="auto" w:frame="1"/>
        </w:rPr>
        <w:t>Lightstone</w:t>
      </w:r>
      <w:proofErr w:type="spellEnd"/>
      <w:r w:rsidRPr="00263445">
        <w:rPr>
          <w:rFonts w:asciiTheme="majorHAnsi" w:hAnsiTheme="majorHAnsi" w:cs="Calibri"/>
          <w:b/>
          <w:color w:val="323130"/>
          <w:bdr w:val="none" w:sz="0" w:space="0" w:color="auto" w:frame="1"/>
        </w:rPr>
        <w:t xml:space="preserve"> </w:t>
      </w:r>
      <w:r w:rsidRPr="00263445">
        <w:rPr>
          <w:rFonts w:asciiTheme="majorHAnsi" w:hAnsiTheme="majorHAnsi" w:cs="Calibri"/>
          <w:b/>
          <w:color w:val="323130"/>
          <w:bdr w:val="none" w:sz="0" w:space="0" w:color="auto" w:frame="1"/>
          <w:vertAlign w:val="superscript"/>
        </w:rPr>
        <w:t>4</w:t>
      </w:r>
    </w:p>
    <w:p w14:paraId="4B36D491"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r w:rsidRPr="00263445">
        <w:rPr>
          <w:rFonts w:asciiTheme="majorHAnsi" w:hAnsiTheme="majorHAnsi" w:cs="Calibri"/>
          <w:b/>
          <w:color w:val="323130"/>
          <w:bdr w:val="none" w:sz="0" w:space="0" w:color="auto" w:frame="1"/>
        </w:rPr>
        <w:t xml:space="preserve">Kate Bramham </w:t>
      </w:r>
      <w:r w:rsidRPr="00263445">
        <w:rPr>
          <w:rFonts w:asciiTheme="majorHAnsi" w:hAnsiTheme="majorHAnsi" w:cs="Calibri"/>
          <w:b/>
          <w:color w:val="323130"/>
          <w:bdr w:val="none" w:sz="0" w:space="0" w:color="auto" w:frame="1"/>
          <w:vertAlign w:val="superscript"/>
        </w:rPr>
        <w:t xml:space="preserve">1,5 </w:t>
      </w:r>
      <w:r w:rsidRPr="00263445">
        <w:rPr>
          <w:rFonts w:asciiTheme="majorHAnsi" w:hAnsiTheme="majorHAnsi" w:cs="Calibri"/>
          <w:color w:val="323130"/>
          <w:bdr w:val="none" w:sz="0" w:space="0" w:color="auto" w:frame="1"/>
        </w:rPr>
        <w:t>(kate.bramham@kcl.ac.uk, corresponding author)</w:t>
      </w:r>
    </w:p>
    <w:p w14:paraId="118595AC"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vertAlign w:val="superscript"/>
        </w:rPr>
      </w:pPr>
    </w:p>
    <w:p w14:paraId="4CCB968A" w14:textId="77777777" w:rsidR="00AE053E" w:rsidRPr="00263445" w:rsidRDefault="00AE053E" w:rsidP="00AE053E">
      <w:pPr>
        <w:pStyle w:val="ListParagraph"/>
        <w:numPr>
          <w:ilvl w:val="0"/>
          <w:numId w:val="14"/>
        </w:numPr>
        <w:spacing w:line="360" w:lineRule="auto"/>
        <w:textAlignment w:val="baseline"/>
        <w:rPr>
          <w:rFonts w:asciiTheme="majorHAnsi" w:hAnsiTheme="majorHAnsi" w:cs="Calibri"/>
          <w:color w:val="323130"/>
          <w:bdr w:val="none" w:sz="0" w:space="0" w:color="auto" w:frame="1"/>
        </w:rPr>
      </w:pPr>
      <w:r w:rsidRPr="00263445">
        <w:rPr>
          <w:rFonts w:asciiTheme="majorHAnsi" w:hAnsiTheme="majorHAnsi" w:cs="Calibri"/>
          <w:color w:val="323130"/>
          <w:bdr w:val="none" w:sz="0" w:space="0" w:color="auto" w:frame="1"/>
        </w:rPr>
        <w:t>Division of Women and Children’s Health, King’s College London</w:t>
      </w:r>
    </w:p>
    <w:p w14:paraId="395B08AC" w14:textId="77777777" w:rsidR="00AE053E" w:rsidRPr="00263445" w:rsidRDefault="00AE053E" w:rsidP="00AE053E">
      <w:pPr>
        <w:pStyle w:val="ListParagraph"/>
        <w:numPr>
          <w:ilvl w:val="0"/>
          <w:numId w:val="14"/>
        </w:numPr>
        <w:spacing w:line="360" w:lineRule="auto"/>
        <w:textAlignment w:val="baseline"/>
        <w:rPr>
          <w:rFonts w:asciiTheme="majorHAnsi" w:hAnsiTheme="majorHAnsi" w:cs="Calibri"/>
          <w:color w:val="323130"/>
          <w:bdr w:val="none" w:sz="0" w:space="0" w:color="auto" w:frame="1"/>
        </w:rPr>
      </w:pPr>
      <w:r w:rsidRPr="00263445">
        <w:rPr>
          <w:rFonts w:asciiTheme="majorHAnsi" w:hAnsiTheme="majorHAnsi" w:cs="Calibri"/>
          <w:color w:val="323130"/>
          <w:bdr w:val="none" w:sz="0" w:space="0" w:color="auto" w:frame="1"/>
        </w:rPr>
        <w:t xml:space="preserve">Royal London Hospital, </w:t>
      </w:r>
      <w:proofErr w:type="spellStart"/>
      <w:r w:rsidRPr="00263445">
        <w:rPr>
          <w:rFonts w:asciiTheme="majorHAnsi" w:hAnsiTheme="majorHAnsi" w:cs="Calibri"/>
          <w:color w:val="323130"/>
          <w:bdr w:val="none" w:sz="0" w:space="0" w:color="auto" w:frame="1"/>
        </w:rPr>
        <w:t>Barts</w:t>
      </w:r>
      <w:proofErr w:type="spellEnd"/>
      <w:r w:rsidRPr="00263445">
        <w:rPr>
          <w:rFonts w:asciiTheme="majorHAnsi" w:hAnsiTheme="majorHAnsi" w:cs="Calibri"/>
          <w:color w:val="323130"/>
          <w:bdr w:val="none" w:sz="0" w:space="0" w:color="auto" w:frame="1"/>
        </w:rPr>
        <w:t xml:space="preserve"> Health NHS Trust, London</w:t>
      </w:r>
    </w:p>
    <w:p w14:paraId="74686E78" w14:textId="77777777" w:rsidR="00AE053E" w:rsidRPr="00263445" w:rsidRDefault="00AE053E" w:rsidP="00AE053E">
      <w:pPr>
        <w:pStyle w:val="ListParagraph"/>
        <w:numPr>
          <w:ilvl w:val="0"/>
          <w:numId w:val="14"/>
        </w:numPr>
        <w:spacing w:line="360" w:lineRule="auto"/>
        <w:textAlignment w:val="baseline"/>
        <w:rPr>
          <w:rFonts w:asciiTheme="majorHAnsi" w:hAnsiTheme="majorHAnsi" w:cs="Calibri"/>
          <w:color w:val="323130"/>
          <w:bdr w:val="none" w:sz="0" w:space="0" w:color="auto" w:frame="1"/>
        </w:rPr>
      </w:pPr>
      <w:r w:rsidRPr="00263445">
        <w:rPr>
          <w:rFonts w:asciiTheme="majorHAnsi" w:hAnsiTheme="majorHAnsi" w:cs="Calibri"/>
          <w:color w:val="323130"/>
          <w:bdr w:val="none" w:sz="0" w:space="0" w:color="auto" w:frame="1"/>
        </w:rPr>
        <w:t xml:space="preserve">Guy’s and St. Thomas’ NHS Foundation Trust, London </w:t>
      </w:r>
    </w:p>
    <w:p w14:paraId="6562F671" w14:textId="77777777" w:rsidR="00AE053E" w:rsidRPr="00263445" w:rsidRDefault="00AE053E" w:rsidP="00AE053E">
      <w:pPr>
        <w:pStyle w:val="ListParagraph"/>
        <w:numPr>
          <w:ilvl w:val="0"/>
          <w:numId w:val="14"/>
        </w:numPr>
        <w:spacing w:line="360" w:lineRule="auto"/>
        <w:textAlignment w:val="baseline"/>
        <w:rPr>
          <w:rFonts w:asciiTheme="majorHAnsi" w:hAnsiTheme="majorHAnsi" w:cs="Calibri"/>
          <w:color w:val="323130"/>
          <w:bdr w:val="none" w:sz="0" w:space="0" w:color="auto" w:frame="1"/>
        </w:rPr>
      </w:pPr>
      <w:r w:rsidRPr="00263445">
        <w:rPr>
          <w:rFonts w:asciiTheme="majorHAnsi" w:hAnsiTheme="majorHAnsi" w:cs="Calibri"/>
          <w:color w:val="323130"/>
          <w:bdr w:val="none" w:sz="0" w:space="0" w:color="auto" w:frame="1"/>
        </w:rPr>
        <w:t>Centre for Inflammatory Disease, Faculty of Medicine, Imperial College London</w:t>
      </w:r>
    </w:p>
    <w:p w14:paraId="209528D7" w14:textId="77777777" w:rsidR="00AE053E" w:rsidRPr="00263445" w:rsidRDefault="00AE053E" w:rsidP="00AE053E">
      <w:pPr>
        <w:pStyle w:val="ListParagraph"/>
        <w:numPr>
          <w:ilvl w:val="0"/>
          <w:numId w:val="14"/>
        </w:numPr>
        <w:spacing w:line="360" w:lineRule="auto"/>
        <w:textAlignment w:val="baseline"/>
        <w:rPr>
          <w:rFonts w:asciiTheme="majorHAnsi" w:hAnsiTheme="majorHAnsi" w:cs="Calibri"/>
          <w:color w:val="323130"/>
          <w:bdr w:val="none" w:sz="0" w:space="0" w:color="auto" w:frame="1"/>
        </w:rPr>
      </w:pPr>
      <w:r w:rsidRPr="00263445">
        <w:rPr>
          <w:rFonts w:asciiTheme="majorHAnsi" w:hAnsiTheme="majorHAnsi" w:cs="Calibri"/>
          <w:color w:val="323130"/>
          <w:bdr w:val="none" w:sz="0" w:space="0" w:color="auto" w:frame="1"/>
        </w:rPr>
        <w:t>King’s Kidney Care, King’s College Hospital NHS Foundation Trust</w:t>
      </w:r>
    </w:p>
    <w:p w14:paraId="154C8724"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p>
    <w:p w14:paraId="33E92B0C"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rPr>
      </w:pPr>
      <w:r w:rsidRPr="00263445">
        <w:rPr>
          <w:rFonts w:asciiTheme="majorHAnsi" w:hAnsiTheme="majorHAnsi" w:cs="Calibri"/>
          <w:b/>
          <w:color w:val="323130"/>
          <w:bdr w:val="none" w:sz="0" w:space="0" w:color="auto" w:frame="1"/>
        </w:rPr>
        <w:t xml:space="preserve">Key Words: </w:t>
      </w:r>
    </w:p>
    <w:p w14:paraId="13254354"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proofErr w:type="gramStart"/>
      <w:r w:rsidRPr="00263445">
        <w:rPr>
          <w:rFonts w:asciiTheme="majorHAnsi" w:hAnsiTheme="majorHAnsi" w:cs="Calibri"/>
          <w:color w:val="323130"/>
          <w:bdr w:val="none" w:sz="0" w:space="0" w:color="auto" w:frame="1"/>
        </w:rPr>
        <w:t>pre</w:t>
      </w:r>
      <w:proofErr w:type="gramEnd"/>
      <w:r w:rsidRPr="00263445">
        <w:rPr>
          <w:rFonts w:asciiTheme="majorHAnsi" w:hAnsiTheme="majorHAnsi" w:cs="Calibri"/>
          <w:color w:val="323130"/>
          <w:bdr w:val="none" w:sz="0" w:space="0" w:color="auto" w:frame="1"/>
        </w:rPr>
        <w:t>-eclampsia</w:t>
      </w:r>
    </w:p>
    <w:p w14:paraId="1794AA6F"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proofErr w:type="gramStart"/>
      <w:r w:rsidRPr="00263445">
        <w:rPr>
          <w:rFonts w:asciiTheme="majorHAnsi" w:hAnsiTheme="majorHAnsi" w:cs="Calibri"/>
          <w:color w:val="323130"/>
          <w:bdr w:val="none" w:sz="0" w:space="0" w:color="auto" w:frame="1"/>
        </w:rPr>
        <w:t>renal</w:t>
      </w:r>
      <w:proofErr w:type="gramEnd"/>
      <w:r w:rsidRPr="00263445">
        <w:rPr>
          <w:rFonts w:asciiTheme="majorHAnsi" w:hAnsiTheme="majorHAnsi" w:cs="Calibri"/>
          <w:color w:val="323130"/>
          <w:bdr w:val="none" w:sz="0" w:space="0" w:color="auto" w:frame="1"/>
        </w:rPr>
        <w:t xml:space="preserve"> insufficiency, chronic</w:t>
      </w:r>
    </w:p>
    <w:p w14:paraId="3D5B31A7"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proofErr w:type="gramStart"/>
      <w:r w:rsidRPr="00263445">
        <w:rPr>
          <w:rFonts w:asciiTheme="majorHAnsi" w:hAnsiTheme="majorHAnsi" w:cs="Calibri"/>
          <w:color w:val="323130"/>
          <w:bdr w:val="none" w:sz="0" w:space="0" w:color="auto" w:frame="1"/>
        </w:rPr>
        <w:t>kidney</w:t>
      </w:r>
      <w:proofErr w:type="gramEnd"/>
      <w:r w:rsidRPr="00263445">
        <w:rPr>
          <w:rFonts w:asciiTheme="majorHAnsi" w:hAnsiTheme="majorHAnsi" w:cs="Calibri"/>
          <w:color w:val="323130"/>
          <w:bdr w:val="none" w:sz="0" w:space="0" w:color="auto" w:frame="1"/>
        </w:rPr>
        <w:t xml:space="preserve"> glomerulus</w:t>
      </w:r>
    </w:p>
    <w:p w14:paraId="6E8C9886"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proofErr w:type="gramStart"/>
      <w:r w:rsidRPr="00263445">
        <w:rPr>
          <w:rFonts w:asciiTheme="majorHAnsi" w:hAnsiTheme="majorHAnsi" w:cs="Calibri"/>
          <w:color w:val="323130"/>
          <w:bdr w:val="none" w:sz="0" w:space="0" w:color="auto" w:frame="1"/>
        </w:rPr>
        <w:t>hypertension</w:t>
      </w:r>
      <w:proofErr w:type="gramEnd"/>
    </w:p>
    <w:p w14:paraId="22C44A1D"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proofErr w:type="gramStart"/>
      <w:r w:rsidRPr="00263445">
        <w:rPr>
          <w:rFonts w:asciiTheme="majorHAnsi" w:hAnsiTheme="majorHAnsi" w:cs="Calibri"/>
          <w:color w:val="323130"/>
          <w:bdr w:val="none" w:sz="0" w:space="0" w:color="auto" w:frame="1"/>
        </w:rPr>
        <w:t>proteinuria</w:t>
      </w:r>
      <w:proofErr w:type="gramEnd"/>
    </w:p>
    <w:p w14:paraId="5F5BF0B5"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rPr>
      </w:pPr>
    </w:p>
    <w:p w14:paraId="652E361B" w14:textId="77777777" w:rsidR="00AE053E" w:rsidRPr="00263445" w:rsidRDefault="00AE053E" w:rsidP="00AE053E">
      <w:pPr>
        <w:spacing w:line="360" w:lineRule="auto"/>
        <w:rPr>
          <w:rFonts w:asciiTheme="majorHAnsi" w:hAnsiTheme="majorHAnsi" w:cs="Calibri"/>
          <w:b/>
          <w:color w:val="323130"/>
          <w:bdr w:val="none" w:sz="0" w:space="0" w:color="auto" w:frame="1"/>
        </w:rPr>
      </w:pPr>
      <w:r w:rsidRPr="00263445">
        <w:rPr>
          <w:rFonts w:asciiTheme="majorHAnsi" w:hAnsiTheme="majorHAnsi" w:cs="Calibri"/>
          <w:b/>
          <w:color w:val="323130"/>
          <w:bdr w:val="none" w:sz="0" w:space="0" w:color="auto" w:frame="1"/>
        </w:rPr>
        <w:br w:type="page"/>
      </w:r>
    </w:p>
    <w:p w14:paraId="38DE884B" w14:textId="77777777" w:rsidR="00AE053E" w:rsidRPr="00263445" w:rsidRDefault="00AE053E" w:rsidP="00AE053E">
      <w:pPr>
        <w:spacing w:line="360" w:lineRule="auto"/>
        <w:textAlignment w:val="baseline"/>
        <w:rPr>
          <w:rFonts w:asciiTheme="majorHAnsi" w:hAnsiTheme="majorHAnsi" w:cs="Calibri"/>
          <w:b/>
          <w:color w:val="323130"/>
          <w:bdr w:val="none" w:sz="0" w:space="0" w:color="auto" w:frame="1"/>
        </w:rPr>
      </w:pPr>
      <w:r w:rsidRPr="00263445">
        <w:rPr>
          <w:rFonts w:asciiTheme="majorHAnsi" w:hAnsiTheme="majorHAnsi" w:cs="Calibri"/>
          <w:b/>
          <w:color w:val="323130"/>
          <w:bdr w:val="none" w:sz="0" w:space="0" w:color="auto" w:frame="1"/>
        </w:rPr>
        <w:lastRenderedPageBreak/>
        <w:t>Abstract</w:t>
      </w:r>
    </w:p>
    <w:p w14:paraId="4C1F80F5" w14:textId="77777777" w:rsidR="00AE053E" w:rsidRPr="00263445" w:rsidRDefault="00AE053E" w:rsidP="00AE053E">
      <w:pPr>
        <w:spacing w:line="360" w:lineRule="auto"/>
        <w:textAlignment w:val="baseline"/>
        <w:rPr>
          <w:rFonts w:asciiTheme="majorHAnsi" w:hAnsiTheme="majorHAnsi" w:cs="Calibri"/>
          <w:color w:val="323130"/>
          <w:bdr w:val="none" w:sz="0" w:space="0" w:color="auto" w:frame="1"/>
        </w:rPr>
      </w:pPr>
    </w:p>
    <w:p w14:paraId="6FA31D6E" w14:textId="0144320E" w:rsidR="00AE053E" w:rsidRPr="00263445" w:rsidRDefault="00AE053E" w:rsidP="00AE053E">
      <w:pPr>
        <w:spacing w:line="360" w:lineRule="auto"/>
        <w:jc w:val="both"/>
        <w:textAlignment w:val="baseline"/>
        <w:rPr>
          <w:rFonts w:asciiTheme="majorHAnsi" w:hAnsiTheme="majorHAnsi" w:cs="Calibri"/>
          <w:color w:val="323130"/>
          <w:bdr w:val="none" w:sz="0" w:space="0" w:color="auto" w:frame="1"/>
        </w:rPr>
      </w:pPr>
      <w:r w:rsidRPr="00263445">
        <w:rPr>
          <w:rFonts w:asciiTheme="majorHAnsi" w:hAnsiTheme="majorHAnsi" w:cs="Calibri"/>
        </w:rPr>
        <w:t xml:space="preserve">It is estimated that women with chronic kidney disease (CKD) are 10 times more likely to develop pre-eclampsia than women without CKD, with pre-eclampsia affecting up to 40% of pregnancies in women with CKD. </w:t>
      </w:r>
      <w:r w:rsidRPr="00263445">
        <w:rPr>
          <w:rFonts w:asciiTheme="majorHAnsi" w:hAnsiTheme="majorHAnsi" w:cs="Calibri"/>
          <w:color w:val="323130"/>
          <w:bdr w:val="none" w:sz="0" w:space="0" w:color="auto" w:frame="1"/>
        </w:rPr>
        <w:t>However, the</w:t>
      </w:r>
      <w:r w:rsidRPr="00263445">
        <w:rPr>
          <w:rFonts w:asciiTheme="majorHAnsi" w:hAnsiTheme="majorHAnsi" w:cs="Calibri"/>
        </w:rPr>
        <w:t xml:space="preserve"> shared phenotype of hypertension, proteinuria and impaired excretory kidney function complicates the diagnosis of superimposed pre-eclampsia in women with chronic kidney disease who have hypertension and/or proteinuria which predate pregnancy. This article outlines the diagnoses of pre-eclampsia and superimposed pre-eclampsia. It discusses the pathogenesis of pre-eclampsia including abnormal placentation and angiogenic dysfunction. The clinical use of angiogenic markers as diagnostic adjuncts for women with suspected pre-eclampsia is described, and the limited data on the use of these markers in wome</w:t>
      </w:r>
      <w:r w:rsidR="000C2F8C">
        <w:rPr>
          <w:rFonts w:asciiTheme="majorHAnsi" w:hAnsiTheme="majorHAnsi" w:cs="Calibri"/>
        </w:rPr>
        <w:t>n with chronic kidney disease are</w:t>
      </w:r>
      <w:r w:rsidRPr="00263445">
        <w:rPr>
          <w:rFonts w:asciiTheme="majorHAnsi" w:hAnsiTheme="majorHAnsi" w:cs="Calibri"/>
        </w:rPr>
        <w:t xml:space="preserve"> presented. The role of </w:t>
      </w:r>
      <w:r w:rsidR="002F166F">
        <w:rPr>
          <w:rFonts w:asciiTheme="majorHAnsi" w:hAnsiTheme="majorHAnsi" w:cs="Calibri"/>
        </w:rPr>
        <w:t>kidney</w:t>
      </w:r>
      <w:r w:rsidRPr="00263445">
        <w:rPr>
          <w:rFonts w:asciiTheme="majorHAnsi" w:hAnsiTheme="majorHAnsi" w:cs="Calibri"/>
        </w:rPr>
        <w:t xml:space="preserve"> biopsy in pregnancy is examined. The management of pre-eclampsia is outlined including important advances and controversies in aspirin prophylaxis, blood pressure treatment targets, and the timing of delivery. </w:t>
      </w:r>
    </w:p>
    <w:p w14:paraId="5FACEA6A" w14:textId="77777777" w:rsidR="00AE053E" w:rsidRPr="00263445" w:rsidRDefault="00AE053E" w:rsidP="00AE053E">
      <w:pPr>
        <w:spacing w:line="360" w:lineRule="auto"/>
        <w:textAlignment w:val="baseline"/>
        <w:rPr>
          <w:rFonts w:asciiTheme="majorHAnsi" w:hAnsiTheme="majorHAnsi" w:cs="Calibri"/>
          <w:b/>
          <w:color w:val="323130"/>
        </w:rPr>
      </w:pPr>
    </w:p>
    <w:p w14:paraId="07A9BC41" w14:textId="77777777" w:rsidR="00AE053E" w:rsidRPr="00263445" w:rsidRDefault="00AE053E" w:rsidP="00AE053E">
      <w:pPr>
        <w:spacing w:line="360" w:lineRule="auto"/>
        <w:textAlignment w:val="baseline"/>
        <w:rPr>
          <w:rFonts w:asciiTheme="majorHAnsi" w:hAnsiTheme="majorHAnsi" w:cs="Calibri"/>
          <w:b/>
          <w:color w:val="323130"/>
        </w:rPr>
      </w:pPr>
      <w:r w:rsidRPr="00263445">
        <w:rPr>
          <w:rFonts w:asciiTheme="majorHAnsi" w:hAnsiTheme="majorHAnsi" w:cs="Calibri"/>
          <w:b/>
          <w:color w:val="323130"/>
        </w:rPr>
        <w:t xml:space="preserve">Definitions of pre-eclampsia </w:t>
      </w:r>
    </w:p>
    <w:p w14:paraId="15A7B1A1" w14:textId="77777777" w:rsidR="00AE053E" w:rsidRPr="00263445" w:rsidRDefault="00AE053E" w:rsidP="00AE053E">
      <w:pPr>
        <w:spacing w:line="360" w:lineRule="auto"/>
        <w:rPr>
          <w:rFonts w:asciiTheme="majorHAnsi" w:hAnsiTheme="majorHAnsi" w:cs="Calibri"/>
        </w:rPr>
      </w:pPr>
    </w:p>
    <w:p w14:paraId="5D5620D0" w14:textId="7258F8B3"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Pre-eclampsia is a multi-system d</w:t>
      </w:r>
      <w:r w:rsidR="000D66FB">
        <w:rPr>
          <w:rFonts w:asciiTheme="majorHAnsi" w:hAnsiTheme="majorHAnsi" w:cs="Calibri"/>
        </w:rPr>
        <w:t>isorder that affects 3-5% of</w:t>
      </w:r>
      <w:r w:rsidRPr="00263445">
        <w:rPr>
          <w:rFonts w:asciiTheme="majorHAnsi" w:hAnsiTheme="majorHAnsi" w:cs="Calibri"/>
        </w:rPr>
        <w:t xml:space="preserve"> pregnancies </w:t>
      </w:r>
      <w:r w:rsidRPr="00263445">
        <w:rPr>
          <w:rFonts w:asciiTheme="majorHAnsi" w:hAnsiTheme="majorHAnsi"/>
        </w:rPr>
        <w:fldChar w:fldCharType="begin"/>
      </w:r>
      <w:r w:rsidRPr="00263445">
        <w:rPr>
          <w:rFonts w:asciiTheme="majorHAnsi" w:hAnsiTheme="majorHAnsi"/>
        </w:rPr>
        <w:instrText>ADDIN BEC{Mol et al., 2016, #42972}</w:instrText>
      </w:r>
      <w:r w:rsidRPr="00263445">
        <w:rPr>
          <w:rFonts w:asciiTheme="majorHAnsi" w:hAnsiTheme="majorHAnsi"/>
        </w:rPr>
        <w:fldChar w:fldCharType="separate"/>
      </w:r>
      <w:r w:rsidRPr="00263445">
        <w:rPr>
          <w:rFonts w:asciiTheme="majorHAnsi" w:hAnsiTheme="majorHAnsi"/>
        </w:rPr>
        <w:t>(1)</w:t>
      </w:r>
      <w:r w:rsidRPr="00263445">
        <w:rPr>
          <w:rFonts w:asciiTheme="majorHAnsi" w:hAnsiTheme="majorHAnsi"/>
        </w:rPr>
        <w:fldChar w:fldCharType="end"/>
      </w:r>
      <w:r w:rsidRPr="00263445">
        <w:rPr>
          <w:rFonts w:asciiTheme="majorHAnsi" w:hAnsiTheme="majorHAnsi"/>
        </w:rPr>
        <w:t>.</w:t>
      </w:r>
      <w:r w:rsidRPr="00263445">
        <w:rPr>
          <w:rFonts w:asciiTheme="majorHAnsi" w:hAnsiTheme="majorHAnsi" w:cs="Calibri"/>
        </w:rPr>
        <w:t xml:space="preserve"> It is a clinical diagnosis characterised by endothelial dysfunction after 20 weeks’ gestation leading to systemic features, which are non-specific in isolation. There is consensus that new onset hypertension is an essential diagnostic feature </w:t>
      </w:r>
      <w:r w:rsidRPr="00263445">
        <w:rPr>
          <w:rFonts w:asciiTheme="majorHAnsi" w:hAnsiTheme="majorHAnsi"/>
        </w:rPr>
        <w:fldChar w:fldCharType="begin"/>
      </w:r>
      <w:r w:rsidRPr="00263445">
        <w:rPr>
          <w:rFonts w:asciiTheme="majorHAnsi" w:hAnsiTheme="majorHAnsi"/>
        </w:rPr>
        <w:instrText>ADDIN BEC{Brown et al., 2018, #63815}{ACOG, 2019, #40962}</w:instrText>
      </w:r>
      <w:r w:rsidRPr="00263445">
        <w:rPr>
          <w:rFonts w:asciiTheme="majorHAnsi" w:hAnsiTheme="majorHAnsi"/>
        </w:rPr>
        <w:fldChar w:fldCharType="separate"/>
      </w:r>
      <w:r w:rsidR="00E83E7F">
        <w:rPr>
          <w:rFonts w:asciiTheme="majorHAnsi" w:hAnsiTheme="majorHAnsi"/>
        </w:rPr>
        <w:t>(2,</w:t>
      </w:r>
      <w:r w:rsidRPr="00263445">
        <w:rPr>
          <w:rFonts w:asciiTheme="majorHAnsi" w:hAnsiTheme="majorHAnsi"/>
        </w:rPr>
        <w:t>3)</w:t>
      </w:r>
      <w:r w:rsidRPr="00263445">
        <w:rPr>
          <w:rFonts w:asciiTheme="majorHAnsi" w:hAnsiTheme="majorHAnsi"/>
        </w:rPr>
        <w:fldChar w:fldCharType="end"/>
      </w:r>
      <w:r w:rsidRPr="00263445">
        <w:rPr>
          <w:rFonts w:asciiTheme="majorHAnsi" w:hAnsiTheme="majorHAnsi" w:cs="Calibri"/>
        </w:rPr>
        <w:t>. In the absence of other features, this is termed gestational hypertension. In the presence of additional endothelial dysfunction including proteinuria, maternal organ impairment or uteroplacental dysfunction, a diagnosis of pre-eclampsia is made (Table 1). Haemolysis, elevated liver enzymes, low platelet (HELLP) syndrome is a severe variant of pre-eclampsia. However, traditional sub-classification of ‘severe pre-eclampsia’ is misleading due to the potential for rapid deterioration across the di</w:t>
      </w:r>
      <w:r w:rsidR="008332DC">
        <w:rPr>
          <w:rFonts w:asciiTheme="majorHAnsi" w:hAnsiTheme="majorHAnsi" w:cs="Calibri"/>
        </w:rPr>
        <w:t>sease spectrum. The terminology</w:t>
      </w:r>
      <w:r w:rsidRPr="00263445">
        <w:rPr>
          <w:rFonts w:asciiTheme="majorHAnsi" w:hAnsiTheme="majorHAnsi" w:cs="Calibri"/>
        </w:rPr>
        <w:t xml:space="preserve"> ‘pre-eclampsia with or without severe features’ is now preferentially used</w:t>
      </w:r>
      <w:r w:rsidRPr="00263445">
        <w:rPr>
          <w:rFonts w:asciiTheme="majorHAnsi" w:hAnsiTheme="majorHAnsi"/>
        </w:rPr>
        <w:t xml:space="preserve"> </w:t>
      </w:r>
      <w:r w:rsidRPr="00263445">
        <w:rPr>
          <w:rFonts w:asciiTheme="majorHAnsi" w:hAnsiTheme="majorHAnsi" w:cs="Calibri"/>
        </w:rPr>
        <w:fldChar w:fldCharType="begin"/>
      </w:r>
      <w:r w:rsidRPr="00263445">
        <w:rPr>
          <w:rFonts w:asciiTheme="majorHAnsi" w:hAnsiTheme="majorHAnsi" w:cs="Calibri"/>
        </w:rPr>
        <w:instrText>ADDIN BEC{Brown et al., 2018, #63815}</w:instrText>
      </w:r>
      <w:r w:rsidRPr="00263445">
        <w:rPr>
          <w:rFonts w:asciiTheme="majorHAnsi" w:hAnsiTheme="majorHAnsi" w:cs="Calibri"/>
        </w:rPr>
        <w:fldChar w:fldCharType="separate"/>
      </w:r>
      <w:r w:rsidRPr="00263445">
        <w:rPr>
          <w:rFonts w:asciiTheme="majorHAnsi" w:hAnsiTheme="majorHAnsi" w:cs="Calibri"/>
        </w:rPr>
        <w:t>(2)</w:t>
      </w:r>
      <w:r w:rsidRPr="00263445">
        <w:rPr>
          <w:rFonts w:asciiTheme="majorHAnsi" w:hAnsiTheme="majorHAnsi" w:cs="Calibri"/>
        </w:rPr>
        <w:fldChar w:fldCharType="end"/>
      </w:r>
      <w:r w:rsidRPr="00263445">
        <w:rPr>
          <w:rFonts w:asciiTheme="majorHAnsi" w:hAnsiTheme="majorHAnsi" w:cs="Calibri"/>
        </w:rPr>
        <w:t xml:space="preserve">. </w:t>
      </w:r>
    </w:p>
    <w:p w14:paraId="4C35B5A9" w14:textId="77777777" w:rsidR="00AE053E" w:rsidRPr="00263445" w:rsidRDefault="00AE053E" w:rsidP="00AE053E">
      <w:pPr>
        <w:spacing w:line="360" w:lineRule="auto"/>
        <w:jc w:val="both"/>
        <w:rPr>
          <w:rFonts w:asciiTheme="majorHAnsi" w:hAnsiTheme="majorHAnsi" w:cs="Calibri"/>
        </w:rPr>
      </w:pPr>
    </w:p>
    <w:p w14:paraId="4386F607" w14:textId="3176528F"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Meta-analysis and contemporary cohort data </w:t>
      </w:r>
      <w:r w:rsidR="000D66FB">
        <w:rPr>
          <w:rFonts w:asciiTheme="majorHAnsi" w:hAnsiTheme="majorHAnsi" w:cs="Calibri"/>
        </w:rPr>
        <w:t>show that</w:t>
      </w:r>
      <w:r w:rsidRPr="00263445">
        <w:rPr>
          <w:rFonts w:asciiTheme="majorHAnsi" w:hAnsiTheme="majorHAnsi" w:cs="Calibri"/>
        </w:rPr>
        <w:t xml:space="preserve"> women with chronic kidney disease (CKD) </w:t>
      </w:r>
      <w:r w:rsidR="008332DC">
        <w:rPr>
          <w:rFonts w:asciiTheme="majorHAnsi" w:hAnsiTheme="majorHAnsi" w:cs="Calibri"/>
        </w:rPr>
        <w:t>have ten times the risk of</w:t>
      </w:r>
      <w:r w:rsidR="000D66FB">
        <w:rPr>
          <w:rFonts w:asciiTheme="majorHAnsi" w:hAnsiTheme="majorHAnsi" w:cs="Calibri"/>
        </w:rPr>
        <w:t xml:space="preserve"> pre-eclampsia compared to</w:t>
      </w:r>
      <w:r w:rsidRPr="00263445">
        <w:rPr>
          <w:rFonts w:asciiTheme="majorHAnsi" w:hAnsiTheme="majorHAnsi" w:cs="Calibri"/>
        </w:rPr>
        <w:t xml:space="preserve"> women without CKD. Pre-eclampsia occurs in up to 40% of pregnancies in women with CKD, with an increment in risk with increasing </w:t>
      </w:r>
      <w:r w:rsidR="008332DC" w:rsidRPr="00263445">
        <w:rPr>
          <w:rFonts w:asciiTheme="majorHAnsi" w:hAnsiTheme="majorHAnsi" w:cs="Calibri"/>
        </w:rPr>
        <w:t xml:space="preserve">pre-pregnancy CKD </w:t>
      </w:r>
      <w:r w:rsidR="008332DC">
        <w:rPr>
          <w:rFonts w:asciiTheme="majorHAnsi" w:hAnsiTheme="majorHAnsi" w:cs="Calibri"/>
        </w:rPr>
        <w:t>stage</w:t>
      </w:r>
      <w:r w:rsidRPr="00263445">
        <w:rPr>
          <w:rFonts w:asciiTheme="majorHAnsi" w:hAnsiTheme="majorHAnsi" w:cs="Calibri"/>
        </w:rPr>
        <w:t xml:space="preserve"> </w:t>
      </w:r>
      <w:r w:rsidRPr="00263445">
        <w:rPr>
          <w:rFonts w:asciiTheme="majorHAnsi" w:hAnsiTheme="majorHAnsi" w:cs="Calibri"/>
        </w:rPr>
        <w:fldChar w:fldCharType="begin"/>
      </w:r>
      <w:r w:rsidRPr="00263445">
        <w:rPr>
          <w:rFonts w:asciiTheme="majorHAnsi" w:hAnsiTheme="majorHAnsi" w:cs="Calibri"/>
        </w:rPr>
        <w:instrText>ADDIN BEC{Zhang et al., 2015, #97972}</w:instrText>
      </w:r>
      <w:r w:rsidRPr="00263445">
        <w:rPr>
          <w:rFonts w:asciiTheme="majorHAnsi" w:hAnsiTheme="majorHAnsi" w:cs="Calibri"/>
        </w:rPr>
        <w:fldChar w:fldCharType="separate"/>
      </w:r>
      <w:r w:rsidRPr="00263445">
        <w:rPr>
          <w:rFonts w:asciiTheme="majorHAnsi" w:hAnsiTheme="majorHAnsi" w:cs="Calibri"/>
        </w:rPr>
        <w:t>(4</w:t>
      </w:r>
      <w:r w:rsidR="00E83E7F">
        <w:rPr>
          <w:rFonts w:asciiTheme="majorHAnsi" w:hAnsiTheme="majorHAnsi" w:cs="Calibri"/>
        </w:rPr>
        <w:t>,5</w:t>
      </w:r>
      <w:r w:rsidRPr="00263445">
        <w:rPr>
          <w:rFonts w:asciiTheme="majorHAnsi" w:hAnsiTheme="majorHAnsi" w:cs="Calibri"/>
        </w:rPr>
        <w:t>)</w:t>
      </w:r>
      <w:r w:rsidRPr="00263445">
        <w:rPr>
          <w:rFonts w:asciiTheme="majorHAnsi" w:hAnsiTheme="majorHAnsi" w:cs="Calibri"/>
        </w:rPr>
        <w:fldChar w:fldCharType="end"/>
      </w:r>
      <w:r w:rsidRPr="00263445">
        <w:rPr>
          <w:rFonts w:asciiTheme="majorHAnsi" w:hAnsiTheme="majorHAnsi" w:cs="Calibri"/>
        </w:rPr>
        <w:t>. However, epidemiological data are limited in the absence of defined diagnostic criteria for women with pre-pregnancy hypert</w:t>
      </w:r>
      <w:r w:rsidR="000D66FB">
        <w:rPr>
          <w:rFonts w:asciiTheme="majorHAnsi" w:hAnsiTheme="majorHAnsi" w:cs="Calibri"/>
        </w:rPr>
        <w:t>ension and/or proteinuria. P</w:t>
      </w:r>
      <w:r w:rsidRPr="00263445">
        <w:rPr>
          <w:rFonts w:asciiTheme="majorHAnsi" w:hAnsiTheme="majorHAnsi" w:cs="Calibri"/>
        </w:rPr>
        <w:t xml:space="preserve">hysiological adaptations of pregnancy include a fall in blood pressure, </w:t>
      </w:r>
      <w:r w:rsidR="000D66FB">
        <w:rPr>
          <w:rFonts w:asciiTheme="majorHAnsi" w:hAnsiTheme="majorHAnsi" w:cs="Calibri"/>
        </w:rPr>
        <w:t>with a nadir</w:t>
      </w:r>
      <w:r w:rsidRPr="00263445">
        <w:rPr>
          <w:rFonts w:asciiTheme="majorHAnsi" w:hAnsiTheme="majorHAnsi" w:cs="Calibri"/>
        </w:rPr>
        <w:t xml:space="preserve"> in the second trimester, before rising </w:t>
      </w:r>
      <w:r w:rsidR="000D66FB">
        <w:rPr>
          <w:rFonts w:asciiTheme="majorHAnsi" w:hAnsiTheme="majorHAnsi" w:cs="Calibri"/>
        </w:rPr>
        <w:t xml:space="preserve">again </w:t>
      </w:r>
      <w:r w:rsidRPr="00263445">
        <w:rPr>
          <w:rFonts w:asciiTheme="majorHAnsi" w:hAnsiTheme="majorHAnsi" w:cs="Calibri"/>
        </w:rPr>
        <w:t>towards term</w:t>
      </w:r>
      <w:r w:rsidRPr="00263445">
        <w:rPr>
          <w:rFonts w:asciiTheme="majorHAnsi" w:hAnsiTheme="majorHAnsi"/>
        </w:rPr>
        <w:t xml:space="preserve"> </w:t>
      </w:r>
      <w:r w:rsidRPr="00263445">
        <w:rPr>
          <w:rFonts w:asciiTheme="majorHAnsi" w:hAnsiTheme="majorHAnsi" w:cs="Calibri"/>
        </w:rPr>
        <w:fldChar w:fldCharType="begin"/>
      </w:r>
      <w:r w:rsidRPr="00263445">
        <w:rPr>
          <w:rFonts w:asciiTheme="majorHAnsi" w:hAnsiTheme="majorHAnsi" w:cs="Calibri"/>
        </w:rPr>
        <w:instrText>ADDIN BEC{Loerup et al., 2019, #61610}</w:instrText>
      </w:r>
      <w:r w:rsidRPr="00263445">
        <w:rPr>
          <w:rFonts w:asciiTheme="majorHAnsi" w:hAnsiTheme="majorHAnsi" w:cs="Calibri"/>
        </w:rPr>
        <w:fldChar w:fldCharType="separate"/>
      </w:r>
      <w:r w:rsidRPr="00263445">
        <w:rPr>
          <w:rFonts w:asciiTheme="majorHAnsi" w:hAnsiTheme="majorHAnsi" w:cs="Calibri"/>
        </w:rPr>
        <w:t>(6)</w:t>
      </w:r>
      <w:r w:rsidRPr="00263445">
        <w:rPr>
          <w:rFonts w:asciiTheme="majorHAnsi" w:hAnsiTheme="majorHAnsi" w:cs="Calibri"/>
        </w:rPr>
        <w:fldChar w:fldCharType="end"/>
      </w:r>
      <w:r w:rsidR="000D66FB">
        <w:rPr>
          <w:rFonts w:asciiTheme="majorHAnsi" w:hAnsiTheme="majorHAnsi" w:cs="Calibri"/>
        </w:rPr>
        <w:t xml:space="preserve">. There is also </w:t>
      </w:r>
      <w:r w:rsidR="00D1394F">
        <w:rPr>
          <w:rFonts w:asciiTheme="majorHAnsi" w:hAnsiTheme="majorHAnsi" w:cs="Calibri"/>
        </w:rPr>
        <w:t>gestational</w:t>
      </w:r>
      <w:r w:rsidRPr="00263445">
        <w:rPr>
          <w:rFonts w:asciiTheme="majorHAnsi" w:hAnsiTheme="majorHAnsi" w:cs="Calibri"/>
        </w:rPr>
        <w:t xml:space="preserve"> increase in proteinuria due to physiological hyperfiltration and change in glomerular pore size</w:t>
      </w:r>
      <w:r w:rsidRPr="00263445">
        <w:rPr>
          <w:rFonts w:asciiTheme="majorHAnsi" w:hAnsiTheme="majorHAnsi"/>
        </w:rPr>
        <w:t xml:space="preserve"> </w:t>
      </w:r>
      <w:r w:rsidRPr="00263445">
        <w:rPr>
          <w:rFonts w:asciiTheme="majorHAnsi" w:hAnsiTheme="majorHAnsi" w:cs="Calibri"/>
        </w:rPr>
        <w:fldChar w:fldCharType="begin"/>
      </w:r>
      <w:r w:rsidRPr="00263445">
        <w:rPr>
          <w:rFonts w:asciiTheme="majorHAnsi" w:hAnsiTheme="majorHAnsi" w:cs="Calibri"/>
        </w:rPr>
        <w:instrText>ADDIN BEC{Milne et al., 2002, #77538}</w:instrText>
      </w:r>
      <w:r w:rsidRPr="00263445">
        <w:rPr>
          <w:rFonts w:asciiTheme="majorHAnsi" w:hAnsiTheme="majorHAnsi" w:cs="Calibri"/>
        </w:rPr>
        <w:fldChar w:fldCharType="separate"/>
      </w:r>
      <w:r w:rsidRPr="00263445">
        <w:rPr>
          <w:rFonts w:asciiTheme="majorHAnsi" w:hAnsiTheme="majorHAnsi" w:cs="Calibri"/>
        </w:rPr>
        <w:t>(</w:t>
      </w:r>
      <w:r w:rsidR="00E83E7F">
        <w:rPr>
          <w:rFonts w:asciiTheme="majorHAnsi" w:hAnsiTheme="majorHAnsi" w:cs="Calibri"/>
        </w:rPr>
        <w:t>7,</w:t>
      </w:r>
      <w:r w:rsidRPr="00263445">
        <w:rPr>
          <w:rFonts w:asciiTheme="majorHAnsi" w:hAnsiTheme="majorHAnsi" w:cs="Calibri"/>
        </w:rPr>
        <w:t>8)</w:t>
      </w:r>
      <w:r w:rsidRPr="00263445">
        <w:rPr>
          <w:rFonts w:asciiTheme="majorHAnsi" w:hAnsiTheme="majorHAnsi" w:cs="Calibri"/>
        </w:rPr>
        <w:fldChar w:fldCharType="end"/>
      </w:r>
      <w:r w:rsidRPr="00263445">
        <w:rPr>
          <w:rFonts w:asciiTheme="majorHAnsi" w:hAnsiTheme="majorHAnsi" w:cs="Calibri"/>
        </w:rPr>
        <w:t xml:space="preserve">. Relative increases in blood pressure and proteinuria </w:t>
      </w:r>
      <w:r w:rsidR="000D66FB">
        <w:rPr>
          <w:rFonts w:asciiTheme="majorHAnsi" w:hAnsiTheme="majorHAnsi" w:cs="Calibri"/>
        </w:rPr>
        <w:t xml:space="preserve">during pregnancy </w:t>
      </w:r>
      <w:r w:rsidRPr="00263445">
        <w:rPr>
          <w:rFonts w:asciiTheme="majorHAnsi" w:hAnsiTheme="majorHAnsi" w:cs="Calibri"/>
        </w:rPr>
        <w:t>are therefore</w:t>
      </w:r>
      <w:r w:rsidR="008332DC">
        <w:rPr>
          <w:rFonts w:asciiTheme="majorHAnsi" w:hAnsiTheme="majorHAnsi" w:cs="Calibri"/>
        </w:rPr>
        <w:t xml:space="preserve"> insufficient in isolation for</w:t>
      </w:r>
      <w:r w:rsidRPr="00263445">
        <w:rPr>
          <w:rFonts w:asciiTheme="majorHAnsi" w:hAnsiTheme="majorHAnsi" w:cs="Calibri"/>
        </w:rPr>
        <w:t xml:space="preserve"> diagnosis </w:t>
      </w:r>
      <w:r w:rsidRPr="00263445">
        <w:rPr>
          <w:rFonts w:asciiTheme="majorHAnsi" w:hAnsiTheme="majorHAnsi" w:cs="Calibri"/>
        </w:rPr>
        <w:fldChar w:fldCharType="begin"/>
      </w:r>
      <w:r w:rsidRPr="00263445">
        <w:rPr>
          <w:rFonts w:asciiTheme="majorHAnsi" w:hAnsiTheme="majorHAnsi" w:cs="Calibri"/>
        </w:rPr>
        <w:instrText>ADDIN BEC{Brown et al., 2018, #63815}</w:instrText>
      </w:r>
      <w:r w:rsidRPr="00263445">
        <w:rPr>
          <w:rFonts w:asciiTheme="majorHAnsi" w:hAnsiTheme="majorHAnsi" w:cs="Calibri"/>
        </w:rPr>
        <w:fldChar w:fldCharType="separate"/>
      </w:r>
      <w:r w:rsidRPr="00263445">
        <w:rPr>
          <w:rFonts w:asciiTheme="majorHAnsi" w:hAnsiTheme="majorHAnsi" w:cs="Calibri"/>
        </w:rPr>
        <w:t>(2)</w:t>
      </w:r>
      <w:r w:rsidRPr="00263445">
        <w:rPr>
          <w:rFonts w:asciiTheme="majorHAnsi" w:hAnsiTheme="majorHAnsi" w:cs="Calibri"/>
        </w:rPr>
        <w:fldChar w:fldCharType="end"/>
      </w:r>
      <w:r w:rsidRPr="00263445">
        <w:rPr>
          <w:rFonts w:asciiTheme="majorHAnsi" w:hAnsiTheme="majorHAnsi" w:cs="Calibri"/>
        </w:rPr>
        <w:t>.</w:t>
      </w:r>
      <w:r w:rsidR="00014806">
        <w:rPr>
          <w:rFonts w:asciiTheme="majorHAnsi" w:hAnsiTheme="majorHAnsi" w:cs="Calibri"/>
        </w:rPr>
        <w:t xml:space="preserve"> </w:t>
      </w:r>
      <w:r w:rsidRPr="00263445">
        <w:rPr>
          <w:rFonts w:asciiTheme="majorHAnsi" w:hAnsiTheme="majorHAnsi" w:cs="Calibri"/>
        </w:rPr>
        <w:t xml:space="preserve">In a recent cohort study, standard diagnostic criteria for pre-eclampsia could not be used in 75% (45/60) women with CKD </w:t>
      </w:r>
      <w:r w:rsidRPr="00263445">
        <w:rPr>
          <w:rFonts w:asciiTheme="majorHAnsi" w:hAnsiTheme="majorHAnsi" w:cs="Calibri"/>
        </w:rPr>
        <w:fldChar w:fldCharType="begin"/>
      </w:r>
      <w:r w:rsidRPr="00263445">
        <w:rPr>
          <w:rFonts w:asciiTheme="majorHAnsi" w:hAnsiTheme="majorHAnsi" w:cs="Calibri"/>
        </w:rPr>
        <w:instrText>ADDIN BEC{Wiles et al., 2019, #31218}</w:instrText>
      </w:r>
      <w:r w:rsidRPr="00263445">
        <w:rPr>
          <w:rFonts w:asciiTheme="majorHAnsi" w:hAnsiTheme="majorHAnsi" w:cs="Calibri"/>
        </w:rPr>
        <w:fldChar w:fldCharType="separate"/>
      </w:r>
      <w:r w:rsidRPr="00263445">
        <w:rPr>
          <w:rFonts w:asciiTheme="majorHAnsi" w:hAnsiTheme="majorHAnsi" w:cs="Calibri"/>
        </w:rPr>
        <w:t>(9)</w:t>
      </w:r>
      <w:r w:rsidRPr="00263445">
        <w:rPr>
          <w:rFonts w:asciiTheme="majorHAnsi" w:hAnsiTheme="majorHAnsi" w:cs="Calibri"/>
        </w:rPr>
        <w:fldChar w:fldCharType="end"/>
      </w:r>
      <w:r w:rsidRPr="00263445">
        <w:rPr>
          <w:rFonts w:asciiTheme="majorHAnsi" w:hAnsiTheme="majorHAnsi" w:cs="Calibri"/>
        </w:rPr>
        <w:t xml:space="preserve">. Modifications of diagnostic criteria for women with CKD are detailed in Table 1. </w:t>
      </w:r>
    </w:p>
    <w:p w14:paraId="2B993805" w14:textId="77777777" w:rsidR="00AE053E" w:rsidRPr="00263445" w:rsidRDefault="00AE053E" w:rsidP="00AE053E">
      <w:pPr>
        <w:spacing w:line="360" w:lineRule="auto"/>
        <w:jc w:val="both"/>
        <w:rPr>
          <w:rFonts w:asciiTheme="majorHAnsi" w:hAnsiTheme="majorHAnsi" w:cs="Calibri"/>
        </w:rPr>
      </w:pPr>
    </w:p>
    <w:p w14:paraId="146357DD" w14:textId="7A47E808" w:rsidR="00AE053E" w:rsidRPr="00263445" w:rsidRDefault="00AE053E" w:rsidP="00803C74">
      <w:pPr>
        <w:ind w:right="-7"/>
        <w:jc w:val="both"/>
        <w:rPr>
          <w:rFonts w:asciiTheme="majorHAnsi" w:hAnsiTheme="majorHAnsi" w:cs="Calibri"/>
          <w:sz w:val="20"/>
          <w:szCs w:val="20"/>
        </w:rPr>
      </w:pPr>
      <w:r w:rsidRPr="00263445">
        <w:rPr>
          <w:rFonts w:asciiTheme="majorHAnsi" w:hAnsiTheme="majorHAnsi" w:cs="Calibri"/>
          <w:b/>
          <w:sz w:val="20"/>
          <w:szCs w:val="20"/>
        </w:rPr>
        <w:t>Table 1:</w:t>
      </w:r>
      <w:r w:rsidRPr="00263445">
        <w:rPr>
          <w:rFonts w:asciiTheme="majorHAnsi" w:hAnsiTheme="majorHAnsi" w:cs="Calibri"/>
          <w:sz w:val="20"/>
          <w:szCs w:val="20"/>
        </w:rPr>
        <w:t xml:space="preserve"> Diagnostic criteria for pre-eclampsia: diagnosis requires one essential and one additional clinical feature for diagnosis. Adapted from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BEC{ACOG, 2019, #40962}</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(3)</w:t>
      </w:r>
      <w:r w:rsidRPr="00263445">
        <w:rPr>
          <w:rFonts w:asciiTheme="majorHAnsi" w:hAnsiTheme="majorHAnsi" w:cs="Calibri"/>
          <w:sz w:val="20"/>
          <w:szCs w:val="20"/>
        </w:rPr>
        <w:fldChar w:fldCharType="end"/>
      </w:r>
      <w:r w:rsidRPr="00263445">
        <w:rPr>
          <w:rFonts w:asciiTheme="majorHAnsi" w:hAnsiTheme="majorHAnsi" w:cs="Calibri"/>
          <w:sz w:val="20"/>
          <w:szCs w:val="20"/>
        </w:rPr>
        <w:t xml:space="preserve"> and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BEC{Brown et al., 2018, #63815}</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(2)</w:t>
      </w:r>
      <w:r w:rsidRPr="00263445">
        <w:rPr>
          <w:rFonts w:asciiTheme="majorHAnsi" w:hAnsiTheme="majorHAnsi" w:cs="Calibri"/>
          <w:sz w:val="20"/>
          <w:szCs w:val="20"/>
        </w:rPr>
        <w:fldChar w:fldCharType="end"/>
      </w:r>
      <w:r w:rsidRPr="00263445">
        <w:rPr>
          <w:rFonts w:asciiTheme="majorHAnsi" w:hAnsiTheme="majorHAnsi" w:cs="Calibri"/>
          <w:sz w:val="20"/>
          <w:szCs w:val="20"/>
        </w:rPr>
        <w:t xml:space="preserve"> *= severe features,</w:t>
      </w:r>
      <w:r w:rsidRPr="00263445">
        <w:rPr>
          <w:rFonts w:asciiTheme="majorHAnsi" w:hAnsiTheme="majorHAnsi" w:cs="Calibri"/>
          <w:sz w:val="20"/>
          <w:szCs w:val="20"/>
          <w:vertAlign w:val="superscript"/>
        </w:rPr>
        <w:t xml:space="preserve"> a</w:t>
      </w:r>
      <w:r w:rsidRPr="00263445">
        <w:rPr>
          <w:rFonts w:asciiTheme="majorHAnsi" w:hAnsiTheme="majorHAnsi" w:cs="Calibri"/>
          <w:sz w:val="20"/>
          <w:szCs w:val="20"/>
        </w:rPr>
        <w:t xml:space="preserve">= from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BEC{Brown et al., 2018, #63815}</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(2)</w:t>
      </w:r>
      <w:r w:rsidRPr="00263445">
        <w:rPr>
          <w:rFonts w:asciiTheme="majorHAnsi" w:hAnsiTheme="majorHAnsi" w:cs="Calibri"/>
          <w:sz w:val="20"/>
          <w:szCs w:val="20"/>
        </w:rPr>
        <w:fldChar w:fldCharType="end"/>
      </w:r>
      <w:r w:rsidRPr="00263445">
        <w:rPr>
          <w:rFonts w:asciiTheme="majorHAnsi" w:hAnsiTheme="majorHAnsi" w:cs="Calibri"/>
          <w:sz w:val="20"/>
          <w:szCs w:val="20"/>
        </w:rPr>
        <w:t xml:space="preserve">, </w:t>
      </w:r>
      <w:r w:rsidRPr="00263445">
        <w:rPr>
          <w:rFonts w:asciiTheme="majorHAnsi" w:hAnsiTheme="majorHAnsi" w:cs="Calibri"/>
          <w:sz w:val="20"/>
          <w:szCs w:val="20"/>
          <w:vertAlign w:val="superscript"/>
        </w:rPr>
        <w:t>b</w:t>
      </w:r>
      <w:r w:rsidRPr="00263445">
        <w:rPr>
          <w:rFonts w:asciiTheme="majorHAnsi" w:hAnsiTheme="majorHAnsi" w:cs="Calibri"/>
          <w:sz w:val="20"/>
          <w:szCs w:val="20"/>
        </w:rPr>
        <w:t xml:space="preserve">= from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BEC{ACOG, 2019, #40962}</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(3)</w:t>
      </w:r>
      <w:r w:rsidRPr="00263445">
        <w:rPr>
          <w:rFonts w:asciiTheme="majorHAnsi" w:hAnsiTheme="majorHAnsi" w:cs="Calibri"/>
          <w:sz w:val="20"/>
          <w:szCs w:val="20"/>
        </w:rPr>
        <w:fldChar w:fldCharType="end"/>
      </w:r>
      <w:r w:rsidR="00E83E7F">
        <w:rPr>
          <w:rFonts w:asciiTheme="majorHAnsi" w:hAnsiTheme="majorHAnsi" w:cs="Calibri"/>
          <w:sz w:val="20"/>
          <w:szCs w:val="20"/>
        </w:rPr>
        <w:t>.</w:t>
      </w:r>
    </w:p>
    <w:p w14:paraId="422E700F" w14:textId="77777777" w:rsidR="00AE053E" w:rsidRPr="00263445" w:rsidRDefault="00AE053E" w:rsidP="00803C74">
      <w:pPr>
        <w:ind w:right="-7"/>
        <w:jc w:val="both"/>
        <w:rPr>
          <w:rFonts w:asciiTheme="majorHAnsi" w:hAnsiTheme="majorHAnsi" w:cs="Calibri"/>
          <w:sz w:val="20"/>
          <w:szCs w:val="20"/>
        </w:rPr>
      </w:pPr>
      <w:r w:rsidRPr="00263445">
        <w:rPr>
          <w:rFonts w:asciiTheme="majorHAnsi" w:hAnsiTheme="majorHAnsi" w:cs="Calibri"/>
          <w:sz w:val="20"/>
          <w:szCs w:val="20"/>
        </w:rPr>
        <w:t>ALT=serum alanine transferase, AST=serum aspartate transferase, BP=blood pressure, CKD=chronic kidney disease, UPCR=urinary protein:creatinine ratio, UACR = urinary albumin:creatinine ratio</w:t>
      </w:r>
    </w:p>
    <w:p w14:paraId="0A8DC0D3" w14:textId="77777777" w:rsidR="00AE053E" w:rsidRPr="00263445" w:rsidRDefault="00AE053E" w:rsidP="00AE053E">
      <w:pPr>
        <w:ind w:right="-7"/>
        <w:jc w:val="both"/>
        <w:rPr>
          <w:rFonts w:asciiTheme="majorHAnsi" w:hAnsiTheme="majorHAnsi" w:cs="Calibri"/>
          <w:sz w:val="20"/>
          <w:szCs w:val="20"/>
        </w:rPr>
      </w:pPr>
    </w:p>
    <w:tbl>
      <w:tblPr>
        <w:tblStyle w:val="TableGrid"/>
        <w:tblpPr w:leftFromText="181" w:rightFromText="181" w:vertAnchor="text" w:horzAnchor="page" w:tblpX="1907" w:tblpY="1"/>
        <w:tblOverlap w:val="never"/>
        <w:tblW w:w="8472" w:type="dxa"/>
        <w:tblLook w:val="04A0" w:firstRow="1" w:lastRow="0" w:firstColumn="1" w:lastColumn="0" w:noHBand="0" w:noVBand="1"/>
      </w:tblPr>
      <w:tblGrid>
        <w:gridCol w:w="1062"/>
        <w:gridCol w:w="3866"/>
        <w:gridCol w:w="3544"/>
      </w:tblGrid>
      <w:tr w:rsidR="00AE053E" w:rsidRPr="00263445" w14:paraId="1B53596B" w14:textId="77777777" w:rsidTr="00E83E7F">
        <w:tc>
          <w:tcPr>
            <w:tcW w:w="1062" w:type="dxa"/>
          </w:tcPr>
          <w:p w14:paraId="7B2B1C2A" w14:textId="77777777" w:rsidR="00AE053E" w:rsidRPr="00263445" w:rsidRDefault="00AE053E" w:rsidP="00E83E7F">
            <w:pPr>
              <w:tabs>
                <w:tab w:val="left" w:pos="7408"/>
              </w:tabs>
              <w:spacing w:line="276" w:lineRule="auto"/>
              <w:jc w:val="both"/>
              <w:rPr>
                <w:rFonts w:asciiTheme="majorHAnsi" w:hAnsiTheme="majorHAnsi" w:cs="Calibri"/>
                <w:sz w:val="20"/>
                <w:szCs w:val="20"/>
              </w:rPr>
            </w:pPr>
            <w:r w:rsidRPr="00263445">
              <w:rPr>
                <w:rFonts w:asciiTheme="majorHAnsi" w:hAnsiTheme="majorHAnsi" w:cs="Calibri"/>
                <w:sz w:val="20"/>
                <w:szCs w:val="20"/>
              </w:rPr>
              <w:t>Diagnostic criteria</w:t>
            </w:r>
          </w:p>
        </w:tc>
        <w:tc>
          <w:tcPr>
            <w:tcW w:w="3866" w:type="dxa"/>
          </w:tcPr>
          <w:p w14:paraId="3FE47C55" w14:textId="77777777" w:rsidR="00AE053E" w:rsidRPr="00263445" w:rsidRDefault="00AE053E" w:rsidP="00E83E7F">
            <w:pPr>
              <w:spacing w:line="276" w:lineRule="auto"/>
              <w:jc w:val="both"/>
              <w:rPr>
                <w:rFonts w:asciiTheme="majorHAnsi" w:hAnsiTheme="majorHAnsi" w:cs="Calibri"/>
                <w:sz w:val="20"/>
                <w:szCs w:val="20"/>
              </w:rPr>
            </w:pPr>
            <w:r w:rsidRPr="00263445">
              <w:rPr>
                <w:rFonts w:asciiTheme="majorHAnsi" w:hAnsiTheme="majorHAnsi" w:cs="Calibri"/>
                <w:sz w:val="20"/>
                <w:szCs w:val="20"/>
              </w:rPr>
              <w:t xml:space="preserve">Pre-eclampsia </w:t>
            </w:r>
          </w:p>
        </w:tc>
        <w:tc>
          <w:tcPr>
            <w:tcW w:w="3544" w:type="dxa"/>
          </w:tcPr>
          <w:p w14:paraId="3B829322" w14:textId="77777777" w:rsidR="00AE053E" w:rsidRPr="00263445" w:rsidRDefault="00AE053E" w:rsidP="00E83E7F">
            <w:pPr>
              <w:tabs>
                <w:tab w:val="left" w:pos="5670"/>
              </w:tabs>
              <w:spacing w:line="276" w:lineRule="auto"/>
              <w:jc w:val="both"/>
              <w:rPr>
                <w:rFonts w:asciiTheme="majorHAnsi" w:hAnsiTheme="majorHAnsi" w:cs="Calibri"/>
                <w:sz w:val="20"/>
                <w:szCs w:val="20"/>
              </w:rPr>
            </w:pPr>
            <w:r w:rsidRPr="00263445">
              <w:rPr>
                <w:rFonts w:asciiTheme="majorHAnsi" w:hAnsiTheme="majorHAnsi" w:cs="Calibri"/>
                <w:sz w:val="20"/>
                <w:szCs w:val="20"/>
              </w:rPr>
              <w:t>Pre-eclampsia in women with CKD</w:t>
            </w:r>
          </w:p>
        </w:tc>
      </w:tr>
      <w:tr w:rsidR="00AE053E" w:rsidRPr="00263445" w14:paraId="62C55CCF" w14:textId="77777777" w:rsidTr="00E83E7F">
        <w:tc>
          <w:tcPr>
            <w:tcW w:w="1062" w:type="dxa"/>
            <w:vMerge w:val="restart"/>
          </w:tcPr>
          <w:p w14:paraId="679A1E15" w14:textId="77777777" w:rsidR="00AE053E" w:rsidRPr="00263445" w:rsidRDefault="00AE053E" w:rsidP="00E83E7F">
            <w:pPr>
              <w:spacing w:line="276" w:lineRule="auto"/>
              <w:jc w:val="both"/>
              <w:rPr>
                <w:rFonts w:asciiTheme="majorHAnsi" w:hAnsiTheme="majorHAnsi" w:cs="Calibri"/>
                <w:sz w:val="20"/>
                <w:szCs w:val="20"/>
              </w:rPr>
            </w:pPr>
            <w:r w:rsidRPr="00263445">
              <w:rPr>
                <w:rFonts w:asciiTheme="majorHAnsi" w:hAnsiTheme="majorHAnsi" w:cs="Calibri"/>
                <w:sz w:val="20"/>
                <w:szCs w:val="20"/>
              </w:rPr>
              <w:t xml:space="preserve">Essential </w:t>
            </w:r>
          </w:p>
          <w:p w14:paraId="1E80FF05" w14:textId="77777777" w:rsidR="00AE053E" w:rsidRPr="00263445" w:rsidRDefault="00AE053E" w:rsidP="00E83E7F">
            <w:pPr>
              <w:spacing w:line="276" w:lineRule="auto"/>
              <w:jc w:val="both"/>
              <w:rPr>
                <w:rFonts w:asciiTheme="majorHAnsi" w:hAnsiTheme="majorHAnsi" w:cs="Calibri"/>
                <w:sz w:val="20"/>
                <w:szCs w:val="20"/>
              </w:rPr>
            </w:pPr>
          </w:p>
        </w:tc>
        <w:tc>
          <w:tcPr>
            <w:tcW w:w="7410" w:type="dxa"/>
            <w:gridSpan w:val="2"/>
          </w:tcPr>
          <w:p w14:paraId="55C4322A" w14:textId="77777777" w:rsidR="00AE053E" w:rsidRPr="00263445" w:rsidRDefault="00AE053E" w:rsidP="00E83E7F">
            <w:pPr>
              <w:spacing w:line="276" w:lineRule="auto"/>
              <w:jc w:val="center"/>
              <w:rPr>
                <w:rFonts w:asciiTheme="majorHAnsi" w:hAnsiTheme="majorHAnsi" w:cs="Calibri"/>
                <w:sz w:val="20"/>
                <w:szCs w:val="20"/>
              </w:rPr>
            </w:pPr>
            <w:r w:rsidRPr="00263445">
              <w:rPr>
                <w:rFonts w:asciiTheme="majorHAnsi" w:hAnsiTheme="majorHAnsi" w:cs="Calibri"/>
                <w:sz w:val="20"/>
                <w:szCs w:val="20"/>
              </w:rPr>
              <w:t>&gt;20 weeks’ gestation</w:t>
            </w:r>
          </w:p>
        </w:tc>
      </w:tr>
      <w:tr w:rsidR="00AE053E" w:rsidRPr="00263445" w14:paraId="77F7E026" w14:textId="77777777" w:rsidTr="00E83E7F">
        <w:tc>
          <w:tcPr>
            <w:tcW w:w="1062" w:type="dxa"/>
            <w:vMerge/>
          </w:tcPr>
          <w:p w14:paraId="48864C16" w14:textId="77777777" w:rsidR="00AE053E" w:rsidRPr="00263445" w:rsidRDefault="00AE053E" w:rsidP="00E83E7F">
            <w:pPr>
              <w:spacing w:line="276" w:lineRule="auto"/>
              <w:jc w:val="both"/>
              <w:rPr>
                <w:rFonts w:asciiTheme="majorHAnsi" w:hAnsiTheme="majorHAnsi" w:cs="Calibri"/>
                <w:sz w:val="20"/>
                <w:szCs w:val="20"/>
              </w:rPr>
            </w:pPr>
          </w:p>
        </w:tc>
        <w:tc>
          <w:tcPr>
            <w:tcW w:w="3866" w:type="dxa"/>
          </w:tcPr>
          <w:p w14:paraId="6321CE7E" w14:textId="67AA358E" w:rsidR="00AE053E" w:rsidRPr="00263445" w:rsidRDefault="00AE053E" w:rsidP="00E83E7F">
            <w:pPr>
              <w:spacing w:line="276" w:lineRule="auto"/>
              <w:rPr>
                <w:rFonts w:asciiTheme="majorHAnsi" w:hAnsiTheme="majorHAnsi" w:cs="Calibri"/>
                <w:sz w:val="20"/>
                <w:szCs w:val="20"/>
              </w:rPr>
            </w:pPr>
            <w:r w:rsidRPr="00263445">
              <w:rPr>
                <w:rFonts w:asciiTheme="majorHAnsi" w:hAnsiTheme="majorHAnsi" w:cs="Calibri"/>
                <w:sz w:val="20"/>
                <w:szCs w:val="20"/>
              </w:rPr>
              <w:t>New hypertension: systolic BP ≥140mmHg or diast</w:t>
            </w:r>
            <w:r w:rsidR="00803C74">
              <w:rPr>
                <w:rFonts w:asciiTheme="majorHAnsi" w:hAnsiTheme="majorHAnsi" w:cs="Calibri"/>
                <w:sz w:val="20"/>
                <w:szCs w:val="20"/>
              </w:rPr>
              <w:t>olic BP ≥90mmHg on 2 occasions</w:t>
            </w:r>
          </w:p>
          <w:p w14:paraId="22FBA432" w14:textId="77777777" w:rsidR="00AE053E" w:rsidRPr="00263445" w:rsidRDefault="00AE053E" w:rsidP="00E83E7F">
            <w:pPr>
              <w:spacing w:line="276" w:lineRule="auto"/>
              <w:rPr>
                <w:rFonts w:asciiTheme="majorHAnsi" w:hAnsiTheme="majorHAnsi" w:cs="Calibri"/>
                <w:sz w:val="20"/>
                <w:szCs w:val="20"/>
              </w:rPr>
            </w:pPr>
          </w:p>
        </w:tc>
        <w:tc>
          <w:tcPr>
            <w:tcW w:w="3544" w:type="dxa"/>
          </w:tcPr>
          <w:p w14:paraId="2AD6E5A3" w14:textId="77777777" w:rsidR="00AE053E" w:rsidRPr="00263445" w:rsidRDefault="00AE053E" w:rsidP="00E83E7F">
            <w:pPr>
              <w:spacing w:line="276" w:lineRule="auto"/>
              <w:rPr>
                <w:rFonts w:asciiTheme="majorHAnsi" w:hAnsiTheme="majorHAnsi" w:cs="Calibri"/>
                <w:sz w:val="20"/>
                <w:szCs w:val="20"/>
              </w:rPr>
            </w:pPr>
            <w:r w:rsidRPr="00263445">
              <w:rPr>
                <w:rFonts w:asciiTheme="majorHAnsi" w:hAnsiTheme="majorHAnsi" w:cs="Calibri"/>
                <w:sz w:val="20"/>
                <w:szCs w:val="20"/>
              </w:rPr>
              <w:t xml:space="preserve">Hypertension: </w:t>
            </w:r>
          </w:p>
          <w:p w14:paraId="11345F08" w14:textId="2394BA16" w:rsidR="00AE053E" w:rsidRPr="00263445" w:rsidRDefault="00AE053E" w:rsidP="00AE053E">
            <w:pPr>
              <w:pStyle w:val="ListParagraph"/>
              <w:numPr>
                <w:ilvl w:val="0"/>
                <w:numId w:val="16"/>
              </w:numPr>
              <w:spacing w:line="276" w:lineRule="auto"/>
              <w:rPr>
                <w:rFonts w:asciiTheme="majorHAnsi" w:hAnsiTheme="majorHAnsi" w:cs="Calibri"/>
                <w:sz w:val="20"/>
                <w:szCs w:val="20"/>
              </w:rPr>
            </w:pPr>
            <w:r w:rsidRPr="00263445">
              <w:rPr>
                <w:rFonts w:asciiTheme="majorHAnsi" w:hAnsiTheme="majorHAnsi" w:cs="Calibri"/>
                <w:sz w:val="20"/>
                <w:szCs w:val="20"/>
              </w:rPr>
              <w:t>In women without chronic hyp</w:t>
            </w:r>
            <w:r w:rsidR="00803C74">
              <w:rPr>
                <w:rFonts w:asciiTheme="majorHAnsi" w:hAnsiTheme="majorHAnsi" w:cs="Calibri"/>
                <w:sz w:val="20"/>
                <w:szCs w:val="20"/>
              </w:rPr>
              <w:t>ertension: as for pre-eclampsia</w:t>
            </w:r>
          </w:p>
          <w:p w14:paraId="212E6DF4" w14:textId="55673D2B" w:rsidR="00AE053E" w:rsidRPr="00263445" w:rsidRDefault="00AE053E" w:rsidP="00AE053E">
            <w:pPr>
              <w:pStyle w:val="ListParagraph"/>
              <w:numPr>
                <w:ilvl w:val="0"/>
                <w:numId w:val="16"/>
              </w:numPr>
              <w:spacing w:line="276" w:lineRule="auto"/>
              <w:rPr>
                <w:rFonts w:asciiTheme="majorHAnsi" w:hAnsiTheme="majorHAnsi" w:cs="Calibri"/>
                <w:sz w:val="20"/>
                <w:szCs w:val="20"/>
              </w:rPr>
            </w:pPr>
            <w:r w:rsidRPr="00263445">
              <w:rPr>
                <w:rFonts w:asciiTheme="majorHAnsi" w:hAnsiTheme="majorHAnsi" w:cs="Calibri"/>
                <w:sz w:val="20"/>
                <w:szCs w:val="20"/>
              </w:rPr>
              <w:t>In women with chronic hypert</w:t>
            </w:r>
            <w:r w:rsidR="00803C74">
              <w:rPr>
                <w:rFonts w:asciiTheme="majorHAnsi" w:hAnsiTheme="majorHAnsi" w:cs="Calibri"/>
                <w:sz w:val="20"/>
                <w:szCs w:val="20"/>
              </w:rPr>
              <w:t>ension: no diagnostic threshold</w:t>
            </w:r>
          </w:p>
          <w:p w14:paraId="0D3CFE63" w14:textId="74A26D7D" w:rsidR="00AE053E" w:rsidRPr="00263445" w:rsidRDefault="00AE053E" w:rsidP="00803C74">
            <w:pPr>
              <w:pStyle w:val="ListParagraph"/>
              <w:numPr>
                <w:ilvl w:val="0"/>
                <w:numId w:val="16"/>
              </w:numPr>
              <w:spacing w:line="276" w:lineRule="auto"/>
              <w:rPr>
                <w:rFonts w:asciiTheme="majorHAnsi" w:hAnsiTheme="majorHAnsi" w:cs="Calibri"/>
                <w:sz w:val="20"/>
                <w:szCs w:val="20"/>
              </w:rPr>
            </w:pPr>
            <w:r w:rsidRPr="00263445">
              <w:rPr>
                <w:rFonts w:asciiTheme="majorHAnsi" w:hAnsiTheme="majorHAnsi" w:cs="Calibri"/>
                <w:sz w:val="20"/>
                <w:szCs w:val="20"/>
              </w:rPr>
              <w:t xml:space="preserve">De novo severe BP (systolic BP&gt;160 or diastolic BP &gt;110mmHg) or an increase in treatment to maintain BP &lt;160/110mmgHg used in research cohorts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BEC{Bramham et al., 2016, #40187}</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(5</w:t>
            </w:r>
            <w:r w:rsidR="00803C74">
              <w:rPr>
                <w:rFonts w:asciiTheme="majorHAnsi" w:hAnsiTheme="majorHAnsi" w:cs="Calibri"/>
                <w:sz w:val="20"/>
                <w:szCs w:val="20"/>
              </w:rPr>
              <w:t>,9</w:t>
            </w:r>
            <w:r w:rsidRPr="00263445">
              <w:rPr>
                <w:rFonts w:asciiTheme="majorHAnsi" w:hAnsiTheme="majorHAnsi" w:cs="Calibri"/>
                <w:sz w:val="20"/>
                <w:szCs w:val="20"/>
              </w:rPr>
              <w:t>)</w:t>
            </w:r>
            <w:r w:rsidRPr="00263445">
              <w:rPr>
                <w:rFonts w:asciiTheme="majorHAnsi" w:hAnsiTheme="majorHAnsi" w:cs="Calibri"/>
                <w:sz w:val="20"/>
                <w:szCs w:val="20"/>
              </w:rPr>
              <w:fldChar w:fldCharType="end"/>
            </w:r>
          </w:p>
        </w:tc>
      </w:tr>
      <w:tr w:rsidR="00AE053E" w:rsidRPr="00263445" w14:paraId="218669B6" w14:textId="77777777" w:rsidTr="00E83E7F">
        <w:tc>
          <w:tcPr>
            <w:tcW w:w="1062" w:type="dxa"/>
            <w:vMerge w:val="restart"/>
          </w:tcPr>
          <w:p w14:paraId="7B5EF6E1" w14:textId="77777777" w:rsidR="00AE053E" w:rsidRPr="00263445" w:rsidRDefault="00AE053E" w:rsidP="00E83E7F">
            <w:pPr>
              <w:spacing w:line="276" w:lineRule="auto"/>
              <w:jc w:val="both"/>
              <w:rPr>
                <w:rFonts w:asciiTheme="majorHAnsi" w:hAnsiTheme="majorHAnsi" w:cs="Calibri"/>
                <w:sz w:val="20"/>
                <w:szCs w:val="20"/>
              </w:rPr>
            </w:pPr>
            <w:r w:rsidRPr="00263445">
              <w:rPr>
                <w:rFonts w:asciiTheme="majorHAnsi" w:hAnsiTheme="majorHAnsi" w:cs="Calibri"/>
                <w:sz w:val="20"/>
                <w:szCs w:val="20"/>
              </w:rPr>
              <w:t xml:space="preserve">Additional </w:t>
            </w:r>
          </w:p>
        </w:tc>
        <w:tc>
          <w:tcPr>
            <w:tcW w:w="3866" w:type="dxa"/>
          </w:tcPr>
          <w:p w14:paraId="0532174B" w14:textId="77777777" w:rsidR="00AE053E" w:rsidRPr="00263445" w:rsidRDefault="00AE053E" w:rsidP="00E83E7F">
            <w:pPr>
              <w:spacing w:line="276" w:lineRule="auto"/>
              <w:jc w:val="both"/>
              <w:rPr>
                <w:rFonts w:asciiTheme="majorHAnsi" w:hAnsiTheme="majorHAnsi" w:cs="Calibri"/>
                <w:sz w:val="20"/>
                <w:szCs w:val="20"/>
              </w:rPr>
            </w:pPr>
            <w:r w:rsidRPr="00263445">
              <w:rPr>
                <w:rFonts w:asciiTheme="majorHAnsi" w:hAnsiTheme="majorHAnsi" w:cs="Calibri"/>
                <w:sz w:val="20"/>
                <w:szCs w:val="20"/>
              </w:rPr>
              <w:t>Proteinuria:</w:t>
            </w:r>
          </w:p>
          <w:p w14:paraId="6DB44DF8" w14:textId="77777777" w:rsidR="00AE053E" w:rsidRPr="00263445" w:rsidRDefault="00AE053E" w:rsidP="00AE053E">
            <w:pPr>
              <w:pStyle w:val="ListParagraph"/>
              <w:numPr>
                <w:ilvl w:val="0"/>
                <w:numId w:val="15"/>
              </w:numPr>
              <w:spacing w:line="276" w:lineRule="auto"/>
              <w:jc w:val="both"/>
              <w:rPr>
                <w:rFonts w:asciiTheme="majorHAnsi" w:hAnsiTheme="majorHAnsi" w:cs="Calibri"/>
                <w:sz w:val="20"/>
                <w:szCs w:val="20"/>
              </w:rPr>
            </w:pPr>
            <w:r w:rsidRPr="00263445">
              <w:rPr>
                <w:rFonts w:asciiTheme="majorHAnsi" w:hAnsiTheme="majorHAnsi" w:cs="Calibri"/>
                <w:sz w:val="20"/>
                <w:szCs w:val="20"/>
              </w:rPr>
              <w:t>UPCR ≥0.3 mg/mg (&gt;30mg/mmol)</w:t>
            </w:r>
          </w:p>
          <w:p w14:paraId="39200600" w14:textId="77777777" w:rsidR="00AE053E" w:rsidRPr="00263445" w:rsidRDefault="00AE053E" w:rsidP="00AE053E">
            <w:pPr>
              <w:pStyle w:val="ListParagraph"/>
              <w:numPr>
                <w:ilvl w:val="0"/>
                <w:numId w:val="15"/>
              </w:numPr>
              <w:spacing w:line="276" w:lineRule="auto"/>
              <w:jc w:val="both"/>
              <w:rPr>
                <w:rFonts w:asciiTheme="majorHAnsi" w:hAnsiTheme="majorHAnsi" w:cs="Calibri"/>
                <w:sz w:val="20"/>
                <w:szCs w:val="20"/>
              </w:rPr>
            </w:pPr>
            <w:r w:rsidRPr="00263445">
              <w:rPr>
                <w:rFonts w:asciiTheme="majorHAnsi" w:hAnsiTheme="majorHAnsi" w:cs="Calibri"/>
                <w:sz w:val="20"/>
                <w:szCs w:val="20"/>
              </w:rPr>
              <w:t>&gt;300mg/24 hour (not indicated if UPCR available)</w:t>
            </w:r>
          </w:p>
          <w:p w14:paraId="1C92FEDA" w14:textId="77777777" w:rsidR="00AE053E" w:rsidRPr="00263445" w:rsidRDefault="00AE053E" w:rsidP="00AE053E">
            <w:pPr>
              <w:pStyle w:val="ListParagraph"/>
              <w:numPr>
                <w:ilvl w:val="0"/>
                <w:numId w:val="15"/>
              </w:numPr>
              <w:spacing w:line="276" w:lineRule="auto"/>
              <w:jc w:val="both"/>
              <w:rPr>
                <w:rFonts w:asciiTheme="majorHAnsi" w:hAnsiTheme="majorHAnsi" w:cs="Calibri"/>
                <w:sz w:val="20"/>
                <w:szCs w:val="20"/>
              </w:rPr>
            </w:pPr>
            <w:r w:rsidRPr="00263445">
              <w:rPr>
                <w:rFonts w:asciiTheme="majorHAnsi" w:hAnsiTheme="majorHAnsi" w:cs="Calibri"/>
                <w:sz w:val="20"/>
                <w:szCs w:val="20"/>
              </w:rPr>
              <w:t>Dipstick &gt;2+ (if other methods unavailable)</w:t>
            </w:r>
          </w:p>
          <w:p w14:paraId="4E47A44C" w14:textId="79A27026" w:rsidR="00AE053E" w:rsidRPr="00263445" w:rsidRDefault="00AE053E" w:rsidP="00AE053E">
            <w:pPr>
              <w:pStyle w:val="ListParagraph"/>
              <w:numPr>
                <w:ilvl w:val="0"/>
                <w:numId w:val="15"/>
              </w:numPr>
              <w:spacing w:line="276" w:lineRule="auto"/>
              <w:rPr>
                <w:rFonts w:asciiTheme="majorHAnsi" w:hAnsiTheme="majorHAnsi" w:cs="Calibri"/>
                <w:sz w:val="20"/>
                <w:szCs w:val="20"/>
              </w:rPr>
            </w:pPr>
            <w:r w:rsidRPr="00263445">
              <w:rPr>
                <w:rFonts w:asciiTheme="majorHAnsi" w:hAnsiTheme="majorHAnsi" w:cs="Calibri"/>
                <w:sz w:val="20"/>
                <w:szCs w:val="20"/>
              </w:rPr>
              <w:t>UACR &gt;70 mg/g (&gt;8mg/mmol) awaiting further validation</w:t>
            </w:r>
            <w:r w:rsidRPr="00263445">
              <w:rPr>
                <w:rFonts w:asciiTheme="majorHAnsi" w:hAnsiTheme="majorHAnsi" w:cs="Calibri"/>
              </w:rPr>
              <w:t xml:space="preserve">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BEC{Waugh et al., 2017, #69734}</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(10)</w:t>
            </w:r>
            <w:r w:rsidRPr="00263445">
              <w:rPr>
                <w:rFonts w:asciiTheme="majorHAnsi" w:hAnsiTheme="majorHAnsi" w:cs="Calibri"/>
                <w:sz w:val="20"/>
                <w:szCs w:val="20"/>
              </w:rPr>
              <w:fldChar w:fldCharType="end"/>
            </w:r>
          </w:p>
        </w:tc>
        <w:tc>
          <w:tcPr>
            <w:tcW w:w="3544" w:type="dxa"/>
          </w:tcPr>
          <w:p w14:paraId="2D76CCCE" w14:textId="77777777" w:rsidR="00AE053E" w:rsidRPr="00263445" w:rsidRDefault="00AE053E" w:rsidP="00E83E7F">
            <w:pPr>
              <w:spacing w:line="276" w:lineRule="auto"/>
              <w:rPr>
                <w:rFonts w:asciiTheme="majorHAnsi" w:hAnsiTheme="majorHAnsi" w:cs="Calibri"/>
                <w:sz w:val="20"/>
                <w:szCs w:val="20"/>
              </w:rPr>
            </w:pPr>
            <w:r w:rsidRPr="00263445">
              <w:rPr>
                <w:rFonts w:asciiTheme="majorHAnsi" w:hAnsiTheme="majorHAnsi" w:cs="Calibri"/>
                <w:sz w:val="20"/>
                <w:szCs w:val="20"/>
              </w:rPr>
              <w:t>Proteinuria:</w:t>
            </w:r>
          </w:p>
          <w:p w14:paraId="419BC278" w14:textId="7BD2A3C3" w:rsidR="00AE053E" w:rsidRPr="00263445" w:rsidRDefault="00AE053E" w:rsidP="00AE053E">
            <w:pPr>
              <w:pStyle w:val="ListParagraph"/>
              <w:numPr>
                <w:ilvl w:val="0"/>
                <w:numId w:val="17"/>
              </w:numPr>
              <w:spacing w:line="276" w:lineRule="auto"/>
              <w:rPr>
                <w:rFonts w:asciiTheme="majorHAnsi" w:hAnsiTheme="majorHAnsi" w:cs="Calibri"/>
                <w:sz w:val="20"/>
                <w:szCs w:val="20"/>
              </w:rPr>
            </w:pPr>
            <w:r w:rsidRPr="00263445">
              <w:rPr>
                <w:rFonts w:asciiTheme="majorHAnsi" w:hAnsiTheme="majorHAnsi" w:cs="Calibri"/>
                <w:sz w:val="20"/>
                <w:szCs w:val="20"/>
              </w:rPr>
              <w:t>In women with non-protei</w:t>
            </w:r>
            <w:r w:rsidR="00803C74">
              <w:rPr>
                <w:rFonts w:asciiTheme="majorHAnsi" w:hAnsiTheme="majorHAnsi" w:cs="Calibri"/>
                <w:sz w:val="20"/>
                <w:szCs w:val="20"/>
              </w:rPr>
              <w:t>nuric CKD: as for pre-eclampsia</w:t>
            </w:r>
          </w:p>
          <w:p w14:paraId="0F8041F3" w14:textId="1569099C" w:rsidR="00AE053E" w:rsidRPr="00263445" w:rsidRDefault="00AE053E" w:rsidP="00AE053E">
            <w:pPr>
              <w:pStyle w:val="ListParagraph"/>
              <w:numPr>
                <w:ilvl w:val="0"/>
                <w:numId w:val="17"/>
              </w:numPr>
              <w:spacing w:line="276" w:lineRule="auto"/>
              <w:rPr>
                <w:rFonts w:asciiTheme="majorHAnsi" w:hAnsiTheme="majorHAnsi" w:cs="Calibri"/>
                <w:sz w:val="20"/>
                <w:szCs w:val="20"/>
              </w:rPr>
            </w:pPr>
            <w:r w:rsidRPr="00263445">
              <w:rPr>
                <w:rFonts w:asciiTheme="majorHAnsi" w:hAnsiTheme="majorHAnsi" w:cs="Calibri"/>
                <w:sz w:val="20"/>
                <w:szCs w:val="20"/>
              </w:rPr>
              <w:t xml:space="preserve">In women with proteinuric </w:t>
            </w:r>
            <w:r w:rsidR="00803C74">
              <w:rPr>
                <w:rFonts w:asciiTheme="majorHAnsi" w:hAnsiTheme="majorHAnsi" w:cs="Calibri"/>
                <w:sz w:val="20"/>
                <w:szCs w:val="20"/>
              </w:rPr>
              <w:t>CKD: no diagnostic threshold</w:t>
            </w:r>
          </w:p>
          <w:p w14:paraId="466EBE46" w14:textId="42D7B776" w:rsidR="00AE053E" w:rsidRPr="00263445" w:rsidRDefault="00AE053E" w:rsidP="00803C74">
            <w:pPr>
              <w:pStyle w:val="ListParagraph"/>
              <w:numPr>
                <w:ilvl w:val="0"/>
                <w:numId w:val="17"/>
              </w:numPr>
              <w:spacing w:line="276" w:lineRule="auto"/>
              <w:rPr>
                <w:rFonts w:asciiTheme="majorHAnsi" w:hAnsiTheme="majorHAnsi" w:cs="Calibri"/>
                <w:sz w:val="20"/>
                <w:szCs w:val="20"/>
              </w:rPr>
            </w:pPr>
            <w:r w:rsidRPr="00263445">
              <w:rPr>
                <w:rFonts w:asciiTheme="majorHAnsi" w:hAnsiTheme="majorHAnsi" w:cs="Calibri"/>
                <w:sz w:val="20"/>
                <w:szCs w:val="20"/>
              </w:rPr>
              <w:t xml:space="preserve">&gt;100% increase and UPCR ≥0.3mg/mg (&gt;30mg/mmol) used in research cohorts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BEC{Bramham et al., 2016, #40187}</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(5</w:t>
            </w:r>
            <w:r w:rsidR="00803C74">
              <w:rPr>
                <w:rFonts w:asciiTheme="majorHAnsi" w:hAnsiTheme="majorHAnsi" w:cs="Calibri"/>
                <w:sz w:val="20"/>
                <w:szCs w:val="20"/>
              </w:rPr>
              <w:t>,9</w:t>
            </w:r>
            <w:r w:rsidRPr="00263445">
              <w:rPr>
                <w:rFonts w:asciiTheme="majorHAnsi" w:hAnsiTheme="majorHAnsi" w:cs="Calibri"/>
                <w:sz w:val="20"/>
                <w:szCs w:val="20"/>
              </w:rPr>
              <w:t>)</w:t>
            </w:r>
            <w:r w:rsidRPr="00263445">
              <w:rPr>
                <w:rFonts w:asciiTheme="majorHAnsi" w:hAnsiTheme="majorHAnsi" w:cs="Calibri"/>
                <w:sz w:val="20"/>
                <w:szCs w:val="20"/>
              </w:rPr>
              <w:fldChar w:fldCharType="end"/>
            </w:r>
            <w:r w:rsidRPr="00263445">
              <w:rPr>
                <w:rFonts w:asciiTheme="majorHAnsi" w:hAnsiTheme="majorHAnsi" w:cs="Calibri"/>
              </w:rPr>
              <w:t xml:space="preserve"> </w:t>
            </w:r>
          </w:p>
        </w:tc>
      </w:tr>
      <w:tr w:rsidR="00AE053E" w:rsidRPr="00263445" w14:paraId="559ED853" w14:textId="77777777" w:rsidTr="00E83E7F">
        <w:tc>
          <w:tcPr>
            <w:tcW w:w="1062" w:type="dxa"/>
            <w:vMerge/>
          </w:tcPr>
          <w:p w14:paraId="3C921C45" w14:textId="77777777" w:rsidR="00AE053E" w:rsidRPr="00263445" w:rsidRDefault="00AE053E" w:rsidP="00E83E7F">
            <w:pPr>
              <w:spacing w:line="276" w:lineRule="auto"/>
              <w:jc w:val="both"/>
              <w:rPr>
                <w:rFonts w:asciiTheme="majorHAnsi" w:hAnsiTheme="majorHAnsi" w:cs="Calibri"/>
                <w:sz w:val="20"/>
                <w:szCs w:val="20"/>
              </w:rPr>
            </w:pPr>
          </w:p>
        </w:tc>
        <w:tc>
          <w:tcPr>
            <w:tcW w:w="3866" w:type="dxa"/>
          </w:tcPr>
          <w:p w14:paraId="4C5362E6" w14:textId="77777777" w:rsidR="00AE053E" w:rsidRPr="00263445" w:rsidRDefault="00AE053E" w:rsidP="00E83E7F">
            <w:pPr>
              <w:spacing w:line="276" w:lineRule="auto"/>
              <w:jc w:val="both"/>
              <w:rPr>
                <w:rFonts w:asciiTheme="majorHAnsi" w:hAnsiTheme="majorHAnsi" w:cs="Calibri"/>
                <w:sz w:val="20"/>
                <w:szCs w:val="20"/>
              </w:rPr>
            </w:pPr>
            <w:r w:rsidRPr="00263445">
              <w:rPr>
                <w:rFonts w:asciiTheme="majorHAnsi" w:hAnsiTheme="majorHAnsi" w:cs="Calibri"/>
                <w:sz w:val="20"/>
                <w:szCs w:val="20"/>
              </w:rPr>
              <w:t>Serum creatinine:</w:t>
            </w:r>
          </w:p>
          <w:p w14:paraId="3605F79C" w14:textId="77777777" w:rsidR="00AE053E" w:rsidRPr="00263445" w:rsidRDefault="00AE053E" w:rsidP="00AE053E">
            <w:pPr>
              <w:pStyle w:val="ListParagraph"/>
              <w:numPr>
                <w:ilvl w:val="0"/>
                <w:numId w:val="19"/>
              </w:numPr>
              <w:spacing w:line="276" w:lineRule="auto"/>
              <w:jc w:val="both"/>
              <w:rPr>
                <w:rFonts w:asciiTheme="majorHAnsi" w:hAnsiTheme="majorHAnsi" w:cs="Calibri"/>
                <w:sz w:val="20"/>
                <w:szCs w:val="20"/>
              </w:rPr>
            </w:pPr>
            <w:r w:rsidRPr="00263445">
              <w:rPr>
                <w:rFonts w:asciiTheme="majorHAnsi" w:hAnsiTheme="majorHAnsi" w:cs="Calibri"/>
                <w:sz w:val="20"/>
                <w:szCs w:val="20"/>
              </w:rPr>
              <w:t>Serum creatinine &gt;1.0</w:t>
            </w:r>
            <w:r w:rsidRPr="00263445">
              <w:rPr>
                <w:rFonts w:asciiTheme="majorHAnsi" w:hAnsiTheme="majorHAnsi" w:cs="Calibri"/>
                <w:sz w:val="20"/>
                <w:szCs w:val="20"/>
                <w:vertAlign w:val="superscript"/>
              </w:rPr>
              <w:t xml:space="preserve">a </w:t>
            </w:r>
            <w:r w:rsidRPr="00263445">
              <w:rPr>
                <w:rFonts w:asciiTheme="majorHAnsi" w:hAnsiTheme="majorHAnsi" w:cs="Calibri"/>
                <w:sz w:val="20"/>
                <w:szCs w:val="20"/>
              </w:rPr>
              <w:t>to 1.1</w:t>
            </w:r>
            <w:r w:rsidRPr="00263445">
              <w:rPr>
                <w:rFonts w:asciiTheme="majorHAnsi" w:hAnsiTheme="majorHAnsi" w:cs="Calibri"/>
                <w:sz w:val="20"/>
                <w:szCs w:val="20"/>
                <w:vertAlign w:val="superscript"/>
              </w:rPr>
              <w:t>b</w:t>
            </w:r>
            <w:r w:rsidRPr="00263445">
              <w:rPr>
                <w:rFonts w:asciiTheme="majorHAnsi" w:hAnsiTheme="majorHAnsi" w:cs="Calibri"/>
                <w:sz w:val="20"/>
                <w:szCs w:val="20"/>
              </w:rPr>
              <w:t>mg/dL*</w:t>
            </w:r>
          </w:p>
          <w:p w14:paraId="1DF8DE49" w14:textId="77777777" w:rsidR="00AE053E" w:rsidRPr="00263445" w:rsidRDefault="00AE053E" w:rsidP="00AE053E">
            <w:pPr>
              <w:pStyle w:val="ListParagraph"/>
              <w:numPr>
                <w:ilvl w:val="0"/>
                <w:numId w:val="19"/>
              </w:numPr>
              <w:spacing w:line="276" w:lineRule="auto"/>
              <w:jc w:val="both"/>
              <w:rPr>
                <w:rFonts w:asciiTheme="majorHAnsi" w:hAnsiTheme="majorHAnsi" w:cs="Calibri"/>
                <w:sz w:val="20"/>
                <w:szCs w:val="20"/>
              </w:rPr>
            </w:pPr>
            <w:r w:rsidRPr="00263445">
              <w:rPr>
                <w:rFonts w:asciiTheme="majorHAnsi" w:hAnsiTheme="majorHAnsi" w:cs="Calibri"/>
                <w:sz w:val="20"/>
                <w:szCs w:val="20"/>
              </w:rPr>
              <w:t>Doubling of serum creatinine below 1.1mg/dL</w:t>
            </w:r>
            <w:r w:rsidRPr="00263445">
              <w:rPr>
                <w:rFonts w:asciiTheme="majorHAnsi" w:hAnsiTheme="majorHAnsi" w:cs="Calibri"/>
                <w:sz w:val="20"/>
                <w:szCs w:val="20"/>
                <w:vertAlign w:val="superscript"/>
              </w:rPr>
              <w:t>b</w:t>
            </w:r>
            <w:r w:rsidRPr="00263445">
              <w:rPr>
                <w:rFonts w:asciiTheme="majorHAnsi" w:hAnsiTheme="majorHAnsi" w:cs="Calibri"/>
                <w:sz w:val="20"/>
                <w:szCs w:val="20"/>
              </w:rPr>
              <w:t>*</w:t>
            </w:r>
          </w:p>
          <w:p w14:paraId="6F745C5A" w14:textId="77777777" w:rsidR="00AE053E" w:rsidRPr="00263445" w:rsidRDefault="00AE053E" w:rsidP="00E83E7F">
            <w:pPr>
              <w:spacing w:line="276" w:lineRule="auto"/>
              <w:jc w:val="both"/>
              <w:rPr>
                <w:rFonts w:asciiTheme="majorHAnsi" w:hAnsiTheme="majorHAnsi" w:cs="Calibri"/>
                <w:sz w:val="20"/>
                <w:szCs w:val="20"/>
              </w:rPr>
            </w:pPr>
          </w:p>
        </w:tc>
        <w:tc>
          <w:tcPr>
            <w:tcW w:w="3544" w:type="dxa"/>
          </w:tcPr>
          <w:p w14:paraId="5E07CD9F" w14:textId="77777777" w:rsidR="00AE053E" w:rsidRPr="00263445" w:rsidRDefault="00AE053E" w:rsidP="00E83E7F">
            <w:pPr>
              <w:spacing w:line="276" w:lineRule="auto"/>
              <w:rPr>
                <w:rFonts w:asciiTheme="majorHAnsi" w:hAnsiTheme="majorHAnsi" w:cs="Calibri"/>
                <w:sz w:val="20"/>
                <w:szCs w:val="20"/>
              </w:rPr>
            </w:pPr>
            <w:r w:rsidRPr="00263445">
              <w:rPr>
                <w:rFonts w:asciiTheme="majorHAnsi" w:hAnsiTheme="majorHAnsi" w:cs="Calibri"/>
                <w:sz w:val="20"/>
                <w:szCs w:val="20"/>
              </w:rPr>
              <w:t>Serum creatinine:</w:t>
            </w:r>
          </w:p>
          <w:p w14:paraId="6C684060" w14:textId="77777777" w:rsidR="00AE053E" w:rsidRPr="00263445" w:rsidRDefault="00AE053E" w:rsidP="00AE053E">
            <w:pPr>
              <w:pStyle w:val="ListParagraph"/>
              <w:numPr>
                <w:ilvl w:val="0"/>
                <w:numId w:val="18"/>
              </w:numPr>
              <w:spacing w:line="276" w:lineRule="auto"/>
              <w:rPr>
                <w:rFonts w:asciiTheme="majorHAnsi" w:hAnsiTheme="majorHAnsi" w:cs="Calibri"/>
                <w:sz w:val="20"/>
                <w:szCs w:val="20"/>
              </w:rPr>
            </w:pPr>
            <w:r w:rsidRPr="00263445">
              <w:rPr>
                <w:rFonts w:asciiTheme="majorHAnsi" w:hAnsiTheme="majorHAnsi" w:cs="Calibri"/>
                <w:sz w:val="20"/>
                <w:szCs w:val="20"/>
              </w:rPr>
              <w:t>In women with CKD and preserved excretory function: as for pre-eclampsia</w:t>
            </w:r>
          </w:p>
          <w:p w14:paraId="767A8720" w14:textId="77777777" w:rsidR="00AE053E" w:rsidRPr="00263445" w:rsidRDefault="00AE053E" w:rsidP="00AE053E">
            <w:pPr>
              <w:pStyle w:val="ListParagraph"/>
              <w:numPr>
                <w:ilvl w:val="0"/>
                <w:numId w:val="18"/>
              </w:numPr>
              <w:spacing w:line="276" w:lineRule="auto"/>
              <w:rPr>
                <w:rFonts w:asciiTheme="majorHAnsi" w:hAnsiTheme="majorHAnsi" w:cs="Calibri"/>
                <w:sz w:val="20"/>
                <w:szCs w:val="20"/>
              </w:rPr>
            </w:pPr>
            <w:r w:rsidRPr="00263445">
              <w:rPr>
                <w:rFonts w:asciiTheme="majorHAnsi" w:hAnsiTheme="majorHAnsi" w:cs="Calibri"/>
                <w:sz w:val="20"/>
                <w:szCs w:val="20"/>
              </w:rPr>
              <w:t>In women with CKD and abnormal pre—pregnancy function: no consensus on diagnostic threshold for change in creatinine, &gt;50% increase within 7 days used in research cohorts</w:t>
            </w:r>
            <w:r w:rsidRPr="00263445">
              <w:rPr>
                <w:rFonts w:asciiTheme="majorHAnsi" w:hAnsiTheme="majorHAnsi" w:cs="Calibri"/>
              </w:rPr>
              <w:t xml:space="preserve">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BEC{Bramham et al., 2016, #40187}</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(5)</w:t>
            </w:r>
            <w:r w:rsidRPr="00263445">
              <w:rPr>
                <w:rFonts w:asciiTheme="majorHAnsi" w:hAnsiTheme="majorHAnsi" w:cs="Calibri"/>
                <w:sz w:val="20"/>
                <w:szCs w:val="20"/>
              </w:rPr>
              <w:fldChar w:fldCharType="end"/>
            </w:r>
          </w:p>
        </w:tc>
      </w:tr>
      <w:tr w:rsidR="00AE053E" w:rsidRPr="00263445" w14:paraId="4DE298C4" w14:textId="77777777" w:rsidTr="00E83E7F">
        <w:tc>
          <w:tcPr>
            <w:tcW w:w="1062" w:type="dxa"/>
            <w:vMerge/>
          </w:tcPr>
          <w:p w14:paraId="49DDD22D" w14:textId="77777777" w:rsidR="00AE053E" w:rsidRPr="00263445" w:rsidRDefault="00AE053E" w:rsidP="00E83E7F">
            <w:pPr>
              <w:spacing w:line="276" w:lineRule="auto"/>
              <w:jc w:val="both"/>
              <w:rPr>
                <w:rFonts w:asciiTheme="majorHAnsi" w:hAnsiTheme="majorHAnsi" w:cs="Calibri"/>
                <w:sz w:val="20"/>
                <w:szCs w:val="20"/>
              </w:rPr>
            </w:pPr>
          </w:p>
        </w:tc>
        <w:tc>
          <w:tcPr>
            <w:tcW w:w="7410" w:type="dxa"/>
            <w:gridSpan w:val="2"/>
          </w:tcPr>
          <w:p w14:paraId="5DD4E302" w14:textId="77777777" w:rsidR="00AE053E" w:rsidRPr="00263445" w:rsidRDefault="00AE053E" w:rsidP="00E83E7F">
            <w:pPr>
              <w:spacing w:line="276" w:lineRule="auto"/>
              <w:rPr>
                <w:rFonts w:asciiTheme="majorHAnsi" w:hAnsiTheme="majorHAnsi" w:cs="Calibri"/>
                <w:sz w:val="20"/>
                <w:szCs w:val="20"/>
              </w:rPr>
            </w:pPr>
            <w:r w:rsidRPr="00263445">
              <w:rPr>
                <w:rFonts w:asciiTheme="majorHAnsi" w:hAnsiTheme="majorHAnsi" w:cs="Calibri"/>
                <w:sz w:val="20"/>
                <w:szCs w:val="20"/>
              </w:rPr>
              <w:t xml:space="preserve">Haematological complications: </w:t>
            </w:r>
          </w:p>
          <w:p w14:paraId="4B15BBB0" w14:textId="77777777" w:rsidR="00AE053E" w:rsidRPr="00263445" w:rsidRDefault="00AE053E" w:rsidP="00AE053E">
            <w:pPr>
              <w:pStyle w:val="ListParagraph"/>
              <w:numPr>
                <w:ilvl w:val="0"/>
                <w:numId w:val="20"/>
              </w:numPr>
              <w:spacing w:line="276" w:lineRule="auto"/>
              <w:rPr>
                <w:rFonts w:asciiTheme="majorHAnsi" w:hAnsiTheme="majorHAnsi" w:cs="Calibri"/>
                <w:sz w:val="20"/>
                <w:szCs w:val="20"/>
              </w:rPr>
            </w:pPr>
            <w:r w:rsidRPr="00263445">
              <w:rPr>
                <w:rFonts w:asciiTheme="majorHAnsi" w:hAnsiTheme="majorHAnsi" w:cs="Calibri"/>
                <w:sz w:val="20"/>
                <w:szCs w:val="20"/>
              </w:rPr>
              <w:t>platelets &lt;100</w:t>
            </w:r>
            <w:r w:rsidRPr="00263445">
              <w:rPr>
                <w:rFonts w:asciiTheme="majorHAnsi" w:hAnsiTheme="majorHAnsi" w:cs="Calibri"/>
                <w:sz w:val="20"/>
                <w:szCs w:val="20"/>
                <w:vertAlign w:val="superscript"/>
              </w:rPr>
              <w:t>b</w:t>
            </w:r>
            <w:r w:rsidRPr="00263445">
              <w:rPr>
                <w:rFonts w:asciiTheme="majorHAnsi" w:hAnsiTheme="majorHAnsi" w:cs="Calibri"/>
                <w:sz w:val="20"/>
                <w:szCs w:val="20"/>
              </w:rPr>
              <w:t>-150</w:t>
            </w:r>
            <w:r w:rsidRPr="00263445">
              <w:rPr>
                <w:rFonts w:asciiTheme="majorHAnsi" w:hAnsiTheme="majorHAnsi" w:cs="Calibri"/>
                <w:sz w:val="20"/>
                <w:szCs w:val="20"/>
                <w:vertAlign w:val="superscript"/>
              </w:rPr>
              <w:t>a</w:t>
            </w:r>
            <w:r w:rsidRPr="00263445">
              <w:rPr>
                <w:rFonts w:asciiTheme="majorHAnsi" w:hAnsiTheme="majorHAnsi" w:cs="Calibri"/>
                <w:sz w:val="20"/>
                <w:szCs w:val="20"/>
              </w:rPr>
              <w:t xml:space="preserve"> x10</w:t>
            </w:r>
            <w:r w:rsidRPr="00263445">
              <w:rPr>
                <w:rFonts w:asciiTheme="majorHAnsi" w:hAnsiTheme="majorHAnsi" w:cs="Calibri"/>
                <w:sz w:val="20"/>
                <w:szCs w:val="20"/>
                <w:vertAlign w:val="superscript"/>
              </w:rPr>
              <w:t>9</w:t>
            </w:r>
            <w:r w:rsidRPr="00263445">
              <w:rPr>
                <w:rFonts w:asciiTheme="majorHAnsi" w:hAnsiTheme="majorHAnsi" w:cs="Calibri"/>
                <w:sz w:val="20"/>
                <w:szCs w:val="20"/>
              </w:rPr>
              <w:t>/L*</w:t>
            </w:r>
          </w:p>
          <w:p w14:paraId="1BCE215C" w14:textId="77777777" w:rsidR="00AE053E" w:rsidRPr="00263445" w:rsidRDefault="00AE053E" w:rsidP="00AE053E">
            <w:pPr>
              <w:pStyle w:val="ListParagraph"/>
              <w:numPr>
                <w:ilvl w:val="0"/>
                <w:numId w:val="20"/>
              </w:numPr>
              <w:spacing w:line="276" w:lineRule="auto"/>
              <w:rPr>
                <w:rFonts w:asciiTheme="majorHAnsi" w:hAnsiTheme="majorHAnsi" w:cs="Calibri"/>
                <w:sz w:val="20"/>
                <w:szCs w:val="20"/>
              </w:rPr>
            </w:pPr>
            <w:r w:rsidRPr="00263445">
              <w:rPr>
                <w:rFonts w:asciiTheme="majorHAnsi" w:hAnsiTheme="majorHAnsi" w:cs="Calibri"/>
                <w:sz w:val="20"/>
                <w:szCs w:val="20"/>
              </w:rPr>
              <w:t>haemolysis*, disseminated intravascular coagulation*</w:t>
            </w:r>
          </w:p>
        </w:tc>
      </w:tr>
      <w:tr w:rsidR="00AE053E" w:rsidRPr="00263445" w14:paraId="0E736464" w14:textId="77777777" w:rsidTr="00E83E7F">
        <w:tc>
          <w:tcPr>
            <w:tcW w:w="1062" w:type="dxa"/>
            <w:vMerge/>
          </w:tcPr>
          <w:p w14:paraId="090B88F3" w14:textId="77777777" w:rsidR="00AE053E" w:rsidRPr="00263445" w:rsidRDefault="00AE053E" w:rsidP="00E83E7F">
            <w:pPr>
              <w:spacing w:line="276" w:lineRule="auto"/>
              <w:jc w:val="both"/>
              <w:rPr>
                <w:rFonts w:asciiTheme="majorHAnsi" w:hAnsiTheme="majorHAnsi" w:cs="Calibri"/>
                <w:sz w:val="20"/>
                <w:szCs w:val="20"/>
              </w:rPr>
            </w:pPr>
          </w:p>
        </w:tc>
        <w:tc>
          <w:tcPr>
            <w:tcW w:w="7410" w:type="dxa"/>
            <w:gridSpan w:val="2"/>
          </w:tcPr>
          <w:p w14:paraId="1A917B6A" w14:textId="77777777" w:rsidR="00AE053E" w:rsidRPr="00263445" w:rsidRDefault="00AE053E" w:rsidP="00E83E7F">
            <w:pPr>
              <w:spacing w:line="276" w:lineRule="auto"/>
              <w:rPr>
                <w:rFonts w:asciiTheme="majorHAnsi" w:hAnsiTheme="majorHAnsi" w:cs="Calibri"/>
                <w:sz w:val="20"/>
                <w:szCs w:val="20"/>
              </w:rPr>
            </w:pPr>
            <w:r w:rsidRPr="00263445">
              <w:rPr>
                <w:rFonts w:asciiTheme="majorHAnsi" w:hAnsiTheme="majorHAnsi" w:cs="Calibri"/>
                <w:sz w:val="20"/>
                <w:szCs w:val="20"/>
              </w:rPr>
              <w:t xml:space="preserve">Liver complications: </w:t>
            </w:r>
          </w:p>
          <w:p w14:paraId="5A3860A1" w14:textId="77777777" w:rsidR="00AE053E" w:rsidRPr="00263445" w:rsidRDefault="00AE053E" w:rsidP="00AE053E">
            <w:pPr>
              <w:pStyle w:val="ListParagraph"/>
              <w:numPr>
                <w:ilvl w:val="0"/>
                <w:numId w:val="20"/>
              </w:numPr>
              <w:spacing w:line="276" w:lineRule="auto"/>
              <w:rPr>
                <w:rFonts w:asciiTheme="majorHAnsi" w:hAnsiTheme="majorHAnsi" w:cs="Calibri"/>
                <w:sz w:val="20"/>
                <w:szCs w:val="20"/>
              </w:rPr>
            </w:pPr>
            <w:r w:rsidRPr="00263445">
              <w:rPr>
                <w:rFonts w:asciiTheme="majorHAnsi" w:hAnsiTheme="majorHAnsi" w:cs="Calibri"/>
                <w:sz w:val="20"/>
                <w:szCs w:val="20"/>
              </w:rPr>
              <w:t>AST or ALT &gt;40 IU/L</w:t>
            </w:r>
            <w:r w:rsidRPr="00263445">
              <w:rPr>
                <w:rFonts w:asciiTheme="majorHAnsi" w:hAnsiTheme="majorHAnsi" w:cs="Calibri"/>
                <w:sz w:val="20"/>
                <w:szCs w:val="20"/>
                <w:vertAlign w:val="superscript"/>
              </w:rPr>
              <w:t>a</w:t>
            </w:r>
            <w:r w:rsidRPr="00263445">
              <w:rPr>
                <w:rFonts w:asciiTheme="majorHAnsi" w:hAnsiTheme="majorHAnsi" w:cs="Calibri"/>
                <w:sz w:val="20"/>
                <w:szCs w:val="20"/>
              </w:rPr>
              <w:t xml:space="preserve"> or double normal reference limit</w:t>
            </w:r>
            <w:r w:rsidRPr="00263445">
              <w:rPr>
                <w:rFonts w:asciiTheme="majorHAnsi" w:hAnsiTheme="majorHAnsi" w:cs="Calibri"/>
                <w:sz w:val="20"/>
                <w:szCs w:val="20"/>
                <w:vertAlign w:val="superscript"/>
              </w:rPr>
              <w:t>b</w:t>
            </w:r>
            <w:r w:rsidRPr="00263445">
              <w:rPr>
                <w:rFonts w:asciiTheme="majorHAnsi" w:hAnsiTheme="majorHAnsi" w:cs="Calibri"/>
                <w:sz w:val="20"/>
                <w:szCs w:val="20"/>
              </w:rPr>
              <w:t>*</w:t>
            </w:r>
          </w:p>
          <w:p w14:paraId="3FDFF97F" w14:textId="77777777" w:rsidR="00AE053E" w:rsidRPr="00263445" w:rsidRDefault="00AE053E" w:rsidP="00AE053E">
            <w:pPr>
              <w:pStyle w:val="ListParagraph"/>
              <w:numPr>
                <w:ilvl w:val="0"/>
                <w:numId w:val="20"/>
              </w:numPr>
              <w:spacing w:line="276" w:lineRule="auto"/>
              <w:rPr>
                <w:rFonts w:asciiTheme="majorHAnsi" w:hAnsiTheme="majorHAnsi" w:cs="Calibri"/>
                <w:sz w:val="20"/>
                <w:szCs w:val="20"/>
              </w:rPr>
            </w:pPr>
            <w:r w:rsidRPr="00263445">
              <w:rPr>
                <w:rFonts w:asciiTheme="majorHAnsi" w:hAnsiTheme="majorHAnsi" w:cs="Calibri"/>
                <w:sz w:val="20"/>
                <w:szCs w:val="20"/>
              </w:rPr>
              <w:t>epigastric/right upper quadrant pain (not attributable to alternate diagnosis)*</w:t>
            </w:r>
          </w:p>
        </w:tc>
      </w:tr>
      <w:tr w:rsidR="00AE053E" w:rsidRPr="00263445" w14:paraId="7A43E495" w14:textId="77777777" w:rsidTr="00E83E7F">
        <w:tc>
          <w:tcPr>
            <w:tcW w:w="1062" w:type="dxa"/>
            <w:vMerge/>
          </w:tcPr>
          <w:p w14:paraId="7BDF0F57" w14:textId="77777777" w:rsidR="00AE053E" w:rsidRPr="00263445" w:rsidRDefault="00AE053E" w:rsidP="00E83E7F">
            <w:pPr>
              <w:spacing w:line="276" w:lineRule="auto"/>
              <w:jc w:val="both"/>
              <w:rPr>
                <w:rFonts w:asciiTheme="majorHAnsi" w:hAnsiTheme="majorHAnsi" w:cs="Calibri"/>
                <w:sz w:val="20"/>
                <w:szCs w:val="20"/>
              </w:rPr>
            </w:pPr>
          </w:p>
        </w:tc>
        <w:tc>
          <w:tcPr>
            <w:tcW w:w="7410" w:type="dxa"/>
            <w:gridSpan w:val="2"/>
          </w:tcPr>
          <w:p w14:paraId="375C7398" w14:textId="77777777" w:rsidR="00AE053E" w:rsidRPr="00263445" w:rsidRDefault="00AE053E" w:rsidP="00E83E7F">
            <w:pPr>
              <w:spacing w:line="276" w:lineRule="auto"/>
              <w:rPr>
                <w:rFonts w:asciiTheme="majorHAnsi" w:hAnsiTheme="majorHAnsi" w:cs="Calibri"/>
                <w:sz w:val="20"/>
                <w:szCs w:val="20"/>
              </w:rPr>
            </w:pPr>
            <w:r w:rsidRPr="00263445">
              <w:rPr>
                <w:rFonts w:asciiTheme="majorHAnsi" w:hAnsiTheme="majorHAnsi" w:cs="Calibri"/>
                <w:sz w:val="20"/>
                <w:szCs w:val="20"/>
              </w:rPr>
              <w:t>Neurological complications:</w:t>
            </w:r>
          </w:p>
          <w:p w14:paraId="70CB52C7" w14:textId="77777777" w:rsidR="00AE053E" w:rsidRPr="00263445" w:rsidRDefault="00AE053E" w:rsidP="00AE053E">
            <w:pPr>
              <w:pStyle w:val="ListParagraph"/>
              <w:numPr>
                <w:ilvl w:val="0"/>
                <w:numId w:val="21"/>
              </w:numPr>
              <w:spacing w:line="276" w:lineRule="auto"/>
              <w:rPr>
                <w:rFonts w:asciiTheme="majorHAnsi" w:hAnsiTheme="majorHAnsi" w:cs="Calibri"/>
                <w:sz w:val="20"/>
                <w:szCs w:val="20"/>
              </w:rPr>
            </w:pPr>
            <w:r w:rsidRPr="00263445">
              <w:rPr>
                <w:rFonts w:asciiTheme="majorHAnsi" w:hAnsiTheme="majorHAnsi" w:cs="Calibri"/>
                <w:sz w:val="20"/>
                <w:szCs w:val="20"/>
              </w:rPr>
              <w:t>eclampsia*</w:t>
            </w:r>
          </w:p>
          <w:p w14:paraId="43337DDA" w14:textId="77777777" w:rsidR="00AE053E" w:rsidRPr="00263445" w:rsidRDefault="00AE053E" w:rsidP="00AE053E">
            <w:pPr>
              <w:pStyle w:val="ListParagraph"/>
              <w:numPr>
                <w:ilvl w:val="0"/>
                <w:numId w:val="21"/>
              </w:numPr>
              <w:spacing w:line="276" w:lineRule="auto"/>
              <w:rPr>
                <w:rFonts w:asciiTheme="majorHAnsi" w:hAnsiTheme="majorHAnsi" w:cs="Calibri"/>
                <w:sz w:val="20"/>
                <w:szCs w:val="20"/>
              </w:rPr>
            </w:pPr>
            <w:r w:rsidRPr="00263445">
              <w:rPr>
                <w:rFonts w:asciiTheme="majorHAnsi" w:hAnsiTheme="majorHAnsi" w:cs="Calibri"/>
                <w:sz w:val="20"/>
                <w:szCs w:val="20"/>
              </w:rPr>
              <w:t>altered mental status*</w:t>
            </w:r>
          </w:p>
          <w:p w14:paraId="296FDADB" w14:textId="0FE9F1CD" w:rsidR="00AE053E" w:rsidRPr="00263445" w:rsidRDefault="00AE053E" w:rsidP="00AE053E">
            <w:pPr>
              <w:pStyle w:val="ListParagraph"/>
              <w:numPr>
                <w:ilvl w:val="0"/>
                <w:numId w:val="21"/>
              </w:numPr>
              <w:spacing w:line="276" w:lineRule="auto"/>
              <w:rPr>
                <w:rFonts w:asciiTheme="majorHAnsi" w:hAnsiTheme="majorHAnsi" w:cs="Calibri"/>
                <w:sz w:val="20"/>
                <w:szCs w:val="20"/>
              </w:rPr>
            </w:pPr>
            <w:proofErr w:type="gramStart"/>
            <w:r w:rsidRPr="00263445">
              <w:rPr>
                <w:rFonts w:asciiTheme="majorHAnsi" w:hAnsiTheme="majorHAnsi" w:cs="Calibri"/>
                <w:sz w:val="20"/>
                <w:szCs w:val="20"/>
              </w:rPr>
              <w:t>blindness</w:t>
            </w:r>
            <w:proofErr w:type="gramEnd"/>
            <w:r w:rsidRPr="00263445">
              <w:rPr>
                <w:rFonts w:asciiTheme="majorHAnsi" w:hAnsiTheme="majorHAnsi" w:cs="Calibri"/>
                <w:sz w:val="20"/>
                <w:szCs w:val="20"/>
              </w:rPr>
              <w:t>,</w:t>
            </w:r>
            <w:r w:rsidR="00014806">
              <w:rPr>
                <w:rFonts w:asciiTheme="majorHAnsi" w:hAnsiTheme="majorHAnsi" w:cs="Calibri"/>
                <w:sz w:val="20"/>
                <w:szCs w:val="20"/>
              </w:rPr>
              <w:t xml:space="preserve"> </w:t>
            </w:r>
            <w:r w:rsidRPr="00263445">
              <w:rPr>
                <w:rFonts w:asciiTheme="majorHAnsi" w:hAnsiTheme="majorHAnsi" w:cs="Calibri"/>
                <w:sz w:val="20"/>
                <w:szCs w:val="20"/>
              </w:rPr>
              <w:t>persistent visual scotomata*</w:t>
            </w:r>
          </w:p>
          <w:p w14:paraId="432BC20D" w14:textId="77777777" w:rsidR="00AE053E" w:rsidRPr="00263445" w:rsidRDefault="00AE053E" w:rsidP="00AE053E">
            <w:pPr>
              <w:pStyle w:val="ListParagraph"/>
              <w:numPr>
                <w:ilvl w:val="0"/>
                <w:numId w:val="21"/>
              </w:numPr>
              <w:spacing w:line="276" w:lineRule="auto"/>
              <w:rPr>
                <w:rFonts w:asciiTheme="majorHAnsi" w:hAnsiTheme="majorHAnsi" w:cs="Calibri"/>
                <w:sz w:val="20"/>
                <w:szCs w:val="20"/>
              </w:rPr>
            </w:pPr>
            <w:r w:rsidRPr="00263445">
              <w:rPr>
                <w:rFonts w:asciiTheme="majorHAnsi" w:hAnsiTheme="majorHAnsi" w:cs="Calibri"/>
                <w:sz w:val="20"/>
                <w:szCs w:val="20"/>
              </w:rPr>
              <w:t>stroke*</w:t>
            </w:r>
          </w:p>
          <w:p w14:paraId="00C032EF" w14:textId="77777777" w:rsidR="00AE053E" w:rsidRPr="00263445" w:rsidRDefault="00AE053E" w:rsidP="00AE053E">
            <w:pPr>
              <w:pStyle w:val="ListParagraph"/>
              <w:numPr>
                <w:ilvl w:val="0"/>
                <w:numId w:val="21"/>
              </w:numPr>
              <w:spacing w:line="276" w:lineRule="auto"/>
              <w:rPr>
                <w:rFonts w:asciiTheme="majorHAnsi" w:hAnsiTheme="majorHAnsi" w:cs="Calibri"/>
                <w:sz w:val="20"/>
                <w:szCs w:val="20"/>
              </w:rPr>
            </w:pPr>
            <w:r w:rsidRPr="00263445">
              <w:rPr>
                <w:rFonts w:asciiTheme="majorHAnsi" w:hAnsiTheme="majorHAnsi" w:cs="Calibri"/>
                <w:sz w:val="20"/>
                <w:szCs w:val="20"/>
              </w:rPr>
              <w:t>clonus</w:t>
            </w:r>
          </w:p>
          <w:p w14:paraId="686EB5DE" w14:textId="77777777" w:rsidR="00AE053E" w:rsidRPr="00263445" w:rsidRDefault="00AE053E" w:rsidP="00AE053E">
            <w:pPr>
              <w:pStyle w:val="ListParagraph"/>
              <w:numPr>
                <w:ilvl w:val="0"/>
                <w:numId w:val="21"/>
              </w:numPr>
              <w:spacing w:line="276" w:lineRule="auto"/>
              <w:rPr>
                <w:rFonts w:asciiTheme="majorHAnsi" w:hAnsiTheme="majorHAnsi" w:cs="Calibri"/>
                <w:sz w:val="20"/>
                <w:szCs w:val="20"/>
              </w:rPr>
            </w:pPr>
            <w:r w:rsidRPr="00263445">
              <w:rPr>
                <w:rFonts w:asciiTheme="majorHAnsi" w:hAnsiTheme="majorHAnsi" w:cs="Calibri"/>
                <w:sz w:val="20"/>
                <w:szCs w:val="20"/>
              </w:rPr>
              <w:t>new onset headache not attributable to alternate diagnosis*</w:t>
            </w:r>
          </w:p>
        </w:tc>
      </w:tr>
      <w:tr w:rsidR="00AE053E" w:rsidRPr="00263445" w14:paraId="50649CE7" w14:textId="77777777" w:rsidTr="00E83E7F">
        <w:tc>
          <w:tcPr>
            <w:tcW w:w="1062" w:type="dxa"/>
            <w:vMerge/>
          </w:tcPr>
          <w:p w14:paraId="19A512C1" w14:textId="77777777" w:rsidR="00AE053E" w:rsidRPr="00263445" w:rsidRDefault="00AE053E" w:rsidP="00E83E7F">
            <w:pPr>
              <w:spacing w:line="276" w:lineRule="auto"/>
              <w:jc w:val="both"/>
              <w:rPr>
                <w:rFonts w:asciiTheme="majorHAnsi" w:hAnsiTheme="majorHAnsi" w:cs="Calibri"/>
                <w:sz w:val="20"/>
                <w:szCs w:val="20"/>
              </w:rPr>
            </w:pPr>
          </w:p>
        </w:tc>
        <w:tc>
          <w:tcPr>
            <w:tcW w:w="7410" w:type="dxa"/>
            <w:gridSpan w:val="2"/>
          </w:tcPr>
          <w:p w14:paraId="6CCD3BDE" w14:textId="77777777" w:rsidR="00AE053E" w:rsidRPr="00263445" w:rsidRDefault="00AE053E" w:rsidP="00E83E7F">
            <w:pPr>
              <w:spacing w:line="276" w:lineRule="auto"/>
              <w:jc w:val="both"/>
              <w:rPr>
                <w:rFonts w:asciiTheme="majorHAnsi" w:hAnsiTheme="majorHAnsi" w:cs="Calibri"/>
                <w:sz w:val="20"/>
                <w:szCs w:val="20"/>
              </w:rPr>
            </w:pPr>
            <w:r w:rsidRPr="00263445">
              <w:rPr>
                <w:rFonts w:asciiTheme="majorHAnsi" w:hAnsiTheme="majorHAnsi" w:cs="Calibri"/>
                <w:sz w:val="20"/>
                <w:szCs w:val="20"/>
              </w:rPr>
              <w:t>Respiratory complications:</w:t>
            </w:r>
          </w:p>
          <w:p w14:paraId="187EB7F9" w14:textId="77777777" w:rsidR="00AE053E" w:rsidRPr="00263445" w:rsidRDefault="00AE053E" w:rsidP="00AE053E">
            <w:pPr>
              <w:pStyle w:val="ListParagraph"/>
              <w:numPr>
                <w:ilvl w:val="0"/>
                <w:numId w:val="22"/>
              </w:numPr>
              <w:spacing w:line="276" w:lineRule="auto"/>
              <w:jc w:val="both"/>
              <w:rPr>
                <w:rFonts w:asciiTheme="majorHAnsi" w:hAnsiTheme="majorHAnsi" w:cs="Calibri"/>
                <w:sz w:val="20"/>
                <w:szCs w:val="20"/>
              </w:rPr>
            </w:pPr>
            <w:r w:rsidRPr="00263445">
              <w:rPr>
                <w:rFonts w:asciiTheme="majorHAnsi" w:hAnsiTheme="majorHAnsi" w:cs="Calibri"/>
                <w:sz w:val="20"/>
                <w:szCs w:val="20"/>
              </w:rPr>
              <w:t>pulmonary oedema*</w:t>
            </w:r>
          </w:p>
        </w:tc>
      </w:tr>
      <w:tr w:rsidR="00AE053E" w:rsidRPr="00263445" w14:paraId="4A229C6B" w14:textId="77777777" w:rsidTr="00E83E7F">
        <w:tc>
          <w:tcPr>
            <w:tcW w:w="1062" w:type="dxa"/>
            <w:vMerge/>
          </w:tcPr>
          <w:p w14:paraId="3EE434C4" w14:textId="77777777" w:rsidR="00AE053E" w:rsidRPr="00263445" w:rsidRDefault="00AE053E" w:rsidP="00E83E7F">
            <w:pPr>
              <w:spacing w:line="276" w:lineRule="auto"/>
              <w:jc w:val="both"/>
              <w:rPr>
                <w:rFonts w:asciiTheme="majorHAnsi" w:hAnsiTheme="majorHAnsi" w:cs="Calibri"/>
                <w:sz w:val="20"/>
                <w:szCs w:val="20"/>
              </w:rPr>
            </w:pPr>
          </w:p>
        </w:tc>
        <w:tc>
          <w:tcPr>
            <w:tcW w:w="7410" w:type="dxa"/>
            <w:gridSpan w:val="2"/>
          </w:tcPr>
          <w:p w14:paraId="53C91DCA" w14:textId="77777777" w:rsidR="00AE053E" w:rsidRPr="00263445" w:rsidRDefault="00AE053E" w:rsidP="00E83E7F">
            <w:pPr>
              <w:spacing w:line="276" w:lineRule="auto"/>
              <w:jc w:val="both"/>
              <w:rPr>
                <w:rFonts w:asciiTheme="majorHAnsi" w:hAnsiTheme="majorHAnsi" w:cs="Calibri"/>
                <w:sz w:val="20"/>
                <w:szCs w:val="20"/>
              </w:rPr>
            </w:pPr>
            <w:r w:rsidRPr="00263445">
              <w:rPr>
                <w:rFonts w:asciiTheme="majorHAnsi" w:hAnsiTheme="majorHAnsi" w:cs="Calibri"/>
                <w:sz w:val="20"/>
                <w:szCs w:val="20"/>
              </w:rPr>
              <w:t>Uteroplacental dysfunction:</w:t>
            </w:r>
          </w:p>
          <w:p w14:paraId="6588BF5F" w14:textId="77777777" w:rsidR="00AE053E" w:rsidRPr="00263445" w:rsidRDefault="00AE053E" w:rsidP="00AE053E">
            <w:pPr>
              <w:pStyle w:val="ListParagraph"/>
              <w:numPr>
                <w:ilvl w:val="0"/>
                <w:numId w:val="22"/>
              </w:numPr>
              <w:spacing w:line="276" w:lineRule="auto"/>
              <w:jc w:val="both"/>
              <w:rPr>
                <w:rFonts w:asciiTheme="majorHAnsi" w:hAnsiTheme="majorHAnsi" w:cs="Calibri"/>
                <w:sz w:val="20"/>
                <w:szCs w:val="20"/>
              </w:rPr>
            </w:pPr>
            <w:r w:rsidRPr="00263445">
              <w:rPr>
                <w:rFonts w:asciiTheme="majorHAnsi" w:hAnsiTheme="majorHAnsi" w:cs="Calibri"/>
                <w:sz w:val="20"/>
                <w:szCs w:val="20"/>
              </w:rPr>
              <w:t>Fetal growth restriction, abnormal umbilical artery Doppler waveform, stillbirth</w:t>
            </w:r>
          </w:p>
        </w:tc>
      </w:tr>
    </w:tbl>
    <w:p w14:paraId="2CD786D8" w14:textId="77777777" w:rsidR="00AE053E" w:rsidRPr="00263445" w:rsidRDefault="00AE053E" w:rsidP="00AE053E">
      <w:pPr>
        <w:spacing w:line="360" w:lineRule="auto"/>
        <w:jc w:val="both"/>
        <w:rPr>
          <w:rFonts w:asciiTheme="majorHAnsi" w:hAnsiTheme="majorHAnsi" w:cs="Calibri"/>
          <w:b/>
        </w:rPr>
      </w:pPr>
    </w:p>
    <w:p w14:paraId="635CDB5E" w14:textId="77777777" w:rsidR="00AE053E" w:rsidRPr="00263445" w:rsidRDefault="00AE053E" w:rsidP="00AE053E">
      <w:pPr>
        <w:spacing w:line="360" w:lineRule="auto"/>
        <w:jc w:val="both"/>
        <w:rPr>
          <w:rFonts w:asciiTheme="majorHAnsi" w:hAnsiTheme="majorHAnsi" w:cs="Calibri"/>
          <w:b/>
        </w:rPr>
      </w:pPr>
      <w:r w:rsidRPr="00263445">
        <w:rPr>
          <w:rFonts w:asciiTheme="majorHAnsi" w:hAnsiTheme="majorHAnsi" w:cs="Calibri"/>
          <w:b/>
        </w:rPr>
        <w:t xml:space="preserve">The role of the placenta </w:t>
      </w:r>
    </w:p>
    <w:p w14:paraId="7C588940" w14:textId="77777777" w:rsidR="00AE053E" w:rsidRPr="00263445" w:rsidRDefault="00AE053E" w:rsidP="00AE053E">
      <w:pPr>
        <w:spacing w:line="360" w:lineRule="auto"/>
        <w:jc w:val="both"/>
        <w:rPr>
          <w:rFonts w:asciiTheme="majorHAnsi" w:hAnsiTheme="majorHAnsi" w:cs="Calibri"/>
          <w:b/>
        </w:rPr>
      </w:pPr>
    </w:p>
    <w:p w14:paraId="6B964FDD" w14:textId="117286C2" w:rsidR="00AE053E" w:rsidRPr="00263445" w:rsidRDefault="008332DC" w:rsidP="00AE053E">
      <w:pPr>
        <w:spacing w:line="360" w:lineRule="auto"/>
        <w:jc w:val="both"/>
        <w:rPr>
          <w:rFonts w:asciiTheme="majorHAnsi" w:hAnsiTheme="majorHAnsi" w:cs="Calibri"/>
        </w:rPr>
      </w:pPr>
      <w:r>
        <w:rPr>
          <w:rFonts w:asciiTheme="majorHAnsi" w:hAnsiTheme="majorHAnsi" w:cs="Calibri"/>
        </w:rPr>
        <w:t>The placenta is a</w:t>
      </w:r>
      <w:r w:rsidR="00AE053E" w:rsidRPr="00263445">
        <w:rPr>
          <w:rFonts w:asciiTheme="majorHAnsi" w:hAnsiTheme="majorHAnsi" w:cs="Calibri"/>
        </w:rPr>
        <w:t xml:space="preserve"> vascular organ containing 550km of capillaries </w:t>
      </w:r>
      <w:r w:rsidR="00AE053E" w:rsidRPr="00263445">
        <w:rPr>
          <w:rFonts w:asciiTheme="majorHAnsi" w:hAnsiTheme="majorHAnsi"/>
        </w:rPr>
        <w:fldChar w:fldCharType="begin"/>
      </w:r>
      <w:r w:rsidR="00AE053E" w:rsidRPr="00263445">
        <w:rPr>
          <w:rFonts w:asciiTheme="majorHAnsi" w:hAnsiTheme="majorHAnsi"/>
        </w:rPr>
        <w:instrText>ADDIN BEC{Burton and Jauniaux, 1995, #31593}</w:instrText>
      </w:r>
      <w:r w:rsidR="00AE053E" w:rsidRPr="00263445">
        <w:rPr>
          <w:rFonts w:asciiTheme="majorHAnsi" w:hAnsiTheme="majorHAnsi"/>
        </w:rPr>
        <w:fldChar w:fldCharType="separate"/>
      </w:r>
      <w:r w:rsidR="00AE053E" w:rsidRPr="00263445">
        <w:rPr>
          <w:rFonts w:asciiTheme="majorHAnsi" w:hAnsiTheme="majorHAnsi"/>
        </w:rPr>
        <w:t>(11)</w:t>
      </w:r>
      <w:r w:rsidR="00AE053E" w:rsidRPr="00263445">
        <w:rPr>
          <w:rFonts w:asciiTheme="majorHAnsi" w:hAnsiTheme="majorHAnsi"/>
        </w:rPr>
        <w:fldChar w:fldCharType="end"/>
      </w:r>
      <w:r w:rsidR="00AE053E" w:rsidRPr="00263445">
        <w:rPr>
          <w:rFonts w:asciiTheme="majorHAnsi" w:hAnsiTheme="majorHAnsi" w:cs="Calibri"/>
        </w:rPr>
        <w:t xml:space="preserve">. A complex process including stimulation by pro-angiogenic factors and regulation by anti-angiogenic factors regulates the vasculogenesis required for normal placental function. Placental growth factor (PlGF) stimulates endothelial cell activation and angiogenesis by binding to a membrane-anchored receptor, fms-like tyrosine kinase 1 (Flt-1). PlGF concentrations rise </w:t>
      </w:r>
      <w:r>
        <w:rPr>
          <w:rFonts w:asciiTheme="majorHAnsi" w:hAnsiTheme="majorHAnsi" w:cs="Calibri"/>
        </w:rPr>
        <w:t xml:space="preserve">with </w:t>
      </w:r>
      <w:r w:rsidR="00AE053E" w:rsidRPr="00263445">
        <w:rPr>
          <w:rFonts w:asciiTheme="majorHAnsi" w:hAnsiTheme="majorHAnsi" w:cs="Calibri"/>
        </w:rPr>
        <w:t>maturation of uteroplacental vessels in the second trimeste</w:t>
      </w:r>
      <w:r>
        <w:rPr>
          <w:rFonts w:asciiTheme="majorHAnsi" w:hAnsiTheme="majorHAnsi" w:cs="Calibri"/>
        </w:rPr>
        <w:t>r, with peak concentrations</w:t>
      </w:r>
      <w:r w:rsidR="00AE053E" w:rsidRPr="00263445">
        <w:rPr>
          <w:rFonts w:asciiTheme="majorHAnsi" w:hAnsiTheme="majorHAnsi" w:cs="Calibri"/>
        </w:rPr>
        <w:t xml:space="preserve"> at approximately 30 weeks’ </w:t>
      </w:r>
      <w:r w:rsidR="00AE053E" w:rsidRPr="00263445">
        <w:rPr>
          <w:rFonts w:asciiTheme="majorHAnsi" w:hAnsiTheme="majorHAnsi"/>
        </w:rPr>
        <w:fldChar w:fldCharType="begin"/>
      </w:r>
      <w:r w:rsidR="00AE053E" w:rsidRPr="00263445">
        <w:rPr>
          <w:rFonts w:asciiTheme="majorHAnsi" w:hAnsiTheme="majorHAnsi"/>
        </w:rPr>
        <w:instrText>ADDIN BEC{Saffer et al., 2013, #55524}</w:instrText>
      </w:r>
      <w:r w:rsidR="00AE053E" w:rsidRPr="00263445">
        <w:rPr>
          <w:rFonts w:asciiTheme="majorHAnsi" w:hAnsiTheme="majorHAnsi"/>
        </w:rPr>
        <w:fldChar w:fldCharType="separate"/>
      </w:r>
      <w:r w:rsidR="00AE053E" w:rsidRPr="00263445">
        <w:rPr>
          <w:rFonts w:asciiTheme="majorHAnsi" w:hAnsiTheme="majorHAnsi"/>
        </w:rPr>
        <w:t>(12)</w:t>
      </w:r>
      <w:r w:rsidR="00AE053E" w:rsidRPr="00263445">
        <w:rPr>
          <w:rFonts w:asciiTheme="majorHAnsi" w:hAnsiTheme="majorHAnsi"/>
        </w:rPr>
        <w:fldChar w:fldCharType="end"/>
      </w:r>
      <w:r w:rsidR="00AE053E" w:rsidRPr="00263445">
        <w:rPr>
          <w:rFonts w:asciiTheme="majorHAnsi" w:hAnsiTheme="majorHAnsi" w:cs="Calibri"/>
        </w:rPr>
        <w:t xml:space="preserve"> (Figure 1). </w:t>
      </w:r>
    </w:p>
    <w:p w14:paraId="0082B59E" w14:textId="77777777" w:rsidR="00AE053E" w:rsidRPr="00263445" w:rsidRDefault="00AE053E" w:rsidP="00AE053E">
      <w:pPr>
        <w:spacing w:line="360" w:lineRule="auto"/>
        <w:jc w:val="both"/>
        <w:rPr>
          <w:rFonts w:asciiTheme="majorHAnsi" w:hAnsiTheme="majorHAnsi" w:cs="Calibri"/>
          <w:sz w:val="20"/>
          <w:szCs w:val="20"/>
        </w:rPr>
      </w:pPr>
    </w:p>
    <w:p w14:paraId="317E2A44" w14:textId="77777777" w:rsidR="00AE053E" w:rsidRPr="00263445" w:rsidRDefault="00AE053E" w:rsidP="00AE053E">
      <w:pPr>
        <w:rPr>
          <w:rFonts w:asciiTheme="majorHAnsi" w:hAnsiTheme="majorHAnsi" w:cs="Calibri"/>
          <w:color w:val="222222"/>
          <w:sz w:val="20"/>
          <w:szCs w:val="20"/>
          <w:shd w:val="clear" w:color="auto" w:fill="FFFFFF"/>
        </w:rPr>
      </w:pPr>
      <w:r w:rsidRPr="00263445">
        <w:rPr>
          <w:rFonts w:asciiTheme="majorHAnsi" w:hAnsiTheme="majorHAnsi" w:cs="Calibri"/>
          <w:sz w:val="20"/>
          <w:szCs w:val="20"/>
        </w:rPr>
        <w:t xml:space="preserve">Figure 1. </w:t>
      </w:r>
      <w:r w:rsidRPr="00263445">
        <w:rPr>
          <w:rFonts w:asciiTheme="majorHAnsi" w:hAnsiTheme="majorHAnsi" w:cs="Calibri"/>
          <w:b/>
          <w:color w:val="222222"/>
          <w:sz w:val="20"/>
          <w:szCs w:val="20"/>
          <w:shd w:val="clear" w:color="auto" w:fill="FFFFFF"/>
        </w:rPr>
        <w:t>Circulating PlGF concentrations gradually increase during pregnancy to reach a peak at ~30 weeks’ gestation coinciding with non-branching angiogenesis of feto-placental vessels and maturation of the utero-placental circulation.</w:t>
      </w:r>
      <w:r w:rsidRPr="00263445">
        <w:rPr>
          <w:rFonts w:asciiTheme="majorHAnsi" w:hAnsiTheme="majorHAnsi" w:cs="Calibri"/>
          <w:color w:val="222222"/>
          <w:sz w:val="20"/>
          <w:szCs w:val="20"/>
          <w:shd w:val="clear" w:color="auto" w:fill="FFFFFF"/>
        </w:rPr>
        <w:t xml:space="preserve"> </w:t>
      </w:r>
    </w:p>
    <w:p w14:paraId="50285190" w14:textId="77777777" w:rsidR="00AE053E" w:rsidRPr="00263445" w:rsidRDefault="00AE053E" w:rsidP="00AE053E">
      <w:pPr>
        <w:rPr>
          <w:rFonts w:asciiTheme="majorHAnsi" w:hAnsiTheme="majorHAnsi" w:cs="Calibri"/>
          <w:sz w:val="20"/>
          <w:szCs w:val="20"/>
        </w:rPr>
      </w:pPr>
      <w:r w:rsidRPr="00263445">
        <w:rPr>
          <w:rFonts w:asciiTheme="majorHAnsi" w:hAnsiTheme="majorHAnsi" w:cs="Calibri"/>
          <w:color w:val="222222"/>
          <w:sz w:val="20"/>
          <w:szCs w:val="20"/>
          <w:shd w:val="clear" w:color="auto" w:fill="FFFFFF"/>
        </w:rPr>
        <w:t xml:space="preserve">Adapted from </w:t>
      </w:r>
      <w:r w:rsidRPr="00263445">
        <w:rPr>
          <w:rFonts w:asciiTheme="majorHAnsi" w:hAnsiTheme="majorHAnsi"/>
        </w:rPr>
        <w:fldChar w:fldCharType="begin"/>
      </w:r>
      <w:r w:rsidRPr="00263445">
        <w:rPr>
          <w:rFonts w:asciiTheme="majorHAnsi" w:hAnsiTheme="majorHAnsi"/>
        </w:rPr>
        <w:instrText>ADDIN BEC{Chau et al., 2017, #10033}</w:instrText>
      </w:r>
      <w:r w:rsidRPr="00263445">
        <w:rPr>
          <w:rFonts w:asciiTheme="majorHAnsi" w:hAnsiTheme="majorHAnsi"/>
        </w:rPr>
        <w:fldChar w:fldCharType="separate"/>
      </w:r>
      <w:r w:rsidRPr="00263445">
        <w:rPr>
          <w:rFonts w:asciiTheme="majorHAnsi" w:hAnsiTheme="majorHAnsi"/>
        </w:rPr>
        <w:t>(13)</w:t>
      </w:r>
      <w:r w:rsidRPr="00263445">
        <w:rPr>
          <w:rFonts w:asciiTheme="majorHAnsi" w:hAnsiTheme="majorHAnsi"/>
        </w:rPr>
        <w:fldChar w:fldCharType="end"/>
      </w:r>
      <w:r w:rsidRPr="00263445">
        <w:rPr>
          <w:rFonts w:asciiTheme="majorHAnsi" w:hAnsiTheme="majorHAnsi" w:cs="Calibri"/>
          <w:color w:val="222222"/>
          <w:sz w:val="20"/>
          <w:szCs w:val="20"/>
          <w:shd w:val="clear" w:color="auto" w:fill="FFFFFF"/>
        </w:rPr>
        <w:t xml:space="preserve">. PlGF concentrations (log scale) are based on median values using </w:t>
      </w:r>
      <w:r w:rsidRPr="00263445">
        <w:rPr>
          <w:rFonts w:asciiTheme="majorHAnsi" w:hAnsiTheme="majorHAnsi" w:cs="Calibri"/>
          <w:color w:val="2E2E2E"/>
          <w:sz w:val="20"/>
          <w:szCs w:val="20"/>
        </w:rPr>
        <w:t xml:space="preserve">the Triage® PlGF test (Alere, San Diego, USA) from </w:t>
      </w:r>
      <w:r w:rsidRPr="00263445">
        <w:rPr>
          <w:rFonts w:asciiTheme="majorHAnsi" w:hAnsiTheme="majorHAnsi"/>
        </w:rPr>
        <w:fldChar w:fldCharType="begin"/>
      </w:r>
      <w:r w:rsidRPr="00263445">
        <w:rPr>
          <w:rFonts w:asciiTheme="majorHAnsi" w:hAnsiTheme="majorHAnsi"/>
        </w:rPr>
        <w:instrText>ADDIN BEC{Saffer et al., 2013, #55524}</w:instrText>
      </w:r>
      <w:r w:rsidRPr="00263445">
        <w:rPr>
          <w:rFonts w:asciiTheme="majorHAnsi" w:hAnsiTheme="majorHAnsi"/>
        </w:rPr>
        <w:fldChar w:fldCharType="separate"/>
      </w:r>
      <w:r w:rsidRPr="00263445">
        <w:rPr>
          <w:rFonts w:asciiTheme="majorHAnsi" w:hAnsiTheme="majorHAnsi"/>
        </w:rPr>
        <w:t>(12)</w:t>
      </w:r>
      <w:r w:rsidRPr="00263445">
        <w:rPr>
          <w:rFonts w:asciiTheme="majorHAnsi" w:hAnsiTheme="majorHAnsi"/>
        </w:rPr>
        <w:fldChar w:fldCharType="end"/>
      </w:r>
      <w:r w:rsidRPr="00263445">
        <w:rPr>
          <w:rFonts w:asciiTheme="majorHAnsi" w:hAnsiTheme="majorHAnsi" w:cs="Calibri"/>
          <w:color w:val="2E2E2E"/>
          <w:sz w:val="20"/>
          <w:szCs w:val="20"/>
        </w:rPr>
        <w:t>.</w:t>
      </w:r>
    </w:p>
    <w:p w14:paraId="35CDE501" w14:textId="77777777" w:rsidR="00AE053E" w:rsidRPr="00263445" w:rsidRDefault="00AE053E" w:rsidP="00AE053E">
      <w:pPr>
        <w:spacing w:line="360" w:lineRule="auto"/>
        <w:jc w:val="both"/>
        <w:rPr>
          <w:rFonts w:asciiTheme="majorHAnsi" w:hAnsiTheme="majorHAnsi" w:cs="Calibri"/>
        </w:rPr>
      </w:pPr>
    </w:p>
    <w:p w14:paraId="36D737DF" w14:textId="77777777" w:rsidR="00AE053E" w:rsidRPr="00263445" w:rsidRDefault="00AE053E" w:rsidP="00AE053E">
      <w:pPr>
        <w:spacing w:line="360" w:lineRule="auto"/>
        <w:jc w:val="both"/>
        <w:rPr>
          <w:rFonts w:asciiTheme="majorHAnsi" w:hAnsiTheme="majorHAnsi" w:cs="Calibri"/>
        </w:rPr>
      </w:pPr>
    </w:p>
    <w:p w14:paraId="79873E0D" w14:textId="77777777"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noProof/>
          <w:lang w:val="en-US"/>
        </w:rPr>
        <w:drawing>
          <wp:inline distT="0" distB="0" distL="0" distR="0" wp14:anchorId="6999EFC6" wp14:editId="51906608">
            <wp:extent cx="5194300" cy="3530600"/>
            <wp:effectExtent l="0" t="0" r="1270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94300" cy="3530600"/>
                    </a:xfrm>
                    <a:prstGeom prst="rect">
                      <a:avLst/>
                    </a:prstGeom>
                    <a:noFill/>
                    <a:ln>
                      <a:noFill/>
                    </a:ln>
                  </pic:spPr>
                </pic:pic>
              </a:graphicData>
            </a:graphic>
          </wp:inline>
        </w:drawing>
      </w:r>
    </w:p>
    <w:p w14:paraId="546462F8" w14:textId="77777777" w:rsidR="00AE053E" w:rsidRPr="00263445" w:rsidRDefault="00AE053E" w:rsidP="00AE053E">
      <w:pPr>
        <w:spacing w:line="360" w:lineRule="auto"/>
        <w:jc w:val="both"/>
        <w:rPr>
          <w:rFonts w:asciiTheme="majorHAnsi" w:hAnsiTheme="majorHAnsi" w:cs="Calibri"/>
        </w:rPr>
      </w:pPr>
    </w:p>
    <w:p w14:paraId="2A35B3D0" w14:textId="30880FB3"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PlGF </w:t>
      </w:r>
      <w:r w:rsidR="009875A5">
        <w:rPr>
          <w:rFonts w:asciiTheme="majorHAnsi" w:hAnsiTheme="majorHAnsi" w:cs="Calibri"/>
        </w:rPr>
        <w:t>also</w:t>
      </w:r>
      <w:r w:rsidRPr="00263445">
        <w:rPr>
          <w:rFonts w:asciiTheme="majorHAnsi" w:hAnsiTheme="majorHAnsi" w:cs="Calibri"/>
        </w:rPr>
        <w:t xml:space="preserve"> binds to a circulating receptor, soluble FLTt-1 (sFlt-1). </w:t>
      </w:r>
      <w:proofErr w:type="gramStart"/>
      <w:r w:rsidRPr="00263445">
        <w:rPr>
          <w:rFonts w:asciiTheme="majorHAnsi" w:hAnsiTheme="majorHAnsi" w:cs="Calibri"/>
        </w:rPr>
        <w:t>sFlt</w:t>
      </w:r>
      <w:proofErr w:type="gramEnd"/>
      <w:r w:rsidRPr="00263445">
        <w:rPr>
          <w:rFonts w:asciiTheme="majorHAnsi" w:hAnsiTheme="majorHAnsi" w:cs="Calibri"/>
        </w:rPr>
        <w:t>-1 has anti-angiogenic properties: reducing PlGF</w:t>
      </w:r>
      <w:r w:rsidRPr="00263445" w:rsidDel="00BA7F79">
        <w:rPr>
          <w:rFonts w:asciiTheme="majorHAnsi" w:hAnsiTheme="majorHAnsi" w:cs="Calibri"/>
        </w:rPr>
        <w:t xml:space="preserve"> </w:t>
      </w:r>
      <w:r w:rsidRPr="00263445">
        <w:rPr>
          <w:rFonts w:asciiTheme="majorHAnsi" w:hAnsiTheme="majorHAnsi" w:cs="Calibri"/>
        </w:rPr>
        <w:t xml:space="preserve">bioavailability, increasing endothelial sensitivity to inflammatory cytokines </w:t>
      </w:r>
      <w:r w:rsidRPr="00263445">
        <w:rPr>
          <w:rFonts w:asciiTheme="majorHAnsi" w:hAnsiTheme="majorHAnsi"/>
        </w:rPr>
        <w:fldChar w:fldCharType="begin"/>
      </w:r>
      <w:r w:rsidRPr="00263445">
        <w:rPr>
          <w:rFonts w:asciiTheme="majorHAnsi" w:hAnsiTheme="majorHAnsi"/>
        </w:rPr>
        <w:instrText>ADDIN BEC{Cindrova-Davies et al., 2011, #62397}</w:instrText>
      </w:r>
      <w:r w:rsidRPr="00263445">
        <w:rPr>
          <w:rFonts w:asciiTheme="majorHAnsi" w:hAnsiTheme="majorHAnsi"/>
        </w:rPr>
        <w:fldChar w:fldCharType="separate"/>
      </w:r>
      <w:r w:rsidRPr="00263445">
        <w:rPr>
          <w:rFonts w:asciiTheme="majorHAnsi" w:hAnsiTheme="majorHAnsi"/>
        </w:rPr>
        <w:t>(14)</w:t>
      </w:r>
      <w:r w:rsidRPr="00263445">
        <w:rPr>
          <w:rFonts w:asciiTheme="majorHAnsi" w:hAnsiTheme="majorHAnsi"/>
        </w:rPr>
        <w:fldChar w:fldCharType="end"/>
      </w:r>
      <w:r w:rsidRPr="00263445">
        <w:rPr>
          <w:rFonts w:asciiTheme="majorHAnsi" w:hAnsiTheme="majorHAnsi" w:cs="Calibri"/>
        </w:rPr>
        <w:t xml:space="preserve"> and causing vasoconstriction via a reduction in nitric oxide </w:t>
      </w:r>
      <w:r w:rsidRPr="00263445">
        <w:rPr>
          <w:rFonts w:asciiTheme="majorHAnsi" w:hAnsiTheme="majorHAnsi"/>
        </w:rPr>
        <w:fldChar w:fldCharType="begin"/>
      </w:r>
      <w:r w:rsidRPr="00263445">
        <w:rPr>
          <w:rFonts w:asciiTheme="majorHAnsi" w:hAnsiTheme="majorHAnsi"/>
        </w:rPr>
        <w:instrText>ADDIN BEC{Burton et al., 2019, #97676}</w:instrText>
      </w:r>
      <w:r w:rsidRPr="00263445">
        <w:rPr>
          <w:rFonts w:asciiTheme="majorHAnsi" w:hAnsiTheme="majorHAnsi"/>
        </w:rPr>
        <w:fldChar w:fldCharType="separate"/>
      </w:r>
      <w:r w:rsidRPr="00263445">
        <w:rPr>
          <w:rFonts w:asciiTheme="majorHAnsi" w:hAnsiTheme="majorHAnsi"/>
        </w:rPr>
        <w:t>(15)</w:t>
      </w:r>
      <w:r w:rsidRPr="00263445">
        <w:rPr>
          <w:rFonts w:asciiTheme="majorHAnsi" w:hAnsiTheme="majorHAnsi"/>
        </w:rPr>
        <w:fldChar w:fldCharType="end"/>
      </w:r>
      <w:r w:rsidRPr="00263445">
        <w:rPr>
          <w:rFonts w:asciiTheme="majorHAnsi" w:hAnsiTheme="majorHAnsi" w:cs="Calibri"/>
        </w:rPr>
        <w:t>.</w:t>
      </w:r>
      <w:r w:rsidR="00014806">
        <w:rPr>
          <w:rFonts w:asciiTheme="majorHAnsi" w:hAnsiTheme="majorHAnsi" w:cs="Calibri"/>
        </w:rPr>
        <w:t xml:space="preserve"> </w:t>
      </w:r>
      <w:r w:rsidRPr="00263445">
        <w:rPr>
          <w:rFonts w:asciiTheme="majorHAnsi" w:hAnsiTheme="majorHAnsi" w:cs="Calibri"/>
        </w:rPr>
        <w:t>Placental sFlt-1 concentrations r</w:t>
      </w:r>
      <w:r w:rsidR="009875A5">
        <w:rPr>
          <w:rFonts w:asciiTheme="majorHAnsi" w:hAnsiTheme="majorHAnsi" w:cs="Calibri"/>
        </w:rPr>
        <w:t>ise throughout normal pregnancy</w:t>
      </w:r>
      <w:r w:rsidRPr="00263445">
        <w:rPr>
          <w:rFonts w:asciiTheme="majorHAnsi" w:hAnsiTheme="majorHAnsi" w:cs="Calibri"/>
        </w:rPr>
        <w:t xml:space="preserve"> and a decrease in PlGF production from the senescent placenta</w:t>
      </w:r>
      <w:r w:rsidR="008332DC">
        <w:rPr>
          <w:rFonts w:asciiTheme="majorHAnsi" w:hAnsiTheme="majorHAnsi" w:cs="Calibri"/>
        </w:rPr>
        <w:t xml:space="preserve">, in conjunction with </w:t>
      </w:r>
      <w:r w:rsidRPr="00263445">
        <w:rPr>
          <w:rFonts w:asciiTheme="majorHAnsi" w:hAnsiTheme="majorHAnsi" w:cs="Calibri"/>
        </w:rPr>
        <w:t xml:space="preserve">binding by sFlt-1, is thought to trigger delivery at term. The gestational balance between angiogenic and anti-angiogenic factors is fundamental to </w:t>
      </w:r>
      <w:r w:rsidR="008332DC">
        <w:rPr>
          <w:rFonts w:asciiTheme="majorHAnsi" w:hAnsiTheme="majorHAnsi" w:cs="Calibri"/>
        </w:rPr>
        <w:t>normal placental function</w:t>
      </w:r>
      <w:r w:rsidRPr="00263445">
        <w:rPr>
          <w:rFonts w:asciiTheme="majorHAnsi" w:hAnsiTheme="majorHAnsi" w:cs="Calibri"/>
        </w:rPr>
        <w:t>, and by default, pre-eclampsia pathophysiology.</w:t>
      </w:r>
      <w:r w:rsidR="00014806">
        <w:rPr>
          <w:rFonts w:asciiTheme="majorHAnsi" w:hAnsiTheme="majorHAnsi" w:cs="Calibri"/>
        </w:rPr>
        <w:t xml:space="preserve"> </w:t>
      </w:r>
    </w:p>
    <w:p w14:paraId="694005BB" w14:textId="77777777" w:rsidR="00AE053E" w:rsidRPr="00263445" w:rsidRDefault="00AE053E" w:rsidP="00AE053E">
      <w:pPr>
        <w:spacing w:line="360" w:lineRule="auto"/>
        <w:rPr>
          <w:rFonts w:asciiTheme="majorHAnsi" w:hAnsiTheme="majorHAnsi" w:cs="Calibri"/>
          <w:b/>
        </w:rPr>
      </w:pPr>
    </w:p>
    <w:p w14:paraId="5828C899" w14:textId="77777777" w:rsidR="00AE053E" w:rsidRPr="00263445" w:rsidRDefault="00AE053E" w:rsidP="00AE053E">
      <w:pPr>
        <w:rPr>
          <w:rFonts w:asciiTheme="majorHAnsi" w:hAnsiTheme="majorHAnsi" w:cs="Calibri"/>
          <w:b/>
        </w:rPr>
      </w:pPr>
      <w:r w:rsidRPr="00263445">
        <w:rPr>
          <w:rFonts w:asciiTheme="majorHAnsi" w:hAnsiTheme="majorHAnsi" w:cs="Calibri"/>
          <w:b/>
        </w:rPr>
        <w:t>Pre-eclampsia and angiogenesis</w:t>
      </w:r>
    </w:p>
    <w:p w14:paraId="2FA4847A" w14:textId="77777777" w:rsidR="00AE053E" w:rsidRPr="00263445" w:rsidRDefault="00AE053E" w:rsidP="00AE053E">
      <w:pPr>
        <w:spacing w:line="360" w:lineRule="auto"/>
        <w:jc w:val="both"/>
        <w:rPr>
          <w:rFonts w:asciiTheme="majorHAnsi" w:hAnsiTheme="majorHAnsi" w:cs="Calibri"/>
        </w:rPr>
      </w:pPr>
    </w:p>
    <w:p w14:paraId="557B0F91" w14:textId="2530F07C"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The pathogenesis of pre-eclampsia is a multistage process, </w:t>
      </w:r>
      <w:r w:rsidR="00E926DB">
        <w:rPr>
          <w:rFonts w:asciiTheme="majorHAnsi" w:hAnsiTheme="majorHAnsi" w:cs="Calibri"/>
        </w:rPr>
        <w:t>initiated by</w:t>
      </w:r>
      <w:r w:rsidRPr="00263445">
        <w:rPr>
          <w:rFonts w:asciiTheme="majorHAnsi" w:hAnsiTheme="majorHAnsi" w:cs="Calibri"/>
        </w:rPr>
        <w:t xml:space="preserve"> disordered placental implantation. Small studies of placental bed biopsies demonstrate defective trophoblast invasion and impaired spiral artery remodelling </w:t>
      </w:r>
      <w:r w:rsidRPr="00263445">
        <w:rPr>
          <w:rFonts w:asciiTheme="majorHAnsi" w:hAnsiTheme="majorHAnsi"/>
        </w:rPr>
        <w:fldChar w:fldCharType="begin"/>
      </w:r>
      <w:r w:rsidRPr="00263445">
        <w:rPr>
          <w:rFonts w:asciiTheme="majorHAnsi" w:hAnsiTheme="majorHAnsi"/>
        </w:rPr>
        <w:instrText>ADDIN BEC{Lyall et al., 2013, #34585}</w:instrText>
      </w:r>
      <w:r w:rsidRPr="00263445">
        <w:rPr>
          <w:rFonts w:asciiTheme="majorHAnsi" w:hAnsiTheme="majorHAnsi"/>
        </w:rPr>
        <w:fldChar w:fldCharType="separate"/>
      </w:r>
      <w:r w:rsidRPr="00263445">
        <w:rPr>
          <w:rFonts w:asciiTheme="majorHAnsi" w:hAnsiTheme="majorHAnsi"/>
        </w:rPr>
        <w:t>(16)</w:t>
      </w:r>
      <w:r w:rsidRPr="00263445">
        <w:rPr>
          <w:rFonts w:asciiTheme="majorHAnsi" w:hAnsiTheme="majorHAnsi"/>
        </w:rPr>
        <w:fldChar w:fldCharType="end"/>
      </w:r>
      <w:r w:rsidRPr="00263445">
        <w:rPr>
          <w:rFonts w:asciiTheme="majorHAnsi" w:hAnsiTheme="majorHAnsi" w:cs="Calibri"/>
        </w:rPr>
        <w:t xml:space="preserve">, hypothesised to be due to a failure of maternal immune tolerance </w:t>
      </w:r>
      <w:r w:rsidRPr="00263445">
        <w:rPr>
          <w:rFonts w:asciiTheme="majorHAnsi" w:hAnsiTheme="majorHAnsi"/>
        </w:rPr>
        <w:fldChar w:fldCharType="begin"/>
      </w:r>
      <w:r w:rsidRPr="00263445">
        <w:rPr>
          <w:rFonts w:asciiTheme="majorHAnsi" w:hAnsiTheme="majorHAnsi"/>
        </w:rPr>
        <w:instrText>ADDIN BEC{Redman and Sargent, 2010, #55304}</w:instrText>
      </w:r>
      <w:r w:rsidRPr="00263445">
        <w:rPr>
          <w:rFonts w:asciiTheme="majorHAnsi" w:hAnsiTheme="majorHAnsi"/>
        </w:rPr>
        <w:fldChar w:fldCharType="separate"/>
      </w:r>
      <w:r w:rsidRPr="00263445">
        <w:rPr>
          <w:rFonts w:asciiTheme="majorHAnsi" w:hAnsiTheme="majorHAnsi"/>
        </w:rPr>
        <w:t>(17)</w:t>
      </w:r>
      <w:r w:rsidRPr="00263445">
        <w:rPr>
          <w:rFonts w:asciiTheme="majorHAnsi" w:hAnsiTheme="majorHAnsi"/>
        </w:rPr>
        <w:fldChar w:fldCharType="end"/>
      </w:r>
      <w:r w:rsidRPr="00263445">
        <w:rPr>
          <w:rFonts w:asciiTheme="majorHAnsi" w:hAnsiTheme="majorHAnsi" w:cs="Calibri"/>
        </w:rPr>
        <w:t>.</w:t>
      </w:r>
      <w:r w:rsidR="00014806">
        <w:rPr>
          <w:rFonts w:asciiTheme="majorHAnsi" w:hAnsiTheme="majorHAnsi" w:cs="Calibri"/>
        </w:rPr>
        <w:t xml:space="preserve"> </w:t>
      </w:r>
      <w:r w:rsidRPr="00263445">
        <w:rPr>
          <w:rFonts w:asciiTheme="majorHAnsi" w:hAnsiTheme="majorHAnsi" w:cs="Calibri"/>
        </w:rPr>
        <w:t>Historically, the disease was</w:t>
      </w:r>
      <w:r w:rsidR="008332DC">
        <w:rPr>
          <w:rFonts w:asciiTheme="majorHAnsi" w:hAnsiTheme="majorHAnsi" w:cs="Calibri"/>
        </w:rPr>
        <w:t xml:space="preserve"> considered to be silent until the</w:t>
      </w:r>
      <w:r w:rsidRPr="00263445">
        <w:rPr>
          <w:rFonts w:asciiTheme="majorHAnsi" w:hAnsiTheme="majorHAnsi" w:cs="Calibri"/>
        </w:rPr>
        <w:t xml:space="preserve"> clinical syndrome of pre-eclampsia developed in the latter half of pregnancy. However, new data demonstrate that impaired placentation lead</w:t>
      </w:r>
      <w:r w:rsidR="008332DC">
        <w:rPr>
          <w:rFonts w:asciiTheme="majorHAnsi" w:hAnsiTheme="majorHAnsi" w:cs="Calibri"/>
        </w:rPr>
        <w:t xml:space="preserve">s to a dysfunctional </w:t>
      </w:r>
      <w:r w:rsidRPr="00263445">
        <w:rPr>
          <w:rFonts w:asciiTheme="majorHAnsi" w:hAnsiTheme="majorHAnsi" w:cs="Calibri"/>
        </w:rPr>
        <w:t xml:space="preserve">uteroplacental circulation, which releases inflammatory cytokines and anti-angiogenic factors into the maternal circulation </w:t>
      </w:r>
      <w:r w:rsidRPr="00263445">
        <w:rPr>
          <w:rFonts w:asciiTheme="majorHAnsi" w:hAnsiTheme="majorHAnsi"/>
        </w:rPr>
        <w:fldChar w:fldCharType="begin"/>
      </w:r>
      <w:r w:rsidRPr="00263445">
        <w:rPr>
          <w:rFonts w:asciiTheme="majorHAnsi" w:hAnsiTheme="majorHAnsi"/>
        </w:rPr>
        <w:instrText>ADDIN BEC{Burton et al., 2019, #97676}</w:instrText>
      </w:r>
      <w:r w:rsidRPr="00263445">
        <w:rPr>
          <w:rFonts w:asciiTheme="majorHAnsi" w:hAnsiTheme="majorHAnsi"/>
        </w:rPr>
        <w:fldChar w:fldCharType="separate"/>
      </w:r>
      <w:r w:rsidRPr="00263445">
        <w:rPr>
          <w:rFonts w:asciiTheme="majorHAnsi" w:hAnsiTheme="majorHAnsi"/>
        </w:rPr>
        <w:t>(15)</w:t>
      </w:r>
      <w:r w:rsidRPr="00263445">
        <w:rPr>
          <w:rFonts w:asciiTheme="majorHAnsi" w:hAnsiTheme="majorHAnsi"/>
        </w:rPr>
        <w:fldChar w:fldCharType="end"/>
      </w:r>
      <w:r w:rsidRPr="00263445">
        <w:rPr>
          <w:rFonts w:asciiTheme="majorHAnsi" w:hAnsiTheme="majorHAnsi" w:cs="Calibri"/>
        </w:rPr>
        <w:t>. An abnormal balance between angiogenic (PlGF) and antiangiogenic (sFlt-1) facto</w:t>
      </w:r>
      <w:r w:rsidR="008332DC">
        <w:rPr>
          <w:rFonts w:asciiTheme="majorHAnsi" w:hAnsiTheme="majorHAnsi" w:cs="Calibri"/>
        </w:rPr>
        <w:t xml:space="preserve">rs is therefore quantifiable </w:t>
      </w:r>
      <w:r w:rsidRPr="00263445">
        <w:rPr>
          <w:rFonts w:asciiTheme="majorHAnsi" w:hAnsiTheme="majorHAnsi" w:cs="Calibri"/>
        </w:rPr>
        <w:t xml:space="preserve">before the clinical syndrome manifests. </w:t>
      </w:r>
    </w:p>
    <w:p w14:paraId="6D10FFF2" w14:textId="77777777" w:rsidR="00AE053E" w:rsidRPr="00263445" w:rsidRDefault="00AE053E" w:rsidP="00AE053E">
      <w:pPr>
        <w:spacing w:line="360" w:lineRule="auto"/>
        <w:jc w:val="both"/>
        <w:rPr>
          <w:rFonts w:asciiTheme="majorHAnsi" w:hAnsiTheme="majorHAnsi" w:cs="Calibri"/>
        </w:rPr>
      </w:pPr>
    </w:p>
    <w:p w14:paraId="4037D1B0" w14:textId="395BEF37"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Women with pre-eclampsia have lower PlGF </w:t>
      </w:r>
      <w:r w:rsidRPr="00263445">
        <w:rPr>
          <w:rFonts w:asciiTheme="majorHAnsi" w:hAnsiTheme="majorHAnsi"/>
        </w:rPr>
        <w:fldChar w:fldCharType="begin"/>
      </w:r>
      <w:r w:rsidRPr="00263445">
        <w:rPr>
          <w:rFonts w:asciiTheme="majorHAnsi" w:hAnsiTheme="majorHAnsi"/>
        </w:rPr>
        <w:instrText>ADDIN BEC{Levine et al., 2004, #61217}</w:instrText>
      </w:r>
      <w:r w:rsidRPr="00263445">
        <w:rPr>
          <w:rFonts w:asciiTheme="majorHAnsi" w:hAnsiTheme="majorHAnsi"/>
        </w:rPr>
        <w:fldChar w:fldCharType="separate"/>
      </w:r>
      <w:r w:rsidRPr="00263445">
        <w:rPr>
          <w:rFonts w:asciiTheme="majorHAnsi" w:hAnsiTheme="majorHAnsi"/>
        </w:rPr>
        <w:t>(18)</w:t>
      </w:r>
      <w:r w:rsidRPr="00263445">
        <w:rPr>
          <w:rFonts w:asciiTheme="majorHAnsi" w:hAnsiTheme="majorHAnsi"/>
        </w:rPr>
        <w:fldChar w:fldCharType="end"/>
      </w:r>
      <w:r w:rsidRPr="00263445">
        <w:rPr>
          <w:rFonts w:asciiTheme="majorHAnsi" w:hAnsiTheme="majorHAnsi" w:cs="Calibri"/>
        </w:rPr>
        <w:t xml:space="preserve"> and higher sFlt-1 concentrations </w:t>
      </w:r>
      <w:r w:rsidRPr="00263445">
        <w:rPr>
          <w:rFonts w:asciiTheme="majorHAnsi" w:hAnsiTheme="majorHAnsi"/>
        </w:rPr>
        <w:fldChar w:fldCharType="begin"/>
      </w:r>
      <w:r w:rsidRPr="00263445">
        <w:rPr>
          <w:rFonts w:asciiTheme="majorHAnsi" w:hAnsiTheme="majorHAnsi"/>
        </w:rPr>
        <w:instrText>ADDIN BEC{Hertig et al., 2004, #83766}</w:instrText>
      </w:r>
      <w:r w:rsidRPr="00263445">
        <w:rPr>
          <w:rFonts w:asciiTheme="majorHAnsi" w:hAnsiTheme="majorHAnsi"/>
        </w:rPr>
        <w:fldChar w:fldCharType="separate"/>
      </w:r>
      <w:r w:rsidRPr="00263445">
        <w:rPr>
          <w:rFonts w:asciiTheme="majorHAnsi" w:hAnsiTheme="majorHAnsi"/>
        </w:rPr>
        <w:t>(19)</w:t>
      </w:r>
      <w:r w:rsidRPr="00263445">
        <w:rPr>
          <w:rFonts w:asciiTheme="majorHAnsi" w:hAnsiTheme="majorHAnsi"/>
        </w:rPr>
        <w:fldChar w:fldCharType="end"/>
      </w:r>
      <w:r w:rsidRPr="00263445">
        <w:rPr>
          <w:rFonts w:asciiTheme="majorHAnsi" w:hAnsiTheme="majorHAnsi" w:cs="Calibri"/>
        </w:rPr>
        <w:t xml:space="preserve"> compared to pregnant women without pre-eclampsia. Following evaluation through prospective cohort studies </w:t>
      </w:r>
      <w:r w:rsidRPr="00263445">
        <w:rPr>
          <w:rFonts w:asciiTheme="majorHAnsi" w:hAnsiTheme="majorHAnsi"/>
        </w:rPr>
        <w:fldChar w:fldCharType="begin"/>
      </w:r>
      <w:r w:rsidRPr="00263445">
        <w:rPr>
          <w:rFonts w:asciiTheme="majorHAnsi" w:hAnsiTheme="majorHAnsi"/>
        </w:rPr>
        <w:instrText>ADDIN BEC{Chappell et al., 2013, #66125}</w:instrText>
      </w:r>
      <w:r w:rsidRPr="00263445">
        <w:rPr>
          <w:rFonts w:asciiTheme="majorHAnsi" w:hAnsiTheme="majorHAnsi"/>
        </w:rPr>
        <w:fldChar w:fldCharType="separate"/>
      </w:r>
      <w:r w:rsidRPr="00263445">
        <w:rPr>
          <w:rFonts w:asciiTheme="majorHAnsi" w:hAnsiTheme="majorHAnsi"/>
        </w:rPr>
        <w:t>(20)</w:t>
      </w:r>
      <w:r w:rsidRPr="00263445">
        <w:rPr>
          <w:rFonts w:asciiTheme="majorHAnsi" w:hAnsiTheme="majorHAnsi"/>
        </w:rPr>
        <w:fldChar w:fldCharType="end"/>
      </w:r>
      <w:r w:rsidRPr="00263445">
        <w:rPr>
          <w:rFonts w:asciiTheme="majorHAnsi" w:hAnsiTheme="majorHAnsi" w:cs="Calibri"/>
        </w:rPr>
        <w:t xml:space="preserve">, and a randomised controlled trial </w:t>
      </w:r>
      <w:r w:rsidRPr="00263445">
        <w:rPr>
          <w:rFonts w:asciiTheme="majorHAnsi" w:hAnsiTheme="majorHAnsi"/>
        </w:rPr>
        <w:fldChar w:fldCharType="begin"/>
      </w:r>
      <w:r w:rsidRPr="00263445">
        <w:rPr>
          <w:rFonts w:asciiTheme="majorHAnsi" w:hAnsiTheme="majorHAnsi"/>
        </w:rPr>
        <w:instrText>ADDIN BEC{Duhig et al., 2019, #45882}</w:instrText>
      </w:r>
      <w:r w:rsidRPr="00263445">
        <w:rPr>
          <w:rFonts w:asciiTheme="majorHAnsi" w:hAnsiTheme="majorHAnsi"/>
        </w:rPr>
        <w:fldChar w:fldCharType="separate"/>
      </w:r>
      <w:r w:rsidRPr="00263445">
        <w:rPr>
          <w:rFonts w:asciiTheme="majorHAnsi" w:hAnsiTheme="majorHAnsi"/>
        </w:rPr>
        <w:t>(21)</w:t>
      </w:r>
      <w:r w:rsidRPr="00263445">
        <w:rPr>
          <w:rFonts w:asciiTheme="majorHAnsi" w:hAnsiTheme="majorHAnsi"/>
        </w:rPr>
        <w:fldChar w:fldCharType="end"/>
      </w:r>
      <w:r w:rsidRPr="00263445">
        <w:rPr>
          <w:rFonts w:asciiTheme="majorHAnsi" w:hAnsiTheme="majorHAnsi" w:cs="Calibri"/>
        </w:rPr>
        <w:t xml:space="preserve">, PlGF based testing is now recommended as a diagnostic adjunct in women with suspected pre-eclampsia, with PlGF and sFlt-1 testing to be fast-tracked for clinical use in the UK in 2020 </w:t>
      </w:r>
      <w:r w:rsidRPr="00263445">
        <w:rPr>
          <w:rFonts w:asciiTheme="majorHAnsi" w:hAnsiTheme="majorHAnsi" w:cs="Calibri"/>
        </w:rPr>
        <w:fldChar w:fldCharType="begin"/>
      </w:r>
      <w:r w:rsidRPr="00263445">
        <w:rPr>
          <w:rFonts w:asciiTheme="majorHAnsi" w:hAnsiTheme="majorHAnsi" w:cs="Calibri"/>
        </w:rPr>
        <w:instrText>ADDIN BEC{National Institute for Health and Care Excellence, 2016, #46720}</w:instrText>
      </w:r>
      <w:r w:rsidRPr="00263445">
        <w:rPr>
          <w:rFonts w:asciiTheme="majorHAnsi" w:hAnsiTheme="majorHAnsi" w:cs="Calibri"/>
        </w:rPr>
        <w:fldChar w:fldCharType="separate"/>
      </w:r>
      <w:r w:rsidRPr="00263445">
        <w:rPr>
          <w:rFonts w:asciiTheme="majorHAnsi" w:hAnsiTheme="majorHAnsi" w:cs="Calibri"/>
        </w:rPr>
        <w:t>(22)</w:t>
      </w:r>
      <w:r w:rsidRPr="00263445">
        <w:rPr>
          <w:rFonts w:asciiTheme="majorHAnsi" w:hAnsiTheme="majorHAnsi" w:cs="Calibri"/>
        </w:rPr>
        <w:fldChar w:fldCharType="end"/>
      </w:r>
      <w:r w:rsidRPr="00263445">
        <w:rPr>
          <w:rFonts w:asciiTheme="majorHAnsi" w:hAnsiTheme="majorHAnsi" w:cs="Calibri"/>
        </w:rPr>
        <w:t>(Table 2).</w:t>
      </w:r>
    </w:p>
    <w:p w14:paraId="387420A2" w14:textId="77777777" w:rsidR="00AE053E" w:rsidRPr="00263445" w:rsidRDefault="00AE053E" w:rsidP="00AE053E">
      <w:pPr>
        <w:spacing w:line="360" w:lineRule="auto"/>
        <w:jc w:val="both"/>
        <w:rPr>
          <w:rFonts w:asciiTheme="majorHAnsi" w:hAnsiTheme="majorHAnsi" w:cs="Calibri"/>
        </w:rPr>
      </w:pPr>
    </w:p>
    <w:p w14:paraId="5A14BC91" w14:textId="35FD3345" w:rsidR="00AE053E" w:rsidRPr="00263445" w:rsidRDefault="00AE053E" w:rsidP="00AE053E">
      <w:pPr>
        <w:keepNext/>
        <w:keepLines/>
        <w:jc w:val="both"/>
        <w:rPr>
          <w:rFonts w:asciiTheme="majorHAnsi" w:hAnsiTheme="majorHAnsi" w:cs="Calibri"/>
          <w:sz w:val="20"/>
          <w:szCs w:val="20"/>
        </w:rPr>
      </w:pPr>
      <w:r w:rsidRPr="00263445">
        <w:rPr>
          <w:rFonts w:asciiTheme="majorHAnsi" w:hAnsiTheme="majorHAnsi" w:cs="Calibri"/>
          <w:b/>
          <w:sz w:val="20"/>
          <w:szCs w:val="20"/>
        </w:rPr>
        <w:t>Table 2</w:t>
      </w:r>
      <w:r w:rsidRPr="00263445">
        <w:rPr>
          <w:rFonts w:asciiTheme="majorHAnsi" w:hAnsiTheme="majorHAnsi" w:cs="Calibri"/>
          <w:sz w:val="20"/>
          <w:szCs w:val="20"/>
        </w:rPr>
        <w:t xml:space="preserve">: </w:t>
      </w:r>
      <w:r w:rsidRPr="00263445">
        <w:rPr>
          <w:rFonts w:asciiTheme="majorHAnsi" w:hAnsiTheme="majorHAnsi"/>
          <w:b/>
          <w:sz w:val="20"/>
        </w:rPr>
        <w:t>Angiogenic markers used in the prediction and diagnosis of pre-eclampsia in singleton pregnancies in general obstetric cohorts.</w:t>
      </w:r>
      <w:r w:rsidR="00014806">
        <w:rPr>
          <w:rFonts w:asciiTheme="majorHAnsi" w:hAnsiTheme="majorHAnsi" w:cs="Calibri"/>
          <w:sz w:val="20"/>
          <w:szCs w:val="20"/>
        </w:rPr>
        <w:t xml:space="preserve"> </w:t>
      </w:r>
    </w:p>
    <w:p w14:paraId="6892FF15" w14:textId="77777777" w:rsidR="00AE053E" w:rsidRPr="00263445" w:rsidRDefault="00AE053E" w:rsidP="00AE053E">
      <w:pPr>
        <w:keepNext/>
        <w:keepLines/>
        <w:jc w:val="both"/>
        <w:rPr>
          <w:rFonts w:asciiTheme="majorHAnsi" w:hAnsiTheme="majorHAnsi" w:cs="Calibri"/>
          <w:sz w:val="20"/>
          <w:szCs w:val="20"/>
        </w:rPr>
      </w:pPr>
      <w:r w:rsidRPr="00263445">
        <w:rPr>
          <w:rFonts w:asciiTheme="majorHAnsi" w:hAnsiTheme="majorHAnsi" w:cs="Calibri"/>
          <w:sz w:val="20"/>
          <w:szCs w:val="20"/>
        </w:rPr>
        <w:t xml:space="preserve">Adapted from </w:t>
      </w:r>
      <w:r w:rsidRPr="00263445">
        <w:rPr>
          <w:rFonts w:asciiTheme="majorHAnsi" w:hAnsiTheme="majorHAnsi"/>
        </w:rPr>
        <w:fldChar w:fldCharType="begin"/>
      </w:r>
      <w:r w:rsidRPr="00263445">
        <w:rPr>
          <w:rFonts w:asciiTheme="majorHAnsi" w:hAnsiTheme="majorHAnsi"/>
        </w:rPr>
        <w:instrText>ADDIN BEC{Stepan et al., 2015, #58369}</w:instrText>
      </w:r>
      <w:r w:rsidRPr="00263445">
        <w:rPr>
          <w:rFonts w:asciiTheme="majorHAnsi" w:hAnsiTheme="majorHAnsi"/>
        </w:rPr>
        <w:fldChar w:fldCharType="separate"/>
      </w:r>
      <w:r w:rsidRPr="00263445">
        <w:rPr>
          <w:rFonts w:asciiTheme="majorHAnsi" w:hAnsiTheme="majorHAnsi"/>
        </w:rPr>
        <w:t>(23)</w:t>
      </w:r>
      <w:r w:rsidRPr="00263445">
        <w:rPr>
          <w:rFonts w:asciiTheme="majorHAnsi" w:hAnsiTheme="majorHAnsi"/>
        </w:rPr>
        <w:fldChar w:fldCharType="end"/>
      </w:r>
      <w:r w:rsidRPr="00263445">
        <w:rPr>
          <w:rFonts w:asciiTheme="majorHAnsi" w:hAnsiTheme="majorHAnsi" w:cs="Calibri"/>
          <w:sz w:val="20"/>
          <w:szCs w:val="20"/>
        </w:rPr>
        <w:t>.</w:t>
      </w:r>
    </w:p>
    <w:p w14:paraId="6A50C4DC" w14:textId="4474C27B" w:rsidR="00AE053E" w:rsidRPr="00263445" w:rsidRDefault="00AE053E" w:rsidP="00AE053E">
      <w:pPr>
        <w:keepNext/>
        <w:keepLines/>
        <w:jc w:val="both"/>
        <w:rPr>
          <w:rFonts w:asciiTheme="majorHAnsi" w:hAnsiTheme="majorHAnsi" w:cs="Calibri"/>
          <w:sz w:val="20"/>
          <w:szCs w:val="20"/>
        </w:rPr>
      </w:pPr>
      <w:r w:rsidRPr="00263445">
        <w:rPr>
          <w:rFonts w:asciiTheme="majorHAnsi" w:hAnsiTheme="majorHAnsi" w:cs="Calibri"/>
          <w:sz w:val="20"/>
          <w:szCs w:val="20"/>
        </w:rPr>
        <w:t xml:space="preserve">* or another form of placental insufficiency </w:t>
      </w:r>
      <w:r w:rsidR="00262E53" w:rsidRPr="00263445">
        <w:rPr>
          <w:rFonts w:asciiTheme="majorHAnsi" w:hAnsiTheme="majorHAnsi" w:cs="Calibri"/>
          <w:sz w:val="20"/>
          <w:szCs w:val="20"/>
        </w:rPr>
        <w:t>e.g.</w:t>
      </w:r>
      <w:r w:rsidRPr="00263445">
        <w:rPr>
          <w:rFonts w:asciiTheme="majorHAnsi" w:hAnsiTheme="majorHAnsi" w:cs="Calibri"/>
          <w:sz w:val="20"/>
          <w:szCs w:val="20"/>
        </w:rPr>
        <w:t xml:space="preserve"> fetal growth restriction. </w:t>
      </w:r>
    </w:p>
    <w:p w14:paraId="379D0BE8" w14:textId="77777777" w:rsidR="00AE053E" w:rsidRPr="00263445" w:rsidRDefault="00AE053E" w:rsidP="00AE053E">
      <w:pPr>
        <w:keepNext/>
        <w:keepLines/>
        <w:jc w:val="both"/>
        <w:rPr>
          <w:rFonts w:asciiTheme="majorHAnsi" w:hAnsiTheme="majorHAnsi" w:cs="Calibri"/>
          <w:sz w:val="20"/>
          <w:szCs w:val="20"/>
        </w:rPr>
      </w:pPr>
      <w:r w:rsidRPr="00263445">
        <w:rPr>
          <w:rFonts w:asciiTheme="majorHAnsi" w:hAnsiTheme="majorHAnsi" w:cs="Calibri"/>
          <w:sz w:val="20"/>
          <w:szCs w:val="20"/>
        </w:rPr>
        <w:t>PlGF = placental growth factor, sFlt-1 = soluble fms-like tyrosine kinase receptor 1</w:t>
      </w:r>
    </w:p>
    <w:tbl>
      <w:tblPr>
        <w:tblStyle w:val="TableGrid"/>
        <w:tblW w:w="9463" w:type="dxa"/>
        <w:tblInd w:w="-885" w:type="dxa"/>
        <w:tblLook w:val="04A0" w:firstRow="1" w:lastRow="0" w:firstColumn="1" w:lastColumn="0" w:noHBand="0" w:noVBand="1"/>
      </w:tblPr>
      <w:tblGrid>
        <w:gridCol w:w="2093"/>
        <w:gridCol w:w="1985"/>
        <w:gridCol w:w="1842"/>
        <w:gridCol w:w="1894"/>
        <w:gridCol w:w="1649"/>
      </w:tblGrid>
      <w:tr w:rsidR="00AE053E" w:rsidRPr="00263445" w14:paraId="7DCB94F3" w14:textId="77777777" w:rsidTr="00E83E7F">
        <w:tc>
          <w:tcPr>
            <w:tcW w:w="2093" w:type="dxa"/>
          </w:tcPr>
          <w:p w14:paraId="1EDE90E9" w14:textId="77777777" w:rsidR="00AE053E" w:rsidRPr="00263445" w:rsidRDefault="00AE053E" w:rsidP="00E83E7F">
            <w:pPr>
              <w:keepNext/>
              <w:keepLines/>
              <w:jc w:val="both"/>
              <w:rPr>
                <w:rFonts w:asciiTheme="majorHAnsi" w:hAnsiTheme="majorHAnsi" w:cs="Calibri"/>
                <w:sz w:val="20"/>
                <w:szCs w:val="20"/>
              </w:rPr>
            </w:pPr>
            <w:r w:rsidRPr="00263445">
              <w:rPr>
                <w:rFonts w:asciiTheme="majorHAnsi" w:hAnsiTheme="majorHAnsi" w:cs="Calibri"/>
                <w:sz w:val="20"/>
                <w:szCs w:val="20"/>
              </w:rPr>
              <w:t>Angiogenic marker</w:t>
            </w:r>
          </w:p>
        </w:tc>
        <w:tc>
          <w:tcPr>
            <w:tcW w:w="1985" w:type="dxa"/>
          </w:tcPr>
          <w:p w14:paraId="5B69F503" w14:textId="77777777" w:rsidR="00AE053E" w:rsidRPr="00263445" w:rsidRDefault="00AE053E" w:rsidP="00E83E7F">
            <w:pPr>
              <w:keepNext/>
              <w:keepLines/>
              <w:jc w:val="both"/>
              <w:rPr>
                <w:rFonts w:asciiTheme="majorHAnsi" w:hAnsiTheme="majorHAnsi" w:cs="Calibri"/>
                <w:sz w:val="20"/>
                <w:szCs w:val="20"/>
              </w:rPr>
            </w:pPr>
            <w:r w:rsidRPr="00263445">
              <w:rPr>
                <w:rFonts w:asciiTheme="majorHAnsi" w:hAnsiTheme="majorHAnsi" w:cs="Calibri"/>
                <w:sz w:val="20"/>
                <w:szCs w:val="20"/>
              </w:rPr>
              <w:t>Gestation used</w:t>
            </w:r>
          </w:p>
        </w:tc>
        <w:tc>
          <w:tcPr>
            <w:tcW w:w="1842" w:type="dxa"/>
          </w:tcPr>
          <w:p w14:paraId="0AE9610A" w14:textId="77777777" w:rsidR="00AE053E" w:rsidRPr="00263445" w:rsidRDefault="00AE053E" w:rsidP="00E83E7F">
            <w:pPr>
              <w:keepNext/>
              <w:keepLines/>
              <w:rPr>
                <w:rFonts w:asciiTheme="majorHAnsi" w:hAnsiTheme="majorHAnsi" w:cs="Calibri"/>
                <w:sz w:val="20"/>
                <w:szCs w:val="20"/>
              </w:rPr>
            </w:pPr>
            <w:r w:rsidRPr="00263445">
              <w:rPr>
                <w:rFonts w:asciiTheme="majorHAnsi" w:hAnsiTheme="majorHAnsi" w:cs="Calibri"/>
                <w:sz w:val="20"/>
                <w:szCs w:val="20"/>
              </w:rPr>
              <w:t>Unlikely to develop pre-eclampsia* in the next week</w:t>
            </w:r>
          </w:p>
        </w:tc>
        <w:tc>
          <w:tcPr>
            <w:tcW w:w="1894" w:type="dxa"/>
          </w:tcPr>
          <w:p w14:paraId="363C7428" w14:textId="23316309" w:rsidR="00AE053E" w:rsidRPr="00263445" w:rsidRDefault="00AE053E" w:rsidP="00E83E7F">
            <w:pPr>
              <w:keepNext/>
              <w:keepLines/>
              <w:rPr>
                <w:rFonts w:asciiTheme="majorHAnsi" w:hAnsiTheme="majorHAnsi" w:cs="Calibri"/>
                <w:sz w:val="20"/>
                <w:szCs w:val="20"/>
              </w:rPr>
            </w:pPr>
            <w:r w:rsidRPr="00263445">
              <w:rPr>
                <w:rFonts w:asciiTheme="majorHAnsi" w:hAnsiTheme="majorHAnsi" w:cs="Calibri"/>
                <w:sz w:val="20"/>
                <w:szCs w:val="20"/>
              </w:rPr>
              <w:t xml:space="preserve">At risk of developing pre-eclampsia* within 1-4 </w:t>
            </w:r>
            <w:r w:rsidR="000C2F8C">
              <w:rPr>
                <w:rFonts w:asciiTheme="majorHAnsi" w:hAnsiTheme="majorHAnsi" w:cs="Calibri"/>
                <w:sz w:val="20"/>
                <w:szCs w:val="20"/>
              </w:rPr>
              <w:t>weeks’</w:t>
            </w:r>
          </w:p>
        </w:tc>
        <w:tc>
          <w:tcPr>
            <w:tcW w:w="1649" w:type="dxa"/>
          </w:tcPr>
          <w:p w14:paraId="4840ECDC" w14:textId="77777777" w:rsidR="00AE053E" w:rsidRPr="00263445" w:rsidRDefault="00AE053E" w:rsidP="00E83E7F">
            <w:pPr>
              <w:keepNext/>
              <w:keepLines/>
              <w:rPr>
                <w:rFonts w:asciiTheme="majorHAnsi" w:hAnsiTheme="majorHAnsi" w:cs="Calibri"/>
                <w:sz w:val="20"/>
                <w:szCs w:val="20"/>
              </w:rPr>
            </w:pPr>
            <w:r w:rsidRPr="00263445">
              <w:rPr>
                <w:rFonts w:asciiTheme="majorHAnsi" w:hAnsiTheme="majorHAnsi" w:cs="Calibri"/>
                <w:sz w:val="20"/>
                <w:szCs w:val="20"/>
              </w:rPr>
              <w:t xml:space="preserve">Assess as pre-eclampsia* </w:t>
            </w:r>
          </w:p>
        </w:tc>
      </w:tr>
      <w:tr w:rsidR="00AE053E" w:rsidRPr="00263445" w14:paraId="4F8F59D5" w14:textId="77777777" w:rsidTr="00E83E7F">
        <w:tc>
          <w:tcPr>
            <w:tcW w:w="2093" w:type="dxa"/>
          </w:tcPr>
          <w:p w14:paraId="061E371A" w14:textId="77777777" w:rsidR="00AE053E" w:rsidRPr="00263445" w:rsidRDefault="00AE053E" w:rsidP="00E83E7F">
            <w:pPr>
              <w:keepNext/>
              <w:keepLines/>
              <w:rPr>
                <w:rFonts w:asciiTheme="majorHAnsi" w:hAnsiTheme="majorHAnsi" w:cs="Calibri"/>
                <w:sz w:val="20"/>
                <w:szCs w:val="20"/>
              </w:rPr>
            </w:pPr>
            <w:r w:rsidRPr="00263445">
              <w:rPr>
                <w:rFonts w:asciiTheme="majorHAnsi" w:hAnsiTheme="majorHAnsi" w:cs="Calibri"/>
                <w:sz w:val="20"/>
                <w:szCs w:val="20"/>
              </w:rPr>
              <w:t>PlGF</w:t>
            </w:r>
          </w:p>
          <w:p w14:paraId="503487A2" w14:textId="77777777" w:rsidR="00AE053E" w:rsidRPr="00263445" w:rsidRDefault="00AE053E" w:rsidP="00E83E7F">
            <w:pPr>
              <w:keepNext/>
              <w:keepLines/>
              <w:rPr>
                <w:rFonts w:asciiTheme="majorHAnsi" w:hAnsiTheme="majorHAnsi" w:cs="Calibri"/>
                <w:sz w:val="20"/>
                <w:szCs w:val="20"/>
              </w:rPr>
            </w:pPr>
            <w:r w:rsidRPr="00263445">
              <w:rPr>
                <w:rFonts w:asciiTheme="majorHAnsi" w:hAnsiTheme="majorHAnsi" w:cs="Calibri"/>
                <w:sz w:val="20"/>
                <w:szCs w:val="20"/>
              </w:rPr>
              <w:t>(Triage, Alere/Quidel)</w:t>
            </w:r>
          </w:p>
        </w:tc>
        <w:tc>
          <w:tcPr>
            <w:tcW w:w="1985" w:type="dxa"/>
          </w:tcPr>
          <w:p w14:paraId="0A442B9F" w14:textId="7D0E63D8" w:rsidR="00AE053E" w:rsidRPr="00263445" w:rsidRDefault="00AE053E" w:rsidP="00E83E7F">
            <w:pPr>
              <w:keepNext/>
              <w:keepLines/>
              <w:jc w:val="both"/>
              <w:rPr>
                <w:rFonts w:asciiTheme="majorHAnsi" w:hAnsiTheme="majorHAnsi" w:cs="Calibri"/>
                <w:sz w:val="20"/>
                <w:szCs w:val="20"/>
              </w:rPr>
            </w:pPr>
            <w:r w:rsidRPr="00263445">
              <w:rPr>
                <w:rFonts w:asciiTheme="majorHAnsi" w:hAnsiTheme="majorHAnsi" w:cs="Calibri"/>
                <w:sz w:val="20"/>
                <w:szCs w:val="20"/>
              </w:rPr>
              <w:t xml:space="preserve">20 to &lt;37 </w:t>
            </w:r>
            <w:r w:rsidR="000C2F8C">
              <w:rPr>
                <w:rFonts w:asciiTheme="majorHAnsi" w:hAnsiTheme="majorHAnsi" w:cs="Calibri"/>
                <w:sz w:val="20"/>
                <w:szCs w:val="20"/>
              </w:rPr>
              <w:t>weeks’</w:t>
            </w:r>
          </w:p>
        </w:tc>
        <w:tc>
          <w:tcPr>
            <w:tcW w:w="1842" w:type="dxa"/>
          </w:tcPr>
          <w:p w14:paraId="744A1719" w14:textId="77777777" w:rsidR="00AE053E" w:rsidRPr="00263445" w:rsidRDefault="00AE053E" w:rsidP="00E83E7F">
            <w:pPr>
              <w:keepNext/>
              <w:keepLines/>
              <w:jc w:val="center"/>
              <w:rPr>
                <w:rFonts w:asciiTheme="majorHAnsi" w:hAnsiTheme="majorHAnsi" w:cs="Calibri"/>
                <w:sz w:val="20"/>
                <w:szCs w:val="20"/>
              </w:rPr>
            </w:pPr>
            <w:r w:rsidRPr="00263445">
              <w:rPr>
                <w:rFonts w:asciiTheme="majorHAnsi" w:hAnsiTheme="majorHAnsi" w:cs="Calibri"/>
                <w:sz w:val="20"/>
                <w:szCs w:val="20"/>
              </w:rPr>
              <w:t>&gt;100pg/ml</w:t>
            </w:r>
          </w:p>
        </w:tc>
        <w:tc>
          <w:tcPr>
            <w:tcW w:w="1894" w:type="dxa"/>
          </w:tcPr>
          <w:p w14:paraId="59651DF4" w14:textId="77777777" w:rsidR="00AE053E" w:rsidRPr="00263445" w:rsidRDefault="00AE053E" w:rsidP="00E83E7F">
            <w:pPr>
              <w:keepNext/>
              <w:keepLines/>
              <w:jc w:val="center"/>
              <w:rPr>
                <w:rFonts w:asciiTheme="majorHAnsi" w:hAnsiTheme="majorHAnsi" w:cs="Calibri"/>
                <w:sz w:val="20"/>
                <w:szCs w:val="20"/>
              </w:rPr>
            </w:pPr>
            <w:r w:rsidRPr="00263445">
              <w:rPr>
                <w:rFonts w:asciiTheme="majorHAnsi" w:hAnsiTheme="majorHAnsi" w:cs="Calibri"/>
                <w:sz w:val="20"/>
                <w:szCs w:val="20"/>
              </w:rPr>
              <w:t>12-100pg/ml</w:t>
            </w:r>
          </w:p>
        </w:tc>
        <w:tc>
          <w:tcPr>
            <w:tcW w:w="1649" w:type="dxa"/>
          </w:tcPr>
          <w:p w14:paraId="173B0DDB" w14:textId="77777777" w:rsidR="00AE053E" w:rsidRPr="00263445" w:rsidRDefault="00AE053E" w:rsidP="00E83E7F">
            <w:pPr>
              <w:keepNext/>
              <w:keepLines/>
              <w:jc w:val="center"/>
              <w:rPr>
                <w:rFonts w:asciiTheme="majorHAnsi" w:hAnsiTheme="majorHAnsi" w:cs="Calibri"/>
                <w:sz w:val="20"/>
                <w:szCs w:val="20"/>
              </w:rPr>
            </w:pPr>
            <w:r w:rsidRPr="00263445">
              <w:rPr>
                <w:rFonts w:asciiTheme="majorHAnsi" w:hAnsiTheme="majorHAnsi" w:cs="Calibri"/>
                <w:sz w:val="20"/>
                <w:szCs w:val="20"/>
              </w:rPr>
              <w:t>&lt;12pg/ml</w:t>
            </w:r>
          </w:p>
        </w:tc>
      </w:tr>
      <w:tr w:rsidR="00AE053E" w:rsidRPr="00263445" w14:paraId="18F6E081" w14:textId="77777777" w:rsidTr="00E83E7F">
        <w:tc>
          <w:tcPr>
            <w:tcW w:w="2093" w:type="dxa"/>
          </w:tcPr>
          <w:p w14:paraId="497620F6" w14:textId="77777777" w:rsidR="00AE053E" w:rsidRPr="00263445" w:rsidRDefault="00AE053E" w:rsidP="00E83E7F">
            <w:pPr>
              <w:keepNext/>
              <w:keepLines/>
              <w:rPr>
                <w:rFonts w:asciiTheme="majorHAnsi" w:hAnsiTheme="majorHAnsi" w:cs="Calibri"/>
                <w:sz w:val="20"/>
                <w:szCs w:val="20"/>
              </w:rPr>
            </w:pPr>
            <w:r w:rsidRPr="00263445">
              <w:rPr>
                <w:rFonts w:asciiTheme="majorHAnsi" w:hAnsiTheme="majorHAnsi" w:cs="Calibri"/>
                <w:sz w:val="20"/>
                <w:szCs w:val="20"/>
              </w:rPr>
              <w:t>Ratio sFLT-1:PlGF (Elecsys, Roche)</w:t>
            </w:r>
          </w:p>
        </w:tc>
        <w:tc>
          <w:tcPr>
            <w:tcW w:w="1985" w:type="dxa"/>
          </w:tcPr>
          <w:p w14:paraId="53DB5C60" w14:textId="62743F2E" w:rsidR="00AE053E" w:rsidRPr="00263445" w:rsidRDefault="00AE053E" w:rsidP="00E83E7F">
            <w:pPr>
              <w:keepNext/>
              <w:keepLines/>
              <w:jc w:val="both"/>
              <w:rPr>
                <w:rFonts w:asciiTheme="majorHAnsi" w:hAnsiTheme="majorHAnsi" w:cs="Calibri"/>
                <w:sz w:val="20"/>
                <w:szCs w:val="20"/>
              </w:rPr>
            </w:pPr>
            <w:r w:rsidRPr="00263445">
              <w:rPr>
                <w:rFonts w:asciiTheme="majorHAnsi" w:hAnsiTheme="majorHAnsi" w:cs="Calibri"/>
                <w:sz w:val="20"/>
                <w:szCs w:val="20"/>
              </w:rPr>
              <w:t xml:space="preserve">24 to &lt;34 </w:t>
            </w:r>
            <w:r w:rsidR="000C2F8C">
              <w:rPr>
                <w:rFonts w:asciiTheme="majorHAnsi" w:hAnsiTheme="majorHAnsi" w:cs="Calibri"/>
                <w:sz w:val="20"/>
                <w:szCs w:val="20"/>
              </w:rPr>
              <w:t>weeks’</w:t>
            </w:r>
          </w:p>
        </w:tc>
        <w:tc>
          <w:tcPr>
            <w:tcW w:w="1842" w:type="dxa"/>
          </w:tcPr>
          <w:p w14:paraId="2173B501" w14:textId="77777777" w:rsidR="00AE053E" w:rsidRPr="00263445" w:rsidRDefault="00AE053E" w:rsidP="00E83E7F">
            <w:pPr>
              <w:keepNext/>
              <w:keepLines/>
              <w:jc w:val="center"/>
              <w:rPr>
                <w:rFonts w:asciiTheme="majorHAnsi" w:hAnsiTheme="majorHAnsi" w:cs="Calibri"/>
                <w:sz w:val="20"/>
                <w:szCs w:val="20"/>
              </w:rPr>
            </w:pPr>
            <w:r w:rsidRPr="00263445">
              <w:rPr>
                <w:rFonts w:asciiTheme="majorHAnsi" w:hAnsiTheme="majorHAnsi" w:cs="Calibri"/>
                <w:sz w:val="20"/>
                <w:szCs w:val="20"/>
              </w:rPr>
              <w:t>&lt;38</w:t>
            </w:r>
          </w:p>
        </w:tc>
        <w:tc>
          <w:tcPr>
            <w:tcW w:w="1894" w:type="dxa"/>
          </w:tcPr>
          <w:p w14:paraId="6EF3B0F1" w14:textId="77777777" w:rsidR="00AE053E" w:rsidRPr="00263445" w:rsidRDefault="00AE053E" w:rsidP="00E83E7F">
            <w:pPr>
              <w:keepNext/>
              <w:keepLines/>
              <w:jc w:val="center"/>
              <w:rPr>
                <w:rFonts w:asciiTheme="majorHAnsi" w:hAnsiTheme="majorHAnsi" w:cs="Calibri"/>
                <w:sz w:val="20"/>
                <w:szCs w:val="20"/>
              </w:rPr>
            </w:pPr>
            <w:r w:rsidRPr="00263445">
              <w:rPr>
                <w:rFonts w:asciiTheme="majorHAnsi" w:hAnsiTheme="majorHAnsi" w:cs="Calibri"/>
                <w:sz w:val="20"/>
                <w:szCs w:val="20"/>
              </w:rPr>
              <w:t>38-85</w:t>
            </w:r>
          </w:p>
        </w:tc>
        <w:tc>
          <w:tcPr>
            <w:tcW w:w="1649" w:type="dxa"/>
          </w:tcPr>
          <w:p w14:paraId="15D7F5A1" w14:textId="77777777" w:rsidR="00AE053E" w:rsidRPr="00263445" w:rsidRDefault="00AE053E" w:rsidP="00E83E7F">
            <w:pPr>
              <w:keepNext/>
              <w:keepLines/>
              <w:jc w:val="center"/>
              <w:rPr>
                <w:rFonts w:asciiTheme="majorHAnsi" w:hAnsiTheme="majorHAnsi" w:cs="Calibri"/>
                <w:sz w:val="20"/>
                <w:szCs w:val="20"/>
              </w:rPr>
            </w:pPr>
            <w:r w:rsidRPr="00263445">
              <w:rPr>
                <w:rFonts w:asciiTheme="majorHAnsi" w:hAnsiTheme="majorHAnsi" w:cs="Calibri"/>
                <w:sz w:val="20"/>
                <w:szCs w:val="20"/>
              </w:rPr>
              <w:t>&gt;85</w:t>
            </w:r>
          </w:p>
        </w:tc>
      </w:tr>
    </w:tbl>
    <w:p w14:paraId="520F857C" w14:textId="77777777" w:rsidR="00AE053E" w:rsidRPr="00263445" w:rsidRDefault="00AE053E" w:rsidP="00AE053E">
      <w:pPr>
        <w:keepNext/>
        <w:keepLines/>
        <w:spacing w:line="360" w:lineRule="auto"/>
        <w:jc w:val="both"/>
        <w:rPr>
          <w:rFonts w:asciiTheme="majorHAnsi" w:hAnsiTheme="majorHAnsi" w:cs="Calibri"/>
        </w:rPr>
      </w:pPr>
    </w:p>
    <w:p w14:paraId="3880D0F8" w14:textId="10652784" w:rsidR="00AE053E" w:rsidRPr="00263445" w:rsidRDefault="006A6B72" w:rsidP="00AE053E">
      <w:pPr>
        <w:spacing w:line="360" w:lineRule="auto"/>
        <w:jc w:val="both"/>
        <w:rPr>
          <w:rFonts w:asciiTheme="majorHAnsi" w:hAnsiTheme="majorHAnsi" w:cs="Calibri"/>
        </w:rPr>
      </w:pPr>
      <w:r>
        <w:rPr>
          <w:rFonts w:asciiTheme="majorHAnsi" w:hAnsiTheme="majorHAnsi" w:cs="Calibri"/>
        </w:rPr>
        <w:t>A</w:t>
      </w:r>
      <w:r w:rsidR="008332DC">
        <w:rPr>
          <w:rFonts w:asciiTheme="majorHAnsi" w:hAnsiTheme="majorHAnsi" w:cs="Calibri"/>
        </w:rPr>
        <w:t xml:space="preserve"> Pl</w:t>
      </w:r>
      <w:r w:rsidR="00AE053E" w:rsidRPr="00263445">
        <w:rPr>
          <w:rFonts w:asciiTheme="majorHAnsi" w:hAnsiTheme="majorHAnsi" w:cs="Calibri"/>
        </w:rPr>
        <w:t xml:space="preserve">GF concentration lower than 100pg/ml </w:t>
      </w:r>
      <w:r>
        <w:rPr>
          <w:rFonts w:asciiTheme="majorHAnsi" w:hAnsiTheme="majorHAnsi" w:cs="Calibri"/>
        </w:rPr>
        <w:t>before 35 weeks’ gestation</w:t>
      </w:r>
      <w:r w:rsidRPr="00263445">
        <w:rPr>
          <w:rFonts w:asciiTheme="majorHAnsi" w:hAnsiTheme="majorHAnsi" w:cs="Calibri"/>
        </w:rPr>
        <w:t xml:space="preserve"> </w:t>
      </w:r>
      <w:r w:rsidR="00E926DB">
        <w:rPr>
          <w:rFonts w:asciiTheme="majorHAnsi" w:hAnsiTheme="majorHAnsi" w:cs="Calibri"/>
        </w:rPr>
        <w:t>has been</w:t>
      </w:r>
      <w:r w:rsidR="00AE053E" w:rsidRPr="00263445">
        <w:rPr>
          <w:rFonts w:asciiTheme="majorHAnsi" w:hAnsiTheme="majorHAnsi" w:cs="Calibri"/>
        </w:rPr>
        <w:t xml:space="preserve"> shown to rule out the need for delivery due to pre-eclampsia within the next two weeks with 98% probability in a general obstetric population, with better predictive power than other clinical parameters including blood pressure, transaminitis and dipstick proteinuria </w:t>
      </w:r>
      <w:r w:rsidR="00AE053E" w:rsidRPr="00263445">
        <w:rPr>
          <w:rFonts w:asciiTheme="majorHAnsi" w:hAnsiTheme="majorHAnsi"/>
        </w:rPr>
        <w:fldChar w:fldCharType="begin"/>
      </w:r>
      <w:r w:rsidR="00AE053E" w:rsidRPr="00263445">
        <w:rPr>
          <w:rFonts w:asciiTheme="majorHAnsi" w:hAnsiTheme="majorHAnsi"/>
        </w:rPr>
        <w:instrText>ADDIN BEC{Chappell et al., 2013, #66125}</w:instrText>
      </w:r>
      <w:r w:rsidR="00AE053E" w:rsidRPr="00263445">
        <w:rPr>
          <w:rFonts w:asciiTheme="majorHAnsi" w:hAnsiTheme="majorHAnsi"/>
        </w:rPr>
        <w:fldChar w:fldCharType="separate"/>
      </w:r>
      <w:r w:rsidR="00AE053E" w:rsidRPr="00263445">
        <w:rPr>
          <w:rFonts w:asciiTheme="majorHAnsi" w:hAnsiTheme="majorHAnsi"/>
        </w:rPr>
        <w:t>(20)</w:t>
      </w:r>
      <w:r w:rsidR="00AE053E" w:rsidRPr="00263445">
        <w:rPr>
          <w:rFonts w:asciiTheme="majorHAnsi" w:hAnsiTheme="majorHAnsi"/>
        </w:rPr>
        <w:fldChar w:fldCharType="end"/>
      </w:r>
      <w:r w:rsidR="00AE053E" w:rsidRPr="00263445">
        <w:rPr>
          <w:rFonts w:asciiTheme="majorHAnsi" w:hAnsiTheme="majorHAnsi" w:cs="Calibri"/>
        </w:rPr>
        <w:t xml:space="preserve">. Although this cohort included 19/287 (7.1%) women with </w:t>
      </w:r>
      <w:r w:rsidR="00461C67">
        <w:rPr>
          <w:rFonts w:asciiTheme="majorHAnsi" w:hAnsiTheme="majorHAnsi" w:cs="Calibri"/>
        </w:rPr>
        <w:t>CKD</w:t>
      </w:r>
      <w:r w:rsidR="00AE053E" w:rsidRPr="00263445">
        <w:rPr>
          <w:rFonts w:asciiTheme="majorHAnsi" w:hAnsiTheme="majorHAnsi" w:cs="Calibri"/>
        </w:rPr>
        <w:t xml:space="preserve">, median and interquartile ranges for serum creatinine were 0.58mg/dL and 0.50-0.70mg/dL respectively. More recently, a randomised controlled trial of revealed versus concealed PlGF testing was shown to reduce the time to diagnosis and maternal adverse event rate, with no difference in perinatal outcomes </w:t>
      </w:r>
      <w:r w:rsidR="00AE053E" w:rsidRPr="00263445">
        <w:rPr>
          <w:rFonts w:asciiTheme="majorHAnsi" w:hAnsiTheme="majorHAnsi"/>
        </w:rPr>
        <w:fldChar w:fldCharType="begin"/>
      </w:r>
      <w:r w:rsidR="00AE053E" w:rsidRPr="00263445">
        <w:rPr>
          <w:rFonts w:asciiTheme="majorHAnsi" w:hAnsiTheme="majorHAnsi"/>
        </w:rPr>
        <w:instrText>ADDIN BEC{Duhig et al., 2019, #45882}</w:instrText>
      </w:r>
      <w:r w:rsidR="00AE053E" w:rsidRPr="00263445">
        <w:rPr>
          <w:rFonts w:asciiTheme="majorHAnsi" w:hAnsiTheme="majorHAnsi"/>
        </w:rPr>
        <w:fldChar w:fldCharType="separate"/>
      </w:r>
      <w:r w:rsidR="00AE053E" w:rsidRPr="00263445">
        <w:rPr>
          <w:rFonts w:asciiTheme="majorHAnsi" w:hAnsiTheme="majorHAnsi"/>
        </w:rPr>
        <w:t>(21)</w:t>
      </w:r>
      <w:r w:rsidR="00AE053E" w:rsidRPr="00263445">
        <w:rPr>
          <w:rFonts w:asciiTheme="majorHAnsi" w:hAnsiTheme="majorHAnsi"/>
        </w:rPr>
        <w:fldChar w:fldCharType="end"/>
      </w:r>
      <w:r w:rsidR="00AE053E" w:rsidRPr="00263445">
        <w:rPr>
          <w:rFonts w:asciiTheme="majorHAnsi" w:hAnsiTheme="majorHAnsi" w:cs="Calibri"/>
        </w:rPr>
        <w:t xml:space="preserve">, at a cost saving of £149 ($190) per </w:t>
      </w:r>
      <w:r w:rsidR="0012733B">
        <w:rPr>
          <w:rFonts w:asciiTheme="majorHAnsi" w:hAnsiTheme="majorHAnsi" w:cs="Calibri"/>
        </w:rPr>
        <w:t xml:space="preserve">patient compared to </w:t>
      </w:r>
      <w:r w:rsidR="00AE053E" w:rsidRPr="00263445">
        <w:rPr>
          <w:rFonts w:asciiTheme="majorHAnsi" w:hAnsiTheme="majorHAnsi" w:cs="Calibri"/>
        </w:rPr>
        <w:t xml:space="preserve">usual surveillance, including the test cost </w:t>
      </w:r>
      <w:r w:rsidR="00E926DB">
        <w:rPr>
          <w:rFonts w:asciiTheme="majorHAnsi" w:hAnsiTheme="majorHAnsi" w:cs="Calibri"/>
        </w:rPr>
        <w:t>of £70 ($90</w:t>
      </w:r>
      <w:r w:rsidR="00AE053E" w:rsidRPr="00263445">
        <w:rPr>
          <w:rFonts w:asciiTheme="majorHAnsi" w:hAnsiTheme="majorHAnsi" w:cs="Calibri"/>
        </w:rPr>
        <w:t xml:space="preserve">) </w:t>
      </w:r>
      <w:r w:rsidR="00AE053E" w:rsidRPr="00263445">
        <w:rPr>
          <w:rFonts w:asciiTheme="majorHAnsi" w:hAnsiTheme="majorHAnsi" w:cs="Calibri"/>
        </w:rPr>
        <w:fldChar w:fldCharType="begin"/>
      </w:r>
      <w:r w:rsidR="00AE053E" w:rsidRPr="00263445">
        <w:rPr>
          <w:rFonts w:asciiTheme="majorHAnsi" w:hAnsiTheme="majorHAnsi" w:cs="Calibri"/>
        </w:rPr>
        <w:instrText>ADDIN BEC{Duhig et al., 2019, #18318}</w:instrText>
      </w:r>
      <w:r w:rsidR="00AE053E" w:rsidRPr="00263445">
        <w:rPr>
          <w:rFonts w:asciiTheme="majorHAnsi" w:hAnsiTheme="majorHAnsi" w:cs="Calibri"/>
        </w:rPr>
        <w:fldChar w:fldCharType="separate"/>
      </w:r>
      <w:r w:rsidR="00AE053E" w:rsidRPr="00263445">
        <w:rPr>
          <w:rFonts w:asciiTheme="majorHAnsi" w:hAnsiTheme="majorHAnsi" w:cs="Calibri"/>
        </w:rPr>
        <w:t>(24)</w:t>
      </w:r>
      <w:r w:rsidR="00AE053E" w:rsidRPr="00263445">
        <w:rPr>
          <w:rFonts w:asciiTheme="majorHAnsi" w:hAnsiTheme="majorHAnsi" w:cs="Calibri"/>
        </w:rPr>
        <w:fldChar w:fldCharType="end"/>
      </w:r>
      <w:r w:rsidR="00AE053E" w:rsidRPr="00263445">
        <w:rPr>
          <w:rFonts w:asciiTheme="majorHAnsi" w:hAnsiTheme="majorHAnsi" w:cs="Calibri"/>
        </w:rPr>
        <w:t xml:space="preserve">. Only 4% of women in this trial had CKD. </w:t>
      </w:r>
    </w:p>
    <w:p w14:paraId="40DD9BA7" w14:textId="77777777" w:rsidR="00AE053E" w:rsidRPr="00263445" w:rsidRDefault="00AE053E" w:rsidP="00AE053E">
      <w:pPr>
        <w:spacing w:line="360" w:lineRule="auto"/>
        <w:jc w:val="both"/>
        <w:rPr>
          <w:rFonts w:asciiTheme="majorHAnsi" w:hAnsiTheme="majorHAnsi" w:cs="Calibri"/>
        </w:rPr>
      </w:pPr>
    </w:p>
    <w:p w14:paraId="10A91C2E" w14:textId="7FAF9998" w:rsidR="00AE053E" w:rsidRPr="00263445" w:rsidRDefault="00E926DB" w:rsidP="00AE053E">
      <w:pPr>
        <w:spacing w:line="360" w:lineRule="auto"/>
        <w:jc w:val="both"/>
        <w:rPr>
          <w:rFonts w:asciiTheme="majorHAnsi" w:hAnsiTheme="majorHAnsi" w:cs="Calibri"/>
        </w:rPr>
      </w:pPr>
      <w:r>
        <w:rPr>
          <w:rFonts w:asciiTheme="majorHAnsi" w:hAnsiTheme="majorHAnsi" w:cs="Calibri"/>
        </w:rPr>
        <w:t>When PlGF was</w:t>
      </w:r>
      <w:r w:rsidR="00AE053E" w:rsidRPr="00263445">
        <w:rPr>
          <w:rFonts w:asciiTheme="majorHAnsi" w:hAnsiTheme="majorHAnsi" w:cs="Calibri"/>
        </w:rPr>
        <w:t xml:space="preserve"> combined with sFlt-1 to generate a ratio of sFlt-1</w:t>
      </w:r>
      <w:proofErr w:type="gramStart"/>
      <w:r w:rsidR="00AE053E" w:rsidRPr="00263445">
        <w:rPr>
          <w:rFonts w:asciiTheme="majorHAnsi" w:hAnsiTheme="majorHAnsi" w:cs="Calibri"/>
        </w:rPr>
        <w:t>:PlGF</w:t>
      </w:r>
      <w:proofErr w:type="gramEnd"/>
      <w:r w:rsidR="00AE053E" w:rsidRPr="00263445">
        <w:rPr>
          <w:rFonts w:asciiTheme="majorHAnsi" w:hAnsiTheme="majorHAnsi" w:cs="Calibri"/>
        </w:rPr>
        <w:t xml:space="preserve">, a value lower than 38 had a negative predictive value of 99% for the development of pre-eclampsia within one week, and 95% </w:t>
      </w:r>
      <w:r>
        <w:rPr>
          <w:rFonts w:asciiTheme="majorHAnsi" w:hAnsiTheme="majorHAnsi" w:cs="Calibri"/>
        </w:rPr>
        <w:t>for the</w:t>
      </w:r>
      <w:r w:rsidR="00AE053E" w:rsidRPr="00263445">
        <w:rPr>
          <w:rFonts w:asciiTheme="majorHAnsi" w:hAnsiTheme="majorHAnsi" w:cs="Calibri"/>
        </w:rPr>
        <w:t xml:space="preserve"> next 4 weeks in a cohort presenting with suspected disease</w:t>
      </w:r>
      <w:r w:rsidR="00014806">
        <w:rPr>
          <w:rFonts w:asciiTheme="majorHAnsi" w:hAnsiTheme="majorHAnsi" w:cs="Calibri"/>
        </w:rPr>
        <w:t xml:space="preserve"> </w:t>
      </w:r>
      <w:r w:rsidR="005F38D9" w:rsidRPr="00263445">
        <w:rPr>
          <w:rFonts w:asciiTheme="majorHAnsi" w:hAnsiTheme="majorHAnsi"/>
        </w:rPr>
        <w:fldChar w:fldCharType="begin"/>
      </w:r>
      <w:r w:rsidR="005F38D9" w:rsidRPr="00263445">
        <w:rPr>
          <w:rFonts w:asciiTheme="majorHAnsi" w:hAnsiTheme="majorHAnsi"/>
        </w:rPr>
        <w:instrText>ADDIN BEC{Zeisler et al., 2016, #73578}</w:instrText>
      </w:r>
      <w:r w:rsidR="005F38D9" w:rsidRPr="00263445">
        <w:rPr>
          <w:rFonts w:asciiTheme="majorHAnsi" w:hAnsiTheme="majorHAnsi"/>
        </w:rPr>
        <w:fldChar w:fldCharType="separate"/>
      </w:r>
      <w:r w:rsidR="005F38D9" w:rsidRPr="00263445">
        <w:rPr>
          <w:rFonts w:asciiTheme="majorHAnsi" w:hAnsiTheme="majorHAnsi"/>
        </w:rPr>
        <w:t>(25)</w:t>
      </w:r>
      <w:r w:rsidR="005F38D9" w:rsidRPr="00263445">
        <w:rPr>
          <w:rFonts w:asciiTheme="majorHAnsi" w:hAnsiTheme="majorHAnsi"/>
        </w:rPr>
        <w:fldChar w:fldCharType="end"/>
      </w:r>
      <w:r w:rsidR="00AE053E" w:rsidRPr="00263445">
        <w:rPr>
          <w:rFonts w:asciiTheme="majorHAnsi" w:hAnsiTheme="majorHAnsi" w:cs="Calibri"/>
        </w:rPr>
        <w:t xml:space="preserve">. </w:t>
      </w:r>
      <w:r>
        <w:rPr>
          <w:rFonts w:asciiTheme="majorHAnsi" w:hAnsiTheme="majorHAnsi" w:cs="Calibri"/>
        </w:rPr>
        <w:t xml:space="preserve"> However, t</w:t>
      </w:r>
      <w:r w:rsidR="00AE053E" w:rsidRPr="00263445">
        <w:rPr>
          <w:rFonts w:asciiTheme="majorHAnsi" w:hAnsiTheme="majorHAnsi" w:cs="Calibri"/>
        </w:rPr>
        <w:t>he proportion of women</w:t>
      </w:r>
      <w:r w:rsidR="00461C67">
        <w:rPr>
          <w:rFonts w:asciiTheme="majorHAnsi" w:hAnsiTheme="majorHAnsi" w:cs="Calibri"/>
        </w:rPr>
        <w:t xml:space="preserve"> with CKD was not described and </w:t>
      </w:r>
      <w:r w:rsidR="00AE053E" w:rsidRPr="00263445">
        <w:rPr>
          <w:rFonts w:asciiTheme="majorHAnsi" w:hAnsiTheme="majorHAnsi" w:cs="Calibri"/>
        </w:rPr>
        <w:t xml:space="preserve">only 1% (12/1050) had pre-existing proteinuria. Similarly, </w:t>
      </w:r>
      <w:r w:rsidR="005F38D9" w:rsidRPr="00263445">
        <w:rPr>
          <w:rFonts w:asciiTheme="majorHAnsi" w:hAnsiTheme="majorHAnsi" w:cs="Calibri"/>
        </w:rPr>
        <w:t xml:space="preserve">CKD prevalence </w:t>
      </w:r>
      <w:r w:rsidR="00461C67">
        <w:rPr>
          <w:rFonts w:asciiTheme="majorHAnsi" w:hAnsiTheme="majorHAnsi" w:cs="Calibri"/>
        </w:rPr>
        <w:t xml:space="preserve">was not reported </w:t>
      </w:r>
      <w:r w:rsidR="005F38D9">
        <w:rPr>
          <w:rFonts w:asciiTheme="majorHAnsi" w:hAnsiTheme="majorHAnsi" w:cs="Calibri"/>
        </w:rPr>
        <w:t>in the cohort</w:t>
      </w:r>
      <w:r w:rsidR="00AE053E" w:rsidRPr="00263445">
        <w:rPr>
          <w:rFonts w:asciiTheme="majorHAnsi" w:hAnsiTheme="majorHAnsi" w:cs="Calibri"/>
        </w:rPr>
        <w:t xml:space="preserve"> used to establish the threshold of 8</w:t>
      </w:r>
      <w:r w:rsidR="005F38D9">
        <w:rPr>
          <w:rFonts w:asciiTheme="majorHAnsi" w:hAnsiTheme="majorHAnsi" w:cs="Calibri"/>
        </w:rPr>
        <w:t>5 for sFlt-1</w:t>
      </w:r>
      <w:proofErr w:type="gramStart"/>
      <w:r w:rsidR="005F38D9">
        <w:rPr>
          <w:rFonts w:asciiTheme="majorHAnsi" w:hAnsiTheme="majorHAnsi" w:cs="Calibri"/>
        </w:rPr>
        <w:t>:PlGF</w:t>
      </w:r>
      <w:proofErr w:type="gramEnd"/>
      <w:r w:rsidR="005F38D9">
        <w:rPr>
          <w:rFonts w:asciiTheme="majorHAnsi" w:hAnsiTheme="majorHAnsi" w:cs="Calibri"/>
        </w:rPr>
        <w:t xml:space="preserve"> </w:t>
      </w:r>
      <w:r w:rsidR="00AE053E" w:rsidRPr="00263445">
        <w:rPr>
          <w:rFonts w:asciiTheme="majorHAnsi" w:hAnsiTheme="majorHAnsi"/>
        </w:rPr>
        <w:fldChar w:fldCharType="begin"/>
      </w:r>
      <w:r w:rsidR="00AE053E" w:rsidRPr="00263445">
        <w:rPr>
          <w:rFonts w:asciiTheme="majorHAnsi" w:hAnsiTheme="majorHAnsi"/>
        </w:rPr>
        <w:instrText>ADDIN BEC{Verlohren et al., 2014, #709}</w:instrText>
      </w:r>
      <w:r w:rsidR="00AE053E" w:rsidRPr="00263445">
        <w:rPr>
          <w:rFonts w:asciiTheme="majorHAnsi" w:hAnsiTheme="majorHAnsi"/>
        </w:rPr>
        <w:fldChar w:fldCharType="separate"/>
      </w:r>
      <w:r w:rsidR="00AE053E" w:rsidRPr="00263445">
        <w:rPr>
          <w:rFonts w:asciiTheme="majorHAnsi" w:hAnsiTheme="majorHAnsi"/>
        </w:rPr>
        <w:t>(26)</w:t>
      </w:r>
      <w:r w:rsidR="00AE053E" w:rsidRPr="00263445">
        <w:rPr>
          <w:rFonts w:asciiTheme="majorHAnsi" w:hAnsiTheme="majorHAnsi"/>
        </w:rPr>
        <w:fldChar w:fldCharType="end"/>
      </w:r>
      <w:r w:rsidR="00AE053E" w:rsidRPr="00263445">
        <w:rPr>
          <w:rFonts w:asciiTheme="majorHAnsi" w:hAnsiTheme="majorHAnsi" w:cs="Calibri"/>
        </w:rPr>
        <w:t xml:space="preserve">. </w:t>
      </w:r>
    </w:p>
    <w:p w14:paraId="42AAC144" w14:textId="77777777" w:rsidR="00AE053E" w:rsidRPr="00263445" w:rsidRDefault="00AE053E" w:rsidP="00AE053E">
      <w:pPr>
        <w:spacing w:line="360" w:lineRule="auto"/>
        <w:jc w:val="both"/>
        <w:rPr>
          <w:rFonts w:asciiTheme="majorHAnsi" w:hAnsiTheme="majorHAnsi" w:cs="Calibri"/>
        </w:rPr>
      </w:pPr>
    </w:p>
    <w:p w14:paraId="2BC51C28" w14:textId="626B1DE2"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Pre-eclampsia enc</w:t>
      </w:r>
      <w:r w:rsidR="00461C67">
        <w:rPr>
          <w:rFonts w:asciiTheme="majorHAnsi" w:hAnsiTheme="majorHAnsi" w:cs="Calibri"/>
        </w:rPr>
        <w:t xml:space="preserve">ompasses a spectrum of </w:t>
      </w:r>
      <w:r w:rsidRPr="00263445">
        <w:rPr>
          <w:rFonts w:asciiTheme="majorHAnsi" w:hAnsiTheme="majorHAnsi" w:cs="Calibri"/>
        </w:rPr>
        <w:t>disease including ear</w:t>
      </w:r>
      <w:r w:rsidR="00461C67">
        <w:rPr>
          <w:rFonts w:asciiTheme="majorHAnsi" w:hAnsiTheme="majorHAnsi" w:cs="Calibri"/>
        </w:rPr>
        <w:t>ly and late forms, requiring</w:t>
      </w:r>
      <w:r w:rsidRPr="00263445">
        <w:rPr>
          <w:rFonts w:asciiTheme="majorHAnsi" w:hAnsiTheme="majorHAnsi" w:cs="Calibri"/>
        </w:rPr>
        <w:t xml:space="preserve"> delivery before or after 34 weeks</w:t>
      </w:r>
      <w:r w:rsidR="00E926DB">
        <w:rPr>
          <w:rFonts w:asciiTheme="majorHAnsi" w:hAnsiTheme="majorHAnsi" w:cs="Calibri"/>
        </w:rPr>
        <w:t>’</w:t>
      </w:r>
      <w:r w:rsidR="00461C67">
        <w:rPr>
          <w:rFonts w:asciiTheme="majorHAnsi" w:hAnsiTheme="majorHAnsi" w:cs="Calibri"/>
        </w:rPr>
        <w:t xml:space="preserve"> respectively. Early-</w:t>
      </w:r>
      <w:r w:rsidRPr="00263445">
        <w:rPr>
          <w:rFonts w:asciiTheme="majorHAnsi" w:hAnsiTheme="majorHAnsi" w:cs="Calibri"/>
        </w:rPr>
        <w:t>onset pre-eclampsia, which typically has fetal involvement, is driven by plac</w:t>
      </w:r>
      <w:r w:rsidR="00E926DB">
        <w:rPr>
          <w:rFonts w:asciiTheme="majorHAnsi" w:hAnsiTheme="majorHAnsi" w:cs="Calibri"/>
        </w:rPr>
        <w:t>ental pathology, evidenced by</w:t>
      </w:r>
      <w:r w:rsidRPr="00263445">
        <w:rPr>
          <w:rFonts w:asciiTheme="majorHAnsi" w:hAnsiTheme="majorHAnsi" w:cs="Calibri"/>
        </w:rPr>
        <w:t xml:space="preserve"> angiogenic imbalance. Howe</w:t>
      </w:r>
      <w:r w:rsidR="00461C67">
        <w:rPr>
          <w:rFonts w:asciiTheme="majorHAnsi" w:hAnsiTheme="majorHAnsi" w:cs="Calibri"/>
        </w:rPr>
        <w:t xml:space="preserve">ver, </w:t>
      </w:r>
      <w:r w:rsidRPr="00263445">
        <w:rPr>
          <w:rFonts w:asciiTheme="majorHAnsi" w:hAnsiTheme="majorHAnsi" w:cs="Calibri"/>
        </w:rPr>
        <w:t xml:space="preserve">at later gestations, angiogenic dysregulation is less pronounced </w:t>
      </w:r>
      <w:r w:rsidRPr="00263445">
        <w:rPr>
          <w:rFonts w:asciiTheme="majorHAnsi" w:hAnsiTheme="majorHAnsi"/>
        </w:rPr>
        <w:fldChar w:fldCharType="begin"/>
      </w:r>
      <w:r w:rsidRPr="00263445">
        <w:rPr>
          <w:rFonts w:asciiTheme="majorHAnsi" w:hAnsiTheme="majorHAnsi"/>
        </w:rPr>
        <w:instrText>ADDIN BEC{Soto et al., 2012, #95517}</w:instrText>
      </w:r>
      <w:r w:rsidRPr="00263445">
        <w:rPr>
          <w:rFonts w:asciiTheme="majorHAnsi" w:hAnsiTheme="majorHAnsi"/>
        </w:rPr>
        <w:fldChar w:fldCharType="separate"/>
      </w:r>
      <w:r w:rsidRPr="00263445">
        <w:rPr>
          <w:rFonts w:asciiTheme="majorHAnsi" w:hAnsiTheme="majorHAnsi"/>
        </w:rPr>
        <w:t>(27)</w:t>
      </w:r>
      <w:r w:rsidRPr="00263445">
        <w:rPr>
          <w:rFonts w:asciiTheme="majorHAnsi" w:hAnsiTheme="majorHAnsi"/>
        </w:rPr>
        <w:fldChar w:fldCharType="end"/>
      </w:r>
      <w:r w:rsidRPr="00263445">
        <w:rPr>
          <w:rFonts w:asciiTheme="majorHAnsi" w:hAnsiTheme="majorHAnsi" w:cs="Calibri"/>
        </w:rPr>
        <w:t xml:space="preserve">, not exhibited by all women </w:t>
      </w:r>
      <w:r w:rsidRPr="00263445">
        <w:rPr>
          <w:rFonts w:asciiTheme="majorHAnsi" w:hAnsiTheme="majorHAnsi"/>
        </w:rPr>
        <w:fldChar w:fldCharType="begin"/>
      </w:r>
      <w:r w:rsidRPr="00263445">
        <w:rPr>
          <w:rFonts w:asciiTheme="majorHAnsi" w:hAnsiTheme="majorHAnsi"/>
        </w:rPr>
        <w:instrText>ADDIN BEC{Noori et al., 2010, #10918; Rana et al., 2012, #12788; Moore et al., 2012, #73348}</w:instrText>
      </w:r>
      <w:r w:rsidRPr="00263445">
        <w:rPr>
          <w:rFonts w:asciiTheme="majorHAnsi" w:hAnsiTheme="majorHAnsi"/>
        </w:rPr>
        <w:fldChar w:fldCharType="separate"/>
      </w:r>
      <w:r w:rsidRPr="00263445">
        <w:rPr>
          <w:rFonts w:asciiTheme="majorHAnsi" w:hAnsiTheme="majorHAnsi"/>
        </w:rPr>
        <w:t>(28–30)</w:t>
      </w:r>
      <w:r w:rsidRPr="00263445">
        <w:rPr>
          <w:rFonts w:asciiTheme="majorHAnsi" w:hAnsiTheme="majorHAnsi"/>
        </w:rPr>
        <w:fldChar w:fldCharType="end"/>
      </w:r>
      <w:r w:rsidR="00E926DB">
        <w:rPr>
          <w:rFonts w:asciiTheme="majorHAnsi" w:hAnsiTheme="majorHAnsi" w:cs="Calibri"/>
        </w:rPr>
        <w:t xml:space="preserve">, </w:t>
      </w:r>
      <w:proofErr w:type="gramStart"/>
      <w:r w:rsidR="00E926DB">
        <w:rPr>
          <w:rFonts w:asciiTheme="majorHAnsi" w:hAnsiTheme="majorHAnsi" w:cs="Calibri"/>
        </w:rPr>
        <w:t xml:space="preserve">with </w:t>
      </w:r>
      <w:r w:rsidR="00461C67">
        <w:rPr>
          <w:rFonts w:asciiTheme="majorHAnsi" w:hAnsiTheme="majorHAnsi" w:cs="Calibri"/>
        </w:rPr>
        <w:t>reduced</w:t>
      </w:r>
      <w:r w:rsidRPr="00263445">
        <w:rPr>
          <w:rFonts w:asciiTheme="majorHAnsi" w:hAnsiTheme="majorHAnsi" w:cs="Calibri"/>
        </w:rPr>
        <w:t xml:space="preserve"> accu</w:t>
      </w:r>
      <w:r w:rsidR="00461C67">
        <w:rPr>
          <w:rFonts w:asciiTheme="majorHAnsi" w:hAnsiTheme="majorHAnsi" w:cs="Calibri"/>
        </w:rPr>
        <w:t>racy of angiogenic markers</w:t>
      </w:r>
      <w:proofErr w:type="gramEnd"/>
      <w:r w:rsidRPr="00263445">
        <w:rPr>
          <w:rFonts w:asciiTheme="majorHAnsi" w:hAnsiTheme="majorHAnsi" w:cs="Calibri"/>
        </w:rPr>
        <w:t xml:space="preserve"> </w:t>
      </w:r>
      <w:r w:rsidRPr="00263445">
        <w:rPr>
          <w:rFonts w:asciiTheme="majorHAnsi" w:hAnsiTheme="majorHAnsi"/>
        </w:rPr>
        <w:fldChar w:fldCharType="begin"/>
      </w:r>
      <w:r w:rsidRPr="00263445">
        <w:rPr>
          <w:rFonts w:asciiTheme="majorHAnsi" w:hAnsiTheme="majorHAnsi"/>
        </w:rPr>
        <w:instrText>ADDIN BEC{Zeisler et al., 2016, #73578}</w:instrText>
      </w:r>
      <w:r w:rsidRPr="00263445">
        <w:rPr>
          <w:rFonts w:asciiTheme="majorHAnsi" w:hAnsiTheme="majorHAnsi"/>
        </w:rPr>
        <w:fldChar w:fldCharType="separate"/>
      </w:r>
      <w:r w:rsidRPr="00263445">
        <w:rPr>
          <w:rFonts w:asciiTheme="majorHAnsi" w:hAnsiTheme="majorHAnsi"/>
        </w:rPr>
        <w:t>(25)</w:t>
      </w:r>
      <w:r w:rsidRPr="00263445">
        <w:rPr>
          <w:rFonts w:asciiTheme="majorHAnsi" w:hAnsiTheme="majorHAnsi"/>
        </w:rPr>
        <w:fldChar w:fldCharType="end"/>
      </w:r>
      <w:r w:rsidRPr="00263445">
        <w:rPr>
          <w:rFonts w:asciiTheme="majorHAnsi" w:hAnsiTheme="majorHAnsi" w:cs="Calibri"/>
        </w:rPr>
        <w:t xml:space="preserve">. Thus, late pre-eclampsia </w:t>
      </w:r>
      <w:r w:rsidR="00461C67">
        <w:rPr>
          <w:rFonts w:asciiTheme="majorHAnsi" w:hAnsiTheme="majorHAnsi" w:cs="Calibri"/>
        </w:rPr>
        <w:t>is</w:t>
      </w:r>
      <w:r w:rsidR="00E926DB">
        <w:rPr>
          <w:rFonts w:asciiTheme="majorHAnsi" w:hAnsiTheme="majorHAnsi" w:cs="Calibri"/>
        </w:rPr>
        <w:t xml:space="preserve"> proposed to be due to </w:t>
      </w:r>
      <w:r w:rsidRPr="00263445">
        <w:rPr>
          <w:rFonts w:asciiTheme="majorHAnsi" w:hAnsiTheme="majorHAnsi" w:cs="Calibri"/>
        </w:rPr>
        <w:t xml:space="preserve">imbalance between placental perfusion and metabolic demand, rather than angiogenic dysfunction. This occurs in the absence of fetal growth restriction, and is exacerbated by a predisposition to metabolic and cardiovascular disease </w:t>
      </w:r>
      <w:r w:rsidRPr="00263445">
        <w:rPr>
          <w:rFonts w:asciiTheme="majorHAnsi" w:hAnsiTheme="majorHAnsi"/>
        </w:rPr>
        <w:fldChar w:fldCharType="begin"/>
      </w:r>
      <w:r w:rsidRPr="00263445">
        <w:rPr>
          <w:rFonts w:asciiTheme="majorHAnsi" w:hAnsiTheme="majorHAnsi"/>
        </w:rPr>
        <w:instrText>ADDIN BEC{McLaughlin et al., 2018, #33170}</w:instrText>
      </w:r>
      <w:r w:rsidRPr="00263445">
        <w:rPr>
          <w:rFonts w:asciiTheme="majorHAnsi" w:hAnsiTheme="majorHAnsi"/>
        </w:rPr>
        <w:fldChar w:fldCharType="separate"/>
      </w:r>
      <w:r w:rsidRPr="00263445">
        <w:rPr>
          <w:rFonts w:asciiTheme="majorHAnsi" w:hAnsiTheme="majorHAnsi"/>
        </w:rPr>
        <w:t>(31)</w:t>
      </w:r>
      <w:r w:rsidRPr="00263445">
        <w:rPr>
          <w:rFonts w:asciiTheme="majorHAnsi" w:hAnsiTheme="majorHAnsi"/>
        </w:rPr>
        <w:fldChar w:fldCharType="end"/>
      </w:r>
      <w:r w:rsidRPr="00263445">
        <w:rPr>
          <w:rFonts w:asciiTheme="majorHAnsi" w:hAnsiTheme="majorHAnsi" w:cs="Calibri"/>
        </w:rPr>
        <w:t>. When there is pre-existing endothelial dysfunction such as CKD, the physiological stress-test of pregnancy may therefore be sufficient f</w:t>
      </w:r>
      <w:r w:rsidR="00461C67">
        <w:rPr>
          <w:rFonts w:asciiTheme="majorHAnsi" w:hAnsiTheme="majorHAnsi" w:cs="Calibri"/>
        </w:rPr>
        <w:t>or development of pre-eclampsia</w:t>
      </w:r>
      <w:r w:rsidRPr="00263445">
        <w:rPr>
          <w:rFonts w:asciiTheme="majorHAnsi" w:hAnsiTheme="majorHAnsi" w:cs="Calibri"/>
        </w:rPr>
        <w:t xml:space="preserve"> in the absence of substantial angiogenic dysregulation </w:t>
      </w:r>
      <w:r w:rsidRPr="00263445">
        <w:rPr>
          <w:rFonts w:asciiTheme="majorHAnsi" w:hAnsiTheme="majorHAnsi"/>
        </w:rPr>
        <w:fldChar w:fldCharType="begin"/>
      </w:r>
      <w:r w:rsidRPr="00263445">
        <w:rPr>
          <w:rFonts w:asciiTheme="majorHAnsi" w:hAnsiTheme="majorHAnsi"/>
        </w:rPr>
        <w:instrText>ADDIN BEC{Roberts and Catov, 2008, #19123}</w:instrText>
      </w:r>
      <w:r w:rsidRPr="00263445">
        <w:rPr>
          <w:rFonts w:asciiTheme="majorHAnsi" w:hAnsiTheme="majorHAnsi"/>
        </w:rPr>
        <w:fldChar w:fldCharType="separate"/>
      </w:r>
      <w:r w:rsidRPr="00263445">
        <w:rPr>
          <w:rFonts w:asciiTheme="majorHAnsi" w:hAnsiTheme="majorHAnsi"/>
        </w:rPr>
        <w:t>(32)</w:t>
      </w:r>
      <w:r w:rsidRPr="00263445">
        <w:rPr>
          <w:rFonts w:asciiTheme="majorHAnsi" w:hAnsiTheme="majorHAnsi"/>
        </w:rPr>
        <w:fldChar w:fldCharType="end"/>
      </w:r>
      <w:r w:rsidRPr="00263445">
        <w:rPr>
          <w:rFonts w:asciiTheme="majorHAnsi" w:hAnsiTheme="majorHAnsi" w:cs="Calibri"/>
        </w:rPr>
        <w:t xml:space="preserve"> (Figure 2).</w:t>
      </w:r>
    </w:p>
    <w:p w14:paraId="43D5E4D3" w14:textId="77777777" w:rsidR="00AE053E" w:rsidRPr="00263445" w:rsidRDefault="00AE053E" w:rsidP="00AE053E">
      <w:pPr>
        <w:keepNext/>
        <w:keepLines/>
        <w:widowControl w:val="0"/>
        <w:jc w:val="both"/>
        <w:rPr>
          <w:rFonts w:asciiTheme="majorHAnsi" w:hAnsiTheme="majorHAnsi" w:cs="Calibri"/>
          <w:sz w:val="20"/>
          <w:szCs w:val="20"/>
        </w:rPr>
      </w:pPr>
      <w:r w:rsidRPr="00263445">
        <w:rPr>
          <w:rFonts w:asciiTheme="majorHAnsi" w:hAnsiTheme="majorHAnsi" w:cs="Calibri"/>
          <w:b/>
          <w:sz w:val="20"/>
          <w:szCs w:val="20"/>
        </w:rPr>
        <w:t>Figure 2:</w:t>
      </w:r>
      <w:r w:rsidRPr="00263445">
        <w:rPr>
          <w:rFonts w:asciiTheme="majorHAnsi" w:hAnsiTheme="majorHAnsi" w:cs="Calibri"/>
          <w:sz w:val="20"/>
          <w:szCs w:val="20"/>
        </w:rPr>
        <w:t xml:space="preserve"> </w:t>
      </w:r>
      <w:r w:rsidRPr="00263445">
        <w:rPr>
          <w:rFonts w:asciiTheme="majorHAnsi" w:hAnsiTheme="majorHAnsi"/>
          <w:b/>
          <w:sz w:val="20"/>
        </w:rPr>
        <w:t>Threshold model of disease in women with (red) and without (blue) CKD.</w:t>
      </w:r>
      <w:r w:rsidRPr="00263445">
        <w:rPr>
          <w:rFonts w:asciiTheme="majorHAnsi" w:hAnsiTheme="majorHAnsi" w:cs="Calibri"/>
          <w:sz w:val="20"/>
          <w:szCs w:val="20"/>
        </w:rPr>
        <w:t xml:space="preserve"> </w:t>
      </w:r>
    </w:p>
    <w:p w14:paraId="7FB858A0" w14:textId="7723A0AD" w:rsidR="00AE053E" w:rsidRPr="00263445" w:rsidRDefault="00AE053E" w:rsidP="00AE053E">
      <w:pPr>
        <w:keepNext/>
        <w:keepLines/>
        <w:widowControl w:val="0"/>
        <w:jc w:val="both"/>
        <w:rPr>
          <w:rFonts w:asciiTheme="majorHAnsi" w:hAnsiTheme="majorHAnsi" w:cs="Calibri"/>
          <w:sz w:val="20"/>
          <w:szCs w:val="20"/>
        </w:rPr>
      </w:pPr>
      <w:r w:rsidRPr="00263445">
        <w:rPr>
          <w:rFonts w:asciiTheme="majorHAnsi" w:hAnsiTheme="majorHAnsi" w:cs="Calibri"/>
          <w:sz w:val="20"/>
          <w:szCs w:val="20"/>
        </w:rPr>
        <w:t>Physiological changes in angiogenesis at the end of pregnancy trigger delivery, but do not manifest as clinical pre-eclampsia in women without CKD (blue line). Women with CKD can manifest pre-eclampsia without significant angiogenic dysfunction (red line) as endothelial dysfunction due to CKD places them closer to the threshold for clinical disease (i.e. hypertension, albuminuria, reduced kidney function). Women with and without CKD who have an abnormal placenta resulting in pathological angiogenic dysfunction (dash) can both develop pregnancy-related disease (pre-eclampsia or fetal growth restrict</w:t>
      </w:r>
      <w:r w:rsidR="00262E53">
        <w:rPr>
          <w:rFonts w:asciiTheme="majorHAnsi" w:hAnsiTheme="majorHAnsi" w:cs="Calibri"/>
          <w:sz w:val="20"/>
          <w:szCs w:val="20"/>
        </w:rPr>
        <w:t>ion). Women without CKD who develop</w:t>
      </w:r>
      <w:r w:rsidRPr="00263445">
        <w:rPr>
          <w:rFonts w:asciiTheme="majorHAnsi" w:hAnsiTheme="majorHAnsi" w:cs="Calibri"/>
          <w:sz w:val="20"/>
          <w:szCs w:val="20"/>
        </w:rPr>
        <w:t xml:space="preserve"> pre-ecla</w:t>
      </w:r>
      <w:r w:rsidR="00262E53">
        <w:rPr>
          <w:rFonts w:asciiTheme="majorHAnsi" w:hAnsiTheme="majorHAnsi" w:cs="Calibri"/>
          <w:sz w:val="20"/>
          <w:szCs w:val="20"/>
        </w:rPr>
        <w:t>mpsia are more likely to have</w:t>
      </w:r>
      <w:r w:rsidRPr="00263445">
        <w:rPr>
          <w:rFonts w:asciiTheme="majorHAnsi" w:hAnsiTheme="majorHAnsi" w:cs="Calibri"/>
          <w:sz w:val="20"/>
          <w:szCs w:val="20"/>
        </w:rPr>
        <w:t xml:space="preserve"> cardiovascular and kidney disease later in life. Adapted from </w:t>
      </w:r>
      <w:r w:rsidRPr="00263445">
        <w:rPr>
          <w:rFonts w:asciiTheme="majorHAnsi" w:hAnsiTheme="majorHAnsi" w:cs="Calibri"/>
          <w:sz w:val="20"/>
          <w:szCs w:val="20"/>
        </w:rPr>
        <w:fldChar w:fldCharType="begin"/>
      </w:r>
      <w:r w:rsidRPr="00263445">
        <w:rPr>
          <w:rFonts w:asciiTheme="majorHAnsi" w:hAnsiTheme="majorHAnsi" w:cs="Calibri"/>
          <w:sz w:val="20"/>
          <w:szCs w:val="20"/>
        </w:rPr>
        <w:instrText>ADDIN BEC{Sattar and Greer, 2002, #72183}</w:instrText>
      </w:r>
      <w:r w:rsidRPr="00263445">
        <w:rPr>
          <w:rFonts w:asciiTheme="majorHAnsi" w:hAnsiTheme="majorHAnsi" w:cs="Calibri"/>
          <w:sz w:val="20"/>
          <w:szCs w:val="20"/>
        </w:rPr>
        <w:fldChar w:fldCharType="separate"/>
      </w:r>
      <w:r w:rsidRPr="00263445">
        <w:rPr>
          <w:rFonts w:asciiTheme="majorHAnsi" w:hAnsiTheme="majorHAnsi" w:cs="Calibri"/>
          <w:sz w:val="20"/>
          <w:szCs w:val="20"/>
        </w:rPr>
        <w:t>(33)</w:t>
      </w:r>
      <w:r w:rsidRPr="00263445">
        <w:rPr>
          <w:rFonts w:asciiTheme="majorHAnsi" w:hAnsiTheme="majorHAnsi" w:cs="Calibri"/>
          <w:sz w:val="20"/>
          <w:szCs w:val="20"/>
        </w:rPr>
        <w:fldChar w:fldCharType="end"/>
      </w:r>
      <w:r w:rsidR="002917D5">
        <w:rPr>
          <w:rFonts w:asciiTheme="majorHAnsi" w:hAnsiTheme="majorHAnsi" w:cs="Calibri"/>
          <w:sz w:val="20"/>
          <w:szCs w:val="20"/>
        </w:rPr>
        <w:t>.</w:t>
      </w:r>
      <w:r w:rsidR="002917D5" w:rsidRPr="00263445">
        <w:rPr>
          <w:rFonts w:asciiTheme="majorHAnsi" w:hAnsiTheme="majorHAnsi" w:cs="Calibri"/>
          <w:sz w:val="20"/>
          <w:szCs w:val="20"/>
        </w:rPr>
        <w:t xml:space="preserve"> </w:t>
      </w:r>
    </w:p>
    <w:p w14:paraId="5E2CFA7E" w14:textId="68DCD32D" w:rsidR="00AE053E" w:rsidRPr="00263445" w:rsidRDefault="002917D5" w:rsidP="00AE053E">
      <w:pPr>
        <w:keepNext/>
        <w:keepLines/>
        <w:widowControl w:val="0"/>
        <w:jc w:val="both"/>
        <w:rPr>
          <w:rFonts w:asciiTheme="majorHAnsi" w:hAnsiTheme="majorHAnsi" w:cs="Calibri"/>
        </w:rPr>
      </w:pPr>
      <w:r>
        <w:rPr>
          <w:rFonts w:asciiTheme="majorHAnsi" w:hAnsiTheme="majorHAnsi" w:cs="Calibri"/>
          <w:sz w:val="20"/>
          <w:szCs w:val="20"/>
        </w:rPr>
        <w:t>CKD=</w:t>
      </w:r>
      <w:r w:rsidR="00AE053E" w:rsidRPr="00263445">
        <w:rPr>
          <w:rFonts w:asciiTheme="majorHAnsi" w:hAnsiTheme="majorHAnsi" w:cs="Calibri"/>
          <w:sz w:val="20"/>
          <w:szCs w:val="20"/>
        </w:rPr>
        <w:t>chronic kidney disease</w:t>
      </w:r>
    </w:p>
    <w:p w14:paraId="7E92A416" w14:textId="44B641B1" w:rsidR="00AE053E" w:rsidRPr="00263445" w:rsidRDefault="00A736B0" w:rsidP="00AE053E">
      <w:pPr>
        <w:keepNext/>
        <w:keepLines/>
        <w:widowControl w:val="0"/>
        <w:jc w:val="both"/>
        <w:rPr>
          <w:rFonts w:asciiTheme="majorHAnsi" w:hAnsiTheme="majorHAnsi"/>
          <w:sz w:val="20"/>
        </w:rPr>
      </w:pPr>
      <w:r>
        <w:rPr>
          <w:rFonts w:asciiTheme="majorHAnsi" w:hAnsiTheme="majorHAnsi"/>
          <w:noProof/>
          <w:sz w:val="20"/>
          <w:lang w:val="en-US"/>
        </w:rPr>
        <w:drawing>
          <wp:inline distT="0" distB="0" distL="0" distR="0" wp14:anchorId="713AC638" wp14:editId="465BA42E">
            <wp:extent cx="5270500" cy="3949700"/>
            <wp:effectExtent l="0" t="0" r="12700" b="12700"/>
            <wp:docPr id="4" name="Picture 4" descr="Macintosh HD:Users:KateWiles:Desktop:Threshold of disease: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KateWiles:Desktop:Threshold of disease:Slide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3949700"/>
                    </a:xfrm>
                    <a:prstGeom prst="rect">
                      <a:avLst/>
                    </a:prstGeom>
                    <a:noFill/>
                    <a:ln>
                      <a:noFill/>
                    </a:ln>
                  </pic:spPr>
                </pic:pic>
              </a:graphicData>
            </a:graphic>
          </wp:inline>
        </w:drawing>
      </w:r>
    </w:p>
    <w:p w14:paraId="5AADEAE8" w14:textId="77777777" w:rsidR="00AE053E" w:rsidRPr="00263445" w:rsidRDefault="00AE053E" w:rsidP="00AE053E">
      <w:pPr>
        <w:keepNext/>
        <w:keepLines/>
        <w:widowControl w:val="0"/>
        <w:spacing w:line="360" w:lineRule="auto"/>
        <w:jc w:val="both"/>
        <w:rPr>
          <w:rFonts w:asciiTheme="majorHAnsi" w:hAnsiTheme="majorHAnsi" w:cs="Calibri"/>
        </w:rPr>
      </w:pPr>
    </w:p>
    <w:p w14:paraId="5D19BD7E" w14:textId="77777777" w:rsidR="00AE053E" w:rsidRPr="00263445" w:rsidRDefault="00AE053E" w:rsidP="00AE053E">
      <w:pPr>
        <w:keepNext/>
        <w:keepLines/>
        <w:widowControl w:val="0"/>
        <w:spacing w:line="360" w:lineRule="auto"/>
        <w:jc w:val="both"/>
        <w:rPr>
          <w:rFonts w:asciiTheme="majorHAnsi" w:hAnsiTheme="majorHAnsi" w:cs="Calibri"/>
        </w:rPr>
      </w:pPr>
    </w:p>
    <w:p w14:paraId="3F87643D" w14:textId="77777777" w:rsidR="00AE053E" w:rsidRPr="00263445" w:rsidRDefault="00AE053E" w:rsidP="00AE053E">
      <w:pPr>
        <w:spacing w:line="360" w:lineRule="auto"/>
        <w:jc w:val="both"/>
        <w:rPr>
          <w:rFonts w:asciiTheme="majorHAnsi" w:hAnsiTheme="majorHAnsi" w:cs="Calibri"/>
        </w:rPr>
      </w:pPr>
    </w:p>
    <w:p w14:paraId="481D4D5A" w14:textId="77777777" w:rsidR="00AE053E" w:rsidRPr="00263445" w:rsidRDefault="00AE053E" w:rsidP="00AE053E">
      <w:pPr>
        <w:spacing w:line="360" w:lineRule="auto"/>
        <w:jc w:val="both"/>
        <w:rPr>
          <w:rFonts w:asciiTheme="majorHAnsi" w:hAnsiTheme="majorHAnsi" w:cs="Calibri"/>
          <w:b/>
        </w:rPr>
      </w:pPr>
      <w:r w:rsidRPr="00263445">
        <w:rPr>
          <w:rFonts w:asciiTheme="majorHAnsi" w:hAnsiTheme="majorHAnsi" w:cs="Calibri"/>
          <w:b/>
        </w:rPr>
        <w:t>Pre-eclampsia and the kidney</w:t>
      </w:r>
    </w:p>
    <w:p w14:paraId="272D63B1" w14:textId="77777777" w:rsidR="00AE053E" w:rsidRPr="00263445" w:rsidRDefault="00AE053E" w:rsidP="00AE053E">
      <w:pPr>
        <w:spacing w:line="360" w:lineRule="auto"/>
        <w:jc w:val="both"/>
        <w:rPr>
          <w:rFonts w:asciiTheme="majorHAnsi" w:hAnsiTheme="majorHAnsi" w:cs="Calibri"/>
          <w:b/>
          <w:i/>
        </w:rPr>
      </w:pPr>
    </w:p>
    <w:p w14:paraId="135649A8" w14:textId="77777777" w:rsidR="00AE053E" w:rsidRPr="00263445" w:rsidRDefault="00AE053E" w:rsidP="00AE053E">
      <w:pPr>
        <w:spacing w:line="360" w:lineRule="auto"/>
        <w:jc w:val="both"/>
        <w:rPr>
          <w:rFonts w:asciiTheme="majorHAnsi" w:hAnsiTheme="majorHAnsi" w:cs="Calibri"/>
          <w:b/>
          <w:i/>
        </w:rPr>
      </w:pPr>
      <w:r w:rsidRPr="00263445">
        <w:rPr>
          <w:rFonts w:asciiTheme="majorHAnsi" w:hAnsiTheme="majorHAnsi" w:cs="Calibri"/>
          <w:b/>
          <w:i/>
        </w:rPr>
        <w:t>Pathological mechanisms</w:t>
      </w:r>
    </w:p>
    <w:p w14:paraId="70546907" w14:textId="30E20470"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The relationship between pre-eclampsia and </w:t>
      </w:r>
      <w:r w:rsidR="00461C67">
        <w:rPr>
          <w:rFonts w:asciiTheme="majorHAnsi" w:hAnsiTheme="majorHAnsi" w:cs="Calibri"/>
        </w:rPr>
        <w:t>CKD</w:t>
      </w:r>
      <w:r w:rsidRPr="00263445">
        <w:rPr>
          <w:rFonts w:asciiTheme="majorHAnsi" w:hAnsiTheme="majorHAnsi" w:cs="Calibri"/>
        </w:rPr>
        <w:t xml:space="preserve"> is manifest by a shared phenotype of hypertension, proteinuria, impaired excretory </w:t>
      </w:r>
      <w:r w:rsidR="002F166F">
        <w:rPr>
          <w:rFonts w:asciiTheme="majorHAnsi" w:hAnsiTheme="majorHAnsi" w:cs="Calibri"/>
        </w:rPr>
        <w:t>kidney</w:t>
      </w:r>
      <w:r w:rsidRPr="00263445">
        <w:rPr>
          <w:rFonts w:asciiTheme="majorHAnsi" w:hAnsiTheme="majorHAnsi" w:cs="Calibri"/>
        </w:rPr>
        <w:t xml:space="preserve"> function and increased cardiovascular risk </w:t>
      </w:r>
      <w:r w:rsidRPr="00263445">
        <w:rPr>
          <w:rFonts w:asciiTheme="majorHAnsi" w:hAnsiTheme="majorHAnsi" w:cs="Calibri"/>
        </w:rPr>
        <w:fldChar w:fldCharType="begin"/>
      </w:r>
      <w:r w:rsidRPr="00263445">
        <w:rPr>
          <w:rFonts w:asciiTheme="majorHAnsi" w:hAnsiTheme="majorHAnsi" w:cs="Calibri"/>
        </w:rPr>
        <w:instrText>ADDIN BEC{Stillman and Karumanchi, 2007, #14923}{Leon et al., 2019, #3928}</w:instrText>
      </w:r>
      <w:r w:rsidRPr="00263445">
        <w:rPr>
          <w:rFonts w:asciiTheme="majorHAnsi" w:hAnsiTheme="majorHAnsi" w:cs="Calibri"/>
        </w:rPr>
        <w:fldChar w:fldCharType="separate"/>
      </w:r>
      <w:r w:rsidR="00262E53">
        <w:rPr>
          <w:rFonts w:asciiTheme="majorHAnsi" w:hAnsiTheme="majorHAnsi" w:cs="Calibri"/>
        </w:rPr>
        <w:t>(34,</w:t>
      </w:r>
      <w:r w:rsidRPr="00263445">
        <w:rPr>
          <w:rFonts w:asciiTheme="majorHAnsi" w:hAnsiTheme="majorHAnsi" w:cs="Calibri"/>
        </w:rPr>
        <w:t>35)</w:t>
      </w:r>
      <w:r w:rsidRPr="00263445">
        <w:rPr>
          <w:rFonts w:asciiTheme="majorHAnsi" w:hAnsiTheme="majorHAnsi" w:cs="Calibri"/>
        </w:rPr>
        <w:fldChar w:fldCharType="end"/>
      </w:r>
      <w:r w:rsidR="00E926DB">
        <w:rPr>
          <w:rFonts w:asciiTheme="majorHAnsi" w:hAnsiTheme="majorHAnsi" w:cs="Calibri"/>
        </w:rPr>
        <w:t>;</w:t>
      </w:r>
      <w:r w:rsidRPr="00263445">
        <w:rPr>
          <w:rFonts w:asciiTheme="majorHAnsi" w:hAnsiTheme="majorHAnsi" w:cs="Calibri"/>
        </w:rPr>
        <w:t xml:space="preserve"> an increased incidenc</w:t>
      </w:r>
      <w:r w:rsidR="00461C67">
        <w:rPr>
          <w:rFonts w:asciiTheme="majorHAnsi" w:hAnsiTheme="majorHAnsi" w:cs="Calibri"/>
        </w:rPr>
        <w:t>e of pre-eclampsia in women</w:t>
      </w:r>
      <w:r w:rsidRPr="00263445">
        <w:rPr>
          <w:rFonts w:asciiTheme="majorHAnsi" w:hAnsiTheme="majorHAnsi" w:cs="Calibri"/>
        </w:rPr>
        <w:t xml:space="preserve"> with previous acute kidney injury </w:t>
      </w:r>
      <w:r w:rsidRPr="00263445">
        <w:rPr>
          <w:rFonts w:asciiTheme="majorHAnsi" w:hAnsiTheme="majorHAnsi"/>
        </w:rPr>
        <w:fldChar w:fldCharType="begin"/>
      </w:r>
      <w:r w:rsidRPr="00263445">
        <w:rPr>
          <w:rFonts w:asciiTheme="majorHAnsi" w:hAnsiTheme="majorHAnsi"/>
        </w:rPr>
        <w:instrText>ADDIN BEC{Tangren et al., 2017, #19353}</w:instrText>
      </w:r>
      <w:r w:rsidRPr="00263445">
        <w:rPr>
          <w:rFonts w:asciiTheme="majorHAnsi" w:hAnsiTheme="majorHAnsi"/>
        </w:rPr>
        <w:fldChar w:fldCharType="separate"/>
      </w:r>
      <w:r w:rsidRPr="00263445">
        <w:rPr>
          <w:rFonts w:asciiTheme="majorHAnsi" w:hAnsiTheme="majorHAnsi"/>
        </w:rPr>
        <w:t>(36)</w:t>
      </w:r>
      <w:r w:rsidRPr="00263445">
        <w:rPr>
          <w:rFonts w:asciiTheme="majorHAnsi" w:hAnsiTheme="majorHAnsi"/>
        </w:rPr>
        <w:fldChar w:fldCharType="end"/>
      </w:r>
      <w:r w:rsidRPr="00263445">
        <w:rPr>
          <w:rFonts w:asciiTheme="majorHAnsi" w:hAnsiTheme="majorHAnsi" w:cs="Calibri"/>
        </w:rPr>
        <w:t xml:space="preserve"> and underlying kidney disease </w:t>
      </w:r>
      <w:r w:rsidRPr="00263445">
        <w:rPr>
          <w:rFonts w:asciiTheme="majorHAnsi" w:hAnsiTheme="majorHAnsi"/>
        </w:rPr>
        <w:fldChar w:fldCharType="begin"/>
      </w:r>
      <w:r w:rsidRPr="00263445">
        <w:rPr>
          <w:rFonts w:asciiTheme="majorHAnsi" w:hAnsiTheme="majorHAnsi"/>
        </w:rPr>
        <w:instrText>ADDIN BEC{Piccoli et al., 2015, #71399}</w:instrText>
      </w:r>
      <w:r w:rsidRPr="00263445">
        <w:rPr>
          <w:rFonts w:asciiTheme="majorHAnsi" w:hAnsiTheme="majorHAnsi"/>
        </w:rPr>
        <w:fldChar w:fldCharType="separate"/>
      </w:r>
      <w:r w:rsidRPr="00263445">
        <w:rPr>
          <w:rFonts w:asciiTheme="majorHAnsi" w:hAnsiTheme="majorHAnsi"/>
        </w:rPr>
        <w:t>(37)</w:t>
      </w:r>
      <w:r w:rsidRPr="00263445">
        <w:rPr>
          <w:rFonts w:asciiTheme="majorHAnsi" w:hAnsiTheme="majorHAnsi"/>
        </w:rPr>
        <w:fldChar w:fldCharType="end"/>
      </w:r>
      <w:r w:rsidR="00E926DB">
        <w:rPr>
          <w:rFonts w:asciiTheme="majorHAnsi" w:hAnsiTheme="majorHAnsi"/>
        </w:rPr>
        <w:t>;</w:t>
      </w:r>
      <w:r w:rsidRPr="00263445">
        <w:rPr>
          <w:rFonts w:asciiTheme="majorHAnsi" w:hAnsiTheme="majorHAnsi" w:cs="Calibri"/>
        </w:rPr>
        <w:t xml:space="preserve"> and an elevated lifetime risk of CKD in women with pre-eclampsia </w:t>
      </w:r>
      <w:r w:rsidRPr="00263445">
        <w:rPr>
          <w:rFonts w:asciiTheme="majorHAnsi" w:hAnsiTheme="majorHAnsi"/>
        </w:rPr>
        <w:fldChar w:fldCharType="begin"/>
      </w:r>
      <w:r w:rsidRPr="00263445">
        <w:rPr>
          <w:rFonts w:asciiTheme="majorHAnsi" w:hAnsiTheme="majorHAnsi"/>
        </w:rPr>
        <w:instrText>ADDIN BEC{Vikse et al., 2008, #88439}{Wang et al., 2013, #95141}{Kattah et al., 2017, #40075}{Kristensen et al., 2019, #7039}</w:instrText>
      </w:r>
      <w:r w:rsidRPr="00263445">
        <w:rPr>
          <w:rFonts w:asciiTheme="majorHAnsi" w:hAnsiTheme="majorHAnsi"/>
        </w:rPr>
        <w:fldChar w:fldCharType="separate"/>
      </w:r>
      <w:r w:rsidRPr="00263445">
        <w:rPr>
          <w:rFonts w:asciiTheme="majorHAnsi" w:hAnsiTheme="majorHAnsi"/>
        </w:rPr>
        <w:t>(38–41)</w:t>
      </w:r>
      <w:r w:rsidRPr="00263445">
        <w:rPr>
          <w:rFonts w:asciiTheme="majorHAnsi" w:hAnsiTheme="majorHAnsi"/>
        </w:rPr>
        <w:fldChar w:fldCharType="end"/>
      </w:r>
      <w:r w:rsidRPr="00263445">
        <w:rPr>
          <w:rFonts w:asciiTheme="majorHAnsi" w:hAnsiTheme="majorHAnsi" w:cs="Calibri"/>
        </w:rPr>
        <w:t>.</w:t>
      </w:r>
      <w:r w:rsidRPr="00263445">
        <w:rPr>
          <w:rFonts w:asciiTheme="majorHAnsi" w:hAnsiTheme="majorHAnsi"/>
        </w:rPr>
        <w:t xml:space="preserve"> </w:t>
      </w:r>
      <w:r w:rsidRPr="00263445">
        <w:rPr>
          <w:rFonts w:asciiTheme="majorHAnsi" w:hAnsiTheme="majorHAnsi" w:cs="Calibri"/>
        </w:rPr>
        <w:t xml:space="preserve">Endothelial dysfunction is a common pathophysiological mechanism underlying both pre-eclampsia and CKD. Putative pathological mechanisms contributing to endothelial dysfunction include altered angiogenesis, renin-angiotensin system (RAS) activation, complement activation and podocyte loss (Figure 3). </w:t>
      </w:r>
    </w:p>
    <w:p w14:paraId="714E17D1" w14:textId="77777777" w:rsidR="00AE053E" w:rsidRPr="00263445" w:rsidRDefault="00AE053E" w:rsidP="00AE053E">
      <w:pPr>
        <w:spacing w:line="360" w:lineRule="auto"/>
        <w:jc w:val="both"/>
        <w:rPr>
          <w:rFonts w:asciiTheme="majorHAnsi" w:hAnsiTheme="majorHAnsi" w:cs="Calibri"/>
          <w:sz w:val="20"/>
          <w:szCs w:val="20"/>
        </w:rPr>
      </w:pPr>
    </w:p>
    <w:p w14:paraId="5BF4AAE1" w14:textId="77777777" w:rsidR="00AE053E" w:rsidRPr="00263445" w:rsidRDefault="00AE053E" w:rsidP="00AE053E">
      <w:pPr>
        <w:spacing w:line="360" w:lineRule="auto"/>
        <w:jc w:val="both"/>
        <w:rPr>
          <w:rFonts w:asciiTheme="majorHAnsi" w:hAnsiTheme="majorHAnsi" w:cs="Calibri"/>
          <w:sz w:val="20"/>
          <w:szCs w:val="20"/>
        </w:rPr>
      </w:pPr>
    </w:p>
    <w:p w14:paraId="544C609D" w14:textId="77777777" w:rsidR="00AE053E" w:rsidRPr="00263445" w:rsidRDefault="00AE053E" w:rsidP="00AE053E">
      <w:pPr>
        <w:spacing w:line="360" w:lineRule="auto"/>
        <w:jc w:val="both"/>
        <w:rPr>
          <w:rFonts w:asciiTheme="majorHAnsi" w:hAnsiTheme="majorHAnsi" w:cs="Calibri"/>
          <w:sz w:val="20"/>
          <w:szCs w:val="20"/>
        </w:rPr>
      </w:pPr>
    </w:p>
    <w:p w14:paraId="11234FF0" w14:textId="77777777" w:rsidR="00AE053E" w:rsidRPr="00263445" w:rsidRDefault="00AE053E" w:rsidP="00AE053E">
      <w:pPr>
        <w:spacing w:line="360" w:lineRule="auto"/>
        <w:jc w:val="both"/>
        <w:rPr>
          <w:rFonts w:asciiTheme="majorHAnsi" w:hAnsiTheme="majorHAnsi" w:cs="Calibri"/>
          <w:sz w:val="20"/>
          <w:szCs w:val="20"/>
        </w:rPr>
      </w:pPr>
      <w:r w:rsidRPr="00263445">
        <w:rPr>
          <w:rFonts w:asciiTheme="majorHAnsi" w:hAnsiTheme="majorHAnsi" w:cs="Calibri"/>
          <w:noProof/>
          <w:sz w:val="20"/>
          <w:szCs w:val="20"/>
          <w:lang w:val="en-US"/>
        </w:rPr>
        <w:drawing>
          <wp:inline distT="0" distB="0" distL="0" distR="0" wp14:anchorId="2BA71859" wp14:editId="445DE732">
            <wp:extent cx="5207000" cy="2933700"/>
            <wp:effectExtent l="0" t="0" r="0" b="12700"/>
            <wp:docPr id="2" name="Picture 10" descr="Description: Macintosh HD:Users:KateWiles:Desktop:PET and CKD for CJAS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Macintosh HD:Users:KateWiles:Desktop:PET and CKD for CJASN:Slide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7000" cy="2933700"/>
                    </a:xfrm>
                    <a:prstGeom prst="rect">
                      <a:avLst/>
                    </a:prstGeom>
                    <a:noFill/>
                    <a:ln>
                      <a:noFill/>
                    </a:ln>
                  </pic:spPr>
                </pic:pic>
              </a:graphicData>
            </a:graphic>
          </wp:inline>
        </w:drawing>
      </w:r>
    </w:p>
    <w:p w14:paraId="12BE690E" w14:textId="77777777" w:rsidR="00AE053E" w:rsidRPr="00263445" w:rsidRDefault="00AE053E" w:rsidP="00AE053E">
      <w:pPr>
        <w:jc w:val="both"/>
        <w:rPr>
          <w:rFonts w:asciiTheme="majorHAnsi" w:hAnsiTheme="majorHAnsi" w:cs="Calibri"/>
          <w:sz w:val="20"/>
          <w:szCs w:val="20"/>
        </w:rPr>
      </w:pPr>
      <w:r w:rsidRPr="00263445">
        <w:rPr>
          <w:rFonts w:asciiTheme="majorHAnsi" w:hAnsiTheme="majorHAnsi" w:cs="Calibri"/>
          <w:sz w:val="20"/>
          <w:szCs w:val="20"/>
        </w:rPr>
        <w:t xml:space="preserve">Figure 3: The relationship between CKD and pre-eclampsia with a shared phenotype of endothelial dysfunction, including chronic hypertension and proteinuria. CKD increases the risk adverse pregnancy outcomes, and pre-eclampsia is associated with an increased risk of chronic kidney disease, including end-stage kidney failure. Common pathophysiological mechanisms include endothelial and angiogenic dysfunction, podocyte loss, complement activation and renin-angiotensin system (RAS) activation. </w:t>
      </w:r>
    </w:p>
    <w:p w14:paraId="2DD100C6" w14:textId="77777777" w:rsidR="00AE053E" w:rsidRPr="00263445" w:rsidRDefault="00AE053E" w:rsidP="00AE053E">
      <w:pPr>
        <w:jc w:val="both"/>
        <w:rPr>
          <w:rFonts w:asciiTheme="majorHAnsi" w:hAnsiTheme="majorHAnsi" w:cs="Calibri"/>
          <w:sz w:val="20"/>
          <w:szCs w:val="20"/>
        </w:rPr>
      </w:pPr>
      <w:r w:rsidRPr="00263445">
        <w:rPr>
          <w:rFonts w:asciiTheme="majorHAnsi" w:hAnsiTheme="majorHAnsi" w:cs="Calibri"/>
          <w:sz w:val="20"/>
          <w:szCs w:val="20"/>
        </w:rPr>
        <w:t xml:space="preserve">CV=cardiovascular, RAS=renin-angiotensin system. </w:t>
      </w:r>
    </w:p>
    <w:p w14:paraId="461778BB" w14:textId="77777777" w:rsidR="00AE053E" w:rsidRPr="00263445" w:rsidRDefault="00AE053E" w:rsidP="00AE053E">
      <w:pPr>
        <w:spacing w:line="360" w:lineRule="auto"/>
        <w:jc w:val="both"/>
        <w:rPr>
          <w:rFonts w:asciiTheme="majorHAnsi" w:hAnsiTheme="majorHAnsi" w:cs="Calibri"/>
          <w:sz w:val="20"/>
          <w:szCs w:val="20"/>
        </w:rPr>
      </w:pPr>
    </w:p>
    <w:p w14:paraId="0D7F7EBF" w14:textId="5EAE466C"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Affecting 3-5% of pregnancies, pre-eclampsia is a highly prevalent cause of glomerular disease, diagnosed and managed in the majority of cases without a nephrologist. Although there are pathognomonic glomerular changes in pre-eclampsia, diagnosis is made clinically and </w:t>
      </w:r>
      <w:r w:rsidR="002F166F">
        <w:rPr>
          <w:rFonts w:asciiTheme="majorHAnsi" w:hAnsiTheme="majorHAnsi" w:cs="Calibri"/>
        </w:rPr>
        <w:t>kidney</w:t>
      </w:r>
      <w:r w:rsidRPr="00263445">
        <w:rPr>
          <w:rFonts w:asciiTheme="majorHAnsi" w:hAnsiTheme="majorHAnsi" w:cs="Calibri"/>
        </w:rPr>
        <w:t xml:space="preserve"> biopsy is not indicated. </w:t>
      </w:r>
    </w:p>
    <w:p w14:paraId="6F2E0C92" w14:textId="77777777" w:rsidR="00AE053E" w:rsidRPr="00263445" w:rsidRDefault="00AE053E" w:rsidP="00AE053E">
      <w:pPr>
        <w:spacing w:line="360" w:lineRule="auto"/>
        <w:jc w:val="both"/>
        <w:rPr>
          <w:rFonts w:asciiTheme="majorHAnsi" w:hAnsiTheme="majorHAnsi" w:cs="Calibri"/>
        </w:rPr>
      </w:pPr>
    </w:p>
    <w:p w14:paraId="54A53D2A" w14:textId="577CEDAC"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When </w:t>
      </w:r>
      <w:r w:rsidR="002F166F">
        <w:rPr>
          <w:rFonts w:asciiTheme="majorHAnsi" w:hAnsiTheme="majorHAnsi" w:cs="Calibri"/>
        </w:rPr>
        <w:t>kidney</w:t>
      </w:r>
      <w:r w:rsidRPr="00263445">
        <w:rPr>
          <w:rFonts w:asciiTheme="majorHAnsi" w:hAnsiTheme="majorHAnsi" w:cs="Calibri"/>
        </w:rPr>
        <w:t xml:space="preserve"> biopsy has been performed for historical or research purposes, the predominant change is increased glomerular volume and endothelial cell swelling (endotheliosis), leading to narrowing and occlusion of glomerular capillaries. Although mild endotheliosis has been described in normal pregnancies, mesangial interposition distinguishes hypertensive women</w:t>
      </w:r>
      <w:r w:rsidRPr="00263445">
        <w:rPr>
          <w:rFonts w:asciiTheme="majorHAnsi" w:hAnsiTheme="majorHAnsi"/>
        </w:rPr>
        <w:t xml:space="preserve"> </w:t>
      </w:r>
      <w:r w:rsidRPr="00263445">
        <w:rPr>
          <w:rFonts w:asciiTheme="majorHAnsi" w:hAnsiTheme="majorHAnsi"/>
        </w:rPr>
        <w:fldChar w:fldCharType="begin"/>
      </w:r>
      <w:r w:rsidRPr="00263445">
        <w:rPr>
          <w:rFonts w:asciiTheme="majorHAnsi" w:hAnsiTheme="majorHAnsi"/>
        </w:rPr>
        <w:instrText>ADDIN BEC{Strevens et al., 2003, #75361}</w:instrText>
      </w:r>
      <w:r w:rsidRPr="00263445">
        <w:rPr>
          <w:rFonts w:asciiTheme="majorHAnsi" w:hAnsiTheme="majorHAnsi"/>
        </w:rPr>
        <w:fldChar w:fldCharType="separate"/>
      </w:r>
      <w:r w:rsidRPr="00263445">
        <w:rPr>
          <w:rFonts w:asciiTheme="majorHAnsi" w:hAnsiTheme="majorHAnsi"/>
        </w:rPr>
        <w:t>(42)</w:t>
      </w:r>
      <w:r w:rsidRPr="00263445">
        <w:rPr>
          <w:rFonts w:asciiTheme="majorHAnsi" w:hAnsiTheme="majorHAnsi"/>
        </w:rPr>
        <w:fldChar w:fldCharType="end"/>
      </w:r>
      <w:r w:rsidRPr="00263445">
        <w:rPr>
          <w:rFonts w:asciiTheme="majorHAnsi" w:hAnsiTheme="majorHAnsi" w:cs="Calibri"/>
        </w:rPr>
        <w:t>. Duplication of the glomerular basement membrane may be evident in severe disease. Arteriolar thrombosis is unusual and warrants exclusion of non-pre-eclamp</w:t>
      </w:r>
      <w:r w:rsidR="00461C67">
        <w:rPr>
          <w:rFonts w:asciiTheme="majorHAnsi" w:hAnsiTheme="majorHAnsi" w:cs="Calibri"/>
        </w:rPr>
        <w:t>tic thrombotic microangiopathy.</w:t>
      </w:r>
      <w:r w:rsidRPr="00263445">
        <w:rPr>
          <w:rFonts w:asciiTheme="majorHAnsi" w:hAnsiTheme="majorHAnsi" w:cs="Calibri"/>
        </w:rPr>
        <w:t xml:space="preserve"> Prominent podocytes with vacuolisation and endocapillary foam cells are non-specific in proteinuria, although foot process effacement is limited suggesting an alternative mechanism for proteinuria in pre-eclampsia. Fibrin deposition may be prominent, with low-level immunoglobulin staining due to non-immune mediated accumulation. Electron-dense deposits are not a feature of pre-eclampsia and warrant exclusion of an immune-mediated glomerulonephritis </w:t>
      </w:r>
      <w:r w:rsidRPr="00263445">
        <w:rPr>
          <w:rFonts w:asciiTheme="majorHAnsi" w:hAnsiTheme="majorHAnsi"/>
        </w:rPr>
        <w:fldChar w:fldCharType="begin"/>
      </w:r>
      <w:r w:rsidRPr="00263445">
        <w:rPr>
          <w:rFonts w:asciiTheme="majorHAnsi" w:hAnsiTheme="majorHAnsi"/>
        </w:rPr>
        <w:instrText>ADDIN BEC{Stillman and Karumanchi, 2007, #14923}{Penning et al., 2014, #36837}</w:instrText>
      </w:r>
      <w:r w:rsidRPr="00263445">
        <w:rPr>
          <w:rFonts w:asciiTheme="majorHAnsi" w:hAnsiTheme="majorHAnsi"/>
        </w:rPr>
        <w:fldChar w:fldCharType="separate"/>
      </w:r>
      <w:r w:rsidR="00262E53">
        <w:rPr>
          <w:rFonts w:asciiTheme="majorHAnsi" w:hAnsiTheme="majorHAnsi"/>
        </w:rPr>
        <w:t>(34,</w:t>
      </w:r>
      <w:r w:rsidRPr="00263445">
        <w:rPr>
          <w:rFonts w:asciiTheme="majorHAnsi" w:hAnsiTheme="majorHAnsi"/>
        </w:rPr>
        <w:t>43)</w:t>
      </w:r>
      <w:r w:rsidRPr="00263445">
        <w:rPr>
          <w:rFonts w:asciiTheme="majorHAnsi" w:hAnsiTheme="majorHAnsi"/>
        </w:rPr>
        <w:fldChar w:fldCharType="end"/>
      </w:r>
      <w:r w:rsidRPr="00263445">
        <w:rPr>
          <w:rFonts w:asciiTheme="majorHAnsi" w:hAnsiTheme="majorHAnsi" w:cs="Calibri"/>
        </w:rPr>
        <w:t>.</w:t>
      </w:r>
    </w:p>
    <w:p w14:paraId="62286579" w14:textId="77777777" w:rsidR="00AE053E" w:rsidRPr="00263445" w:rsidRDefault="00AE053E" w:rsidP="00AE053E">
      <w:pPr>
        <w:spacing w:line="360" w:lineRule="auto"/>
        <w:jc w:val="both"/>
        <w:rPr>
          <w:rFonts w:asciiTheme="majorHAnsi" w:hAnsiTheme="majorHAnsi" w:cs="Calibri"/>
        </w:rPr>
      </w:pPr>
    </w:p>
    <w:p w14:paraId="42C9BE68" w14:textId="75FA8EB5"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Kidney conditions presen</w:t>
      </w:r>
      <w:r w:rsidR="00E926DB">
        <w:rPr>
          <w:rFonts w:asciiTheme="majorHAnsi" w:hAnsiTheme="majorHAnsi" w:cs="Calibri"/>
        </w:rPr>
        <w:t>ting in pregnancy may mimic</w:t>
      </w:r>
      <w:r w:rsidRPr="00263445">
        <w:rPr>
          <w:rFonts w:asciiTheme="majorHAnsi" w:hAnsiTheme="majorHAnsi" w:cs="Calibri"/>
        </w:rPr>
        <w:t xml:space="preserve"> normal gestational physiology and pre-eclampsia (Table 3). Kidney biopsy may be indicate</w:t>
      </w:r>
      <w:r w:rsidR="00E926DB">
        <w:rPr>
          <w:rFonts w:asciiTheme="majorHAnsi" w:hAnsiTheme="majorHAnsi" w:cs="Calibri"/>
        </w:rPr>
        <w:t>d</w:t>
      </w:r>
      <w:r w:rsidRPr="00263445">
        <w:rPr>
          <w:rFonts w:asciiTheme="majorHAnsi" w:hAnsiTheme="majorHAnsi" w:cs="Calibri"/>
        </w:rPr>
        <w:t xml:space="preserve"> for the diagnosis of new or recurrent kidney disease. The risks of kidney biopsy are higher in pregnancy (7%) than outside of pregnancy (1%), with meta-analysis data showing peak bleeding risk at 23-26 </w:t>
      </w:r>
      <w:r w:rsidR="000C2F8C">
        <w:rPr>
          <w:rFonts w:asciiTheme="majorHAnsi" w:hAnsiTheme="majorHAnsi" w:cs="Calibri"/>
        </w:rPr>
        <w:t>weeks’</w:t>
      </w:r>
      <w:r w:rsidRPr="00263445">
        <w:rPr>
          <w:rFonts w:asciiTheme="majorHAnsi" w:hAnsiTheme="majorHAnsi" w:cs="Calibri"/>
        </w:rPr>
        <w:t xml:space="preserve"> </w:t>
      </w:r>
      <w:r w:rsidRPr="00263445">
        <w:rPr>
          <w:rFonts w:asciiTheme="majorHAnsi" w:hAnsiTheme="majorHAnsi"/>
        </w:rPr>
        <w:fldChar w:fldCharType="begin"/>
      </w:r>
      <w:r w:rsidRPr="00263445">
        <w:rPr>
          <w:rFonts w:asciiTheme="majorHAnsi" w:hAnsiTheme="majorHAnsi"/>
        </w:rPr>
        <w:instrText>ADDIN BEC{Piccoli et al., 2013, #26964}</w:instrText>
      </w:r>
      <w:r w:rsidRPr="00263445">
        <w:rPr>
          <w:rFonts w:asciiTheme="majorHAnsi" w:hAnsiTheme="majorHAnsi"/>
        </w:rPr>
        <w:fldChar w:fldCharType="separate"/>
      </w:r>
      <w:r w:rsidRPr="00263445">
        <w:rPr>
          <w:rFonts w:asciiTheme="majorHAnsi" w:hAnsiTheme="majorHAnsi"/>
        </w:rPr>
        <w:t>(44)</w:t>
      </w:r>
      <w:r w:rsidRPr="00263445">
        <w:rPr>
          <w:rFonts w:asciiTheme="majorHAnsi" w:hAnsiTheme="majorHAnsi"/>
        </w:rPr>
        <w:fldChar w:fldCharType="end"/>
      </w:r>
      <w:r w:rsidRPr="00263445">
        <w:rPr>
          <w:rFonts w:asciiTheme="majorHAnsi" w:hAnsiTheme="majorHAnsi" w:cs="Calibri"/>
        </w:rPr>
        <w:t xml:space="preserve">. Recent guidelines advocate kidney biopsy is considered in the first and early second trimester, only when histological diagnosis will change management </w:t>
      </w:r>
      <w:r w:rsidRPr="00263445">
        <w:rPr>
          <w:rFonts w:asciiTheme="majorHAnsi" w:hAnsiTheme="majorHAnsi"/>
        </w:rPr>
        <w:fldChar w:fldCharType="begin"/>
      </w:r>
      <w:r w:rsidRPr="00263445">
        <w:rPr>
          <w:rFonts w:asciiTheme="majorHAnsi" w:hAnsiTheme="majorHAnsi"/>
        </w:rPr>
        <w:instrText>ADDIN BEC{Wiles et al., 2019, #76262}</w:instrText>
      </w:r>
      <w:r w:rsidRPr="00263445">
        <w:rPr>
          <w:rFonts w:asciiTheme="majorHAnsi" w:hAnsiTheme="majorHAnsi"/>
        </w:rPr>
        <w:fldChar w:fldCharType="separate"/>
      </w:r>
      <w:r w:rsidRPr="00263445">
        <w:rPr>
          <w:rFonts w:asciiTheme="majorHAnsi" w:hAnsiTheme="majorHAnsi"/>
        </w:rPr>
        <w:t>(45)</w:t>
      </w:r>
      <w:r w:rsidRPr="00263445">
        <w:rPr>
          <w:rFonts w:asciiTheme="majorHAnsi" w:hAnsiTheme="majorHAnsi"/>
        </w:rPr>
        <w:fldChar w:fldCharType="end"/>
      </w:r>
      <w:r w:rsidRPr="00263445">
        <w:rPr>
          <w:rFonts w:asciiTheme="majorHAnsi" w:hAnsiTheme="majorHAnsi" w:cs="Calibri"/>
        </w:rPr>
        <w:t>. The timescale for post-partum resolution of pre-eclampsia is debated. Expert consensus recommends nephrology review for persistent proteinuria at 3-6 months to e</w:t>
      </w:r>
      <w:r w:rsidR="00461C67">
        <w:rPr>
          <w:rFonts w:asciiTheme="majorHAnsi" w:hAnsiTheme="majorHAnsi" w:cs="Calibri"/>
        </w:rPr>
        <w:t>xclude underlying CKD</w:t>
      </w:r>
      <w:r w:rsidR="00E926DB">
        <w:rPr>
          <w:rFonts w:asciiTheme="majorHAnsi" w:hAnsiTheme="majorHAnsi" w:cs="Calibri"/>
        </w:rPr>
        <w:t>. However,</w:t>
      </w:r>
      <w:r w:rsidR="00461C67">
        <w:rPr>
          <w:rFonts w:asciiTheme="majorHAnsi" w:hAnsiTheme="majorHAnsi" w:cs="Calibri"/>
        </w:rPr>
        <w:t xml:space="preserve"> </w:t>
      </w:r>
      <w:r w:rsidRPr="00263445">
        <w:rPr>
          <w:rFonts w:asciiTheme="majorHAnsi" w:hAnsiTheme="majorHAnsi" w:cs="Calibri"/>
        </w:rPr>
        <w:t xml:space="preserve">histological changes </w:t>
      </w:r>
      <w:r w:rsidR="00461C67">
        <w:rPr>
          <w:rFonts w:asciiTheme="majorHAnsi" w:hAnsiTheme="majorHAnsi" w:cs="Calibri"/>
        </w:rPr>
        <w:t xml:space="preserve">in </w:t>
      </w:r>
      <w:r w:rsidR="00E926DB">
        <w:rPr>
          <w:rFonts w:asciiTheme="majorHAnsi" w:hAnsiTheme="majorHAnsi" w:cs="Calibri"/>
        </w:rPr>
        <w:t>the kidney may still be evident</w:t>
      </w:r>
      <w:r w:rsidRPr="00263445">
        <w:rPr>
          <w:rFonts w:asciiTheme="majorHAnsi" w:hAnsiTheme="majorHAnsi" w:cs="Calibri"/>
        </w:rPr>
        <w:t xml:space="preserve"> 18 months</w:t>
      </w:r>
      <w:r w:rsidRPr="00263445">
        <w:rPr>
          <w:rFonts w:asciiTheme="majorHAnsi" w:hAnsiTheme="majorHAnsi"/>
        </w:rPr>
        <w:t xml:space="preserve"> post-partum </w:t>
      </w:r>
      <w:r w:rsidRPr="00263445">
        <w:rPr>
          <w:rFonts w:asciiTheme="majorHAnsi" w:hAnsiTheme="majorHAnsi" w:cs="Calibri"/>
        </w:rPr>
        <w:fldChar w:fldCharType="begin"/>
      </w:r>
      <w:r w:rsidRPr="00263445">
        <w:rPr>
          <w:rFonts w:asciiTheme="majorHAnsi" w:hAnsiTheme="majorHAnsi" w:cs="Calibri"/>
        </w:rPr>
        <w:instrText>ADDIN BEC{Kincaid-Smith, 1991, #96457}</w:instrText>
      </w:r>
      <w:r w:rsidRPr="00263445">
        <w:rPr>
          <w:rFonts w:asciiTheme="majorHAnsi" w:hAnsiTheme="majorHAnsi" w:cs="Calibri"/>
        </w:rPr>
        <w:fldChar w:fldCharType="separate"/>
      </w:r>
      <w:r w:rsidRPr="00263445">
        <w:rPr>
          <w:rFonts w:asciiTheme="majorHAnsi" w:hAnsiTheme="majorHAnsi" w:cs="Calibri"/>
        </w:rPr>
        <w:t>(46)</w:t>
      </w:r>
      <w:r w:rsidRPr="00263445">
        <w:rPr>
          <w:rFonts w:asciiTheme="majorHAnsi" w:hAnsiTheme="majorHAnsi" w:cs="Calibri"/>
        </w:rPr>
        <w:fldChar w:fldCharType="end"/>
      </w:r>
      <w:r w:rsidRPr="00263445">
        <w:rPr>
          <w:rFonts w:asciiTheme="majorHAnsi" w:hAnsiTheme="majorHAnsi" w:cs="Calibri"/>
        </w:rPr>
        <w:t xml:space="preserve">, with regression of proteinuria for up to 2 years </w:t>
      </w:r>
      <w:r w:rsidRPr="00263445">
        <w:rPr>
          <w:rFonts w:asciiTheme="majorHAnsi" w:hAnsiTheme="majorHAnsi" w:cs="Calibri"/>
        </w:rPr>
        <w:fldChar w:fldCharType="begin"/>
      </w:r>
      <w:r w:rsidRPr="00263445">
        <w:rPr>
          <w:rFonts w:asciiTheme="majorHAnsi" w:hAnsiTheme="majorHAnsi" w:cs="Calibri"/>
        </w:rPr>
        <w:instrText>ADDIN BEC{Berks et al., 2009, #88311}</w:instrText>
      </w:r>
      <w:r w:rsidRPr="00263445">
        <w:rPr>
          <w:rFonts w:asciiTheme="majorHAnsi" w:hAnsiTheme="majorHAnsi" w:cs="Calibri"/>
        </w:rPr>
        <w:fldChar w:fldCharType="separate"/>
      </w:r>
      <w:r w:rsidRPr="00263445">
        <w:rPr>
          <w:rFonts w:asciiTheme="majorHAnsi" w:hAnsiTheme="majorHAnsi" w:cs="Calibri"/>
        </w:rPr>
        <w:t>(47)</w:t>
      </w:r>
      <w:r w:rsidRPr="00263445">
        <w:rPr>
          <w:rFonts w:asciiTheme="majorHAnsi" w:hAnsiTheme="majorHAnsi" w:cs="Calibri"/>
        </w:rPr>
        <w:fldChar w:fldCharType="end"/>
      </w:r>
      <w:r w:rsidRPr="00263445">
        <w:rPr>
          <w:rFonts w:asciiTheme="majorHAnsi" w:hAnsiTheme="majorHAnsi" w:cs="Calibri"/>
        </w:rPr>
        <w:t xml:space="preserve">. </w:t>
      </w:r>
    </w:p>
    <w:p w14:paraId="509A6164" w14:textId="77777777" w:rsidR="00AE053E" w:rsidRPr="00263445" w:rsidRDefault="00AE053E" w:rsidP="00AE053E">
      <w:pPr>
        <w:spacing w:line="360" w:lineRule="auto"/>
        <w:jc w:val="both"/>
        <w:rPr>
          <w:rFonts w:asciiTheme="majorHAnsi" w:hAnsiTheme="majorHAnsi" w:cs="Calibri"/>
        </w:rPr>
      </w:pPr>
    </w:p>
    <w:p w14:paraId="4D97095A" w14:textId="77777777" w:rsidR="00AE053E" w:rsidRPr="00263445" w:rsidRDefault="00AE053E" w:rsidP="00AE053E">
      <w:pPr>
        <w:jc w:val="both"/>
        <w:rPr>
          <w:rFonts w:asciiTheme="majorHAnsi" w:hAnsiTheme="majorHAnsi" w:cs="Calibri"/>
          <w:sz w:val="20"/>
          <w:szCs w:val="20"/>
        </w:rPr>
      </w:pPr>
      <w:r w:rsidRPr="00263445">
        <w:rPr>
          <w:rFonts w:asciiTheme="majorHAnsi" w:hAnsiTheme="majorHAnsi" w:cs="Calibri"/>
          <w:b/>
          <w:sz w:val="20"/>
          <w:szCs w:val="20"/>
        </w:rPr>
        <w:t>Table 3</w:t>
      </w:r>
      <w:r w:rsidRPr="00263445">
        <w:rPr>
          <w:rFonts w:asciiTheme="majorHAnsi" w:hAnsiTheme="majorHAnsi" w:cs="Calibri"/>
          <w:sz w:val="20"/>
          <w:szCs w:val="20"/>
        </w:rPr>
        <w:t xml:space="preserve">: </w:t>
      </w:r>
      <w:r w:rsidRPr="00263445">
        <w:rPr>
          <w:rFonts w:asciiTheme="majorHAnsi" w:hAnsiTheme="majorHAnsi"/>
          <w:b/>
          <w:sz w:val="20"/>
        </w:rPr>
        <w:t xml:space="preserve">Phenotype similarities and distinguishers between normal pregnancy, pre-eclampsia/HELLP and </w:t>
      </w:r>
      <w:r w:rsidRPr="00263445">
        <w:rPr>
          <w:rFonts w:asciiTheme="majorHAnsi" w:hAnsiTheme="majorHAnsi" w:cs="Calibri"/>
          <w:b/>
          <w:sz w:val="20"/>
          <w:szCs w:val="20"/>
        </w:rPr>
        <w:t xml:space="preserve">kidney </w:t>
      </w:r>
      <w:r w:rsidRPr="00263445">
        <w:rPr>
          <w:rFonts w:asciiTheme="majorHAnsi" w:hAnsiTheme="majorHAnsi"/>
          <w:b/>
          <w:sz w:val="20"/>
        </w:rPr>
        <w:t>disease presenting in pregnancy.</w:t>
      </w:r>
    </w:p>
    <w:p w14:paraId="364E9B3C" w14:textId="77777777" w:rsidR="00AE053E" w:rsidRPr="00263445" w:rsidRDefault="00AE053E" w:rsidP="00AE053E">
      <w:pPr>
        <w:jc w:val="both"/>
        <w:rPr>
          <w:rFonts w:asciiTheme="majorHAnsi" w:hAnsiTheme="majorHAnsi" w:cs="Calibri"/>
          <w:sz w:val="20"/>
          <w:szCs w:val="20"/>
        </w:rPr>
      </w:pPr>
      <w:r w:rsidRPr="00263445">
        <w:rPr>
          <w:rFonts w:asciiTheme="majorHAnsi" w:hAnsiTheme="majorHAnsi" w:cs="Calibri"/>
          <w:sz w:val="20"/>
          <w:szCs w:val="20"/>
        </w:rPr>
        <w:t>BP=blood pressure, dsDNA=double stranded DNA, ESR=erythrocyte sedimentation rate, HELLP=haemolysis, elevated liver enzymes, low platelets, T1=first trimester, T3=third trimester, UPCR=urinary protein:creatinine ratio</w:t>
      </w:r>
    </w:p>
    <w:tbl>
      <w:tblPr>
        <w:tblStyle w:val="TableGrid"/>
        <w:tblW w:w="9660" w:type="dxa"/>
        <w:tblInd w:w="-1026" w:type="dxa"/>
        <w:tblLook w:val="04A0" w:firstRow="1" w:lastRow="0" w:firstColumn="1" w:lastColumn="0" w:noHBand="0" w:noVBand="1"/>
      </w:tblPr>
      <w:tblGrid>
        <w:gridCol w:w="2074"/>
        <w:gridCol w:w="1896"/>
        <w:gridCol w:w="1897"/>
        <w:gridCol w:w="1896"/>
        <w:gridCol w:w="1897"/>
      </w:tblGrid>
      <w:tr w:rsidR="00AE053E" w:rsidRPr="00263445" w14:paraId="4C97D296" w14:textId="77777777" w:rsidTr="00E83E7F">
        <w:tc>
          <w:tcPr>
            <w:tcW w:w="2074" w:type="dxa"/>
          </w:tcPr>
          <w:p w14:paraId="00A628F6"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Features</w:t>
            </w:r>
          </w:p>
        </w:tc>
        <w:tc>
          <w:tcPr>
            <w:tcW w:w="1896" w:type="dxa"/>
          </w:tcPr>
          <w:p w14:paraId="017E28E2"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Normal pregnancy</w:t>
            </w:r>
          </w:p>
        </w:tc>
        <w:tc>
          <w:tcPr>
            <w:tcW w:w="1897" w:type="dxa"/>
          </w:tcPr>
          <w:p w14:paraId="5FF30C77"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Pre-eclampsia</w:t>
            </w:r>
          </w:p>
          <w:p w14:paraId="0A321692"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/HELLP</w:t>
            </w:r>
          </w:p>
        </w:tc>
        <w:tc>
          <w:tcPr>
            <w:tcW w:w="1896" w:type="dxa"/>
          </w:tcPr>
          <w:p w14:paraId="3E98A865"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Lupus nephritis</w:t>
            </w:r>
          </w:p>
        </w:tc>
        <w:tc>
          <w:tcPr>
            <w:tcW w:w="1897" w:type="dxa"/>
          </w:tcPr>
          <w:p w14:paraId="0180FDDE"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Atypical HUS</w:t>
            </w:r>
          </w:p>
        </w:tc>
      </w:tr>
      <w:tr w:rsidR="00AE053E" w:rsidRPr="00263445" w14:paraId="33991DDD" w14:textId="77777777" w:rsidTr="00E83E7F">
        <w:tc>
          <w:tcPr>
            <w:tcW w:w="2074" w:type="dxa"/>
          </w:tcPr>
          <w:p w14:paraId="7776B362"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Gestation</w:t>
            </w:r>
          </w:p>
        </w:tc>
        <w:tc>
          <w:tcPr>
            <w:tcW w:w="1896" w:type="dxa"/>
          </w:tcPr>
          <w:p w14:paraId="1FCCBBAD"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All</w:t>
            </w:r>
          </w:p>
        </w:tc>
        <w:tc>
          <w:tcPr>
            <w:tcW w:w="1897" w:type="dxa"/>
          </w:tcPr>
          <w:p w14:paraId="0C48A61B" w14:textId="36E366EA"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 xml:space="preserve">&gt;20 </w:t>
            </w:r>
            <w:r w:rsidR="000C2F8C">
              <w:rPr>
                <w:rFonts w:asciiTheme="majorHAnsi" w:hAnsiTheme="majorHAnsi" w:cs="Calibri"/>
                <w:sz w:val="20"/>
                <w:szCs w:val="20"/>
              </w:rPr>
              <w:t>weeks’</w:t>
            </w:r>
          </w:p>
        </w:tc>
        <w:tc>
          <w:tcPr>
            <w:tcW w:w="1896" w:type="dxa"/>
          </w:tcPr>
          <w:p w14:paraId="5A190D82"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Any</w:t>
            </w:r>
          </w:p>
        </w:tc>
        <w:tc>
          <w:tcPr>
            <w:tcW w:w="1897" w:type="dxa"/>
          </w:tcPr>
          <w:p w14:paraId="0E281ACF" w14:textId="77777777" w:rsidR="00AE053E" w:rsidRPr="00263445" w:rsidRDefault="00AE053E" w:rsidP="00E83E7F">
            <w:pPr>
              <w:ind w:left="34" w:hanging="34"/>
              <w:jc w:val="center"/>
              <w:rPr>
                <w:rFonts w:asciiTheme="majorHAnsi" w:hAnsiTheme="majorHAnsi" w:cs="Calibri"/>
                <w:sz w:val="20"/>
                <w:szCs w:val="20"/>
              </w:rPr>
            </w:pPr>
            <w:r w:rsidRPr="00263445">
              <w:rPr>
                <w:rFonts w:asciiTheme="majorHAnsi" w:hAnsiTheme="majorHAnsi" w:cs="Calibri"/>
                <w:sz w:val="20"/>
                <w:szCs w:val="20"/>
              </w:rPr>
              <w:t>Typically peri/post-partum</w:t>
            </w:r>
          </w:p>
        </w:tc>
      </w:tr>
      <w:tr w:rsidR="00AE053E" w:rsidRPr="00263445" w14:paraId="67BFD29E" w14:textId="77777777" w:rsidTr="00E83E7F">
        <w:tc>
          <w:tcPr>
            <w:tcW w:w="2074" w:type="dxa"/>
          </w:tcPr>
          <w:p w14:paraId="141B76A3"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Skin changes/rash</w:t>
            </w:r>
          </w:p>
        </w:tc>
        <w:tc>
          <w:tcPr>
            <w:tcW w:w="1896" w:type="dxa"/>
          </w:tcPr>
          <w:p w14:paraId="7CA30C66"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161FA64F"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573BE4E9"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2FC9B209"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1169615D" w14:textId="77777777" w:rsidTr="00E83E7F">
        <w:tc>
          <w:tcPr>
            <w:tcW w:w="2074" w:type="dxa"/>
          </w:tcPr>
          <w:p w14:paraId="44FFDEF3"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Hair loss</w:t>
            </w:r>
          </w:p>
        </w:tc>
        <w:tc>
          <w:tcPr>
            <w:tcW w:w="1896" w:type="dxa"/>
          </w:tcPr>
          <w:p w14:paraId="2718EB2B"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020290C4"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37784EE6"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1D77A108"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3E9718A5" w14:textId="77777777" w:rsidTr="00E83E7F">
        <w:tc>
          <w:tcPr>
            <w:tcW w:w="2074" w:type="dxa"/>
          </w:tcPr>
          <w:p w14:paraId="12C8DBC5"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Oedema</w:t>
            </w:r>
          </w:p>
        </w:tc>
        <w:tc>
          <w:tcPr>
            <w:tcW w:w="1896" w:type="dxa"/>
          </w:tcPr>
          <w:p w14:paraId="3EA3C3C6"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2B9A470B"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58A428BE"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2CBBE042"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6DCBF712" w14:textId="77777777" w:rsidTr="00E83E7F">
        <w:tc>
          <w:tcPr>
            <w:tcW w:w="2074" w:type="dxa"/>
          </w:tcPr>
          <w:p w14:paraId="45995585"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Hypertension (BP&gt;140/90mmHg)</w:t>
            </w:r>
          </w:p>
        </w:tc>
        <w:tc>
          <w:tcPr>
            <w:tcW w:w="1896" w:type="dxa"/>
          </w:tcPr>
          <w:p w14:paraId="2672B885"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1A1D7AB2"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77F8B0DD"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1AA602F3"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5F318A86" w14:textId="77777777" w:rsidTr="00E83E7F">
        <w:tc>
          <w:tcPr>
            <w:tcW w:w="2074" w:type="dxa"/>
          </w:tcPr>
          <w:p w14:paraId="44D262BA"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UPCR ≥0.3mg/mg (&gt;30mg/mmol)</w:t>
            </w:r>
          </w:p>
        </w:tc>
        <w:tc>
          <w:tcPr>
            <w:tcW w:w="1896" w:type="dxa"/>
          </w:tcPr>
          <w:p w14:paraId="562256B5"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7E652F1F"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0ACDC282"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12ABADA7"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631F2518" w14:textId="77777777" w:rsidTr="00E83E7F">
        <w:tc>
          <w:tcPr>
            <w:tcW w:w="2074" w:type="dxa"/>
          </w:tcPr>
          <w:p w14:paraId="0A9C32FD"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Haematuria</w:t>
            </w:r>
          </w:p>
        </w:tc>
        <w:tc>
          <w:tcPr>
            <w:tcW w:w="1896" w:type="dxa"/>
          </w:tcPr>
          <w:p w14:paraId="255CD480"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Trace</w:t>
            </w:r>
          </w:p>
        </w:tc>
        <w:tc>
          <w:tcPr>
            <w:tcW w:w="1897" w:type="dxa"/>
          </w:tcPr>
          <w:p w14:paraId="7550FC00"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3EE09379"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48864C05"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34D5E385" w14:textId="77777777" w:rsidTr="00E83E7F">
        <w:tc>
          <w:tcPr>
            <w:tcW w:w="2074" w:type="dxa"/>
          </w:tcPr>
          <w:p w14:paraId="3CDEFC49"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Anaemia</w:t>
            </w:r>
          </w:p>
        </w:tc>
        <w:tc>
          <w:tcPr>
            <w:tcW w:w="1896" w:type="dxa"/>
          </w:tcPr>
          <w:p w14:paraId="51814BF1"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684B4B11"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2B8BC84F"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2C903F37"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5167B6B7" w14:textId="77777777" w:rsidTr="00E83E7F">
        <w:tc>
          <w:tcPr>
            <w:tcW w:w="2074" w:type="dxa"/>
          </w:tcPr>
          <w:p w14:paraId="0C86242F"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Thrombocytopenia (&lt;100x10</w:t>
            </w:r>
            <w:r w:rsidRPr="00263445">
              <w:rPr>
                <w:rFonts w:asciiTheme="majorHAnsi" w:hAnsiTheme="majorHAnsi" w:cs="Calibri"/>
                <w:sz w:val="20"/>
                <w:szCs w:val="20"/>
                <w:vertAlign w:val="superscript"/>
              </w:rPr>
              <w:t>9</w:t>
            </w:r>
            <w:r w:rsidRPr="00263445">
              <w:rPr>
                <w:rFonts w:asciiTheme="majorHAnsi" w:hAnsiTheme="majorHAnsi" w:cs="Calibri"/>
                <w:sz w:val="20"/>
                <w:szCs w:val="20"/>
              </w:rPr>
              <w:t>/l)</w:t>
            </w:r>
          </w:p>
        </w:tc>
        <w:tc>
          <w:tcPr>
            <w:tcW w:w="1896" w:type="dxa"/>
          </w:tcPr>
          <w:p w14:paraId="1126E1C3"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1BAFC2A5"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40CAEE63"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44281984"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r>
      <w:tr w:rsidR="00AE053E" w:rsidRPr="00263445" w14:paraId="2BB61C4C" w14:textId="77777777" w:rsidTr="00E83E7F">
        <w:tc>
          <w:tcPr>
            <w:tcW w:w="2074" w:type="dxa"/>
          </w:tcPr>
          <w:p w14:paraId="12D97B8D"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Haemolysis</w:t>
            </w:r>
          </w:p>
        </w:tc>
        <w:tc>
          <w:tcPr>
            <w:tcW w:w="1896" w:type="dxa"/>
          </w:tcPr>
          <w:p w14:paraId="3C65875F"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7" w:type="dxa"/>
          </w:tcPr>
          <w:p w14:paraId="1E07155D"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p w14:paraId="10CB6010"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improves 48- 72 hours post delivery</w:t>
            </w:r>
          </w:p>
        </w:tc>
        <w:tc>
          <w:tcPr>
            <w:tcW w:w="1896" w:type="dxa"/>
          </w:tcPr>
          <w:p w14:paraId="65310008"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Rare</w:t>
            </w:r>
          </w:p>
        </w:tc>
        <w:tc>
          <w:tcPr>
            <w:tcW w:w="1897" w:type="dxa"/>
          </w:tcPr>
          <w:p w14:paraId="23DB11EB"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p w14:paraId="264B2423"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persists &gt;72 hours after delivery</w:t>
            </w:r>
          </w:p>
        </w:tc>
      </w:tr>
      <w:tr w:rsidR="00AE053E" w:rsidRPr="00263445" w14:paraId="6DFFE098" w14:textId="77777777" w:rsidTr="00E83E7F">
        <w:tc>
          <w:tcPr>
            <w:tcW w:w="2074" w:type="dxa"/>
          </w:tcPr>
          <w:p w14:paraId="04685153"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Serum creatinine</w:t>
            </w:r>
          </w:p>
        </w:tc>
        <w:tc>
          <w:tcPr>
            <w:tcW w:w="1896" w:type="dxa"/>
          </w:tcPr>
          <w:p w14:paraId="31049C18"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D"/>
            </w:r>
            <w:r w:rsidRPr="00263445">
              <w:rPr>
                <w:rFonts w:asciiTheme="majorHAnsi" w:hAnsiTheme="majorHAnsi" w:cs="Calibri"/>
                <w:color w:val="000000"/>
                <w:sz w:val="20"/>
                <w:szCs w:val="20"/>
              </w:rPr>
              <w:t xml:space="preserve">in T1, </w:t>
            </w:r>
            <w:r w:rsidRPr="00263445">
              <w:rPr>
                <w:rFonts w:asciiTheme="majorHAnsi" w:hAnsiTheme="majorHAnsi"/>
                <w:color w:val="000000"/>
                <w:sz w:val="20"/>
                <w:szCs w:val="20"/>
              </w:rPr>
              <w:sym w:font="Symbol" w:char="F0DF"/>
            </w:r>
            <w:r w:rsidRPr="00263445">
              <w:rPr>
                <w:rFonts w:asciiTheme="majorHAnsi" w:hAnsiTheme="majorHAnsi" w:cs="Calibri"/>
                <w:color w:val="000000"/>
                <w:sz w:val="20"/>
                <w:szCs w:val="20"/>
              </w:rPr>
              <w:t>in T3</w:t>
            </w:r>
          </w:p>
        </w:tc>
        <w:tc>
          <w:tcPr>
            <w:tcW w:w="1897" w:type="dxa"/>
          </w:tcPr>
          <w:p w14:paraId="18E50E60"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D"/>
            </w:r>
          </w:p>
        </w:tc>
        <w:tc>
          <w:tcPr>
            <w:tcW w:w="1896" w:type="dxa"/>
          </w:tcPr>
          <w:p w14:paraId="2665418F"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D"/>
            </w:r>
          </w:p>
        </w:tc>
        <w:tc>
          <w:tcPr>
            <w:tcW w:w="1897" w:type="dxa"/>
          </w:tcPr>
          <w:p w14:paraId="1590C5C5"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D"/>
            </w:r>
            <w:r w:rsidRPr="00263445">
              <w:rPr>
                <w:rFonts w:asciiTheme="majorHAnsi" w:hAnsiTheme="majorHAnsi"/>
                <w:color w:val="000000"/>
                <w:sz w:val="20"/>
                <w:szCs w:val="20"/>
              </w:rPr>
              <w:sym w:font="Symbol" w:char="F0DD"/>
            </w:r>
          </w:p>
        </w:tc>
      </w:tr>
      <w:tr w:rsidR="00AE053E" w:rsidRPr="00263445" w14:paraId="37B4792E" w14:textId="77777777" w:rsidTr="00E83E7F">
        <w:tc>
          <w:tcPr>
            <w:tcW w:w="2074" w:type="dxa"/>
          </w:tcPr>
          <w:p w14:paraId="0C5812BF"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Transaminitis</w:t>
            </w:r>
          </w:p>
        </w:tc>
        <w:tc>
          <w:tcPr>
            <w:tcW w:w="1896" w:type="dxa"/>
          </w:tcPr>
          <w:p w14:paraId="29D3CFAD"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No</w:t>
            </w:r>
          </w:p>
        </w:tc>
        <w:tc>
          <w:tcPr>
            <w:tcW w:w="1897" w:type="dxa"/>
          </w:tcPr>
          <w:p w14:paraId="3DD2F2B8"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Yes</w:t>
            </w:r>
          </w:p>
        </w:tc>
        <w:tc>
          <w:tcPr>
            <w:tcW w:w="1896" w:type="dxa"/>
          </w:tcPr>
          <w:p w14:paraId="60B652A3"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No</w:t>
            </w:r>
          </w:p>
        </w:tc>
        <w:tc>
          <w:tcPr>
            <w:tcW w:w="1897" w:type="dxa"/>
          </w:tcPr>
          <w:p w14:paraId="4D8D103B"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No</w:t>
            </w:r>
          </w:p>
        </w:tc>
      </w:tr>
      <w:tr w:rsidR="00AE053E" w:rsidRPr="00263445" w14:paraId="4A197766" w14:textId="77777777" w:rsidTr="00E83E7F">
        <w:tc>
          <w:tcPr>
            <w:tcW w:w="2074" w:type="dxa"/>
          </w:tcPr>
          <w:p w14:paraId="2199BA12"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ESR</w:t>
            </w:r>
          </w:p>
        </w:tc>
        <w:tc>
          <w:tcPr>
            <w:tcW w:w="1896" w:type="dxa"/>
          </w:tcPr>
          <w:p w14:paraId="21840EA5"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D"/>
            </w:r>
          </w:p>
        </w:tc>
        <w:tc>
          <w:tcPr>
            <w:tcW w:w="1897" w:type="dxa"/>
          </w:tcPr>
          <w:p w14:paraId="62329C11"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w:t>
            </w:r>
          </w:p>
        </w:tc>
        <w:tc>
          <w:tcPr>
            <w:tcW w:w="1896" w:type="dxa"/>
          </w:tcPr>
          <w:p w14:paraId="4A9A26FF"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D"/>
            </w:r>
          </w:p>
        </w:tc>
        <w:tc>
          <w:tcPr>
            <w:tcW w:w="1897" w:type="dxa"/>
          </w:tcPr>
          <w:p w14:paraId="16D6D0EB"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D"/>
            </w:r>
          </w:p>
        </w:tc>
      </w:tr>
      <w:tr w:rsidR="00AE053E" w:rsidRPr="00263445" w14:paraId="3D22D055" w14:textId="77777777" w:rsidTr="00E83E7F">
        <w:tc>
          <w:tcPr>
            <w:tcW w:w="2074" w:type="dxa"/>
          </w:tcPr>
          <w:p w14:paraId="4E066E74"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dsDNA</w:t>
            </w:r>
          </w:p>
        </w:tc>
        <w:tc>
          <w:tcPr>
            <w:tcW w:w="1896" w:type="dxa"/>
          </w:tcPr>
          <w:p w14:paraId="67C82F48" w14:textId="77777777" w:rsidR="00AE053E" w:rsidRPr="00263445" w:rsidRDefault="00AE053E" w:rsidP="00E83E7F">
            <w:pPr>
              <w:jc w:val="center"/>
              <w:rPr>
                <w:rFonts w:asciiTheme="majorHAnsi" w:hAnsiTheme="majorHAnsi" w:cs="Calibri"/>
                <w:color w:val="000000"/>
                <w:sz w:val="20"/>
                <w:szCs w:val="20"/>
              </w:rPr>
            </w:pPr>
            <w:r w:rsidRPr="00263445">
              <w:rPr>
                <w:rFonts w:asciiTheme="majorHAnsi" w:hAnsiTheme="majorHAnsi"/>
                <w:noProof/>
                <w:lang w:val="en-US"/>
              </w:rPr>
              <mc:AlternateContent>
                <mc:Choice Requires="wps">
                  <w:drawing>
                    <wp:inline distT="0" distB="0" distL="0" distR="0" wp14:anchorId="617B5356" wp14:editId="5338F2D7">
                      <wp:extent cx="177800" cy="72390"/>
                      <wp:effectExtent l="0" t="0" r="25400" b="29210"/>
                      <wp:docPr id="16" name="Left-Right Arrow 16"/>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Move="1" noResize="1"/>
                            </wps:cNvSpPr>
                            <wps:spPr>
                              <a:xfrm>
                                <a:off x="0" y="0"/>
                                <a:ext cx="177800" cy="72390"/>
                              </a:xfrm>
                              <a:prstGeom prst="leftRightArrow">
                                <a:avLst/>
                              </a:prstGeom>
                              <a:solidFill>
                                <a:sysClr val="windowText" lastClr="000000"/>
                              </a:solidFill>
                              <a:ln w="9525" cap="flat" cmpd="sng" algn="ctr">
                                <a:solidFill>
                                  <a:sysClr val="windowText" lastClr="000000"/>
                                </a:solidFill>
                                <a:prstDash val="solid"/>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bodyPr/>
                          </wps:wsp>
                        </a:graphicData>
                      </a:graphic>
                    </wp:inline>
                  </w:drawing>
                </mc:Choice>
                <mc:Fallback>
                  <w:pict>
                    <v:shapetype id="_x0000_t69" coordsize="21600,21600" o:spt="69" adj="4320,5400" path="m0,10800l@0,21600@0@3@2@3@2,21600,21600,10800@2,0@2@1@0@1@0,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6" o:spid="_x0000_s1026" type="#_x0000_t69" style="width:14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" adj="4397" fillcolor="windowText" strokecolor="windowText">
                      <v:path arrowok="t"/>
                      <o:lock v:ext="edit" position="t"/>
                      <w10:anchorlock/>
                    </v:shape>
                  </w:pict>
                </mc:Fallback>
              </mc:AlternateContent>
            </w:r>
          </w:p>
        </w:tc>
        <w:tc>
          <w:tcPr>
            <w:tcW w:w="1897" w:type="dxa"/>
          </w:tcPr>
          <w:p w14:paraId="05CAC084"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noProof/>
                <w:lang w:val="en-US"/>
              </w:rPr>
              <mc:AlternateContent>
                <mc:Choice Requires="wps">
                  <w:drawing>
                    <wp:inline distT="0" distB="0" distL="0" distR="0" wp14:anchorId="4AC911D3" wp14:editId="1EBD9ED3">
                      <wp:extent cx="177800" cy="72390"/>
                      <wp:effectExtent l="0" t="0" r="25400" b="29210"/>
                      <wp:docPr id="3" name="Left-Right Arrow 1"/>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Move="1" noResize="1"/>
                            </wps:cNvSpPr>
                            <wps:spPr>
                              <a:xfrm>
                                <a:off x="0" y="0"/>
                                <a:ext cx="177800" cy="72390"/>
                              </a:xfrm>
                              <a:prstGeom prst="leftRightArrow">
                                <a:avLst/>
                              </a:prstGeom>
                              <a:solidFill>
                                <a:sysClr val="windowText" lastClr="000000"/>
                              </a:solidFill>
                              <a:ln w="9525" cap="flat" cmpd="sng" algn="ctr">
                                <a:solidFill>
                                  <a:sysClr val="windowText" lastClr="000000"/>
                                </a:solidFill>
                                <a:prstDash val="solid"/>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bodyPr/>
                          </wps:wsp>
                        </a:graphicData>
                      </a:graphic>
                    </wp:inline>
                  </w:drawing>
                </mc:Choice>
                <mc:Fallback>
                  <w:pict>
                    <v:shape id="Left-Right Arrow 1" o:spid="_x0000_s1026" type="#_x0000_t69" style="width:14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" adj="4397" fillcolor="windowText" strokecolor="windowText">
                      <v:path arrowok="t"/>
                      <o:lock v:ext="edit" position="t"/>
                      <w10:anchorlock/>
                    </v:shape>
                  </w:pict>
                </mc:Fallback>
              </mc:AlternateContent>
            </w:r>
          </w:p>
        </w:tc>
        <w:tc>
          <w:tcPr>
            <w:tcW w:w="1896" w:type="dxa"/>
          </w:tcPr>
          <w:p w14:paraId="4E4835E2" w14:textId="77777777" w:rsidR="00AE053E" w:rsidRPr="00263445" w:rsidRDefault="00AE053E" w:rsidP="00E83E7F">
            <w:pPr>
              <w:jc w:val="center"/>
              <w:rPr>
                <w:rFonts w:asciiTheme="majorHAnsi" w:hAnsiTheme="majorHAnsi" w:cs="Calibri"/>
                <w:color w:val="000000"/>
                <w:sz w:val="20"/>
                <w:szCs w:val="20"/>
              </w:rPr>
            </w:pPr>
            <w:r w:rsidRPr="00263445">
              <w:rPr>
                <w:rFonts w:asciiTheme="majorHAnsi" w:hAnsiTheme="majorHAnsi"/>
                <w:color w:val="000000"/>
                <w:sz w:val="20"/>
                <w:szCs w:val="20"/>
              </w:rPr>
              <w:sym w:font="Symbol" w:char="F0DD"/>
            </w:r>
          </w:p>
        </w:tc>
        <w:tc>
          <w:tcPr>
            <w:tcW w:w="1897" w:type="dxa"/>
          </w:tcPr>
          <w:p w14:paraId="43480634" w14:textId="77777777" w:rsidR="00AE053E" w:rsidRPr="00263445" w:rsidRDefault="00AE053E" w:rsidP="00E83E7F">
            <w:pPr>
              <w:jc w:val="center"/>
              <w:rPr>
                <w:rFonts w:asciiTheme="majorHAnsi" w:hAnsiTheme="majorHAnsi" w:cs="Calibri"/>
                <w:color w:val="000000"/>
                <w:sz w:val="20"/>
                <w:szCs w:val="20"/>
              </w:rPr>
            </w:pPr>
            <w:r w:rsidRPr="00263445">
              <w:rPr>
                <w:rFonts w:asciiTheme="majorHAnsi" w:hAnsiTheme="majorHAnsi"/>
                <w:noProof/>
                <w:lang w:val="en-US"/>
              </w:rPr>
              <mc:AlternateContent>
                <mc:Choice Requires="wps">
                  <w:drawing>
                    <wp:inline distT="0" distB="0" distL="0" distR="0" wp14:anchorId="6B82CFF4" wp14:editId="1470B28A">
                      <wp:extent cx="177800" cy="72390"/>
                      <wp:effectExtent l="0" t="0" r="25400" b="29210"/>
                      <wp:docPr id="17" name="Left-Right Arrow 17"/>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Move="1" noResize="1"/>
                            </wps:cNvSpPr>
                            <wps:spPr>
                              <a:xfrm>
                                <a:off x="0" y="0"/>
                                <a:ext cx="177800" cy="72390"/>
                              </a:xfrm>
                              <a:prstGeom prst="leftRightArrow">
                                <a:avLst/>
                              </a:prstGeom>
                              <a:solidFill>
                                <a:sysClr val="windowText" lastClr="000000"/>
                              </a:solidFill>
                              <a:ln w="9525" cap="flat" cmpd="sng" algn="ctr">
                                <a:solidFill>
                                  <a:sysClr val="windowText" lastClr="000000"/>
                                </a:solidFill>
                                <a:prstDash val="solid"/>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bodyPr/>
                          </wps:wsp>
                        </a:graphicData>
                      </a:graphic>
                    </wp:inline>
                  </w:drawing>
                </mc:Choice>
                <mc:Fallback>
                  <w:pict>
                    <v:shape id="Left-Right Arrow 17" o:spid="_x0000_s1026" type="#_x0000_t69" style="width:14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" adj="4397" fillcolor="windowText" strokecolor="windowText">
                      <v:path arrowok="t"/>
                      <o:lock v:ext="edit" position="t"/>
                      <w10:anchorlock/>
                    </v:shape>
                  </w:pict>
                </mc:Fallback>
              </mc:AlternateContent>
            </w:r>
          </w:p>
        </w:tc>
      </w:tr>
      <w:tr w:rsidR="00AE053E" w:rsidRPr="00263445" w14:paraId="0F4CD7D8" w14:textId="77777777" w:rsidTr="00E83E7F">
        <w:tc>
          <w:tcPr>
            <w:tcW w:w="2074" w:type="dxa"/>
          </w:tcPr>
          <w:p w14:paraId="7B9F25BE" w14:textId="77777777" w:rsidR="00AE053E" w:rsidRPr="00263445" w:rsidRDefault="00AE053E" w:rsidP="00E83E7F">
            <w:pPr>
              <w:rPr>
                <w:rFonts w:asciiTheme="majorHAnsi" w:hAnsiTheme="majorHAnsi" w:cs="Calibri"/>
                <w:sz w:val="20"/>
                <w:szCs w:val="20"/>
              </w:rPr>
            </w:pPr>
            <w:r w:rsidRPr="00263445">
              <w:rPr>
                <w:rFonts w:asciiTheme="majorHAnsi" w:hAnsiTheme="majorHAnsi" w:cs="Calibri"/>
                <w:sz w:val="20"/>
                <w:szCs w:val="20"/>
              </w:rPr>
              <w:t>Complement</w:t>
            </w:r>
          </w:p>
        </w:tc>
        <w:tc>
          <w:tcPr>
            <w:tcW w:w="1896" w:type="dxa"/>
          </w:tcPr>
          <w:p w14:paraId="2377D433"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s="Calibri"/>
                <w:sz w:val="20"/>
                <w:szCs w:val="20"/>
              </w:rPr>
              <w:t xml:space="preserve">Can </w:t>
            </w:r>
            <w:r w:rsidRPr="00263445">
              <w:rPr>
                <w:rFonts w:asciiTheme="majorHAnsi" w:hAnsiTheme="majorHAnsi"/>
                <w:color w:val="000000"/>
                <w:sz w:val="20"/>
                <w:szCs w:val="20"/>
              </w:rPr>
              <w:sym w:font="Symbol" w:char="F0DD"/>
            </w:r>
          </w:p>
        </w:tc>
        <w:tc>
          <w:tcPr>
            <w:tcW w:w="1897" w:type="dxa"/>
          </w:tcPr>
          <w:p w14:paraId="47146AD7"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noProof/>
                <w:lang w:val="en-US"/>
              </w:rPr>
              <mc:AlternateContent>
                <mc:Choice Requires="wps">
                  <w:drawing>
                    <wp:inline distT="0" distB="0" distL="0" distR="0" wp14:anchorId="427E0504" wp14:editId="77933CB9">
                      <wp:extent cx="177800" cy="72390"/>
                      <wp:effectExtent l="0" t="0" r="25400" b="29210"/>
                      <wp:docPr id="18" name="Left-Right Arrow 18"/>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Move="1" noResize="1"/>
                            </wps:cNvSpPr>
                            <wps:spPr>
                              <a:xfrm>
                                <a:off x="0" y="0"/>
                                <a:ext cx="177800" cy="72390"/>
                              </a:xfrm>
                              <a:prstGeom prst="leftRightArrow">
                                <a:avLst/>
                              </a:prstGeom>
                              <a:solidFill>
                                <a:sysClr val="windowText" lastClr="000000"/>
                              </a:solidFill>
                              <a:ln w="9525" cap="flat" cmpd="sng" algn="ctr">
                                <a:solidFill>
                                  <a:sysClr val="windowText" lastClr="000000"/>
                                </a:solidFill>
                                <a:prstDash val="solid"/>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bodyPr/>
                          </wps:wsp>
                        </a:graphicData>
                      </a:graphic>
                    </wp:inline>
                  </w:drawing>
                </mc:Choice>
                <mc:Fallback>
                  <w:pict>
                    <v:shape id="Left-Right Arrow 18" o:spid="_x0000_s1026" type="#_x0000_t69" style="width:14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" adj="4397" fillcolor="windowText" strokecolor="windowText">
                      <v:path arrowok="t"/>
                      <o:lock v:ext="edit" position="t"/>
                      <w10:anchorlock/>
                    </v:shape>
                  </w:pict>
                </mc:Fallback>
              </mc:AlternateContent>
            </w:r>
          </w:p>
        </w:tc>
        <w:tc>
          <w:tcPr>
            <w:tcW w:w="1896" w:type="dxa"/>
          </w:tcPr>
          <w:p w14:paraId="75538A6D"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F"/>
            </w:r>
            <w:r w:rsidRPr="00263445">
              <w:rPr>
                <w:rFonts w:asciiTheme="majorHAnsi" w:hAnsiTheme="majorHAnsi" w:cs="Calibri"/>
                <w:color w:val="000000"/>
                <w:sz w:val="20"/>
                <w:szCs w:val="20"/>
              </w:rPr>
              <w:t xml:space="preserve"> (within normal range)</w:t>
            </w:r>
          </w:p>
        </w:tc>
        <w:tc>
          <w:tcPr>
            <w:tcW w:w="1897" w:type="dxa"/>
          </w:tcPr>
          <w:p w14:paraId="20F26D03" w14:textId="77777777" w:rsidR="00AE053E" w:rsidRPr="00263445" w:rsidRDefault="00AE053E" w:rsidP="00E83E7F">
            <w:pPr>
              <w:jc w:val="center"/>
              <w:rPr>
                <w:rFonts w:asciiTheme="majorHAnsi" w:hAnsiTheme="majorHAnsi" w:cs="Calibri"/>
                <w:sz w:val="20"/>
                <w:szCs w:val="20"/>
              </w:rPr>
            </w:pPr>
            <w:r w:rsidRPr="00263445">
              <w:rPr>
                <w:rFonts w:asciiTheme="majorHAnsi" w:hAnsiTheme="majorHAnsi"/>
                <w:color w:val="000000"/>
                <w:sz w:val="20"/>
                <w:szCs w:val="20"/>
              </w:rPr>
              <w:sym w:font="Symbol" w:char="F0DF"/>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r w:rsidRPr="00263445">
              <w:rPr>
                <w:rFonts w:asciiTheme="majorHAnsi" w:hAnsiTheme="majorHAnsi" w:cs="Calibri"/>
                <w:color w:val="000000"/>
                <w:sz w:val="20"/>
                <w:szCs w:val="20"/>
              </w:rPr>
              <w:t></w:t>
            </w:r>
          </w:p>
        </w:tc>
      </w:tr>
    </w:tbl>
    <w:p w14:paraId="12014573" w14:textId="77777777" w:rsidR="00AE053E" w:rsidRPr="00263445" w:rsidRDefault="00AE053E" w:rsidP="00AE053E">
      <w:pPr>
        <w:spacing w:line="360" w:lineRule="auto"/>
        <w:jc w:val="both"/>
        <w:rPr>
          <w:rFonts w:asciiTheme="majorHAnsi" w:hAnsiTheme="majorHAnsi" w:cs="Calibri"/>
        </w:rPr>
      </w:pPr>
    </w:p>
    <w:p w14:paraId="55D2074C" w14:textId="77777777" w:rsidR="00AE053E" w:rsidRPr="00263445" w:rsidRDefault="00AE053E" w:rsidP="00AE053E">
      <w:pPr>
        <w:rPr>
          <w:rFonts w:asciiTheme="majorHAnsi" w:hAnsiTheme="majorHAnsi" w:cs="Calibri"/>
          <w:b/>
        </w:rPr>
      </w:pPr>
      <w:r w:rsidRPr="00263445">
        <w:rPr>
          <w:rFonts w:asciiTheme="majorHAnsi" w:hAnsiTheme="majorHAnsi" w:cs="Calibri"/>
          <w:b/>
        </w:rPr>
        <w:t xml:space="preserve">Superimposed pre-eclampsia </w:t>
      </w:r>
    </w:p>
    <w:p w14:paraId="756EC320" w14:textId="77777777" w:rsidR="00AE053E" w:rsidRPr="00263445" w:rsidRDefault="00AE053E" w:rsidP="00AE053E">
      <w:pPr>
        <w:spacing w:line="360" w:lineRule="auto"/>
        <w:jc w:val="both"/>
        <w:rPr>
          <w:rFonts w:asciiTheme="majorHAnsi" w:hAnsiTheme="majorHAnsi" w:cs="Calibri"/>
          <w:b/>
          <w:i/>
        </w:rPr>
      </w:pPr>
    </w:p>
    <w:p w14:paraId="35409EA2" w14:textId="77777777" w:rsidR="00AE053E" w:rsidRPr="00263445" w:rsidRDefault="00AE053E" w:rsidP="00AE053E">
      <w:pPr>
        <w:spacing w:line="360" w:lineRule="auto"/>
        <w:jc w:val="both"/>
        <w:rPr>
          <w:rFonts w:asciiTheme="majorHAnsi" w:hAnsiTheme="majorHAnsi" w:cs="Calibri"/>
          <w:b/>
          <w:i/>
        </w:rPr>
      </w:pPr>
      <w:r w:rsidRPr="00263445">
        <w:rPr>
          <w:rFonts w:asciiTheme="majorHAnsi" w:hAnsiTheme="majorHAnsi" w:cs="Calibri"/>
          <w:b/>
          <w:i/>
        </w:rPr>
        <w:t>Diagnosis</w:t>
      </w:r>
    </w:p>
    <w:p w14:paraId="0B127802" w14:textId="38EF3647"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There is no consensus in terminology for pre-eclampsia with underlying conditions. Superimposed pre-eclampsia is most commonly used to describe pre-eclampsia in women with chronic hypertension. Chronic hypertension is prevalent in pregnant women with CKD with rates in contemporary cohorts of 27-40% </w:t>
      </w:r>
      <w:r w:rsidRPr="00263445">
        <w:rPr>
          <w:rFonts w:asciiTheme="majorHAnsi" w:hAnsiTheme="majorHAnsi"/>
        </w:rPr>
        <w:fldChar w:fldCharType="begin"/>
      </w:r>
      <w:r w:rsidRPr="00263445">
        <w:rPr>
          <w:rFonts w:asciiTheme="majorHAnsi" w:hAnsiTheme="majorHAnsi"/>
        </w:rPr>
        <w:instrText>ADDIN BEC{Piccoli et al., 2015, #71399}</w:instrText>
      </w:r>
      <w:r w:rsidRPr="00263445">
        <w:rPr>
          <w:rFonts w:asciiTheme="majorHAnsi" w:hAnsiTheme="majorHAnsi"/>
        </w:rPr>
        <w:fldChar w:fldCharType="separate"/>
      </w:r>
      <w:r w:rsidRPr="00263445">
        <w:rPr>
          <w:rFonts w:asciiTheme="majorHAnsi" w:hAnsiTheme="majorHAnsi"/>
        </w:rPr>
        <w:t>(37)</w:t>
      </w:r>
      <w:r w:rsidRPr="00263445">
        <w:rPr>
          <w:rFonts w:asciiTheme="majorHAnsi" w:hAnsiTheme="majorHAnsi"/>
        </w:rPr>
        <w:fldChar w:fldCharType="end"/>
      </w:r>
      <w:r w:rsidRPr="00263445">
        <w:rPr>
          <w:rFonts w:asciiTheme="majorHAnsi" w:hAnsiTheme="majorHAnsi"/>
        </w:rPr>
        <w:t>,</w:t>
      </w:r>
      <w:r w:rsidRPr="00263445">
        <w:rPr>
          <w:rFonts w:asciiTheme="majorHAnsi" w:hAnsiTheme="majorHAnsi" w:cs="Calibri"/>
        </w:rPr>
        <w:t xml:space="preserve"> and is an independent risk factor for adverse pregnancy outcome </w:t>
      </w:r>
      <w:r w:rsidRPr="00263445">
        <w:rPr>
          <w:rFonts w:asciiTheme="majorHAnsi" w:hAnsiTheme="majorHAnsi"/>
        </w:rPr>
        <w:fldChar w:fldCharType="begin"/>
      </w:r>
      <w:r w:rsidRPr="00263445">
        <w:rPr>
          <w:rFonts w:asciiTheme="majorHAnsi" w:hAnsiTheme="majorHAnsi"/>
        </w:rPr>
        <w:instrText>ADDIN BEC{Bramham et al., 2014, #78137}</w:instrText>
      </w:r>
      <w:r w:rsidRPr="00263445">
        <w:rPr>
          <w:rFonts w:asciiTheme="majorHAnsi" w:hAnsiTheme="majorHAnsi"/>
        </w:rPr>
        <w:fldChar w:fldCharType="separate"/>
      </w:r>
      <w:r w:rsidRPr="00263445">
        <w:rPr>
          <w:rFonts w:asciiTheme="majorHAnsi" w:hAnsiTheme="majorHAnsi"/>
        </w:rPr>
        <w:t>(48)</w:t>
      </w:r>
      <w:r w:rsidRPr="00263445">
        <w:rPr>
          <w:rFonts w:asciiTheme="majorHAnsi" w:hAnsiTheme="majorHAnsi"/>
        </w:rPr>
        <w:fldChar w:fldCharType="end"/>
      </w:r>
      <w:r w:rsidRPr="00263445">
        <w:rPr>
          <w:rFonts w:asciiTheme="majorHAnsi" w:hAnsiTheme="majorHAnsi"/>
        </w:rPr>
        <w:t>.</w:t>
      </w:r>
      <w:r w:rsidRPr="00263445">
        <w:rPr>
          <w:rFonts w:asciiTheme="majorHAnsi" w:hAnsiTheme="majorHAnsi" w:cs="Calibri"/>
        </w:rPr>
        <w:t xml:space="preserve"> Similarly, proteinuria has been associated with accelerated loss of maternal </w:t>
      </w:r>
      <w:r w:rsidR="002F166F">
        <w:rPr>
          <w:rFonts w:asciiTheme="majorHAnsi" w:hAnsiTheme="majorHAnsi" w:cs="Calibri"/>
        </w:rPr>
        <w:t>kidney</w:t>
      </w:r>
      <w:r w:rsidRPr="00263445">
        <w:rPr>
          <w:rFonts w:asciiTheme="majorHAnsi" w:hAnsiTheme="majorHAnsi" w:cs="Calibri"/>
        </w:rPr>
        <w:t xml:space="preserve"> function in a small cohort of women with CKD </w:t>
      </w:r>
      <w:r w:rsidRPr="00263445">
        <w:rPr>
          <w:rFonts w:asciiTheme="majorHAnsi" w:hAnsiTheme="majorHAnsi"/>
        </w:rPr>
        <w:fldChar w:fldCharType="begin"/>
      </w:r>
      <w:r w:rsidRPr="00263445">
        <w:rPr>
          <w:rFonts w:asciiTheme="majorHAnsi" w:hAnsiTheme="majorHAnsi"/>
        </w:rPr>
        <w:instrText>ADDIN BEC{Imbasciati et al., 2007, #2003}</w:instrText>
      </w:r>
      <w:r w:rsidRPr="00263445">
        <w:rPr>
          <w:rFonts w:asciiTheme="majorHAnsi" w:hAnsiTheme="majorHAnsi"/>
        </w:rPr>
        <w:fldChar w:fldCharType="separate"/>
      </w:r>
      <w:r w:rsidRPr="00263445">
        <w:rPr>
          <w:rFonts w:asciiTheme="majorHAnsi" w:hAnsiTheme="majorHAnsi"/>
        </w:rPr>
        <w:t>(49)</w:t>
      </w:r>
      <w:r w:rsidRPr="00263445">
        <w:rPr>
          <w:rFonts w:asciiTheme="majorHAnsi" w:hAnsiTheme="majorHAnsi"/>
        </w:rPr>
        <w:fldChar w:fldCharType="end"/>
      </w:r>
      <w:r w:rsidR="00AC4943">
        <w:rPr>
          <w:rFonts w:asciiTheme="majorHAnsi" w:hAnsiTheme="majorHAnsi" w:cs="Calibri"/>
        </w:rPr>
        <w:t>. This heterogeneity within</w:t>
      </w:r>
      <w:r w:rsidRPr="00263445">
        <w:rPr>
          <w:rFonts w:asciiTheme="majorHAnsi" w:hAnsiTheme="majorHAnsi" w:cs="Calibri"/>
        </w:rPr>
        <w:t xml:space="preserve"> CKD is often not considered, with confound</w:t>
      </w:r>
      <w:r w:rsidR="00AC4943">
        <w:rPr>
          <w:rFonts w:asciiTheme="majorHAnsi" w:hAnsiTheme="majorHAnsi" w:cs="Calibri"/>
        </w:rPr>
        <w:t xml:space="preserve">ing by chronic hypertension and </w:t>
      </w:r>
      <w:r w:rsidRPr="00263445">
        <w:rPr>
          <w:rFonts w:asciiTheme="majorHAnsi" w:hAnsiTheme="majorHAnsi" w:cs="Calibri"/>
        </w:rPr>
        <w:t xml:space="preserve">proteinuria accounted for in the minority of studies </w:t>
      </w:r>
      <w:r w:rsidRPr="00263445">
        <w:rPr>
          <w:rFonts w:asciiTheme="majorHAnsi" w:hAnsiTheme="majorHAnsi"/>
        </w:rPr>
        <w:fldChar w:fldCharType="begin"/>
      </w:r>
      <w:r w:rsidRPr="00263445">
        <w:rPr>
          <w:rFonts w:asciiTheme="majorHAnsi" w:hAnsiTheme="majorHAnsi"/>
        </w:rPr>
        <w:instrText>ADDIN BEC{Zhang et al., 2015, #97972}</w:instrText>
      </w:r>
      <w:r w:rsidRPr="00263445">
        <w:rPr>
          <w:rFonts w:asciiTheme="majorHAnsi" w:hAnsiTheme="majorHAnsi"/>
        </w:rPr>
        <w:fldChar w:fldCharType="separate"/>
      </w:r>
      <w:r w:rsidRPr="00263445">
        <w:rPr>
          <w:rFonts w:asciiTheme="majorHAnsi" w:hAnsiTheme="majorHAnsi"/>
        </w:rPr>
        <w:t>(4)</w:t>
      </w:r>
      <w:r w:rsidRPr="00263445">
        <w:rPr>
          <w:rFonts w:asciiTheme="majorHAnsi" w:hAnsiTheme="majorHAnsi"/>
        </w:rPr>
        <w:fldChar w:fldCharType="end"/>
      </w:r>
      <w:r w:rsidRPr="00263445">
        <w:rPr>
          <w:rFonts w:asciiTheme="majorHAnsi" w:hAnsiTheme="majorHAnsi" w:cs="Calibri"/>
        </w:rPr>
        <w:t xml:space="preserve">. This prevents </w:t>
      </w:r>
      <w:r w:rsidR="00AC4943">
        <w:rPr>
          <w:rFonts w:asciiTheme="majorHAnsi" w:hAnsiTheme="majorHAnsi" w:cs="Calibri"/>
        </w:rPr>
        <w:t xml:space="preserve">an independent </w:t>
      </w:r>
      <w:r w:rsidRPr="00263445">
        <w:rPr>
          <w:rFonts w:asciiTheme="majorHAnsi" w:hAnsiTheme="majorHAnsi" w:cs="Calibri"/>
        </w:rPr>
        <w:t xml:space="preserve">assessment of </w:t>
      </w:r>
      <w:r w:rsidR="00AC4943">
        <w:rPr>
          <w:rFonts w:asciiTheme="majorHAnsi" w:hAnsiTheme="majorHAnsi" w:cs="Calibri"/>
        </w:rPr>
        <w:t xml:space="preserve">the </w:t>
      </w:r>
      <w:r w:rsidRPr="00263445">
        <w:rPr>
          <w:rFonts w:asciiTheme="majorHAnsi" w:hAnsiTheme="majorHAnsi" w:cs="Calibri"/>
        </w:rPr>
        <w:t xml:space="preserve">risk associated with abnormal </w:t>
      </w:r>
      <w:r w:rsidR="002F166F">
        <w:rPr>
          <w:rFonts w:asciiTheme="majorHAnsi" w:hAnsiTheme="majorHAnsi" w:cs="Calibri"/>
        </w:rPr>
        <w:t>kidney</w:t>
      </w:r>
      <w:r w:rsidRPr="00263445">
        <w:rPr>
          <w:rFonts w:asciiTheme="majorHAnsi" w:hAnsiTheme="majorHAnsi" w:cs="Calibri"/>
        </w:rPr>
        <w:t xml:space="preserve"> function </w:t>
      </w:r>
      <w:r w:rsidR="00AC4943">
        <w:rPr>
          <w:rFonts w:asciiTheme="majorHAnsi" w:hAnsiTheme="majorHAnsi" w:cs="Calibri"/>
        </w:rPr>
        <w:t>from</w:t>
      </w:r>
      <w:r w:rsidRPr="00263445">
        <w:rPr>
          <w:rFonts w:asciiTheme="majorHAnsi" w:hAnsiTheme="majorHAnsi" w:cs="Calibri"/>
        </w:rPr>
        <w:t xml:space="preserve"> </w:t>
      </w:r>
      <w:r w:rsidR="00AC4943">
        <w:rPr>
          <w:rFonts w:asciiTheme="majorHAnsi" w:hAnsiTheme="majorHAnsi" w:cs="Calibri"/>
        </w:rPr>
        <w:t xml:space="preserve">that due to </w:t>
      </w:r>
      <w:r w:rsidRPr="00263445">
        <w:rPr>
          <w:rFonts w:asciiTheme="majorHAnsi" w:hAnsiTheme="majorHAnsi" w:cs="Calibri"/>
        </w:rPr>
        <w:t>chronic hypertension and</w:t>
      </w:r>
      <w:r w:rsidR="00AC4943">
        <w:rPr>
          <w:rFonts w:asciiTheme="majorHAnsi" w:hAnsiTheme="majorHAnsi" w:cs="Calibri"/>
        </w:rPr>
        <w:t>/or</w:t>
      </w:r>
      <w:r w:rsidRPr="00263445">
        <w:rPr>
          <w:rFonts w:asciiTheme="majorHAnsi" w:hAnsiTheme="majorHAnsi" w:cs="Calibri"/>
        </w:rPr>
        <w:t xml:space="preserve"> proteinuria. Superimposed pre-eclampsia remains an inadequate term for women with CKD including pre-eclampsia with abnormal </w:t>
      </w:r>
      <w:r w:rsidR="002F166F">
        <w:rPr>
          <w:rFonts w:asciiTheme="majorHAnsi" w:hAnsiTheme="majorHAnsi" w:cs="Calibri"/>
        </w:rPr>
        <w:t>kidney</w:t>
      </w:r>
      <w:r w:rsidRPr="00263445">
        <w:rPr>
          <w:rFonts w:asciiTheme="majorHAnsi" w:hAnsiTheme="majorHAnsi" w:cs="Calibri"/>
        </w:rPr>
        <w:t xml:space="preserve"> function, and/or chronic hypertension, and/or proteinuria, or any combination of features. </w:t>
      </w:r>
    </w:p>
    <w:p w14:paraId="5E929F52" w14:textId="77777777" w:rsidR="00AE053E" w:rsidRPr="00263445" w:rsidRDefault="00AE053E" w:rsidP="00AE053E">
      <w:pPr>
        <w:spacing w:line="360" w:lineRule="auto"/>
        <w:rPr>
          <w:rFonts w:asciiTheme="majorHAnsi" w:hAnsiTheme="majorHAnsi" w:cs="Calibri"/>
          <w:sz w:val="20"/>
          <w:szCs w:val="20"/>
        </w:rPr>
      </w:pPr>
    </w:p>
    <w:p w14:paraId="39F6E847" w14:textId="6437EC9C" w:rsidR="00AE053E" w:rsidRPr="00263445" w:rsidRDefault="00E3278C" w:rsidP="00AE053E">
      <w:pPr>
        <w:spacing w:line="360" w:lineRule="auto"/>
        <w:jc w:val="both"/>
        <w:rPr>
          <w:rFonts w:asciiTheme="majorHAnsi" w:hAnsiTheme="majorHAnsi" w:cs="Calibri"/>
        </w:rPr>
      </w:pPr>
      <w:r>
        <w:rPr>
          <w:rFonts w:asciiTheme="majorHAnsi" w:hAnsiTheme="majorHAnsi" w:cs="Calibri"/>
        </w:rPr>
        <w:t>E</w:t>
      </w:r>
      <w:r w:rsidRPr="00263445">
        <w:rPr>
          <w:rFonts w:asciiTheme="majorHAnsi" w:hAnsiTheme="majorHAnsi" w:cs="Calibri"/>
        </w:rPr>
        <w:t xml:space="preserve">valuation of angiogenic profiling in </w:t>
      </w:r>
      <w:r>
        <w:rPr>
          <w:rFonts w:asciiTheme="majorHAnsi" w:hAnsiTheme="majorHAnsi" w:cs="Calibri"/>
        </w:rPr>
        <w:t>CKD is</w:t>
      </w:r>
      <w:r w:rsidRPr="00263445">
        <w:rPr>
          <w:rFonts w:asciiTheme="majorHAnsi" w:hAnsiTheme="majorHAnsi" w:cs="Calibri"/>
        </w:rPr>
        <w:t xml:space="preserve"> warranted</w:t>
      </w:r>
      <w:r>
        <w:rPr>
          <w:rFonts w:asciiTheme="majorHAnsi" w:hAnsiTheme="majorHAnsi" w:cs="Calibri"/>
        </w:rPr>
        <w:t xml:space="preserve"> as a potential aid in</w:t>
      </w:r>
      <w:r w:rsidR="000713C8">
        <w:rPr>
          <w:rFonts w:asciiTheme="majorHAnsi" w:hAnsiTheme="majorHAnsi" w:cs="Calibri"/>
        </w:rPr>
        <w:t xml:space="preserve"> distinguish</w:t>
      </w:r>
      <w:r>
        <w:rPr>
          <w:rFonts w:asciiTheme="majorHAnsi" w:hAnsiTheme="majorHAnsi" w:cs="Calibri"/>
        </w:rPr>
        <w:t>ing</w:t>
      </w:r>
      <w:r w:rsidR="000713C8">
        <w:rPr>
          <w:rFonts w:asciiTheme="majorHAnsi" w:hAnsiTheme="majorHAnsi" w:cs="Calibri"/>
        </w:rPr>
        <w:t xml:space="preserve"> gestational physiology,</w:t>
      </w:r>
      <w:r w:rsidR="000713C8" w:rsidRPr="00263445">
        <w:rPr>
          <w:rFonts w:asciiTheme="majorHAnsi" w:hAnsiTheme="majorHAnsi" w:cs="Calibri"/>
        </w:rPr>
        <w:t xml:space="preserve"> de novo and recurrent </w:t>
      </w:r>
      <w:r>
        <w:rPr>
          <w:rFonts w:asciiTheme="majorHAnsi" w:hAnsiTheme="majorHAnsi" w:cs="Calibri"/>
        </w:rPr>
        <w:t>CKD</w:t>
      </w:r>
      <w:r w:rsidR="000713C8" w:rsidRPr="00263445">
        <w:rPr>
          <w:rFonts w:asciiTheme="majorHAnsi" w:hAnsiTheme="majorHAnsi" w:cs="Calibri"/>
        </w:rPr>
        <w:t xml:space="preserve"> </w:t>
      </w:r>
      <w:r w:rsidR="000713C8">
        <w:rPr>
          <w:rFonts w:asciiTheme="majorHAnsi" w:hAnsiTheme="majorHAnsi" w:cs="Calibri"/>
        </w:rPr>
        <w:t>and superimposed pre-eclampsia</w:t>
      </w:r>
      <w:r w:rsidR="00AE053E" w:rsidRPr="00263445">
        <w:rPr>
          <w:rFonts w:asciiTheme="majorHAnsi" w:hAnsiTheme="majorHAnsi" w:cs="Calibri"/>
        </w:rPr>
        <w:t>, yet published data remain limited. The</w:t>
      </w:r>
      <w:r>
        <w:rPr>
          <w:rFonts w:asciiTheme="majorHAnsi" w:hAnsiTheme="majorHAnsi" w:cs="Calibri"/>
        </w:rPr>
        <w:t xml:space="preserve"> sFlt-1</w:t>
      </w:r>
      <w:proofErr w:type="gramStart"/>
      <w:r>
        <w:rPr>
          <w:rFonts w:asciiTheme="majorHAnsi" w:hAnsiTheme="majorHAnsi" w:cs="Calibri"/>
        </w:rPr>
        <w:t>:PlGF</w:t>
      </w:r>
      <w:proofErr w:type="gramEnd"/>
      <w:r>
        <w:rPr>
          <w:rFonts w:asciiTheme="majorHAnsi" w:hAnsiTheme="majorHAnsi" w:cs="Calibri"/>
        </w:rPr>
        <w:t xml:space="preserve"> ratio distinguishes</w:t>
      </w:r>
      <w:r w:rsidR="00AE053E" w:rsidRPr="00263445">
        <w:rPr>
          <w:rFonts w:asciiTheme="majorHAnsi" w:hAnsiTheme="majorHAnsi" w:cs="Calibri"/>
        </w:rPr>
        <w:t xml:space="preserve"> CKD (in the absence of pre-eclampsia) from pre-eclampsia (in the absence of CKD)</w:t>
      </w:r>
      <w:r w:rsidR="00AC4943">
        <w:rPr>
          <w:rFonts w:asciiTheme="majorHAnsi" w:hAnsiTheme="majorHAnsi" w:cs="Calibri"/>
        </w:rPr>
        <w:t xml:space="preserve"> </w:t>
      </w:r>
      <w:r w:rsidR="00AC4943" w:rsidRPr="00263445">
        <w:rPr>
          <w:rFonts w:asciiTheme="majorHAnsi" w:hAnsiTheme="majorHAnsi"/>
        </w:rPr>
        <w:fldChar w:fldCharType="begin"/>
      </w:r>
      <w:r w:rsidR="00AC4943" w:rsidRPr="00263445">
        <w:rPr>
          <w:rFonts w:asciiTheme="majorHAnsi" w:hAnsiTheme="majorHAnsi"/>
        </w:rPr>
        <w:instrText>ADDIN BEC{Rolfo et al., 2015, #90402}</w:instrText>
      </w:r>
      <w:r w:rsidR="00AC4943" w:rsidRPr="00263445">
        <w:rPr>
          <w:rFonts w:asciiTheme="majorHAnsi" w:hAnsiTheme="majorHAnsi"/>
        </w:rPr>
        <w:fldChar w:fldCharType="separate"/>
      </w:r>
      <w:r w:rsidR="00AC4943" w:rsidRPr="00263445">
        <w:rPr>
          <w:rFonts w:asciiTheme="majorHAnsi" w:hAnsiTheme="majorHAnsi"/>
        </w:rPr>
        <w:t>(50)</w:t>
      </w:r>
      <w:r w:rsidR="00AC4943" w:rsidRPr="00263445">
        <w:rPr>
          <w:rFonts w:asciiTheme="majorHAnsi" w:hAnsiTheme="majorHAnsi"/>
        </w:rPr>
        <w:fldChar w:fldCharType="end"/>
      </w:r>
      <w:r w:rsidR="00AE053E" w:rsidRPr="00263445">
        <w:rPr>
          <w:rFonts w:asciiTheme="majorHAnsi" w:hAnsiTheme="majorHAnsi" w:cs="Calibri"/>
        </w:rPr>
        <w:t xml:space="preserve">, although this does not </w:t>
      </w:r>
      <w:r w:rsidR="00AC4943">
        <w:rPr>
          <w:rFonts w:asciiTheme="majorHAnsi" w:hAnsiTheme="majorHAnsi" w:cs="Calibri"/>
        </w:rPr>
        <w:t xml:space="preserve">aid </w:t>
      </w:r>
      <w:r w:rsidR="00AE053E" w:rsidRPr="00263445">
        <w:rPr>
          <w:rFonts w:asciiTheme="majorHAnsi" w:hAnsiTheme="majorHAnsi" w:cs="Calibri"/>
        </w:rPr>
        <w:t xml:space="preserve">the </w:t>
      </w:r>
      <w:r w:rsidR="00AC4943">
        <w:rPr>
          <w:rFonts w:asciiTheme="majorHAnsi" w:hAnsiTheme="majorHAnsi" w:cs="Calibri"/>
        </w:rPr>
        <w:t>diagnosis of</w:t>
      </w:r>
      <w:r w:rsidR="00AE053E" w:rsidRPr="00263445">
        <w:rPr>
          <w:rFonts w:asciiTheme="majorHAnsi" w:hAnsiTheme="majorHAnsi" w:cs="Calibri"/>
        </w:rPr>
        <w:t xml:space="preserve"> superimposed pre-eclampsia</w:t>
      </w:r>
      <w:r w:rsidR="00AC4943">
        <w:rPr>
          <w:rFonts w:asciiTheme="majorHAnsi" w:hAnsiTheme="majorHAnsi" w:cs="Calibri"/>
        </w:rPr>
        <w:t>.</w:t>
      </w:r>
      <w:r w:rsidR="00AE053E" w:rsidRPr="00263445">
        <w:rPr>
          <w:rFonts w:asciiTheme="majorHAnsi" w:hAnsiTheme="majorHAnsi" w:cs="Calibri"/>
        </w:rPr>
        <w:t xml:space="preserve"> In two cohorts with chronic glomerulonephritis, lower PlGF and higher sFlt-1 concentrations were demonstrated in superimposed pre-eclampsia compared to proteinuria in the absence of hypertension and CKD with a normal pregnancy cou</w:t>
      </w:r>
      <w:r>
        <w:rPr>
          <w:rFonts w:asciiTheme="majorHAnsi" w:hAnsiTheme="majorHAnsi" w:cs="Calibri"/>
        </w:rPr>
        <w:t>rse, although these studies</w:t>
      </w:r>
      <w:r w:rsidR="00AE053E" w:rsidRPr="00263445">
        <w:rPr>
          <w:rFonts w:asciiTheme="majorHAnsi" w:hAnsiTheme="majorHAnsi" w:cs="Calibri"/>
        </w:rPr>
        <w:t xml:space="preserve"> included</w:t>
      </w:r>
      <w:r>
        <w:rPr>
          <w:rFonts w:asciiTheme="majorHAnsi" w:hAnsiTheme="majorHAnsi" w:cs="Calibri"/>
        </w:rPr>
        <w:t xml:space="preserve"> </w:t>
      </w:r>
      <w:proofErr w:type="gramStart"/>
      <w:r>
        <w:rPr>
          <w:rFonts w:asciiTheme="majorHAnsi" w:hAnsiTheme="majorHAnsi" w:cs="Calibri"/>
        </w:rPr>
        <w:t xml:space="preserve">only </w:t>
      </w:r>
      <w:r w:rsidR="00AE053E" w:rsidRPr="00263445">
        <w:rPr>
          <w:rFonts w:asciiTheme="majorHAnsi" w:hAnsiTheme="majorHAnsi" w:cs="Calibri"/>
        </w:rPr>
        <w:t xml:space="preserve"> five</w:t>
      </w:r>
      <w:proofErr w:type="gramEnd"/>
      <w:r w:rsidR="00AE053E" w:rsidRPr="00263445">
        <w:rPr>
          <w:rFonts w:asciiTheme="majorHAnsi" w:hAnsiTheme="majorHAnsi" w:cs="Calibri"/>
        </w:rPr>
        <w:t xml:space="preserve"> </w:t>
      </w:r>
      <w:r w:rsidR="00AE053E" w:rsidRPr="00263445">
        <w:rPr>
          <w:rFonts w:asciiTheme="majorHAnsi" w:hAnsiTheme="majorHAnsi"/>
        </w:rPr>
        <w:fldChar w:fldCharType="begin"/>
      </w:r>
      <w:r w:rsidR="00AE053E" w:rsidRPr="00263445">
        <w:rPr>
          <w:rFonts w:asciiTheme="majorHAnsi" w:hAnsiTheme="majorHAnsi"/>
        </w:rPr>
        <w:instrText>ADDIN BEC{Masuyama et al., 2006, #23472}</w:instrText>
      </w:r>
      <w:r w:rsidR="00AE053E" w:rsidRPr="00263445">
        <w:rPr>
          <w:rFonts w:asciiTheme="majorHAnsi" w:hAnsiTheme="majorHAnsi"/>
        </w:rPr>
        <w:fldChar w:fldCharType="separate"/>
      </w:r>
      <w:r w:rsidR="00AE053E" w:rsidRPr="00263445">
        <w:rPr>
          <w:rFonts w:asciiTheme="majorHAnsi" w:hAnsiTheme="majorHAnsi"/>
        </w:rPr>
        <w:t>(51)</w:t>
      </w:r>
      <w:r w:rsidR="00AE053E" w:rsidRPr="00263445">
        <w:rPr>
          <w:rFonts w:asciiTheme="majorHAnsi" w:hAnsiTheme="majorHAnsi"/>
        </w:rPr>
        <w:fldChar w:fldCharType="end"/>
      </w:r>
      <w:r w:rsidR="00AE053E" w:rsidRPr="00263445">
        <w:rPr>
          <w:rFonts w:asciiTheme="majorHAnsi" w:hAnsiTheme="majorHAnsi" w:cs="Calibri"/>
        </w:rPr>
        <w:t xml:space="preserve"> and ten </w:t>
      </w:r>
      <w:r w:rsidR="00AE053E" w:rsidRPr="00263445">
        <w:rPr>
          <w:rFonts w:asciiTheme="majorHAnsi" w:hAnsiTheme="majorHAnsi"/>
        </w:rPr>
        <w:fldChar w:fldCharType="begin"/>
      </w:r>
      <w:r w:rsidR="00AE053E" w:rsidRPr="00263445">
        <w:rPr>
          <w:rFonts w:asciiTheme="majorHAnsi" w:hAnsiTheme="majorHAnsi"/>
        </w:rPr>
        <w:instrText>ADDIN BEC{Masuyama et al., 2012, #5771}</w:instrText>
      </w:r>
      <w:r w:rsidR="00AE053E" w:rsidRPr="00263445">
        <w:rPr>
          <w:rFonts w:asciiTheme="majorHAnsi" w:hAnsiTheme="majorHAnsi"/>
        </w:rPr>
        <w:fldChar w:fldCharType="separate"/>
      </w:r>
      <w:r w:rsidR="00AE053E" w:rsidRPr="00263445">
        <w:rPr>
          <w:rFonts w:asciiTheme="majorHAnsi" w:hAnsiTheme="majorHAnsi"/>
        </w:rPr>
        <w:t>(52)</w:t>
      </w:r>
      <w:r w:rsidR="00AE053E" w:rsidRPr="00263445">
        <w:rPr>
          <w:rFonts w:asciiTheme="majorHAnsi" w:hAnsiTheme="majorHAnsi"/>
        </w:rPr>
        <w:fldChar w:fldCharType="end"/>
      </w:r>
      <w:r w:rsidR="00AE053E" w:rsidRPr="00263445">
        <w:rPr>
          <w:rFonts w:asciiTheme="majorHAnsi" w:hAnsiTheme="majorHAnsi" w:cs="Calibri"/>
        </w:rPr>
        <w:t xml:space="preserve"> women with superimposed pre-eclampsia. Bramham </w:t>
      </w:r>
      <w:r w:rsidR="00AE053E" w:rsidRPr="00263445">
        <w:rPr>
          <w:rFonts w:asciiTheme="majorHAnsi" w:hAnsiTheme="majorHAnsi" w:cs="Calibri"/>
          <w:i/>
        </w:rPr>
        <w:t>et al.</w:t>
      </w:r>
      <w:r w:rsidR="00AE053E" w:rsidRPr="00263445">
        <w:rPr>
          <w:rFonts w:asciiTheme="majorHAnsi" w:hAnsiTheme="majorHAnsi" w:cs="Calibri"/>
        </w:rPr>
        <w:t xml:space="preserve"> demonstrated diagnostic accuracy for angiogenic markers in superimposed pre-eclampsia in a mixed cohort of 165 women with chronic hypertension or CKD or both </w:t>
      </w:r>
      <w:r w:rsidR="00AE053E" w:rsidRPr="00263445">
        <w:rPr>
          <w:rFonts w:asciiTheme="majorHAnsi" w:hAnsiTheme="majorHAnsi"/>
        </w:rPr>
        <w:fldChar w:fldCharType="begin"/>
      </w:r>
      <w:r w:rsidR="00AE053E" w:rsidRPr="00263445">
        <w:rPr>
          <w:rFonts w:asciiTheme="majorHAnsi" w:hAnsiTheme="majorHAnsi"/>
        </w:rPr>
        <w:instrText>ADDIN BEC{Bramham et al., 2016, #40187}</w:instrText>
      </w:r>
      <w:r w:rsidR="00AE053E" w:rsidRPr="00263445">
        <w:rPr>
          <w:rFonts w:asciiTheme="majorHAnsi" w:hAnsiTheme="majorHAnsi"/>
        </w:rPr>
        <w:fldChar w:fldCharType="separate"/>
      </w:r>
      <w:r w:rsidR="00AE053E" w:rsidRPr="00263445">
        <w:rPr>
          <w:rFonts w:asciiTheme="majorHAnsi" w:hAnsiTheme="majorHAnsi"/>
        </w:rPr>
        <w:t>(5)</w:t>
      </w:r>
      <w:r w:rsidR="00AE053E" w:rsidRPr="00263445">
        <w:rPr>
          <w:rFonts w:asciiTheme="majorHAnsi" w:hAnsiTheme="majorHAnsi"/>
        </w:rPr>
        <w:fldChar w:fldCharType="end"/>
      </w:r>
      <w:r w:rsidR="00AE053E" w:rsidRPr="00263445">
        <w:rPr>
          <w:rFonts w:asciiTheme="majorHAnsi" w:hAnsiTheme="majorHAnsi" w:cs="Calibri"/>
        </w:rPr>
        <w:t>. The sensitivity, specificity, and positive and neg</w:t>
      </w:r>
      <w:r w:rsidR="00DB3AE8">
        <w:rPr>
          <w:rFonts w:asciiTheme="majorHAnsi" w:hAnsiTheme="majorHAnsi" w:cs="Calibri"/>
        </w:rPr>
        <w:t>ative predictive values of</w:t>
      </w:r>
      <w:r w:rsidR="00AE053E" w:rsidRPr="00263445">
        <w:rPr>
          <w:rFonts w:asciiTheme="majorHAnsi" w:hAnsiTheme="majorHAnsi" w:cs="Calibri"/>
        </w:rPr>
        <w:t xml:space="preserve"> PlGF concentration</w:t>
      </w:r>
      <w:r w:rsidR="00DB3AE8">
        <w:rPr>
          <w:rFonts w:asciiTheme="majorHAnsi" w:hAnsiTheme="majorHAnsi" w:cs="Calibri"/>
        </w:rPr>
        <w:t>s</w:t>
      </w:r>
      <w:r w:rsidR="00AE053E" w:rsidRPr="00263445">
        <w:rPr>
          <w:rFonts w:asciiTheme="majorHAnsi" w:hAnsiTheme="majorHAnsi" w:cs="Calibri"/>
        </w:rPr>
        <w:t xml:space="preserve"> </w:t>
      </w:r>
      <w:r w:rsidR="00DB3AE8">
        <w:rPr>
          <w:rFonts w:asciiTheme="majorHAnsi" w:hAnsiTheme="majorHAnsi" w:cs="Calibri"/>
        </w:rPr>
        <w:t>below</w:t>
      </w:r>
      <w:r w:rsidR="00AE053E" w:rsidRPr="00263445">
        <w:rPr>
          <w:rFonts w:asciiTheme="majorHAnsi" w:hAnsiTheme="majorHAnsi" w:cs="Calibri"/>
        </w:rPr>
        <w:t xml:space="preserve"> 5</w:t>
      </w:r>
      <w:r w:rsidR="00AE053E" w:rsidRPr="00263445">
        <w:rPr>
          <w:rFonts w:asciiTheme="majorHAnsi" w:hAnsiTheme="majorHAnsi" w:cs="Calibri"/>
          <w:vertAlign w:val="superscript"/>
        </w:rPr>
        <w:t>th</w:t>
      </w:r>
      <w:r w:rsidR="00AE053E" w:rsidRPr="00263445">
        <w:rPr>
          <w:rFonts w:asciiTheme="majorHAnsi" w:hAnsiTheme="majorHAnsi" w:cs="Calibri"/>
        </w:rPr>
        <w:t xml:space="preserve"> centile (100pg/ml) for predicting delivery within two weeks were 90%, 80%, 47% and 98% respectively in CKD (n=28), although these data included only eight women with superimposed pre-eclampsia. </w:t>
      </w:r>
    </w:p>
    <w:p w14:paraId="5039BD50" w14:textId="77777777" w:rsidR="00AE053E" w:rsidRPr="00263445" w:rsidRDefault="00AE053E" w:rsidP="00AE053E">
      <w:pPr>
        <w:spacing w:line="360" w:lineRule="auto"/>
        <w:jc w:val="both"/>
        <w:rPr>
          <w:rFonts w:asciiTheme="majorHAnsi" w:hAnsiTheme="majorHAnsi" w:cs="Calibri"/>
        </w:rPr>
      </w:pPr>
    </w:p>
    <w:p w14:paraId="522097E1" w14:textId="41C9C6E9"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PlGF is eliminated by the kidney </w:t>
      </w:r>
      <w:r w:rsidRPr="00263445">
        <w:rPr>
          <w:rFonts w:asciiTheme="majorHAnsi" w:hAnsiTheme="majorHAnsi"/>
        </w:rPr>
        <w:fldChar w:fldCharType="begin"/>
      </w:r>
      <w:r w:rsidRPr="00263445">
        <w:rPr>
          <w:rFonts w:asciiTheme="majorHAnsi" w:hAnsiTheme="majorHAnsi"/>
        </w:rPr>
        <w:instrText>ADDIN BEC{Levine et al., 2005, #38233}</w:instrText>
      </w:r>
      <w:r w:rsidRPr="00263445">
        <w:rPr>
          <w:rFonts w:asciiTheme="majorHAnsi" w:hAnsiTheme="majorHAnsi"/>
        </w:rPr>
        <w:fldChar w:fldCharType="separate"/>
      </w:r>
      <w:r w:rsidRPr="00263445">
        <w:rPr>
          <w:rFonts w:asciiTheme="majorHAnsi" w:hAnsiTheme="majorHAnsi"/>
        </w:rPr>
        <w:t>(53)</w:t>
      </w:r>
      <w:r w:rsidRPr="00263445">
        <w:rPr>
          <w:rFonts w:asciiTheme="majorHAnsi" w:hAnsiTheme="majorHAnsi"/>
        </w:rPr>
        <w:fldChar w:fldCharType="end"/>
      </w:r>
      <w:r w:rsidRPr="00263445">
        <w:rPr>
          <w:rFonts w:asciiTheme="majorHAnsi" w:hAnsiTheme="majorHAnsi" w:cs="Calibri"/>
        </w:rPr>
        <w:t xml:space="preserve">, yet published data are insufficient to assess whether reduced </w:t>
      </w:r>
      <w:r w:rsidR="002F166F">
        <w:rPr>
          <w:rFonts w:asciiTheme="majorHAnsi" w:hAnsiTheme="majorHAnsi" w:cs="Calibri"/>
        </w:rPr>
        <w:t>kidney</w:t>
      </w:r>
      <w:r w:rsidRPr="00263445">
        <w:rPr>
          <w:rFonts w:asciiTheme="majorHAnsi" w:hAnsiTheme="majorHAnsi" w:cs="Calibri"/>
        </w:rPr>
        <w:t xml:space="preserve"> clearance affects the diagnostic and/or predictive capacity </w:t>
      </w:r>
      <w:r w:rsidR="00DB3AE8">
        <w:rPr>
          <w:rFonts w:asciiTheme="majorHAnsi" w:hAnsiTheme="majorHAnsi" w:cs="Calibri"/>
        </w:rPr>
        <w:t xml:space="preserve">of PlGF and </w:t>
      </w:r>
      <w:r w:rsidRPr="00263445">
        <w:rPr>
          <w:rFonts w:asciiTheme="majorHAnsi" w:hAnsiTheme="majorHAnsi" w:cs="Calibri"/>
        </w:rPr>
        <w:t>sFlt-1</w:t>
      </w:r>
      <w:proofErr w:type="gramStart"/>
      <w:r w:rsidRPr="00263445">
        <w:rPr>
          <w:rFonts w:asciiTheme="majorHAnsi" w:hAnsiTheme="majorHAnsi" w:cs="Calibri"/>
        </w:rPr>
        <w:t>:PlGF</w:t>
      </w:r>
      <w:proofErr w:type="gramEnd"/>
      <w:r w:rsidRPr="00263445">
        <w:rPr>
          <w:rFonts w:asciiTheme="majorHAnsi" w:hAnsiTheme="majorHAnsi" w:cs="Calibri"/>
        </w:rPr>
        <w:t xml:space="preserve"> ratios. In the cohorts of Masuyama </w:t>
      </w:r>
      <w:r w:rsidRPr="00263445">
        <w:rPr>
          <w:rFonts w:asciiTheme="majorHAnsi" w:hAnsiTheme="majorHAnsi" w:cs="Calibri"/>
          <w:i/>
        </w:rPr>
        <w:t>et al.,</w:t>
      </w:r>
      <w:r w:rsidRPr="00263445">
        <w:rPr>
          <w:rFonts w:asciiTheme="majorHAnsi" w:hAnsiTheme="majorHAnsi" w:cs="Calibri"/>
        </w:rPr>
        <w:t xml:space="preserve"> </w:t>
      </w:r>
      <w:r w:rsidR="00DB3AE8">
        <w:rPr>
          <w:rFonts w:asciiTheme="majorHAnsi" w:hAnsiTheme="majorHAnsi" w:cs="Calibri"/>
        </w:rPr>
        <w:t xml:space="preserve">less </w:t>
      </w:r>
      <w:r w:rsidRPr="00263445">
        <w:rPr>
          <w:rFonts w:asciiTheme="majorHAnsi" w:hAnsiTheme="majorHAnsi" w:cs="Calibri"/>
        </w:rPr>
        <w:t xml:space="preserve">angiogenic dysfunction </w:t>
      </w:r>
      <w:r w:rsidR="00DB3AE8">
        <w:rPr>
          <w:rFonts w:asciiTheme="majorHAnsi" w:hAnsiTheme="majorHAnsi" w:cs="Calibri"/>
        </w:rPr>
        <w:t>was seen with</w:t>
      </w:r>
      <w:r w:rsidRPr="00263445">
        <w:rPr>
          <w:rFonts w:asciiTheme="majorHAnsi" w:hAnsiTheme="majorHAnsi" w:cs="Calibri"/>
        </w:rPr>
        <w:t xml:space="preserve"> worsening </w:t>
      </w:r>
      <w:r w:rsidR="002F166F">
        <w:rPr>
          <w:rFonts w:asciiTheme="majorHAnsi" w:hAnsiTheme="majorHAnsi" w:cs="Calibri"/>
        </w:rPr>
        <w:t>kidney</w:t>
      </w:r>
      <w:r w:rsidR="00DB3AE8">
        <w:rPr>
          <w:rFonts w:asciiTheme="majorHAnsi" w:hAnsiTheme="majorHAnsi" w:cs="Calibri"/>
        </w:rPr>
        <w:t xml:space="preserve"> function, although</w:t>
      </w:r>
      <w:r w:rsidRPr="00263445">
        <w:rPr>
          <w:rFonts w:asciiTheme="majorHAnsi" w:hAnsiTheme="majorHAnsi" w:cs="Calibri"/>
        </w:rPr>
        <w:t xml:space="preserve"> numbers were small </w:t>
      </w:r>
      <w:r w:rsidRPr="00263445">
        <w:rPr>
          <w:rFonts w:asciiTheme="majorHAnsi" w:hAnsiTheme="majorHAnsi"/>
        </w:rPr>
        <w:fldChar w:fldCharType="begin"/>
      </w:r>
      <w:r w:rsidRPr="00263445">
        <w:rPr>
          <w:rFonts w:asciiTheme="majorHAnsi" w:hAnsiTheme="majorHAnsi"/>
        </w:rPr>
        <w:instrText>ADDIN BEC{Masuyama et al., 2006, #23472}{Masuyama et al., 2012, #5771}</w:instrText>
      </w:r>
      <w:r w:rsidRPr="00263445">
        <w:rPr>
          <w:rFonts w:asciiTheme="majorHAnsi" w:hAnsiTheme="majorHAnsi"/>
        </w:rPr>
        <w:fldChar w:fldCharType="separate"/>
      </w:r>
      <w:r w:rsidR="00262E53">
        <w:rPr>
          <w:rFonts w:asciiTheme="majorHAnsi" w:hAnsiTheme="majorHAnsi"/>
        </w:rPr>
        <w:t>(51,</w:t>
      </w:r>
      <w:r w:rsidRPr="00263445">
        <w:rPr>
          <w:rFonts w:asciiTheme="majorHAnsi" w:hAnsiTheme="majorHAnsi"/>
        </w:rPr>
        <w:t>52)</w:t>
      </w:r>
      <w:r w:rsidRPr="00263445">
        <w:rPr>
          <w:rFonts w:asciiTheme="majorHAnsi" w:hAnsiTheme="majorHAnsi"/>
        </w:rPr>
        <w:fldChar w:fldCharType="end"/>
      </w:r>
      <w:r w:rsidRPr="00263445">
        <w:rPr>
          <w:rFonts w:asciiTheme="majorHAnsi" w:hAnsiTheme="majorHAnsi" w:cs="Calibri"/>
        </w:rPr>
        <w:t xml:space="preserve">. In the larger cohort study by Bramham </w:t>
      </w:r>
      <w:r w:rsidRPr="00263445">
        <w:rPr>
          <w:rFonts w:asciiTheme="majorHAnsi" w:hAnsiTheme="majorHAnsi" w:cs="Calibri"/>
          <w:i/>
        </w:rPr>
        <w:t>et al.</w:t>
      </w:r>
      <w:r w:rsidR="00E3278C">
        <w:rPr>
          <w:rFonts w:asciiTheme="majorHAnsi" w:hAnsiTheme="majorHAnsi" w:cs="Calibri"/>
          <w:i/>
        </w:rPr>
        <w:t>,</w:t>
      </w:r>
      <w:r w:rsidRPr="00263445">
        <w:rPr>
          <w:rFonts w:asciiTheme="majorHAnsi" w:hAnsiTheme="majorHAnsi" w:cs="Calibri"/>
          <w:i/>
        </w:rPr>
        <w:t xml:space="preserve"> </w:t>
      </w:r>
      <w:r w:rsidRPr="00263445">
        <w:rPr>
          <w:rFonts w:asciiTheme="majorHAnsi" w:hAnsiTheme="majorHAnsi" w:cs="Calibri"/>
        </w:rPr>
        <w:t>women with CKD had a median serum creatinine of 0.80mg/dL (IQR: 0.57-1</w:t>
      </w:r>
      <w:r w:rsidR="00DB3AE8">
        <w:rPr>
          <w:rFonts w:asciiTheme="majorHAnsi" w:hAnsiTheme="majorHAnsi" w:cs="Calibri"/>
        </w:rPr>
        <w:t>.33mg/dL), thereby preventing</w:t>
      </w:r>
      <w:r w:rsidRPr="00263445">
        <w:rPr>
          <w:rFonts w:asciiTheme="majorHAnsi" w:hAnsiTheme="majorHAnsi" w:cs="Calibri"/>
        </w:rPr>
        <w:t xml:space="preserve"> assessment of diagnostic performance in advanced </w:t>
      </w:r>
      <w:r w:rsidR="002F166F">
        <w:rPr>
          <w:rFonts w:asciiTheme="majorHAnsi" w:hAnsiTheme="majorHAnsi" w:cs="Calibri"/>
        </w:rPr>
        <w:t>kidney</w:t>
      </w:r>
      <w:r w:rsidRPr="00263445">
        <w:rPr>
          <w:rFonts w:asciiTheme="majorHAnsi" w:hAnsiTheme="majorHAnsi" w:cs="Calibri"/>
        </w:rPr>
        <w:t xml:space="preserve"> dysfunction</w:t>
      </w:r>
      <w:r w:rsidR="00262E53">
        <w:rPr>
          <w:rFonts w:asciiTheme="majorHAnsi" w:hAnsiTheme="majorHAnsi" w:cs="Calibri"/>
        </w:rPr>
        <w:t xml:space="preserve"> </w:t>
      </w:r>
      <w:r w:rsidRPr="00263445">
        <w:rPr>
          <w:rFonts w:asciiTheme="majorHAnsi" w:hAnsiTheme="majorHAnsi"/>
        </w:rPr>
        <w:fldChar w:fldCharType="begin"/>
      </w:r>
      <w:r w:rsidRPr="00263445">
        <w:rPr>
          <w:rFonts w:asciiTheme="majorHAnsi" w:hAnsiTheme="majorHAnsi"/>
        </w:rPr>
        <w:instrText>ADDIN BEC{Bramham et al., 2016, #40187}</w:instrText>
      </w:r>
      <w:r w:rsidRPr="00263445">
        <w:rPr>
          <w:rFonts w:asciiTheme="majorHAnsi" w:hAnsiTheme="majorHAnsi"/>
        </w:rPr>
        <w:fldChar w:fldCharType="separate"/>
      </w:r>
      <w:r w:rsidRPr="00263445">
        <w:rPr>
          <w:rFonts w:asciiTheme="majorHAnsi" w:hAnsiTheme="majorHAnsi"/>
        </w:rPr>
        <w:t>(5)</w:t>
      </w:r>
      <w:r w:rsidRPr="00263445">
        <w:rPr>
          <w:rFonts w:asciiTheme="majorHAnsi" w:hAnsiTheme="majorHAnsi"/>
        </w:rPr>
        <w:fldChar w:fldCharType="end"/>
      </w:r>
      <w:r w:rsidRPr="00263445">
        <w:rPr>
          <w:rFonts w:asciiTheme="majorHAnsi" w:hAnsiTheme="majorHAnsi" w:cs="Calibri"/>
        </w:rPr>
        <w:t>. Pre-existing</w:t>
      </w:r>
      <w:r w:rsidR="00DB3AE8">
        <w:rPr>
          <w:rFonts w:asciiTheme="majorHAnsi" w:hAnsiTheme="majorHAnsi" w:cs="Calibri"/>
        </w:rPr>
        <w:t xml:space="preserve"> endothelial dysfunction </w:t>
      </w:r>
      <w:r w:rsidRPr="00263445">
        <w:rPr>
          <w:rFonts w:asciiTheme="majorHAnsi" w:hAnsiTheme="majorHAnsi" w:cs="Calibri"/>
        </w:rPr>
        <w:t>may also mean that pre-eclampsia can present with less angiogenic dysfunction (</w:t>
      </w:r>
      <w:r w:rsidR="00262E53" w:rsidRPr="00263445">
        <w:rPr>
          <w:rFonts w:asciiTheme="majorHAnsi" w:hAnsiTheme="majorHAnsi" w:cs="Calibri"/>
        </w:rPr>
        <w:t>i.e.</w:t>
      </w:r>
      <w:r w:rsidRPr="00263445">
        <w:rPr>
          <w:rFonts w:asciiTheme="majorHAnsi" w:hAnsiTheme="majorHAnsi" w:cs="Calibri"/>
        </w:rPr>
        <w:t xml:space="preserve"> at a higher PlGF concentration)</w:t>
      </w:r>
      <w:r w:rsidR="00DB3AE8">
        <w:rPr>
          <w:rFonts w:asciiTheme="majorHAnsi" w:hAnsiTheme="majorHAnsi" w:cs="Calibri"/>
        </w:rPr>
        <w:t xml:space="preserve"> in women with CKD (</w:t>
      </w:r>
      <w:r w:rsidRPr="00263445">
        <w:rPr>
          <w:rFonts w:asciiTheme="majorHAnsi" w:hAnsiTheme="majorHAnsi" w:cs="Calibri"/>
        </w:rPr>
        <w:t xml:space="preserve">Figure 2). </w:t>
      </w:r>
    </w:p>
    <w:p w14:paraId="476F6935" w14:textId="77777777" w:rsidR="00AE053E" w:rsidRPr="00263445" w:rsidRDefault="00AE053E" w:rsidP="00AE053E">
      <w:pPr>
        <w:spacing w:line="360" w:lineRule="auto"/>
        <w:jc w:val="both"/>
        <w:rPr>
          <w:rFonts w:asciiTheme="majorHAnsi" w:hAnsiTheme="majorHAnsi" w:cs="Calibri"/>
        </w:rPr>
      </w:pPr>
    </w:p>
    <w:p w14:paraId="21BFE15E" w14:textId="74E09D33" w:rsidR="00AE053E" w:rsidRPr="00263445" w:rsidRDefault="00DB3AE8" w:rsidP="00AE053E">
      <w:pPr>
        <w:spacing w:line="360" w:lineRule="auto"/>
        <w:jc w:val="both"/>
        <w:rPr>
          <w:rFonts w:asciiTheme="majorHAnsi" w:hAnsiTheme="majorHAnsi" w:cs="Calibri"/>
        </w:rPr>
      </w:pPr>
      <w:r>
        <w:rPr>
          <w:rFonts w:asciiTheme="majorHAnsi" w:hAnsiTheme="majorHAnsi" w:cs="Calibri"/>
        </w:rPr>
        <w:t xml:space="preserve">Plasma hyaluronan and </w:t>
      </w:r>
      <w:r w:rsidR="00AE053E" w:rsidRPr="00263445">
        <w:rPr>
          <w:rFonts w:asciiTheme="majorHAnsi" w:hAnsiTheme="majorHAnsi" w:cs="Calibri"/>
        </w:rPr>
        <w:t xml:space="preserve">vascular cell adhesion molecule-1 concentrations are alternative markers of endothelial dysfunction, distinguishing superimposed pre-eclampsia (n=15) from pregnancy with CKD in the absence of pre-eclampsia (n=45) </w:t>
      </w:r>
      <w:r w:rsidR="00AE053E" w:rsidRPr="00263445">
        <w:rPr>
          <w:rFonts w:asciiTheme="majorHAnsi" w:hAnsiTheme="majorHAnsi"/>
        </w:rPr>
        <w:fldChar w:fldCharType="begin"/>
      </w:r>
      <w:r w:rsidR="00AE053E" w:rsidRPr="00263445">
        <w:rPr>
          <w:rFonts w:asciiTheme="majorHAnsi" w:hAnsiTheme="majorHAnsi"/>
        </w:rPr>
        <w:instrText>ADDIN BEC{Wiles et al., 2019, #31218}</w:instrText>
      </w:r>
      <w:r w:rsidR="00AE053E" w:rsidRPr="00263445">
        <w:rPr>
          <w:rFonts w:asciiTheme="majorHAnsi" w:hAnsiTheme="majorHAnsi"/>
        </w:rPr>
        <w:fldChar w:fldCharType="separate"/>
      </w:r>
      <w:r w:rsidR="00AE053E" w:rsidRPr="00263445">
        <w:rPr>
          <w:rFonts w:asciiTheme="majorHAnsi" w:hAnsiTheme="majorHAnsi"/>
        </w:rPr>
        <w:t>(9)</w:t>
      </w:r>
      <w:r w:rsidR="00AE053E" w:rsidRPr="00263445">
        <w:rPr>
          <w:rFonts w:asciiTheme="majorHAnsi" w:hAnsiTheme="majorHAnsi"/>
        </w:rPr>
        <w:fldChar w:fldCharType="end"/>
      </w:r>
      <w:r w:rsidR="00AE053E" w:rsidRPr="00263445">
        <w:rPr>
          <w:rFonts w:asciiTheme="majorHAnsi" w:hAnsiTheme="majorHAnsi" w:cs="Calibri"/>
        </w:rPr>
        <w:t>, and furt</w:t>
      </w:r>
      <w:r>
        <w:rPr>
          <w:rFonts w:asciiTheme="majorHAnsi" w:hAnsiTheme="majorHAnsi" w:cs="Calibri"/>
        </w:rPr>
        <w:t xml:space="preserve">her validation </w:t>
      </w:r>
      <w:r w:rsidR="00AE053E" w:rsidRPr="00263445">
        <w:rPr>
          <w:rFonts w:asciiTheme="majorHAnsi" w:hAnsiTheme="majorHAnsi" w:cs="Calibri"/>
        </w:rPr>
        <w:t>is warranted. Despite mechanistic plausibility, biomarkers of complement</w:t>
      </w:r>
      <w:r>
        <w:rPr>
          <w:rFonts w:asciiTheme="majorHAnsi" w:hAnsiTheme="majorHAnsi" w:cs="Calibri"/>
        </w:rPr>
        <w:t>, renin-angiotensin system</w:t>
      </w:r>
      <w:r w:rsidR="00AE053E" w:rsidRPr="00263445">
        <w:rPr>
          <w:rFonts w:asciiTheme="majorHAnsi" w:hAnsiTheme="majorHAnsi" w:cs="Calibri"/>
        </w:rPr>
        <w:t>, kidney injury and cardiac function have failed to demonstr</w:t>
      </w:r>
      <w:r w:rsidR="008D6A58">
        <w:rPr>
          <w:rFonts w:asciiTheme="majorHAnsi" w:hAnsiTheme="majorHAnsi" w:cs="Calibri"/>
        </w:rPr>
        <w:t>ate diagnostic discrimination of</w:t>
      </w:r>
      <w:r w:rsidR="00AE053E" w:rsidRPr="00263445">
        <w:rPr>
          <w:rFonts w:asciiTheme="majorHAnsi" w:hAnsiTheme="majorHAnsi" w:cs="Calibri"/>
        </w:rPr>
        <w:t xml:space="preserve"> superimp</w:t>
      </w:r>
      <w:r w:rsidR="008D6A58">
        <w:rPr>
          <w:rFonts w:asciiTheme="majorHAnsi" w:hAnsiTheme="majorHAnsi" w:cs="Calibri"/>
        </w:rPr>
        <w:t>osed pre-eclampsia in</w:t>
      </w:r>
      <w:r w:rsidR="00AE053E" w:rsidRPr="00263445">
        <w:rPr>
          <w:rFonts w:asciiTheme="majorHAnsi" w:hAnsiTheme="majorHAnsi" w:cs="Calibri"/>
        </w:rPr>
        <w:t xml:space="preserve"> CKD </w:t>
      </w:r>
      <w:r w:rsidR="00AE053E" w:rsidRPr="00263445">
        <w:rPr>
          <w:rFonts w:asciiTheme="majorHAnsi" w:hAnsiTheme="majorHAnsi"/>
        </w:rPr>
        <w:fldChar w:fldCharType="begin"/>
      </w:r>
      <w:r w:rsidR="00AE053E" w:rsidRPr="00263445">
        <w:rPr>
          <w:rFonts w:asciiTheme="majorHAnsi" w:hAnsiTheme="majorHAnsi"/>
        </w:rPr>
        <w:instrText>ADDIN BEC{Wiles et al., 2019, #31218}</w:instrText>
      </w:r>
      <w:r w:rsidR="00AE053E" w:rsidRPr="00263445">
        <w:rPr>
          <w:rFonts w:asciiTheme="majorHAnsi" w:hAnsiTheme="majorHAnsi"/>
        </w:rPr>
        <w:fldChar w:fldCharType="separate"/>
      </w:r>
      <w:r w:rsidR="00AE053E" w:rsidRPr="00263445">
        <w:rPr>
          <w:rFonts w:asciiTheme="majorHAnsi" w:hAnsiTheme="majorHAnsi"/>
        </w:rPr>
        <w:t>(</w:t>
      </w:r>
      <w:r w:rsidR="00262E53">
        <w:rPr>
          <w:rFonts w:asciiTheme="majorHAnsi" w:hAnsiTheme="majorHAnsi"/>
        </w:rPr>
        <w:t>5,</w:t>
      </w:r>
      <w:r w:rsidR="00AE053E" w:rsidRPr="00263445">
        <w:rPr>
          <w:rFonts w:asciiTheme="majorHAnsi" w:hAnsiTheme="majorHAnsi"/>
        </w:rPr>
        <w:t>9)</w:t>
      </w:r>
      <w:r w:rsidR="00AE053E" w:rsidRPr="00263445">
        <w:rPr>
          <w:rFonts w:asciiTheme="majorHAnsi" w:hAnsiTheme="majorHAnsi"/>
        </w:rPr>
        <w:fldChar w:fldCharType="end"/>
      </w:r>
      <w:r w:rsidR="00AE053E" w:rsidRPr="00263445">
        <w:rPr>
          <w:rFonts w:asciiTheme="majorHAnsi" w:hAnsiTheme="majorHAnsi" w:cs="Calibri"/>
        </w:rPr>
        <w:t>.</w:t>
      </w:r>
    </w:p>
    <w:p w14:paraId="5935A3EC" w14:textId="77777777" w:rsidR="00AE053E" w:rsidRPr="00263445" w:rsidRDefault="00AE053E" w:rsidP="00AE053E">
      <w:pPr>
        <w:spacing w:line="360" w:lineRule="auto"/>
        <w:jc w:val="both"/>
        <w:rPr>
          <w:rFonts w:asciiTheme="majorHAnsi" w:hAnsiTheme="majorHAnsi" w:cs="Calibri"/>
        </w:rPr>
      </w:pPr>
    </w:p>
    <w:p w14:paraId="79DE673A" w14:textId="77777777" w:rsidR="00AE053E" w:rsidRPr="00263445" w:rsidRDefault="00AE053E" w:rsidP="00AE053E">
      <w:pPr>
        <w:spacing w:line="360" w:lineRule="auto"/>
        <w:jc w:val="both"/>
        <w:rPr>
          <w:rFonts w:asciiTheme="majorHAnsi" w:hAnsiTheme="majorHAnsi" w:cs="Calibri"/>
          <w:b/>
        </w:rPr>
      </w:pPr>
      <w:r w:rsidRPr="00263445">
        <w:rPr>
          <w:rFonts w:asciiTheme="majorHAnsi" w:hAnsiTheme="majorHAnsi" w:cs="Calibri"/>
          <w:b/>
        </w:rPr>
        <w:t>Management of pre-eclampsia in women with CKD</w:t>
      </w:r>
    </w:p>
    <w:p w14:paraId="642B1BBF" w14:textId="77777777" w:rsidR="00AE053E" w:rsidRPr="00263445" w:rsidRDefault="00AE053E" w:rsidP="00AE053E">
      <w:pPr>
        <w:spacing w:line="360" w:lineRule="auto"/>
        <w:jc w:val="both"/>
        <w:rPr>
          <w:rFonts w:asciiTheme="majorHAnsi" w:hAnsiTheme="majorHAnsi" w:cs="Calibri"/>
        </w:rPr>
      </w:pPr>
    </w:p>
    <w:p w14:paraId="64D45C01" w14:textId="77777777" w:rsidR="00AE053E" w:rsidRPr="00263445" w:rsidRDefault="00AE053E" w:rsidP="00AE053E">
      <w:pPr>
        <w:spacing w:line="360" w:lineRule="auto"/>
        <w:jc w:val="both"/>
        <w:rPr>
          <w:rFonts w:asciiTheme="majorHAnsi" w:hAnsiTheme="majorHAnsi" w:cs="Calibri"/>
          <w:i/>
          <w:u w:val="single"/>
        </w:rPr>
      </w:pPr>
      <w:r w:rsidRPr="00263445">
        <w:rPr>
          <w:rFonts w:asciiTheme="majorHAnsi" w:hAnsiTheme="majorHAnsi" w:cs="Calibri"/>
          <w:i/>
          <w:u w:val="single"/>
        </w:rPr>
        <w:t>Aspirin</w:t>
      </w:r>
    </w:p>
    <w:p w14:paraId="41DA889A" w14:textId="7AE50B36"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Originally trialled due to a hypothesis that </w:t>
      </w:r>
      <w:r w:rsidRPr="00263445">
        <w:rPr>
          <w:rFonts w:asciiTheme="majorHAnsi" w:hAnsiTheme="majorHAnsi" w:cs="Calibri"/>
          <w:shd w:val="clear" w:color="auto" w:fill="FFFFFF"/>
        </w:rPr>
        <w:t>prostacyclin and thromboxane A</w:t>
      </w:r>
      <w:r w:rsidRPr="00263445">
        <w:rPr>
          <w:rFonts w:asciiTheme="majorHAnsi" w:hAnsiTheme="majorHAnsi" w:cs="Calibri"/>
          <w:vertAlign w:val="subscript"/>
        </w:rPr>
        <w:t>2</w:t>
      </w:r>
      <w:r w:rsidR="001542B2">
        <w:rPr>
          <w:rFonts w:asciiTheme="majorHAnsi" w:hAnsiTheme="majorHAnsi" w:cs="Calibri"/>
          <w:shd w:val="clear" w:color="auto" w:fill="FFFFFF"/>
        </w:rPr>
        <w:t xml:space="preserve"> metabolism were involved in </w:t>
      </w:r>
      <w:r w:rsidRPr="00263445">
        <w:rPr>
          <w:rFonts w:asciiTheme="majorHAnsi" w:hAnsiTheme="majorHAnsi" w:cs="Calibri"/>
          <w:shd w:val="clear" w:color="auto" w:fill="FFFFFF"/>
        </w:rPr>
        <w:t xml:space="preserve">pathogenesis, low-dose aspirin has been shown to </w:t>
      </w:r>
      <w:r w:rsidR="001542B2">
        <w:rPr>
          <w:rFonts w:asciiTheme="majorHAnsi" w:hAnsiTheme="majorHAnsi" w:cs="Calibri"/>
          <w:shd w:val="clear" w:color="auto" w:fill="FFFFFF"/>
        </w:rPr>
        <w:t xml:space="preserve">reduce the </w:t>
      </w:r>
      <w:r w:rsidRPr="00263445">
        <w:rPr>
          <w:rFonts w:asciiTheme="majorHAnsi" w:hAnsiTheme="majorHAnsi" w:cs="Calibri"/>
          <w:shd w:val="clear" w:color="auto" w:fill="FFFFFF"/>
        </w:rPr>
        <w:t>risk of pre-eclampsia</w:t>
      </w:r>
      <w:r w:rsidRPr="00263445">
        <w:rPr>
          <w:rFonts w:asciiTheme="majorHAnsi" w:hAnsiTheme="majorHAnsi" w:cs="Calibri"/>
        </w:rPr>
        <w:t xml:space="preserve"> </w:t>
      </w:r>
      <w:r w:rsidR="00E3278C">
        <w:rPr>
          <w:rFonts w:asciiTheme="majorHAnsi" w:hAnsiTheme="majorHAnsi" w:cs="Calibri"/>
        </w:rPr>
        <w:t xml:space="preserve">in systematic review and meta-analysis of large cohorts </w:t>
      </w:r>
      <w:r w:rsidRPr="00263445">
        <w:rPr>
          <w:rFonts w:asciiTheme="majorHAnsi" w:hAnsiTheme="majorHAnsi"/>
        </w:rPr>
        <w:fldChar w:fldCharType="begin"/>
      </w:r>
      <w:r w:rsidRPr="00263445">
        <w:rPr>
          <w:rFonts w:asciiTheme="majorHAnsi" w:hAnsiTheme="majorHAnsi"/>
        </w:rPr>
        <w:instrText>ADDIN BEC{Askie et al., 2007, #59147}{Henderson et al., 2014, #39908}</w:instrText>
      </w:r>
      <w:r w:rsidRPr="00263445">
        <w:rPr>
          <w:rFonts w:asciiTheme="majorHAnsi" w:hAnsiTheme="majorHAnsi" w:cs="Calibri"/>
          <w:shd w:val="clear" w:color="auto" w:fill="FFFFFF"/>
        </w:rPr>
        <w:instrText>{Meher et al., 2017, #45458; Roberge et al., 2017, #3575}</w:instrText>
      </w:r>
      <w:r w:rsidRPr="00263445">
        <w:rPr>
          <w:rFonts w:asciiTheme="majorHAnsi" w:hAnsiTheme="majorHAnsi"/>
        </w:rPr>
        <w:fldChar w:fldCharType="separate"/>
      </w:r>
      <w:r w:rsidRPr="00263445">
        <w:rPr>
          <w:rFonts w:asciiTheme="majorHAnsi" w:hAnsiTheme="majorHAnsi"/>
        </w:rPr>
        <w:t>(54–57)</w:t>
      </w:r>
      <w:r w:rsidRPr="00263445">
        <w:rPr>
          <w:rFonts w:asciiTheme="majorHAnsi" w:hAnsiTheme="majorHAnsi"/>
        </w:rPr>
        <w:fldChar w:fldCharType="end"/>
      </w:r>
      <w:r w:rsidRPr="00263445">
        <w:rPr>
          <w:rFonts w:asciiTheme="majorHAnsi" w:hAnsiTheme="majorHAnsi" w:cs="Calibri"/>
        </w:rPr>
        <w:t>.</w:t>
      </w:r>
      <w:r w:rsidRPr="00263445">
        <w:rPr>
          <w:rFonts w:asciiTheme="majorHAnsi" w:hAnsiTheme="majorHAnsi"/>
        </w:rPr>
        <w:t xml:space="preserve"> </w:t>
      </w:r>
      <w:r w:rsidR="00E3278C">
        <w:rPr>
          <w:rFonts w:asciiTheme="majorHAnsi" w:hAnsiTheme="majorHAnsi" w:cs="Calibri"/>
        </w:rPr>
        <w:t>P</w:t>
      </w:r>
      <w:r w:rsidRPr="00263445">
        <w:rPr>
          <w:rFonts w:asciiTheme="majorHAnsi" w:hAnsiTheme="majorHAnsi" w:cs="Calibri"/>
        </w:rPr>
        <w:t xml:space="preserve">rophylactic use of low-dose aspirin </w:t>
      </w:r>
      <w:r w:rsidR="00E3278C">
        <w:rPr>
          <w:rFonts w:asciiTheme="majorHAnsi" w:hAnsiTheme="majorHAnsi" w:cs="Calibri"/>
        </w:rPr>
        <w:t xml:space="preserve">in CKD </w:t>
      </w:r>
      <w:r w:rsidRPr="00263445">
        <w:rPr>
          <w:rFonts w:asciiTheme="majorHAnsi" w:hAnsiTheme="majorHAnsi" w:cs="Calibri"/>
        </w:rPr>
        <w:t xml:space="preserve">is extrapolated from </w:t>
      </w:r>
      <w:r w:rsidR="00E3278C">
        <w:rPr>
          <w:rFonts w:asciiTheme="majorHAnsi" w:hAnsiTheme="majorHAnsi" w:cs="Calibri"/>
        </w:rPr>
        <w:t>general obstetric cohort data</w:t>
      </w:r>
      <w:r w:rsidRPr="00263445">
        <w:rPr>
          <w:rFonts w:asciiTheme="majorHAnsi" w:hAnsiTheme="majorHAnsi" w:cs="Calibri"/>
        </w:rPr>
        <w:t xml:space="preserve">. </w:t>
      </w:r>
    </w:p>
    <w:p w14:paraId="77B7478B" w14:textId="77777777" w:rsidR="00AE053E" w:rsidRPr="00263445" w:rsidRDefault="00AE053E" w:rsidP="00AE053E">
      <w:pPr>
        <w:spacing w:line="360" w:lineRule="auto"/>
        <w:jc w:val="both"/>
        <w:rPr>
          <w:rFonts w:asciiTheme="majorHAnsi" w:hAnsiTheme="majorHAnsi" w:cs="Calibri"/>
        </w:rPr>
      </w:pPr>
    </w:p>
    <w:p w14:paraId="4D40AA43" w14:textId="5A4A83C5"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The optimum gestation at which aspirin should be commenced is ambiguous with meta-analysis data suggesting </w:t>
      </w:r>
      <w:r w:rsidRPr="00263445">
        <w:rPr>
          <w:rFonts w:asciiTheme="majorHAnsi" w:hAnsiTheme="majorHAnsi"/>
        </w:rPr>
        <w:fldChar w:fldCharType="begin"/>
      </w:r>
      <w:r w:rsidRPr="00263445">
        <w:rPr>
          <w:rFonts w:asciiTheme="majorHAnsi" w:hAnsiTheme="majorHAnsi"/>
        </w:rPr>
        <w:instrText>ADDIN BEC{Roberge et al., 2017, #3575}</w:instrText>
      </w:r>
      <w:r w:rsidRPr="00263445">
        <w:rPr>
          <w:rFonts w:asciiTheme="majorHAnsi" w:hAnsiTheme="majorHAnsi"/>
        </w:rPr>
        <w:fldChar w:fldCharType="separate"/>
      </w:r>
      <w:r w:rsidRPr="00263445">
        <w:rPr>
          <w:rFonts w:asciiTheme="majorHAnsi" w:hAnsiTheme="majorHAnsi"/>
        </w:rPr>
        <w:t>(57)</w:t>
      </w:r>
      <w:r w:rsidRPr="00263445">
        <w:rPr>
          <w:rFonts w:asciiTheme="majorHAnsi" w:hAnsiTheme="majorHAnsi"/>
        </w:rPr>
        <w:fldChar w:fldCharType="end"/>
      </w:r>
      <w:r w:rsidRPr="00263445">
        <w:rPr>
          <w:rFonts w:asciiTheme="majorHAnsi" w:hAnsiTheme="majorHAnsi" w:cs="Calibri"/>
        </w:rPr>
        <w:t xml:space="preserve"> and refuting </w:t>
      </w:r>
      <w:r w:rsidRPr="00263445">
        <w:rPr>
          <w:rFonts w:asciiTheme="majorHAnsi" w:hAnsiTheme="majorHAnsi"/>
        </w:rPr>
        <w:fldChar w:fldCharType="begin"/>
      </w:r>
      <w:r w:rsidRPr="00263445">
        <w:rPr>
          <w:rFonts w:asciiTheme="majorHAnsi" w:hAnsiTheme="majorHAnsi"/>
        </w:rPr>
        <w:instrText>ADDIN BEC{Meher et al., 2017, #45458}</w:instrText>
      </w:r>
      <w:r w:rsidRPr="00263445">
        <w:rPr>
          <w:rFonts w:asciiTheme="majorHAnsi" w:hAnsiTheme="majorHAnsi"/>
        </w:rPr>
        <w:fldChar w:fldCharType="separate"/>
      </w:r>
      <w:r w:rsidRPr="00263445">
        <w:rPr>
          <w:rFonts w:asciiTheme="majorHAnsi" w:hAnsiTheme="majorHAnsi"/>
        </w:rPr>
        <w:t>(56)</w:t>
      </w:r>
      <w:r w:rsidRPr="00263445">
        <w:rPr>
          <w:rFonts w:asciiTheme="majorHAnsi" w:hAnsiTheme="majorHAnsi"/>
        </w:rPr>
        <w:fldChar w:fldCharType="end"/>
      </w:r>
      <w:r w:rsidR="001542B2">
        <w:rPr>
          <w:rFonts w:asciiTheme="majorHAnsi" w:hAnsiTheme="majorHAnsi" w:cs="Calibri"/>
        </w:rPr>
        <w:t xml:space="preserve"> improved</w:t>
      </w:r>
      <w:r w:rsidRPr="00263445">
        <w:rPr>
          <w:rFonts w:asciiTheme="majorHAnsi" w:hAnsiTheme="majorHAnsi" w:cs="Calibri"/>
        </w:rPr>
        <w:t xml:space="preserve"> outcomes </w:t>
      </w:r>
      <w:r w:rsidR="001542B2">
        <w:rPr>
          <w:rFonts w:asciiTheme="majorHAnsi" w:hAnsiTheme="majorHAnsi" w:cs="Calibri"/>
        </w:rPr>
        <w:t>with commencement</w:t>
      </w:r>
      <w:r w:rsidRPr="00263445">
        <w:rPr>
          <w:rFonts w:asciiTheme="majorHAnsi" w:hAnsiTheme="majorHAnsi" w:cs="Calibri"/>
        </w:rPr>
        <w:t xml:space="preserve"> prior to 16 weeks’ gestation. Current guidelines advise use from 12 weeks’ in women with CKD </w:t>
      </w:r>
      <w:r w:rsidRPr="00263445">
        <w:rPr>
          <w:rFonts w:asciiTheme="majorHAnsi" w:hAnsiTheme="majorHAnsi"/>
        </w:rPr>
        <w:fldChar w:fldCharType="begin"/>
      </w:r>
      <w:r w:rsidRPr="00263445">
        <w:rPr>
          <w:rFonts w:asciiTheme="majorHAnsi" w:hAnsiTheme="majorHAnsi"/>
        </w:rPr>
        <w:instrText>ADDIN BEC{National Institute for Health and Care Excellence, 2019, #99205}</w:instrText>
      </w:r>
      <w:r w:rsidRPr="00263445">
        <w:rPr>
          <w:rFonts w:asciiTheme="majorHAnsi" w:hAnsiTheme="majorHAnsi"/>
        </w:rPr>
        <w:fldChar w:fldCharType="separate"/>
      </w:r>
      <w:r w:rsidRPr="00263445">
        <w:rPr>
          <w:rFonts w:asciiTheme="majorHAnsi" w:hAnsiTheme="majorHAnsi"/>
        </w:rPr>
        <w:t>(58)</w:t>
      </w:r>
      <w:r w:rsidRPr="00263445">
        <w:rPr>
          <w:rFonts w:asciiTheme="majorHAnsi" w:hAnsiTheme="majorHAnsi"/>
        </w:rPr>
        <w:fldChar w:fldCharType="end"/>
      </w:r>
      <w:r w:rsidRPr="00263445">
        <w:rPr>
          <w:rFonts w:asciiTheme="majorHAnsi" w:hAnsiTheme="majorHAnsi" w:cs="Calibri"/>
        </w:rPr>
        <w:t xml:space="preserve">. The ethics of medication exposure during fetal organogenesis mean </w:t>
      </w:r>
      <w:r w:rsidR="001542B2">
        <w:rPr>
          <w:rFonts w:asciiTheme="majorHAnsi" w:hAnsiTheme="majorHAnsi" w:cs="Calibri"/>
        </w:rPr>
        <w:t>that safety data</w:t>
      </w:r>
      <w:r w:rsidRPr="00263445">
        <w:rPr>
          <w:rFonts w:asciiTheme="majorHAnsi" w:hAnsiTheme="majorHAnsi" w:cs="Calibri"/>
        </w:rPr>
        <w:t xml:space="preserve"> are limited</w:t>
      </w:r>
      <w:r w:rsidR="001542B2">
        <w:rPr>
          <w:rFonts w:asciiTheme="majorHAnsi" w:hAnsiTheme="majorHAnsi" w:cs="Calibri"/>
        </w:rPr>
        <w:t xml:space="preserve"> for all drugs </w:t>
      </w:r>
      <w:r w:rsidR="001542B2" w:rsidRPr="00263445">
        <w:rPr>
          <w:rFonts w:asciiTheme="majorHAnsi" w:hAnsiTheme="majorHAnsi" w:cs="Calibri"/>
        </w:rPr>
        <w:t>prior to 12 weeks’</w:t>
      </w:r>
      <w:r w:rsidRPr="00263445">
        <w:rPr>
          <w:rFonts w:asciiTheme="majorHAnsi" w:hAnsiTheme="majorHAnsi" w:cs="Calibri"/>
        </w:rPr>
        <w:t>. However there is no evidence</w:t>
      </w:r>
      <w:r w:rsidR="001542B2">
        <w:rPr>
          <w:rFonts w:asciiTheme="majorHAnsi" w:hAnsiTheme="majorHAnsi" w:cs="Calibri"/>
        </w:rPr>
        <w:t xml:space="preserve"> </w:t>
      </w:r>
      <w:r w:rsidRPr="00263445">
        <w:rPr>
          <w:rFonts w:asciiTheme="majorHAnsi" w:hAnsiTheme="majorHAnsi" w:cs="Calibri"/>
        </w:rPr>
        <w:t xml:space="preserve">that aspirin is teratogenic and low dose aspirin in not withheld </w:t>
      </w:r>
      <w:r w:rsidR="001542B2">
        <w:rPr>
          <w:rFonts w:asciiTheme="majorHAnsi" w:hAnsiTheme="majorHAnsi" w:cs="Calibri"/>
        </w:rPr>
        <w:t>before</w:t>
      </w:r>
      <w:r w:rsidRPr="00263445">
        <w:rPr>
          <w:rFonts w:asciiTheme="majorHAnsi" w:hAnsiTheme="majorHAnsi" w:cs="Calibri"/>
        </w:rPr>
        <w:t xml:space="preserve"> 12 weeks’ in women with an indication for</w:t>
      </w:r>
      <w:r w:rsidR="005F38D9">
        <w:rPr>
          <w:rFonts w:asciiTheme="majorHAnsi" w:hAnsiTheme="majorHAnsi" w:cs="Calibri"/>
        </w:rPr>
        <w:t xml:space="preserve"> treatment.</w:t>
      </w:r>
    </w:p>
    <w:p w14:paraId="44D0B577" w14:textId="77777777" w:rsidR="00AE053E" w:rsidRPr="00263445" w:rsidRDefault="00AE053E" w:rsidP="00AE053E">
      <w:pPr>
        <w:spacing w:line="360" w:lineRule="auto"/>
        <w:jc w:val="both"/>
        <w:rPr>
          <w:rFonts w:asciiTheme="majorHAnsi" w:hAnsiTheme="majorHAnsi" w:cs="Calibri"/>
        </w:rPr>
      </w:pPr>
    </w:p>
    <w:p w14:paraId="15CE6A01" w14:textId="3FEBFF84"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Optima</w:t>
      </w:r>
      <w:r w:rsidR="00AA44EC">
        <w:rPr>
          <w:rFonts w:asciiTheme="majorHAnsi" w:hAnsiTheme="majorHAnsi" w:cs="Calibri"/>
        </w:rPr>
        <w:t xml:space="preserve">l aspirin dose is also unclear with 75-81mg </w:t>
      </w:r>
      <w:r w:rsidR="00E3278C">
        <w:rPr>
          <w:rFonts w:asciiTheme="majorHAnsi" w:hAnsiTheme="majorHAnsi" w:cs="Calibri"/>
        </w:rPr>
        <w:t xml:space="preserve">most </w:t>
      </w:r>
      <w:r w:rsidR="00AA44EC">
        <w:rPr>
          <w:rFonts w:asciiTheme="majorHAnsi" w:hAnsiTheme="majorHAnsi" w:cs="Calibri"/>
        </w:rPr>
        <w:t>commonly prescribed in the UK and US</w:t>
      </w:r>
      <w:r w:rsidRPr="00263445">
        <w:rPr>
          <w:rFonts w:asciiTheme="majorHAnsi" w:hAnsiTheme="majorHAnsi" w:cs="Calibri"/>
        </w:rPr>
        <w:t xml:space="preserve">. Meta-analysis data demonstrate no benefit in prevention of pre-eclampsia </w:t>
      </w:r>
      <w:r w:rsidR="00AA44EC">
        <w:rPr>
          <w:rFonts w:asciiTheme="majorHAnsi" w:hAnsiTheme="majorHAnsi" w:cs="Calibri"/>
        </w:rPr>
        <w:t>at 60mg</w:t>
      </w:r>
      <w:r w:rsidRPr="00263445">
        <w:rPr>
          <w:rFonts w:asciiTheme="majorHAnsi" w:hAnsiTheme="majorHAnsi" w:cs="Calibri"/>
        </w:rPr>
        <w:t xml:space="preserve">, with most benefit evident at 100mg </w:t>
      </w:r>
      <w:r w:rsidRPr="00263445">
        <w:rPr>
          <w:rFonts w:asciiTheme="majorHAnsi" w:hAnsiTheme="majorHAnsi"/>
        </w:rPr>
        <w:fldChar w:fldCharType="begin"/>
      </w:r>
      <w:r w:rsidRPr="00263445">
        <w:rPr>
          <w:rFonts w:asciiTheme="majorHAnsi" w:hAnsiTheme="majorHAnsi"/>
        </w:rPr>
        <w:instrText>ADDIN BEC{Roberge et al., 2017, #3575}</w:instrText>
      </w:r>
      <w:r w:rsidRPr="00263445">
        <w:rPr>
          <w:rFonts w:asciiTheme="majorHAnsi" w:hAnsiTheme="majorHAnsi"/>
        </w:rPr>
        <w:fldChar w:fldCharType="separate"/>
      </w:r>
      <w:r w:rsidRPr="00263445">
        <w:rPr>
          <w:rFonts w:asciiTheme="majorHAnsi" w:hAnsiTheme="majorHAnsi"/>
        </w:rPr>
        <w:t>(57)</w:t>
      </w:r>
      <w:r w:rsidRPr="00263445">
        <w:rPr>
          <w:rFonts w:asciiTheme="majorHAnsi" w:hAnsiTheme="majorHAnsi"/>
        </w:rPr>
        <w:fldChar w:fldCharType="end"/>
      </w:r>
      <w:r w:rsidR="00AA44EC">
        <w:rPr>
          <w:rFonts w:asciiTheme="majorHAnsi" w:hAnsiTheme="majorHAnsi" w:cs="Calibri"/>
        </w:rPr>
        <w:t>, which is not available in UK.</w:t>
      </w:r>
      <w:r w:rsidRPr="00263445">
        <w:rPr>
          <w:rFonts w:asciiTheme="majorHAnsi" w:hAnsiTheme="majorHAnsi" w:cs="Calibri"/>
        </w:rPr>
        <w:t xml:space="preserve"> A recent randomised controlled trial demonstrated a 62% reduction in preterm pre-eclampsia in women taking 150mg aspirin from 11-14 weeks’ compared to placebo, with no increase in adverse events, including kidney injury </w:t>
      </w:r>
      <w:r w:rsidRPr="00263445">
        <w:rPr>
          <w:rFonts w:asciiTheme="majorHAnsi" w:hAnsiTheme="majorHAnsi"/>
        </w:rPr>
        <w:fldChar w:fldCharType="begin"/>
      </w:r>
      <w:r w:rsidRPr="00263445">
        <w:rPr>
          <w:rFonts w:asciiTheme="majorHAnsi" w:hAnsiTheme="majorHAnsi"/>
        </w:rPr>
        <w:instrText>ADDIN BEC{Rolnik et al., 2017, #70543}</w:instrText>
      </w:r>
      <w:r w:rsidRPr="00263445">
        <w:rPr>
          <w:rFonts w:asciiTheme="majorHAnsi" w:hAnsiTheme="majorHAnsi"/>
        </w:rPr>
        <w:fldChar w:fldCharType="separate"/>
      </w:r>
      <w:r w:rsidRPr="00263445">
        <w:rPr>
          <w:rFonts w:asciiTheme="majorHAnsi" w:hAnsiTheme="majorHAnsi"/>
        </w:rPr>
        <w:t>(59)</w:t>
      </w:r>
      <w:r w:rsidRPr="00263445">
        <w:rPr>
          <w:rFonts w:asciiTheme="majorHAnsi" w:hAnsiTheme="majorHAnsi"/>
        </w:rPr>
        <w:fldChar w:fldCharType="end"/>
      </w:r>
      <w:r w:rsidRPr="00263445">
        <w:rPr>
          <w:rFonts w:asciiTheme="majorHAnsi" w:hAnsiTheme="majorHAnsi" w:cs="Calibri"/>
        </w:rPr>
        <w:t>.</w:t>
      </w:r>
      <w:r w:rsidR="00014806">
        <w:rPr>
          <w:rFonts w:asciiTheme="majorHAnsi" w:hAnsiTheme="majorHAnsi" w:cs="Calibri"/>
        </w:rPr>
        <w:t xml:space="preserve"> </w:t>
      </w:r>
      <w:r w:rsidRPr="00263445">
        <w:rPr>
          <w:rFonts w:asciiTheme="majorHAnsi" w:hAnsiTheme="majorHAnsi" w:cs="Calibri"/>
        </w:rPr>
        <w:t xml:space="preserve">Despite absence of data comparing doses of 75-81mg with 150mg, this trial has been sufficient for many clinicians to switch to 150mg for pre-eclampsia prophylaxis. It is noteworthy that in a secondary analysis, no reduction in pre-eclampsia was seen in women with chronic hypertension </w:t>
      </w:r>
      <w:r w:rsidRPr="00263445">
        <w:rPr>
          <w:rFonts w:asciiTheme="majorHAnsi" w:hAnsiTheme="majorHAnsi"/>
        </w:rPr>
        <w:fldChar w:fldCharType="begin"/>
      </w:r>
      <w:r w:rsidRPr="00263445">
        <w:rPr>
          <w:rFonts w:asciiTheme="majorHAnsi" w:hAnsiTheme="majorHAnsi"/>
        </w:rPr>
        <w:instrText>ADDIN BEC{Poon et al., 2017, #47024}</w:instrText>
      </w:r>
      <w:r w:rsidRPr="00263445">
        <w:rPr>
          <w:rFonts w:asciiTheme="majorHAnsi" w:hAnsiTheme="majorHAnsi"/>
        </w:rPr>
        <w:fldChar w:fldCharType="separate"/>
      </w:r>
      <w:r w:rsidRPr="00263445">
        <w:rPr>
          <w:rFonts w:asciiTheme="majorHAnsi" w:hAnsiTheme="majorHAnsi"/>
        </w:rPr>
        <w:t>(60)</w:t>
      </w:r>
      <w:r w:rsidRPr="00263445">
        <w:rPr>
          <w:rFonts w:asciiTheme="majorHAnsi" w:hAnsiTheme="majorHAnsi"/>
        </w:rPr>
        <w:fldChar w:fldCharType="end"/>
      </w:r>
      <w:r w:rsidRPr="00263445">
        <w:rPr>
          <w:rFonts w:asciiTheme="majorHAnsi" w:hAnsiTheme="majorHAnsi" w:cs="Calibri"/>
        </w:rPr>
        <w:t xml:space="preserve">, although it is not clear whether this is a true phenomenon or </w:t>
      </w:r>
      <w:r w:rsidR="00AA44EC">
        <w:rPr>
          <w:rFonts w:asciiTheme="majorHAnsi" w:hAnsiTheme="majorHAnsi" w:cs="Calibri"/>
        </w:rPr>
        <w:t>reflects the</w:t>
      </w:r>
      <w:r w:rsidRPr="00263445">
        <w:rPr>
          <w:rFonts w:asciiTheme="majorHAnsi" w:hAnsiTheme="majorHAnsi" w:cs="Calibri"/>
        </w:rPr>
        <w:t xml:space="preserve"> challenge of diagnosing pre-eclampsia in women with chronic hypertension. Number of women with CKD was not reported and the benefits and risks of 150mg of aspirin in women with CKD remain unknown.</w:t>
      </w:r>
      <w:r w:rsidR="00014806">
        <w:rPr>
          <w:rFonts w:asciiTheme="majorHAnsi" w:hAnsiTheme="majorHAnsi" w:cs="Calibri"/>
        </w:rPr>
        <w:t xml:space="preserve"> </w:t>
      </w:r>
    </w:p>
    <w:p w14:paraId="2AC55EB0" w14:textId="77777777" w:rsidR="00AE053E" w:rsidRPr="00263445" w:rsidRDefault="00AE053E" w:rsidP="00AE053E">
      <w:pPr>
        <w:spacing w:line="360" w:lineRule="auto"/>
        <w:jc w:val="both"/>
        <w:rPr>
          <w:rFonts w:asciiTheme="majorHAnsi" w:hAnsiTheme="majorHAnsi" w:cs="Calibri"/>
        </w:rPr>
      </w:pPr>
    </w:p>
    <w:p w14:paraId="70CE53DC" w14:textId="77777777" w:rsidR="00AE053E" w:rsidRPr="00263445" w:rsidRDefault="00AE053E" w:rsidP="00AE053E">
      <w:pPr>
        <w:spacing w:line="360" w:lineRule="auto"/>
        <w:jc w:val="both"/>
        <w:rPr>
          <w:rFonts w:asciiTheme="majorHAnsi" w:hAnsiTheme="majorHAnsi" w:cs="Calibri"/>
          <w:i/>
          <w:u w:val="single"/>
        </w:rPr>
      </w:pPr>
      <w:r w:rsidRPr="00263445">
        <w:rPr>
          <w:rFonts w:asciiTheme="majorHAnsi" w:hAnsiTheme="majorHAnsi" w:cs="Calibri"/>
          <w:i/>
          <w:u w:val="single"/>
        </w:rPr>
        <w:t xml:space="preserve">Management of blood pressure </w:t>
      </w:r>
    </w:p>
    <w:p w14:paraId="36741B87" w14:textId="1F8DFABE" w:rsidR="00AE053E" w:rsidRPr="00263445" w:rsidRDefault="00AE053E" w:rsidP="00AE053E">
      <w:pPr>
        <w:spacing w:line="360" w:lineRule="auto"/>
        <w:jc w:val="both"/>
        <w:rPr>
          <w:rFonts w:asciiTheme="majorHAnsi" w:hAnsiTheme="majorHAnsi" w:cs="Calibri"/>
          <w:shd w:val="clear" w:color="auto" w:fill="FFFFFF"/>
        </w:rPr>
      </w:pPr>
      <w:r w:rsidRPr="00263445">
        <w:rPr>
          <w:rFonts w:asciiTheme="majorHAnsi" w:hAnsiTheme="majorHAnsi" w:cs="Calibri"/>
        </w:rPr>
        <w:t xml:space="preserve">Historical guidance avoided strict blood pressure control in pregnancy due to theoretical concerns that treatment </w:t>
      </w:r>
      <w:r w:rsidR="00AA44EC">
        <w:rPr>
          <w:rFonts w:asciiTheme="majorHAnsi" w:hAnsiTheme="majorHAnsi" w:cs="Calibri"/>
        </w:rPr>
        <w:t>compromised</w:t>
      </w:r>
      <w:r w:rsidRPr="00263445">
        <w:rPr>
          <w:rFonts w:asciiTheme="majorHAnsi" w:hAnsiTheme="majorHAnsi" w:cs="Calibri"/>
        </w:rPr>
        <w:t xml:space="preserve"> t</w:t>
      </w:r>
      <w:r w:rsidR="00E3278C">
        <w:rPr>
          <w:rFonts w:asciiTheme="majorHAnsi" w:hAnsiTheme="majorHAnsi" w:cs="Calibri"/>
        </w:rPr>
        <w:t xml:space="preserve">he fetal circulation. </w:t>
      </w:r>
      <w:r w:rsidRPr="00263445">
        <w:rPr>
          <w:rFonts w:asciiTheme="majorHAnsi" w:hAnsiTheme="majorHAnsi" w:cs="Calibri"/>
        </w:rPr>
        <w:t xml:space="preserve">A </w:t>
      </w:r>
      <w:r w:rsidRPr="00263445">
        <w:rPr>
          <w:rFonts w:asciiTheme="majorHAnsi" w:hAnsiTheme="majorHAnsi" w:cs="Calibri"/>
          <w:shd w:val="clear" w:color="auto" w:fill="FFFFFF"/>
        </w:rPr>
        <w:t xml:space="preserve">randomised controlled trial of ‘tight’ (target diastolic 85mmHg) with ‘less tight’ (100mmHg) blood pressure control in pregnancy was </w:t>
      </w:r>
      <w:r w:rsidR="00AA44EC">
        <w:rPr>
          <w:rFonts w:asciiTheme="majorHAnsi" w:hAnsiTheme="majorHAnsi" w:cs="Calibri"/>
          <w:shd w:val="clear" w:color="auto" w:fill="FFFFFF"/>
        </w:rPr>
        <w:t>designed to address this</w:t>
      </w:r>
      <w:r w:rsidRPr="00263445">
        <w:rPr>
          <w:rFonts w:asciiTheme="majorHAnsi" w:hAnsiTheme="majorHAnsi" w:cs="Calibri"/>
          <w:shd w:val="clear" w:color="auto" w:fill="FFFFFF"/>
        </w:rPr>
        <w:t>. Although achieved blood pressure differences between groups were less than intended (139/90mmHg versus 133/85mmHg), tighter control was associated with a reduction in the incidence of severe maternal hypertension (28% versus 41%)</w:t>
      </w:r>
      <w:r w:rsidRPr="00263445">
        <w:rPr>
          <w:rFonts w:asciiTheme="majorHAnsi" w:hAnsiTheme="majorHAnsi" w:cs="Calibri"/>
        </w:rPr>
        <w:t xml:space="preserve"> </w:t>
      </w:r>
      <w:r w:rsidRPr="00263445">
        <w:rPr>
          <w:rFonts w:asciiTheme="majorHAnsi" w:hAnsiTheme="majorHAnsi"/>
        </w:rPr>
        <w:fldChar w:fldCharType="begin"/>
      </w:r>
      <w:r w:rsidRPr="00263445">
        <w:rPr>
          <w:rFonts w:asciiTheme="majorHAnsi" w:hAnsiTheme="majorHAnsi"/>
        </w:rPr>
        <w:instrText>ADDIN BEC{Magee et al., 2015, #96008}</w:instrText>
      </w:r>
      <w:r w:rsidRPr="00263445">
        <w:rPr>
          <w:rFonts w:asciiTheme="majorHAnsi" w:hAnsiTheme="majorHAnsi"/>
        </w:rPr>
        <w:fldChar w:fldCharType="separate"/>
      </w:r>
      <w:r w:rsidRPr="00263445">
        <w:rPr>
          <w:rFonts w:asciiTheme="majorHAnsi" w:hAnsiTheme="majorHAnsi"/>
        </w:rPr>
        <w:t>(61)</w:t>
      </w:r>
      <w:r w:rsidRPr="00263445">
        <w:rPr>
          <w:rFonts w:asciiTheme="majorHAnsi" w:hAnsiTheme="majorHAnsi"/>
        </w:rPr>
        <w:fldChar w:fldCharType="end"/>
      </w:r>
      <w:r w:rsidR="00AA44EC">
        <w:rPr>
          <w:rFonts w:asciiTheme="majorHAnsi" w:hAnsiTheme="majorHAnsi" w:cs="Calibri"/>
          <w:shd w:val="clear" w:color="auto" w:fill="FFFFFF"/>
        </w:rPr>
        <w:t>, with secondary analysis showing</w:t>
      </w:r>
      <w:r w:rsidRPr="00263445">
        <w:rPr>
          <w:rFonts w:asciiTheme="majorHAnsi" w:hAnsiTheme="majorHAnsi" w:cs="Calibri"/>
          <w:shd w:val="clear" w:color="auto" w:fill="FFFFFF"/>
        </w:rPr>
        <w:t xml:space="preserve"> that severe hypertension was associated with an increased risk of adverse maternal and fetal outcomes in women with less tight control</w:t>
      </w:r>
      <w:r w:rsidRPr="00263445">
        <w:rPr>
          <w:rFonts w:asciiTheme="majorHAnsi" w:hAnsiTheme="majorHAnsi" w:cs="Calibri"/>
        </w:rPr>
        <w:t xml:space="preserve"> </w:t>
      </w:r>
      <w:r w:rsidRPr="00263445">
        <w:rPr>
          <w:rFonts w:asciiTheme="majorHAnsi" w:hAnsiTheme="majorHAnsi"/>
        </w:rPr>
        <w:fldChar w:fldCharType="begin"/>
      </w:r>
      <w:r w:rsidRPr="00263445">
        <w:rPr>
          <w:rFonts w:asciiTheme="majorHAnsi" w:hAnsiTheme="majorHAnsi"/>
        </w:rPr>
        <w:instrText>ADDIN BEC{Magee et al., 2016, #4278}</w:instrText>
      </w:r>
      <w:r w:rsidRPr="00263445">
        <w:rPr>
          <w:rFonts w:asciiTheme="majorHAnsi" w:hAnsiTheme="majorHAnsi"/>
        </w:rPr>
        <w:fldChar w:fldCharType="separate"/>
      </w:r>
      <w:r w:rsidRPr="00263445">
        <w:rPr>
          <w:rFonts w:asciiTheme="majorHAnsi" w:hAnsiTheme="majorHAnsi"/>
        </w:rPr>
        <w:t>(62)</w:t>
      </w:r>
      <w:r w:rsidRPr="00263445">
        <w:rPr>
          <w:rFonts w:asciiTheme="majorHAnsi" w:hAnsiTheme="majorHAnsi"/>
        </w:rPr>
        <w:fldChar w:fldCharType="end"/>
      </w:r>
      <w:r w:rsidRPr="00263445">
        <w:rPr>
          <w:rFonts w:asciiTheme="majorHAnsi" w:hAnsiTheme="majorHAnsi" w:cs="Calibri"/>
          <w:shd w:val="clear" w:color="auto" w:fill="FFFFFF"/>
        </w:rPr>
        <w:t>. A recent</w:t>
      </w:r>
      <w:r w:rsidRPr="00263445">
        <w:rPr>
          <w:rFonts w:asciiTheme="majorHAnsi" w:hAnsiTheme="majorHAnsi" w:cs="Calibri"/>
        </w:rPr>
        <w:t xml:space="preserve"> systematic review including </w:t>
      </w:r>
      <w:r w:rsidRPr="00263445">
        <w:rPr>
          <w:rFonts w:asciiTheme="majorHAnsi" w:hAnsiTheme="majorHAnsi" w:cs="Calibri"/>
          <w:shd w:val="clear" w:color="auto" w:fill="FFFFFF"/>
        </w:rPr>
        <w:t>59 trials and 4,723 pregnant women with blood pressures between 140-169/90-109mmHg demonstrated that antihypertensive treatment halved the risk of severe maternal hypertension, w</w:t>
      </w:r>
      <w:r w:rsidR="00AA44EC">
        <w:rPr>
          <w:rFonts w:asciiTheme="majorHAnsi" w:hAnsiTheme="majorHAnsi" w:cs="Calibri"/>
          <w:shd w:val="clear" w:color="auto" w:fill="FFFFFF"/>
        </w:rPr>
        <w:t xml:space="preserve">ith no adverse effects on </w:t>
      </w:r>
      <w:r w:rsidRPr="00263445">
        <w:rPr>
          <w:rFonts w:asciiTheme="majorHAnsi" w:hAnsiTheme="majorHAnsi" w:cs="Calibri"/>
          <w:shd w:val="clear" w:color="auto" w:fill="FFFFFF"/>
        </w:rPr>
        <w:t xml:space="preserve">maternal and fetal outcomes </w:t>
      </w:r>
      <w:r w:rsidRPr="00263445">
        <w:rPr>
          <w:rFonts w:asciiTheme="majorHAnsi" w:hAnsiTheme="majorHAnsi"/>
        </w:rPr>
        <w:fldChar w:fldCharType="begin"/>
      </w:r>
      <w:r w:rsidRPr="00263445">
        <w:rPr>
          <w:rFonts w:asciiTheme="majorHAnsi" w:hAnsiTheme="majorHAnsi"/>
        </w:rPr>
        <w:instrText>ADDIN BEC{Abalos et al., 2018, #75075}</w:instrText>
      </w:r>
      <w:r w:rsidRPr="00263445">
        <w:rPr>
          <w:rFonts w:asciiTheme="majorHAnsi" w:hAnsiTheme="majorHAnsi"/>
        </w:rPr>
        <w:fldChar w:fldCharType="separate"/>
      </w:r>
      <w:r w:rsidRPr="00263445">
        <w:rPr>
          <w:rFonts w:asciiTheme="majorHAnsi" w:hAnsiTheme="majorHAnsi"/>
        </w:rPr>
        <w:t>(63)</w:t>
      </w:r>
      <w:r w:rsidRPr="00263445">
        <w:rPr>
          <w:rFonts w:asciiTheme="majorHAnsi" w:hAnsiTheme="majorHAnsi"/>
        </w:rPr>
        <w:fldChar w:fldCharType="end"/>
      </w:r>
      <w:r w:rsidRPr="00263445">
        <w:rPr>
          <w:rFonts w:asciiTheme="majorHAnsi" w:hAnsiTheme="majorHAnsi" w:cs="Calibri"/>
          <w:shd w:val="clear" w:color="auto" w:fill="FFFFFF"/>
        </w:rPr>
        <w:t xml:space="preserve">. </w:t>
      </w:r>
    </w:p>
    <w:p w14:paraId="1F50E695" w14:textId="77777777" w:rsidR="00AE053E" w:rsidRPr="00263445" w:rsidRDefault="00AE053E" w:rsidP="00AE053E">
      <w:pPr>
        <w:spacing w:line="360" w:lineRule="auto"/>
        <w:jc w:val="both"/>
        <w:rPr>
          <w:rFonts w:asciiTheme="majorHAnsi" w:hAnsiTheme="majorHAnsi" w:cs="Calibri"/>
          <w:shd w:val="clear" w:color="auto" w:fill="FFFFFF"/>
        </w:rPr>
      </w:pPr>
    </w:p>
    <w:p w14:paraId="7DAAA21D" w14:textId="4F3D4678" w:rsidR="00AE053E" w:rsidRPr="00263445" w:rsidRDefault="00AE053E" w:rsidP="00AE053E">
      <w:pPr>
        <w:spacing w:line="360" w:lineRule="auto"/>
        <w:jc w:val="both"/>
        <w:rPr>
          <w:rFonts w:asciiTheme="majorHAnsi" w:hAnsiTheme="majorHAnsi" w:cs="Calibri"/>
          <w:shd w:val="clear" w:color="auto" w:fill="FFFFFF"/>
        </w:rPr>
      </w:pPr>
      <w:r w:rsidRPr="00263445">
        <w:rPr>
          <w:rFonts w:asciiTheme="majorHAnsi" w:hAnsiTheme="majorHAnsi" w:cs="Calibri"/>
          <w:shd w:val="clear" w:color="auto" w:fill="FFFFFF"/>
        </w:rPr>
        <w:t xml:space="preserve">In 2019, guidance on hypertension in pregnancy was updated in both the UK and US. In the UK, evidence of a reduction in severe maternal hypertension, in the absence of adverse fetal and neonatal consequences, was sufficient </w:t>
      </w:r>
      <w:r w:rsidR="00232C68">
        <w:rPr>
          <w:rFonts w:asciiTheme="majorHAnsi" w:hAnsiTheme="majorHAnsi" w:cs="Calibri"/>
          <w:shd w:val="clear" w:color="auto" w:fill="FFFFFF"/>
        </w:rPr>
        <w:t xml:space="preserve">to reduce the recommended </w:t>
      </w:r>
      <w:r w:rsidRPr="00263445">
        <w:rPr>
          <w:rFonts w:asciiTheme="majorHAnsi" w:hAnsiTheme="majorHAnsi" w:cs="Calibri"/>
          <w:shd w:val="clear" w:color="auto" w:fill="FFFFFF"/>
        </w:rPr>
        <w:t xml:space="preserve">treatment threshold </w:t>
      </w:r>
      <w:r w:rsidR="00232C68">
        <w:rPr>
          <w:rFonts w:asciiTheme="majorHAnsi" w:hAnsiTheme="majorHAnsi" w:cs="Calibri"/>
          <w:shd w:val="clear" w:color="auto" w:fill="FFFFFF"/>
        </w:rPr>
        <w:t>from 150/100mmHg to</w:t>
      </w:r>
      <w:r w:rsidRPr="00263445">
        <w:rPr>
          <w:rFonts w:asciiTheme="majorHAnsi" w:hAnsiTheme="majorHAnsi" w:cs="Calibri"/>
          <w:shd w:val="clear" w:color="auto" w:fill="FFFFFF"/>
        </w:rPr>
        <w:t xml:space="preserve"> 140/90mmHg </w:t>
      </w:r>
      <w:r w:rsidRPr="00263445">
        <w:rPr>
          <w:rFonts w:asciiTheme="majorHAnsi" w:hAnsiTheme="majorHAnsi"/>
        </w:rPr>
        <w:fldChar w:fldCharType="begin"/>
      </w:r>
      <w:r w:rsidRPr="00263445">
        <w:rPr>
          <w:rFonts w:asciiTheme="majorHAnsi" w:hAnsiTheme="majorHAnsi"/>
        </w:rPr>
        <w:instrText>ADDIN BEC{Webster et al., 2019, #60704}</w:instrText>
      </w:r>
      <w:r w:rsidRPr="00263445">
        <w:rPr>
          <w:rFonts w:asciiTheme="majorHAnsi" w:hAnsiTheme="majorHAnsi"/>
        </w:rPr>
        <w:fldChar w:fldCharType="separate"/>
      </w:r>
      <w:r w:rsidRPr="00263445">
        <w:rPr>
          <w:rFonts w:asciiTheme="majorHAnsi" w:hAnsiTheme="majorHAnsi"/>
        </w:rPr>
        <w:t>(64)</w:t>
      </w:r>
      <w:r w:rsidRPr="00263445">
        <w:rPr>
          <w:rFonts w:asciiTheme="majorHAnsi" w:hAnsiTheme="majorHAnsi"/>
        </w:rPr>
        <w:fldChar w:fldCharType="end"/>
      </w:r>
      <w:r w:rsidRPr="00263445">
        <w:rPr>
          <w:rFonts w:asciiTheme="majorHAnsi" w:hAnsiTheme="majorHAnsi" w:cs="Calibri"/>
        </w:rPr>
        <w:t xml:space="preserve">. In contrast, </w:t>
      </w:r>
      <w:r w:rsidRPr="00263445">
        <w:rPr>
          <w:rFonts w:asciiTheme="majorHAnsi" w:hAnsiTheme="majorHAnsi" w:cs="Calibri"/>
          <w:shd w:val="clear" w:color="auto" w:fill="FFFFFF"/>
        </w:rPr>
        <w:t>a reduction in severe maternal hypertension</w:t>
      </w:r>
      <w:r w:rsidR="00232C68">
        <w:rPr>
          <w:rFonts w:asciiTheme="majorHAnsi" w:hAnsiTheme="majorHAnsi" w:cs="Calibri"/>
        </w:rPr>
        <w:t xml:space="preserve"> was</w:t>
      </w:r>
      <w:r w:rsidRPr="00263445">
        <w:rPr>
          <w:rFonts w:asciiTheme="majorHAnsi" w:hAnsiTheme="majorHAnsi" w:cs="Calibri"/>
        </w:rPr>
        <w:t xml:space="preserve"> insufficient to change US guidance in the absence </w:t>
      </w:r>
      <w:r w:rsidR="00232C68">
        <w:rPr>
          <w:rFonts w:asciiTheme="majorHAnsi" w:hAnsiTheme="majorHAnsi" w:cs="Calibri"/>
        </w:rPr>
        <w:t>of a measurable benefit on maternal outcome</w:t>
      </w:r>
      <w:r w:rsidRPr="00263445">
        <w:rPr>
          <w:rFonts w:asciiTheme="majorHAnsi" w:hAnsiTheme="majorHAnsi" w:cs="Calibri"/>
        </w:rPr>
        <w:t xml:space="preserve">. Treatment thresholds in the US are 160/110mmHg for women with gestational hypertension or pre-eclampsia, and 150/100mmHg in women with end-organ damage, both higher than recommendations outside of pregnancy </w:t>
      </w:r>
      <w:r w:rsidRPr="00263445">
        <w:rPr>
          <w:rFonts w:asciiTheme="majorHAnsi" w:hAnsiTheme="majorHAnsi"/>
        </w:rPr>
        <w:fldChar w:fldCharType="begin"/>
      </w:r>
      <w:r w:rsidRPr="00263445">
        <w:rPr>
          <w:rFonts w:asciiTheme="majorHAnsi" w:hAnsiTheme="majorHAnsi"/>
        </w:rPr>
        <w:instrText>ADDIN BEC{American College of Obstetricians and Gynecologists, 2013, #74115}</w:instrText>
      </w:r>
      <w:r w:rsidRPr="00263445">
        <w:rPr>
          <w:rFonts w:asciiTheme="majorHAnsi" w:hAnsiTheme="majorHAnsi"/>
        </w:rPr>
        <w:fldChar w:fldCharType="separate"/>
      </w:r>
      <w:r w:rsidRPr="00263445">
        <w:rPr>
          <w:rFonts w:asciiTheme="majorHAnsi" w:hAnsiTheme="majorHAnsi"/>
        </w:rPr>
        <w:t>(65)</w:t>
      </w:r>
      <w:r w:rsidRPr="00263445">
        <w:rPr>
          <w:rFonts w:asciiTheme="majorHAnsi" w:hAnsiTheme="majorHAnsi"/>
        </w:rPr>
        <w:fldChar w:fldCharType="end"/>
      </w:r>
      <w:r w:rsidRPr="00263445">
        <w:rPr>
          <w:rFonts w:asciiTheme="majorHAnsi" w:hAnsiTheme="majorHAnsi" w:cs="Calibri"/>
        </w:rPr>
        <w:t>. There are insufficient data to determine the</w:t>
      </w:r>
      <w:r w:rsidR="00232C68">
        <w:rPr>
          <w:rFonts w:asciiTheme="majorHAnsi" w:hAnsiTheme="majorHAnsi" w:cs="Calibri"/>
        </w:rPr>
        <w:t xml:space="preserve"> risks and benefits of</w:t>
      </w:r>
      <w:r w:rsidRPr="00263445">
        <w:rPr>
          <w:rFonts w:asciiTheme="majorHAnsi" w:hAnsiTheme="majorHAnsi" w:cs="Calibri"/>
        </w:rPr>
        <w:t xml:space="preserve"> </w:t>
      </w:r>
      <w:r w:rsidR="00232C68">
        <w:rPr>
          <w:rFonts w:asciiTheme="majorHAnsi" w:hAnsiTheme="majorHAnsi" w:cs="Calibri"/>
        </w:rPr>
        <w:t>specific blood pressure targets for pregnant women with CKD</w:t>
      </w:r>
      <w:r w:rsidRPr="00263445">
        <w:rPr>
          <w:rFonts w:asciiTheme="majorHAnsi" w:hAnsiTheme="majorHAnsi" w:cs="Calibri"/>
        </w:rPr>
        <w:t>. Rece</w:t>
      </w:r>
      <w:r w:rsidR="00232C68">
        <w:rPr>
          <w:rFonts w:asciiTheme="majorHAnsi" w:hAnsiTheme="majorHAnsi" w:cs="Calibri"/>
        </w:rPr>
        <w:t>nt expert consensus</w:t>
      </w:r>
      <w:r w:rsidRPr="00263445">
        <w:rPr>
          <w:rFonts w:asciiTheme="majorHAnsi" w:hAnsiTheme="majorHAnsi" w:cs="Calibri"/>
        </w:rPr>
        <w:t xml:space="preserve"> for women wi</w:t>
      </w:r>
      <w:r w:rsidR="00E3278C">
        <w:rPr>
          <w:rFonts w:asciiTheme="majorHAnsi" w:hAnsiTheme="majorHAnsi" w:cs="Calibri"/>
        </w:rPr>
        <w:t>th CKD is the</w:t>
      </w:r>
      <w:r w:rsidR="00232C68">
        <w:rPr>
          <w:rFonts w:asciiTheme="majorHAnsi" w:hAnsiTheme="majorHAnsi" w:cs="Calibri"/>
        </w:rPr>
        <w:t xml:space="preserve"> treat</w:t>
      </w:r>
      <w:r w:rsidR="00E3278C">
        <w:rPr>
          <w:rFonts w:asciiTheme="majorHAnsi" w:hAnsiTheme="majorHAnsi" w:cs="Calibri"/>
        </w:rPr>
        <w:t>ment of</w:t>
      </w:r>
      <w:r w:rsidRPr="00263445">
        <w:rPr>
          <w:rFonts w:asciiTheme="majorHAnsi" w:hAnsiTheme="majorHAnsi" w:cs="Calibri"/>
        </w:rPr>
        <w:t xml:space="preserve"> gestational blood pressures greater than 140/90mmHg, aiming for a target of 135/85mmHg or below, </w:t>
      </w:r>
      <w:r w:rsidR="00B11242">
        <w:rPr>
          <w:rFonts w:asciiTheme="majorHAnsi" w:hAnsiTheme="majorHAnsi" w:cs="Calibri"/>
        </w:rPr>
        <w:t>with antihypertensive treatment</w:t>
      </w:r>
      <w:r w:rsidRPr="00263445">
        <w:rPr>
          <w:rFonts w:asciiTheme="majorHAnsi" w:hAnsiTheme="majorHAnsi" w:cs="Calibri"/>
        </w:rPr>
        <w:t xml:space="preserve"> withdrawn </w:t>
      </w:r>
      <w:r w:rsidR="00B11242">
        <w:rPr>
          <w:rFonts w:asciiTheme="majorHAnsi" w:hAnsiTheme="majorHAnsi" w:cs="Calibri"/>
        </w:rPr>
        <w:t>only if</w:t>
      </w:r>
      <w:r w:rsidRPr="00263445">
        <w:rPr>
          <w:rFonts w:asciiTheme="majorHAnsi" w:hAnsiTheme="majorHAnsi" w:cs="Calibri"/>
        </w:rPr>
        <w:t xml:space="preserve"> blood pressure</w:t>
      </w:r>
      <w:r w:rsidR="00B11242">
        <w:rPr>
          <w:rFonts w:asciiTheme="majorHAnsi" w:hAnsiTheme="majorHAnsi" w:cs="Calibri"/>
        </w:rPr>
        <w:t>s are</w:t>
      </w:r>
      <w:r w:rsidRPr="00263445">
        <w:rPr>
          <w:rFonts w:asciiTheme="majorHAnsi" w:hAnsiTheme="majorHAnsi" w:cs="Calibri"/>
        </w:rPr>
        <w:t xml:space="preserve"> consistently less than 110/70mmHg </w:t>
      </w:r>
      <w:r w:rsidRPr="00263445">
        <w:rPr>
          <w:rFonts w:asciiTheme="majorHAnsi" w:hAnsiTheme="majorHAnsi"/>
        </w:rPr>
        <w:fldChar w:fldCharType="begin"/>
      </w:r>
      <w:r w:rsidRPr="00263445">
        <w:rPr>
          <w:rFonts w:asciiTheme="majorHAnsi" w:hAnsiTheme="majorHAnsi"/>
        </w:rPr>
        <w:instrText>ADDIN BEC{Wiles et al., 2019, #76262}</w:instrText>
      </w:r>
      <w:r w:rsidRPr="00263445">
        <w:rPr>
          <w:rFonts w:asciiTheme="majorHAnsi" w:hAnsiTheme="majorHAnsi"/>
        </w:rPr>
        <w:fldChar w:fldCharType="separate"/>
      </w:r>
      <w:r w:rsidRPr="00263445">
        <w:rPr>
          <w:rFonts w:asciiTheme="majorHAnsi" w:hAnsiTheme="majorHAnsi"/>
        </w:rPr>
        <w:t>(45)</w:t>
      </w:r>
      <w:r w:rsidRPr="00263445">
        <w:rPr>
          <w:rFonts w:asciiTheme="majorHAnsi" w:hAnsiTheme="majorHAnsi"/>
        </w:rPr>
        <w:fldChar w:fldCharType="end"/>
      </w:r>
      <w:r w:rsidRPr="00263445">
        <w:rPr>
          <w:rFonts w:asciiTheme="majorHAnsi" w:hAnsiTheme="majorHAnsi" w:cs="Calibri"/>
        </w:rPr>
        <w:t xml:space="preserve">. </w:t>
      </w:r>
    </w:p>
    <w:p w14:paraId="161A3763" w14:textId="77777777" w:rsidR="00AE053E" w:rsidRPr="00263445" w:rsidRDefault="00AE053E" w:rsidP="00AE053E">
      <w:pPr>
        <w:spacing w:line="360" w:lineRule="auto"/>
        <w:jc w:val="both"/>
        <w:rPr>
          <w:rFonts w:asciiTheme="majorHAnsi" w:hAnsiTheme="majorHAnsi" w:cs="Calibri"/>
        </w:rPr>
      </w:pPr>
    </w:p>
    <w:p w14:paraId="06CB8664" w14:textId="20FBE77B" w:rsidR="00AE053E" w:rsidRPr="00263445" w:rsidRDefault="00AE053E" w:rsidP="00AE053E">
      <w:pPr>
        <w:spacing w:line="360" w:lineRule="auto"/>
        <w:jc w:val="both"/>
        <w:rPr>
          <w:rFonts w:asciiTheme="majorHAnsi" w:hAnsiTheme="majorHAnsi" w:cs="Calibri"/>
          <w:u w:val="single"/>
        </w:rPr>
      </w:pPr>
      <w:r w:rsidRPr="00263445">
        <w:rPr>
          <w:rFonts w:asciiTheme="majorHAnsi" w:hAnsiTheme="majorHAnsi" w:cs="Calibri"/>
        </w:rPr>
        <w:t xml:space="preserve">The choice of antihypertensive agent in pregnancy is likely to be determined by licensing, availability and clinician experience, with no high-level evidence to guide prescribing </w:t>
      </w:r>
      <w:r w:rsidRPr="00263445">
        <w:rPr>
          <w:rFonts w:asciiTheme="majorHAnsi" w:hAnsiTheme="majorHAnsi"/>
        </w:rPr>
        <w:fldChar w:fldCharType="begin"/>
      </w:r>
      <w:r w:rsidRPr="00263445">
        <w:rPr>
          <w:rFonts w:asciiTheme="majorHAnsi" w:hAnsiTheme="majorHAnsi"/>
        </w:rPr>
        <w:instrText>ADDIN BEC{National Institute for Health and Care Excellence, 2019, #99205; Webster et al., 2017, #74017}</w:instrText>
      </w:r>
      <w:r w:rsidRPr="00263445">
        <w:rPr>
          <w:rFonts w:asciiTheme="majorHAnsi" w:hAnsiTheme="majorHAnsi"/>
        </w:rPr>
        <w:fldChar w:fldCharType="separate"/>
      </w:r>
      <w:r w:rsidR="00262E53">
        <w:rPr>
          <w:rFonts w:asciiTheme="majorHAnsi" w:hAnsiTheme="majorHAnsi"/>
        </w:rPr>
        <w:t>(58,</w:t>
      </w:r>
      <w:r w:rsidRPr="00263445">
        <w:rPr>
          <w:rFonts w:asciiTheme="majorHAnsi" w:hAnsiTheme="majorHAnsi"/>
        </w:rPr>
        <w:t>66)</w:t>
      </w:r>
      <w:r w:rsidRPr="00263445">
        <w:rPr>
          <w:rFonts w:asciiTheme="majorHAnsi" w:hAnsiTheme="majorHAnsi"/>
        </w:rPr>
        <w:fldChar w:fldCharType="end"/>
      </w:r>
      <w:r w:rsidRPr="00263445">
        <w:rPr>
          <w:rFonts w:asciiTheme="majorHAnsi" w:hAnsiTheme="majorHAnsi" w:cs="Calibri"/>
        </w:rPr>
        <w:t>. Labetalol, nifedipine and methyldopa a</w:t>
      </w:r>
      <w:r w:rsidR="00232C68">
        <w:rPr>
          <w:rFonts w:asciiTheme="majorHAnsi" w:hAnsiTheme="majorHAnsi" w:cs="Calibri"/>
        </w:rPr>
        <w:t xml:space="preserve">re all considered safe for </w:t>
      </w:r>
      <w:r w:rsidRPr="00263445">
        <w:rPr>
          <w:rFonts w:asciiTheme="majorHAnsi" w:hAnsiTheme="majorHAnsi" w:cs="Calibri"/>
        </w:rPr>
        <w:t xml:space="preserve">use in pregnancy. Fewer safety data are available for amlodipine and doxazosin, although no adverse fetal effects are reported </w:t>
      </w:r>
      <w:r w:rsidRPr="00263445">
        <w:rPr>
          <w:rFonts w:asciiTheme="majorHAnsi" w:hAnsiTheme="majorHAnsi"/>
        </w:rPr>
        <w:fldChar w:fldCharType="begin"/>
      </w:r>
      <w:r w:rsidRPr="00263445">
        <w:rPr>
          <w:rFonts w:asciiTheme="majorHAnsi" w:hAnsiTheme="majorHAnsi"/>
        </w:rPr>
        <w:instrText>ADDIN BEC{Wiles et al., 2019, #76262}</w:instrText>
      </w:r>
      <w:r w:rsidRPr="00263445">
        <w:rPr>
          <w:rFonts w:asciiTheme="majorHAnsi" w:hAnsiTheme="majorHAnsi"/>
        </w:rPr>
        <w:fldChar w:fldCharType="separate"/>
      </w:r>
      <w:r w:rsidRPr="00263445">
        <w:rPr>
          <w:rFonts w:asciiTheme="majorHAnsi" w:hAnsiTheme="majorHAnsi"/>
        </w:rPr>
        <w:t>(45)</w:t>
      </w:r>
      <w:r w:rsidRPr="00263445">
        <w:rPr>
          <w:rFonts w:asciiTheme="majorHAnsi" w:hAnsiTheme="majorHAnsi"/>
        </w:rPr>
        <w:fldChar w:fldCharType="end"/>
      </w:r>
      <w:r w:rsidRPr="00263445">
        <w:rPr>
          <w:rFonts w:asciiTheme="majorHAnsi" w:hAnsiTheme="majorHAnsi" w:cs="Calibri"/>
        </w:rPr>
        <w:t xml:space="preserve">. Angiotensin-converting enzyme inhibitors and angiotensin receptor antagonists are contraindicated due to fetotoxicity in second and third trimesters. </w:t>
      </w:r>
    </w:p>
    <w:p w14:paraId="48EF715C" w14:textId="77777777" w:rsidR="00AE053E" w:rsidRPr="00263445" w:rsidRDefault="00AE053E" w:rsidP="00AE053E">
      <w:pPr>
        <w:spacing w:line="360" w:lineRule="auto"/>
        <w:jc w:val="both"/>
        <w:rPr>
          <w:rFonts w:asciiTheme="majorHAnsi" w:hAnsiTheme="majorHAnsi" w:cs="Calibri"/>
          <w:i/>
          <w:u w:val="single"/>
        </w:rPr>
      </w:pPr>
    </w:p>
    <w:p w14:paraId="24DCB7C1" w14:textId="77777777" w:rsidR="00AE053E" w:rsidRPr="00263445" w:rsidRDefault="00AE053E" w:rsidP="00AE053E">
      <w:pPr>
        <w:spacing w:line="360" w:lineRule="auto"/>
        <w:jc w:val="both"/>
        <w:rPr>
          <w:rFonts w:asciiTheme="majorHAnsi" w:hAnsiTheme="majorHAnsi" w:cs="Calibri"/>
          <w:i/>
          <w:u w:val="single"/>
        </w:rPr>
      </w:pPr>
      <w:r w:rsidRPr="00263445">
        <w:rPr>
          <w:rFonts w:asciiTheme="majorHAnsi" w:hAnsiTheme="majorHAnsi" w:cs="Calibri"/>
          <w:i/>
          <w:u w:val="single"/>
        </w:rPr>
        <w:t>Peripartum management</w:t>
      </w:r>
    </w:p>
    <w:p w14:paraId="42823F14" w14:textId="67177999"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Intravascular volume </w:t>
      </w:r>
      <w:r w:rsidR="00B11242" w:rsidRPr="00263445">
        <w:rPr>
          <w:rFonts w:asciiTheme="majorHAnsi" w:hAnsiTheme="majorHAnsi" w:cs="Calibri"/>
        </w:rPr>
        <w:t>contraction with ex</w:t>
      </w:r>
      <w:r w:rsidR="00B11242">
        <w:rPr>
          <w:rFonts w:asciiTheme="majorHAnsi" w:hAnsiTheme="majorHAnsi" w:cs="Calibri"/>
        </w:rPr>
        <w:t>tracellular fluid overload complicates</w:t>
      </w:r>
      <w:r w:rsidRPr="00263445">
        <w:rPr>
          <w:rFonts w:asciiTheme="majorHAnsi" w:hAnsiTheme="majorHAnsi" w:cs="Calibri"/>
        </w:rPr>
        <w:t xml:space="preserve"> </w:t>
      </w:r>
      <w:r w:rsidR="00B11242">
        <w:rPr>
          <w:rFonts w:asciiTheme="majorHAnsi" w:hAnsiTheme="majorHAnsi" w:cs="Calibri"/>
        </w:rPr>
        <w:t xml:space="preserve">assessment of </w:t>
      </w:r>
      <w:r w:rsidRPr="00263445">
        <w:rPr>
          <w:rFonts w:asciiTheme="majorHAnsi" w:hAnsiTheme="majorHAnsi" w:cs="Calibri"/>
        </w:rPr>
        <w:t xml:space="preserve">fluid </w:t>
      </w:r>
      <w:r w:rsidR="00B11242">
        <w:rPr>
          <w:rFonts w:asciiTheme="majorHAnsi" w:hAnsiTheme="majorHAnsi" w:cs="Calibri"/>
        </w:rPr>
        <w:t xml:space="preserve">status </w:t>
      </w:r>
      <w:r w:rsidR="001325E6">
        <w:rPr>
          <w:rFonts w:asciiTheme="majorHAnsi" w:hAnsiTheme="majorHAnsi" w:cs="Calibri"/>
        </w:rPr>
        <w:t>in pre-eclampsia</w:t>
      </w:r>
      <w:r w:rsidRPr="00263445">
        <w:rPr>
          <w:rFonts w:asciiTheme="majorHAnsi" w:hAnsiTheme="majorHAnsi" w:cs="Calibri"/>
        </w:rPr>
        <w:t>. Capillary leak, reduce</w:t>
      </w:r>
      <w:r w:rsidR="001325E6">
        <w:rPr>
          <w:rFonts w:asciiTheme="majorHAnsi" w:hAnsiTheme="majorHAnsi" w:cs="Calibri"/>
        </w:rPr>
        <w:t>d plasma oncotic pressure, and</w:t>
      </w:r>
      <w:r w:rsidRPr="00263445">
        <w:rPr>
          <w:rFonts w:asciiTheme="majorHAnsi" w:hAnsiTheme="majorHAnsi" w:cs="Calibri"/>
        </w:rPr>
        <w:t xml:space="preserve"> variable cardiac output contribute to a risk of pulmonary oedema </w:t>
      </w:r>
      <w:r w:rsidRPr="00263445">
        <w:rPr>
          <w:rFonts w:asciiTheme="majorHAnsi" w:hAnsiTheme="majorHAnsi"/>
        </w:rPr>
        <w:fldChar w:fldCharType="begin"/>
      </w:r>
      <w:r w:rsidRPr="00263445">
        <w:rPr>
          <w:rFonts w:asciiTheme="majorHAnsi" w:hAnsiTheme="majorHAnsi"/>
        </w:rPr>
        <w:instrText>ADDIN BEC{Brown and Gallery, 1994, #93011}{Melchiorre et al., 2013, #4584}</w:instrText>
      </w:r>
      <w:r w:rsidRPr="00263445">
        <w:rPr>
          <w:rFonts w:asciiTheme="majorHAnsi" w:hAnsiTheme="majorHAnsi"/>
        </w:rPr>
        <w:fldChar w:fldCharType="separate"/>
      </w:r>
      <w:r w:rsidR="00262E53">
        <w:rPr>
          <w:rFonts w:asciiTheme="majorHAnsi" w:hAnsiTheme="majorHAnsi"/>
        </w:rPr>
        <w:t>(67,</w:t>
      </w:r>
      <w:r w:rsidRPr="00263445">
        <w:rPr>
          <w:rFonts w:asciiTheme="majorHAnsi" w:hAnsiTheme="majorHAnsi"/>
        </w:rPr>
        <w:t>68)</w:t>
      </w:r>
      <w:r w:rsidRPr="00263445">
        <w:rPr>
          <w:rFonts w:asciiTheme="majorHAnsi" w:hAnsiTheme="majorHAnsi"/>
        </w:rPr>
        <w:fldChar w:fldCharType="end"/>
      </w:r>
      <w:r w:rsidRPr="00263445">
        <w:rPr>
          <w:rFonts w:asciiTheme="majorHAnsi" w:hAnsiTheme="majorHAnsi" w:cs="Calibri"/>
        </w:rPr>
        <w:t xml:space="preserve">, </w:t>
      </w:r>
      <w:r w:rsidR="001325E6">
        <w:rPr>
          <w:rFonts w:asciiTheme="majorHAnsi" w:hAnsiTheme="majorHAnsi" w:cs="Calibri"/>
        </w:rPr>
        <w:t xml:space="preserve">with </w:t>
      </w:r>
      <w:r w:rsidR="00B11242">
        <w:rPr>
          <w:rFonts w:asciiTheme="majorHAnsi" w:hAnsiTheme="majorHAnsi" w:cs="Calibri"/>
        </w:rPr>
        <w:t xml:space="preserve">has </w:t>
      </w:r>
      <w:r w:rsidR="001325E6">
        <w:rPr>
          <w:rFonts w:asciiTheme="majorHAnsi" w:hAnsiTheme="majorHAnsi" w:cs="Calibri"/>
        </w:rPr>
        <w:t xml:space="preserve">associated </w:t>
      </w:r>
      <w:r w:rsidRPr="00263445">
        <w:rPr>
          <w:rFonts w:asciiTheme="majorHAnsi" w:hAnsiTheme="majorHAnsi" w:cs="Calibri"/>
        </w:rPr>
        <w:t xml:space="preserve">maternal morbidity and mortality. In the absence of other haemodynamic insults </w:t>
      </w:r>
      <w:r w:rsidR="001325E6">
        <w:rPr>
          <w:rFonts w:asciiTheme="majorHAnsi" w:hAnsiTheme="majorHAnsi" w:cs="Calibri"/>
        </w:rPr>
        <w:t>(</w:t>
      </w:r>
      <w:r w:rsidRPr="00263445">
        <w:rPr>
          <w:rFonts w:asciiTheme="majorHAnsi" w:hAnsiTheme="majorHAnsi" w:cs="Calibri"/>
        </w:rPr>
        <w:t>e.g. haemorrhage,</w:t>
      </w:r>
      <w:r w:rsidR="001325E6">
        <w:rPr>
          <w:rFonts w:asciiTheme="majorHAnsi" w:hAnsiTheme="majorHAnsi" w:cs="Calibri"/>
        </w:rPr>
        <w:t xml:space="preserve"> sepsis)</w:t>
      </w:r>
      <w:r w:rsidRPr="00263445">
        <w:rPr>
          <w:rFonts w:asciiTheme="majorHAnsi" w:hAnsiTheme="majorHAnsi" w:cs="Calibri"/>
        </w:rPr>
        <w:t xml:space="preserve"> fluid intake should be restricted to insensible losses (30ml/hour) plus anticipated urinary</w:t>
      </w:r>
      <w:r w:rsidR="001325E6">
        <w:rPr>
          <w:rFonts w:asciiTheme="majorHAnsi" w:hAnsiTheme="majorHAnsi" w:cs="Calibri"/>
        </w:rPr>
        <w:t xml:space="preserve"> losses (0.5ml/kg/hour), </w:t>
      </w:r>
      <w:r w:rsidRPr="00263445">
        <w:rPr>
          <w:rFonts w:asciiTheme="majorHAnsi" w:hAnsiTheme="majorHAnsi" w:cs="Calibri"/>
        </w:rPr>
        <w:t>limiting intake to less than 85-100ml/hour to avoid the risk of pulmonary oedema</w:t>
      </w:r>
      <w:r w:rsidRPr="00263445">
        <w:rPr>
          <w:rFonts w:asciiTheme="majorHAnsi" w:hAnsiTheme="majorHAnsi"/>
        </w:rPr>
        <w:t xml:space="preserve"> </w:t>
      </w:r>
      <w:r w:rsidRPr="00263445">
        <w:rPr>
          <w:rFonts w:asciiTheme="majorHAnsi" w:hAnsiTheme="majorHAnsi" w:cs="Calibri"/>
        </w:rPr>
        <w:fldChar w:fldCharType="begin"/>
      </w:r>
      <w:r w:rsidRPr="00263445">
        <w:rPr>
          <w:rFonts w:asciiTheme="majorHAnsi" w:hAnsiTheme="majorHAnsi" w:cs="Calibri"/>
        </w:rPr>
        <w:instrText>ADDIN BEC{National Institute for Health and Care Excellence, 2019, #99205}</w:instrText>
      </w:r>
      <w:r w:rsidRPr="00263445">
        <w:rPr>
          <w:rFonts w:asciiTheme="majorHAnsi" w:hAnsiTheme="majorHAnsi" w:cs="Calibri"/>
        </w:rPr>
        <w:fldChar w:fldCharType="separate"/>
      </w:r>
      <w:r w:rsidRPr="00263445">
        <w:rPr>
          <w:rFonts w:asciiTheme="majorHAnsi" w:hAnsiTheme="majorHAnsi" w:cs="Calibri"/>
        </w:rPr>
        <w:t>(</w:t>
      </w:r>
      <w:r w:rsidR="008446EA">
        <w:rPr>
          <w:rFonts w:asciiTheme="majorHAnsi" w:hAnsiTheme="majorHAnsi" w:cs="Calibri"/>
        </w:rPr>
        <w:t>2,</w:t>
      </w:r>
      <w:r w:rsidRPr="00263445">
        <w:rPr>
          <w:rFonts w:asciiTheme="majorHAnsi" w:hAnsiTheme="majorHAnsi" w:cs="Calibri"/>
        </w:rPr>
        <w:t>58)</w:t>
      </w:r>
      <w:r w:rsidRPr="00263445">
        <w:rPr>
          <w:rFonts w:asciiTheme="majorHAnsi" w:hAnsiTheme="majorHAnsi" w:cs="Calibri"/>
        </w:rPr>
        <w:fldChar w:fldCharType="end"/>
      </w:r>
      <w:r w:rsidRPr="00263445">
        <w:rPr>
          <w:rFonts w:asciiTheme="majorHAnsi" w:hAnsiTheme="majorHAnsi" w:cs="Calibri"/>
        </w:rPr>
        <w:t xml:space="preserve">. There is no role for diuretics in </w:t>
      </w:r>
      <w:r w:rsidR="001325E6">
        <w:rPr>
          <w:rFonts w:asciiTheme="majorHAnsi" w:hAnsiTheme="majorHAnsi" w:cs="Calibri"/>
        </w:rPr>
        <w:t xml:space="preserve">the </w:t>
      </w:r>
      <w:r w:rsidRPr="00263445">
        <w:rPr>
          <w:rFonts w:asciiTheme="majorHAnsi" w:hAnsiTheme="majorHAnsi" w:cs="Calibri"/>
        </w:rPr>
        <w:t xml:space="preserve">prevention of pre-eclampsia </w:t>
      </w:r>
      <w:r w:rsidRPr="00263445">
        <w:rPr>
          <w:rFonts w:asciiTheme="majorHAnsi" w:hAnsiTheme="majorHAnsi" w:cs="Calibri"/>
        </w:rPr>
        <w:fldChar w:fldCharType="begin"/>
      </w:r>
      <w:r w:rsidRPr="00263445">
        <w:rPr>
          <w:rFonts w:asciiTheme="majorHAnsi" w:hAnsiTheme="majorHAnsi" w:cs="Calibri"/>
        </w:rPr>
        <w:instrText>ADDIN BEC{Churchill et al., 2007, #23451}</w:instrText>
      </w:r>
      <w:r w:rsidRPr="00263445">
        <w:rPr>
          <w:rFonts w:asciiTheme="majorHAnsi" w:hAnsiTheme="majorHAnsi" w:cs="Calibri"/>
        </w:rPr>
        <w:fldChar w:fldCharType="separate"/>
      </w:r>
      <w:r w:rsidRPr="00263445">
        <w:rPr>
          <w:rFonts w:asciiTheme="majorHAnsi" w:hAnsiTheme="majorHAnsi" w:cs="Calibri"/>
        </w:rPr>
        <w:t>(69)</w:t>
      </w:r>
      <w:r w:rsidRPr="00263445">
        <w:rPr>
          <w:rFonts w:asciiTheme="majorHAnsi" w:hAnsiTheme="majorHAnsi" w:cs="Calibri"/>
        </w:rPr>
        <w:fldChar w:fldCharType="end"/>
      </w:r>
      <w:r w:rsidRPr="00263445">
        <w:rPr>
          <w:rFonts w:asciiTheme="majorHAnsi" w:hAnsiTheme="majorHAnsi" w:cs="Calibri"/>
        </w:rPr>
        <w:t xml:space="preserve">, </w:t>
      </w:r>
      <w:r w:rsidR="005F38D9">
        <w:rPr>
          <w:rFonts w:asciiTheme="majorHAnsi" w:hAnsiTheme="majorHAnsi" w:cs="Calibri"/>
        </w:rPr>
        <w:t>although they may be required for symptomatic fluid overload</w:t>
      </w:r>
      <w:r w:rsidRPr="00263445">
        <w:rPr>
          <w:rFonts w:asciiTheme="majorHAnsi" w:hAnsiTheme="majorHAnsi" w:cs="Calibri"/>
        </w:rPr>
        <w:t xml:space="preserve">. </w:t>
      </w:r>
    </w:p>
    <w:p w14:paraId="19BAC58C" w14:textId="77777777" w:rsidR="00AE053E" w:rsidRPr="00263445" w:rsidRDefault="00AE053E" w:rsidP="00AE053E">
      <w:pPr>
        <w:spacing w:line="360" w:lineRule="auto"/>
        <w:jc w:val="both"/>
        <w:rPr>
          <w:rFonts w:asciiTheme="majorHAnsi" w:hAnsiTheme="majorHAnsi" w:cs="Calibri"/>
        </w:rPr>
      </w:pPr>
    </w:p>
    <w:p w14:paraId="2D395930" w14:textId="56D8E555"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Intravenous magnesium sulfate is indicated in the treatment of eclampsia, for eclampsia prophylaxis in pre-eclampsia with severe features and anticipated delivery within 24 hours</w:t>
      </w:r>
      <w:r w:rsidR="00B23395">
        <w:rPr>
          <w:rFonts w:asciiTheme="majorHAnsi" w:hAnsiTheme="majorHAnsi" w:cs="Calibri"/>
        </w:rPr>
        <w:t xml:space="preserve">, </w:t>
      </w:r>
      <w:r w:rsidR="00857C75">
        <w:rPr>
          <w:rFonts w:asciiTheme="majorHAnsi" w:hAnsiTheme="majorHAnsi" w:cs="Calibri"/>
        </w:rPr>
        <w:t>and for</w:t>
      </w:r>
      <w:r w:rsidRPr="00263445">
        <w:rPr>
          <w:rFonts w:asciiTheme="majorHAnsi" w:hAnsiTheme="majorHAnsi" w:cs="Calibri"/>
        </w:rPr>
        <w:t xml:space="preserve"> fetal neuroprotection when delivery occurs before 34 weeks’</w:t>
      </w:r>
      <w:r w:rsidR="00B23395">
        <w:rPr>
          <w:rFonts w:asciiTheme="majorHAnsi" w:hAnsiTheme="majorHAnsi" w:cs="Calibri"/>
        </w:rPr>
        <w:t xml:space="preserve"> </w:t>
      </w:r>
      <w:r w:rsidR="00B23395" w:rsidRPr="00263445">
        <w:rPr>
          <w:rFonts w:asciiTheme="majorHAnsi" w:hAnsiTheme="majorHAnsi" w:cs="Calibri"/>
        </w:rPr>
        <w:fldChar w:fldCharType="begin"/>
      </w:r>
      <w:r w:rsidR="00B23395" w:rsidRPr="00263445">
        <w:rPr>
          <w:rFonts w:asciiTheme="majorHAnsi" w:hAnsiTheme="majorHAnsi" w:cs="Calibri"/>
        </w:rPr>
        <w:instrText>ADDIN BEC{National Institute for Health and Care Excellence, 2019, #99205}</w:instrText>
      </w:r>
      <w:r w:rsidR="00B23395" w:rsidRPr="00263445">
        <w:rPr>
          <w:rFonts w:asciiTheme="majorHAnsi" w:hAnsiTheme="majorHAnsi" w:cs="Calibri"/>
        </w:rPr>
        <w:fldChar w:fldCharType="separate"/>
      </w:r>
      <w:r w:rsidR="00B23395" w:rsidRPr="00263445">
        <w:rPr>
          <w:rFonts w:asciiTheme="majorHAnsi" w:hAnsiTheme="majorHAnsi" w:cs="Calibri"/>
        </w:rPr>
        <w:t>(</w:t>
      </w:r>
      <w:r w:rsidR="008446EA">
        <w:rPr>
          <w:rFonts w:asciiTheme="majorHAnsi" w:hAnsiTheme="majorHAnsi" w:cs="Calibri"/>
        </w:rPr>
        <w:t>3,</w:t>
      </w:r>
      <w:r w:rsidR="00B23395" w:rsidRPr="00263445">
        <w:rPr>
          <w:rFonts w:asciiTheme="majorHAnsi" w:hAnsiTheme="majorHAnsi" w:cs="Calibri"/>
        </w:rPr>
        <w:t>58)</w:t>
      </w:r>
      <w:r w:rsidR="00B23395" w:rsidRPr="00263445">
        <w:rPr>
          <w:rFonts w:asciiTheme="majorHAnsi" w:hAnsiTheme="majorHAnsi" w:cs="Calibri"/>
        </w:rPr>
        <w:fldChar w:fldCharType="end"/>
      </w:r>
      <w:r w:rsidRPr="00263445">
        <w:rPr>
          <w:rFonts w:asciiTheme="majorHAnsi" w:hAnsiTheme="majorHAnsi" w:cs="Calibri"/>
        </w:rPr>
        <w:t xml:space="preserve">. In women with reduced kidney function, a loading dose of 4g can be given but </w:t>
      </w:r>
      <w:r w:rsidR="00857C75">
        <w:rPr>
          <w:rFonts w:asciiTheme="majorHAnsi" w:hAnsiTheme="majorHAnsi" w:cs="Calibri"/>
        </w:rPr>
        <w:t>maintenance treatment</w:t>
      </w:r>
      <w:r w:rsidRPr="00263445">
        <w:rPr>
          <w:rFonts w:asciiTheme="majorHAnsi" w:hAnsiTheme="majorHAnsi" w:cs="Calibri"/>
        </w:rPr>
        <w:t>, which is continued for 24 hours</w:t>
      </w:r>
      <w:r w:rsidR="00B11242">
        <w:rPr>
          <w:rFonts w:asciiTheme="majorHAnsi" w:hAnsiTheme="majorHAnsi" w:cs="Calibri"/>
        </w:rPr>
        <w:t>,</w:t>
      </w:r>
      <w:r w:rsidRPr="00263445">
        <w:rPr>
          <w:rFonts w:asciiTheme="majorHAnsi" w:hAnsiTheme="majorHAnsi" w:cs="Calibri"/>
        </w:rPr>
        <w:t xml:space="preserve"> should be reduced from 1g/hour to 0.5g/hour</w:t>
      </w:r>
      <w:r w:rsidR="00857C75">
        <w:rPr>
          <w:rFonts w:asciiTheme="majorHAnsi" w:hAnsiTheme="majorHAnsi" w:cs="Calibri"/>
        </w:rPr>
        <w:t>,</w:t>
      </w:r>
      <w:r w:rsidRPr="00263445">
        <w:rPr>
          <w:rFonts w:asciiTheme="majorHAnsi" w:hAnsiTheme="majorHAnsi" w:cs="Calibri"/>
        </w:rPr>
        <w:t xml:space="preserve"> or withheld in severe kidney disease/injury. Although there is poor correlation between serum concentrations and clinical toxicity, monitoring is advocated in women with </w:t>
      </w:r>
      <w:r w:rsidR="00857C75">
        <w:rPr>
          <w:rFonts w:asciiTheme="majorHAnsi" w:hAnsiTheme="majorHAnsi" w:cs="Calibri"/>
        </w:rPr>
        <w:t xml:space="preserve">kidney </w:t>
      </w:r>
      <w:r w:rsidR="006E1187">
        <w:rPr>
          <w:rFonts w:asciiTheme="majorHAnsi" w:hAnsiTheme="majorHAnsi" w:cs="Calibri"/>
        </w:rPr>
        <w:t>dysfunction</w:t>
      </w:r>
      <w:r w:rsidRPr="00263445">
        <w:rPr>
          <w:rFonts w:asciiTheme="majorHAnsi" w:hAnsiTheme="majorHAnsi" w:cs="Calibri"/>
        </w:rPr>
        <w:t xml:space="preserve">, </w:t>
      </w:r>
      <w:r w:rsidR="00857C75">
        <w:rPr>
          <w:rFonts w:asciiTheme="majorHAnsi" w:hAnsiTheme="majorHAnsi" w:cs="Calibri"/>
        </w:rPr>
        <w:t>and treatment</w:t>
      </w:r>
      <w:r w:rsidRPr="00263445">
        <w:rPr>
          <w:rFonts w:asciiTheme="majorHAnsi" w:hAnsiTheme="majorHAnsi" w:cs="Calibri"/>
        </w:rPr>
        <w:t xml:space="preserve"> stopped if concentrations are above 3.7mmol/L (9mg/dL) </w:t>
      </w:r>
      <w:r w:rsidRPr="00263445">
        <w:rPr>
          <w:rFonts w:asciiTheme="majorHAnsi" w:hAnsiTheme="majorHAnsi"/>
        </w:rPr>
        <w:fldChar w:fldCharType="begin"/>
      </w:r>
      <w:r w:rsidRPr="00263445">
        <w:rPr>
          <w:rFonts w:asciiTheme="majorHAnsi" w:hAnsiTheme="majorHAnsi"/>
        </w:rPr>
        <w:instrText>ADDIN BEC{ACOG, 2019, #40962}</w:instrText>
      </w:r>
      <w:r w:rsidRPr="00263445">
        <w:rPr>
          <w:rFonts w:asciiTheme="majorHAnsi" w:hAnsiTheme="majorHAnsi"/>
        </w:rPr>
        <w:fldChar w:fldCharType="separate"/>
      </w:r>
      <w:r w:rsidRPr="00263445">
        <w:rPr>
          <w:rFonts w:asciiTheme="majorHAnsi" w:hAnsiTheme="majorHAnsi"/>
        </w:rPr>
        <w:t>(3)</w:t>
      </w:r>
      <w:r w:rsidRPr="00263445">
        <w:rPr>
          <w:rFonts w:asciiTheme="majorHAnsi" w:hAnsiTheme="majorHAnsi"/>
        </w:rPr>
        <w:fldChar w:fldCharType="end"/>
      </w:r>
      <w:r w:rsidRPr="00263445">
        <w:rPr>
          <w:rFonts w:asciiTheme="majorHAnsi" w:hAnsiTheme="majorHAnsi" w:cs="Calibri"/>
        </w:rPr>
        <w:t xml:space="preserve">. </w:t>
      </w:r>
    </w:p>
    <w:p w14:paraId="0C1F4B4D" w14:textId="77777777" w:rsidR="00AE053E" w:rsidRPr="00263445" w:rsidRDefault="00AE053E" w:rsidP="00AE053E">
      <w:pPr>
        <w:spacing w:line="360" w:lineRule="auto"/>
        <w:jc w:val="both"/>
        <w:rPr>
          <w:rFonts w:asciiTheme="majorHAnsi" w:hAnsiTheme="majorHAnsi" w:cs="Calibri"/>
        </w:rPr>
      </w:pPr>
    </w:p>
    <w:p w14:paraId="279879AE" w14:textId="687FE7BF"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Timing of delivery in pre-eclampsia balances the risks of maternal and fetal morbidity against those of prematurity. For pre-eclampsia presenting after 37 </w:t>
      </w:r>
      <w:r w:rsidR="000C2F8C">
        <w:rPr>
          <w:rFonts w:asciiTheme="majorHAnsi" w:hAnsiTheme="majorHAnsi" w:cs="Calibri"/>
        </w:rPr>
        <w:t>weeks’</w:t>
      </w:r>
      <w:r w:rsidRPr="00263445">
        <w:rPr>
          <w:rFonts w:asciiTheme="majorHAnsi" w:hAnsiTheme="majorHAnsi" w:cs="Calibri"/>
        </w:rPr>
        <w:t>, delivery is indicated. Prior to 34 weeks</w:t>
      </w:r>
      <w:r w:rsidR="000C2F8C">
        <w:rPr>
          <w:rFonts w:asciiTheme="majorHAnsi" w:hAnsiTheme="majorHAnsi" w:cs="Calibri"/>
        </w:rPr>
        <w:t>’</w:t>
      </w:r>
      <w:r w:rsidRPr="00263445">
        <w:rPr>
          <w:rFonts w:asciiTheme="majorHAnsi" w:hAnsiTheme="majorHAnsi" w:cs="Calibri"/>
        </w:rPr>
        <w:t xml:space="preserve">, it is usual to attempt expectant management in order to reduce neonatal morbidity associated with preterm delivery. Decision-making </w:t>
      </w:r>
      <w:r w:rsidR="007376F4">
        <w:rPr>
          <w:rFonts w:asciiTheme="majorHAnsi" w:hAnsiTheme="majorHAnsi" w:cs="Calibri"/>
        </w:rPr>
        <w:t>between those gestation</w:t>
      </w:r>
      <w:r w:rsidR="00002D12">
        <w:rPr>
          <w:rFonts w:asciiTheme="majorHAnsi" w:hAnsiTheme="majorHAnsi" w:cs="Calibri"/>
        </w:rPr>
        <w:t xml:space="preserve">s </w:t>
      </w:r>
      <w:r w:rsidRPr="00263445">
        <w:rPr>
          <w:rFonts w:asciiTheme="majorHAnsi" w:hAnsiTheme="majorHAnsi" w:cs="Calibri"/>
        </w:rPr>
        <w:t xml:space="preserve">was aided by a recent trial in which women with pre-eclampsia </w:t>
      </w:r>
      <w:r w:rsidR="00857C75">
        <w:rPr>
          <w:rFonts w:asciiTheme="majorHAnsi" w:hAnsiTheme="majorHAnsi" w:cs="Calibri"/>
        </w:rPr>
        <w:t>at</w:t>
      </w:r>
      <w:r w:rsidR="00857C75" w:rsidRPr="00263445">
        <w:rPr>
          <w:rFonts w:asciiTheme="majorHAnsi" w:hAnsiTheme="majorHAnsi" w:cs="Calibri"/>
        </w:rPr>
        <w:t xml:space="preserve"> 34-37 </w:t>
      </w:r>
      <w:r w:rsidR="00857C75">
        <w:rPr>
          <w:rFonts w:asciiTheme="majorHAnsi" w:hAnsiTheme="majorHAnsi" w:cs="Calibri"/>
        </w:rPr>
        <w:t>weeks’</w:t>
      </w:r>
      <w:r w:rsidR="00857C75" w:rsidRPr="00263445">
        <w:rPr>
          <w:rFonts w:asciiTheme="majorHAnsi" w:hAnsiTheme="majorHAnsi" w:cs="Calibri"/>
        </w:rPr>
        <w:t xml:space="preserve"> </w:t>
      </w:r>
      <w:r w:rsidRPr="00263445">
        <w:rPr>
          <w:rFonts w:asciiTheme="majorHAnsi" w:hAnsiTheme="majorHAnsi" w:cs="Calibri"/>
        </w:rPr>
        <w:t>were randomised to expect</w:t>
      </w:r>
      <w:r w:rsidR="00857C75">
        <w:rPr>
          <w:rFonts w:asciiTheme="majorHAnsi" w:hAnsiTheme="majorHAnsi" w:cs="Calibri"/>
        </w:rPr>
        <w:t>ant</w:t>
      </w:r>
      <w:r w:rsidRPr="00263445">
        <w:rPr>
          <w:rFonts w:asciiTheme="majorHAnsi" w:hAnsiTheme="majorHAnsi" w:cs="Calibri"/>
        </w:rPr>
        <w:t xml:space="preserve"> management or planned delivery. Planned delivery was associated with reduced maternal morbidity, with three-quarters of </w:t>
      </w:r>
      <w:r w:rsidR="00857C75">
        <w:rPr>
          <w:rFonts w:asciiTheme="majorHAnsi" w:hAnsiTheme="majorHAnsi" w:cs="Calibri"/>
        </w:rPr>
        <w:t xml:space="preserve">expectantly managed </w:t>
      </w:r>
      <w:r w:rsidRPr="00263445">
        <w:rPr>
          <w:rFonts w:asciiTheme="majorHAnsi" w:hAnsiTheme="majorHAnsi" w:cs="Calibri"/>
        </w:rPr>
        <w:t xml:space="preserve">women progressing to severe pre-eclampsia. Although neonatal admission was higher in those with planned delivery, this occurred without excess neonatal morbidity </w:t>
      </w:r>
      <w:r w:rsidRPr="00263445">
        <w:rPr>
          <w:rFonts w:asciiTheme="majorHAnsi" w:hAnsiTheme="majorHAnsi"/>
        </w:rPr>
        <w:fldChar w:fldCharType="begin"/>
      </w:r>
      <w:r w:rsidRPr="00263445">
        <w:rPr>
          <w:rFonts w:asciiTheme="majorHAnsi" w:hAnsiTheme="majorHAnsi"/>
        </w:rPr>
        <w:instrText>ADDIN BEC{Chappell et al., 2019, #97780}</w:instrText>
      </w:r>
      <w:r w:rsidRPr="00263445">
        <w:rPr>
          <w:rFonts w:asciiTheme="majorHAnsi" w:hAnsiTheme="majorHAnsi"/>
        </w:rPr>
        <w:fldChar w:fldCharType="separate"/>
      </w:r>
      <w:r w:rsidRPr="00263445">
        <w:rPr>
          <w:rFonts w:asciiTheme="majorHAnsi" w:hAnsiTheme="majorHAnsi"/>
        </w:rPr>
        <w:t>(70)</w:t>
      </w:r>
      <w:r w:rsidRPr="00263445">
        <w:rPr>
          <w:rFonts w:asciiTheme="majorHAnsi" w:hAnsiTheme="majorHAnsi"/>
        </w:rPr>
        <w:fldChar w:fldCharType="end"/>
      </w:r>
      <w:r w:rsidRPr="00263445">
        <w:rPr>
          <w:rFonts w:asciiTheme="majorHAnsi" w:hAnsiTheme="majorHAnsi" w:cs="Calibri"/>
          <w:lang w:val="en-US"/>
        </w:rPr>
        <w:t xml:space="preserve">. </w:t>
      </w:r>
      <w:r w:rsidR="00CF7E51">
        <w:rPr>
          <w:rFonts w:asciiTheme="majorHAnsi" w:hAnsiTheme="majorHAnsi" w:cs="Calibri"/>
          <w:lang w:val="en-US"/>
        </w:rPr>
        <w:t>Women with</w:t>
      </w:r>
      <w:r w:rsidR="00D1394F">
        <w:rPr>
          <w:rFonts w:asciiTheme="majorHAnsi" w:hAnsiTheme="majorHAnsi" w:cs="Calibri"/>
          <w:lang w:val="en-US"/>
        </w:rPr>
        <w:t xml:space="preserve"> CKD, including those with kidney</w:t>
      </w:r>
      <w:r w:rsidR="00CF7E51">
        <w:rPr>
          <w:rFonts w:asciiTheme="majorHAnsi" w:hAnsiTheme="majorHAnsi" w:cs="Calibri"/>
          <w:lang w:val="en-US"/>
        </w:rPr>
        <w:t xml:space="preserve"> transplant</w:t>
      </w:r>
      <w:bookmarkStart w:id="0" w:name="_GoBack"/>
      <w:bookmarkEnd w:id="0"/>
      <w:r w:rsidR="00CF7E51">
        <w:rPr>
          <w:rFonts w:asciiTheme="majorHAnsi" w:hAnsiTheme="majorHAnsi" w:cs="Calibri"/>
          <w:lang w:val="en-US"/>
        </w:rPr>
        <w:t xml:space="preserve">s, can have a vaginal delivery. </w:t>
      </w:r>
    </w:p>
    <w:p w14:paraId="1F80BE3D" w14:textId="77777777" w:rsidR="00AE053E" w:rsidRPr="00263445" w:rsidRDefault="00AE053E" w:rsidP="00AE053E">
      <w:pPr>
        <w:spacing w:line="360" w:lineRule="auto"/>
        <w:jc w:val="both"/>
        <w:rPr>
          <w:rFonts w:asciiTheme="majorHAnsi" w:hAnsiTheme="majorHAnsi" w:cs="Calibri"/>
          <w:i/>
        </w:rPr>
      </w:pPr>
    </w:p>
    <w:p w14:paraId="290EDC37" w14:textId="77777777" w:rsidR="00AE053E" w:rsidRPr="00263445" w:rsidRDefault="00AE053E" w:rsidP="00AE053E">
      <w:pPr>
        <w:spacing w:line="360" w:lineRule="auto"/>
        <w:jc w:val="both"/>
        <w:rPr>
          <w:rFonts w:asciiTheme="majorHAnsi" w:hAnsiTheme="majorHAnsi" w:cs="Calibri"/>
          <w:i/>
          <w:u w:val="single"/>
        </w:rPr>
      </w:pPr>
      <w:r w:rsidRPr="00263445">
        <w:rPr>
          <w:rFonts w:asciiTheme="majorHAnsi" w:hAnsiTheme="majorHAnsi" w:cs="Calibri"/>
          <w:i/>
          <w:u w:val="single"/>
        </w:rPr>
        <w:t>Post-partum</w:t>
      </w:r>
    </w:p>
    <w:p w14:paraId="3A22EA58" w14:textId="23B694CC"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Pre-eclampsia is associated with an increased lifetime risk of </w:t>
      </w:r>
      <w:r w:rsidR="002F166F">
        <w:rPr>
          <w:rFonts w:asciiTheme="majorHAnsi" w:hAnsiTheme="majorHAnsi" w:cs="Calibri"/>
        </w:rPr>
        <w:t>kidney</w:t>
      </w:r>
      <w:r w:rsidRPr="00263445">
        <w:rPr>
          <w:rFonts w:asciiTheme="majorHAnsi" w:hAnsiTheme="majorHAnsi" w:cs="Calibri"/>
        </w:rPr>
        <w:t xml:space="preserve"> disease </w:t>
      </w:r>
      <w:r w:rsidRPr="00263445">
        <w:rPr>
          <w:rFonts w:asciiTheme="majorHAnsi" w:hAnsiTheme="majorHAnsi"/>
        </w:rPr>
        <w:fldChar w:fldCharType="begin"/>
      </w:r>
      <w:r w:rsidRPr="00263445">
        <w:rPr>
          <w:rFonts w:asciiTheme="majorHAnsi" w:hAnsiTheme="majorHAnsi"/>
        </w:rPr>
        <w:instrText>ADDIN BEC{Vikse et al., 2008, #88439}{Wang et al., 2013, #95141}{Kristensen et al., 2019, #7039}{Khashan et al., 2019, #5310}{Kristensen et al., 2019, #7039}</w:instrText>
      </w:r>
      <w:r w:rsidRPr="00263445">
        <w:rPr>
          <w:rFonts w:asciiTheme="majorHAnsi" w:hAnsiTheme="majorHAnsi"/>
        </w:rPr>
        <w:fldChar w:fldCharType="separate"/>
      </w:r>
      <w:r w:rsidR="008446EA">
        <w:rPr>
          <w:rFonts w:asciiTheme="majorHAnsi" w:hAnsiTheme="majorHAnsi"/>
        </w:rPr>
        <w:t>(38,39,41,</w:t>
      </w:r>
      <w:r w:rsidRPr="00263445">
        <w:rPr>
          <w:rFonts w:asciiTheme="majorHAnsi" w:hAnsiTheme="majorHAnsi"/>
        </w:rPr>
        <w:t>71)</w:t>
      </w:r>
      <w:r w:rsidRPr="00263445">
        <w:rPr>
          <w:rFonts w:asciiTheme="majorHAnsi" w:hAnsiTheme="majorHAnsi"/>
        </w:rPr>
        <w:fldChar w:fldCharType="end"/>
      </w:r>
      <w:r w:rsidRPr="00263445">
        <w:rPr>
          <w:rFonts w:asciiTheme="majorHAnsi" w:hAnsiTheme="majorHAnsi" w:cs="Calibri"/>
        </w:rPr>
        <w:t xml:space="preserve">. However, </w:t>
      </w:r>
      <w:r w:rsidR="00C86568">
        <w:rPr>
          <w:rFonts w:asciiTheme="majorHAnsi" w:hAnsiTheme="majorHAnsi" w:cs="Calibri"/>
        </w:rPr>
        <w:t xml:space="preserve">data on </w:t>
      </w:r>
      <w:r w:rsidRPr="00263445">
        <w:rPr>
          <w:rFonts w:asciiTheme="majorHAnsi" w:hAnsiTheme="majorHAnsi" w:cs="Calibri"/>
        </w:rPr>
        <w:t xml:space="preserve">the impact of superimposed pre-eclampsia on future </w:t>
      </w:r>
      <w:r w:rsidR="002F166F">
        <w:rPr>
          <w:rFonts w:asciiTheme="majorHAnsi" w:hAnsiTheme="majorHAnsi" w:cs="Calibri"/>
        </w:rPr>
        <w:t>kidney</w:t>
      </w:r>
      <w:r w:rsidRPr="00263445">
        <w:rPr>
          <w:rFonts w:asciiTheme="majorHAnsi" w:hAnsiTheme="majorHAnsi" w:cs="Calibri"/>
        </w:rPr>
        <w:t xml:space="preserve"> health i</w:t>
      </w:r>
      <w:r w:rsidR="00C86568">
        <w:rPr>
          <w:rFonts w:asciiTheme="majorHAnsi" w:hAnsiTheme="majorHAnsi" w:cs="Calibri"/>
        </w:rPr>
        <w:t xml:space="preserve">n CKD </w:t>
      </w:r>
      <w:r w:rsidR="00FB3DB9">
        <w:rPr>
          <w:rFonts w:asciiTheme="majorHAnsi" w:hAnsiTheme="majorHAnsi" w:cs="Calibri"/>
        </w:rPr>
        <w:t>are</w:t>
      </w:r>
      <w:r w:rsidRPr="00263445">
        <w:rPr>
          <w:rFonts w:asciiTheme="majorHAnsi" w:hAnsiTheme="majorHAnsi" w:cs="Calibri"/>
        </w:rPr>
        <w:t xml:space="preserve"> </w:t>
      </w:r>
      <w:r w:rsidR="00C86568" w:rsidRPr="00C86568">
        <w:rPr>
          <w:rFonts w:asciiTheme="majorHAnsi" w:hAnsiTheme="majorHAnsi" w:cs="Calibri"/>
        </w:rPr>
        <w:t>scarce</w:t>
      </w:r>
      <w:r w:rsidR="00C86568">
        <w:rPr>
          <w:rFonts w:asciiTheme="majorHAnsi" w:hAnsiTheme="majorHAnsi" w:cs="Calibri"/>
        </w:rPr>
        <w:t xml:space="preserve">, with </w:t>
      </w:r>
      <w:r w:rsidR="00262E53">
        <w:rPr>
          <w:rFonts w:asciiTheme="majorHAnsi" w:hAnsiTheme="majorHAnsi" w:cs="Calibri"/>
        </w:rPr>
        <w:t>heterogeneity</w:t>
      </w:r>
      <w:r w:rsidR="00FB3DB9">
        <w:rPr>
          <w:rFonts w:asciiTheme="majorHAnsi" w:hAnsiTheme="majorHAnsi" w:cs="Calibri"/>
        </w:rPr>
        <w:t xml:space="preserve"> of</w:t>
      </w:r>
      <w:r w:rsidR="00C86568">
        <w:rPr>
          <w:rFonts w:asciiTheme="majorHAnsi" w:hAnsiTheme="majorHAnsi" w:cs="Calibri"/>
        </w:rPr>
        <w:t xml:space="preserve"> cohort size and </w:t>
      </w:r>
      <w:r w:rsidR="002F166F">
        <w:rPr>
          <w:rFonts w:asciiTheme="majorHAnsi" w:hAnsiTheme="majorHAnsi" w:cs="Calibri"/>
        </w:rPr>
        <w:t>kidney</w:t>
      </w:r>
      <w:r w:rsidRPr="00263445">
        <w:rPr>
          <w:rFonts w:asciiTheme="majorHAnsi" w:hAnsiTheme="majorHAnsi" w:cs="Calibri"/>
        </w:rPr>
        <w:t xml:space="preserve"> disease aetiology, variable definition</w:t>
      </w:r>
      <w:r w:rsidR="00C86568">
        <w:rPr>
          <w:rFonts w:asciiTheme="majorHAnsi" w:hAnsiTheme="majorHAnsi" w:cs="Calibri"/>
        </w:rPr>
        <w:t>s of superimposed pre-eclampsia,</w:t>
      </w:r>
      <w:r w:rsidRPr="00263445">
        <w:rPr>
          <w:rFonts w:asciiTheme="majorHAnsi" w:hAnsiTheme="majorHAnsi" w:cs="Calibri"/>
        </w:rPr>
        <w:t xml:space="preserve"> and the limitations of a binary diagnosis that does not consider severity of pre-eclampsia or CKD. Women with CKD and superimposed pre-eclampsia </w:t>
      </w:r>
      <w:r w:rsidR="00FB3DB9">
        <w:rPr>
          <w:rFonts w:asciiTheme="majorHAnsi" w:hAnsiTheme="majorHAnsi" w:cs="Calibri"/>
        </w:rPr>
        <w:t>require</w:t>
      </w:r>
      <w:r w:rsidRPr="00263445">
        <w:rPr>
          <w:rFonts w:asciiTheme="majorHAnsi" w:hAnsiTheme="majorHAnsi" w:cs="Calibri"/>
        </w:rPr>
        <w:t xml:space="preserve"> close post-partum follow-up of blood pressure and </w:t>
      </w:r>
      <w:r w:rsidR="002F166F">
        <w:rPr>
          <w:rFonts w:asciiTheme="majorHAnsi" w:hAnsiTheme="majorHAnsi" w:cs="Calibri"/>
        </w:rPr>
        <w:t>kidney</w:t>
      </w:r>
      <w:r w:rsidRPr="00263445">
        <w:rPr>
          <w:rFonts w:asciiTheme="majorHAnsi" w:hAnsiTheme="majorHAnsi" w:cs="Calibri"/>
        </w:rPr>
        <w:t xml:space="preserve"> function, with stabilisation and optimisation of kidney function prior to a future pregnancy. The therapeutic value of renin-angiotensin inhibition in the post-partum regression of proteinuria after pre-eclampsia is unkno</w:t>
      </w:r>
      <w:r w:rsidR="000C2F8C">
        <w:rPr>
          <w:rFonts w:asciiTheme="majorHAnsi" w:hAnsiTheme="majorHAnsi" w:cs="Calibri"/>
        </w:rPr>
        <w:t xml:space="preserve">wn. Safety data for </w:t>
      </w:r>
      <w:r w:rsidR="00FB3DB9">
        <w:rPr>
          <w:rFonts w:asciiTheme="majorHAnsi" w:hAnsiTheme="majorHAnsi" w:cs="Calibri"/>
        </w:rPr>
        <w:t>angiotensin converting enzyme inhibitor use in lactation</w:t>
      </w:r>
      <w:r w:rsidR="000C2F8C">
        <w:rPr>
          <w:rFonts w:asciiTheme="majorHAnsi" w:hAnsiTheme="majorHAnsi" w:cs="Calibri"/>
        </w:rPr>
        <w:t xml:space="preserve"> are</w:t>
      </w:r>
      <w:r w:rsidRPr="00263445">
        <w:rPr>
          <w:rFonts w:asciiTheme="majorHAnsi" w:hAnsiTheme="majorHAnsi" w:cs="Calibri"/>
        </w:rPr>
        <w:t xml:space="preserve"> limited to isolated cases and small case series of women taking enalapril (n=5) </w:t>
      </w:r>
      <w:r w:rsidRPr="00263445">
        <w:rPr>
          <w:rFonts w:asciiTheme="majorHAnsi" w:hAnsiTheme="majorHAnsi"/>
        </w:rPr>
        <w:fldChar w:fldCharType="begin"/>
      </w:r>
      <w:r w:rsidRPr="00263445">
        <w:rPr>
          <w:rFonts w:asciiTheme="majorHAnsi" w:hAnsiTheme="majorHAnsi"/>
        </w:rPr>
        <w:instrText>ADDIN BEC{Redman et al., 1990, #64861}</w:instrText>
      </w:r>
      <w:r w:rsidRPr="00263445">
        <w:rPr>
          <w:rFonts w:asciiTheme="majorHAnsi" w:hAnsiTheme="majorHAnsi"/>
        </w:rPr>
        <w:fldChar w:fldCharType="separate"/>
      </w:r>
      <w:r w:rsidRPr="00263445">
        <w:rPr>
          <w:rFonts w:asciiTheme="majorHAnsi" w:hAnsiTheme="majorHAnsi"/>
        </w:rPr>
        <w:t>(72)</w:t>
      </w:r>
      <w:r w:rsidRPr="00263445">
        <w:rPr>
          <w:rFonts w:asciiTheme="majorHAnsi" w:hAnsiTheme="majorHAnsi"/>
        </w:rPr>
        <w:fldChar w:fldCharType="end"/>
      </w:r>
      <w:r w:rsidRPr="00263445">
        <w:rPr>
          <w:rFonts w:asciiTheme="majorHAnsi" w:hAnsiTheme="majorHAnsi" w:cs="Calibri"/>
        </w:rPr>
        <w:t xml:space="preserve"> and captopril (n=11) </w:t>
      </w:r>
      <w:r w:rsidRPr="00263445">
        <w:rPr>
          <w:rFonts w:asciiTheme="majorHAnsi" w:hAnsiTheme="majorHAnsi"/>
        </w:rPr>
        <w:fldChar w:fldCharType="begin"/>
      </w:r>
      <w:r w:rsidRPr="00263445">
        <w:rPr>
          <w:rFonts w:asciiTheme="majorHAnsi" w:hAnsiTheme="majorHAnsi"/>
        </w:rPr>
        <w:instrText>ADDIN BEC{Devlin and Fleiss, 1981, #62215}</w:instrText>
      </w:r>
      <w:r w:rsidRPr="00263445">
        <w:rPr>
          <w:rFonts w:asciiTheme="majorHAnsi" w:hAnsiTheme="majorHAnsi"/>
        </w:rPr>
        <w:fldChar w:fldCharType="separate"/>
      </w:r>
      <w:r w:rsidRPr="00263445">
        <w:rPr>
          <w:rFonts w:asciiTheme="majorHAnsi" w:hAnsiTheme="majorHAnsi"/>
        </w:rPr>
        <w:t>(73)</w:t>
      </w:r>
      <w:r w:rsidRPr="00263445">
        <w:rPr>
          <w:rFonts w:asciiTheme="majorHAnsi" w:hAnsiTheme="majorHAnsi"/>
        </w:rPr>
        <w:fldChar w:fldCharType="end"/>
      </w:r>
      <w:r w:rsidRPr="00263445">
        <w:rPr>
          <w:rFonts w:asciiTheme="majorHAnsi" w:hAnsiTheme="majorHAnsi" w:cs="Calibri"/>
        </w:rPr>
        <w:t xml:space="preserve">. </w:t>
      </w:r>
    </w:p>
    <w:p w14:paraId="68850CEE" w14:textId="77777777" w:rsidR="00AE053E" w:rsidRPr="00263445" w:rsidRDefault="00AE053E" w:rsidP="00AE053E">
      <w:pPr>
        <w:spacing w:line="360" w:lineRule="auto"/>
        <w:jc w:val="both"/>
        <w:rPr>
          <w:rFonts w:asciiTheme="majorHAnsi" w:hAnsiTheme="majorHAnsi" w:cs="Calibri"/>
          <w:i/>
        </w:rPr>
      </w:pPr>
    </w:p>
    <w:p w14:paraId="534DF3EE" w14:textId="77777777" w:rsidR="00AE053E" w:rsidRPr="00263445" w:rsidRDefault="00AE053E" w:rsidP="00AE053E">
      <w:pPr>
        <w:spacing w:line="360" w:lineRule="auto"/>
        <w:jc w:val="both"/>
        <w:rPr>
          <w:rFonts w:asciiTheme="majorHAnsi" w:hAnsiTheme="majorHAnsi" w:cs="Calibri"/>
          <w:i/>
          <w:u w:val="single"/>
        </w:rPr>
      </w:pPr>
      <w:r w:rsidRPr="00263445">
        <w:rPr>
          <w:rFonts w:asciiTheme="majorHAnsi" w:hAnsiTheme="majorHAnsi" w:cs="Calibri"/>
          <w:i/>
          <w:u w:val="single"/>
        </w:rPr>
        <w:t>Future treatments</w:t>
      </w:r>
    </w:p>
    <w:p w14:paraId="7093D9C2" w14:textId="25AA161B" w:rsidR="00AE053E" w:rsidRPr="00263445" w:rsidRDefault="00AE053E" w:rsidP="00AE053E">
      <w:pPr>
        <w:spacing w:line="360" w:lineRule="auto"/>
        <w:jc w:val="both"/>
        <w:rPr>
          <w:rFonts w:asciiTheme="majorHAnsi" w:hAnsiTheme="majorHAnsi" w:cs="Calibri"/>
          <w:sz w:val="20"/>
          <w:szCs w:val="20"/>
        </w:rPr>
      </w:pPr>
      <w:r w:rsidRPr="00263445">
        <w:rPr>
          <w:rFonts w:asciiTheme="majorHAnsi" w:hAnsiTheme="majorHAnsi" w:cs="Calibri"/>
        </w:rPr>
        <w:t>The pathogenic role of angiogenic dysfunction in pre-eclampsia has led to a focus on targeted therapies that either increase PlGF or block the action of s-Flt1. Animal models inclu</w:t>
      </w:r>
      <w:r w:rsidR="008332DC">
        <w:rPr>
          <w:rFonts w:asciiTheme="majorHAnsi" w:hAnsiTheme="majorHAnsi" w:cs="Calibri"/>
        </w:rPr>
        <w:t>de therapeutic provision of vascular growth factors</w:t>
      </w:r>
      <w:r w:rsidRPr="00263445">
        <w:rPr>
          <w:rFonts w:asciiTheme="majorHAnsi" w:hAnsiTheme="majorHAnsi" w:cs="Calibri"/>
        </w:rPr>
        <w:t xml:space="preserve"> </w:t>
      </w:r>
      <w:r w:rsidRPr="00263445">
        <w:rPr>
          <w:rFonts w:asciiTheme="majorHAnsi" w:hAnsiTheme="majorHAnsi"/>
        </w:rPr>
        <w:fldChar w:fldCharType="begin"/>
      </w:r>
      <w:r w:rsidRPr="00263445">
        <w:rPr>
          <w:rFonts w:asciiTheme="majorHAnsi" w:hAnsiTheme="majorHAnsi"/>
        </w:rPr>
        <w:instrText>ADDIN BEC{Gilbert et al., 2010, #72231}</w:instrText>
      </w:r>
      <w:r w:rsidRPr="00263445">
        <w:rPr>
          <w:rFonts w:asciiTheme="majorHAnsi" w:hAnsiTheme="majorHAnsi"/>
        </w:rPr>
        <w:fldChar w:fldCharType="separate"/>
      </w:r>
      <w:r w:rsidRPr="00263445">
        <w:rPr>
          <w:rFonts w:asciiTheme="majorHAnsi" w:hAnsiTheme="majorHAnsi"/>
        </w:rPr>
        <w:t>(74)</w:t>
      </w:r>
      <w:r w:rsidRPr="00263445">
        <w:rPr>
          <w:rFonts w:asciiTheme="majorHAnsi" w:hAnsiTheme="majorHAnsi"/>
        </w:rPr>
        <w:fldChar w:fldCharType="end"/>
      </w:r>
      <w:r w:rsidRPr="00263445">
        <w:rPr>
          <w:rFonts w:asciiTheme="majorHAnsi" w:hAnsiTheme="majorHAnsi" w:cs="Calibri"/>
        </w:rPr>
        <w:t xml:space="preserve"> and antagonism of sFlt-1 </w:t>
      </w:r>
      <w:r w:rsidRPr="00263445">
        <w:rPr>
          <w:rFonts w:asciiTheme="majorHAnsi" w:hAnsiTheme="majorHAnsi"/>
        </w:rPr>
        <w:fldChar w:fldCharType="begin"/>
      </w:r>
      <w:r w:rsidRPr="00263445">
        <w:rPr>
          <w:rFonts w:asciiTheme="majorHAnsi" w:hAnsiTheme="majorHAnsi"/>
        </w:rPr>
        <w:instrText>ADDIN BEC{Bergmann et al., 2010, #2685}</w:instrText>
      </w:r>
      <w:r w:rsidRPr="00263445">
        <w:rPr>
          <w:rFonts w:asciiTheme="majorHAnsi" w:hAnsiTheme="majorHAnsi"/>
        </w:rPr>
        <w:fldChar w:fldCharType="separate"/>
      </w:r>
      <w:r w:rsidRPr="00263445">
        <w:rPr>
          <w:rFonts w:asciiTheme="majorHAnsi" w:hAnsiTheme="majorHAnsi"/>
        </w:rPr>
        <w:t>(75)</w:t>
      </w:r>
      <w:r w:rsidRPr="00263445">
        <w:rPr>
          <w:rFonts w:asciiTheme="majorHAnsi" w:hAnsiTheme="majorHAnsi"/>
        </w:rPr>
        <w:fldChar w:fldCharType="end"/>
      </w:r>
      <w:r w:rsidRPr="00263445">
        <w:rPr>
          <w:rFonts w:asciiTheme="majorHAnsi" w:hAnsiTheme="majorHAnsi" w:cs="Calibri"/>
        </w:rPr>
        <w:t xml:space="preserve">. sFlt-1 is positively charged and can be selectively removed by apheresis. This technique was described in 11 women with pre-term pre-eclampsia, leading to a reduction in sFlt-1 concentrations, and an increase in gestation by eight days after one treatment and 15 days following multiple treatments, compared to three days in untreated women </w:t>
      </w:r>
      <w:r w:rsidRPr="00263445">
        <w:rPr>
          <w:rFonts w:asciiTheme="majorHAnsi" w:hAnsiTheme="majorHAnsi"/>
        </w:rPr>
        <w:fldChar w:fldCharType="begin"/>
      </w:r>
      <w:r w:rsidRPr="00263445">
        <w:rPr>
          <w:rFonts w:asciiTheme="majorHAnsi" w:hAnsiTheme="majorHAnsi"/>
        </w:rPr>
        <w:instrText>ADDIN BEC{Thadhani et al., 2016, #40313}</w:instrText>
      </w:r>
      <w:r w:rsidRPr="00263445">
        <w:rPr>
          <w:rFonts w:asciiTheme="majorHAnsi" w:hAnsiTheme="majorHAnsi"/>
        </w:rPr>
        <w:fldChar w:fldCharType="separate"/>
      </w:r>
      <w:r w:rsidRPr="00263445">
        <w:rPr>
          <w:rFonts w:asciiTheme="majorHAnsi" w:hAnsiTheme="majorHAnsi"/>
        </w:rPr>
        <w:t>(76)</w:t>
      </w:r>
      <w:r w:rsidRPr="00263445">
        <w:rPr>
          <w:rFonts w:asciiTheme="majorHAnsi" w:hAnsiTheme="majorHAnsi"/>
        </w:rPr>
        <w:fldChar w:fldCharType="end"/>
      </w:r>
      <w:r w:rsidRPr="00263445">
        <w:rPr>
          <w:rFonts w:asciiTheme="majorHAnsi" w:hAnsiTheme="majorHAnsi" w:cs="Calibri"/>
        </w:rPr>
        <w:t xml:space="preserve">. A proof-of-concept trial is underway examining safety, dosing and efficacy of sFlt-1 apheresis (ClinicalTrials.gov identifier: </w:t>
      </w:r>
      <w:r w:rsidRPr="00263445">
        <w:rPr>
          <w:rFonts w:asciiTheme="majorHAnsi" w:hAnsiTheme="majorHAnsi" w:cs="Calibri"/>
          <w:color w:val="000000"/>
          <w:sz w:val="23"/>
          <w:szCs w:val="23"/>
          <w:shd w:val="clear" w:color="auto" w:fill="FFFFFF"/>
        </w:rPr>
        <w:t xml:space="preserve">NCT02923206). </w:t>
      </w:r>
    </w:p>
    <w:p w14:paraId="7315E1AF" w14:textId="77777777" w:rsidR="00AE053E" w:rsidRPr="00263445" w:rsidRDefault="00AE053E" w:rsidP="00AE053E">
      <w:pPr>
        <w:spacing w:line="360" w:lineRule="auto"/>
        <w:jc w:val="both"/>
        <w:rPr>
          <w:rFonts w:asciiTheme="majorHAnsi" w:hAnsiTheme="majorHAnsi" w:cs="Calibri"/>
        </w:rPr>
      </w:pPr>
    </w:p>
    <w:p w14:paraId="297FDA4E" w14:textId="77777777" w:rsidR="00AE053E" w:rsidRPr="00263445" w:rsidRDefault="00AE053E" w:rsidP="00AE053E">
      <w:pPr>
        <w:spacing w:line="360" w:lineRule="auto"/>
        <w:jc w:val="both"/>
        <w:rPr>
          <w:rFonts w:asciiTheme="majorHAnsi" w:hAnsiTheme="majorHAnsi" w:cs="Calibri"/>
          <w:b/>
        </w:rPr>
      </w:pPr>
      <w:r w:rsidRPr="00263445">
        <w:rPr>
          <w:rFonts w:asciiTheme="majorHAnsi" w:hAnsiTheme="majorHAnsi" w:cs="Calibri"/>
          <w:b/>
        </w:rPr>
        <w:t>Conclusions</w:t>
      </w:r>
    </w:p>
    <w:p w14:paraId="28E6B32F" w14:textId="77777777"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Pre-eclampsia is a disease of placentation, which leads to a dysfunctional balance between angiogenic (PlGF) and antiangiogenic (sFlt-1) proteins that is measurable prior to clinical presentation. Quantification of PlGF concentrations or sFlt-1:PlGF ratio is now recommended as a diagnostic adjunct in the general obstetric population.</w:t>
      </w:r>
    </w:p>
    <w:p w14:paraId="3574EB8A" w14:textId="77777777" w:rsidR="00AE053E" w:rsidRPr="00263445" w:rsidRDefault="00AE053E" w:rsidP="00AE053E">
      <w:pPr>
        <w:spacing w:line="360" w:lineRule="auto"/>
        <w:jc w:val="both"/>
        <w:rPr>
          <w:rFonts w:asciiTheme="majorHAnsi" w:hAnsiTheme="majorHAnsi" w:cs="Calibri"/>
        </w:rPr>
      </w:pPr>
    </w:p>
    <w:p w14:paraId="617CE253" w14:textId="55FDE219"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Pre-eclampsia and CKD have a shared phenotype </w:t>
      </w:r>
      <w:r w:rsidR="004A3AB7">
        <w:rPr>
          <w:rFonts w:asciiTheme="majorHAnsi" w:hAnsiTheme="majorHAnsi" w:cs="Calibri"/>
        </w:rPr>
        <w:t>and diagnosis</w:t>
      </w:r>
      <w:r w:rsidRPr="00263445">
        <w:rPr>
          <w:rFonts w:asciiTheme="majorHAnsi" w:hAnsiTheme="majorHAnsi" w:cs="Calibri"/>
        </w:rPr>
        <w:t xml:space="preserve"> is complicated by hypertension and proteinuria that predate pregnancy. Assessment of the diagnostic and predictive performance of angiogenic markers in women with CKD is limited. Impaired </w:t>
      </w:r>
      <w:r w:rsidR="002F166F">
        <w:rPr>
          <w:rFonts w:asciiTheme="majorHAnsi" w:hAnsiTheme="majorHAnsi" w:cs="Calibri"/>
        </w:rPr>
        <w:t>kidney</w:t>
      </w:r>
      <w:r w:rsidRPr="00263445">
        <w:rPr>
          <w:rFonts w:asciiTheme="majorHAnsi" w:hAnsiTheme="majorHAnsi" w:cs="Calibri"/>
        </w:rPr>
        <w:t xml:space="preserve"> clearance and pre-existing endothelial dysfunction may mean that the angiogenic threshold at which pre-eclampsia manifests may be altered in CKD.</w:t>
      </w:r>
    </w:p>
    <w:p w14:paraId="0F037826" w14:textId="77777777" w:rsidR="00AE053E" w:rsidRPr="00263445" w:rsidRDefault="00AE053E" w:rsidP="00AE053E">
      <w:pPr>
        <w:spacing w:line="360" w:lineRule="auto"/>
        <w:jc w:val="both"/>
        <w:rPr>
          <w:rFonts w:asciiTheme="majorHAnsi" w:hAnsiTheme="majorHAnsi" w:cs="Calibri"/>
        </w:rPr>
      </w:pPr>
    </w:p>
    <w:p w14:paraId="13251629" w14:textId="77777777" w:rsidR="00AE053E" w:rsidRPr="00263445" w:rsidRDefault="00AE053E" w:rsidP="00AE053E">
      <w:pPr>
        <w:spacing w:line="360" w:lineRule="auto"/>
        <w:jc w:val="both"/>
        <w:rPr>
          <w:rFonts w:asciiTheme="majorHAnsi" w:hAnsiTheme="majorHAnsi" w:cs="Calibri"/>
        </w:rPr>
      </w:pPr>
      <w:r w:rsidRPr="00263445">
        <w:rPr>
          <w:rFonts w:asciiTheme="majorHAnsi" w:hAnsiTheme="majorHAnsi" w:cs="Calibri"/>
        </w:rPr>
        <w:t xml:space="preserve">Management of pre-eclampsia includes aspirin prophylaxis, treatment of hypertension, careful fluid balance, intravenous magnesium and iatrogenic delivery, with data extrapolated from general obstetric cohorts to women with CKD. There is increasing evidence that a lower threshold (140/90mmHg) for the treatment of hypertension in pregnancy reduces maternal complications without adverse impact on the neonate. Data on the therapeutic removal of sFlt-1 and other novel treatments are awaited. </w:t>
      </w:r>
    </w:p>
    <w:p w14:paraId="10CFD9E5" w14:textId="77777777" w:rsidR="00AE053E" w:rsidRPr="00263445" w:rsidRDefault="00AE053E" w:rsidP="00AE053E">
      <w:pPr>
        <w:spacing w:line="360" w:lineRule="auto"/>
        <w:rPr>
          <w:rFonts w:asciiTheme="majorHAnsi" w:hAnsiTheme="majorHAnsi" w:cs="Calibri"/>
        </w:rPr>
      </w:pPr>
    </w:p>
    <w:p w14:paraId="6CC127C1" w14:textId="77777777" w:rsidR="00B11242" w:rsidRDefault="00B11242">
      <w:pPr>
        <w:rPr>
          <w:rFonts w:asciiTheme="majorHAnsi" w:hAnsiTheme="majorHAnsi" w:cs="Calibri"/>
          <w:b/>
        </w:rPr>
      </w:pPr>
      <w:r>
        <w:rPr>
          <w:rFonts w:asciiTheme="majorHAnsi" w:hAnsiTheme="majorHAnsi" w:cs="Calibri"/>
          <w:b/>
        </w:rPr>
        <w:br w:type="page"/>
      </w:r>
    </w:p>
    <w:p w14:paraId="05167154" w14:textId="59E2CC36" w:rsidR="00AE053E" w:rsidRPr="00263445" w:rsidRDefault="00AE053E" w:rsidP="00AE053E">
      <w:pPr>
        <w:spacing w:line="360" w:lineRule="auto"/>
        <w:rPr>
          <w:rFonts w:asciiTheme="majorHAnsi" w:hAnsiTheme="majorHAnsi" w:cs="Calibri"/>
          <w:b/>
        </w:rPr>
      </w:pPr>
      <w:r w:rsidRPr="00263445">
        <w:rPr>
          <w:rFonts w:asciiTheme="majorHAnsi" w:hAnsiTheme="majorHAnsi" w:cs="Calibri"/>
          <w:b/>
        </w:rPr>
        <w:t>Disclosure</w:t>
      </w:r>
    </w:p>
    <w:p w14:paraId="49065CFC" w14:textId="77777777" w:rsidR="00AE053E" w:rsidRDefault="00AE053E" w:rsidP="006A4C3F">
      <w:pPr>
        <w:spacing w:line="360" w:lineRule="auto"/>
        <w:rPr>
          <w:rFonts w:asciiTheme="majorHAnsi" w:hAnsiTheme="majorHAnsi" w:cs="Calibri"/>
        </w:rPr>
      </w:pPr>
      <w:r w:rsidRPr="00263445">
        <w:rPr>
          <w:rFonts w:asciiTheme="majorHAnsi" w:hAnsiTheme="majorHAnsi" w:cs="Calibri"/>
        </w:rPr>
        <w:t xml:space="preserve">KB has received consulting and lecture fees from </w:t>
      </w:r>
      <w:proofErr w:type="spellStart"/>
      <w:r w:rsidRPr="00263445">
        <w:rPr>
          <w:rFonts w:asciiTheme="majorHAnsi" w:hAnsiTheme="majorHAnsi" w:cs="Calibri"/>
        </w:rPr>
        <w:t>Alexion</w:t>
      </w:r>
      <w:proofErr w:type="spellEnd"/>
      <w:r w:rsidRPr="00263445">
        <w:rPr>
          <w:rFonts w:asciiTheme="majorHAnsi" w:hAnsiTheme="majorHAnsi" w:cs="Calibri"/>
        </w:rPr>
        <w:t>.</w:t>
      </w:r>
    </w:p>
    <w:p w14:paraId="06812957" w14:textId="241B98DE" w:rsidR="006A4C3F" w:rsidRDefault="006A4C3F" w:rsidP="00B11242">
      <w:pPr>
        <w:spacing w:line="360" w:lineRule="auto"/>
        <w:jc w:val="both"/>
        <w:rPr>
          <w:rFonts w:asciiTheme="majorHAnsi" w:hAnsiTheme="majorHAnsi" w:cs="Cambria"/>
        </w:rPr>
      </w:pPr>
      <w:r>
        <w:rPr>
          <w:rFonts w:asciiTheme="majorHAnsi" w:hAnsiTheme="majorHAnsi" w:cs="Cambria"/>
        </w:rPr>
        <w:t xml:space="preserve">LL has received lecture fees/honoraria from </w:t>
      </w:r>
      <w:proofErr w:type="spellStart"/>
      <w:r>
        <w:rPr>
          <w:rFonts w:asciiTheme="majorHAnsi" w:hAnsiTheme="majorHAnsi" w:cs="Cambria"/>
        </w:rPr>
        <w:t>Alexion</w:t>
      </w:r>
      <w:proofErr w:type="spellEnd"/>
      <w:r>
        <w:rPr>
          <w:rFonts w:asciiTheme="majorHAnsi" w:hAnsiTheme="majorHAnsi" w:cs="Cambria"/>
        </w:rPr>
        <w:t xml:space="preserve"> and </w:t>
      </w:r>
      <w:proofErr w:type="spellStart"/>
      <w:r>
        <w:rPr>
          <w:rFonts w:asciiTheme="majorHAnsi" w:hAnsiTheme="majorHAnsi" w:cs="Cambria"/>
        </w:rPr>
        <w:t>Aurinia</w:t>
      </w:r>
      <w:proofErr w:type="spellEnd"/>
      <w:r>
        <w:rPr>
          <w:rFonts w:asciiTheme="majorHAnsi" w:hAnsiTheme="majorHAnsi" w:cs="Cambria"/>
        </w:rPr>
        <w:t xml:space="preserve">, consulting fees from </w:t>
      </w:r>
      <w:proofErr w:type="spellStart"/>
      <w:r>
        <w:rPr>
          <w:rFonts w:asciiTheme="majorHAnsi" w:hAnsiTheme="majorHAnsi" w:cs="Cambria"/>
        </w:rPr>
        <w:t>Achillion</w:t>
      </w:r>
      <w:proofErr w:type="spellEnd"/>
      <w:r>
        <w:rPr>
          <w:rFonts w:asciiTheme="majorHAnsi" w:hAnsiTheme="majorHAnsi" w:cs="Cambria"/>
        </w:rPr>
        <w:t xml:space="preserve">, Astra-Zeneca, </w:t>
      </w:r>
      <w:proofErr w:type="spellStart"/>
      <w:r>
        <w:rPr>
          <w:rFonts w:asciiTheme="majorHAnsi" w:hAnsiTheme="majorHAnsi" w:cs="Cambria"/>
        </w:rPr>
        <w:t>Aurinia</w:t>
      </w:r>
      <w:proofErr w:type="spellEnd"/>
      <w:r>
        <w:rPr>
          <w:rFonts w:asciiTheme="majorHAnsi" w:hAnsiTheme="majorHAnsi" w:cs="Cambria"/>
        </w:rPr>
        <w:t>, GSK, Pfizer and research grant funding from Roche.</w:t>
      </w:r>
    </w:p>
    <w:p w14:paraId="142A159A" w14:textId="77777777" w:rsidR="00AE053E" w:rsidRPr="00263445" w:rsidRDefault="00AE053E" w:rsidP="00B11242">
      <w:pPr>
        <w:spacing w:line="360" w:lineRule="auto"/>
        <w:rPr>
          <w:rFonts w:asciiTheme="majorHAnsi" w:hAnsiTheme="majorHAnsi" w:cs="Calibri"/>
        </w:rPr>
      </w:pPr>
    </w:p>
    <w:p w14:paraId="2D8B778F" w14:textId="462DAE6F" w:rsidR="00AE053E" w:rsidRPr="00263445" w:rsidRDefault="00AE053E" w:rsidP="00B11242">
      <w:pPr>
        <w:spacing w:line="360" w:lineRule="auto"/>
        <w:rPr>
          <w:rFonts w:asciiTheme="majorHAnsi" w:hAnsiTheme="majorHAnsi" w:cs="Calibri"/>
          <w:b/>
        </w:rPr>
      </w:pPr>
      <w:r w:rsidRPr="00263445">
        <w:rPr>
          <w:rFonts w:asciiTheme="majorHAnsi" w:hAnsiTheme="majorHAnsi" w:cs="Calibri"/>
          <w:b/>
        </w:rPr>
        <w:t>Acknowledgement</w:t>
      </w:r>
    </w:p>
    <w:p w14:paraId="5A766EC8" w14:textId="77777777" w:rsidR="00AE053E" w:rsidRPr="00263445" w:rsidRDefault="00AE053E" w:rsidP="00B11242">
      <w:pPr>
        <w:spacing w:line="360" w:lineRule="auto"/>
        <w:jc w:val="both"/>
        <w:rPr>
          <w:rFonts w:asciiTheme="majorHAnsi" w:hAnsiTheme="majorHAnsi" w:cs="Calibri"/>
          <w:lang w:val="en-US"/>
        </w:rPr>
      </w:pPr>
      <w:r w:rsidRPr="00263445">
        <w:rPr>
          <w:rFonts w:asciiTheme="majorHAnsi" w:hAnsiTheme="majorHAnsi" w:cs="Calibri"/>
          <w:lang w:val="en-US"/>
        </w:rPr>
        <w:t xml:space="preserve">The authors acknowledge the National Institute for Health Research (NIHR) Rare Diseases Translational Research Collaboration as well as the Biomedical Research Centre at Guy’s and St. Thomas’ NHS Foundation Trust and King’s College London for funding KW under the terms of a doctoral research fellowship. </w:t>
      </w:r>
    </w:p>
    <w:p w14:paraId="0C84D397" w14:textId="77777777" w:rsidR="00AE053E" w:rsidRPr="00263445" w:rsidRDefault="00AE053E" w:rsidP="00AE053E">
      <w:pPr>
        <w:spacing w:line="360" w:lineRule="auto"/>
        <w:jc w:val="both"/>
        <w:rPr>
          <w:rFonts w:asciiTheme="majorHAnsi" w:hAnsiTheme="majorHAnsi" w:cs="Calibri"/>
          <w:lang w:val="en-US"/>
        </w:rPr>
      </w:pPr>
    </w:p>
    <w:p w14:paraId="5EB5EEAB" w14:textId="77777777" w:rsidR="00AE053E" w:rsidRPr="00263445" w:rsidRDefault="00AE053E" w:rsidP="00AE053E">
      <w:pPr>
        <w:spacing w:line="360" w:lineRule="auto"/>
        <w:jc w:val="both"/>
        <w:rPr>
          <w:rFonts w:asciiTheme="majorHAnsi" w:hAnsiTheme="majorHAnsi" w:cs="Calibri"/>
          <w:b/>
          <w:lang w:val="en-US"/>
        </w:rPr>
      </w:pPr>
      <w:r w:rsidRPr="00263445">
        <w:rPr>
          <w:rFonts w:asciiTheme="majorHAnsi" w:hAnsiTheme="majorHAnsi" w:cs="Calibri"/>
          <w:b/>
          <w:lang w:val="en-US"/>
        </w:rPr>
        <w:t xml:space="preserve">Funding </w:t>
      </w:r>
    </w:p>
    <w:p w14:paraId="0491F369" w14:textId="77777777" w:rsidR="00AE053E" w:rsidRPr="00263445" w:rsidRDefault="00AE053E" w:rsidP="00AE053E">
      <w:pPr>
        <w:spacing w:line="360" w:lineRule="auto"/>
        <w:jc w:val="both"/>
        <w:rPr>
          <w:rFonts w:asciiTheme="majorHAnsi" w:hAnsiTheme="majorHAnsi" w:cs="Calibri"/>
          <w:iCs/>
          <w:color w:val="000000"/>
        </w:rPr>
      </w:pPr>
      <w:r w:rsidRPr="00263445">
        <w:rPr>
          <w:rFonts w:asciiTheme="majorHAnsi" w:hAnsiTheme="majorHAnsi" w:cs="Calibri"/>
          <w:iCs/>
          <w:color w:val="000000"/>
        </w:rPr>
        <w:t>LCC is supported by a Research Professorship from the National Institute for Health Research, RP-2014-05-019. This work was also supported by the National Institute for Health Research (NIHR) Biomedical Research Centre at Imperial College Healthcare NHS Trust and Imperial College London. The views expressed are those of the authors and not necessarily those of the NHS, the NIHR or the Department of Health.</w:t>
      </w:r>
    </w:p>
    <w:p w14:paraId="6E33BC16" w14:textId="77777777" w:rsidR="00AE053E" w:rsidRPr="00263445" w:rsidRDefault="00AE053E" w:rsidP="00AE053E">
      <w:pPr>
        <w:spacing w:line="360" w:lineRule="auto"/>
        <w:rPr>
          <w:rFonts w:asciiTheme="majorHAnsi" w:hAnsiTheme="majorHAnsi" w:cs="Calibri"/>
        </w:rPr>
      </w:pPr>
    </w:p>
    <w:p w14:paraId="51C399FE" w14:textId="77777777" w:rsidR="00AE053E" w:rsidRPr="00263445" w:rsidRDefault="00AE053E" w:rsidP="00AE053E">
      <w:pPr>
        <w:spacing w:line="360" w:lineRule="auto"/>
        <w:rPr>
          <w:rFonts w:asciiTheme="majorHAnsi" w:hAnsiTheme="majorHAnsi" w:cs="Calibri"/>
        </w:rPr>
      </w:pPr>
    </w:p>
    <w:p w14:paraId="57F784CE" w14:textId="77777777" w:rsidR="00AE053E" w:rsidRPr="00263445" w:rsidRDefault="00AE053E" w:rsidP="00AE053E">
      <w:pPr>
        <w:spacing w:line="360" w:lineRule="auto"/>
        <w:rPr>
          <w:rFonts w:asciiTheme="majorHAnsi" w:hAnsiTheme="majorHAnsi" w:cs="Calibri"/>
        </w:rPr>
      </w:pPr>
    </w:p>
    <w:p w14:paraId="4DAEC361" w14:textId="77777777" w:rsidR="00AE053E" w:rsidRPr="00263445" w:rsidRDefault="00AE053E" w:rsidP="00AE053E">
      <w:pPr>
        <w:widowControl w:val="0"/>
        <w:tabs>
          <w:tab w:val="left" w:pos="560"/>
        </w:tabs>
        <w:autoSpaceDE w:val="0"/>
        <w:autoSpaceDN w:val="0"/>
        <w:adjustRightInd w:val="0"/>
        <w:ind w:left="540" w:hanging="540"/>
        <w:jc w:val="both"/>
        <w:rPr>
          <w:rFonts w:asciiTheme="majorHAnsi" w:hAnsiTheme="majorHAnsi" w:cs="Calibri"/>
        </w:rPr>
      </w:pPr>
      <w:r w:rsidRPr="00263445">
        <w:rPr>
          <w:rFonts w:asciiTheme="majorHAnsi" w:hAnsiTheme="majorHAnsi" w:cs="Calibri"/>
        </w:rPr>
        <w:br w:type="page"/>
      </w:r>
    </w:p>
    <w:p w14:paraId="448A3355"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b/>
        </w:rPr>
      </w:pPr>
      <w:r w:rsidRPr="00263445">
        <w:rPr>
          <w:rFonts w:asciiTheme="majorHAnsi" w:hAnsiTheme="majorHAnsi"/>
          <w:b/>
        </w:rPr>
        <w:t xml:space="preserve">References </w:t>
      </w:r>
    </w:p>
    <w:p w14:paraId="04E02E95"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rPr>
      </w:pPr>
    </w:p>
    <w:p w14:paraId="2767B06B"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rPr>
        <w:fldChar w:fldCharType="begin"/>
      </w:r>
      <w:r w:rsidRPr="00263445">
        <w:rPr>
          <w:rFonts w:asciiTheme="majorHAnsi" w:hAnsiTheme="majorHAnsi"/>
        </w:rPr>
        <w:instrText>ADDIN BB</w:instrText>
      </w:r>
      <w:r w:rsidRPr="00263445">
        <w:rPr>
          <w:rFonts w:asciiTheme="majorHAnsi" w:hAnsiTheme="majorHAnsi"/>
        </w:rPr>
        <w:fldChar w:fldCharType="separate"/>
      </w:r>
      <w:r w:rsidRPr="00263445">
        <w:rPr>
          <w:rFonts w:asciiTheme="majorHAnsi" w:hAnsiTheme="majorHAnsi"/>
          <w:lang w:val="en-US"/>
        </w:rPr>
        <w:t>1.</w:t>
      </w:r>
      <w:r w:rsidRPr="00263445">
        <w:rPr>
          <w:rFonts w:asciiTheme="majorHAnsi" w:hAnsiTheme="majorHAnsi"/>
          <w:lang w:val="en-US"/>
        </w:rPr>
        <w:tab/>
        <w:t xml:space="preserve">Mol BWJ, Roberts CT, Thangaratinam S, Magee LA, de Groot CJM, Hofmeyr GJ. Pre-eclampsia. </w:t>
      </w:r>
      <w:r w:rsidRPr="00263445">
        <w:rPr>
          <w:rFonts w:asciiTheme="majorHAnsi" w:hAnsiTheme="majorHAnsi"/>
          <w:i/>
          <w:lang w:val="en-US"/>
        </w:rPr>
        <w:t xml:space="preserve">Lancet </w:t>
      </w:r>
      <w:r w:rsidRPr="00263445">
        <w:rPr>
          <w:rFonts w:asciiTheme="majorHAnsi" w:hAnsiTheme="majorHAnsi"/>
          <w:b/>
          <w:lang w:val="en-US"/>
        </w:rPr>
        <w:t>387</w:t>
      </w:r>
      <w:r w:rsidRPr="00263445">
        <w:rPr>
          <w:rFonts w:asciiTheme="majorHAnsi" w:hAnsiTheme="majorHAnsi"/>
          <w:lang w:val="en-US"/>
        </w:rPr>
        <w:t>: 999-1011, 2016</w:t>
      </w:r>
    </w:p>
    <w:p w14:paraId="4FE7CBBE" w14:textId="2779B668"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w:t>
      </w:r>
      <w:r w:rsidRPr="00263445">
        <w:rPr>
          <w:rFonts w:asciiTheme="majorHAnsi" w:hAnsiTheme="majorHAnsi"/>
          <w:lang w:val="en-US"/>
        </w:rPr>
        <w:tab/>
        <w:t xml:space="preserve">Brown MA, Magee LA, Kenny LC, Karumanchi SA, McCarthy FP, Saito S, Hall DR, Warren CE, Adoyi G, Ishaku S, International Society for the Study of Hypertension in Pregnancy </w:t>
      </w:r>
      <w:r w:rsidR="00B11242">
        <w:rPr>
          <w:rFonts w:asciiTheme="majorHAnsi" w:hAnsiTheme="majorHAnsi"/>
          <w:lang w:val="en-US"/>
        </w:rPr>
        <w:t>(</w:t>
      </w:r>
      <w:r w:rsidRPr="00263445">
        <w:rPr>
          <w:rFonts w:asciiTheme="majorHAnsi" w:hAnsiTheme="majorHAnsi"/>
          <w:lang w:val="en-US"/>
        </w:rPr>
        <w:t>ISSHP</w:t>
      </w:r>
      <w:r w:rsidR="00B11242">
        <w:rPr>
          <w:rFonts w:asciiTheme="majorHAnsi" w:hAnsiTheme="majorHAnsi"/>
          <w:lang w:val="en-US"/>
        </w:rPr>
        <w:t>)</w:t>
      </w:r>
      <w:r w:rsidRPr="00263445">
        <w:rPr>
          <w:rFonts w:asciiTheme="majorHAnsi" w:hAnsiTheme="majorHAnsi"/>
          <w:lang w:val="en-US"/>
        </w:rPr>
        <w:t xml:space="preserve">. Hypertensive Disorders of Pregnancy: ISSHP </w:t>
      </w:r>
      <w:r w:rsidR="00B11242" w:rsidRPr="00263445">
        <w:rPr>
          <w:rFonts w:asciiTheme="majorHAnsi" w:hAnsiTheme="majorHAnsi"/>
          <w:lang w:val="en-US"/>
        </w:rPr>
        <w:t>classification, diagnosis, and management recommendations for international practice</w:t>
      </w:r>
      <w:r w:rsidRPr="00263445">
        <w:rPr>
          <w:rFonts w:asciiTheme="majorHAnsi" w:hAnsiTheme="majorHAnsi"/>
          <w:lang w:val="en-US"/>
        </w:rPr>
        <w:t xml:space="preserve">. </w:t>
      </w:r>
      <w:r w:rsidRPr="00263445">
        <w:rPr>
          <w:rFonts w:asciiTheme="majorHAnsi" w:hAnsiTheme="majorHAnsi"/>
          <w:i/>
          <w:lang w:val="en-US"/>
        </w:rPr>
        <w:t xml:space="preserve">Hypertension </w:t>
      </w:r>
      <w:r w:rsidRPr="00263445">
        <w:rPr>
          <w:rFonts w:asciiTheme="majorHAnsi" w:hAnsiTheme="majorHAnsi"/>
          <w:b/>
          <w:lang w:val="en-US"/>
        </w:rPr>
        <w:t>72</w:t>
      </w:r>
      <w:r w:rsidRPr="00263445">
        <w:rPr>
          <w:rFonts w:asciiTheme="majorHAnsi" w:hAnsiTheme="majorHAnsi"/>
          <w:lang w:val="en-US"/>
        </w:rPr>
        <w:t>: 24-43, 2018</w:t>
      </w:r>
    </w:p>
    <w:p w14:paraId="0A800DD2" w14:textId="15200440"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w:t>
      </w:r>
      <w:r w:rsidRPr="00263445">
        <w:rPr>
          <w:rFonts w:asciiTheme="majorHAnsi" w:hAnsiTheme="majorHAnsi"/>
          <w:lang w:val="en-US"/>
        </w:rPr>
        <w:tab/>
        <w:t>A</w:t>
      </w:r>
      <w:r w:rsidR="00B11242">
        <w:rPr>
          <w:rFonts w:asciiTheme="majorHAnsi" w:hAnsiTheme="majorHAnsi"/>
          <w:lang w:val="en-US"/>
        </w:rPr>
        <w:t xml:space="preserve">merican </w:t>
      </w:r>
      <w:r w:rsidRPr="00263445">
        <w:rPr>
          <w:rFonts w:asciiTheme="majorHAnsi" w:hAnsiTheme="majorHAnsi"/>
          <w:lang w:val="en-US"/>
        </w:rPr>
        <w:t>C</w:t>
      </w:r>
      <w:r w:rsidR="00B11242">
        <w:rPr>
          <w:rFonts w:asciiTheme="majorHAnsi" w:hAnsiTheme="majorHAnsi"/>
          <w:lang w:val="en-US"/>
        </w:rPr>
        <w:t>ollege of</w:t>
      </w:r>
      <w:r w:rsidRPr="00263445">
        <w:rPr>
          <w:rFonts w:asciiTheme="majorHAnsi" w:hAnsiTheme="majorHAnsi"/>
          <w:lang w:val="en-US"/>
        </w:rPr>
        <w:t xml:space="preserve"> </w:t>
      </w:r>
      <w:r w:rsidR="00FC0534">
        <w:rPr>
          <w:rFonts w:asciiTheme="majorHAnsi" w:hAnsiTheme="majorHAnsi"/>
          <w:lang w:val="en-US"/>
        </w:rPr>
        <w:t xml:space="preserve">Obstetricians and Gynecologists. </w:t>
      </w:r>
      <w:r w:rsidRPr="00263445">
        <w:rPr>
          <w:rFonts w:asciiTheme="majorHAnsi" w:hAnsiTheme="majorHAnsi"/>
          <w:lang w:val="en-US"/>
        </w:rPr>
        <w:t xml:space="preserve">Practice Bulletin No. 202 Summary: Gestational Hypertension and Preeclampsia. </w:t>
      </w:r>
      <w:r w:rsidRPr="00263445">
        <w:rPr>
          <w:rFonts w:asciiTheme="majorHAnsi" w:hAnsiTheme="majorHAnsi"/>
          <w:i/>
          <w:lang w:val="en-US"/>
        </w:rPr>
        <w:t xml:space="preserve">Obstet Gynecol </w:t>
      </w:r>
      <w:r w:rsidRPr="00263445">
        <w:rPr>
          <w:rFonts w:asciiTheme="majorHAnsi" w:hAnsiTheme="majorHAnsi"/>
          <w:b/>
          <w:lang w:val="en-US"/>
        </w:rPr>
        <w:t>133</w:t>
      </w:r>
      <w:r w:rsidRPr="00263445">
        <w:rPr>
          <w:rFonts w:asciiTheme="majorHAnsi" w:hAnsiTheme="majorHAnsi"/>
          <w:lang w:val="en-US"/>
        </w:rPr>
        <w:t>: 211-214, 2019</w:t>
      </w:r>
    </w:p>
    <w:p w14:paraId="6D9EE3F0" w14:textId="27C4BFC1"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w:t>
      </w:r>
      <w:r w:rsidRPr="00263445">
        <w:rPr>
          <w:rFonts w:asciiTheme="majorHAnsi" w:hAnsiTheme="majorHAnsi"/>
          <w:lang w:val="en-US"/>
        </w:rPr>
        <w:tab/>
        <w:t xml:space="preserve">Zhang J-J, Ma X-X, Hao L, Liu L-J, Lv J-C, Zhang H. A </w:t>
      </w:r>
      <w:r w:rsidR="00B11242" w:rsidRPr="00263445">
        <w:rPr>
          <w:rFonts w:asciiTheme="majorHAnsi" w:hAnsiTheme="majorHAnsi"/>
          <w:lang w:val="en-US"/>
        </w:rPr>
        <w:t>systematic review and meta-analysis</w:t>
      </w:r>
      <w:r w:rsidR="00B11242">
        <w:rPr>
          <w:rFonts w:asciiTheme="majorHAnsi" w:hAnsiTheme="majorHAnsi"/>
          <w:lang w:val="en-US"/>
        </w:rPr>
        <w:t xml:space="preserve"> of outcomes of pregnancy in CKD and CKD</w:t>
      </w:r>
      <w:r w:rsidR="00B11242" w:rsidRPr="00263445">
        <w:rPr>
          <w:rFonts w:asciiTheme="majorHAnsi" w:hAnsiTheme="majorHAnsi"/>
          <w:lang w:val="en-US"/>
        </w:rPr>
        <w:t xml:space="preserve"> outcomes in pregnancy</w:t>
      </w:r>
      <w:r w:rsidRPr="00263445">
        <w:rPr>
          <w:rFonts w:asciiTheme="majorHAnsi" w:hAnsiTheme="majorHAnsi"/>
          <w:lang w:val="en-US"/>
        </w:rPr>
        <w:t xml:space="preserve">. </w:t>
      </w:r>
      <w:r w:rsidRPr="00263445">
        <w:rPr>
          <w:rFonts w:asciiTheme="majorHAnsi" w:hAnsiTheme="majorHAnsi"/>
          <w:i/>
          <w:lang w:val="en-US"/>
        </w:rPr>
        <w:t xml:space="preserve">Clin J Am Soc Nephrol </w:t>
      </w:r>
      <w:r w:rsidRPr="00263445">
        <w:rPr>
          <w:rFonts w:asciiTheme="majorHAnsi" w:hAnsiTheme="majorHAnsi"/>
          <w:b/>
          <w:lang w:val="en-US"/>
        </w:rPr>
        <w:t>10</w:t>
      </w:r>
      <w:r w:rsidR="00B11242">
        <w:rPr>
          <w:rFonts w:asciiTheme="majorHAnsi" w:hAnsiTheme="majorHAnsi"/>
          <w:lang w:val="en-US"/>
        </w:rPr>
        <w:t xml:space="preserve">: 1964-1978, 2015 (PMID: </w:t>
      </w:r>
      <w:r w:rsidRPr="00263445">
        <w:rPr>
          <w:rFonts w:asciiTheme="majorHAnsi" w:hAnsiTheme="majorHAnsi"/>
          <w:lang w:val="en-US"/>
        </w:rPr>
        <w:t>4633792</w:t>
      </w:r>
      <w:r w:rsidR="00B11242">
        <w:rPr>
          <w:rFonts w:asciiTheme="majorHAnsi" w:hAnsiTheme="majorHAnsi"/>
          <w:lang w:val="en-US"/>
        </w:rPr>
        <w:t>)</w:t>
      </w:r>
    </w:p>
    <w:p w14:paraId="039B664D"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w:t>
      </w:r>
      <w:r w:rsidRPr="00263445">
        <w:rPr>
          <w:rFonts w:asciiTheme="majorHAnsi" w:hAnsiTheme="majorHAnsi"/>
          <w:lang w:val="en-US"/>
        </w:rPr>
        <w:tab/>
        <w:t xml:space="preserve">Bramham K, Seed PT, Lightstone L, Nelson-Piercy C, Gill C, Webster P, Poston L, Chappell LC. Diagnostic and predictive biomarkers for pre-eclampsia in patients with established hypertension and chronic kidney disease. </w:t>
      </w:r>
      <w:r w:rsidRPr="00263445">
        <w:rPr>
          <w:rFonts w:asciiTheme="majorHAnsi" w:hAnsiTheme="majorHAnsi"/>
          <w:i/>
          <w:lang w:val="en-US"/>
        </w:rPr>
        <w:t xml:space="preserve">Kidney International </w:t>
      </w:r>
      <w:r w:rsidRPr="00263445">
        <w:rPr>
          <w:rFonts w:asciiTheme="majorHAnsi" w:hAnsiTheme="majorHAnsi"/>
          <w:b/>
          <w:lang w:val="en-US"/>
        </w:rPr>
        <w:t>89</w:t>
      </w:r>
      <w:r w:rsidRPr="00263445">
        <w:rPr>
          <w:rFonts w:asciiTheme="majorHAnsi" w:hAnsiTheme="majorHAnsi"/>
          <w:lang w:val="en-US"/>
        </w:rPr>
        <w:t>: 874-885, 2016</w:t>
      </w:r>
    </w:p>
    <w:p w14:paraId="7BB0520A" w14:textId="1983C4C5"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w:t>
      </w:r>
      <w:r w:rsidRPr="00263445">
        <w:rPr>
          <w:rFonts w:asciiTheme="majorHAnsi" w:hAnsiTheme="majorHAnsi"/>
          <w:lang w:val="en-US"/>
        </w:rPr>
        <w:tab/>
        <w:t xml:space="preserve">Loerup L, Pullon RM, Birks J, Fleming S, Mackillop LH, Gerry S, Watkinson PJ. Trends of blood pressure and heart rate in normal pregnancies: a systematic review and meta-analysis. </w:t>
      </w:r>
      <w:r w:rsidRPr="00263445">
        <w:rPr>
          <w:rFonts w:asciiTheme="majorHAnsi" w:hAnsiTheme="majorHAnsi"/>
          <w:i/>
          <w:lang w:val="en-US"/>
        </w:rPr>
        <w:t xml:space="preserve">BMC Med </w:t>
      </w:r>
      <w:r w:rsidRPr="00263445">
        <w:rPr>
          <w:rFonts w:asciiTheme="majorHAnsi" w:hAnsiTheme="majorHAnsi"/>
          <w:b/>
          <w:lang w:val="en-US"/>
        </w:rPr>
        <w:t>17</w:t>
      </w:r>
      <w:r w:rsidR="00B11242">
        <w:rPr>
          <w:rFonts w:asciiTheme="majorHAnsi" w:hAnsiTheme="majorHAnsi"/>
          <w:lang w:val="en-US"/>
        </w:rPr>
        <w:t xml:space="preserve">: 167, 2019 (PMID: </w:t>
      </w:r>
      <w:r w:rsidRPr="00263445">
        <w:rPr>
          <w:rFonts w:asciiTheme="majorHAnsi" w:hAnsiTheme="majorHAnsi"/>
          <w:lang w:val="en-US"/>
        </w:rPr>
        <w:t>6737610</w:t>
      </w:r>
      <w:r w:rsidR="00B11242">
        <w:rPr>
          <w:rFonts w:asciiTheme="majorHAnsi" w:hAnsiTheme="majorHAnsi"/>
          <w:lang w:val="en-US"/>
        </w:rPr>
        <w:t>)</w:t>
      </w:r>
    </w:p>
    <w:p w14:paraId="36484112"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w:t>
      </w:r>
      <w:r w:rsidRPr="00263445">
        <w:rPr>
          <w:rFonts w:asciiTheme="majorHAnsi" w:hAnsiTheme="majorHAnsi"/>
          <w:lang w:val="en-US"/>
        </w:rPr>
        <w:tab/>
        <w:t xml:space="preserve">Roberts M, Lindheimer MD, Davison JM. Altered glomerular permselectivity to neutral dextrans and heteroporous membrane modeling in human pregnancy. </w:t>
      </w:r>
      <w:r w:rsidRPr="00263445">
        <w:rPr>
          <w:rFonts w:asciiTheme="majorHAnsi" w:hAnsiTheme="majorHAnsi"/>
          <w:i/>
          <w:lang w:val="en-US"/>
        </w:rPr>
        <w:t xml:space="preserve">Am J Physiol </w:t>
      </w:r>
      <w:r w:rsidRPr="00263445">
        <w:rPr>
          <w:rFonts w:asciiTheme="majorHAnsi" w:hAnsiTheme="majorHAnsi"/>
          <w:b/>
          <w:lang w:val="en-US"/>
        </w:rPr>
        <w:t>270</w:t>
      </w:r>
      <w:r w:rsidRPr="00263445">
        <w:rPr>
          <w:rFonts w:asciiTheme="majorHAnsi" w:hAnsiTheme="majorHAnsi"/>
          <w:lang w:val="en-US"/>
        </w:rPr>
        <w:t>: F338-43, 1996</w:t>
      </w:r>
    </w:p>
    <w:p w14:paraId="0CF517B3"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8.</w:t>
      </w:r>
      <w:r w:rsidRPr="00263445">
        <w:rPr>
          <w:rFonts w:asciiTheme="majorHAnsi" w:hAnsiTheme="majorHAnsi"/>
          <w:lang w:val="en-US"/>
        </w:rPr>
        <w:tab/>
        <w:t xml:space="preserve">Milne JEC, Lindheimer MD, Davison JM. Glomerular heteroporous membrane modeling in third trimester and postpartum before and during amino acid infusion. </w:t>
      </w:r>
      <w:r w:rsidRPr="00263445">
        <w:rPr>
          <w:rFonts w:asciiTheme="majorHAnsi" w:hAnsiTheme="majorHAnsi"/>
          <w:i/>
          <w:lang w:val="en-US"/>
        </w:rPr>
        <w:t xml:space="preserve">American Journal of Physiology - Renal Physiology </w:t>
      </w:r>
      <w:r w:rsidRPr="00263445">
        <w:rPr>
          <w:rFonts w:asciiTheme="majorHAnsi" w:hAnsiTheme="majorHAnsi"/>
          <w:b/>
          <w:lang w:val="en-US"/>
        </w:rPr>
        <w:t>282</w:t>
      </w:r>
      <w:r w:rsidRPr="00263445">
        <w:rPr>
          <w:rFonts w:asciiTheme="majorHAnsi" w:hAnsiTheme="majorHAnsi"/>
          <w:lang w:val="en-US"/>
        </w:rPr>
        <w:t>: F170-F175, 2002</w:t>
      </w:r>
    </w:p>
    <w:p w14:paraId="319ADE6F" w14:textId="127DE019"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9.</w:t>
      </w:r>
      <w:r w:rsidRPr="00263445">
        <w:rPr>
          <w:rFonts w:asciiTheme="majorHAnsi" w:hAnsiTheme="majorHAnsi"/>
          <w:lang w:val="en-US"/>
        </w:rPr>
        <w:tab/>
        <w:t xml:space="preserve">Wiles K, Bramham K, Seed PT, Kurlak LO, Mistry HD, Nelson-Piercy C, Lightstone L, Chappell LC. </w:t>
      </w:r>
      <w:r w:rsidR="00B11242" w:rsidRPr="00263445">
        <w:rPr>
          <w:rFonts w:asciiTheme="majorHAnsi" w:hAnsiTheme="majorHAnsi"/>
          <w:lang w:val="en-US"/>
        </w:rPr>
        <w:t>diagnostic indicators of superimposed preeclampsia in women with</w:t>
      </w:r>
      <w:r w:rsidRPr="00263445">
        <w:rPr>
          <w:rFonts w:asciiTheme="majorHAnsi" w:hAnsiTheme="majorHAnsi"/>
          <w:lang w:val="en-US"/>
        </w:rPr>
        <w:t xml:space="preserve"> CKD. </w:t>
      </w:r>
      <w:r w:rsidRPr="00263445">
        <w:rPr>
          <w:rFonts w:asciiTheme="majorHAnsi" w:hAnsiTheme="majorHAnsi"/>
          <w:i/>
          <w:lang w:val="en-US"/>
        </w:rPr>
        <w:t xml:space="preserve">Kidney Int Rep </w:t>
      </w:r>
      <w:r w:rsidRPr="00263445">
        <w:rPr>
          <w:rFonts w:asciiTheme="majorHAnsi" w:hAnsiTheme="majorHAnsi"/>
          <w:b/>
          <w:lang w:val="en-US"/>
        </w:rPr>
        <w:t>4</w:t>
      </w:r>
      <w:r w:rsidR="00B11242">
        <w:rPr>
          <w:rFonts w:asciiTheme="majorHAnsi" w:hAnsiTheme="majorHAnsi"/>
          <w:lang w:val="en-US"/>
        </w:rPr>
        <w:t xml:space="preserve">: 842-853, 2019 (PMID: </w:t>
      </w:r>
      <w:r w:rsidRPr="00263445">
        <w:rPr>
          <w:rFonts w:asciiTheme="majorHAnsi" w:hAnsiTheme="majorHAnsi"/>
          <w:lang w:val="en-US"/>
        </w:rPr>
        <w:t>6551530</w:t>
      </w:r>
      <w:r w:rsidR="00B11242">
        <w:rPr>
          <w:rFonts w:asciiTheme="majorHAnsi" w:hAnsiTheme="majorHAnsi"/>
          <w:lang w:val="en-US"/>
        </w:rPr>
        <w:t>)</w:t>
      </w:r>
    </w:p>
    <w:p w14:paraId="1D5408D7" w14:textId="70D2B1E5"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10.</w:t>
      </w:r>
      <w:r w:rsidRPr="00263445">
        <w:rPr>
          <w:rFonts w:asciiTheme="majorHAnsi" w:hAnsiTheme="majorHAnsi"/>
          <w:lang w:val="en-US"/>
        </w:rPr>
        <w:tab/>
        <w:t xml:space="preserve">Waugh J, Hooper R, Lamb E, Robson S, Shennan A, Milne F, Price C, Thangaratinam S, Berdunov V, Bingham J. Spot protein-creatinine ratio and spot albumin-creatinine ratio in the assessment of pre-eclampsia: a diagnostic accuracy study with decision-analytic model-based economic evaluation and acceptability analysis. </w:t>
      </w:r>
      <w:r w:rsidRPr="00263445">
        <w:rPr>
          <w:rFonts w:asciiTheme="majorHAnsi" w:hAnsiTheme="majorHAnsi"/>
          <w:i/>
          <w:lang w:val="en-US"/>
        </w:rPr>
        <w:t xml:space="preserve">Health Technol Assess </w:t>
      </w:r>
      <w:r w:rsidRPr="00263445">
        <w:rPr>
          <w:rFonts w:asciiTheme="majorHAnsi" w:hAnsiTheme="majorHAnsi"/>
          <w:b/>
          <w:lang w:val="en-US"/>
        </w:rPr>
        <w:t>21</w:t>
      </w:r>
      <w:r w:rsidR="00B11242">
        <w:rPr>
          <w:rFonts w:asciiTheme="majorHAnsi" w:hAnsiTheme="majorHAnsi"/>
          <w:lang w:val="en-US"/>
        </w:rPr>
        <w:t xml:space="preserve">: 1-90, 2017 (PMID: </w:t>
      </w:r>
      <w:r w:rsidRPr="00263445">
        <w:rPr>
          <w:rFonts w:asciiTheme="majorHAnsi" w:hAnsiTheme="majorHAnsi"/>
          <w:lang w:val="en-US"/>
        </w:rPr>
        <w:t>5672500</w:t>
      </w:r>
      <w:r w:rsidR="00B11242">
        <w:rPr>
          <w:rFonts w:asciiTheme="majorHAnsi" w:hAnsiTheme="majorHAnsi"/>
          <w:lang w:val="en-US"/>
        </w:rPr>
        <w:t>)</w:t>
      </w:r>
    </w:p>
    <w:p w14:paraId="3BE3E2A4"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11.</w:t>
      </w:r>
      <w:r w:rsidRPr="00263445">
        <w:rPr>
          <w:rFonts w:asciiTheme="majorHAnsi" w:hAnsiTheme="majorHAnsi"/>
          <w:lang w:val="en-US"/>
        </w:rPr>
        <w:tab/>
        <w:t xml:space="preserve">Burton GJ, Jauniaux E. Sonographic, stereological and Doppler flow velocimetric assessments of placental maturity. </w:t>
      </w:r>
      <w:r w:rsidRPr="00263445">
        <w:rPr>
          <w:rFonts w:asciiTheme="majorHAnsi" w:hAnsiTheme="majorHAnsi"/>
          <w:i/>
          <w:lang w:val="en-US"/>
        </w:rPr>
        <w:t xml:space="preserve">Br J Obstet Gynaecol </w:t>
      </w:r>
      <w:r w:rsidRPr="00263445">
        <w:rPr>
          <w:rFonts w:asciiTheme="majorHAnsi" w:hAnsiTheme="majorHAnsi"/>
          <w:b/>
          <w:lang w:val="en-US"/>
        </w:rPr>
        <w:t>102</w:t>
      </w:r>
      <w:r w:rsidRPr="00263445">
        <w:rPr>
          <w:rFonts w:asciiTheme="majorHAnsi" w:hAnsiTheme="majorHAnsi"/>
          <w:lang w:val="en-US"/>
        </w:rPr>
        <w:t>: 818-825, 1995</w:t>
      </w:r>
    </w:p>
    <w:p w14:paraId="307A92CF" w14:textId="4308074B"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12.</w:t>
      </w:r>
      <w:r w:rsidRPr="00263445">
        <w:rPr>
          <w:rFonts w:asciiTheme="majorHAnsi" w:hAnsiTheme="majorHAnsi"/>
          <w:lang w:val="en-US"/>
        </w:rPr>
        <w:tab/>
        <w:t>Saffer C, Olson G, Boggess KA, Be</w:t>
      </w:r>
      <w:r w:rsidR="00B11242">
        <w:rPr>
          <w:rFonts w:asciiTheme="majorHAnsi" w:hAnsiTheme="majorHAnsi"/>
          <w:lang w:val="en-US"/>
        </w:rPr>
        <w:t>yerlein R, Eubank C, Sibai BM</w:t>
      </w:r>
      <w:r w:rsidRPr="00263445">
        <w:rPr>
          <w:rFonts w:asciiTheme="majorHAnsi" w:hAnsiTheme="majorHAnsi"/>
          <w:lang w:val="en-US"/>
        </w:rPr>
        <w:t xml:space="preserve">. Determination of placental growth factor (PlGF) levels in healthy pregnant women without signs or symptoms of preeclampsia. </w:t>
      </w:r>
      <w:r w:rsidRPr="00263445">
        <w:rPr>
          <w:rFonts w:asciiTheme="majorHAnsi" w:hAnsiTheme="majorHAnsi"/>
          <w:i/>
          <w:lang w:val="en-US"/>
        </w:rPr>
        <w:t xml:space="preserve">Pregnancy Hypertens </w:t>
      </w:r>
      <w:r w:rsidRPr="00263445">
        <w:rPr>
          <w:rFonts w:asciiTheme="majorHAnsi" w:hAnsiTheme="majorHAnsi"/>
          <w:b/>
          <w:lang w:val="en-US"/>
        </w:rPr>
        <w:t>3</w:t>
      </w:r>
      <w:r w:rsidRPr="00263445">
        <w:rPr>
          <w:rFonts w:asciiTheme="majorHAnsi" w:hAnsiTheme="majorHAnsi"/>
          <w:lang w:val="en-US"/>
        </w:rPr>
        <w:t>: 124-132, 2013</w:t>
      </w:r>
    </w:p>
    <w:p w14:paraId="695ED1E2" w14:textId="75826F74"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13.</w:t>
      </w:r>
      <w:r w:rsidRPr="00263445">
        <w:rPr>
          <w:rFonts w:asciiTheme="majorHAnsi" w:hAnsiTheme="majorHAnsi"/>
          <w:lang w:val="en-US"/>
        </w:rPr>
        <w:tab/>
        <w:t xml:space="preserve">Chau K, Hennessy A, Makris A. Placental growth factor and pre-eclampsia. </w:t>
      </w:r>
      <w:r w:rsidRPr="00263445">
        <w:rPr>
          <w:rFonts w:asciiTheme="majorHAnsi" w:hAnsiTheme="majorHAnsi"/>
          <w:i/>
          <w:lang w:val="en-US"/>
        </w:rPr>
        <w:t xml:space="preserve">J Hum Hypertens </w:t>
      </w:r>
      <w:r w:rsidRPr="00263445">
        <w:rPr>
          <w:rFonts w:asciiTheme="majorHAnsi" w:hAnsiTheme="majorHAnsi"/>
          <w:b/>
          <w:lang w:val="en-US"/>
        </w:rPr>
        <w:t>31</w:t>
      </w:r>
      <w:r w:rsidR="00B11242">
        <w:rPr>
          <w:rFonts w:asciiTheme="majorHAnsi" w:hAnsiTheme="majorHAnsi"/>
          <w:lang w:val="en-US"/>
        </w:rPr>
        <w:t xml:space="preserve">: 782-786, 2017 (PMID: </w:t>
      </w:r>
      <w:r w:rsidRPr="00263445">
        <w:rPr>
          <w:rFonts w:asciiTheme="majorHAnsi" w:hAnsiTheme="majorHAnsi"/>
          <w:lang w:val="en-US"/>
        </w:rPr>
        <w:t>5680413</w:t>
      </w:r>
      <w:r w:rsidR="00B11242">
        <w:rPr>
          <w:rFonts w:asciiTheme="majorHAnsi" w:hAnsiTheme="majorHAnsi"/>
          <w:lang w:val="en-US"/>
        </w:rPr>
        <w:t>)</w:t>
      </w:r>
    </w:p>
    <w:p w14:paraId="75A6BE43" w14:textId="0C7476C4"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14.</w:t>
      </w:r>
      <w:r w:rsidRPr="00263445">
        <w:rPr>
          <w:rFonts w:asciiTheme="majorHAnsi" w:hAnsiTheme="majorHAnsi"/>
          <w:lang w:val="en-US"/>
        </w:rPr>
        <w:tab/>
        <w:t xml:space="preserve">Cindrova-Davies T, Sanders DA, Burton GJ, Charnock-Jones DS. Soluble FLT1 sensitizes endothelial cells to inflammatory cytokines by antagonizing VEGF receptor-mediated signalling. </w:t>
      </w:r>
      <w:r w:rsidRPr="00263445">
        <w:rPr>
          <w:rFonts w:asciiTheme="majorHAnsi" w:hAnsiTheme="majorHAnsi"/>
          <w:i/>
          <w:lang w:val="en-US"/>
        </w:rPr>
        <w:t xml:space="preserve">Cardiovasc Res </w:t>
      </w:r>
      <w:r w:rsidRPr="00263445">
        <w:rPr>
          <w:rFonts w:asciiTheme="majorHAnsi" w:hAnsiTheme="majorHAnsi"/>
          <w:b/>
          <w:lang w:val="en-US"/>
        </w:rPr>
        <w:t>89</w:t>
      </w:r>
      <w:r w:rsidR="00B11242">
        <w:rPr>
          <w:rFonts w:asciiTheme="majorHAnsi" w:hAnsiTheme="majorHAnsi"/>
          <w:lang w:val="en-US"/>
        </w:rPr>
        <w:t xml:space="preserve">: 671-679, 2011 (PMID: </w:t>
      </w:r>
      <w:r w:rsidRPr="00263445">
        <w:rPr>
          <w:rFonts w:asciiTheme="majorHAnsi" w:hAnsiTheme="majorHAnsi"/>
          <w:lang w:val="en-US"/>
        </w:rPr>
        <w:t>3028975</w:t>
      </w:r>
      <w:r w:rsidR="00B11242">
        <w:rPr>
          <w:rFonts w:asciiTheme="majorHAnsi" w:hAnsiTheme="majorHAnsi"/>
          <w:lang w:val="en-US"/>
        </w:rPr>
        <w:t>)</w:t>
      </w:r>
    </w:p>
    <w:p w14:paraId="18DE1783"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15.</w:t>
      </w:r>
      <w:r w:rsidRPr="00263445">
        <w:rPr>
          <w:rFonts w:asciiTheme="majorHAnsi" w:hAnsiTheme="majorHAnsi"/>
          <w:lang w:val="en-US"/>
        </w:rPr>
        <w:tab/>
        <w:t xml:space="preserve">Burton GJ, Redman CW, Roberts JM, Moffett A. Pre-eclampsia: pathophysiology and clinical implications. </w:t>
      </w:r>
      <w:r w:rsidRPr="00263445">
        <w:rPr>
          <w:rFonts w:asciiTheme="majorHAnsi" w:hAnsiTheme="majorHAnsi"/>
          <w:i/>
          <w:lang w:val="en-US"/>
        </w:rPr>
        <w:t xml:space="preserve">BMJ </w:t>
      </w:r>
      <w:r w:rsidRPr="00263445">
        <w:rPr>
          <w:rFonts w:asciiTheme="majorHAnsi" w:hAnsiTheme="majorHAnsi"/>
          <w:b/>
          <w:lang w:val="en-US"/>
        </w:rPr>
        <w:t>366</w:t>
      </w:r>
      <w:r w:rsidRPr="00263445">
        <w:rPr>
          <w:rFonts w:asciiTheme="majorHAnsi" w:hAnsiTheme="majorHAnsi"/>
          <w:lang w:val="en-US"/>
        </w:rPr>
        <w:t>: l2381, 2019</w:t>
      </w:r>
    </w:p>
    <w:p w14:paraId="1B38CA25"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16.</w:t>
      </w:r>
      <w:r w:rsidRPr="00263445">
        <w:rPr>
          <w:rFonts w:asciiTheme="majorHAnsi" w:hAnsiTheme="majorHAnsi"/>
          <w:lang w:val="en-US"/>
        </w:rPr>
        <w:tab/>
        <w:t xml:space="preserve">Lyall F, Robson SC, Bulmer JN. Spiral artery remodeling and trophoblast invasion in preeclampsia and fetal growth restriction: relationship to clinical outcome. </w:t>
      </w:r>
      <w:r w:rsidRPr="00263445">
        <w:rPr>
          <w:rFonts w:asciiTheme="majorHAnsi" w:hAnsiTheme="majorHAnsi"/>
          <w:i/>
          <w:lang w:val="en-US"/>
        </w:rPr>
        <w:t xml:space="preserve">Hypertension </w:t>
      </w:r>
      <w:r w:rsidRPr="00263445">
        <w:rPr>
          <w:rFonts w:asciiTheme="majorHAnsi" w:hAnsiTheme="majorHAnsi"/>
          <w:b/>
          <w:lang w:val="en-US"/>
        </w:rPr>
        <w:t>62</w:t>
      </w:r>
      <w:r w:rsidRPr="00263445">
        <w:rPr>
          <w:rFonts w:asciiTheme="majorHAnsi" w:hAnsiTheme="majorHAnsi"/>
          <w:lang w:val="en-US"/>
        </w:rPr>
        <w:t>: 1046-1054, 2013</w:t>
      </w:r>
    </w:p>
    <w:p w14:paraId="6CAFA0D7"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17.</w:t>
      </w:r>
      <w:r w:rsidRPr="00263445">
        <w:rPr>
          <w:rFonts w:asciiTheme="majorHAnsi" w:hAnsiTheme="majorHAnsi"/>
          <w:lang w:val="en-US"/>
        </w:rPr>
        <w:tab/>
        <w:t xml:space="preserve">Redman CW, Sargent IL. Immunology of pre-eclampsia. </w:t>
      </w:r>
      <w:r w:rsidRPr="00263445">
        <w:rPr>
          <w:rFonts w:asciiTheme="majorHAnsi" w:hAnsiTheme="majorHAnsi"/>
          <w:i/>
          <w:lang w:val="en-US"/>
        </w:rPr>
        <w:t xml:space="preserve">Am J Reprod Immunol </w:t>
      </w:r>
      <w:r w:rsidRPr="00263445">
        <w:rPr>
          <w:rFonts w:asciiTheme="majorHAnsi" w:hAnsiTheme="majorHAnsi"/>
          <w:b/>
          <w:lang w:val="en-US"/>
        </w:rPr>
        <w:t>63</w:t>
      </w:r>
      <w:r w:rsidRPr="00263445">
        <w:rPr>
          <w:rFonts w:asciiTheme="majorHAnsi" w:hAnsiTheme="majorHAnsi"/>
          <w:lang w:val="en-US"/>
        </w:rPr>
        <w:t>: 534-543, 2010</w:t>
      </w:r>
    </w:p>
    <w:p w14:paraId="28BA492D"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18.</w:t>
      </w:r>
      <w:r w:rsidRPr="00263445">
        <w:rPr>
          <w:rFonts w:asciiTheme="majorHAnsi" w:hAnsiTheme="majorHAnsi"/>
          <w:lang w:val="en-US"/>
        </w:rPr>
        <w:tab/>
        <w:t xml:space="preserve">Levine RJ, Maynard SE, Qian C, Lim K-H, England LJ, Yu KF, Schisterman EF, Thadhani R, Sachs BP, Epstein FH, Sibai BM, Sukhatme VP, Karumanchi SA. Circulating angiogenic factors and the risk of preeclampsia. </w:t>
      </w:r>
      <w:r w:rsidRPr="00263445">
        <w:rPr>
          <w:rFonts w:asciiTheme="majorHAnsi" w:hAnsiTheme="majorHAnsi"/>
          <w:i/>
          <w:lang w:val="en-US"/>
        </w:rPr>
        <w:t xml:space="preserve">N Engl J Med </w:t>
      </w:r>
      <w:r w:rsidRPr="00263445">
        <w:rPr>
          <w:rFonts w:asciiTheme="majorHAnsi" w:hAnsiTheme="majorHAnsi"/>
          <w:b/>
          <w:lang w:val="en-US"/>
        </w:rPr>
        <w:t>350</w:t>
      </w:r>
      <w:r w:rsidRPr="00263445">
        <w:rPr>
          <w:rFonts w:asciiTheme="majorHAnsi" w:hAnsiTheme="majorHAnsi"/>
          <w:lang w:val="en-US"/>
        </w:rPr>
        <w:t>: 672-683, 2004</w:t>
      </w:r>
    </w:p>
    <w:p w14:paraId="0D95FA93"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19.</w:t>
      </w:r>
      <w:r w:rsidRPr="00263445">
        <w:rPr>
          <w:rFonts w:asciiTheme="majorHAnsi" w:hAnsiTheme="majorHAnsi"/>
          <w:lang w:val="en-US"/>
        </w:rPr>
        <w:tab/>
        <w:t xml:space="preserve">Hertig A, Berkane N, Lefevre G, Toumi K, Marti HP, Capeau J, Uzan S, Rondeau E. Maternal serum sFlt1 concentration is an early and reliable predictive marker of preeclampsia. </w:t>
      </w:r>
      <w:r w:rsidRPr="00263445">
        <w:rPr>
          <w:rFonts w:asciiTheme="majorHAnsi" w:hAnsiTheme="majorHAnsi"/>
          <w:i/>
          <w:lang w:val="en-US"/>
        </w:rPr>
        <w:t xml:space="preserve">Clin Chem </w:t>
      </w:r>
      <w:r w:rsidRPr="00263445">
        <w:rPr>
          <w:rFonts w:asciiTheme="majorHAnsi" w:hAnsiTheme="majorHAnsi"/>
          <w:b/>
          <w:lang w:val="en-US"/>
        </w:rPr>
        <w:t>50</w:t>
      </w:r>
      <w:r w:rsidRPr="00263445">
        <w:rPr>
          <w:rFonts w:asciiTheme="majorHAnsi" w:hAnsiTheme="majorHAnsi"/>
          <w:lang w:val="en-US"/>
        </w:rPr>
        <w:t>: 1702-1703, 2004</w:t>
      </w:r>
    </w:p>
    <w:p w14:paraId="4DBA87DB"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20.</w:t>
      </w:r>
      <w:r w:rsidRPr="00263445">
        <w:rPr>
          <w:rFonts w:asciiTheme="majorHAnsi" w:hAnsiTheme="majorHAnsi"/>
          <w:lang w:val="en-US"/>
        </w:rPr>
        <w:tab/>
        <w:t xml:space="preserve">Chappell LC, Duckworth S, Seed PT, Griffin M, Myers J, Mackillop L, Simpson N, Waugh J, Anumba D, Kenny LC, Redman CWG, Shennan AH. Diagnostic accuracy of placental growth factor in women with suspected preeclampsia: a prospective multicenter study. </w:t>
      </w:r>
      <w:r w:rsidRPr="00263445">
        <w:rPr>
          <w:rFonts w:asciiTheme="majorHAnsi" w:hAnsiTheme="majorHAnsi"/>
          <w:i/>
          <w:lang w:val="en-US"/>
        </w:rPr>
        <w:t xml:space="preserve">Circulation </w:t>
      </w:r>
      <w:r w:rsidRPr="00263445">
        <w:rPr>
          <w:rFonts w:asciiTheme="majorHAnsi" w:hAnsiTheme="majorHAnsi"/>
          <w:b/>
          <w:lang w:val="en-US"/>
        </w:rPr>
        <w:t>128</w:t>
      </w:r>
      <w:r w:rsidRPr="00263445">
        <w:rPr>
          <w:rFonts w:asciiTheme="majorHAnsi" w:hAnsiTheme="majorHAnsi"/>
          <w:lang w:val="en-US"/>
        </w:rPr>
        <w:t>: 2121-2131, 2013</w:t>
      </w:r>
    </w:p>
    <w:p w14:paraId="07FACE14" w14:textId="6174AA14"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21.</w:t>
      </w:r>
      <w:r w:rsidRPr="00263445">
        <w:rPr>
          <w:rFonts w:asciiTheme="majorHAnsi" w:hAnsiTheme="majorHAnsi"/>
          <w:lang w:val="en-US"/>
        </w:rPr>
        <w:tab/>
        <w:t>Duhig KE, Myers J, Seed PT, Sparkes J, Lowe J, Hunter RM, Sh</w:t>
      </w:r>
      <w:r w:rsidR="006C6CBC">
        <w:rPr>
          <w:rFonts w:asciiTheme="majorHAnsi" w:hAnsiTheme="majorHAnsi"/>
          <w:lang w:val="en-US"/>
        </w:rPr>
        <w:t>ennan AH, Chappell LC, PARROT Trial Group</w:t>
      </w:r>
      <w:r w:rsidRPr="00263445">
        <w:rPr>
          <w:rFonts w:asciiTheme="majorHAnsi" w:hAnsiTheme="majorHAnsi"/>
          <w:lang w:val="en-US"/>
        </w:rPr>
        <w:t xml:space="preserve">. Placental growth factor testing to assess women with suspected pre-eclampsia: a multicentre, pragmatic, stepped-wedge cluster-randomised controlled trial. </w:t>
      </w:r>
      <w:r w:rsidRPr="00263445">
        <w:rPr>
          <w:rFonts w:asciiTheme="majorHAnsi" w:hAnsiTheme="majorHAnsi"/>
          <w:i/>
          <w:lang w:val="en-US"/>
        </w:rPr>
        <w:t xml:space="preserve">Lancet </w:t>
      </w:r>
      <w:r w:rsidRPr="00263445">
        <w:rPr>
          <w:rFonts w:asciiTheme="majorHAnsi" w:hAnsiTheme="majorHAnsi"/>
          <w:b/>
          <w:lang w:val="en-US"/>
        </w:rPr>
        <w:t>393</w:t>
      </w:r>
      <w:r w:rsidR="006C6CBC">
        <w:rPr>
          <w:rFonts w:asciiTheme="majorHAnsi" w:hAnsiTheme="majorHAnsi"/>
          <w:lang w:val="en-US"/>
        </w:rPr>
        <w:t xml:space="preserve">: 1807-1818, 2019 (PMID: </w:t>
      </w:r>
      <w:r w:rsidRPr="00263445">
        <w:rPr>
          <w:rFonts w:asciiTheme="majorHAnsi" w:hAnsiTheme="majorHAnsi"/>
          <w:lang w:val="en-US"/>
        </w:rPr>
        <w:t>6497988</w:t>
      </w:r>
      <w:r w:rsidR="006C6CBC">
        <w:rPr>
          <w:rFonts w:asciiTheme="majorHAnsi" w:hAnsiTheme="majorHAnsi"/>
          <w:lang w:val="en-US"/>
        </w:rPr>
        <w:t>)</w:t>
      </w:r>
    </w:p>
    <w:p w14:paraId="3ACC8AF6" w14:textId="45A7E8C7" w:rsidR="006C6CBC" w:rsidRPr="00263445" w:rsidRDefault="00AE053E" w:rsidP="006C6CBC">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22.</w:t>
      </w:r>
      <w:r w:rsidRPr="00263445">
        <w:rPr>
          <w:rFonts w:asciiTheme="majorHAnsi" w:hAnsiTheme="majorHAnsi"/>
          <w:lang w:val="en-US"/>
        </w:rPr>
        <w:tab/>
      </w:r>
      <w:r w:rsidR="006C6CBC">
        <w:rPr>
          <w:rFonts w:asciiTheme="majorHAnsi" w:hAnsiTheme="majorHAnsi"/>
          <w:lang w:val="en-US"/>
        </w:rPr>
        <w:t>National Institute for Health and Care Excellence</w:t>
      </w:r>
      <w:r w:rsidRPr="00263445">
        <w:rPr>
          <w:rFonts w:asciiTheme="majorHAnsi" w:hAnsiTheme="majorHAnsi"/>
          <w:lang w:val="en-US"/>
        </w:rPr>
        <w:t xml:space="preserve">. PlGF-based testing to help diagnose suspected pre-eclampsia (Triage PlGF test, Elecsys immunoassay sFlt-1/PlGF ratio, DELFIA Xpress PlGF 1-2-3 test, and BRAHMS sFlt-1 Kryptor/BRAHMS PlGF plus Kryptor PE ratio). </w:t>
      </w:r>
      <w:r w:rsidR="006C6CBC" w:rsidRPr="00D770F1">
        <w:rPr>
          <w:rFonts w:asciiTheme="majorHAnsi" w:hAnsiTheme="majorHAnsi"/>
          <w:b/>
          <w:lang w:val="en-US"/>
        </w:rPr>
        <w:t>D</w:t>
      </w:r>
      <w:r w:rsidR="00D770F1" w:rsidRPr="00D770F1">
        <w:rPr>
          <w:rFonts w:asciiTheme="majorHAnsi" w:hAnsiTheme="majorHAnsi"/>
          <w:b/>
          <w:lang w:val="en-US"/>
        </w:rPr>
        <w:t>G23</w:t>
      </w:r>
      <w:r w:rsidR="006C6CBC">
        <w:rPr>
          <w:rFonts w:asciiTheme="majorHAnsi" w:hAnsiTheme="majorHAnsi"/>
          <w:lang w:val="en-US"/>
        </w:rPr>
        <w:t xml:space="preserve">, </w:t>
      </w:r>
      <w:r w:rsidRPr="00263445">
        <w:rPr>
          <w:rFonts w:asciiTheme="majorHAnsi" w:hAnsiTheme="majorHAnsi"/>
          <w:lang w:val="en-US"/>
        </w:rPr>
        <w:t>2016</w:t>
      </w:r>
      <w:r w:rsidR="006C6CBC">
        <w:rPr>
          <w:rFonts w:asciiTheme="majorHAnsi" w:hAnsiTheme="majorHAnsi"/>
          <w:lang w:val="en-US"/>
        </w:rPr>
        <w:t xml:space="preserve">. Available from: </w:t>
      </w:r>
      <w:r w:rsidR="006C6CBC" w:rsidRPr="006C6CBC">
        <w:rPr>
          <w:rFonts w:asciiTheme="majorHAnsi" w:hAnsiTheme="majorHAnsi"/>
          <w:lang w:val="en-US"/>
        </w:rPr>
        <w:t>https://www.nice.org.uk/guidance/dg23</w:t>
      </w:r>
      <w:r w:rsidR="006C6CBC">
        <w:rPr>
          <w:rFonts w:asciiTheme="majorHAnsi" w:hAnsiTheme="majorHAnsi"/>
          <w:lang w:val="en-US"/>
        </w:rPr>
        <w:t xml:space="preserve"> (accessed 23 Jan 2020)</w:t>
      </w:r>
    </w:p>
    <w:p w14:paraId="655BC668" w14:textId="4996F40D"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23.</w:t>
      </w:r>
      <w:r w:rsidRPr="00263445">
        <w:rPr>
          <w:rFonts w:asciiTheme="majorHAnsi" w:hAnsiTheme="majorHAnsi"/>
          <w:lang w:val="en-US"/>
        </w:rPr>
        <w:tab/>
        <w:t xml:space="preserve">Stepan H, Herraiz I, Schlembach D, Verlohren S, Brennecke S, Chantraine F, Klein E, Lapaire O, Llurba E, Ramoni A, Vatish M, Wertaschnigg D, Galindo A. Implementation of the sFlt-1/PlGF ratio for prediction and diagnosis of pre-eclampsia in singleton pregnancy: implications for clinical practice. </w:t>
      </w:r>
      <w:r w:rsidRPr="00263445">
        <w:rPr>
          <w:rFonts w:asciiTheme="majorHAnsi" w:hAnsiTheme="majorHAnsi"/>
          <w:i/>
          <w:lang w:val="en-US"/>
        </w:rPr>
        <w:t xml:space="preserve">Ultrasound Obstet Gynecol </w:t>
      </w:r>
      <w:r w:rsidRPr="00263445">
        <w:rPr>
          <w:rFonts w:asciiTheme="majorHAnsi" w:hAnsiTheme="majorHAnsi"/>
          <w:b/>
          <w:lang w:val="en-US"/>
        </w:rPr>
        <w:t>45</w:t>
      </w:r>
      <w:r w:rsidR="006C6CBC">
        <w:rPr>
          <w:rFonts w:asciiTheme="majorHAnsi" w:hAnsiTheme="majorHAnsi"/>
          <w:lang w:val="en-US"/>
        </w:rPr>
        <w:t xml:space="preserve">: 241-246, 2015 (PMID: </w:t>
      </w:r>
      <w:r w:rsidRPr="00263445">
        <w:rPr>
          <w:rFonts w:asciiTheme="majorHAnsi" w:hAnsiTheme="majorHAnsi"/>
          <w:lang w:val="en-US"/>
        </w:rPr>
        <w:t>4369131</w:t>
      </w:r>
      <w:r w:rsidR="006C6CBC">
        <w:rPr>
          <w:rFonts w:asciiTheme="majorHAnsi" w:hAnsiTheme="majorHAnsi"/>
          <w:lang w:val="en-US"/>
        </w:rPr>
        <w:t>)</w:t>
      </w:r>
    </w:p>
    <w:p w14:paraId="0CD77BAC" w14:textId="1A50555E"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24.</w:t>
      </w:r>
      <w:r w:rsidRPr="00263445">
        <w:rPr>
          <w:rFonts w:asciiTheme="majorHAnsi" w:hAnsiTheme="majorHAnsi"/>
          <w:lang w:val="en-US"/>
        </w:rPr>
        <w:tab/>
        <w:t xml:space="preserve">Duhig KE, Seed PT, Myers JE, Bahl R, Bambridge G, Barnfield S, Ficquet J, Girling JC, Khalil A, Shennan AH, Chappell LC, Hunter RM. Placental growth factor testing for suspected pre-eclampsia: a cost-effectiveness analysis. </w:t>
      </w:r>
      <w:r w:rsidRPr="00263445">
        <w:rPr>
          <w:rFonts w:asciiTheme="majorHAnsi" w:hAnsiTheme="majorHAnsi"/>
          <w:i/>
          <w:lang w:val="en-US"/>
        </w:rPr>
        <w:t xml:space="preserve">BJOG </w:t>
      </w:r>
      <w:r w:rsidRPr="00263445">
        <w:rPr>
          <w:rFonts w:asciiTheme="majorHAnsi" w:hAnsiTheme="majorHAnsi"/>
          <w:b/>
          <w:lang w:val="en-US"/>
        </w:rPr>
        <w:t>126</w:t>
      </w:r>
      <w:r w:rsidR="006C6CBC">
        <w:rPr>
          <w:rFonts w:asciiTheme="majorHAnsi" w:hAnsiTheme="majorHAnsi"/>
          <w:lang w:val="en-US"/>
        </w:rPr>
        <w:t xml:space="preserve">: 1390-1398, 2019 (PMID: </w:t>
      </w:r>
      <w:r w:rsidRPr="00263445">
        <w:rPr>
          <w:rFonts w:asciiTheme="majorHAnsi" w:hAnsiTheme="majorHAnsi"/>
          <w:lang w:val="en-US"/>
        </w:rPr>
        <w:t>6771855</w:t>
      </w:r>
      <w:r w:rsidR="006C6CBC">
        <w:rPr>
          <w:rFonts w:asciiTheme="majorHAnsi" w:hAnsiTheme="majorHAnsi"/>
          <w:lang w:val="en-US"/>
        </w:rPr>
        <w:t>)</w:t>
      </w:r>
    </w:p>
    <w:p w14:paraId="41B01A93"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25.</w:t>
      </w:r>
      <w:r w:rsidRPr="00263445">
        <w:rPr>
          <w:rFonts w:asciiTheme="majorHAnsi" w:hAnsiTheme="majorHAnsi"/>
          <w:lang w:val="en-US"/>
        </w:rPr>
        <w:tab/>
        <w:t xml:space="preserve">Zeisler H, Llurba E, Chantraine F, Vatish M, Staff AC, Sennström M, Olovsson M, Brennecke SP, Stepan H, Allegranza D, Dilba P, Schoedl M, Hund M, Verlohren S. Predictive Value of the sFlt-1:PlGF Ratio in Women with Suspected Preeclampsia. </w:t>
      </w:r>
      <w:r w:rsidRPr="00263445">
        <w:rPr>
          <w:rFonts w:asciiTheme="majorHAnsi" w:hAnsiTheme="majorHAnsi"/>
          <w:i/>
          <w:lang w:val="en-US"/>
        </w:rPr>
        <w:t xml:space="preserve">N Engl J Med </w:t>
      </w:r>
      <w:r w:rsidRPr="00263445">
        <w:rPr>
          <w:rFonts w:asciiTheme="majorHAnsi" w:hAnsiTheme="majorHAnsi"/>
          <w:b/>
          <w:lang w:val="en-US"/>
        </w:rPr>
        <w:t>374</w:t>
      </w:r>
      <w:r w:rsidRPr="00263445">
        <w:rPr>
          <w:rFonts w:asciiTheme="majorHAnsi" w:hAnsiTheme="majorHAnsi"/>
          <w:lang w:val="en-US"/>
        </w:rPr>
        <w:t>: 13-22, 2016</w:t>
      </w:r>
    </w:p>
    <w:p w14:paraId="1BF84FDF"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26.</w:t>
      </w:r>
      <w:r w:rsidRPr="00263445">
        <w:rPr>
          <w:rFonts w:asciiTheme="majorHAnsi" w:hAnsiTheme="majorHAnsi"/>
          <w:lang w:val="en-US"/>
        </w:rPr>
        <w:tab/>
        <w:t xml:space="preserve">Verlohren S, Herraiz I, Lapaire O, Schlembach D, Zeisler H, Calda P, Sabria J, Markfeld-Erol F, Galindo A, Schoofs K, Denk B, Stepan H. New gestational phase-specific cutoff values for the use of the soluble fms-like tyrosine kinase-1/placental growth factor ratio as a diagnostic test for preeclampsia. </w:t>
      </w:r>
      <w:r w:rsidRPr="00263445">
        <w:rPr>
          <w:rFonts w:asciiTheme="majorHAnsi" w:hAnsiTheme="majorHAnsi"/>
          <w:i/>
          <w:lang w:val="en-US"/>
        </w:rPr>
        <w:t xml:space="preserve">Hypertension </w:t>
      </w:r>
      <w:r w:rsidRPr="00263445">
        <w:rPr>
          <w:rFonts w:asciiTheme="majorHAnsi" w:hAnsiTheme="majorHAnsi"/>
          <w:b/>
          <w:lang w:val="en-US"/>
        </w:rPr>
        <w:t>63</w:t>
      </w:r>
      <w:r w:rsidRPr="00263445">
        <w:rPr>
          <w:rFonts w:asciiTheme="majorHAnsi" w:hAnsiTheme="majorHAnsi"/>
          <w:lang w:val="en-US"/>
        </w:rPr>
        <w:t>: 346-352, 2014</w:t>
      </w:r>
    </w:p>
    <w:p w14:paraId="201CE904" w14:textId="7C36487F"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27.</w:t>
      </w:r>
      <w:r w:rsidRPr="00263445">
        <w:rPr>
          <w:rFonts w:asciiTheme="majorHAnsi" w:hAnsiTheme="majorHAnsi"/>
          <w:lang w:val="en-US"/>
        </w:rPr>
        <w:tab/>
        <w:t xml:space="preserve">Soto E, Romero R, Kusanovic JP, Ogge G, Hussein Y, Yeo L, Hassan SS, Kim CJ, Chaiworapongsa T. Late-onset preeclampsia is associated with an imbalance of angiogenic and anti-angiogenic factors in patients with and without placental lesions consistent with maternal underperfusion. </w:t>
      </w:r>
      <w:r w:rsidRPr="00263445">
        <w:rPr>
          <w:rFonts w:asciiTheme="majorHAnsi" w:hAnsiTheme="majorHAnsi"/>
          <w:i/>
          <w:lang w:val="en-US"/>
        </w:rPr>
        <w:t xml:space="preserve">J Matern Fetal Neonatal Med </w:t>
      </w:r>
      <w:r w:rsidRPr="00263445">
        <w:rPr>
          <w:rFonts w:asciiTheme="majorHAnsi" w:hAnsiTheme="majorHAnsi"/>
          <w:b/>
          <w:lang w:val="en-US"/>
        </w:rPr>
        <w:t>25</w:t>
      </w:r>
      <w:r w:rsidR="006C6CBC">
        <w:rPr>
          <w:rFonts w:asciiTheme="majorHAnsi" w:hAnsiTheme="majorHAnsi"/>
          <w:lang w:val="en-US"/>
        </w:rPr>
        <w:t xml:space="preserve">: 498-507, 2012 (PMID: </w:t>
      </w:r>
      <w:r w:rsidRPr="00263445">
        <w:rPr>
          <w:rFonts w:asciiTheme="majorHAnsi" w:hAnsiTheme="majorHAnsi"/>
          <w:lang w:val="en-US"/>
        </w:rPr>
        <w:t>3401571</w:t>
      </w:r>
      <w:r w:rsidR="006C6CBC">
        <w:rPr>
          <w:rFonts w:asciiTheme="majorHAnsi" w:hAnsiTheme="majorHAnsi"/>
          <w:lang w:val="en-US"/>
        </w:rPr>
        <w:t>)</w:t>
      </w:r>
    </w:p>
    <w:p w14:paraId="1024117A"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28.</w:t>
      </w:r>
      <w:r w:rsidRPr="00263445">
        <w:rPr>
          <w:rFonts w:asciiTheme="majorHAnsi" w:hAnsiTheme="majorHAnsi"/>
          <w:lang w:val="en-US"/>
        </w:rPr>
        <w:tab/>
        <w:t xml:space="preserve">Noori M, Donald AE, Angelakopoulou A, Hingorani AD, Williams DJ. Prospective study of placental angiogenic factors and maternal vascular function before and after preeclampsia and gestational hypertension. </w:t>
      </w:r>
      <w:r w:rsidRPr="00263445">
        <w:rPr>
          <w:rFonts w:asciiTheme="majorHAnsi" w:hAnsiTheme="majorHAnsi"/>
          <w:i/>
          <w:lang w:val="en-US"/>
        </w:rPr>
        <w:t xml:space="preserve">Circulation </w:t>
      </w:r>
      <w:r w:rsidRPr="00263445">
        <w:rPr>
          <w:rFonts w:asciiTheme="majorHAnsi" w:hAnsiTheme="majorHAnsi"/>
          <w:b/>
          <w:lang w:val="en-US"/>
        </w:rPr>
        <w:t>122</w:t>
      </w:r>
      <w:r w:rsidRPr="00263445">
        <w:rPr>
          <w:rFonts w:asciiTheme="majorHAnsi" w:hAnsiTheme="majorHAnsi"/>
          <w:lang w:val="en-US"/>
        </w:rPr>
        <w:t>: 478-487, 2010</w:t>
      </w:r>
    </w:p>
    <w:p w14:paraId="52BF32B0" w14:textId="7D520D26"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29.</w:t>
      </w:r>
      <w:r w:rsidRPr="00263445">
        <w:rPr>
          <w:rFonts w:asciiTheme="majorHAnsi" w:hAnsiTheme="majorHAnsi"/>
          <w:lang w:val="en-US"/>
        </w:rPr>
        <w:tab/>
        <w:t xml:space="preserve">Rana S, Hacker MR, Modest AM, Salahuddin S, Lim KH, Verlohren S, Perschel FH, Karumanchi SA. Circulating angiogenic factors and risk of adverse maternal and perinatal outcomes in twin pregnancies with suspected preeclampsia. </w:t>
      </w:r>
      <w:r w:rsidRPr="00263445">
        <w:rPr>
          <w:rFonts w:asciiTheme="majorHAnsi" w:hAnsiTheme="majorHAnsi"/>
          <w:i/>
          <w:lang w:val="en-US"/>
        </w:rPr>
        <w:t xml:space="preserve">Hypertension </w:t>
      </w:r>
      <w:r w:rsidRPr="00263445">
        <w:rPr>
          <w:rFonts w:asciiTheme="majorHAnsi" w:hAnsiTheme="majorHAnsi"/>
          <w:b/>
          <w:lang w:val="en-US"/>
        </w:rPr>
        <w:t>60</w:t>
      </w:r>
      <w:r w:rsidR="006C6CBC">
        <w:rPr>
          <w:rFonts w:asciiTheme="majorHAnsi" w:hAnsiTheme="majorHAnsi"/>
          <w:lang w:val="en-US"/>
        </w:rPr>
        <w:t xml:space="preserve">: 451-458, 2012 (PMID: </w:t>
      </w:r>
      <w:r w:rsidRPr="00263445">
        <w:rPr>
          <w:rFonts w:asciiTheme="majorHAnsi" w:hAnsiTheme="majorHAnsi"/>
          <w:lang w:val="en-US"/>
        </w:rPr>
        <w:t>3432569</w:t>
      </w:r>
      <w:r w:rsidR="006C6CBC">
        <w:rPr>
          <w:rFonts w:asciiTheme="majorHAnsi" w:hAnsiTheme="majorHAnsi"/>
          <w:lang w:val="en-US"/>
        </w:rPr>
        <w:t>)</w:t>
      </w:r>
    </w:p>
    <w:p w14:paraId="0C085AB7"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30.</w:t>
      </w:r>
      <w:r w:rsidRPr="00263445">
        <w:rPr>
          <w:rFonts w:asciiTheme="majorHAnsi" w:hAnsiTheme="majorHAnsi"/>
          <w:lang w:val="en-US"/>
        </w:rPr>
        <w:tab/>
        <w:t xml:space="preserve">Moore AG, Young H, Keller JM, Ojo LR, Yan J, Simas TA, Maynard SE. Angiogenic biomarkers for prediction of maternal and neonatal complications in suspected preeclampsia. </w:t>
      </w:r>
      <w:r w:rsidRPr="00263445">
        <w:rPr>
          <w:rFonts w:asciiTheme="majorHAnsi" w:hAnsiTheme="majorHAnsi"/>
          <w:i/>
          <w:lang w:val="en-US"/>
        </w:rPr>
        <w:t xml:space="preserve">J Matern Fetal Neonatal Med </w:t>
      </w:r>
      <w:r w:rsidRPr="00263445">
        <w:rPr>
          <w:rFonts w:asciiTheme="majorHAnsi" w:hAnsiTheme="majorHAnsi"/>
          <w:b/>
          <w:lang w:val="en-US"/>
        </w:rPr>
        <w:t>25</w:t>
      </w:r>
      <w:r w:rsidRPr="00263445">
        <w:rPr>
          <w:rFonts w:asciiTheme="majorHAnsi" w:hAnsiTheme="majorHAnsi"/>
          <w:lang w:val="en-US"/>
        </w:rPr>
        <w:t>: 2651-2657, 2012</w:t>
      </w:r>
    </w:p>
    <w:p w14:paraId="378CCA9D" w14:textId="3001EEE2"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31.</w:t>
      </w:r>
      <w:r w:rsidRPr="00263445">
        <w:rPr>
          <w:rFonts w:asciiTheme="majorHAnsi" w:hAnsiTheme="majorHAnsi"/>
          <w:lang w:val="en-US"/>
        </w:rPr>
        <w:tab/>
        <w:t>M</w:t>
      </w:r>
      <w:r w:rsidRPr="006C6CBC">
        <w:rPr>
          <w:rFonts w:asciiTheme="majorHAnsi" w:hAnsiTheme="majorHAnsi"/>
          <w:lang w:val="en-US"/>
        </w:rPr>
        <w:t xml:space="preserve">cLaughlin K, Zhang J, Lye SJ, Parker JD, Kingdom JC. Phenotypes of Pregnant Women Who Subsequently Develop Hypertension in Pregnancy. </w:t>
      </w:r>
      <w:r w:rsidRPr="006C6CBC">
        <w:rPr>
          <w:rFonts w:asciiTheme="majorHAnsi" w:hAnsiTheme="majorHAnsi"/>
          <w:i/>
          <w:lang w:val="en-US"/>
        </w:rPr>
        <w:t xml:space="preserve">J Am Heart Assoc </w:t>
      </w:r>
      <w:r w:rsidRPr="006C6CBC">
        <w:rPr>
          <w:rFonts w:asciiTheme="majorHAnsi" w:hAnsiTheme="majorHAnsi"/>
          <w:b/>
          <w:lang w:val="en-US"/>
        </w:rPr>
        <w:t>7</w:t>
      </w:r>
      <w:r w:rsidRPr="006C6CBC">
        <w:rPr>
          <w:rFonts w:asciiTheme="majorHAnsi" w:hAnsiTheme="majorHAnsi"/>
          <w:lang w:val="en-US"/>
        </w:rPr>
        <w:t xml:space="preserve">: </w:t>
      </w:r>
      <w:r w:rsidR="006C6CBC" w:rsidRPr="006C6CBC">
        <w:rPr>
          <w:rFonts w:asciiTheme="majorHAnsi" w:hAnsiTheme="majorHAnsi" w:cs="Arial"/>
          <w:color w:val="000000"/>
          <w:lang w:val="en-US"/>
        </w:rPr>
        <w:t>e009595</w:t>
      </w:r>
      <w:r w:rsidR="006C6CBC">
        <w:rPr>
          <w:rFonts w:asciiTheme="majorHAnsi" w:hAnsiTheme="majorHAnsi" w:cs="Arial"/>
          <w:color w:val="000000"/>
          <w:lang w:val="en-US"/>
        </w:rPr>
        <w:t>,</w:t>
      </w:r>
      <w:r w:rsidR="006C6CBC" w:rsidRPr="006C6CBC">
        <w:rPr>
          <w:rFonts w:asciiTheme="majorHAnsi" w:hAnsiTheme="majorHAnsi"/>
          <w:lang w:val="en-US"/>
        </w:rPr>
        <w:t xml:space="preserve"> </w:t>
      </w:r>
      <w:r w:rsidR="006C6CBC">
        <w:rPr>
          <w:rFonts w:asciiTheme="majorHAnsi" w:hAnsiTheme="majorHAnsi"/>
          <w:lang w:val="en-US"/>
        </w:rPr>
        <w:t xml:space="preserve">2018 (PMID: </w:t>
      </w:r>
      <w:r w:rsidRPr="006C6CBC">
        <w:rPr>
          <w:rFonts w:asciiTheme="majorHAnsi" w:hAnsiTheme="majorHAnsi"/>
          <w:lang w:val="en-US"/>
        </w:rPr>
        <w:t>6064839</w:t>
      </w:r>
      <w:r w:rsidR="006C6CBC">
        <w:rPr>
          <w:rFonts w:asciiTheme="majorHAnsi" w:hAnsiTheme="majorHAnsi"/>
          <w:lang w:val="en-US"/>
        </w:rPr>
        <w:t>)</w:t>
      </w:r>
    </w:p>
    <w:p w14:paraId="2F45C25A"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32.</w:t>
      </w:r>
      <w:r w:rsidRPr="00263445">
        <w:rPr>
          <w:rFonts w:asciiTheme="majorHAnsi" w:hAnsiTheme="majorHAnsi"/>
          <w:lang w:val="en-US"/>
        </w:rPr>
        <w:tab/>
        <w:t xml:space="preserve">Roberts JM, Catov JM. Preeclampsia more than 1 disease: or is it. </w:t>
      </w:r>
      <w:r w:rsidRPr="00263445">
        <w:rPr>
          <w:rFonts w:asciiTheme="majorHAnsi" w:hAnsiTheme="majorHAnsi"/>
          <w:i/>
          <w:lang w:val="en-US"/>
        </w:rPr>
        <w:t xml:space="preserve">Hypertension </w:t>
      </w:r>
      <w:r w:rsidRPr="00263445">
        <w:rPr>
          <w:rFonts w:asciiTheme="majorHAnsi" w:hAnsiTheme="majorHAnsi"/>
          <w:b/>
          <w:lang w:val="en-US"/>
        </w:rPr>
        <w:t>51</w:t>
      </w:r>
      <w:r w:rsidRPr="00263445">
        <w:rPr>
          <w:rFonts w:asciiTheme="majorHAnsi" w:hAnsiTheme="majorHAnsi"/>
          <w:lang w:val="en-US"/>
        </w:rPr>
        <w:t>: 989-990, 2008</w:t>
      </w:r>
    </w:p>
    <w:p w14:paraId="223DBDF4" w14:textId="3A4484EA"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33.</w:t>
      </w:r>
      <w:r w:rsidRPr="00263445">
        <w:rPr>
          <w:rFonts w:asciiTheme="majorHAnsi" w:hAnsiTheme="majorHAnsi"/>
          <w:lang w:val="en-US"/>
        </w:rPr>
        <w:tab/>
        <w:t xml:space="preserve">Sattar N, Greer IA. Pregnancy complications and maternal cardiovascular risk: opportunities for intervention and screening. </w:t>
      </w:r>
      <w:r w:rsidRPr="00263445">
        <w:rPr>
          <w:rFonts w:asciiTheme="majorHAnsi" w:hAnsiTheme="majorHAnsi"/>
          <w:i/>
          <w:lang w:val="en-US"/>
        </w:rPr>
        <w:t xml:space="preserve">BMJ </w:t>
      </w:r>
      <w:r w:rsidRPr="00263445">
        <w:rPr>
          <w:rFonts w:asciiTheme="majorHAnsi" w:hAnsiTheme="majorHAnsi"/>
          <w:b/>
          <w:lang w:val="en-US"/>
        </w:rPr>
        <w:t>325</w:t>
      </w:r>
      <w:r w:rsidR="006C6CBC">
        <w:rPr>
          <w:rFonts w:asciiTheme="majorHAnsi" w:hAnsiTheme="majorHAnsi"/>
          <w:lang w:val="en-US"/>
        </w:rPr>
        <w:t xml:space="preserve">: 157-160, 2002 (PMID: </w:t>
      </w:r>
      <w:r w:rsidRPr="00263445">
        <w:rPr>
          <w:rFonts w:asciiTheme="majorHAnsi" w:hAnsiTheme="majorHAnsi"/>
          <w:lang w:val="en-US"/>
        </w:rPr>
        <w:t>1123678</w:t>
      </w:r>
      <w:r w:rsidR="006C6CBC">
        <w:rPr>
          <w:rFonts w:asciiTheme="majorHAnsi" w:hAnsiTheme="majorHAnsi"/>
          <w:lang w:val="en-US"/>
        </w:rPr>
        <w:t>)</w:t>
      </w:r>
    </w:p>
    <w:p w14:paraId="35AD0984"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34.</w:t>
      </w:r>
      <w:r w:rsidRPr="00263445">
        <w:rPr>
          <w:rFonts w:asciiTheme="majorHAnsi" w:hAnsiTheme="majorHAnsi"/>
          <w:lang w:val="en-US"/>
        </w:rPr>
        <w:tab/>
        <w:t xml:space="preserve">Stillman IE, Karumanchi SA. The glomerular injury of preeclampsia. </w:t>
      </w:r>
      <w:r w:rsidRPr="00263445">
        <w:rPr>
          <w:rFonts w:asciiTheme="majorHAnsi" w:hAnsiTheme="majorHAnsi"/>
          <w:i/>
          <w:lang w:val="en-US"/>
        </w:rPr>
        <w:t xml:space="preserve">J Am Soc Nephrol </w:t>
      </w:r>
      <w:r w:rsidRPr="00263445">
        <w:rPr>
          <w:rFonts w:asciiTheme="majorHAnsi" w:hAnsiTheme="majorHAnsi"/>
          <w:b/>
          <w:lang w:val="en-US"/>
        </w:rPr>
        <w:t>18</w:t>
      </w:r>
      <w:r w:rsidRPr="00263445">
        <w:rPr>
          <w:rFonts w:asciiTheme="majorHAnsi" w:hAnsiTheme="majorHAnsi"/>
          <w:lang w:val="en-US"/>
        </w:rPr>
        <w:t>: 2281-2284, 2007</w:t>
      </w:r>
    </w:p>
    <w:p w14:paraId="4A52D88E"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35.</w:t>
      </w:r>
      <w:r w:rsidRPr="00263445">
        <w:rPr>
          <w:rFonts w:asciiTheme="majorHAnsi" w:hAnsiTheme="majorHAnsi"/>
          <w:lang w:val="en-US"/>
        </w:rPr>
        <w:tab/>
        <w:t xml:space="preserve">Leon LJ, McCarthy FP, Direk K, Gonzalez-Izquierdo A, Prieto-Merino D, Casas JP, Chappell L. Preeclampsia and cardiovascular disease in a large UK pregnancy cohort of linked electronic health records: a CALIBER study. </w:t>
      </w:r>
      <w:r w:rsidRPr="00263445">
        <w:rPr>
          <w:rFonts w:asciiTheme="majorHAnsi" w:hAnsiTheme="majorHAnsi"/>
          <w:i/>
          <w:lang w:val="en-US"/>
        </w:rPr>
        <w:t xml:space="preserve">Circulation </w:t>
      </w:r>
      <w:r w:rsidRPr="00263445">
        <w:rPr>
          <w:rFonts w:asciiTheme="majorHAnsi" w:hAnsiTheme="majorHAnsi"/>
          <w:b/>
          <w:lang w:val="en-US"/>
        </w:rPr>
        <w:t>140</w:t>
      </w:r>
      <w:r w:rsidRPr="00263445">
        <w:rPr>
          <w:rFonts w:asciiTheme="majorHAnsi" w:hAnsiTheme="majorHAnsi"/>
          <w:lang w:val="en-US"/>
        </w:rPr>
        <w:t>: 1050-1060, 2019</w:t>
      </w:r>
    </w:p>
    <w:p w14:paraId="674AA3FD" w14:textId="2DB57CBF"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36.</w:t>
      </w:r>
      <w:r w:rsidRPr="00263445">
        <w:rPr>
          <w:rFonts w:asciiTheme="majorHAnsi" w:hAnsiTheme="majorHAnsi"/>
          <w:lang w:val="en-US"/>
        </w:rPr>
        <w:tab/>
        <w:t>Tangren JS, Powe CE, Ankers E, Ecker J, Bramham K, Hladunewich MA, Karumanchi SA, Thadhani R. Pregnancy</w:t>
      </w:r>
      <w:r w:rsidR="006C6CBC" w:rsidRPr="00263445">
        <w:rPr>
          <w:rFonts w:asciiTheme="majorHAnsi" w:hAnsiTheme="majorHAnsi"/>
          <w:lang w:val="en-US"/>
        </w:rPr>
        <w:t xml:space="preserve"> outcomes after clinical recovery from</w:t>
      </w:r>
      <w:r w:rsidRPr="00263445">
        <w:rPr>
          <w:rFonts w:asciiTheme="majorHAnsi" w:hAnsiTheme="majorHAnsi"/>
          <w:lang w:val="en-US"/>
        </w:rPr>
        <w:t xml:space="preserve"> AKI. </w:t>
      </w:r>
      <w:r w:rsidRPr="00263445">
        <w:rPr>
          <w:rFonts w:asciiTheme="majorHAnsi" w:hAnsiTheme="majorHAnsi"/>
          <w:i/>
          <w:lang w:val="en-US"/>
        </w:rPr>
        <w:t xml:space="preserve">J Am Soc Nephrol </w:t>
      </w:r>
      <w:r w:rsidRPr="00263445">
        <w:rPr>
          <w:rFonts w:asciiTheme="majorHAnsi" w:hAnsiTheme="majorHAnsi"/>
          <w:b/>
          <w:lang w:val="en-US"/>
        </w:rPr>
        <w:t>28</w:t>
      </w:r>
      <w:r w:rsidR="006C6CBC">
        <w:rPr>
          <w:rFonts w:asciiTheme="majorHAnsi" w:hAnsiTheme="majorHAnsi"/>
          <w:lang w:val="en-US"/>
        </w:rPr>
        <w:t xml:space="preserve">: 1566-1574, 2017 (PMID: </w:t>
      </w:r>
      <w:r w:rsidRPr="00263445">
        <w:rPr>
          <w:rFonts w:asciiTheme="majorHAnsi" w:hAnsiTheme="majorHAnsi"/>
          <w:lang w:val="en-US"/>
        </w:rPr>
        <w:t>5407730</w:t>
      </w:r>
      <w:r w:rsidR="006C6CBC">
        <w:rPr>
          <w:rFonts w:asciiTheme="majorHAnsi" w:hAnsiTheme="majorHAnsi"/>
          <w:lang w:val="en-US"/>
        </w:rPr>
        <w:t>)</w:t>
      </w:r>
    </w:p>
    <w:p w14:paraId="35820A09" w14:textId="31538E29"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37.</w:t>
      </w:r>
      <w:r w:rsidRPr="00263445">
        <w:rPr>
          <w:rFonts w:asciiTheme="majorHAnsi" w:hAnsiTheme="majorHAnsi"/>
          <w:lang w:val="en-US"/>
        </w:rPr>
        <w:tab/>
        <w:t xml:space="preserve">Piccoli GB, Cabiddu G, Attini R, Vigotti FN, Maxia S, Lepori N, Tuveri M, Massidda M, Marchi C, Mura S, Coscia A, Biolcati M, Gaglioti P, Nichelatti M, Pibiri L, Chessa G, Pani A, Todros T. Risk </w:t>
      </w:r>
      <w:r w:rsidR="006C6CBC" w:rsidRPr="00263445">
        <w:rPr>
          <w:rFonts w:asciiTheme="majorHAnsi" w:hAnsiTheme="majorHAnsi"/>
          <w:lang w:val="en-US"/>
        </w:rPr>
        <w:t>of adverse pregnancy outcomes in women with</w:t>
      </w:r>
      <w:r w:rsidRPr="00263445">
        <w:rPr>
          <w:rFonts w:asciiTheme="majorHAnsi" w:hAnsiTheme="majorHAnsi"/>
          <w:lang w:val="en-US"/>
        </w:rPr>
        <w:t xml:space="preserve"> CKD. </w:t>
      </w:r>
      <w:r w:rsidRPr="00263445">
        <w:rPr>
          <w:rFonts w:asciiTheme="majorHAnsi" w:hAnsiTheme="majorHAnsi"/>
          <w:i/>
          <w:lang w:val="en-US"/>
        </w:rPr>
        <w:t xml:space="preserve">J Am Soc Nephrol </w:t>
      </w:r>
      <w:r w:rsidRPr="00263445">
        <w:rPr>
          <w:rFonts w:asciiTheme="majorHAnsi" w:hAnsiTheme="majorHAnsi"/>
          <w:b/>
          <w:lang w:val="en-US"/>
        </w:rPr>
        <w:t>26</w:t>
      </w:r>
      <w:r w:rsidRPr="00263445">
        <w:rPr>
          <w:rFonts w:asciiTheme="majorHAnsi" w:hAnsiTheme="majorHAnsi"/>
          <w:lang w:val="en-US"/>
        </w:rPr>
        <w:t>: 2011-2022, 2015</w:t>
      </w:r>
    </w:p>
    <w:p w14:paraId="58C7CF0A"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38.</w:t>
      </w:r>
      <w:r w:rsidRPr="00263445">
        <w:rPr>
          <w:rFonts w:asciiTheme="majorHAnsi" w:hAnsiTheme="majorHAnsi"/>
          <w:lang w:val="en-US"/>
        </w:rPr>
        <w:tab/>
        <w:t xml:space="preserve">Vikse BE, Irgens LM, Leivestad T, Skjaerven R, Iversen BM. Preeclampsia and the risk of end-stage renal disease. </w:t>
      </w:r>
      <w:r w:rsidRPr="00263445">
        <w:rPr>
          <w:rFonts w:asciiTheme="majorHAnsi" w:hAnsiTheme="majorHAnsi"/>
          <w:i/>
          <w:lang w:val="en-US"/>
        </w:rPr>
        <w:t xml:space="preserve">N Engl J Med </w:t>
      </w:r>
      <w:r w:rsidRPr="00263445">
        <w:rPr>
          <w:rFonts w:asciiTheme="majorHAnsi" w:hAnsiTheme="majorHAnsi"/>
          <w:b/>
          <w:lang w:val="en-US"/>
        </w:rPr>
        <w:t>359</w:t>
      </w:r>
      <w:r w:rsidRPr="00263445">
        <w:rPr>
          <w:rFonts w:asciiTheme="majorHAnsi" w:hAnsiTheme="majorHAnsi"/>
          <w:lang w:val="en-US"/>
        </w:rPr>
        <w:t>: 800-809, 2008</w:t>
      </w:r>
    </w:p>
    <w:p w14:paraId="045E8F53" w14:textId="6143B2B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39.</w:t>
      </w:r>
      <w:r w:rsidRPr="00263445">
        <w:rPr>
          <w:rFonts w:asciiTheme="majorHAnsi" w:hAnsiTheme="majorHAnsi"/>
          <w:lang w:val="en-US"/>
        </w:rPr>
        <w:tab/>
        <w:t xml:space="preserve">Wang I-K, Muo C-H, Chang Y-C, Liang C-C, Chang C-T, Lin S-Y, Yen T-H, Chuang F-R, Chen P-C, Huang C-C, Wen C-P, Sung F-C, Morisky DE. Association between hypertensive disorders during pregnancy and end-stage renal disease: a population-based study. </w:t>
      </w:r>
      <w:r w:rsidRPr="00263445">
        <w:rPr>
          <w:rFonts w:asciiTheme="majorHAnsi" w:hAnsiTheme="majorHAnsi"/>
          <w:i/>
          <w:lang w:val="en-US"/>
        </w:rPr>
        <w:t xml:space="preserve">CMAJ </w:t>
      </w:r>
      <w:r w:rsidRPr="00263445">
        <w:rPr>
          <w:rFonts w:asciiTheme="majorHAnsi" w:hAnsiTheme="majorHAnsi"/>
          <w:b/>
          <w:lang w:val="en-US"/>
        </w:rPr>
        <w:t>185</w:t>
      </w:r>
      <w:r w:rsidR="006C6CBC">
        <w:rPr>
          <w:rFonts w:asciiTheme="majorHAnsi" w:hAnsiTheme="majorHAnsi"/>
          <w:lang w:val="en-US"/>
        </w:rPr>
        <w:t xml:space="preserve">: 207-213, 2013 (PMID: </w:t>
      </w:r>
      <w:r w:rsidRPr="00263445">
        <w:rPr>
          <w:rFonts w:asciiTheme="majorHAnsi" w:hAnsiTheme="majorHAnsi"/>
          <w:lang w:val="en-US"/>
        </w:rPr>
        <w:t>3576438</w:t>
      </w:r>
      <w:r w:rsidR="006C6CBC">
        <w:rPr>
          <w:rFonts w:asciiTheme="majorHAnsi" w:hAnsiTheme="majorHAnsi"/>
          <w:lang w:val="en-US"/>
        </w:rPr>
        <w:t>)</w:t>
      </w:r>
    </w:p>
    <w:p w14:paraId="3AAD0AB7" w14:textId="33B3C22E"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40.</w:t>
      </w:r>
      <w:r w:rsidRPr="00263445">
        <w:rPr>
          <w:rFonts w:asciiTheme="majorHAnsi" w:hAnsiTheme="majorHAnsi"/>
          <w:lang w:val="en-US"/>
        </w:rPr>
        <w:tab/>
        <w:t xml:space="preserve">Kattah AG, Scantlebury DC, Agarwal S, Mielke MM, Rocca WA, Weaver AL, Vaughan LE, Miller VM, Weissgerber TL, White W, Garovic VD. Preeclampsia and ESRD: </w:t>
      </w:r>
      <w:r w:rsidR="006C6CBC" w:rsidRPr="00263445">
        <w:rPr>
          <w:rFonts w:asciiTheme="majorHAnsi" w:hAnsiTheme="majorHAnsi"/>
          <w:lang w:val="en-US"/>
        </w:rPr>
        <w:t>the role of shared risk factors</w:t>
      </w:r>
      <w:r w:rsidRPr="00263445">
        <w:rPr>
          <w:rFonts w:asciiTheme="majorHAnsi" w:hAnsiTheme="majorHAnsi"/>
          <w:lang w:val="en-US"/>
        </w:rPr>
        <w:t xml:space="preserve">. </w:t>
      </w:r>
      <w:r w:rsidRPr="00263445">
        <w:rPr>
          <w:rFonts w:asciiTheme="majorHAnsi" w:hAnsiTheme="majorHAnsi"/>
          <w:i/>
          <w:lang w:val="en-US"/>
        </w:rPr>
        <w:t xml:space="preserve">Am J Kidney Dis </w:t>
      </w:r>
      <w:r w:rsidRPr="00263445">
        <w:rPr>
          <w:rFonts w:asciiTheme="majorHAnsi" w:hAnsiTheme="majorHAnsi"/>
          <w:b/>
          <w:lang w:val="en-US"/>
        </w:rPr>
        <w:t>69</w:t>
      </w:r>
      <w:r w:rsidR="006C6CBC">
        <w:rPr>
          <w:rFonts w:asciiTheme="majorHAnsi" w:hAnsiTheme="majorHAnsi"/>
          <w:lang w:val="en-US"/>
        </w:rPr>
        <w:t xml:space="preserve">: 498-505, 2017 (PMID: </w:t>
      </w:r>
      <w:r w:rsidRPr="00263445">
        <w:rPr>
          <w:rFonts w:asciiTheme="majorHAnsi" w:hAnsiTheme="majorHAnsi"/>
          <w:lang w:val="en-US"/>
        </w:rPr>
        <w:t>5366077</w:t>
      </w:r>
      <w:r w:rsidR="006C6CBC">
        <w:rPr>
          <w:rFonts w:asciiTheme="majorHAnsi" w:hAnsiTheme="majorHAnsi"/>
          <w:lang w:val="en-US"/>
        </w:rPr>
        <w:t>)</w:t>
      </w:r>
    </w:p>
    <w:p w14:paraId="1B80E4BA" w14:textId="5EB14804"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41.</w:t>
      </w:r>
      <w:r w:rsidRPr="00263445">
        <w:rPr>
          <w:rFonts w:asciiTheme="majorHAnsi" w:hAnsiTheme="majorHAnsi"/>
          <w:lang w:val="en-US"/>
        </w:rPr>
        <w:tab/>
        <w:t xml:space="preserve">Kristensen JH, Basit S, Wohlfahrt J, Damholt MB, Boyd HA. Pre-eclampsia and risk of later kidney disease: nationwide cohort study. </w:t>
      </w:r>
      <w:r w:rsidRPr="00263445">
        <w:rPr>
          <w:rFonts w:asciiTheme="majorHAnsi" w:hAnsiTheme="majorHAnsi"/>
          <w:i/>
          <w:lang w:val="en-US"/>
        </w:rPr>
        <w:t xml:space="preserve">BMJ </w:t>
      </w:r>
      <w:r w:rsidRPr="00263445">
        <w:rPr>
          <w:rFonts w:asciiTheme="majorHAnsi" w:hAnsiTheme="majorHAnsi"/>
          <w:b/>
          <w:lang w:val="en-US"/>
        </w:rPr>
        <w:t>365</w:t>
      </w:r>
      <w:r w:rsidR="006C6CBC">
        <w:rPr>
          <w:rFonts w:asciiTheme="majorHAnsi" w:hAnsiTheme="majorHAnsi"/>
          <w:lang w:val="en-US"/>
        </w:rPr>
        <w:t xml:space="preserve">: l1516, 2019 (PMID: </w:t>
      </w:r>
      <w:r w:rsidRPr="00263445">
        <w:rPr>
          <w:rFonts w:asciiTheme="majorHAnsi" w:hAnsiTheme="majorHAnsi"/>
          <w:lang w:val="en-US"/>
        </w:rPr>
        <w:t>6487675</w:t>
      </w:r>
      <w:r w:rsidR="006C6CBC">
        <w:rPr>
          <w:rFonts w:asciiTheme="majorHAnsi" w:hAnsiTheme="majorHAnsi"/>
          <w:lang w:val="en-US"/>
        </w:rPr>
        <w:t>)</w:t>
      </w:r>
    </w:p>
    <w:p w14:paraId="3AD369AB"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42.</w:t>
      </w:r>
      <w:r w:rsidRPr="00263445">
        <w:rPr>
          <w:rFonts w:asciiTheme="majorHAnsi" w:hAnsiTheme="majorHAnsi"/>
          <w:lang w:val="en-US"/>
        </w:rPr>
        <w:tab/>
        <w:t xml:space="preserve">Strevens H, Wide-Swensson D, Hansen A, Horn T, Ingemarsson I, Larsen S, Willner J, Olsen S. Glomerular endotheliosis in normal pregnancy and pre-eclampsia. </w:t>
      </w:r>
      <w:r w:rsidRPr="00263445">
        <w:rPr>
          <w:rFonts w:asciiTheme="majorHAnsi" w:hAnsiTheme="majorHAnsi"/>
          <w:i/>
          <w:lang w:val="en-US"/>
        </w:rPr>
        <w:t xml:space="preserve">BJOG </w:t>
      </w:r>
      <w:r w:rsidRPr="00263445">
        <w:rPr>
          <w:rFonts w:asciiTheme="majorHAnsi" w:hAnsiTheme="majorHAnsi"/>
          <w:b/>
          <w:lang w:val="en-US"/>
        </w:rPr>
        <w:t>110</w:t>
      </w:r>
      <w:r w:rsidRPr="00263445">
        <w:rPr>
          <w:rFonts w:asciiTheme="majorHAnsi" w:hAnsiTheme="majorHAnsi"/>
          <w:lang w:val="en-US"/>
        </w:rPr>
        <w:t>: 831-836, 2003</w:t>
      </w:r>
    </w:p>
    <w:p w14:paraId="5B89A481" w14:textId="5CBED281"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43.</w:t>
      </w:r>
      <w:r w:rsidRPr="00263445">
        <w:rPr>
          <w:rFonts w:asciiTheme="majorHAnsi" w:hAnsiTheme="majorHAnsi"/>
          <w:lang w:val="en-US"/>
        </w:rPr>
        <w:tab/>
        <w:t xml:space="preserve">Penning ME, Bloemenkamp KW, van der Zon T, Zandbergen M, Schutte JM, Bruijn JA, Bajema IM, Baelde HJ. Association of preeclampsia with podocyte turnover. </w:t>
      </w:r>
      <w:r w:rsidRPr="00263445">
        <w:rPr>
          <w:rFonts w:asciiTheme="majorHAnsi" w:hAnsiTheme="majorHAnsi"/>
          <w:i/>
          <w:lang w:val="en-US"/>
        </w:rPr>
        <w:t xml:space="preserve">Clin J Am Soc Nephrol </w:t>
      </w:r>
      <w:r w:rsidRPr="00263445">
        <w:rPr>
          <w:rFonts w:asciiTheme="majorHAnsi" w:hAnsiTheme="majorHAnsi"/>
          <w:b/>
          <w:lang w:val="en-US"/>
        </w:rPr>
        <w:t>9</w:t>
      </w:r>
      <w:r w:rsidR="006C6CBC">
        <w:rPr>
          <w:rFonts w:asciiTheme="majorHAnsi" w:hAnsiTheme="majorHAnsi"/>
          <w:lang w:val="en-US"/>
        </w:rPr>
        <w:t xml:space="preserve">: 1377-1385, 2014 (PMID: </w:t>
      </w:r>
      <w:r w:rsidRPr="00263445">
        <w:rPr>
          <w:rFonts w:asciiTheme="majorHAnsi" w:hAnsiTheme="majorHAnsi"/>
          <w:lang w:val="en-US"/>
        </w:rPr>
        <w:t>4123409</w:t>
      </w:r>
      <w:r w:rsidR="006C6CBC">
        <w:rPr>
          <w:rFonts w:asciiTheme="majorHAnsi" w:hAnsiTheme="majorHAnsi"/>
          <w:lang w:val="en-US"/>
        </w:rPr>
        <w:t>)</w:t>
      </w:r>
    </w:p>
    <w:p w14:paraId="4A78CB78"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44.</w:t>
      </w:r>
      <w:r w:rsidRPr="00263445">
        <w:rPr>
          <w:rFonts w:asciiTheme="majorHAnsi" w:hAnsiTheme="majorHAnsi"/>
          <w:lang w:val="en-US"/>
        </w:rPr>
        <w:tab/>
        <w:t xml:space="preserve">Piccoli GB, Daidola G, Attini R, Parisi S, Fassio F, Naretto C, Deagostini MC, Castelluccia N, Ferraresi M, Roccatello D, Todros T. Kidney biopsy in pregnancy: evidence for counselling? A systematic narrative review. </w:t>
      </w:r>
      <w:r w:rsidRPr="00263445">
        <w:rPr>
          <w:rFonts w:asciiTheme="majorHAnsi" w:hAnsiTheme="majorHAnsi"/>
          <w:i/>
          <w:lang w:val="en-US"/>
        </w:rPr>
        <w:t xml:space="preserve">BJOG </w:t>
      </w:r>
      <w:r w:rsidRPr="00263445">
        <w:rPr>
          <w:rFonts w:asciiTheme="majorHAnsi" w:hAnsiTheme="majorHAnsi"/>
          <w:b/>
          <w:lang w:val="en-US"/>
        </w:rPr>
        <w:t>120</w:t>
      </w:r>
      <w:r w:rsidRPr="00263445">
        <w:rPr>
          <w:rFonts w:asciiTheme="majorHAnsi" w:hAnsiTheme="majorHAnsi"/>
          <w:lang w:val="en-US"/>
        </w:rPr>
        <w:t>: 412-427, 2013</w:t>
      </w:r>
    </w:p>
    <w:p w14:paraId="172295EF" w14:textId="1CCD5F90"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45.</w:t>
      </w:r>
      <w:r w:rsidRPr="00263445">
        <w:rPr>
          <w:rFonts w:asciiTheme="majorHAnsi" w:hAnsiTheme="majorHAnsi"/>
          <w:lang w:val="en-US"/>
        </w:rPr>
        <w:tab/>
        <w:t xml:space="preserve">Wiles K, Chappell L, Clark K, Elman L, Hall M, Lightstone L, Mohamed G, Mukherjee D, Nelson-Piercy C, Webster P, Whybrow R, Bramham K. Clinical practice guideline on pregnancy and renal disease. </w:t>
      </w:r>
      <w:r w:rsidRPr="00263445">
        <w:rPr>
          <w:rFonts w:asciiTheme="majorHAnsi" w:hAnsiTheme="majorHAnsi"/>
          <w:i/>
          <w:lang w:val="en-US"/>
        </w:rPr>
        <w:t xml:space="preserve">BMC Nephrol </w:t>
      </w:r>
      <w:r w:rsidRPr="00263445">
        <w:rPr>
          <w:rFonts w:asciiTheme="majorHAnsi" w:hAnsiTheme="majorHAnsi"/>
          <w:b/>
          <w:lang w:val="en-US"/>
        </w:rPr>
        <w:t>20</w:t>
      </w:r>
      <w:r w:rsidR="006C6CBC">
        <w:rPr>
          <w:rFonts w:asciiTheme="majorHAnsi" w:hAnsiTheme="majorHAnsi"/>
          <w:lang w:val="en-US"/>
        </w:rPr>
        <w:t xml:space="preserve">: 401, 2019 (PMID: </w:t>
      </w:r>
      <w:r w:rsidRPr="00263445">
        <w:rPr>
          <w:rFonts w:asciiTheme="majorHAnsi" w:hAnsiTheme="majorHAnsi"/>
          <w:lang w:val="en-US"/>
        </w:rPr>
        <w:t>6822421</w:t>
      </w:r>
      <w:r w:rsidR="006C6CBC">
        <w:rPr>
          <w:rFonts w:asciiTheme="majorHAnsi" w:hAnsiTheme="majorHAnsi"/>
          <w:lang w:val="en-US"/>
        </w:rPr>
        <w:t>)</w:t>
      </w:r>
    </w:p>
    <w:p w14:paraId="24DEB569"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46.</w:t>
      </w:r>
      <w:r w:rsidRPr="00263445">
        <w:rPr>
          <w:rFonts w:asciiTheme="majorHAnsi" w:hAnsiTheme="majorHAnsi"/>
          <w:lang w:val="en-US"/>
        </w:rPr>
        <w:tab/>
        <w:t xml:space="preserve">Kincaid-Smith P. The renal lesion of preeclampsia revisited. </w:t>
      </w:r>
      <w:r w:rsidRPr="00263445">
        <w:rPr>
          <w:rFonts w:asciiTheme="majorHAnsi" w:hAnsiTheme="majorHAnsi"/>
          <w:i/>
          <w:lang w:val="en-US"/>
        </w:rPr>
        <w:t xml:space="preserve">Am J Kidney Dis </w:t>
      </w:r>
      <w:r w:rsidRPr="00263445">
        <w:rPr>
          <w:rFonts w:asciiTheme="majorHAnsi" w:hAnsiTheme="majorHAnsi"/>
          <w:b/>
          <w:lang w:val="en-US"/>
        </w:rPr>
        <w:t>17</w:t>
      </w:r>
      <w:r w:rsidRPr="00263445">
        <w:rPr>
          <w:rFonts w:asciiTheme="majorHAnsi" w:hAnsiTheme="majorHAnsi"/>
          <w:lang w:val="en-US"/>
        </w:rPr>
        <w:t>: 144-148, 1991</w:t>
      </w:r>
    </w:p>
    <w:p w14:paraId="0EE250D8"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47.</w:t>
      </w:r>
      <w:r w:rsidRPr="00263445">
        <w:rPr>
          <w:rFonts w:asciiTheme="majorHAnsi" w:hAnsiTheme="majorHAnsi"/>
          <w:lang w:val="en-US"/>
        </w:rPr>
        <w:tab/>
        <w:t xml:space="preserve">Berks D, Steegers EAP, Molas M, Visser W. Resolution of hypertension and proteinuria after preeclampsia. </w:t>
      </w:r>
      <w:r w:rsidRPr="00263445">
        <w:rPr>
          <w:rFonts w:asciiTheme="majorHAnsi" w:hAnsiTheme="majorHAnsi"/>
          <w:i/>
          <w:lang w:val="en-US"/>
        </w:rPr>
        <w:t xml:space="preserve">Obstet Gynecol </w:t>
      </w:r>
      <w:r w:rsidRPr="00263445">
        <w:rPr>
          <w:rFonts w:asciiTheme="majorHAnsi" w:hAnsiTheme="majorHAnsi"/>
          <w:b/>
          <w:lang w:val="en-US"/>
        </w:rPr>
        <w:t>114</w:t>
      </w:r>
      <w:r w:rsidRPr="00263445">
        <w:rPr>
          <w:rFonts w:asciiTheme="majorHAnsi" w:hAnsiTheme="majorHAnsi"/>
          <w:lang w:val="en-US"/>
        </w:rPr>
        <w:t>: 1307-1314, 2009</w:t>
      </w:r>
    </w:p>
    <w:p w14:paraId="1B441DD3"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48.</w:t>
      </w:r>
      <w:r w:rsidRPr="00263445">
        <w:rPr>
          <w:rFonts w:asciiTheme="majorHAnsi" w:hAnsiTheme="majorHAnsi"/>
          <w:lang w:val="en-US"/>
        </w:rPr>
        <w:tab/>
        <w:t xml:space="preserve">Bramham K, Parnell B, Nelson-Piercy C, Seed PT, Poston L, Chappell LC. Chronic hypertension and pregnancy outcomes: systematic review and meta-analysis. </w:t>
      </w:r>
      <w:r w:rsidRPr="00263445">
        <w:rPr>
          <w:rFonts w:asciiTheme="majorHAnsi" w:hAnsiTheme="majorHAnsi"/>
          <w:i/>
          <w:lang w:val="en-US"/>
        </w:rPr>
        <w:t xml:space="preserve">BMJ </w:t>
      </w:r>
      <w:r w:rsidRPr="00263445">
        <w:rPr>
          <w:rFonts w:asciiTheme="majorHAnsi" w:hAnsiTheme="majorHAnsi"/>
          <w:b/>
          <w:lang w:val="en-US"/>
        </w:rPr>
        <w:t>348</w:t>
      </w:r>
      <w:r w:rsidRPr="00263445">
        <w:rPr>
          <w:rFonts w:asciiTheme="majorHAnsi" w:hAnsiTheme="majorHAnsi"/>
          <w:lang w:val="en-US"/>
        </w:rPr>
        <w:t>: g2301-g2301, 2014</w:t>
      </w:r>
    </w:p>
    <w:p w14:paraId="1F38F9B3" w14:textId="410D2DB8"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49.</w:t>
      </w:r>
      <w:r w:rsidRPr="00263445">
        <w:rPr>
          <w:rFonts w:asciiTheme="majorHAnsi" w:hAnsiTheme="majorHAnsi"/>
          <w:lang w:val="en-US"/>
        </w:rPr>
        <w:tab/>
        <w:t>Imbasciati E, Gregorini G, Cabiddu G, Gammaro L, Ambroso G, Del Giudice A, Ravani P. P</w:t>
      </w:r>
      <w:r w:rsidR="00D72B7F">
        <w:rPr>
          <w:rFonts w:asciiTheme="majorHAnsi" w:hAnsiTheme="majorHAnsi"/>
          <w:lang w:val="en-US"/>
        </w:rPr>
        <w:t>regnancy in CKD stages 3 to 5: fetal and maternal o</w:t>
      </w:r>
      <w:r w:rsidRPr="00263445">
        <w:rPr>
          <w:rFonts w:asciiTheme="majorHAnsi" w:hAnsiTheme="majorHAnsi"/>
          <w:lang w:val="en-US"/>
        </w:rPr>
        <w:t xml:space="preserve">utcomes. </w:t>
      </w:r>
      <w:r w:rsidRPr="00263445">
        <w:rPr>
          <w:rFonts w:asciiTheme="majorHAnsi" w:hAnsiTheme="majorHAnsi"/>
          <w:i/>
          <w:lang w:val="en-US"/>
        </w:rPr>
        <w:t xml:space="preserve">American Journal of Kidney Diseases </w:t>
      </w:r>
      <w:r w:rsidRPr="00263445">
        <w:rPr>
          <w:rFonts w:asciiTheme="majorHAnsi" w:hAnsiTheme="majorHAnsi"/>
          <w:b/>
          <w:lang w:val="en-US"/>
        </w:rPr>
        <w:t>49</w:t>
      </w:r>
      <w:r w:rsidRPr="00263445">
        <w:rPr>
          <w:rFonts w:asciiTheme="majorHAnsi" w:hAnsiTheme="majorHAnsi"/>
          <w:lang w:val="en-US"/>
        </w:rPr>
        <w:t>: 753-762, 2007</w:t>
      </w:r>
    </w:p>
    <w:p w14:paraId="67D01DE5" w14:textId="7957CDFC"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50.</w:t>
      </w:r>
      <w:r w:rsidRPr="00263445">
        <w:rPr>
          <w:rFonts w:asciiTheme="majorHAnsi" w:hAnsiTheme="majorHAnsi"/>
          <w:lang w:val="en-US"/>
        </w:rPr>
        <w:tab/>
        <w:t xml:space="preserve">Rolfo A, Attini R, Tavassoli E, Neve FV, Nigra M, Cicilano M, Nuzzo AM, Giuffrida D, Biolcati M, Nichelatti M, Gaglioti P, Todros T, Piccoli GB. </w:t>
      </w:r>
      <w:r w:rsidR="00D72B7F">
        <w:rPr>
          <w:rFonts w:asciiTheme="majorHAnsi" w:hAnsiTheme="majorHAnsi"/>
          <w:lang w:val="en-US"/>
        </w:rPr>
        <w:t xml:space="preserve"> Is it</w:t>
      </w:r>
      <w:r w:rsidR="00D72B7F" w:rsidRPr="00263445">
        <w:rPr>
          <w:rFonts w:asciiTheme="majorHAnsi" w:hAnsiTheme="majorHAnsi"/>
          <w:lang w:val="en-US"/>
        </w:rPr>
        <w:t xml:space="preserve"> possible to differentiate chronic kidney disease and preeclampsia by me</w:t>
      </w:r>
      <w:r w:rsidR="00D72B7F">
        <w:rPr>
          <w:rFonts w:asciiTheme="majorHAnsi" w:hAnsiTheme="majorHAnsi"/>
          <w:lang w:val="en-US"/>
        </w:rPr>
        <w:t>ans of new and old biomarkers? A</w:t>
      </w:r>
      <w:r w:rsidR="00D72B7F" w:rsidRPr="00263445">
        <w:rPr>
          <w:rFonts w:asciiTheme="majorHAnsi" w:hAnsiTheme="majorHAnsi"/>
          <w:lang w:val="en-US"/>
        </w:rPr>
        <w:t xml:space="preserve"> prospective study</w:t>
      </w:r>
      <w:r w:rsidRPr="00263445">
        <w:rPr>
          <w:rFonts w:asciiTheme="majorHAnsi" w:hAnsiTheme="majorHAnsi"/>
          <w:lang w:val="en-US"/>
        </w:rPr>
        <w:t xml:space="preserve">. </w:t>
      </w:r>
      <w:r w:rsidRPr="00263445">
        <w:rPr>
          <w:rFonts w:asciiTheme="majorHAnsi" w:hAnsiTheme="majorHAnsi"/>
          <w:i/>
          <w:lang w:val="en-US"/>
        </w:rPr>
        <w:t xml:space="preserve">Dis Markers </w:t>
      </w:r>
      <w:r w:rsidRPr="00263445">
        <w:rPr>
          <w:rFonts w:asciiTheme="majorHAnsi" w:hAnsiTheme="majorHAnsi"/>
          <w:b/>
          <w:lang w:val="en-US"/>
        </w:rPr>
        <w:t>2015</w:t>
      </w:r>
      <w:r w:rsidR="00D72B7F">
        <w:rPr>
          <w:rFonts w:asciiTheme="majorHAnsi" w:hAnsiTheme="majorHAnsi"/>
          <w:lang w:val="en-US"/>
        </w:rPr>
        <w:t xml:space="preserve">: 127083, 2015 (PMID: </w:t>
      </w:r>
      <w:r w:rsidRPr="00263445">
        <w:rPr>
          <w:rFonts w:asciiTheme="majorHAnsi" w:hAnsiTheme="majorHAnsi"/>
          <w:lang w:val="en-US"/>
        </w:rPr>
        <w:t>4618113</w:t>
      </w:r>
      <w:r w:rsidR="00D72B7F">
        <w:rPr>
          <w:rFonts w:asciiTheme="majorHAnsi" w:hAnsiTheme="majorHAnsi"/>
          <w:lang w:val="en-US"/>
        </w:rPr>
        <w:t>)</w:t>
      </w:r>
    </w:p>
    <w:p w14:paraId="3617BA2D"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51.</w:t>
      </w:r>
      <w:r w:rsidRPr="00263445">
        <w:rPr>
          <w:rFonts w:asciiTheme="majorHAnsi" w:hAnsiTheme="majorHAnsi"/>
          <w:lang w:val="en-US"/>
        </w:rPr>
        <w:tab/>
        <w:t xml:space="preserve">Masuyama H, Suwaki N, Nakatsukasa H, Masumoto A, Tateishi Y, Hiramatrsu Y. Circulating angiogenic factors in preeclampsia, gestational proteinuria, and preeclampsia superimposed on chronic glomerulonephritis. </w:t>
      </w:r>
      <w:r w:rsidRPr="00263445">
        <w:rPr>
          <w:rFonts w:asciiTheme="majorHAnsi" w:hAnsiTheme="majorHAnsi"/>
          <w:i/>
          <w:lang w:val="en-US"/>
        </w:rPr>
        <w:t xml:space="preserve">Am J Obstet Gynecol </w:t>
      </w:r>
      <w:r w:rsidRPr="00263445">
        <w:rPr>
          <w:rFonts w:asciiTheme="majorHAnsi" w:hAnsiTheme="majorHAnsi"/>
          <w:b/>
          <w:lang w:val="en-US"/>
        </w:rPr>
        <w:t>194</w:t>
      </w:r>
      <w:r w:rsidRPr="00263445">
        <w:rPr>
          <w:rFonts w:asciiTheme="majorHAnsi" w:hAnsiTheme="majorHAnsi"/>
          <w:lang w:val="en-US"/>
        </w:rPr>
        <w:t>: 551-556, 2006</w:t>
      </w:r>
    </w:p>
    <w:p w14:paraId="474E1DF9"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52.</w:t>
      </w:r>
      <w:r w:rsidRPr="00263445">
        <w:rPr>
          <w:rFonts w:asciiTheme="majorHAnsi" w:hAnsiTheme="majorHAnsi"/>
          <w:lang w:val="en-US"/>
        </w:rPr>
        <w:tab/>
        <w:t xml:space="preserve">Masuyama H, Nobumoto E, Okimoto N, Inoue S, Segawa T, Hiramatsu Y. Superimposed preeclampsia in women with chronic kidney disease. </w:t>
      </w:r>
      <w:r w:rsidRPr="00263445">
        <w:rPr>
          <w:rFonts w:asciiTheme="majorHAnsi" w:hAnsiTheme="majorHAnsi"/>
          <w:i/>
          <w:lang w:val="en-US"/>
        </w:rPr>
        <w:t xml:space="preserve">Gynecol Obstet Invest </w:t>
      </w:r>
      <w:r w:rsidRPr="00263445">
        <w:rPr>
          <w:rFonts w:asciiTheme="majorHAnsi" w:hAnsiTheme="majorHAnsi"/>
          <w:b/>
          <w:lang w:val="en-US"/>
        </w:rPr>
        <w:t>74</w:t>
      </w:r>
      <w:r w:rsidRPr="00263445">
        <w:rPr>
          <w:rFonts w:asciiTheme="majorHAnsi" w:hAnsiTheme="majorHAnsi"/>
          <w:lang w:val="en-US"/>
        </w:rPr>
        <w:t>: 274-281, 2012</w:t>
      </w:r>
    </w:p>
    <w:p w14:paraId="1AE0BA31" w14:textId="5EB08ACF"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53.</w:t>
      </w:r>
      <w:r w:rsidRPr="00263445">
        <w:rPr>
          <w:rFonts w:asciiTheme="majorHAnsi" w:hAnsiTheme="majorHAnsi"/>
          <w:lang w:val="en-US"/>
        </w:rPr>
        <w:tab/>
        <w:t>L</w:t>
      </w:r>
      <w:r w:rsidR="00D72B7F">
        <w:rPr>
          <w:rFonts w:asciiTheme="majorHAnsi" w:hAnsiTheme="majorHAnsi"/>
          <w:lang w:val="en-US"/>
        </w:rPr>
        <w:t xml:space="preserve"> </w:t>
      </w:r>
      <w:r w:rsidRPr="00263445">
        <w:rPr>
          <w:rFonts w:asciiTheme="majorHAnsi" w:hAnsiTheme="majorHAnsi"/>
          <w:lang w:val="en-US"/>
        </w:rPr>
        <w:t xml:space="preserve">evine RJ, Thadhani R, Qian C, Lam C, Lim KH, Yu KF, Blink AL, Sachs BP, Epstein FH, Sibai BM, Sukhatme VP, Karumanchi SA. Urinary placental growth factor and risk of preeclampsia. </w:t>
      </w:r>
      <w:r w:rsidRPr="00263445">
        <w:rPr>
          <w:rFonts w:asciiTheme="majorHAnsi" w:hAnsiTheme="majorHAnsi"/>
          <w:i/>
          <w:lang w:val="en-US"/>
        </w:rPr>
        <w:t xml:space="preserve">JAMA </w:t>
      </w:r>
      <w:r w:rsidRPr="00263445">
        <w:rPr>
          <w:rFonts w:asciiTheme="majorHAnsi" w:hAnsiTheme="majorHAnsi"/>
          <w:b/>
          <w:lang w:val="en-US"/>
        </w:rPr>
        <w:t>293</w:t>
      </w:r>
      <w:r w:rsidRPr="00263445">
        <w:rPr>
          <w:rFonts w:asciiTheme="majorHAnsi" w:hAnsiTheme="majorHAnsi"/>
          <w:lang w:val="en-US"/>
        </w:rPr>
        <w:t>: 77-85, 2005</w:t>
      </w:r>
    </w:p>
    <w:p w14:paraId="3A53B062" w14:textId="322D8DBD"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54.</w:t>
      </w:r>
      <w:r w:rsidRPr="00263445">
        <w:rPr>
          <w:rFonts w:asciiTheme="majorHAnsi" w:hAnsiTheme="majorHAnsi"/>
          <w:lang w:val="en-US"/>
        </w:rPr>
        <w:tab/>
        <w:t>Askie LM, Duley L, Henderson-Sm</w:t>
      </w:r>
      <w:r w:rsidR="00D72B7F">
        <w:rPr>
          <w:rFonts w:asciiTheme="majorHAnsi" w:hAnsiTheme="majorHAnsi"/>
          <w:lang w:val="en-US"/>
        </w:rPr>
        <w:t>art DJ, Stewart LA, PARIS Collaborative Group</w:t>
      </w:r>
      <w:r w:rsidRPr="00263445">
        <w:rPr>
          <w:rFonts w:asciiTheme="majorHAnsi" w:hAnsiTheme="majorHAnsi"/>
          <w:lang w:val="en-US"/>
        </w:rPr>
        <w:t xml:space="preserve">. Antiplatelet agents for prevention of pre-eclampsia: a meta-analysis of individual patient data. </w:t>
      </w:r>
      <w:r w:rsidRPr="00263445">
        <w:rPr>
          <w:rFonts w:asciiTheme="majorHAnsi" w:hAnsiTheme="majorHAnsi"/>
          <w:i/>
          <w:lang w:val="en-US"/>
        </w:rPr>
        <w:t xml:space="preserve">Lancet </w:t>
      </w:r>
      <w:r w:rsidRPr="00263445">
        <w:rPr>
          <w:rFonts w:asciiTheme="majorHAnsi" w:hAnsiTheme="majorHAnsi"/>
          <w:b/>
          <w:lang w:val="en-US"/>
        </w:rPr>
        <w:t>369</w:t>
      </w:r>
      <w:r w:rsidRPr="00263445">
        <w:rPr>
          <w:rFonts w:asciiTheme="majorHAnsi" w:hAnsiTheme="majorHAnsi"/>
          <w:lang w:val="en-US"/>
        </w:rPr>
        <w:t>: 1791-1798, 2007</w:t>
      </w:r>
    </w:p>
    <w:p w14:paraId="37A27D7D" w14:textId="17208816"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55.</w:t>
      </w:r>
      <w:r w:rsidRPr="00263445">
        <w:rPr>
          <w:rFonts w:asciiTheme="majorHAnsi" w:hAnsiTheme="majorHAnsi"/>
          <w:lang w:val="en-US"/>
        </w:rPr>
        <w:tab/>
        <w:t xml:space="preserve">Henderson JT, EP Whitlock, E O’Conner, CA Senger, JH Thompson, MG Rowland. 2014. </w:t>
      </w:r>
      <w:r w:rsidRPr="00D72B7F">
        <w:rPr>
          <w:rFonts w:asciiTheme="majorHAnsi" w:hAnsiTheme="majorHAnsi"/>
          <w:lang w:val="en-US"/>
        </w:rPr>
        <w:t>Low</w:t>
      </w:r>
      <w:r w:rsidR="00D72B7F" w:rsidRPr="00D72B7F">
        <w:rPr>
          <w:rFonts w:asciiTheme="majorHAnsi" w:hAnsiTheme="majorHAnsi"/>
          <w:lang w:val="en-US"/>
        </w:rPr>
        <w:t>-dose aspirin for the prevention of morbidity and mortality from preeclampsia: a system</w:t>
      </w:r>
      <w:r w:rsidR="00D72B7F">
        <w:rPr>
          <w:rFonts w:asciiTheme="majorHAnsi" w:hAnsiTheme="majorHAnsi"/>
          <w:lang w:val="en-US"/>
        </w:rPr>
        <w:t>atic evidence review for the US P</w:t>
      </w:r>
      <w:r w:rsidR="00D72B7F" w:rsidRPr="00D72B7F">
        <w:rPr>
          <w:rFonts w:asciiTheme="majorHAnsi" w:hAnsiTheme="majorHAnsi"/>
          <w:lang w:val="en-US"/>
        </w:rPr>
        <w:t>reven</w:t>
      </w:r>
      <w:r w:rsidR="00D72B7F">
        <w:rPr>
          <w:rFonts w:asciiTheme="majorHAnsi" w:hAnsiTheme="majorHAnsi"/>
          <w:lang w:val="en-US"/>
        </w:rPr>
        <w:t>tive Services Task F</w:t>
      </w:r>
      <w:r w:rsidR="00D72B7F" w:rsidRPr="00D72B7F">
        <w:rPr>
          <w:rFonts w:asciiTheme="majorHAnsi" w:hAnsiTheme="majorHAnsi"/>
          <w:lang w:val="en-US"/>
        </w:rPr>
        <w:t>orce</w:t>
      </w:r>
      <w:r w:rsidRPr="00263445">
        <w:rPr>
          <w:rFonts w:asciiTheme="majorHAnsi" w:hAnsiTheme="majorHAnsi"/>
          <w:lang w:val="en-US"/>
        </w:rPr>
        <w:t>.</w:t>
      </w:r>
      <w:r w:rsidRPr="00263445">
        <w:rPr>
          <w:rFonts w:asciiTheme="majorHAnsi" w:hAnsiTheme="majorHAnsi"/>
          <w:i/>
          <w:lang w:val="en-US"/>
        </w:rPr>
        <w:t xml:space="preserve"> </w:t>
      </w:r>
      <w:r w:rsidR="00D72B7F">
        <w:rPr>
          <w:rFonts w:asciiTheme="majorHAnsi" w:hAnsiTheme="majorHAnsi"/>
          <w:i/>
          <w:lang w:val="en-US"/>
        </w:rPr>
        <w:t xml:space="preserve">Ann Intern Med </w:t>
      </w:r>
      <w:r w:rsidR="00D72B7F">
        <w:rPr>
          <w:rFonts w:asciiTheme="majorHAnsi" w:hAnsiTheme="majorHAnsi"/>
          <w:b/>
          <w:lang w:val="en-US"/>
        </w:rPr>
        <w:t>160</w:t>
      </w:r>
      <w:r w:rsidR="00D72B7F">
        <w:rPr>
          <w:rFonts w:asciiTheme="majorHAnsi" w:hAnsiTheme="majorHAnsi"/>
          <w:lang w:val="en-US"/>
        </w:rPr>
        <w:t xml:space="preserve">:695-703, 2014 (PMID: </w:t>
      </w:r>
      <w:r w:rsidR="00D72B7F" w:rsidRPr="00D72B7F">
        <w:rPr>
          <w:rFonts w:asciiTheme="majorHAnsi" w:hAnsiTheme="majorHAnsi"/>
          <w:lang w:val="en-US"/>
        </w:rPr>
        <w:t>24711050</w:t>
      </w:r>
      <w:r w:rsidR="00D72B7F">
        <w:rPr>
          <w:rFonts w:asciiTheme="majorHAnsi" w:hAnsiTheme="majorHAnsi"/>
          <w:lang w:val="en-US"/>
        </w:rPr>
        <w:t>)</w:t>
      </w:r>
      <w:r w:rsidR="00D72B7F">
        <w:rPr>
          <w:rFonts w:asciiTheme="majorHAnsi" w:hAnsiTheme="majorHAnsi"/>
          <w:b/>
          <w:lang w:val="en-US"/>
        </w:rPr>
        <w:t xml:space="preserve"> </w:t>
      </w:r>
    </w:p>
    <w:p w14:paraId="6FB4EEBD"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56.</w:t>
      </w:r>
      <w:r w:rsidRPr="00263445">
        <w:rPr>
          <w:rFonts w:asciiTheme="majorHAnsi" w:hAnsiTheme="majorHAnsi"/>
          <w:lang w:val="en-US"/>
        </w:rPr>
        <w:tab/>
        <w:t xml:space="preserve">Meher S, Duley L, Hunter K, Askie L. Antiplatelet therapy before or after 16 weeks’ gestation for preventing preeclampsia: an individual participant data meta-analysis. </w:t>
      </w:r>
      <w:r w:rsidRPr="00263445">
        <w:rPr>
          <w:rFonts w:asciiTheme="majorHAnsi" w:hAnsiTheme="majorHAnsi"/>
          <w:i/>
          <w:lang w:val="en-US"/>
        </w:rPr>
        <w:t xml:space="preserve">Am J Obstet Gynecol </w:t>
      </w:r>
      <w:r w:rsidRPr="00263445">
        <w:rPr>
          <w:rFonts w:asciiTheme="majorHAnsi" w:hAnsiTheme="majorHAnsi"/>
          <w:b/>
          <w:lang w:val="en-US"/>
        </w:rPr>
        <w:t>216</w:t>
      </w:r>
      <w:r w:rsidRPr="00263445">
        <w:rPr>
          <w:rFonts w:asciiTheme="majorHAnsi" w:hAnsiTheme="majorHAnsi"/>
          <w:lang w:val="en-US"/>
        </w:rPr>
        <w:t>: 121-128.e2, 2017</w:t>
      </w:r>
    </w:p>
    <w:p w14:paraId="0B37A9B2"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57.</w:t>
      </w:r>
      <w:r w:rsidRPr="00263445">
        <w:rPr>
          <w:rFonts w:asciiTheme="majorHAnsi" w:hAnsiTheme="majorHAnsi"/>
          <w:lang w:val="en-US"/>
        </w:rPr>
        <w:tab/>
        <w:t xml:space="preserve">Roberge S, Nicolaides K, Demers S, Hyett J, Chaillet N, Bujold E. The role of aspirin dose on the prevention of preeclampsia and fetal growth restriction: systematic review and meta-analysis. </w:t>
      </w:r>
      <w:r w:rsidRPr="00263445">
        <w:rPr>
          <w:rFonts w:asciiTheme="majorHAnsi" w:hAnsiTheme="majorHAnsi"/>
          <w:i/>
          <w:lang w:val="en-US"/>
        </w:rPr>
        <w:t xml:space="preserve">Am J Obstet Gynecol </w:t>
      </w:r>
      <w:r w:rsidRPr="00263445">
        <w:rPr>
          <w:rFonts w:asciiTheme="majorHAnsi" w:hAnsiTheme="majorHAnsi"/>
          <w:b/>
          <w:lang w:val="en-US"/>
        </w:rPr>
        <w:t>216</w:t>
      </w:r>
      <w:r w:rsidRPr="00263445">
        <w:rPr>
          <w:rFonts w:asciiTheme="majorHAnsi" w:hAnsiTheme="majorHAnsi"/>
          <w:lang w:val="en-US"/>
        </w:rPr>
        <w:t>: 110-120.e6, 2017</w:t>
      </w:r>
    </w:p>
    <w:p w14:paraId="7175CDD4" w14:textId="091F9501"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58.</w:t>
      </w:r>
      <w:r w:rsidRPr="00263445">
        <w:rPr>
          <w:rFonts w:asciiTheme="majorHAnsi" w:hAnsiTheme="majorHAnsi"/>
          <w:lang w:val="en-US"/>
        </w:rPr>
        <w:tab/>
      </w:r>
      <w:r w:rsidR="00D770F1">
        <w:rPr>
          <w:rFonts w:asciiTheme="majorHAnsi" w:hAnsiTheme="majorHAnsi"/>
          <w:lang w:val="en-US"/>
        </w:rPr>
        <w:t xml:space="preserve">National Institute for Health and Care </w:t>
      </w:r>
      <w:r w:rsidRPr="00263445">
        <w:rPr>
          <w:rFonts w:asciiTheme="majorHAnsi" w:hAnsiTheme="majorHAnsi"/>
          <w:lang w:val="en-US"/>
        </w:rPr>
        <w:t xml:space="preserve">Excellence. Hypertension in pregnancy: diagnosis and management. </w:t>
      </w:r>
      <w:r w:rsidRPr="00263445">
        <w:rPr>
          <w:rFonts w:asciiTheme="majorHAnsi" w:hAnsiTheme="majorHAnsi"/>
          <w:b/>
          <w:lang w:val="en-US"/>
        </w:rPr>
        <w:t>NG133</w:t>
      </w:r>
      <w:r w:rsidRPr="00263445">
        <w:rPr>
          <w:rFonts w:asciiTheme="majorHAnsi" w:hAnsiTheme="majorHAnsi"/>
          <w:lang w:val="en-US"/>
        </w:rPr>
        <w:t>: 2019</w:t>
      </w:r>
      <w:r w:rsidR="00D770F1">
        <w:rPr>
          <w:rFonts w:asciiTheme="majorHAnsi" w:hAnsiTheme="majorHAnsi"/>
          <w:lang w:val="en-US"/>
        </w:rPr>
        <w:t xml:space="preserve">. Available from: </w:t>
      </w:r>
      <w:r w:rsidR="00D770F1" w:rsidRPr="00D770F1">
        <w:rPr>
          <w:rFonts w:asciiTheme="majorHAnsi" w:hAnsiTheme="majorHAnsi"/>
          <w:lang w:val="en-US"/>
        </w:rPr>
        <w:t>https://www.nice.org.uk/guidance/ng133</w:t>
      </w:r>
      <w:r w:rsidR="00D770F1">
        <w:rPr>
          <w:rFonts w:asciiTheme="majorHAnsi" w:hAnsiTheme="majorHAnsi"/>
          <w:lang w:val="en-US"/>
        </w:rPr>
        <w:t xml:space="preserve"> (accessed 23 Jan 2020)</w:t>
      </w:r>
    </w:p>
    <w:p w14:paraId="4F6638BF" w14:textId="7A8216CE"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59.</w:t>
      </w:r>
      <w:r w:rsidRPr="00263445">
        <w:rPr>
          <w:rFonts w:asciiTheme="majorHAnsi" w:hAnsiTheme="majorHAnsi"/>
          <w:lang w:val="en-US"/>
        </w:rPr>
        <w:tab/>
        <w:t xml:space="preserve">Rolnik DL, Wright D, Poon LC, O’Gorman N, Syngelaki A, de Paco Matallana C, Akolekar R, Cicero S, Janga D, Singh M, Molina FS, Persico N, Jani JC, Plasencia W, Papaioannou G, Tenenbaum-Gavish K, Meiri H, Gizurarson S, Maclagan K, Nicolaides KH. Aspirin </w:t>
      </w:r>
      <w:r w:rsidR="00D770F1" w:rsidRPr="00263445">
        <w:rPr>
          <w:rFonts w:asciiTheme="majorHAnsi" w:hAnsiTheme="majorHAnsi"/>
          <w:lang w:val="en-US"/>
        </w:rPr>
        <w:t>versus placebo in pregnancies at high risk for preterm preeclampsia</w:t>
      </w:r>
      <w:r w:rsidRPr="00263445">
        <w:rPr>
          <w:rFonts w:asciiTheme="majorHAnsi" w:hAnsiTheme="majorHAnsi"/>
          <w:lang w:val="en-US"/>
        </w:rPr>
        <w:t xml:space="preserve">. </w:t>
      </w:r>
      <w:r w:rsidRPr="00263445">
        <w:rPr>
          <w:rFonts w:asciiTheme="majorHAnsi" w:hAnsiTheme="majorHAnsi"/>
          <w:i/>
          <w:lang w:val="en-US"/>
        </w:rPr>
        <w:t xml:space="preserve">N Engl J Med </w:t>
      </w:r>
      <w:r w:rsidRPr="00263445">
        <w:rPr>
          <w:rFonts w:asciiTheme="majorHAnsi" w:hAnsiTheme="majorHAnsi"/>
          <w:b/>
          <w:lang w:val="en-US"/>
        </w:rPr>
        <w:t>377</w:t>
      </w:r>
      <w:r w:rsidRPr="00263445">
        <w:rPr>
          <w:rFonts w:asciiTheme="majorHAnsi" w:hAnsiTheme="majorHAnsi"/>
          <w:lang w:val="en-US"/>
        </w:rPr>
        <w:t>: 613-622, 2017</w:t>
      </w:r>
    </w:p>
    <w:p w14:paraId="1F9BE59C" w14:textId="23B17ACF"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60.</w:t>
      </w:r>
      <w:r w:rsidRPr="00263445">
        <w:rPr>
          <w:rFonts w:asciiTheme="majorHAnsi" w:hAnsiTheme="majorHAnsi"/>
          <w:lang w:val="en-US"/>
        </w:rPr>
        <w:tab/>
        <w:t>Poon LC, Wright D, Rolnik DL, Syngelaki A, Delgado JL, Tsokaki T, Leipold G, Akolekar R, Shearing S, De Stefani L, Jani JC, Plasencia W, Evangelinakis N, Gonzalez-Vanegas O, Persico N, Nicolaides KH. Aspirin f</w:t>
      </w:r>
      <w:r w:rsidR="00D41A7D" w:rsidRPr="00263445">
        <w:rPr>
          <w:rFonts w:asciiTheme="majorHAnsi" w:hAnsiTheme="majorHAnsi"/>
          <w:lang w:val="en-US"/>
        </w:rPr>
        <w:t>or evidence-based preeclampsia prevention tria</w:t>
      </w:r>
      <w:r w:rsidRPr="00263445">
        <w:rPr>
          <w:rFonts w:asciiTheme="majorHAnsi" w:hAnsiTheme="majorHAnsi"/>
          <w:lang w:val="en-US"/>
        </w:rPr>
        <w:t xml:space="preserve">l: effect of aspirin in prevention of preterm preeclampsia in subgroups of women according to their characteristics and medical and obstetrical history. </w:t>
      </w:r>
      <w:r w:rsidRPr="00263445">
        <w:rPr>
          <w:rFonts w:asciiTheme="majorHAnsi" w:hAnsiTheme="majorHAnsi"/>
          <w:i/>
          <w:lang w:val="en-US"/>
        </w:rPr>
        <w:t xml:space="preserve">Am J Obstet Gynecol </w:t>
      </w:r>
      <w:r w:rsidRPr="00263445">
        <w:rPr>
          <w:rFonts w:asciiTheme="majorHAnsi" w:hAnsiTheme="majorHAnsi"/>
          <w:lang w:val="en-US"/>
        </w:rPr>
        <w:t>2017</w:t>
      </w:r>
    </w:p>
    <w:p w14:paraId="3AC44C91"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61.</w:t>
      </w:r>
      <w:r w:rsidRPr="00263445">
        <w:rPr>
          <w:rFonts w:asciiTheme="majorHAnsi" w:hAnsiTheme="majorHAnsi"/>
          <w:lang w:val="en-US"/>
        </w:rPr>
        <w:tab/>
        <w:t xml:space="preserve">Magee LA, von Dadelszen P, Rey E, Ross S, Asztalos E, Murphy KE, Menzies J, Sanchez J, Singer J, Gafni A, Gruslin A, Helewa M, Hutton E, Lee SK, Lee T, Logan AG, Ganzevoort W, Welch R, Thornton JG, Moutquin J-M. Less-tight versus tight control of hypertension in pregnancy. </w:t>
      </w:r>
      <w:r w:rsidRPr="00263445">
        <w:rPr>
          <w:rFonts w:asciiTheme="majorHAnsi" w:hAnsiTheme="majorHAnsi"/>
          <w:i/>
          <w:lang w:val="en-US"/>
        </w:rPr>
        <w:t xml:space="preserve">N Engl J Med </w:t>
      </w:r>
      <w:r w:rsidRPr="00263445">
        <w:rPr>
          <w:rFonts w:asciiTheme="majorHAnsi" w:hAnsiTheme="majorHAnsi"/>
          <w:b/>
          <w:lang w:val="en-US"/>
        </w:rPr>
        <w:t>372</w:t>
      </w:r>
      <w:r w:rsidRPr="00263445">
        <w:rPr>
          <w:rFonts w:asciiTheme="majorHAnsi" w:hAnsiTheme="majorHAnsi"/>
          <w:lang w:val="en-US"/>
        </w:rPr>
        <w:t>: 407-417, 2015</w:t>
      </w:r>
    </w:p>
    <w:p w14:paraId="17BA27AD" w14:textId="40D4E8C1"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62.</w:t>
      </w:r>
      <w:r w:rsidRPr="00263445">
        <w:rPr>
          <w:rFonts w:asciiTheme="majorHAnsi" w:hAnsiTheme="majorHAnsi"/>
          <w:lang w:val="en-US"/>
        </w:rPr>
        <w:tab/>
        <w:t xml:space="preserve">Magee LA, von Dadelszen P, Singer J, Lee T, Rey E, Ross S, Asztalos E, Murphy KE, Menzies J, Sanchez J, Gafni A, Helewa M, Hutton E, Koren G, Lee SK, Logan AG, Ganzevoort W, Welch R, Thornton JG, Moutquin J-M, </w:t>
      </w:r>
      <w:r w:rsidR="003B7B3F">
        <w:rPr>
          <w:rFonts w:asciiTheme="majorHAnsi" w:hAnsiTheme="majorHAnsi"/>
          <w:lang w:val="en-US"/>
        </w:rPr>
        <w:t>CIPS Study Group</w:t>
      </w:r>
      <w:r w:rsidRPr="00263445">
        <w:rPr>
          <w:rFonts w:asciiTheme="majorHAnsi" w:hAnsiTheme="majorHAnsi"/>
          <w:lang w:val="en-US"/>
        </w:rPr>
        <w:t xml:space="preserve">. The CHIPS </w:t>
      </w:r>
      <w:r w:rsidR="003B7B3F" w:rsidRPr="00263445">
        <w:rPr>
          <w:rFonts w:asciiTheme="majorHAnsi" w:hAnsiTheme="majorHAnsi"/>
          <w:lang w:val="en-US"/>
        </w:rPr>
        <w:t>randomized controlled trial (control of hypertension in pregnancy study): is severe hypertension just an elevated blood pressure</w:t>
      </w:r>
      <w:r w:rsidRPr="00263445">
        <w:rPr>
          <w:rFonts w:asciiTheme="majorHAnsi" w:hAnsiTheme="majorHAnsi"/>
          <w:lang w:val="en-US"/>
        </w:rPr>
        <w:t xml:space="preserve">? </w:t>
      </w:r>
      <w:r w:rsidRPr="00263445">
        <w:rPr>
          <w:rFonts w:asciiTheme="majorHAnsi" w:hAnsiTheme="majorHAnsi"/>
          <w:i/>
          <w:lang w:val="en-US"/>
        </w:rPr>
        <w:t xml:space="preserve">Hypertension </w:t>
      </w:r>
      <w:r w:rsidRPr="00263445">
        <w:rPr>
          <w:rFonts w:asciiTheme="majorHAnsi" w:hAnsiTheme="majorHAnsi"/>
          <w:b/>
          <w:lang w:val="en-US"/>
        </w:rPr>
        <w:t>68</w:t>
      </w:r>
      <w:r w:rsidR="003B7B3F">
        <w:rPr>
          <w:rFonts w:asciiTheme="majorHAnsi" w:hAnsiTheme="majorHAnsi"/>
          <w:lang w:val="en-US"/>
        </w:rPr>
        <w:t xml:space="preserve">: 1153-1159, 2016 (PMID: </w:t>
      </w:r>
      <w:r w:rsidRPr="00263445">
        <w:rPr>
          <w:rFonts w:asciiTheme="majorHAnsi" w:hAnsiTheme="majorHAnsi"/>
          <w:lang w:val="en-US"/>
        </w:rPr>
        <w:t>5058640</w:t>
      </w:r>
      <w:r w:rsidR="003B7B3F">
        <w:rPr>
          <w:rFonts w:asciiTheme="majorHAnsi" w:hAnsiTheme="majorHAnsi"/>
          <w:lang w:val="en-US"/>
        </w:rPr>
        <w:t>)</w:t>
      </w:r>
    </w:p>
    <w:p w14:paraId="5B90D8E2"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63.</w:t>
      </w:r>
      <w:r w:rsidRPr="00263445">
        <w:rPr>
          <w:rFonts w:asciiTheme="majorHAnsi" w:hAnsiTheme="majorHAnsi"/>
          <w:lang w:val="en-US"/>
        </w:rPr>
        <w:tab/>
        <w:t xml:space="preserve">Abalos E, Duley L, Steyn DW, Gialdini C. Antihypertensive drug therapy for mild to moderate hypertension during pregnancy. </w:t>
      </w:r>
      <w:r w:rsidRPr="00263445">
        <w:rPr>
          <w:rFonts w:asciiTheme="majorHAnsi" w:hAnsiTheme="majorHAnsi"/>
          <w:i/>
          <w:lang w:val="en-US"/>
        </w:rPr>
        <w:t xml:space="preserve">Cochrane Database Syst Rev </w:t>
      </w:r>
      <w:r w:rsidRPr="00263445">
        <w:rPr>
          <w:rFonts w:asciiTheme="majorHAnsi" w:hAnsiTheme="majorHAnsi"/>
          <w:b/>
          <w:lang w:val="en-US"/>
        </w:rPr>
        <w:t>10</w:t>
      </w:r>
      <w:r w:rsidRPr="00263445">
        <w:rPr>
          <w:rFonts w:asciiTheme="majorHAnsi" w:hAnsiTheme="majorHAnsi"/>
          <w:lang w:val="en-US"/>
        </w:rPr>
        <w:t>: CD002252, 2018</w:t>
      </w:r>
    </w:p>
    <w:p w14:paraId="5EDD496A"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64.</w:t>
      </w:r>
      <w:r w:rsidRPr="00263445">
        <w:rPr>
          <w:rFonts w:asciiTheme="majorHAnsi" w:hAnsiTheme="majorHAnsi"/>
          <w:lang w:val="en-US"/>
        </w:rPr>
        <w:tab/>
        <w:t xml:space="preserve">Webster K, Fishburn S, Maresh M, Findlay SC, Chappell LC, Guideline C. Diagnosis and management of hypertension in pregnancy: summary of updated NICE guidance. </w:t>
      </w:r>
      <w:r w:rsidRPr="00263445">
        <w:rPr>
          <w:rFonts w:asciiTheme="majorHAnsi" w:hAnsiTheme="majorHAnsi"/>
          <w:i/>
          <w:lang w:val="en-US"/>
        </w:rPr>
        <w:t xml:space="preserve">BMJ </w:t>
      </w:r>
      <w:r w:rsidRPr="00263445">
        <w:rPr>
          <w:rFonts w:asciiTheme="majorHAnsi" w:hAnsiTheme="majorHAnsi"/>
          <w:b/>
          <w:lang w:val="en-US"/>
        </w:rPr>
        <w:t>366</w:t>
      </w:r>
      <w:r w:rsidRPr="00263445">
        <w:rPr>
          <w:rFonts w:asciiTheme="majorHAnsi" w:hAnsiTheme="majorHAnsi"/>
          <w:lang w:val="en-US"/>
        </w:rPr>
        <w:t>: l5119, 2019</w:t>
      </w:r>
    </w:p>
    <w:p w14:paraId="6A565640" w14:textId="154AEA1C"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65.</w:t>
      </w:r>
      <w:r w:rsidRPr="00263445">
        <w:rPr>
          <w:rFonts w:asciiTheme="majorHAnsi" w:hAnsiTheme="majorHAnsi"/>
          <w:lang w:val="en-US"/>
        </w:rPr>
        <w:tab/>
      </w:r>
      <w:r w:rsidR="003B7B3F">
        <w:rPr>
          <w:rFonts w:asciiTheme="majorHAnsi" w:hAnsiTheme="majorHAnsi"/>
          <w:lang w:val="en-US"/>
        </w:rPr>
        <w:t xml:space="preserve">American College of Obstetricians and </w:t>
      </w:r>
      <w:r w:rsidRPr="00263445">
        <w:rPr>
          <w:rFonts w:asciiTheme="majorHAnsi" w:hAnsiTheme="majorHAnsi"/>
          <w:lang w:val="en-US"/>
        </w:rPr>
        <w:t>Gynecologists</w:t>
      </w:r>
      <w:r w:rsidR="0011700D">
        <w:rPr>
          <w:rFonts w:asciiTheme="majorHAnsi" w:hAnsiTheme="majorHAnsi"/>
          <w:lang w:val="en-US"/>
        </w:rPr>
        <w:t>. Hypertension in pregnancy: r</w:t>
      </w:r>
      <w:r w:rsidRPr="00263445">
        <w:rPr>
          <w:rFonts w:asciiTheme="majorHAnsi" w:hAnsiTheme="majorHAnsi"/>
          <w:lang w:val="en-US"/>
        </w:rPr>
        <w:t>eport of the American College of Ob</w:t>
      </w:r>
      <w:r w:rsidR="0011700D">
        <w:rPr>
          <w:rFonts w:asciiTheme="majorHAnsi" w:hAnsiTheme="majorHAnsi"/>
          <w:lang w:val="en-US"/>
        </w:rPr>
        <w:t>stetricians and Gynecologists’ Task Force on Hypertension in P</w:t>
      </w:r>
      <w:r w:rsidRPr="00263445">
        <w:rPr>
          <w:rFonts w:asciiTheme="majorHAnsi" w:hAnsiTheme="majorHAnsi"/>
          <w:lang w:val="en-US"/>
        </w:rPr>
        <w:t xml:space="preserve">regnancy. </w:t>
      </w:r>
      <w:r w:rsidR="003B7B3F">
        <w:rPr>
          <w:rFonts w:asciiTheme="majorHAnsi" w:hAnsiTheme="majorHAnsi"/>
          <w:i/>
          <w:lang w:val="en-US"/>
        </w:rPr>
        <w:t>Obstetrics and G</w:t>
      </w:r>
      <w:r w:rsidRPr="00263445">
        <w:rPr>
          <w:rFonts w:asciiTheme="majorHAnsi" w:hAnsiTheme="majorHAnsi"/>
          <w:i/>
          <w:lang w:val="en-US"/>
        </w:rPr>
        <w:t xml:space="preserve">ynecology </w:t>
      </w:r>
      <w:r w:rsidRPr="00263445">
        <w:rPr>
          <w:rFonts w:asciiTheme="majorHAnsi" w:hAnsiTheme="majorHAnsi"/>
          <w:b/>
          <w:lang w:val="en-US"/>
        </w:rPr>
        <w:t>122</w:t>
      </w:r>
      <w:r w:rsidRPr="00263445">
        <w:rPr>
          <w:rFonts w:asciiTheme="majorHAnsi" w:hAnsiTheme="majorHAnsi"/>
          <w:lang w:val="en-US"/>
        </w:rPr>
        <w:t>: 1122</w:t>
      </w:r>
      <w:r w:rsidR="0011700D">
        <w:rPr>
          <w:rFonts w:asciiTheme="majorHAnsi" w:hAnsiTheme="majorHAnsi"/>
          <w:lang w:val="en-US"/>
        </w:rPr>
        <w:t>-31</w:t>
      </w:r>
      <w:r w:rsidRPr="00263445">
        <w:rPr>
          <w:rFonts w:asciiTheme="majorHAnsi" w:hAnsiTheme="majorHAnsi"/>
          <w:lang w:val="en-US"/>
        </w:rPr>
        <w:t>, 2013</w:t>
      </w:r>
    </w:p>
    <w:p w14:paraId="0D37C0ED" w14:textId="1F453FF9"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66.</w:t>
      </w:r>
      <w:r w:rsidRPr="00263445">
        <w:rPr>
          <w:rFonts w:asciiTheme="majorHAnsi" w:hAnsiTheme="majorHAnsi"/>
          <w:lang w:val="en-US"/>
        </w:rPr>
        <w:tab/>
        <w:t xml:space="preserve">Webster LM, Conti-Ramsden F, Seed PT, Webb AJ, Nelson-Piercy C, Chappell LC. Impact of </w:t>
      </w:r>
      <w:r w:rsidR="0011700D" w:rsidRPr="00263445">
        <w:rPr>
          <w:rFonts w:asciiTheme="majorHAnsi" w:hAnsiTheme="majorHAnsi"/>
          <w:lang w:val="en-US"/>
        </w:rPr>
        <w:t>antihypertensive treatment on maternal and perinatal outcomes in pregnancy complicated by chronic hypertension</w:t>
      </w:r>
      <w:r w:rsidR="0011700D">
        <w:rPr>
          <w:rFonts w:asciiTheme="majorHAnsi" w:hAnsiTheme="majorHAnsi"/>
          <w:lang w:val="en-US"/>
        </w:rPr>
        <w:t>: a</w:t>
      </w:r>
      <w:r w:rsidRPr="00263445">
        <w:rPr>
          <w:rFonts w:asciiTheme="majorHAnsi" w:hAnsiTheme="majorHAnsi"/>
          <w:lang w:val="en-US"/>
        </w:rPr>
        <w:t> </w:t>
      </w:r>
      <w:r w:rsidR="0011700D" w:rsidRPr="00263445">
        <w:rPr>
          <w:rFonts w:asciiTheme="majorHAnsi" w:hAnsiTheme="majorHAnsi"/>
          <w:lang w:val="en-US"/>
        </w:rPr>
        <w:t>systematic review and meta-analysis</w:t>
      </w:r>
      <w:r w:rsidRPr="00263445">
        <w:rPr>
          <w:rFonts w:asciiTheme="majorHAnsi" w:hAnsiTheme="majorHAnsi"/>
          <w:lang w:val="en-US"/>
        </w:rPr>
        <w:t xml:space="preserve">. </w:t>
      </w:r>
      <w:r w:rsidRPr="00263445">
        <w:rPr>
          <w:rFonts w:asciiTheme="majorHAnsi" w:hAnsiTheme="majorHAnsi"/>
          <w:i/>
          <w:lang w:val="en-US"/>
        </w:rPr>
        <w:t xml:space="preserve">J Am Heart Assoc </w:t>
      </w:r>
      <w:r w:rsidRPr="00263445">
        <w:rPr>
          <w:rFonts w:asciiTheme="majorHAnsi" w:hAnsiTheme="majorHAnsi"/>
          <w:b/>
          <w:lang w:val="en-US"/>
        </w:rPr>
        <w:t>6</w:t>
      </w:r>
      <w:r w:rsidR="0011700D">
        <w:rPr>
          <w:rFonts w:asciiTheme="majorHAnsi" w:hAnsiTheme="majorHAnsi"/>
          <w:lang w:val="en-US"/>
        </w:rPr>
        <w:t xml:space="preserve">: e05526, 2017 (PMID: </w:t>
      </w:r>
      <w:r w:rsidRPr="00263445">
        <w:rPr>
          <w:rFonts w:asciiTheme="majorHAnsi" w:hAnsiTheme="majorHAnsi"/>
          <w:lang w:val="en-US"/>
        </w:rPr>
        <w:t>5524099</w:t>
      </w:r>
      <w:r w:rsidR="0011700D">
        <w:rPr>
          <w:rFonts w:asciiTheme="majorHAnsi" w:hAnsiTheme="majorHAnsi"/>
          <w:lang w:val="en-US"/>
        </w:rPr>
        <w:t>)</w:t>
      </w:r>
    </w:p>
    <w:p w14:paraId="2EF0F840"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67.</w:t>
      </w:r>
      <w:r w:rsidRPr="00263445">
        <w:rPr>
          <w:rFonts w:asciiTheme="majorHAnsi" w:hAnsiTheme="majorHAnsi"/>
          <w:lang w:val="en-US"/>
        </w:rPr>
        <w:tab/>
        <w:t xml:space="preserve">Brown MA, Gallery ED. Volume homeostasis in normal pregnancy and pre-eclampsia: physiology and clinical implications. </w:t>
      </w:r>
      <w:r w:rsidRPr="00263445">
        <w:rPr>
          <w:rFonts w:asciiTheme="majorHAnsi" w:hAnsiTheme="majorHAnsi"/>
          <w:i/>
          <w:lang w:val="en-US"/>
        </w:rPr>
        <w:t xml:space="preserve">Baillieres Clin Obstet Gynaecol </w:t>
      </w:r>
      <w:r w:rsidRPr="00263445">
        <w:rPr>
          <w:rFonts w:asciiTheme="majorHAnsi" w:hAnsiTheme="majorHAnsi"/>
          <w:b/>
          <w:lang w:val="en-US"/>
        </w:rPr>
        <w:t>8</w:t>
      </w:r>
      <w:r w:rsidRPr="00263445">
        <w:rPr>
          <w:rFonts w:asciiTheme="majorHAnsi" w:hAnsiTheme="majorHAnsi"/>
          <w:lang w:val="en-US"/>
        </w:rPr>
        <w:t>: 287-310, 1994</w:t>
      </w:r>
    </w:p>
    <w:p w14:paraId="6D7072E8"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68.</w:t>
      </w:r>
      <w:r w:rsidRPr="00263445">
        <w:rPr>
          <w:rFonts w:asciiTheme="majorHAnsi" w:hAnsiTheme="majorHAnsi"/>
          <w:lang w:val="en-US"/>
        </w:rPr>
        <w:tab/>
        <w:t xml:space="preserve">Melchiorre K, Sutherland G, Sharma R, Nanni M, Thilaganathan B. Mid-gestational maternal cardiovascular profile in preterm and term pre-eclampsia: a prospective study. </w:t>
      </w:r>
      <w:r w:rsidRPr="00263445">
        <w:rPr>
          <w:rFonts w:asciiTheme="majorHAnsi" w:hAnsiTheme="majorHAnsi"/>
          <w:i/>
          <w:lang w:val="en-US"/>
        </w:rPr>
        <w:t xml:space="preserve">BJOG </w:t>
      </w:r>
      <w:r w:rsidRPr="00263445">
        <w:rPr>
          <w:rFonts w:asciiTheme="majorHAnsi" w:hAnsiTheme="majorHAnsi"/>
          <w:b/>
          <w:lang w:val="en-US"/>
        </w:rPr>
        <w:t>120</w:t>
      </w:r>
      <w:r w:rsidRPr="00263445">
        <w:rPr>
          <w:rFonts w:asciiTheme="majorHAnsi" w:hAnsiTheme="majorHAnsi"/>
          <w:lang w:val="en-US"/>
        </w:rPr>
        <w:t>: 496-504, 2013</w:t>
      </w:r>
    </w:p>
    <w:p w14:paraId="0DF52F50" w14:textId="6704389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69.</w:t>
      </w:r>
      <w:r w:rsidRPr="00263445">
        <w:rPr>
          <w:rFonts w:asciiTheme="majorHAnsi" w:hAnsiTheme="majorHAnsi"/>
          <w:lang w:val="en-US"/>
        </w:rPr>
        <w:tab/>
        <w:t xml:space="preserve">Churchill D, Beevers GDG, Meher S, Rhodes C. Diuretics for preventing pre‐eclampsia. </w:t>
      </w:r>
      <w:r w:rsidRPr="00263445">
        <w:rPr>
          <w:rFonts w:asciiTheme="majorHAnsi" w:hAnsiTheme="majorHAnsi"/>
          <w:i/>
          <w:lang w:val="en-US"/>
        </w:rPr>
        <w:t>Cochrane Database of Systematic Review</w:t>
      </w:r>
      <w:r w:rsidR="002B4719">
        <w:rPr>
          <w:rFonts w:asciiTheme="majorHAnsi" w:hAnsiTheme="majorHAnsi"/>
          <w:i/>
          <w:lang w:val="en-US"/>
        </w:rPr>
        <w:t>s</w:t>
      </w:r>
      <w:r w:rsidRPr="00263445">
        <w:rPr>
          <w:rFonts w:asciiTheme="majorHAnsi" w:hAnsiTheme="majorHAnsi"/>
          <w:i/>
          <w:lang w:val="en-US"/>
        </w:rPr>
        <w:t xml:space="preserve"> </w:t>
      </w:r>
      <w:r w:rsidR="002B4719">
        <w:rPr>
          <w:rFonts w:asciiTheme="majorHAnsi" w:hAnsiTheme="majorHAnsi"/>
          <w:lang w:val="en-US"/>
        </w:rPr>
        <w:t xml:space="preserve">CD004451, </w:t>
      </w:r>
      <w:r w:rsidRPr="00263445">
        <w:rPr>
          <w:rFonts w:asciiTheme="majorHAnsi" w:hAnsiTheme="majorHAnsi"/>
          <w:lang w:val="en-US"/>
        </w:rPr>
        <w:t>2007</w:t>
      </w:r>
    </w:p>
    <w:p w14:paraId="1224BB73" w14:textId="55AA6326"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70.</w:t>
      </w:r>
      <w:r w:rsidRPr="00263445">
        <w:rPr>
          <w:rFonts w:asciiTheme="majorHAnsi" w:hAnsiTheme="majorHAnsi"/>
          <w:lang w:val="en-US"/>
        </w:rPr>
        <w:tab/>
        <w:t xml:space="preserve">Chappell LC, Brocklehurst P, Green ME, Hunter R, Hardy P, Juszczak E, Linsell L, Chiocchia V, Greenland M, Placzek A, Townend J, Marlow N, Sandall J, Shennan A, </w:t>
      </w:r>
      <w:r w:rsidR="00B570FC">
        <w:rPr>
          <w:rFonts w:asciiTheme="majorHAnsi" w:hAnsiTheme="majorHAnsi"/>
          <w:lang w:val="en-US"/>
        </w:rPr>
        <w:t>PHOENIX Study Group</w:t>
      </w:r>
      <w:r w:rsidRPr="00263445">
        <w:rPr>
          <w:rFonts w:asciiTheme="majorHAnsi" w:hAnsiTheme="majorHAnsi"/>
          <w:lang w:val="en-US"/>
        </w:rPr>
        <w:t xml:space="preserve">. Planned early delivery or expectant management for late preterm pre-eclampsia (PHOENIX): a randomised controlled trial. </w:t>
      </w:r>
      <w:r w:rsidRPr="00263445">
        <w:rPr>
          <w:rFonts w:asciiTheme="majorHAnsi" w:hAnsiTheme="majorHAnsi"/>
          <w:i/>
          <w:lang w:val="en-US"/>
        </w:rPr>
        <w:t xml:space="preserve">Lancet </w:t>
      </w:r>
      <w:r w:rsidRPr="00263445">
        <w:rPr>
          <w:rFonts w:asciiTheme="majorHAnsi" w:hAnsiTheme="majorHAnsi"/>
          <w:b/>
          <w:lang w:val="en-US"/>
        </w:rPr>
        <w:t>394</w:t>
      </w:r>
      <w:r w:rsidRPr="00263445">
        <w:rPr>
          <w:rFonts w:asciiTheme="majorHAnsi" w:hAnsiTheme="majorHAnsi"/>
          <w:lang w:val="en-US"/>
        </w:rPr>
        <w:t>: 1181-1190, 2019</w:t>
      </w:r>
    </w:p>
    <w:p w14:paraId="2637E4C6" w14:textId="543AA9DA"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71.</w:t>
      </w:r>
      <w:r w:rsidRPr="00263445">
        <w:rPr>
          <w:rFonts w:asciiTheme="majorHAnsi" w:hAnsiTheme="majorHAnsi"/>
          <w:lang w:val="en-US"/>
        </w:rPr>
        <w:tab/>
        <w:t>Khashan AS, Evans M, Kublickas M, McCarthy FP, Kenny LC, Stenvinkel P, Fitzgerald T, Kublickiene K. Preeclampsia and ris</w:t>
      </w:r>
      <w:r w:rsidR="00AA1F2E">
        <w:rPr>
          <w:rFonts w:asciiTheme="majorHAnsi" w:hAnsiTheme="majorHAnsi"/>
          <w:lang w:val="en-US"/>
        </w:rPr>
        <w:t>k of end stage kidney disease: a</w:t>
      </w:r>
      <w:r w:rsidRPr="00263445">
        <w:rPr>
          <w:rFonts w:asciiTheme="majorHAnsi" w:hAnsiTheme="majorHAnsi"/>
          <w:lang w:val="en-US"/>
        </w:rPr>
        <w:t xml:space="preserve"> Swedish nationwide cohort study. </w:t>
      </w:r>
      <w:r w:rsidRPr="00263445">
        <w:rPr>
          <w:rFonts w:asciiTheme="majorHAnsi" w:hAnsiTheme="majorHAnsi"/>
          <w:i/>
          <w:lang w:val="en-US"/>
        </w:rPr>
        <w:t xml:space="preserve">PLoS Med </w:t>
      </w:r>
      <w:r w:rsidRPr="00263445">
        <w:rPr>
          <w:rFonts w:asciiTheme="majorHAnsi" w:hAnsiTheme="majorHAnsi"/>
          <w:b/>
          <w:lang w:val="en-US"/>
        </w:rPr>
        <w:t>16</w:t>
      </w:r>
      <w:r w:rsidR="00AA1F2E">
        <w:rPr>
          <w:rFonts w:asciiTheme="majorHAnsi" w:hAnsiTheme="majorHAnsi"/>
          <w:lang w:val="en-US"/>
        </w:rPr>
        <w:t xml:space="preserve">: e1002875, 2019 (PMID: </w:t>
      </w:r>
      <w:r w:rsidRPr="00263445">
        <w:rPr>
          <w:rFonts w:asciiTheme="majorHAnsi" w:hAnsiTheme="majorHAnsi"/>
          <w:lang w:val="en-US"/>
        </w:rPr>
        <w:t>6667103</w:t>
      </w:r>
      <w:r w:rsidR="00AA1F2E">
        <w:rPr>
          <w:rFonts w:asciiTheme="majorHAnsi" w:hAnsiTheme="majorHAnsi"/>
          <w:lang w:val="en-US"/>
        </w:rPr>
        <w:t>)</w:t>
      </w:r>
    </w:p>
    <w:p w14:paraId="49504A09"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72.</w:t>
      </w:r>
      <w:r w:rsidRPr="00263445">
        <w:rPr>
          <w:rFonts w:asciiTheme="majorHAnsi" w:hAnsiTheme="majorHAnsi"/>
          <w:lang w:val="en-US"/>
        </w:rPr>
        <w:tab/>
        <w:t xml:space="preserve">Redman CW, Kelly JG, Cooper WD. The excretion of enalapril and enalaprilat in human breast milk. </w:t>
      </w:r>
      <w:r w:rsidRPr="00263445">
        <w:rPr>
          <w:rFonts w:asciiTheme="majorHAnsi" w:hAnsiTheme="majorHAnsi"/>
          <w:i/>
          <w:lang w:val="en-US"/>
        </w:rPr>
        <w:t xml:space="preserve">Eur J Clin Pharmacol </w:t>
      </w:r>
      <w:r w:rsidRPr="00263445">
        <w:rPr>
          <w:rFonts w:asciiTheme="majorHAnsi" w:hAnsiTheme="majorHAnsi"/>
          <w:b/>
          <w:lang w:val="en-US"/>
        </w:rPr>
        <w:t>38</w:t>
      </w:r>
      <w:r w:rsidRPr="00263445">
        <w:rPr>
          <w:rFonts w:asciiTheme="majorHAnsi" w:hAnsiTheme="majorHAnsi"/>
          <w:lang w:val="en-US"/>
        </w:rPr>
        <w:t>: 99, 1990</w:t>
      </w:r>
    </w:p>
    <w:p w14:paraId="28350766"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73.</w:t>
      </w:r>
      <w:r w:rsidRPr="00263445">
        <w:rPr>
          <w:rFonts w:asciiTheme="majorHAnsi" w:hAnsiTheme="majorHAnsi"/>
          <w:lang w:val="en-US"/>
        </w:rPr>
        <w:tab/>
        <w:t xml:space="preserve">Devlin RG, Fleiss PM. Captopril in human blood and breast milk. </w:t>
      </w:r>
      <w:r w:rsidRPr="00263445">
        <w:rPr>
          <w:rFonts w:asciiTheme="majorHAnsi" w:hAnsiTheme="majorHAnsi"/>
          <w:i/>
          <w:lang w:val="en-US"/>
        </w:rPr>
        <w:t xml:space="preserve">J Clin Pharmacol </w:t>
      </w:r>
      <w:r w:rsidRPr="00263445">
        <w:rPr>
          <w:rFonts w:asciiTheme="majorHAnsi" w:hAnsiTheme="majorHAnsi"/>
          <w:b/>
          <w:lang w:val="en-US"/>
        </w:rPr>
        <w:t>21</w:t>
      </w:r>
      <w:r w:rsidRPr="00263445">
        <w:rPr>
          <w:rFonts w:asciiTheme="majorHAnsi" w:hAnsiTheme="majorHAnsi"/>
          <w:lang w:val="en-US"/>
        </w:rPr>
        <w:t>: 110-113, 1981</w:t>
      </w:r>
    </w:p>
    <w:p w14:paraId="15699C83" w14:textId="2C7197E1"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74.</w:t>
      </w:r>
      <w:r w:rsidRPr="00263445">
        <w:rPr>
          <w:rFonts w:asciiTheme="majorHAnsi" w:hAnsiTheme="majorHAnsi"/>
          <w:lang w:val="en-US"/>
        </w:rPr>
        <w:tab/>
        <w:t>Gilbert JS, Verzwyvelt J, Colson D, Arany M, Karumanchi SA, Granger JP. Recombinant vascular endothelial growth factor 121 infusion lowers blood pressure and improves renal function in rats with placental</w:t>
      </w:r>
      <w:r w:rsidR="00AA1F2E">
        <w:rPr>
          <w:rFonts w:asciiTheme="majorHAnsi" w:hAnsiTheme="majorHAnsi"/>
          <w:lang w:val="en-US"/>
        </w:rPr>
        <w:t xml:space="preserve"> </w:t>
      </w:r>
      <w:r w:rsidRPr="00263445">
        <w:rPr>
          <w:rFonts w:asciiTheme="majorHAnsi" w:hAnsiTheme="majorHAnsi"/>
          <w:lang w:val="en-US"/>
        </w:rPr>
        <w:t xml:space="preserve">ischemia-induced hypertension. </w:t>
      </w:r>
      <w:r w:rsidRPr="00263445">
        <w:rPr>
          <w:rFonts w:asciiTheme="majorHAnsi" w:hAnsiTheme="majorHAnsi"/>
          <w:i/>
          <w:lang w:val="en-US"/>
        </w:rPr>
        <w:t xml:space="preserve">Hypertension </w:t>
      </w:r>
      <w:r w:rsidRPr="00263445">
        <w:rPr>
          <w:rFonts w:asciiTheme="majorHAnsi" w:hAnsiTheme="majorHAnsi"/>
          <w:b/>
          <w:lang w:val="en-US"/>
        </w:rPr>
        <w:t>55</w:t>
      </w:r>
      <w:r w:rsidR="00AA1F2E">
        <w:rPr>
          <w:rFonts w:asciiTheme="majorHAnsi" w:hAnsiTheme="majorHAnsi"/>
          <w:lang w:val="en-US"/>
        </w:rPr>
        <w:t xml:space="preserve">: 380-385, 2010 (PMID: </w:t>
      </w:r>
      <w:r w:rsidRPr="00263445">
        <w:rPr>
          <w:rFonts w:asciiTheme="majorHAnsi" w:hAnsiTheme="majorHAnsi"/>
          <w:lang w:val="en-US"/>
        </w:rPr>
        <w:t>2824248</w:t>
      </w:r>
      <w:r w:rsidR="00AA1F2E">
        <w:rPr>
          <w:rFonts w:asciiTheme="majorHAnsi" w:hAnsiTheme="majorHAnsi"/>
          <w:lang w:val="en-US"/>
        </w:rPr>
        <w:t>)</w:t>
      </w:r>
    </w:p>
    <w:p w14:paraId="0FA619DF" w14:textId="77777777"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75.</w:t>
      </w:r>
      <w:r w:rsidRPr="00263445">
        <w:rPr>
          <w:rFonts w:asciiTheme="majorHAnsi" w:hAnsiTheme="majorHAnsi"/>
          <w:lang w:val="en-US"/>
        </w:rPr>
        <w:tab/>
        <w:t xml:space="preserve">Bergmann A, Ahmad S, Cudmore M, Gruber AD, Wittschen P, Lindenmaier W, Christofori G, Gross V, Gonzalves ACDC, Gröne H. Reduction of circulating soluble Flt‐1 alleviates preeclampsia‐like symptoms in a mouse model. </w:t>
      </w:r>
      <w:r w:rsidRPr="00263445">
        <w:rPr>
          <w:rFonts w:asciiTheme="majorHAnsi" w:hAnsiTheme="majorHAnsi"/>
          <w:i/>
          <w:lang w:val="en-US"/>
        </w:rPr>
        <w:t xml:space="preserve">Journal of cellular and molecular medicine </w:t>
      </w:r>
      <w:r w:rsidRPr="00263445">
        <w:rPr>
          <w:rFonts w:asciiTheme="majorHAnsi" w:hAnsiTheme="majorHAnsi"/>
          <w:b/>
          <w:lang w:val="en-US"/>
        </w:rPr>
        <w:t>14</w:t>
      </w:r>
      <w:r w:rsidRPr="00263445">
        <w:rPr>
          <w:rFonts w:asciiTheme="majorHAnsi" w:hAnsiTheme="majorHAnsi"/>
          <w:lang w:val="en-US"/>
        </w:rPr>
        <w:t>: 1857-1867, 2010</w:t>
      </w:r>
    </w:p>
    <w:p w14:paraId="723B300A" w14:textId="695DD38B" w:rsidR="00AE053E" w:rsidRPr="00263445" w:rsidRDefault="00AE053E" w:rsidP="00B11242">
      <w:pPr>
        <w:widowControl w:val="0"/>
        <w:tabs>
          <w:tab w:val="left" w:pos="560"/>
        </w:tabs>
        <w:autoSpaceDE w:val="0"/>
        <w:autoSpaceDN w:val="0"/>
        <w:adjustRightInd w:val="0"/>
        <w:ind w:left="540" w:hanging="540"/>
        <w:jc w:val="both"/>
        <w:rPr>
          <w:rFonts w:asciiTheme="majorHAnsi" w:hAnsiTheme="majorHAnsi"/>
          <w:lang w:val="en-US"/>
        </w:rPr>
      </w:pPr>
      <w:r w:rsidRPr="00263445">
        <w:rPr>
          <w:rFonts w:asciiTheme="majorHAnsi" w:hAnsiTheme="majorHAnsi"/>
          <w:lang w:val="en-US"/>
        </w:rPr>
        <w:t>76.</w:t>
      </w:r>
      <w:r w:rsidRPr="00263445">
        <w:rPr>
          <w:rFonts w:asciiTheme="majorHAnsi" w:hAnsiTheme="majorHAnsi"/>
          <w:lang w:val="en-US"/>
        </w:rPr>
        <w:tab/>
        <w:t xml:space="preserve">Thadhani R, Hagmann H, Schaarschmidt W, Roth B, Cingoez T, Karumanchi SA, Wenger J, Lucchesi KJ, Tamez H, Lindner T, Fridman A, Thome U, Kribs A, Danner M, Hamacher S, Mallmann P, Stepan H, Benzing T. Removal of Soluble Fms-Like Tyrosine Kinase-1 by Dextran Sulfate Apheresis in Preeclampsia. </w:t>
      </w:r>
      <w:r w:rsidRPr="00263445">
        <w:rPr>
          <w:rFonts w:asciiTheme="majorHAnsi" w:hAnsiTheme="majorHAnsi"/>
          <w:i/>
          <w:lang w:val="en-US"/>
        </w:rPr>
        <w:t xml:space="preserve">J Am Soc Nephrol </w:t>
      </w:r>
      <w:r w:rsidRPr="00263445">
        <w:rPr>
          <w:rFonts w:asciiTheme="majorHAnsi" w:hAnsiTheme="majorHAnsi"/>
          <w:b/>
          <w:lang w:val="en-US"/>
        </w:rPr>
        <w:t>27</w:t>
      </w:r>
      <w:r w:rsidR="00AA1F2E">
        <w:rPr>
          <w:rFonts w:asciiTheme="majorHAnsi" w:hAnsiTheme="majorHAnsi"/>
          <w:lang w:val="en-US"/>
        </w:rPr>
        <w:t xml:space="preserve">: 903-913, 2016 (PMID: </w:t>
      </w:r>
      <w:r w:rsidRPr="00263445">
        <w:rPr>
          <w:rFonts w:asciiTheme="majorHAnsi" w:hAnsiTheme="majorHAnsi"/>
          <w:lang w:val="en-US"/>
        </w:rPr>
        <w:t>4769204</w:t>
      </w:r>
      <w:r w:rsidR="00AA1F2E">
        <w:rPr>
          <w:rFonts w:asciiTheme="majorHAnsi" w:hAnsiTheme="majorHAnsi"/>
          <w:lang w:val="en-US"/>
        </w:rPr>
        <w:t>)</w:t>
      </w:r>
    </w:p>
    <w:p w14:paraId="63AEDA07" w14:textId="77777777" w:rsidR="00AE053E" w:rsidRPr="00263445" w:rsidRDefault="00AE053E" w:rsidP="00B11242">
      <w:pPr>
        <w:jc w:val="both"/>
        <w:rPr>
          <w:rFonts w:asciiTheme="majorHAnsi" w:hAnsiTheme="majorHAnsi"/>
        </w:rPr>
      </w:pPr>
      <w:r w:rsidRPr="00263445">
        <w:rPr>
          <w:rFonts w:asciiTheme="majorHAnsi" w:hAnsiTheme="majorHAnsi"/>
        </w:rPr>
        <w:fldChar w:fldCharType="end"/>
      </w:r>
    </w:p>
    <w:p w14:paraId="45EF3C0C" w14:textId="77777777" w:rsidR="00AE053E" w:rsidRPr="00263445" w:rsidRDefault="00AE053E" w:rsidP="00B11242">
      <w:pPr>
        <w:jc w:val="both"/>
        <w:rPr>
          <w:rFonts w:asciiTheme="majorHAnsi" w:hAnsiTheme="majorHAnsi"/>
        </w:rPr>
      </w:pPr>
    </w:p>
    <w:p w14:paraId="05DF7BB8" w14:textId="77777777" w:rsidR="004D2D2B" w:rsidRPr="00263445" w:rsidRDefault="004D2D2B" w:rsidP="00B11242">
      <w:pPr>
        <w:jc w:val="both"/>
        <w:rPr>
          <w:rFonts w:asciiTheme="majorHAnsi" w:hAnsiTheme="majorHAnsi"/>
        </w:rPr>
      </w:pPr>
    </w:p>
    <w:sectPr w:rsidR="004D2D2B" w:rsidRPr="00263445" w:rsidSect="00B706F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3360"/>
    <w:multiLevelType w:val="hybridMultilevel"/>
    <w:tmpl w:val="57D84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F067E"/>
    <w:multiLevelType w:val="hybridMultilevel"/>
    <w:tmpl w:val="A5C86C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CE43C42"/>
    <w:multiLevelType w:val="multilevel"/>
    <w:tmpl w:val="851860C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
    <w:nsid w:val="0ED704EB"/>
    <w:multiLevelType w:val="hybridMultilevel"/>
    <w:tmpl w:val="C64834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167737"/>
    <w:multiLevelType w:val="hybridMultilevel"/>
    <w:tmpl w:val="ACD88E9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7821B1A"/>
    <w:multiLevelType w:val="hybridMultilevel"/>
    <w:tmpl w:val="CB26115C"/>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8AE72B4"/>
    <w:multiLevelType w:val="hybridMultilevel"/>
    <w:tmpl w:val="7CEAAFD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FE00E80"/>
    <w:multiLevelType w:val="multilevel"/>
    <w:tmpl w:val="6F1A97E4"/>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20A7593A"/>
    <w:multiLevelType w:val="hybridMultilevel"/>
    <w:tmpl w:val="C2526880"/>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2E996E23"/>
    <w:multiLevelType w:val="hybridMultilevel"/>
    <w:tmpl w:val="F7C296F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EF065BF"/>
    <w:multiLevelType w:val="hybridMultilevel"/>
    <w:tmpl w:val="50D678C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FA33C76"/>
    <w:multiLevelType w:val="hybridMultilevel"/>
    <w:tmpl w:val="851860C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nsid w:val="315675A8"/>
    <w:multiLevelType w:val="hybridMultilevel"/>
    <w:tmpl w:val="09E4E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25D4AB9"/>
    <w:multiLevelType w:val="hybridMultilevel"/>
    <w:tmpl w:val="B1FCB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5D451AB"/>
    <w:multiLevelType w:val="hybridMultilevel"/>
    <w:tmpl w:val="B0DA52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7AD2534"/>
    <w:multiLevelType w:val="hybridMultilevel"/>
    <w:tmpl w:val="F528C12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nsid w:val="413F48B3"/>
    <w:multiLevelType w:val="hybridMultilevel"/>
    <w:tmpl w:val="6F1A97E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46D5DD5"/>
    <w:multiLevelType w:val="hybridMultilevel"/>
    <w:tmpl w:val="FF8897EC"/>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BD143C8"/>
    <w:multiLevelType w:val="multilevel"/>
    <w:tmpl w:val="F8209D22"/>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4D9629E0"/>
    <w:multiLevelType w:val="multilevel"/>
    <w:tmpl w:val="8952AB36"/>
    <w:lvl w:ilvl="0">
      <w:start w:val="1"/>
      <w:numFmt w:val="decimal"/>
      <w:suff w:val="space"/>
      <w:lvlText w:val="Chapter %1"/>
      <w:lvlJc w:val="left"/>
      <w:pPr>
        <w:ind w:left="432" w:hanging="432"/>
      </w:pPr>
      <w:rPr>
        <w:rFonts w:hint="default"/>
        <w:b/>
        <w:bCs/>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0">
    <w:nsid w:val="4E880271"/>
    <w:multiLevelType w:val="hybridMultilevel"/>
    <w:tmpl w:val="F7C296F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F6473EE"/>
    <w:multiLevelType w:val="multilevel"/>
    <w:tmpl w:val="851860C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2">
    <w:nsid w:val="50546976"/>
    <w:multiLevelType w:val="hybridMultilevel"/>
    <w:tmpl w:val="4768D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0EB0B0F"/>
    <w:multiLevelType w:val="hybridMultilevel"/>
    <w:tmpl w:val="FCD62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7162E64"/>
    <w:multiLevelType w:val="hybridMultilevel"/>
    <w:tmpl w:val="F7C296F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62A11501"/>
    <w:multiLevelType w:val="hybridMultilevel"/>
    <w:tmpl w:val="F8209D2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64CC302D"/>
    <w:multiLevelType w:val="multilevel"/>
    <w:tmpl w:val="01206594"/>
    <w:lvl w:ilvl="0">
      <w:start w:val="6"/>
      <w:numFmt w:val="decimal"/>
      <w:pStyle w:val="Heading1"/>
      <w:suff w:val="space"/>
      <w:lvlText w:val="Chapter %1."/>
      <w:lvlJc w:val="left"/>
      <w:pPr>
        <w:ind w:left="432" w:hanging="432"/>
      </w:pPr>
      <w:rPr>
        <w:rFonts w:asciiTheme="majorHAnsi" w:hAnsiTheme="majorHAnsi"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7">
    <w:nsid w:val="65BE666E"/>
    <w:multiLevelType w:val="hybridMultilevel"/>
    <w:tmpl w:val="CFC09E8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665F1C89"/>
    <w:multiLevelType w:val="hybridMultilevel"/>
    <w:tmpl w:val="7CEAAFD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6B823403"/>
    <w:multiLevelType w:val="hybridMultilevel"/>
    <w:tmpl w:val="35929F1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C153CFB"/>
    <w:multiLevelType w:val="hybridMultilevel"/>
    <w:tmpl w:val="537AE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DA47AB6"/>
    <w:multiLevelType w:val="hybridMultilevel"/>
    <w:tmpl w:val="EC701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FC4593"/>
    <w:multiLevelType w:val="hybridMultilevel"/>
    <w:tmpl w:val="A82E8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34C0C31"/>
    <w:multiLevelType w:val="hybridMultilevel"/>
    <w:tmpl w:val="48DA644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7D0751A0"/>
    <w:multiLevelType w:val="hybridMultilevel"/>
    <w:tmpl w:val="50D678C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6"/>
  </w:num>
  <w:num w:numId="2">
    <w:abstractNumId w:val="26"/>
  </w:num>
  <w:num w:numId="3">
    <w:abstractNumId w:val="26"/>
  </w:num>
  <w:num w:numId="4">
    <w:abstractNumId w:val="26"/>
  </w:num>
  <w:num w:numId="5">
    <w:abstractNumId w:val="26"/>
  </w:num>
  <w:num w:numId="6">
    <w:abstractNumId w:val="26"/>
  </w:num>
  <w:num w:numId="7">
    <w:abstractNumId w:val="19"/>
  </w:num>
  <w:num w:numId="8">
    <w:abstractNumId w:val="19"/>
  </w:num>
  <w:num w:numId="9">
    <w:abstractNumId w:val="19"/>
  </w:num>
  <w:num w:numId="10">
    <w:abstractNumId w:val="19"/>
  </w:num>
  <w:num w:numId="11">
    <w:abstractNumId w:val="19"/>
  </w:num>
  <w:num w:numId="12">
    <w:abstractNumId w:val="19"/>
  </w:num>
  <w:num w:numId="13">
    <w:abstractNumId w:val="26"/>
  </w:num>
  <w:num w:numId="14">
    <w:abstractNumId w:val="15"/>
  </w:num>
  <w:num w:numId="15">
    <w:abstractNumId w:val="22"/>
  </w:num>
  <w:num w:numId="16">
    <w:abstractNumId w:val="30"/>
  </w:num>
  <w:num w:numId="17">
    <w:abstractNumId w:val="13"/>
  </w:num>
  <w:num w:numId="18">
    <w:abstractNumId w:val="0"/>
  </w:num>
  <w:num w:numId="19">
    <w:abstractNumId w:val="1"/>
  </w:num>
  <w:num w:numId="20">
    <w:abstractNumId w:val="14"/>
  </w:num>
  <w:num w:numId="21">
    <w:abstractNumId w:val="3"/>
  </w:num>
  <w:num w:numId="22">
    <w:abstractNumId w:val="12"/>
  </w:num>
  <w:num w:numId="23">
    <w:abstractNumId w:val="24"/>
  </w:num>
  <w:num w:numId="24">
    <w:abstractNumId w:val="8"/>
  </w:num>
  <w:num w:numId="25">
    <w:abstractNumId w:val="20"/>
  </w:num>
  <w:num w:numId="26">
    <w:abstractNumId w:val="9"/>
  </w:num>
  <w:num w:numId="27">
    <w:abstractNumId w:val="11"/>
  </w:num>
  <w:num w:numId="28">
    <w:abstractNumId w:val="21"/>
  </w:num>
  <w:num w:numId="29">
    <w:abstractNumId w:val="16"/>
  </w:num>
  <w:num w:numId="30">
    <w:abstractNumId w:val="2"/>
  </w:num>
  <w:num w:numId="31">
    <w:abstractNumId w:val="25"/>
  </w:num>
  <w:num w:numId="32">
    <w:abstractNumId w:val="18"/>
  </w:num>
  <w:num w:numId="33">
    <w:abstractNumId w:val="4"/>
  </w:num>
  <w:num w:numId="34">
    <w:abstractNumId w:val="7"/>
  </w:num>
  <w:num w:numId="35">
    <w:abstractNumId w:val="28"/>
  </w:num>
  <w:num w:numId="36">
    <w:abstractNumId w:val="10"/>
  </w:num>
  <w:num w:numId="37">
    <w:abstractNumId w:val="27"/>
  </w:num>
  <w:num w:numId="38">
    <w:abstractNumId w:val="29"/>
  </w:num>
  <w:num w:numId="39">
    <w:abstractNumId w:val="5"/>
  </w:num>
  <w:num w:numId="40">
    <w:abstractNumId w:val="17"/>
  </w:num>
  <w:num w:numId="41">
    <w:abstractNumId w:val="33"/>
  </w:num>
  <w:num w:numId="42">
    <w:abstractNumId w:val="6"/>
  </w:num>
  <w:num w:numId="43">
    <w:abstractNumId w:val="34"/>
  </w:num>
  <w:num w:numId="44">
    <w:abstractNumId w:val="31"/>
  </w:num>
  <w:num w:numId="45">
    <w:abstractNumId w:val="2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53E"/>
    <w:rsid w:val="00002D12"/>
    <w:rsid w:val="00014806"/>
    <w:rsid w:val="000713C8"/>
    <w:rsid w:val="000C2F8C"/>
    <w:rsid w:val="000D51C0"/>
    <w:rsid w:val="000D66FB"/>
    <w:rsid w:val="0011700D"/>
    <w:rsid w:val="0012733B"/>
    <w:rsid w:val="001325E6"/>
    <w:rsid w:val="001542B2"/>
    <w:rsid w:val="00232C68"/>
    <w:rsid w:val="00262E53"/>
    <w:rsid w:val="00263445"/>
    <w:rsid w:val="002917D5"/>
    <w:rsid w:val="002B4719"/>
    <w:rsid w:val="002F166F"/>
    <w:rsid w:val="00313671"/>
    <w:rsid w:val="003B7B3F"/>
    <w:rsid w:val="00461C67"/>
    <w:rsid w:val="004A3AB7"/>
    <w:rsid w:val="004B5A14"/>
    <w:rsid w:val="004D2D2B"/>
    <w:rsid w:val="005D3E9B"/>
    <w:rsid w:val="005F38D9"/>
    <w:rsid w:val="00664873"/>
    <w:rsid w:val="006A4C3F"/>
    <w:rsid w:val="006A6B72"/>
    <w:rsid w:val="006C6CBC"/>
    <w:rsid w:val="006E1187"/>
    <w:rsid w:val="007376F4"/>
    <w:rsid w:val="007836A1"/>
    <w:rsid w:val="00803C74"/>
    <w:rsid w:val="008332DC"/>
    <w:rsid w:val="008446EA"/>
    <w:rsid w:val="00857C75"/>
    <w:rsid w:val="008D6A58"/>
    <w:rsid w:val="008F7DB3"/>
    <w:rsid w:val="009623C6"/>
    <w:rsid w:val="009875A5"/>
    <w:rsid w:val="00A736B0"/>
    <w:rsid w:val="00A93631"/>
    <w:rsid w:val="00AA1F2E"/>
    <w:rsid w:val="00AA44EC"/>
    <w:rsid w:val="00AC4943"/>
    <w:rsid w:val="00AE053E"/>
    <w:rsid w:val="00B11242"/>
    <w:rsid w:val="00B23395"/>
    <w:rsid w:val="00B570FC"/>
    <w:rsid w:val="00B706F4"/>
    <w:rsid w:val="00B768A6"/>
    <w:rsid w:val="00C86568"/>
    <w:rsid w:val="00CF7E51"/>
    <w:rsid w:val="00D1394F"/>
    <w:rsid w:val="00D41A7D"/>
    <w:rsid w:val="00D72B7F"/>
    <w:rsid w:val="00D770F1"/>
    <w:rsid w:val="00DB3AE8"/>
    <w:rsid w:val="00E3278C"/>
    <w:rsid w:val="00E83E7F"/>
    <w:rsid w:val="00E926DB"/>
    <w:rsid w:val="00FB3DB9"/>
    <w:rsid w:val="00FC05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CEF6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Heading2"/>
    <w:link w:val="Heading1Char"/>
    <w:autoRedefine/>
    <w:uiPriority w:val="9"/>
    <w:qFormat/>
    <w:rsid w:val="00664873"/>
    <w:pPr>
      <w:keepNext/>
      <w:keepLines/>
      <w:numPr>
        <w:numId w:val="6"/>
      </w:numPr>
      <w:spacing w:before="120" w:after="120" w:line="360" w:lineRule="auto"/>
      <w:ind w:left="0" w:firstLine="0"/>
      <w:jc w:val="both"/>
      <w:outlineLvl w:val="0"/>
    </w:pPr>
    <w:rPr>
      <w:rFonts w:asciiTheme="majorHAnsi" w:eastAsiaTheme="majorEastAsia" w:hAnsiTheme="majorHAnsi" w:cs="Arial"/>
      <w:b/>
      <w:bCs/>
    </w:rPr>
  </w:style>
  <w:style w:type="paragraph" w:styleId="Heading2">
    <w:name w:val="heading 2"/>
    <w:basedOn w:val="Normal"/>
    <w:next w:val="Normal"/>
    <w:link w:val="Heading2Char"/>
    <w:autoRedefine/>
    <w:uiPriority w:val="9"/>
    <w:qFormat/>
    <w:rsid w:val="00664873"/>
    <w:pPr>
      <w:keepNext/>
      <w:keepLines/>
      <w:numPr>
        <w:ilvl w:val="1"/>
        <w:numId w:val="13"/>
      </w:numPr>
      <w:spacing w:line="360" w:lineRule="auto"/>
      <w:jc w:val="both"/>
      <w:outlineLvl w:val="1"/>
    </w:pPr>
    <w:rPr>
      <w:rFonts w:eastAsiaTheme="majorEastAsia" w:cs="Arial"/>
      <w:b/>
      <w:bCs/>
      <w:color w:val="000000" w:themeColor="text1"/>
      <w:szCs w:val="26"/>
    </w:rPr>
  </w:style>
  <w:style w:type="paragraph" w:styleId="Heading3">
    <w:name w:val="heading 3"/>
    <w:basedOn w:val="Heading2"/>
    <w:next w:val="Normal"/>
    <w:link w:val="Heading3Char"/>
    <w:autoRedefine/>
    <w:uiPriority w:val="9"/>
    <w:qFormat/>
    <w:rsid w:val="00664873"/>
    <w:pPr>
      <w:numPr>
        <w:ilvl w:val="2"/>
      </w:numPr>
      <w:outlineLvl w:val="2"/>
    </w:pPr>
    <w:rPr>
      <w:bCs w:val="0"/>
    </w:rPr>
  </w:style>
  <w:style w:type="paragraph" w:styleId="Heading4">
    <w:name w:val="heading 4"/>
    <w:basedOn w:val="Normal"/>
    <w:next w:val="Normal"/>
    <w:link w:val="Heading4Char"/>
    <w:uiPriority w:val="9"/>
    <w:unhideWhenUsed/>
    <w:qFormat/>
    <w:rsid w:val="00664873"/>
    <w:pPr>
      <w:keepNext/>
      <w:keepLines/>
      <w:numPr>
        <w:ilvl w:val="3"/>
        <w:numId w:val="12"/>
      </w:numPr>
      <w:spacing w:line="360" w:lineRule="auto"/>
      <w:jc w:val="both"/>
      <w:outlineLvl w:val="3"/>
    </w:pPr>
    <w:rPr>
      <w:rFonts w:eastAsiaTheme="majorEastAsia" w:cs="Arial"/>
      <w:b/>
      <w:bCs/>
      <w:iCs/>
      <w:szCs w:val="20"/>
    </w:rPr>
  </w:style>
  <w:style w:type="paragraph" w:styleId="Heading5">
    <w:name w:val="heading 5"/>
    <w:basedOn w:val="Normal"/>
    <w:next w:val="Normal"/>
    <w:link w:val="Heading5Char"/>
    <w:uiPriority w:val="9"/>
    <w:unhideWhenUsed/>
    <w:qFormat/>
    <w:rsid w:val="00664873"/>
    <w:pPr>
      <w:keepNext/>
      <w:keepLines/>
      <w:numPr>
        <w:ilvl w:val="4"/>
        <w:numId w:val="12"/>
      </w:numPr>
      <w:spacing w:line="360" w:lineRule="auto"/>
      <w:jc w:val="both"/>
      <w:outlineLvl w:val="4"/>
    </w:pPr>
    <w:rPr>
      <w:rFonts w:eastAsiaTheme="majorEastAsia" w:cs="Arial"/>
      <w:szCs w:val="20"/>
    </w:rPr>
  </w:style>
  <w:style w:type="paragraph" w:styleId="Heading6">
    <w:name w:val="heading 6"/>
    <w:basedOn w:val="Normal"/>
    <w:next w:val="Normal"/>
    <w:link w:val="Heading6Char"/>
    <w:uiPriority w:val="9"/>
    <w:unhideWhenUsed/>
    <w:qFormat/>
    <w:rsid w:val="00664873"/>
    <w:pPr>
      <w:keepNext/>
      <w:keepLines/>
      <w:numPr>
        <w:ilvl w:val="5"/>
        <w:numId w:val="12"/>
      </w:numPr>
      <w:spacing w:line="360" w:lineRule="auto"/>
      <w:jc w:val="both"/>
      <w:outlineLvl w:val="5"/>
    </w:pPr>
    <w:rPr>
      <w:rFonts w:eastAsiaTheme="majorEastAsia" w:cs="Arial"/>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
    <w:name w:val="PhD"/>
    <w:basedOn w:val="Heading1"/>
    <w:rsid w:val="009623C6"/>
    <w:rPr>
      <w:rFonts w:ascii="Arial" w:hAnsi="Arial"/>
      <w:color w:val="000000" w:themeColor="text1"/>
      <w:sz w:val="28"/>
      <w:szCs w:val="28"/>
    </w:rPr>
  </w:style>
  <w:style w:type="character" w:customStyle="1" w:styleId="Heading1Char">
    <w:name w:val="Heading 1 Char"/>
    <w:basedOn w:val="DefaultParagraphFont"/>
    <w:link w:val="Heading1"/>
    <w:uiPriority w:val="9"/>
    <w:rsid w:val="00664873"/>
    <w:rPr>
      <w:rFonts w:asciiTheme="majorHAnsi" w:eastAsiaTheme="majorEastAsia" w:hAnsiTheme="majorHAnsi" w:cs="Arial"/>
      <w:b/>
      <w:bCs/>
    </w:rPr>
  </w:style>
  <w:style w:type="paragraph" w:customStyle="1" w:styleId="PhDChapterHeading">
    <w:name w:val="PhD Chapter Heading"/>
    <w:basedOn w:val="Heading1"/>
    <w:qFormat/>
    <w:rsid w:val="009623C6"/>
    <w:pPr>
      <w:numPr>
        <w:numId w:val="0"/>
      </w:numPr>
    </w:pPr>
    <w:rPr>
      <w:rFonts w:ascii="Arial" w:hAnsi="Arial"/>
      <w:color w:val="000000" w:themeColor="text1"/>
      <w:sz w:val="28"/>
      <w:szCs w:val="28"/>
    </w:rPr>
  </w:style>
  <w:style w:type="paragraph" w:customStyle="1" w:styleId="PhDSubheading">
    <w:name w:val="PhD Subheading"/>
    <w:basedOn w:val="Heading3"/>
    <w:qFormat/>
    <w:rsid w:val="009623C6"/>
    <w:pPr>
      <w:spacing w:line="480" w:lineRule="auto"/>
    </w:pPr>
    <w:rPr>
      <w:rFonts w:ascii="Arial" w:hAnsi="Arial"/>
      <w:sz w:val="20"/>
      <w:szCs w:val="20"/>
    </w:rPr>
  </w:style>
  <w:style w:type="character" w:customStyle="1" w:styleId="Heading3Char">
    <w:name w:val="Heading 3 Char"/>
    <w:basedOn w:val="DefaultParagraphFont"/>
    <w:link w:val="Heading3"/>
    <w:uiPriority w:val="9"/>
    <w:rsid w:val="00664873"/>
    <w:rPr>
      <w:rFonts w:eastAsiaTheme="majorEastAsia" w:cs="Arial"/>
      <w:b/>
      <w:color w:val="000000" w:themeColor="text1"/>
      <w:szCs w:val="26"/>
    </w:rPr>
  </w:style>
  <w:style w:type="character" w:customStyle="1" w:styleId="Heading2Char">
    <w:name w:val="Heading 2 Char"/>
    <w:basedOn w:val="DefaultParagraphFont"/>
    <w:link w:val="Heading2"/>
    <w:uiPriority w:val="9"/>
    <w:rsid w:val="00664873"/>
    <w:rPr>
      <w:rFonts w:eastAsiaTheme="majorEastAsia" w:cs="Arial"/>
      <w:b/>
      <w:bCs/>
      <w:color w:val="000000" w:themeColor="text1"/>
      <w:szCs w:val="26"/>
    </w:rPr>
  </w:style>
  <w:style w:type="paragraph" w:customStyle="1" w:styleId="CaptionAdditionalText">
    <w:name w:val="Caption Additional Text"/>
    <w:basedOn w:val="Caption"/>
    <w:link w:val="CaptionAdditionalTextChar"/>
    <w:qFormat/>
    <w:rsid w:val="00664873"/>
    <w:pPr>
      <w:keepNext/>
      <w:keepLines/>
      <w:widowControl w:val="0"/>
      <w:spacing w:after="120"/>
      <w:contextualSpacing/>
      <w:jc w:val="both"/>
    </w:pPr>
    <w:rPr>
      <w:rFonts w:eastAsiaTheme="minorHAnsi" w:cs="Arial"/>
      <w:b w:val="0"/>
      <w:color w:val="auto"/>
      <w:sz w:val="22"/>
      <w:szCs w:val="20"/>
    </w:rPr>
  </w:style>
  <w:style w:type="character" w:customStyle="1" w:styleId="CaptionAdditionalTextChar">
    <w:name w:val="Caption Additional Text Char"/>
    <w:basedOn w:val="DefaultParagraphFont"/>
    <w:link w:val="CaptionAdditionalText"/>
    <w:rsid w:val="00664873"/>
    <w:rPr>
      <w:rFonts w:eastAsiaTheme="minorHAnsi" w:cs="Arial"/>
      <w:bCs/>
      <w:sz w:val="22"/>
      <w:szCs w:val="20"/>
    </w:rPr>
  </w:style>
  <w:style w:type="paragraph" w:styleId="Caption">
    <w:name w:val="caption"/>
    <w:basedOn w:val="Normal"/>
    <w:next w:val="Normal"/>
    <w:uiPriority w:val="35"/>
    <w:semiHidden/>
    <w:unhideWhenUsed/>
    <w:qFormat/>
    <w:rsid w:val="00664873"/>
    <w:pPr>
      <w:spacing w:after="200"/>
    </w:pPr>
    <w:rPr>
      <w:b/>
      <w:bCs/>
      <w:color w:val="4F81BD" w:themeColor="accent1"/>
      <w:sz w:val="18"/>
      <w:szCs w:val="18"/>
    </w:rPr>
  </w:style>
  <w:style w:type="character" w:customStyle="1" w:styleId="Heading4Char">
    <w:name w:val="Heading 4 Char"/>
    <w:basedOn w:val="DefaultParagraphFont"/>
    <w:link w:val="Heading4"/>
    <w:uiPriority w:val="9"/>
    <w:rsid w:val="00664873"/>
    <w:rPr>
      <w:rFonts w:eastAsiaTheme="majorEastAsia" w:cs="Arial"/>
      <w:b/>
      <w:bCs/>
      <w:iCs/>
      <w:szCs w:val="20"/>
    </w:rPr>
  </w:style>
  <w:style w:type="character" w:customStyle="1" w:styleId="Heading5Char">
    <w:name w:val="Heading 5 Char"/>
    <w:basedOn w:val="DefaultParagraphFont"/>
    <w:link w:val="Heading5"/>
    <w:uiPriority w:val="9"/>
    <w:rsid w:val="00664873"/>
    <w:rPr>
      <w:rFonts w:eastAsiaTheme="majorEastAsia" w:cs="Arial"/>
      <w:szCs w:val="20"/>
    </w:rPr>
  </w:style>
  <w:style w:type="character" w:customStyle="1" w:styleId="Heading6Char">
    <w:name w:val="Heading 6 Char"/>
    <w:basedOn w:val="DefaultParagraphFont"/>
    <w:link w:val="Heading6"/>
    <w:uiPriority w:val="9"/>
    <w:rsid w:val="00664873"/>
    <w:rPr>
      <w:rFonts w:eastAsiaTheme="majorEastAsia" w:cs="Arial"/>
      <w:iCs/>
      <w:szCs w:val="20"/>
    </w:rPr>
  </w:style>
  <w:style w:type="paragraph" w:styleId="ListParagraph">
    <w:name w:val="List Paragraph"/>
    <w:basedOn w:val="Normal"/>
    <w:uiPriority w:val="34"/>
    <w:qFormat/>
    <w:rsid w:val="00AE053E"/>
    <w:pPr>
      <w:ind w:left="720"/>
      <w:contextualSpacing/>
    </w:pPr>
    <w:rPr>
      <w:rFonts w:cs="Times New Roman"/>
    </w:rPr>
  </w:style>
  <w:style w:type="table" w:styleId="TableGrid">
    <w:name w:val="Table Grid"/>
    <w:basedOn w:val="TableNormal"/>
    <w:uiPriority w:val="59"/>
    <w:rsid w:val="00AE053E"/>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E05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053E"/>
    <w:rPr>
      <w:rFonts w:ascii="Lucida Grande" w:hAnsi="Lucida Grande" w:cs="Lucida Grande"/>
      <w:sz w:val="18"/>
      <w:szCs w:val="18"/>
    </w:rPr>
  </w:style>
  <w:style w:type="character" w:styleId="CommentReference">
    <w:name w:val="annotation reference"/>
    <w:basedOn w:val="DefaultParagraphFont"/>
    <w:uiPriority w:val="99"/>
    <w:semiHidden/>
    <w:unhideWhenUsed/>
    <w:rsid w:val="00AE053E"/>
    <w:rPr>
      <w:rFonts w:cs="Times New Roman"/>
      <w:sz w:val="16"/>
      <w:szCs w:val="16"/>
    </w:rPr>
  </w:style>
  <w:style w:type="paragraph" w:styleId="CommentText">
    <w:name w:val="annotation text"/>
    <w:basedOn w:val="Normal"/>
    <w:link w:val="CommentTextChar"/>
    <w:uiPriority w:val="99"/>
    <w:semiHidden/>
    <w:unhideWhenUsed/>
    <w:rsid w:val="00AE053E"/>
    <w:rPr>
      <w:rFonts w:cs="Times New Roman"/>
      <w:sz w:val="20"/>
      <w:szCs w:val="20"/>
    </w:rPr>
  </w:style>
  <w:style w:type="character" w:customStyle="1" w:styleId="CommentTextChar">
    <w:name w:val="Comment Text Char"/>
    <w:basedOn w:val="DefaultParagraphFont"/>
    <w:link w:val="CommentText"/>
    <w:uiPriority w:val="99"/>
    <w:semiHidden/>
    <w:rsid w:val="00AE053E"/>
    <w:rPr>
      <w:rFonts w:cs="Times New Roman"/>
      <w:sz w:val="20"/>
      <w:szCs w:val="20"/>
    </w:rPr>
  </w:style>
  <w:style w:type="paragraph" w:styleId="CommentSubject">
    <w:name w:val="annotation subject"/>
    <w:basedOn w:val="CommentText"/>
    <w:next w:val="CommentText"/>
    <w:link w:val="CommentSubjectChar"/>
    <w:uiPriority w:val="99"/>
    <w:semiHidden/>
    <w:unhideWhenUsed/>
    <w:rsid w:val="00AE053E"/>
    <w:rPr>
      <w:b/>
      <w:bCs/>
    </w:rPr>
  </w:style>
  <w:style w:type="character" w:customStyle="1" w:styleId="CommentSubjectChar">
    <w:name w:val="Comment Subject Char"/>
    <w:basedOn w:val="CommentTextChar"/>
    <w:link w:val="CommentSubject"/>
    <w:uiPriority w:val="99"/>
    <w:semiHidden/>
    <w:rsid w:val="00AE053E"/>
    <w:rPr>
      <w:rFonts w:cs="Times New Roman"/>
      <w:b/>
      <w:bCs/>
      <w:sz w:val="20"/>
      <w:szCs w:val="20"/>
    </w:rPr>
  </w:style>
  <w:style w:type="character" w:styleId="Hyperlink">
    <w:name w:val="Hyperlink"/>
    <w:basedOn w:val="DefaultParagraphFont"/>
    <w:uiPriority w:val="99"/>
    <w:unhideWhenUsed/>
    <w:rsid w:val="00AE053E"/>
    <w:rPr>
      <w:rFonts w:cs="Times New Roman"/>
      <w:color w:val="0000FF" w:themeColor="hyperlink"/>
      <w:u w:val="single"/>
    </w:rPr>
  </w:style>
  <w:style w:type="paragraph" w:styleId="Revision">
    <w:name w:val="Revision"/>
    <w:hidden/>
    <w:uiPriority w:val="99"/>
    <w:semiHidden/>
    <w:rsid w:val="00AE053E"/>
    <w:rPr>
      <w:rFonts w:cs="Times New Roman"/>
    </w:rPr>
  </w:style>
  <w:style w:type="character" w:customStyle="1" w:styleId="apple-converted-space">
    <w:name w:val="apple-converted-space"/>
    <w:basedOn w:val="DefaultParagraphFont"/>
    <w:rsid w:val="00AE053E"/>
    <w:rPr>
      <w:rFonts w:cs="Times New Roman"/>
    </w:rPr>
  </w:style>
  <w:style w:type="paragraph" w:styleId="Header">
    <w:name w:val="header"/>
    <w:basedOn w:val="Normal"/>
    <w:link w:val="HeaderChar"/>
    <w:uiPriority w:val="99"/>
    <w:unhideWhenUsed/>
    <w:rsid w:val="00AE053E"/>
    <w:pPr>
      <w:tabs>
        <w:tab w:val="center" w:pos="4320"/>
        <w:tab w:val="right" w:pos="8640"/>
      </w:tabs>
    </w:pPr>
    <w:rPr>
      <w:rFonts w:cs="Times New Roman"/>
    </w:rPr>
  </w:style>
  <w:style w:type="character" w:customStyle="1" w:styleId="HeaderChar">
    <w:name w:val="Header Char"/>
    <w:basedOn w:val="DefaultParagraphFont"/>
    <w:link w:val="Header"/>
    <w:uiPriority w:val="99"/>
    <w:rsid w:val="00AE053E"/>
    <w:rPr>
      <w:rFonts w:cs="Times New Roman"/>
    </w:rPr>
  </w:style>
  <w:style w:type="paragraph" w:styleId="Footer">
    <w:name w:val="footer"/>
    <w:basedOn w:val="Normal"/>
    <w:link w:val="FooterChar"/>
    <w:uiPriority w:val="99"/>
    <w:unhideWhenUsed/>
    <w:rsid w:val="00AE053E"/>
    <w:pPr>
      <w:tabs>
        <w:tab w:val="center" w:pos="4320"/>
        <w:tab w:val="right" w:pos="8640"/>
      </w:tabs>
    </w:pPr>
    <w:rPr>
      <w:rFonts w:cs="Times New Roman"/>
    </w:rPr>
  </w:style>
  <w:style w:type="character" w:customStyle="1" w:styleId="FooterChar">
    <w:name w:val="Footer Char"/>
    <w:basedOn w:val="DefaultParagraphFont"/>
    <w:link w:val="Footer"/>
    <w:uiPriority w:val="99"/>
    <w:rsid w:val="00AE053E"/>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Heading2"/>
    <w:link w:val="Heading1Char"/>
    <w:autoRedefine/>
    <w:uiPriority w:val="9"/>
    <w:qFormat/>
    <w:rsid w:val="00664873"/>
    <w:pPr>
      <w:keepNext/>
      <w:keepLines/>
      <w:numPr>
        <w:numId w:val="6"/>
      </w:numPr>
      <w:spacing w:before="120" w:after="120" w:line="360" w:lineRule="auto"/>
      <w:ind w:left="0" w:firstLine="0"/>
      <w:jc w:val="both"/>
      <w:outlineLvl w:val="0"/>
    </w:pPr>
    <w:rPr>
      <w:rFonts w:asciiTheme="majorHAnsi" w:eastAsiaTheme="majorEastAsia" w:hAnsiTheme="majorHAnsi" w:cs="Arial"/>
      <w:b/>
      <w:bCs/>
    </w:rPr>
  </w:style>
  <w:style w:type="paragraph" w:styleId="Heading2">
    <w:name w:val="heading 2"/>
    <w:basedOn w:val="Normal"/>
    <w:next w:val="Normal"/>
    <w:link w:val="Heading2Char"/>
    <w:autoRedefine/>
    <w:uiPriority w:val="9"/>
    <w:qFormat/>
    <w:rsid w:val="00664873"/>
    <w:pPr>
      <w:keepNext/>
      <w:keepLines/>
      <w:numPr>
        <w:ilvl w:val="1"/>
        <w:numId w:val="13"/>
      </w:numPr>
      <w:spacing w:line="360" w:lineRule="auto"/>
      <w:jc w:val="both"/>
      <w:outlineLvl w:val="1"/>
    </w:pPr>
    <w:rPr>
      <w:rFonts w:eastAsiaTheme="majorEastAsia" w:cs="Arial"/>
      <w:b/>
      <w:bCs/>
      <w:color w:val="000000" w:themeColor="text1"/>
      <w:szCs w:val="26"/>
    </w:rPr>
  </w:style>
  <w:style w:type="paragraph" w:styleId="Heading3">
    <w:name w:val="heading 3"/>
    <w:basedOn w:val="Heading2"/>
    <w:next w:val="Normal"/>
    <w:link w:val="Heading3Char"/>
    <w:autoRedefine/>
    <w:uiPriority w:val="9"/>
    <w:qFormat/>
    <w:rsid w:val="00664873"/>
    <w:pPr>
      <w:numPr>
        <w:ilvl w:val="2"/>
      </w:numPr>
      <w:outlineLvl w:val="2"/>
    </w:pPr>
    <w:rPr>
      <w:bCs w:val="0"/>
    </w:rPr>
  </w:style>
  <w:style w:type="paragraph" w:styleId="Heading4">
    <w:name w:val="heading 4"/>
    <w:basedOn w:val="Normal"/>
    <w:next w:val="Normal"/>
    <w:link w:val="Heading4Char"/>
    <w:uiPriority w:val="9"/>
    <w:unhideWhenUsed/>
    <w:qFormat/>
    <w:rsid w:val="00664873"/>
    <w:pPr>
      <w:keepNext/>
      <w:keepLines/>
      <w:numPr>
        <w:ilvl w:val="3"/>
        <w:numId w:val="12"/>
      </w:numPr>
      <w:spacing w:line="360" w:lineRule="auto"/>
      <w:jc w:val="both"/>
      <w:outlineLvl w:val="3"/>
    </w:pPr>
    <w:rPr>
      <w:rFonts w:eastAsiaTheme="majorEastAsia" w:cs="Arial"/>
      <w:b/>
      <w:bCs/>
      <w:iCs/>
      <w:szCs w:val="20"/>
    </w:rPr>
  </w:style>
  <w:style w:type="paragraph" w:styleId="Heading5">
    <w:name w:val="heading 5"/>
    <w:basedOn w:val="Normal"/>
    <w:next w:val="Normal"/>
    <w:link w:val="Heading5Char"/>
    <w:uiPriority w:val="9"/>
    <w:unhideWhenUsed/>
    <w:qFormat/>
    <w:rsid w:val="00664873"/>
    <w:pPr>
      <w:keepNext/>
      <w:keepLines/>
      <w:numPr>
        <w:ilvl w:val="4"/>
        <w:numId w:val="12"/>
      </w:numPr>
      <w:spacing w:line="360" w:lineRule="auto"/>
      <w:jc w:val="both"/>
      <w:outlineLvl w:val="4"/>
    </w:pPr>
    <w:rPr>
      <w:rFonts w:eastAsiaTheme="majorEastAsia" w:cs="Arial"/>
      <w:szCs w:val="20"/>
    </w:rPr>
  </w:style>
  <w:style w:type="paragraph" w:styleId="Heading6">
    <w:name w:val="heading 6"/>
    <w:basedOn w:val="Normal"/>
    <w:next w:val="Normal"/>
    <w:link w:val="Heading6Char"/>
    <w:uiPriority w:val="9"/>
    <w:unhideWhenUsed/>
    <w:qFormat/>
    <w:rsid w:val="00664873"/>
    <w:pPr>
      <w:keepNext/>
      <w:keepLines/>
      <w:numPr>
        <w:ilvl w:val="5"/>
        <w:numId w:val="12"/>
      </w:numPr>
      <w:spacing w:line="360" w:lineRule="auto"/>
      <w:jc w:val="both"/>
      <w:outlineLvl w:val="5"/>
    </w:pPr>
    <w:rPr>
      <w:rFonts w:eastAsiaTheme="majorEastAsia" w:cs="Arial"/>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
    <w:name w:val="PhD"/>
    <w:basedOn w:val="Heading1"/>
    <w:rsid w:val="009623C6"/>
    <w:rPr>
      <w:rFonts w:ascii="Arial" w:hAnsi="Arial"/>
      <w:color w:val="000000" w:themeColor="text1"/>
      <w:sz w:val="28"/>
      <w:szCs w:val="28"/>
    </w:rPr>
  </w:style>
  <w:style w:type="character" w:customStyle="1" w:styleId="Heading1Char">
    <w:name w:val="Heading 1 Char"/>
    <w:basedOn w:val="DefaultParagraphFont"/>
    <w:link w:val="Heading1"/>
    <w:uiPriority w:val="9"/>
    <w:rsid w:val="00664873"/>
    <w:rPr>
      <w:rFonts w:asciiTheme="majorHAnsi" w:eastAsiaTheme="majorEastAsia" w:hAnsiTheme="majorHAnsi" w:cs="Arial"/>
      <w:b/>
      <w:bCs/>
    </w:rPr>
  </w:style>
  <w:style w:type="paragraph" w:customStyle="1" w:styleId="PhDChapterHeading">
    <w:name w:val="PhD Chapter Heading"/>
    <w:basedOn w:val="Heading1"/>
    <w:qFormat/>
    <w:rsid w:val="009623C6"/>
    <w:pPr>
      <w:numPr>
        <w:numId w:val="0"/>
      </w:numPr>
    </w:pPr>
    <w:rPr>
      <w:rFonts w:ascii="Arial" w:hAnsi="Arial"/>
      <w:color w:val="000000" w:themeColor="text1"/>
      <w:sz w:val="28"/>
      <w:szCs w:val="28"/>
    </w:rPr>
  </w:style>
  <w:style w:type="paragraph" w:customStyle="1" w:styleId="PhDSubheading">
    <w:name w:val="PhD Subheading"/>
    <w:basedOn w:val="Heading3"/>
    <w:qFormat/>
    <w:rsid w:val="009623C6"/>
    <w:pPr>
      <w:spacing w:line="480" w:lineRule="auto"/>
    </w:pPr>
    <w:rPr>
      <w:rFonts w:ascii="Arial" w:hAnsi="Arial"/>
      <w:sz w:val="20"/>
      <w:szCs w:val="20"/>
    </w:rPr>
  </w:style>
  <w:style w:type="character" w:customStyle="1" w:styleId="Heading3Char">
    <w:name w:val="Heading 3 Char"/>
    <w:basedOn w:val="DefaultParagraphFont"/>
    <w:link w:val="Heading3"/>
    <w:uiPriority w:val="9"/>
    <w:rsid w:val="00664873"/>
    <w:rPr>
      <w:rFonts w:eastAsiaTheme="majorEastAsia" w:cs="Arial"/>
      <w:b/>
      <w:color w:val="000000" w:themeColor="text1"/>
      <w:szCs w:val="26"/>
    </w:rPr>
  </w:style>
  <w:style w:type="character" w:customStyle="1" w:styleId="Heading2Char">
    <w:name w:val="Heading 2 Char"/>
    <w:basedOn w:val="DefaultParagraphFont"/>
    <w:link w:val="Heading2"/>
    <w:uiPriority w:val="9"/>
    <w:rsid w:val="00664873"/>
    <w:rPr>
      <w:rFonts w:eastAsiaTheme="majorEastAsia" w:cs="Arial"/>
      <w:b/>
      <w:bCs/>
      <w:color w:val="000000" w:themeColor="text1"/>
      <w:szCs w:val="26"/>
    </w:rPr>
  </w:style>
  <w:style w:type="paragraph" w:customStyle="1" w:styleId="CaptionAdditionalText">
    <w:name w:val="Caption Additional Text"/>
    <w:basedOn w:val="Caption"/>
    <w:link w:val="CaptionAdditionalTextChar"/>
    <w:qFormat/>
    <w:rsid w:val="00664873"/>
    <w:pPr>
      <w:keepNext/>
      <w:keepLines/>
      <w:widowControl w:val="0"/>
      <w:spacing w:after="120"/>
      <w:contextualSpacing/>
      <w:jc w:val="both"/>
    </w:pPr>
    <w:rPr>
      <w:rFonts w:eastAsiaTheme="minorHAnsi" w:cs="Arial"/>
      <w:b w:val="0"/>
      <w:color w:val="auto"/>
      <w:sz w:val="22"/>
      <w:szCs w:val="20"/>
    </w:rPr>
  </w:style>
  <w:style w:type="character" w:customStyle="1" w:styleId="CaptionAdditionalTextChar">
    <w:name w:val="Caption Additional Text Char"/>
    <w:basedOn w:val="DefaultParagraphFont"/>
    <w:link w:val="CaptionAdditionalText"/>
    <w:rsid w:val="00664873"/>
    <w:rPr>
      <w:rFonts w:eastAsiaTheme="minorHAnsi" w:cs="Arial"/>
      <w:bCs/>
      <w:sz w:val="22"/>
      <w:szCs w:val="20"/>
    </w:rPr>
  </w:style>
  <w:style w:type="paragraph" w:styleId="Caption">
    <w:name w:val="caption"/>
    <w:basedOn w:val="Normal"/>
    <w:next w:val="Normal"/>
    <w:uiPriority w:val="35"/>
    <w:semiHidden/>
    <w:unhideWhenUsed/>
    <w:qFormat/>
    <w:rsid w:val="00664873"/>
    <w:pPr>
      <w:spacing w:after="200"/>
    </w:pPr>
    <w:rPr>
      <w:b/>
      <w:bCs/>
      <w:color w:val="4F81BD" w:themeColor="accent1"/>
      <w:sz w:val="18"/>
      <w:szCs w:val="18"/>
    </w:rPr>
  </w:style>
  <w:style w:type="character" w:customStyle="1" w:styleId="Heading4Char">
    <w:name w:val="Heading 4 Char"/>
    <w:basedOn w:val="DefaultParagraphFont"/>
    <w:link w:val="Heading4"/>
    <w:uiPriority w:val="9"/>
    <w:rsid w:val="00664873"/>
    <w:rPr>
      <w:rFonts w:eastAsiaTheme="majorEastAsia" w:cs="Arial"/>
      <w:b/>
      <w:bCs/>
      <w:iCs/>
      <w:szCs w:val="20"/>
    </w:rPr>
  </w:style>
  <w:style w:type="character" w:customStyle="1" w:styleId="Heading5Char">
    <w:name w:val="Heading 5 Char"/>
    <w:basedOn w:val="DefaultParagraphFont"/>
    <w:link w:val="Heading5"/>
    <w:uiPriority w:val="9"/>
    <w:rsid w:val="00664873"/>
    <w:rPr>
      <w:rFonts w:eastAsiaTheme="majorEastAsia" w:cs="Arial"/>
      <w:szCs w:val="20"/>
    </w:rPr>
  </w:style>
  <w:style w:type="character" w:customStyle="1" w:styleId="Heading6Char">
    <w:name w:val="Heading 6 Char"/>
    <w:basedOn w:val="DefaultParagraphFont"/>
    <w:link w:val="Heading6"/>
    <w:uiPriority w:val="9"/>
    <w:rsid w:val="00664873"/>
    <w:rPr>
      <w:rFonts w:eastAsiaTheme="majorEastAsia" w:cs="Arial"/>
      <w:iCs/>
      <w:szCs w:val="20"/>
    </w:rPr>
  </w:style>
  <w:style w:type="paragraph" w:styleId="ListParagraph">
    <w:name w:val="List Paragraph"/>
    <w:basedOn w:val="Normal"/>
    <w:uiPriority w:val="34"/>
    <w:qFormat/>
    <w:rsid w:val="00AE053E"/>
    <w:pPr>
      <w:ind w:left="720"/>
      <w:contextualSpacing/>
    </w:pPr>
    <w:rPr>
      <w:rFonts w:cs="Times New Roman"/>
    </w:rPr>
  </w:style>
  <w:style w:type="table" w:styleId="TableGrid">
    <w:name w:val="Table Grid"/>
    <w:basedOn w:val="TableNormal"/>
    <w:uiPriority w:val="59"/>
    <w:rsid w:val="00AE053E"/>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E05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053E"/>
    <w:rPr>
      <w:rFonts w:ascii="Lucida Grande" w:hAnsi="Lucida Grande" w:cs="Lucida Grande"/>
      <w:sz w:val="18"/>
      <w:szCs w:val="18"/>
    </w:rPr>
  </w:style>
  <w:style w:type="character" w:styleId="CommentReference">
    <w:name w:val="annotation reference"/>
    <w:basedOn w:val="DefaultParagraphFont"/>
    <w:uiPriority w:val="99"/>
    <w:semiHidden/>
    <w:unhideWhenUsed/>
    <w:rsid w:val="00AE053E"/>
    <w:rPr>
      <w:rFonts w:cs="Times New Roman"/>
      <w:sz w:val="16"/>
      <w:szCs w:val="16"/>
    </w:rPr>
  </w:style>
  <w:style w:type="paragraph" w:styleId="CommentText">
    <w:name w:val="annotation text"/>
    <w:basedOn w:val="Normal"/>
    <w:link w:val="CommentTextChar"/>
    <w:uiPriority w:val="99"/>
    <w:semiHidden/>
    <w:unhideWhenUsed/>
    <w:rsid w:val="00AE053E"/>
    <w:rPr>
      <w:rFonts w:cs="Times New Roman"/>
      <w:sz w:val="20"/>
      <w:szCs w:val="20"/>
    </w:rPr>
  </w:style>
  <w:style w:type="character" w:customStyle="1" w:styleId="CommentTextChar">
    <w:name w:val="Comment Text Char"/>
    <w:basedOn w:val="DefaultParagraphFont"/>
    <w:link w:val="CommentText"/>
    <w:uiPriority w:val="99"/>
    <w:semiHidden/>
    <w:rsid w:val="00AE053E"/>
    <w:rPr>
      <w:rFonts w:cs="Times New Roman"/>
      <w:sz w:val="20"/>
      <w:szCs w:val="20"/>
    </w:rPr>
  </w:style>
  <w:style w:type="paragraph" w:styleId="CommentSubject">
    <w:name w:val="annotation subject"/>
    <w:basedOn w:val="CommentText"/>
    <w:next w:val="CommentText"/>
    <w:link w:val="CommentSubjectChar"/>
    <w:uiPriority w:val="99"/>
    <w:semiHidden/>
    <w:unhideWhenUsed/>
    <w:rsid w:val="00AE053E"/>
    <w:rPr>
      <w:b/>
      <w:bCs/>
    </w:rPr>
  </w:style>
  <w:style w:type="character" w:customStyle="1" w:styleId="CommentSubjectChar">
    <w:name w:val="Comment Subject Char"/>
    <w:basedOn w:val="CommentTextChar"/>
    <w:link w:val="CommentSubject"/>
    <w:uiPriority w:val="99"/>
    <w:semiHidden/>
    <w:rsid w:val="00AE053E"/>
    <w:rPr>
      <w:rFonts w:cs="Times New Roman"/>
      <w:b/>
      <w:bCs/>
      <w:sz w:val="20"/>
      <w:szCs w:val="20"/>
    </w:rPr>
  </w:style>
  <w:style w:type="character" w:styleId="Hyperlink">
    <w:name w:val="Hyperlink"/>
    <w:basedOn w:val="DefaultParagraphFont"/>
    <w:uiPriority w:val="99"/>
    <w:unhideWhenUsed/>
    <w:rsid w:val="00AE053E"/>
    <w:rPr>
      <w:rFonts w:cs="Times New Roman"/>
      <w:color w:val="0000FF" w:themeColor="hyperlink"/>
      <w:u w:val="single"/>
    </w:rPr>
  </w:style>
  <w:style w:type="paragraph" w:styleId="Revision">
    <w:name w:val="Revision"/>
    <w:hidden/>
    <w:uiPriority w:val="99"/>
    <w:semiHidden/>
    <w:rsid w:val="00AE053E"/>
    <w:rPr>
      <w:rFonts w:cs="Times New Roman"/>
    </w:rPr>
  </w:style>
  <w:style w:type="character" w:customStyle="1" w:styleId="apple-converted-space">
    <w:name w:val="apple-converted-space"/>
    <w:basedOn w:val="DefaultParagraphFont"/>
    <w:rsid w:val="00AE053E"/>
    <w:rPr>
      <w:rFonts w:cs="Times New Roman"/>
    </w:rPr>
  </w:style>
  <w:style w:type="paragraph" w:styleId="Header">
    <w:name w:val="header"/>
    <w:basedOn w:val="Normal"/>
    <w:link w:val="HeaderChar"/>
    <w:uiPriority w:val="99"/>
    <w:unhideWhenUsed/>
    <w:rsid w:val="00AE053E"/>
    <w:pPr>
      <w:tabs>
        <w:tab w:val="center" w:pos="4320"/>
        <w:tab w:val="right" w:pos="8640"/>
      </w:tabs>
    </w:pPr>
    <w:rPr>
      <w:rFonts w:cs="Times New Roman"/>
    </w:rPr>
  </w:style>
  <w:style w:type="character" w:customStyle="1" w:styleId="HeaderChar">
    <w:name w:val="Header Char"/>
    <w:basedOn w:val="DefaultParagraphFont"/>
    <w:link w:val="Header"/>
    <w:uiPriority w:val="99"/>
    <w:rsid w:val="00AE053E"/>
    <w:rPr>
      <w:rFonts w:cs="Times New Roman"/>
    </w:rPr>
  </w:style>
  <w:style w:type="paragraph" w:styleId="Footer">
    <w:name w:val="footer"/>
    <w:basedOn w:val="Normal"/>
    <w:link w:val="FooterChar"/>
    <w:uiPriority w:val="99"/>
    <w:unhideWhenUsed/>
    <w:rsid w:val="00AE053E"/>
    <w:pPr>
      <w:tabs>
        <w:tab w:val="center" w:pos="4320"/>
        <w:tab w:val="right" w:pos="8640"/>
      </w:tabs>
    </w:pPr>
    <w:rPr>
      <w:rFonts w:cs="Times New Roman"/>
    </w:rPr>
  </w:style>
  <w:style w:type="character" w:customStyle="1" w:styleId="FooterChar">
    <w:name w:val="Footer Char"/>
    <w:basedOn w:val="DefaultParagraphFont"/>
    <w:link w:val="Footer"/>
    <w:uiPriority w:val="99"/>
    <w:rsid w:val="00AE053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7408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8162</Words>
  <Characters>45708</Characters>
  <Application>Microsoft Macintosh Word</Application>
  <DocSecurity>0</DocSecurity>
  <Lines>2285</Lines>
  <Paragraphs>1795</Paragraphs>
  <ScaleCrop>false</ScaleCrop>
  <Company/>
  <LinksUpToDate>false</LinksUpToDate>
  <CharactersWithSpaces>52075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Wiles</dc:creator>
  <cp:keywords/>
  <dc:description/>
  <cp:lastModifiedBy>Kate Wiles</cp:lastModifiedBy>
  <cp:revision>3</cp:revision>
  <dcterms:created xsi:type="dcterms:W3CDTF">2020-01-23T16:42:00Z</dcterms:created>
  <dcterms:modified xsi:type="dcterms:W3CDTF">2020-01-23T17:48:00Z</dcterms:modified>
</cp:coreProperties>
</file>