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9C8F1" w14:textId="77777777" w:rsidR="00CA2A45" w:rsidRDefault="00CA2A45" w:rsidP="00CA2A45">
      <w:pPr>
        <w:pStyle w:val="BATitle"/>
        <w:jc w:val="left"/>
      </w:pPr>
      <w:r>
        <w:t>A Model for Interpreting Surface Crystallisation using QCM: Theory and Experiments</w:t>
      </w:r>
    </w:p>
    <w:p w14:paraId="27CEB7F8" w14:textId="77777777" w:rsidR="00CA2A45" w:rsidRPr="00C36CC3" w:rsidRDefault="00CA2A45" w:rsidP="00CA2A45">
      <w:pPr>
        <w:pStyle w:val="BBAuthorName"/>
        <w:jc w:val="left"/>
      </w:pPr>
      <w:r>
        <w:t>Tomer Lapidot, Kyra L. Sedransk Campbell, Jerry Y. Y. Heng*</w:t>
      </w:r>
    </w:p>
    <w:p w14:paraId="40746695" w14:textId="77777777" w:rsidR="00CA2A45" w:rsidRDefault="00CA2A45" w:rsidP="00CA2A45">
      <w:pPr>
        <w:pStyle w:val="BCAuthorAddress"/>
        <w:jc w:val="both"/>
      </w:pPr>
      <w:r>
        <w:t>Surfaces and Particle Engineering Laboratory, Department of Chemical Engineering, Imperial College London, South Kensington Campus, London SW7 2AZ, U.K.</w:t>
      </w:r>
    </w:p>
    <w:p w14:paraId="4C903287" w14:textId="77777777" w:rsidR="00CA2A45" w:rsidRPr="009863B2" w:rsidRDefault="00CA2A45" w:rsidP="00CA2A45">
      <w:pPr>
        <w:pStyle w:val="BIEmailAddress"/>
        <w:spacing w:after="0" w:line="240" w:lineRule="auto"/>
        <w:jc w:val="left"/>
        <w:rPr>
          <w:rFonts w:ascii="Times New Roman" w:hAnsi="Times New Roman"/>
        </w:rPr>
      </w:pPr>
      <w:r w:rsidRPr="009863B2">
        <w:rPr>
          <w:rFonts w:ascii="Times New Roman" w:hAnsi="Times New Roman"/>
          <w:szCs w:val="24"/>
        </w:rPr>
        <w:t>* Corresponding author:</w:t>
      </w:r>
      <w:r w:rsidRPr="009863B2">
        <w:rPr>
          <w:rFonts w:ascii="Times New Roman" w:hAnsi="Times New Roman"/>
        </w:rPr>
        <w:t xml:space="preserve"> </w:t>
      </w:r>
      <w:hyperlink r:id="rId8" w:history="1">
        <w:r w:rsidRPr="009863B2">
          <w:rPr>
            <w:rStyle w:val="Hyperlink"/>
            <w:rFonts w:ascii="Times New Roman" w:hAnsi="Times New Roman"/>
          </w:rPr>
          <w:t>jerry.heng@imperial.ac.uk</w:t>
        </w:r>
      </w:hyperlink>
      <w:r w:rsidRPr="009863B2">
        <w:rPr>
          <w:rFonts w:ascii="Times New Roman" w:hAnsi="Times New Roman"/>
        </w:rPr>
        <w:t xml:space="preserve"> </w:t>
      </w:r>
    </w:p>
    <w:p w14:paraId="52EF3B0F" w14:textId="77777777" w:rsidR="00CA2A45" w:rsidRPr="00A531A2" w:rsidRDefault="00CA2A45" w:rsidP="00CA2A45">
      <w:pPr>
        <w:pStyle w:val="BIEmailAddress"/>
      </w:pPr>
      <w:r w:rsidRPr="009863B2">
        <w:rPr>
          <w:rFonts w:ascii="Times New Roman" w:hAnsi="Times New Roman"/>
        </w:rPr>
        <w:t xml:space="preserve">Phone: +44-(0)207-594-0784. Fax: +44-(0)207-594-5700 Web: </w:t>
      </w:r>
      <w:hyperlink r:id="rId9" w:history="1">
        <w:r w:rsidRPr="009863B2">
          <w:rPr>
            <w:rStyle w:val="Hyperlink"/>
            <w:rFonts w:ascii="Times New Roman" w:hAnsi="Times New Roman"/>
          </w:rPr>
          <w:t>www.imperial.ac.uk/spel</w:t>
        </w:r>
      </w:hyperlink>
    </w:p>
    <w:p w14:paraId="3EB99C5F" w14:textId="77777777" w:rsidR="00CA2A45" w:rsidRDefault="00CA2A45" w:rsidP="00C36CC3">
      <w:pPr>
        <w:pStyle w:val="BGKeywords"/>
      </w:pPr>
    </w:p>
    <w:p w14:paraId="576A71C7" w14:textId="77777777" w:rsidR="00132A68" w:rsidRPr="00132A68" w:rsidRDefault="00132A68" w:rsidP="00132A68">
      <w:pPr>
        <w:pStyle w:val="TAMainText"/>
      </w:pPr>
    </w:p>
    <w:p w14:paraId="54D5EE54" w14:textId="77777777" w:rsidR="00CA2A45" w:rsidRDefault="00CA2A45" w:rsidP="0041244A">
      <w:pPr>
        <w:pStyle w:val="BDAbstract"/>
      </w:pPr>
      <w:r>
        <w:br w:type="page"/>
      </w:r>
    </w:p>
    <w:p w14:paraId="21929BDA" w14:textId="77777777" w:rsidR="00DD46AA" w:rsidRDefault="00AB34C5" w:rsidP="00DD46AA">
      <w:pPr>
        <w:pStyle w:val="BDAbstract"/>
        <w:spacing w:before="0" w:after="0"/>
        <w:jc w:val="center"/>
      </w:pPr>
      <w:r>
        <w:lastRenderedPageBreak/>
        <w:t>ABSTRACT</w:t>
      </w:r>
    </w:p>
    <w:p w14:paraId="564DDCB2" w14:textId="75E0DCFA" w:rsidR="00625FB5" w:rsidRDefault="006E3264" w:rsidP="00DD46AA">
      <w:pPr>
        <w:pStyle w:val="BDAbstract"/>
        <w:spacing w:before="0" w:after="0"/>
      </w:pPr>
      <w:r>
        <w:t xml:space="preserve">Surface crystallisation of calcium sulphate was investigated using a </w:t>
      </w:r>
      <w:r w:rsidR="00357057">
        <w:t>dissipation c</w:t>
      </w:r>
      <w:r>
        <w:t xml:space="preserve">rystal </w:t>
      </w:r>
      <w:r w:rsidR="00357057">
        <w:t>q</w:t>
      </w:r>
      <w:r>
        <w:t xml:space="preserve">uartz </w:t>
      </w:r>
      <w:r w:rsidR="00357057">
        <w:t>m</w:t>
      </w:r>
      <w:r>
        <w:t>icrobalance (QCM</w:t>
      </w:r>
      <w:r w:rsidR="00357057">
        <w:t>-D</w:t>
      </w:r>
      <w:r>
        <w:t>)</w:t>
      </w:r>
      <w:r w:rsidR="00357057">
        <w:t xml:space="preserve"> </w:t>
      </w:r>
      <w:r w:rsidR="00C500E9">
        <w:t xml:space="preserve">together with microscopy </w:t>
      </w:r>
      <w:r w:rsidR="007D74A7">
        <w:t xml:space="preserve">to </w:t>
      </w:r>
      <w:r w:rsidR="00471AEB">
        <w:t>understand</w:t>
      </w:r>
      <w:r w:rsidR="007D74A7">
        <w:t xml:space="preserve"> the mechanical property changes occurring during the growth process</w:t>
      </w:r>
      <w:r w:rsidR="00357057">
        <w:t>.</w:t>
      </w:r>
      <w:r w:rsidR="00C500E9">
        <w:t xml:space="preserve"> </w:t>
      </w:r>
      <w:r w:rsidR="007D74A7">
        <w:t>The use of o</w:t>
      </w:r>
      <w:r w:rsidR="008B60F8">
        <w:t xml:space="preserve">ptical </w:t>
      </w:r>
      <w:r w:rsidR="007D74A7">
        <w:t xml:space="preserve">microscopy </w:t>
      </w:r>
      <w:r w:rsidR="008B60F8">
        <w:t>and SEM revealed that needle-shaped crystals grow as clusters on the QCM sensor’s surface</w:t>
      </w:r>
      <w:r w:rsidR="007D74A7">
        <w:t>, not in uniform layers</w:t>
      </w:r>
      <w:r w:rsidR="00961392">
        <w:t>.</w:t>
      </w:r>
      <w:r w:rsidR="008B60F8">
        <w:t xml:space="preserve"> </w:t>
      </w:r>
      <w:r w:rsidR="00625FB5">
        <w:t xml:space="preserve">As crystallisation </w:t>
      </w:r>
      <w:r w:rsidR="007D74A7">
        <w:t xml:space="preserve">growth </w:t>
      </w:r>
      <w:r w:rsidR="00625FB5">
        <w:t xml:space="preserve">progressed, </w:t>
      </w:r>
      <w:r w:rsidR="007D74A7">
        <w:t xml:space="preserve">QCM-D revealed </w:t>
      </w:r>
      <w:r w:rsidR="00625FB5">
        <w:t>inversions between negative and positive</w:t>
      </w:r>
      <w:r w:rsidR="00622615">
        <w:t xml:space="preserve"> </w:t>
      </w:r>
      <w:r w:rsidR="00625FB5">
        <w:t xml:space="preserve">frequency shifts. </w:t>
      </w:r>
      <w:r w:rsidR="007D74A7">
        <w:t xml:space="preserve">This behaviour, a function of the growth of crystals in clusters, </w:t>
      </w:r>
      <w:r w:rsidR="00471AEB">
        <w:t>i</w:t>
      </w:r>
      <w:r w:rsidR="007D74A7">
        <w:t>s not adequately predicted by existing models. As such, a</w:t>
      </w:r>
      <w:r w:rsidR="00625FB5">
        <w:t xml:space="preserve"> new mass-to-frequency conversion model</w:t>
      </w:r>
      <w:r w:rsidR="00625FB5" w:rsidRPr="00625FB5">
        <w:t xml:space="preserve"> </w:t>
      </w:r>
      <w:r w:rsidR="00471AEB">
        <w:t>i</w:t>
      </w:r>
      <w:r w:rsidR="00625FB5">
        <w:t>s proposed</w:t>
      </w:r>
      <w:r w:rsidR="00471AEB">
        <w:t xml:space="preserve"> herein</w:t>
      </w:r>
      <w:r w:rsidR="00625FB5">
        <w:t xml:space="preserve"> to explain the observed frequency inversions</w:t>
      </w:r>
      <w:r w:rsidR="00471AEB">
        <w:t>.</w:t>
      </w:r>
      <w:r w:rsidR="00625FB5">
        <w:t xml:space="preserve"> </w:t>
      </w:r>
      <w:r w:rsidR="00471AEB">
        <w:t xml:space="preserve">This model is </w:t>
      </w:r>
      <w:r w:rsidR="00625FB5">
        <w:t xml:space="preserve">derived </w:t>
      </w:r>
      <w:r w:rsidR="007D74A7">
        <w:t xml:space="preserve">from </w:t>
      </w:r>
      <w:r w:rsidR="00471AEB">
        <w:t xml:space="preserve">a </w:t>
      </w:r>
      <w:r w:rsidR="008B60F8">
        <w:t xml:space="preserve">lumped element </w:t>
      </w:r>
      <w:r w:rsidR="007D74A7">
        <w:t xml:space="preserve">approach </w:t>
      </w:r>
      <w:r w:rsidR="008B60F8">
        <w:t xml:space="preserve">with </w:t>
      </w:r>
      <w:r w:rsidR="00625FB5">
        <w:t>point-contact loading and Mason equivalent circuit theory</w:t>
      </w:r>
      <w:r w:rsidR="001E797C">
        <w:t>.</w:t>
      </w:r>
      <w:r w:rsidR="00E659E1">
        <w:t xml:space="preserve"> </w:t>
      </w:r>
      <w:r w:rsidR="007D74A7">
        <w:t xml:space="preserve">Critically, the physical phenomena occurring </w:t>
      </w:r>
      <w:r w:rsidR="00471AEB">
        <w:t xml:space="preserve">form the basis of the model, particularly addressing </w:t>
      </w:r>
      <w:r w:rsidR="00372F19">
        <w:t xml:space="preserve">the </w:t>
      </w:r>
      <w:r w:rsidR="005A4DF9">
        <w:t>three</w:t>
      </w:r>
      <w:r w:rsidR="00471AEB">
        <w:t xml:space="preserve"> sources of </w:t>
      </w:r>
      <w:r w:rsidR="008B60F8">
        <w:t>impedance</w:t>
      </w:r>
      <w:r w:rsidR="00471AEB">
        <w:t>. When</w:t>
      </w:r>
      <w:r w:rsidR="005A4DF9">
        <w:t xml:space="preserve"> a</w:t>
      </w:r>
      <w:r w:rsidR="00471AEB">
        <w:t xml:space="preserve"> </w:t>
      </w:r>
      <w:r w:rsidR="008B60F8">
        <w:t xml:space="preserve">crystal </w:t>
      </w:r>
      <w:r w:rsidR="005A4DF9">
        <w:t xml:space="preserve">nucleates and grows, its inertial </w:t>
      </w:r>
      <w:r w:rsidR="008D0564">
        <w:t>impedance</w:t>
      </w:r>
      <w:r w:rsidR="001E797C">
        <w:t xml:space="preserve"> </w:t>
      </w:r>
      <w:r w:rsidR="00471AEB">
        <w:t xml:space="preserve">is </w:t>
      </w:r>
      <w:r w:rsidR="00F73591">
        <w:t>considered along with</w:t>
      </w:r>
      <w:r w:rsidR="00471AEB">
        <w:t xml:space="preserve"> </w:t>
      </w:r>
      <w:r w:rsidR="001E797C">
        <w:t xml:space="preserve">a Kelvin-Voigt link </w:t>
      </w:r>
      <w:r w:rsidR="00471AEB">
        <w:t xml:space="preserve">with </w:t>
      </w:r>
      <w:r w:rsidR="001E797C">
        <w:t xml:space="preserve">a hydration layer. </w:t>
      </w:r>
      <w:r w:rsidR="00471AEB">
        <w:t>A c</w:t>
      </w:r>
      <w:r w:rsidR="001E797C">
        <w:t xml:space="preserve">omparison between the </w:t>
      </w:r>
      <w:r w:rsidR="00471AEB">
        <w:t xml:space="preserve">proposed </w:t>
      </w:r>
      <w:r w:rsidR="001E797C">
        <w:t xml:space="preserve">model and experimental </w:t>
      </w:r>
      <w:r w:rsidR="005F6BBF">
        <w:t>data</w:t>
      </w:r>
      <w:r w:rsidR="00372F19">
        <w:t>,</w:t>
      </w:r>
      <w:r w:rsidR="005F6BBF">
        <w:t xml:space="preserve"> </w:t>
      </w:r>
      <w:r w:rsidR="00471AEB">
        <w:t xml:space="preserve">of both </w:t>
      </w:r>
      <w:r w:rsidR="00465DB3">
        <w:t xml:space="preserve">frequency and dissipation data for the first four </w:t>
      </w:r>
      <w:r w:rsidR="005F6BBF">
        <w:t>harmonics</w:t>
      </w:r>
      <w:r w:rsidR="00372F19">
        <w:t>,</w:t>
      </w:r>
      <w:r w:rsidR="00471AEB">
        <w:t xml:space="preserve"> shows</w:t>
      </w:r>
      <w:r w:rsidR="00465DB3">
        <w:t xml:space="preserve"> good agreement </w:t>
      </w:r>
      <w:r w:rsidR="00372F19">
        <w:t xml:space="preserve">for </w:t>
      </w:r>
      <w:r w:rsidR="005E34F6">
        <w:t>the</w:t>
      </w:r>
      <w:r w:rsidR="00465DB3">
        <w:t xml:space="preserve"> supersaturations</w:t>
      </w:r>
      <w:r w:rsidR="005E34F6">
        <w:t xml:space="preserve"> </w:t>
      </w:r>
      <w:r w:rsidR="001747F9">
        <w:t>(</w:t>
      </w:r>
      <m:oMath>
        <m:r>
          <w:rPr>
            <w:rFonts w:ascii="Cambria Math" w:hAnsi="Cambria Math"/>
          </w:rPr>
          <m:t>S=C/</m:t>
        </m:r>
        <m:sSup>
          <m:sSupPr>
            <m:ctrlPr>
              <w:rPr>
                <w:rFonts w:ascii="Cambria Math" w:hAnsi="Cambria Math"/>
                <w:i/>
              </w:rPr>
            </m:ctrlPr>
          </m:sSupPr>
          <m:e>
            <m:r>
              <w:rPr>
                <w:rFonts w:ascii="Cambria Math" w:hAnsi="Cambria Math"/>
              </w:rPr>
              <m:t>C</m:t>
            </m:r>
          </m:e>
          <m:sup>
            <m:r>
              <w:rPr>
                <w:rFonts w:ascii="Cambria Math" w:hAnsi="Cambria Math"/>
              </w:rPr>
              <m:t>*</m:t>
            </m:r>
          </m:sup>
        </m:sSup>
      </m:oMath>
      <w:r w:rsidR="001747F9">
        <w:t>)</w:t>
      </w:r>
      <w:r w:rsidR="005E34F6">
        <w:t xml:space="preserve"> of </w:t>
      </w:r>
      <w:r w:rsidR="004F3CD7" w:rsidRPr="004F3CD7">
        <w:rPr>
          <w:i/>
        </w:rPr>
        <w:t>S=</w:t>
      </w:r>
      <w:r w:rsidR="005E34F6">
        <w:t>3.75</w:t>
      </w:r>
      <w:r w:rsidR="00E659E1">
        <w:t>,</w:t>
      </w:r>
      <w:r w:rsidR="005E34F6">
        <w:t xml:space="preserve"> </w:t>
      </w:r>
      <w:r w:rsidR="004F3CD7" w:rsidRPr="004F3CD7">
        <w:rPr>
          <w:i/>
        </w:rPr>
        <w:t>S=</w:t>
      </w:r>
      <w:r w:rsidR="005E34F6">
        <w:t>3.48</w:t>
      </w:r>
      <w:r w:rsidR="00E659E1">
        <w:t>, and</w:t>
      </w:r>
      <w:r w:rsidR="005E34F6">
        <w:t xml:space="preserve"> </w:t>
      </w:r>
      <w:r w:rsidR="004F3CD7" w:rsidRPr="004F3CD7">
        <w:rPr>
          <w:i/>
        </w:rPr>
        <w:t>S=</w:t>
      </w:r>
      <w:r w:rsidR="005E34F6">
        <w:t>3.22</w:t>
      </w:r>
      <w:r w:rsidR="00372F19">
        <w:t>. Additionally,</w:t>
      </w:r>
      <w:r w:rsidR="00471AEB">
        <w:t xml:space="preserve"> significant improvement</w:t>
      </w:r>
      <w:r w:rsidR="00372F19">
        <w:t>s</w:t>
      </w:r>
      <w:r w:rsidR="00471AEB">
        <w:t xml:space="preserve"> over existing models</w:t>
      </w:r>
      <w:r w:rsidR="00E743B6">
        <w:t xml:space="preserve"> for the case of </w:t>
      </w:r>
      <w:r w:rsidR="00DD614A">
        <w:t xml:space="preserve">surface </w:t>
      </w:r>
      <w:r w:rsidR="0090168D">
        <w:t xml:space="preserve">crystallisation </w:t>
      </w:r>
      <w:r w:rsidR="00372F19">
        <w:t>are observed</w:t>
      </w:r>
      <w:r w:rsidR="00AE0396">
        <w:t xml:space="preserve">. </w:t>
      </w:r>
      <w:r w:rsidR="00015ADC">
        <w:t>The proposed model was there</w:t>
      </w:r>
      <w:r w:rsidR="00471AEB">
        <w:t>fore</w:t>
      </w:r>
      <w:r w:rsidR="00015ADC">
        <w:t xml:space="preserve"> able to explain that frequency inversions </w:t>
      </w:r>
      <w:r w:rsidR="005E34F6">
        <w:t>are cause</w:t>
      </w:r>
      <w:r w:rsidR="00372F19">
        <w:t>d</w:t>
      </w:r>
      <w:r w:rsidR="005E34F6">
        <w:t xml:space="preserve"> by a shift from </w:t>
      </w:r>
      <w:r w:rsidR="00E659E1">
        <w:t>inertia</w:t>
      </w:r>
      <w:r w:rsidR="005E34F6">
        <w:t>-</w:t>
      </w:r>
      <w:r w:rsidR="00015ADC">
        <w:t xml:space="preserve">dominated to </w:t>
      </w:r>
      <w:r w:rsidR="00E659E1">
        <w:t>elastic</w:t>
      </w:r>
      <w:r w:rsidR="005E34F6">
        <w:t>-</w:t>
      </w:r>
      <w:r w:rsidR="00015ADC">
        <w:t>dominated impedance</w:t>
      </w:r>
      <w:r w:rsidR="00471AEB">
        <w:t>, occurring as a result of crystal growth</w:t>
      </w:r>
      <w:r w:rsidR="00F73591">
        <w:t>.</w:t>
      </w:r>
      <w:r w:rsidR="001E797C">
        <w:t xml:space="preserve"> </w:t>
      </w:r>
      <w:r w:rsidR="00471AEB">
        <w:t>Using the nucleation induction time and nucleation rates</w:t>
      </w:r>
      <w:r w:rsidR="006906E0">
        <w:t>,</w:t>
      </w:r>
      <w:r w:rsidR="00471AEB">
        <w:t xml:space="preserve"> determined with imaging, </w:t>
      </w:r>
      <w:r w:rsidR="006906E0">
        <w:t xml:space="preserve">an </w:t>
      </w:r>
      <w:r w:rsidR="00471AEB">
        <w:t xml:space="preserve">additional understanding </w:t>
      </w:r>
      <w:r w:rsidR="00F73591">
        <w:t xml:space="preserve">of </w:t>
      </w:r>
      <w:r w:rsidR="00B75A47">
        <w:t xml:space="preserve">the </w:t>
      </w:r>
      <w:r w:rsidR="00F73591">
        <w:t>crystal</w:t>
      </w:r>
      <w:r w:rsidR="00B75A47">
        <w:t>s’</w:t>
      </w:r>
      <w:r w:rsidR="00F73591">
        <w:t xml:space="preserve"> </w:t>
      </w:r>
      <w:r w:rsidR="00B75A47">
        <w:t>mechanical properties (stiffness and dampening) was</w:t>
      </w:r>
      <w:r w:rsidR="00F73591">
        <w:t xml:space="preserve"> obtained.</w:t>
      </w:r>
    </w:p>
    <w:p w14:paraId="0418749B" w14:textId="212B2DC1" w:rsidR="00132A68" w:rsidRDefault="00CA2A45" w:rsidP="00CA2A45">
      <w:pPr>
        <w:pStyle w:val="BGKeywords"/>
        <w:spacing w:after="0"/>
      </w:pPr>
      <w:r w:rsidRPr="00C36CC3">
        <w:t>KEYWORDS</w:t>
      </w:r>
      <w:r>
        <w:t>: Quartz Crystal Microbalance, Kelvin-Voigt Model, Liquid Hydration Layer, Surface Crystallisation, Mason Circuits</w:t>
      </w:r>
    </w:p>
    <w:p w14:paraId="393E0CEA" w14:textId="77777777" w:rsidR="00AB34C5" w:rsidRDefault="002B600F" w:rsidP="004652BD">
      <w:pPr>
        <w:pStyle w:val="TAMainText"/>
        <w:spacing w:after="240"/>
        <w:ind w:firstLine="0"/>
        <w:jc w:val="center"/>
      </w:pPr>
      <w:r>
        <w:lastRenderedPageBreak/>
        <w:t>INTRODUCTION</w:t>
      </w:r>
    </w:p>
    <w:p w14:paraId="1C82461A" w14:textId="77777777" w:rsidR="00430FEF" w:rsidRDefault="002B600F" w:rsidP="00B5456C">
      <w:pPr>
        <w:pStyle w:val="TAMainText"/>
      </w:pPr>
      <w:r>
        <w:t>Dissipation quartz crystal microbalance (QCM-D) can measure resonance at various overtones</w:t>
      </w:r>
      <w:r w:rsidR="004D1956">
        <w:t>,</w:t>
      </w:r>
      <w:r>
        <w:t xml:space="preserve"> as well as monitor dissipation (or complex frequency) shifts. </w:t>
      </w:r>
      <w:r w:rsidR="00372F19">
        <w:t xml:space="preserve">This technique can be used to </w:t>
      </w:r>
      <w:r>
        <w:t>prob</w:t>
      </w:r>
      <w:r w:rsidR="00372F19">
        <w:t>e</w:t>
      </w:r>
      <w:r w:rsidR="004D1956">
        <w:t xml:space="preserve"> the </w:t>
      </w:r>
      <w:r>
        <w:t>viscoelastic properties of deposited materials</w:t>
      </w:r>
      <w:r w:rsidR="004D1956">
        <w:t>,</w:t>
      </w:r>
      <w:r>
        <w:t xml:space="preserve"> </w:t>
      </w:r>
      <w:r w:rsidR="00372F19" w:rsidRPr="0090168D">
        <w:rPr>
          <w:i/>
        </w:rPr>
        <w:t>e</w:t>
      </w:r>
      <w:r w:rsidR="00372F19">
        <w:t>.</w:t>
      </w:r>
      <w:r w:rsidR="00372F19" w:rsidRPr="0090168D">
        <w:rPr>
          <w:i/>
        </w:rPr>
        <w:t>g</w:t>
      </w:r>
      <w:r w:rsidR="00372F19">
        <w:t xml:space="preserve">. </w:t>
      </w:r>
      <w:r>
        <w:t xml:space="preserve">the storage and loss moduli, </w:t>
      </w:r>
      <w:r w:rsidR="00372F19">
        <w:t xml:space="preserve">which </w:t>
      </w:r>
      <w:r>
        <w:t>extend</w:t>
      </w:r>
      <w:r w:rsidR="00372F19">
        <w:t>s</w:t>
      </w:r>
      <w:r>
        <w:t xml:space="preserve"> </w:t>
      </w:r>
      <w:r w:rsidR="004B15F3">
        <w:t>QCM</w:t>
      </w:r>
      <w:r>
        <w:t xml:space="preserve"> beyond </w:t>
      </w:r>
      <w:r w:rsidR="004B15F3">
        <w:t xml:space="preserve">a </w:t>
      </w:r>
      <w:r w:rsidR="004D1956">
        <w:t>simpl</w:t>
      </w:r>
      <w:r w:rsidR="004B15F3">
        <w:t>e</w:t>
      </w:r>
      <w:r w:rsidR="004D1956">
        <w:t xml:space="preserve"> </w:t>
      </w:r>
      <w:r>
        <w:t>gravimetric tool. Applications of QCM-D extend to a wide range of research topics including self-assembled monolayers</w:t>
      </w:r>
      <w:r w:rsidR="002E284E">
        <w:t>,</w:t>
      </w:r>
      <w:r w:rsidR="002E6FA0" w:rsidRPr="001F76FE">
        <w:rPr>
          <w:noProof/>
          <w:vertAlign w:val="superscript"/>
        </w:rPr>
        <w:t>1</w:t>
      </w:r>
      <w:r w:rsidR="004E2AFB" w:rsidRPr="004E2AFB">
        <w:rPr>
          <w:vertAlign w:val="superscript"/>
        </w:rPr>
        <w:t>,</w:t>
      </w:r>
      <w:r w:rsidR="002E6FA0" w:rsidRPr="001F76FE">
        <w:rPr>
          <w:noProof/>
          <w:vertAlign w:val="superscript"/>
        </w:rPr>
        <w:t>2</w:t>
      </w:r>
      <w:r>
        <w:t xml:space="preserve"> viscoelastic polymers</w:t>
      </w:r>
      <w:r w:rsidR="002E284E">
        <w:t>,</w:t>
      </w:r>
      <w:r w:rsidR="002E6FA0" w:rsidRPr="001F76FE">
        <w:rPr>
          <w:noProof/>
          <w:vertAlign w:val="superscript"/>
        </w:rPr>
        <w:t>3</w:t>
      </w:r>
      <w:r w:rsidR="004E2AFB">
        <w:rPr>
          <w:noProof/>
          <w:vertAlign w:val="superscript"/>
        </w:rPr>
        <w:t>,</w:t>
      </w:r>
      <w:r w:rsidR="002E6FA0" w:rsidRPr="001F76FE">
        <w:rPr>
          <w:noProof/>
          <w:vertAlign w:val="superscript"/>
        </w:rPr>
        <w:t>4</w:t>
      </w:r>
      <w:r>
        <w:t xml:space="preserve"> adsorption of biological macromolecules </w:t>
      </w:r>
      <w:r w:rsidR="00430FEF">
        <w:t>(</w:t>
      </w:r>
      <w:r w:rsidR="004D1956" w:rsidRPr="00801520">
        <w:rPr>
          <w:i/>
        </w:rPr>
        <w:t>e</w:t>
      </w:r>
      <w:r w:rsidR="004D1956">
        <w:t>.</w:t>
      </w:r>
      <w:r w:rsidR="004D1956" w:rsidRPr="00801520">
        <w:rPr>
          <w:i/>
        </w:rPr>
        <w:t>g</w:t>
      </w:r>
      <w:r w:rsidR="004D1956">
        <w:t>.</w:t>
      </w:r>
      <w:r>
        <w:t xml:space="preserve"> proteins</w:t>
      </w:r>
      <w:r w:rsidR="002E6FA0" w:rsidRPr="001F76FE">
        <w:rPr>
          <w:noProof/>
          <w:vertAlign w:val="superscript"/>
        </w:rPr>
        <w:t>5</w:t>
      </w:r>
      <w:r w:rsidR="004E2AFB" w:rsidRPr="004E2AFB">
        <w:rPr>
          <w:vertAlign w:val="superscript"/>
        </w:rPr>
        <w:t>,</w:t>
      </w:r>
      <w:r w:rsidR="002E6FA0" w:rsidRPr="001F76FE">
        <w:rPr>
          <w:noProof/>
          <w:vertAlign w:val="superscript"/>
        </w:rPr>
        <w:t>6</w:t>
      </w:r>
      <w:r>
        <w:t xml:space="preserve"> and DNA</w:t>
      </w:r>
      <w:r w:rsidR="002E6FA0" w:rsidRPr="001F76FE">
        <w:rPr>
          <w:noProof/>
          <w:vertAlign w:val="superscript"/>
        </w:rPr>
        <w:t>7</w:t>
      </w:r>
      <w:r>
        <w:t>), and electrochemical reactions (Electrochemical-QCM)</w:t>
      </w:r>
      <w:r w:rsidR="002E284E">
        <w:t>.</w:t>
      </w:r>
      <w:r w:rsidR="002E6FA0" w:rsidRPr="001F76FE">
        <w:rPr>
          <w:noProof/>
          <w:vertAlign w:val="superscript"/>
        </w:rPr>
        <w:t>8</w:t>
      </w:r>
      <w:r w:rsidR="004E2AFB" w:rsidRPr="004E2AFB">
        <w:rPr>
          <w:vertAlign w:val="superscript"/>
        </w:rPr>
        <w:t>,</w:t>
      </w:r>
      <w:r w:rsidR="002E6FA0" w:rsidRPr="001F76FE">
        <w:rPr>
          <w:noProof/>
          <w:vertAlign w:val="superscript"/>
        </w:rPr>
        <w:t>9</w:t>
      </w:r>
      <w:r>
        <w:t xml:space="preserve"> Due to the wide variety of applications, interpretation of raw QCM data depends on the</w:t>
      </w:r>
      <w:r w:rsidRPr="008F7C93">
        <w:t xml:space="preserve"> </w:t>
      </w:r>
      <w:r>
        <w:t xml:space="preserve">acoustic nature of the process being examined. </w:t>
      </w:r>
      <w:r w:rsidR="002E284E">
        <w:t>T</w:t>
      </w:r>
      <w:r>
        <w:t>he Sauerbrey</w:t>
      </w:r>
      <w:r w:rsidR="002E6FA0" w:rsidRPr="005B02FF">
        <w:rPr>
          <w:noProof/>
          <w:vertAlign w:val="superscript"/>
        </w:rPr>
        <w:t>10</w:t>
      </w:r>
      <w:r w:rsidR="002E284E" w:rsidRPr="002E284E">
        <w:t xml:space="preserve"> </w:t>
      </w:r>
      <w:r w:rsidR="002E284E">
        <w:t>model</w:t>
      </w:r>
      <w:r w:rsidR="00CC25CC">
        <w:t>, which states that</w:t>
      </w:r>
      <w:r w:rsidR="00876B74">
        <w:t xml:space="preserve"> a</w:t>
      </w:r>
      <w:r w:rsidR="00CC25CC">
        <w:t xml:space="preserve"> negative frequency shift is proportional to the mass </w:t>
      </w:r>
      <w:r w:rsidR="006A1A2B">
        <w:t xml:space="preserve">deposited </w:t>
      </w:r>
      <w:r w:rsidR="00CC25CC">
        <w:t>on the sensor</w:t>
      </w:r>
      <w:r w:rsidR="002E284E">
        <w:t>,</w:t>
      </w:r>
      <w:r w:rsidR="002E284E" w:rsidRPr="002E284E">
        <w:t xml:space="preserve"> </w:t>
      </w:r>
      <w:r w:rsidR="002E284E">
        <w:t>is widely used</w:t>
      </w:r>
      <w:r w:rsidR="002E284E" w:rsidRPr="002E284E">
        <w:t xml:space="preserve"> </w:t>
      </w:r>
      <w:r w:rsidR="002E284E">
        <w:t>for many modern applications</w:t>
      </w:r>
      <w:r w:rsidR="00CC25CC">
        <w:t>.</w:t>
      </w:r>
      <w:r w:rsidR="004D1956">
        <w:t xml:space="preserve"> </w:t>
      </w:r>
      <w:r w:rsidR="00876B74">
        <w:t xml:space="preserve">This model is </w:t>
      </w:r>
      <w:r w:rsidR="0046671B">
        <w:t xml:space="preserve">only </w:t>
      </w:r>
      <w:r w:rsidR="00876B74">
        <w:t>suitable for simple system</w:t>
      </w:r>
      <w:r w:rsidR="008C4C64">
        <w:t>s</w:t>
      </w:r>
      <w:r w:rsidR="00876B74">
        <w:t xml:space="preserve"> such as thin and uniform layers in </w:t>
      </w:r>
      <w:r w:rsidR="008C4C64">
        <w:t xml:space="preserve">a </w:t>
      </w:r>
      <w:r w:rsidR="00876B74">
        <w:t>vacuum</w:t>
      </w:r>
      <w:r w:rsidR="0046671B">
        <w:t>,</w:t>
      </w:r>
      <w:r w:rsidR="00876B74">
        <w:t xml:space="preserve"> </w:t>
      </w:r>
      <w:r w:rsidR="0046671B">
        <w:t>as it</w:t>
      </w:r>
      <w:r>
        <w:t xml:space="preserve"> neglect</w:t>
      </w:r>
      <w:r w:rsidR="00957D3F">
        <w:t>s</w:t>
      </w:r>
      <w:r w:rsidR="004D1956">
        <w:t xml:space="preserve"> </w:t>
      </w:r>
      <w:r>
        <w:t>key factors that influence the surface impedance</w:t>
      </w:r>
      <w:r w:rsidR="00957D3F">
        <w:t xml:space="preserve"> </w:t>
      </w:r>
      <w:r w:rsidR="006A1A2B">
        <w:t>including</w:t>
      </w:r>
      <w:r w:rsidR="00957D3F">
        <w:t>:</w:t>
      </w:r>
      <w:r>
        <w:t xml:space="preserve"> viscoelastic</w:t>
      </w:r>
      <w:r w:rsidR="008F2298">
        <w:t>ity</w:t>
      </w:r>
      <w:r>
        <w:t>, properties of the surrounding fluid, and multilayer adsorption.</w:t>
      </w:r>
      <w:r w:rsidR="001379DD">
        <w:t xml:space="preserve"> </w:t>
      </w:r>
      <w:r>
        <w:t xml:space="preserve">To </w:t>
      </w:r>
      <w:r w:rsidR="00C1408B">
        <w:t>address</w:t>
      </w:r>
      <w:r>
        <w:t xml:space="preserve"> th</w:t>
      </w:r>
      <w:r w:rsidR="006A1A2B">
        <w:t>ese limitations</w:t>
      </w:r>
      <w:r>
        <w:t>, viscoelastic models</w:t>
      </w:r>
      <w:r w:rsidR="002E6FA0" w:rsidRPr="005B02FF">
        <w:rPr>
          <w:noProof/>
          <w:vertAlign w:val="superscript"/>
        </w:rPr>
        <w:t>11</w:t>
      </w:r>
      <w:r w:rsidR="004E2AFB" w:rsidRPr="004E2AFB">
        <w:rPr>
          <w:vertAlign w:val="superscript"/>
        </w:rPr>
        <w:t>-</w:t>
      </w:r>
      <w:r w:rsidR="002E6FA0" w:rsidRPr="005B02FF">
        <w:rPr>
          <w:noProof/>
          <w:vertAlign w:val="superscript"/>
        </w:rPr>
        <w:t>15</w:t>
      </w:r>
      <w:r>
        <w:t xml:space="preserve"> based on Mason equivalent circuit theory have been developed. The Mason circuit model use</w:t>
      </w:r>
      <w:r w:rsidR="00C1408B">
        <w:t>s</w:t>
      </w:r>
      <w:r>
        <w:t xml:space="preserve"> the electro-mechanical equivalency of harmonic oscillators</w:t>
      </w:r>
      <w:r w:rsidR="00C1408B">
        <w:t xml:space="preserve"> to account for viscoelastic effects</w:t>
      </w:r>
      <w:r w:rsidR="006A1A2B">
        <w:t>.</w:t>
      </w:r>
      <w:r>
        <w:t xml:space="preserve"> </w:t>
      </w:r>
      <w:r w:rsidR="006A1A2B">
        <w:t xml:space="preserve">This approach </w:t>
      </w:r>
      <w:r>
        <w:t xml:space="preserve">can be </w:t>
      </w:r>
      <w:r w:rsidR="004D1956">
        <w:t xml:space="preserve">tailored </w:t>
      </w:r>
      <w:r>
        <w:t xml:space="preserve">to specific applications with relative ease, making it </w:t>
      </w:r>
      <w:r w:rsidR="00957D3F">
        <w:t>the</w:t>
      </w:r>
      <w:r w:rsidR="004D1956">
        <w:t xml:space="preserve"> </w:t>
      </w:r>
      <w:r>
        <w:t xml:space="preserve">popular </w:t>
      </w:r>
      <w:r w:rsidR="004D1956">
        <w:t xml:space="preserve">alternative to the Sauerbrey </w:t>
      </w:r>
      <w:r w:rsidR="001504A4">
        <w:t>model.</w:t>
      </w:r>
    </w:p>
    <w:p w14:paraId="4CC805CC" w14:textId="77777777" w:rsidR="002C4C91" w:rsidRDefault="00430FEF" w:rsidP="00B5456C">
      <w:pPr>
        <w:pStyle w:val="TAMainText"/>
      </w:pPr>
      <w:r>
        <w:t>The</w:t>
      </w:r>
      <w:r w:rsidR="002B600F">
        <w:t xml:space="preserve"> improvements made by the viscoelastic Mason circuit model are notable in the application of non-uniform deposits such as point-contact loads. This has been investigated through particle adsorption experiments</w:t>
      </w:r>
      <w:r w:rsidR="002E6FA0" w:rsidRPr="00700BCC">
        <w:rPr>
          <w:noProof/>
          <w:vertAlign w:val="superscript"/>
        </w:rPr>
        <w:t>16</w:t>
      </w:r>
      <w:r w:rsidR="002B600F">
        <w:t xml:space="preserve"> where positive frequency shifts were reported during mass deposition</w:t>
      </w:r>
      <w:r w:rsidR="006A1A2B">
        <w:t>. This is</w:t>
      </w:r>
      <w:r w:rsidR="002B600F">
        <w:t xml:space="preserve"> contrary to the negative shifts predicted by the Sauerbrey equation</w:t>
      </w:r>
      <w:r w:rsidR="002E284E">
        <w:t>.</w:t>
      </w:r>
      <w:r w:rsidR="002E6FA0" w:rsidRPr="00700BCC">
        <w:rPr>
          <w:noProof/>
          <w:vertAlign w:val="superscript"/>
        </w:rPr>
        <w:t>17</w:t>
      </w:r>
      <w:r w:rsidR="004E2AFB" w:rsidRPr="004E2AFB">
        <w:rPr>
          <w:vertAlign w:val="superscript"/>
        </w:rPr>
        <w:t>-</w:t>
      </w:r>
      <w:r w:rsidR="002E6FA0" w:rsidRPr="00700BCC">
        <w:rPr>
          <w:noProof/>
          <w:vertAlign w:val="superscript"/>
        </w:rPr>
        <w:t>19</w:t>
      </w:r>
      <w:r w:rsidR="009D4001">
        <w:t xml:space="preserve"> </w:t>
      </w:r>
      <w:r w:rsidR="00FC6386">
        <w:t>One application of point contact loading is c</w:t>
      </w:r>
      <w:r w:rsidR="002B600F">
        <w:t>rystallisation fouling</w:t>
      </w:r>
      <w:r w:rsidR="00FC6386">
        <w:t>,</w:t>
      </w:r>
      <w:r w:rsidR="009D4001">
        <w:t xml:space="preserve"> where </w:t>
      </w:r>
      <w:r w:rsidR="002B600F">
        <w:t xml:space="preserve">aqueous inverse solubility salts (calcium </w:t>
      </w:r>
      <w:r w:rsidR="002B600F">
        <w:lastRenderedPageBreak/>
        <w:t xml:space="preserve">carbonate and calcium sulphate) </w:t>
      </w:r>
      <w:r w:rsidR="009D4001">
        <w:t xml:space="preserve">are deposited </w:t>
      </w:r>
      <w:r w:rsidR="002B600F">
        <w:t>on heat exchanger surfaces</w:t>
      </w:r>
      <w:r w:rsidR="002E284E">
        <w:t>.</w:t>
      </w:r>
      <w:r w:rsidR="002E6FA0" w:rsidRPr="00700BCC">
        <w:rPr>
          <w:noProof/>
          <w:vertAlign w:val="superscript"/>
        </w:rPr>
        <w:t>20</w:t>
      </w:r>
      <w:r w:rsidR="004E2AFB" w:rsidRPr="004E2AFB">
        <w:rPr>
          <w:vertAlign w:val="superscript"/>
        </w:rPr>
        <w:t>-</w:t>
      </w:r>
      <w:r w:rsidR="002E6FA0" w:rsidRPr="00700BCC">
        <w:rPr>
          <w:noProof/>
          <w:vertAlign w:val="superscript"/>
        </w:rPr>
        <w:t>23</w:t>
      </w:r>
      <w:r w:rsidR="002B600F">
        <w:t xml:space="preserve"> Traditionally </w:t>
      </w:r>
      <w:r w:rsidR="009D4001">
        <w:t xml:space="preserve">such </w:t>
      </w:r>
      <w:r w:rsidR="002B600F">
        <w:t>fouling of calcium salts has been measured using microscopy, where nucleation and growth are calculated by image analysis</w:t>
      </w:r>
      <w:r w:rsidR="002E284E">
        <w:t>.</w:t>
      </w:r>
      <w:r w:rsidR="002E6FA0" w:rsidRPr="00700BCC">
        <w:rPr>
          <w:noProof/>
          <w:vertAlign w:val="superscript"/>
        </w:rPr>
        <w:t>24</w:t>
      </w:r>
      <w:r w:rsidR="002B600F">
        <w:t xml:space="preserve"> </w:t>
      </w:r>
      <w:r w:rsidR="005A7E7A">
        <w:t>Investigation of crystallisation fouling using QCM can provide deeper insight</w:t>
      </w:r>
      <w:r w:rsidR="00C44783">
        <w:t xml:space="preserve"> into </w:t>
      </w:r>
      <w:r w:rsidR="008C4C64">
        <w:t xml:space="preserve">the </w:t>
      </w:r>
      <w:r w:rsidR="005A7E7A">
        <w:t xml:space="preserve">mechanical properties of the adsorbed crystals, which cannot be measured through imaging. </w:t>
      </w:r>
      <w:r w:rsidR="008C4C64">
        <w:t xml:space="preserve">As fouling is undesirable in industrial applications, </w:t>
      </w:r>
      <w:r w:rsidR="00DF744F">
        <w:t xml:space="preserve">the removal of crystalline growth relies on an understanding of </w:t>
      </w:r>
      <w:r w:rsidR="008C4C64">
        <w:t xml:space="preserve">mechanical </w:t>
      </w:r>
      <w:r w:rsidR="00DF744F">
        <w:t>properties.</w:t>
      </w:r>
    </w:p>
    <w:p w14:paraId="30933F59" w14:textId="77777777" w:rsidR="002B600F" w:rsidRDefault="00911ED4" w:rsidP="00B5456C">
      <w:pPr>
        <w:pStyle w:val="TAMainText"/>
      </w:pPr>
      <w:r>
        <w:t>The intricacy in interpreting the frequency shifts</w:t>
      </w:r>
      <w:r w:rsidR="00295600">
        <w:t>,</w:t>
      </w:r>
      <w:r>
        <w:t xml:space="preserve"> and </w:t>
      </w:r>
      <w:r w:rsidR="00C44783">
        <w:t xml:space="preserve">subsequent </w:t>
      </w:r>
      <w:r>
        <w:t>conver</w:t>
      </w:r>
      <w:r w:rsidR="00C44783">
        <w:t>sion</w:t>
      </w:r>
      <w:r>
        <w:t xml:space="preserve"> into mass measurements</w:t>
      </w:r>
      <w:r w:rsidR="00295600">
        <w:t>,</w:t>
      </w:r>
      <w:r>
        <w:t xml:space="preserve"> requires </w:t>
      </w:r>
      <w:r w:rsidR="00DF744F">
        <w:t>the</w:t>
      </w:r>
      <w:r w:rsidR="002B600F">
        <w:t xml:space="preserve"> novel Mason circuit model </w:t>
      </w:r>
      <w:r>
        <w:t xml:space="preserve">proposed in this work. </w:t>
      </w:r>
      <w:r w:rsidR="00147BC0">
        <w:t>Although current models are very effective at interpreting frequency shift</w:t>
      </w:r>
      <w:r w:rsidR="00DF744F">
        <w:t>s</w:t>
      </w:r>
      <w:r w:rsidR="00147BC0">
        <w:t xml:space="preserve"> of uniform viscoelastic layer</w:t>
      </w:r>
      <w:r w:rsidR="00027AFE">
        <w:t>s</w:t>
      </w:r>
      <w:r w:rsidR="00147BC0">
        <w:t>, th</w:t>
      </w:r>
      <w:r w:rsidR="004B6BDC">
        <w:t>ey are not suitable for describing</w:t>
      </w:r>
      <w:r w:rsidR="00147BC0">
        <w:t xml:space="preserve"> a heterogeneous population of crystals in solution. </w:t>
      </w:r>
      <w:r>
        <w:t>Th</w:t>
      </w:r>
      <w:r w:rsidR="00DF744F">
        <w:t>e</w:t>
      </w:r>
      <w:r>
        <w:t xml:space="preserve"> model </w:t>
      </w:r>
      <w:r w:rsidR="00DF744F">
        <w:t xml:space="preserve">herein </w:t>
      </w:r>
      <w:r>
        <w:t xml:space="preserve">advances </w:t>
      </w:r>
      <w:r w:rsidR="009D4001">
        <w:t xml:space="preserve">previous viscoelastic models </w:t>
      </w:r>
      <w:r>
        <w:t xml:space="preserve">for </w:t>
      </w:r>
      <w:r w:rsidR="00041703">
        <w:t xml:space="preserve">crystalline </w:t>
      </w:r>
      <w:r>
        <w:t xml:space="preserve">point-contact load </w:t>
      </w:r>
      <w:r w:rsidR="00DF744F">
        <w:t xml:space="preserve">by </w:t>
      </w:r>
      <w:r w:rsidR="00295600">
        <w:t xml:space="preserve">accurately addressing the </w:t>
      </w:r>
      <w:r w:rsidR="00FC6386">
        <w:t xml:space="preserve">complex </w:t>
      </w:r>
      <w:r w:rsidR="009D4001">
        <w:t>frequency shifts</w:t>
      </w:r>
      <w:r w:rsidR="00FC6386">
        <w:t xml:space="preserve"> </w:t>
      </w:r>
      <w:r w:rsidR="00041703">
        <w:t>at multiple overtones</w:t>
      </w:r>
      <w:r w:rsidR="009D4001">
        <w:t xml:space="preserve">. </w:t>
      </w:r>
      <w:r w:rsidR="002B600F">
        <w:t xml:space="preserve">This is </w:t>
      </w:r>
      <w:r w:rsidR="009D4001">
        <w:t xml:space="preserve">accomplished </w:t>
      </w:r>
      <w:r w:rsidR="002B600F">
        <w:t xml:space="preserve">by considering the physics of surface crystallisation, accounting for </w:t>
      </w:r>
      <w:r w:rsidR="00E40117">
        <w:t>both frequency and</w:t>
      </w:r>
      <w:r w:rsidR="002B600F">
        <w:t xml:space="preserve"> dissipation</w:t>
      </w:r>
      <w:r w:rsidR="00E40117" w:rsidRPr="00E40117">
        <w:t xml:space="preserve"> </w:t>
      </w:r>
      <w:r w:rsidR="00E40117">
        <w:t>measurements,</w:t>
      </w:r>
      <w:r w:rsidR="002B600F">
        <w:t xml:space="preserve"> and observ</w:t>
      </w:r>
      <w:r w:rsidR="00295600">
        <w:t>ations</w:t>
      </w:r>
      <w:r w:rsidR="002B600F">
        <w:t xml:space="preserve"> </w:t>
      </w:r>
      <w:r w:rsidR="00295600">
        <w:t xml:space="preserve">of </w:t>
      </w:r>
      <w:r w:rsidR="002B600F">
        <w:t>higher overtone</w:t>
      </w:r>
      <w:r w:rsidR="00295600">
        <w:t xml:space="preserve"> behaviour</w:t>
      </w:r>
      <w:r w:rsidR="002B600F">
        <w:t>.</w:t>
      </w:r>
      <w:r>
        <w:t xml:space="preserve"> This </w:t>
      </w:r>
      <w:r w:rsidR="00295600">
        <w:t xml:space="preserve">approach </w:t>
      </w:r>
      <w:r>
        <w:t>paired with the traditional imaging methods provides a complete picture of the crystallisation process.</w:t>
      </w:r>
    </w:p>
    <w:p w14:paraId="1BF203D0" w14:textId="77777777" w:rsidR="00132A68" w:rsidRDefault="00132A68" w:rsidP="00B5456C">
      <w:pPr>
        <w:pStyle w:val="TAMainText"/>
      </w:pPr>
    </w:p>
    <w:p w14:paraId="2E890B2B" w14:textId="77777777" w:rsidR="002B600F" w:rsidRDefault="002B600F" w:rsidP="004652BD">
      <w:pPr>
        <w:pStyle w:val="TAMainText"/>
        <w:spacing w:after="240"/>
        <w:ind w:firstLine="0"/>
        <w:jc w:val="center"/>
      </w:pPr>
      <w:r>
        <w:t>THEORY</w:t>
      </w:r>
    </w:p>
    <w:p w14:paraId="5A7E4AD5" w14:textId="77777777" w:rsidR="00D57EF6" w:rsidRDefault="001F1A39" w:rsidP="00A40900">
      <w:pPr>
        <w:pStyle w:val="TAMainText"/>
      </w:pPr>
      <w:r>
        <w:t>The Mason</w:t>
      </w:r>
      <w:r w:rsidR="00D57EF6">
        <w:t xml:space="preserve"> equivalent circuit </w:t>
      </w:r>
      <w:r>
        <w:t xml:space="preserve">model </w:t>
      </w:r>
      <w:r w:rsidR="00D57EF6">
        <w:t xml:space="preserve">addresses the resonance frequency of the </w:t>
      </w:r>
      <w:r w:rsidR="00F8470A">
        <w:t xml:space="preserve">QCM </w:t>
      </w:r>
      <w:r w:rsidR="00D57EF6">
        <w:t>sensor as a complex number, where the real component</w:t>
      </w:r>
      <w:r w:rsidR="009D223E">
        <w:t xml:space="preserve"> (</w:t>
      </w:r>
      <m:oMath>
        <m:r>
          <w:rPr>
            <w:rFonts w:ascii="Cambria Math" w:hAnsi="Cambria Math"/>
          </w:rPr>
          <m:t>∆f</m:t>
        </m:r>
      </m:oMath>
      <w:r w:rsidR="009D223E">
        <w:t>)</w:t>
      </w:r>
      <w:r w:rsidR="00D57EF6">
        <w:t xml:space="preserve"> accounts for the energy stored </w:t>
      </w:r>
      <w:r w:rsidR="001379DD">
        <w:t>(</w:t>
      </w:r>
      <w:r w:rsidR="00D57EF6">
        <w:t xml:space="preserve">by the </w:t>
      </w:r>
      <w:r w:rsidR="001379DD">
        <w:t>quartz sensor)</w:t>
      </w:r>
      <w:r w:rsidR="00D57EF6">
        <w:t xml:space="preserve"> and the imaginary</w:t>
      </w:r>
      <w:r w:rsidR="009D223E">
        <w:t xml:space="preserve"> (</w:t>
      </w:r>
      <m:oMath>
        <m:r>
          <w:rPr>
            <w:rFonts w:ascii="Cambria Math" w:eastAsiaTheme="minorEastAsia" w:hAnsi="Cambria Math"/>
          </w:rPr>
          <m:t>∆</m:t>
        </m:r>
        <m:r>
          <m:rPr>
            <m:sty m:val="p"/>
          </m:rPr>
          <w:rPr>
            <w:rFonts w:ascii="Cambria Math" w:hAnsi="Cambria Math"/>
          </w:rPr>
          <m:t>Γ</m:t>
        </m:r>
      </m:oMath>
      <w:r w:rsidR="009D223E">
        <w:t>)</w:t>
      </w:r>
      <w:r w:rsidR="00D57EF6">
        <w:t xml:space="preserve"> accounts for the energy lost due t</w:t>
      </w:r>
      <w:r w:rsidR="00F476D5">
        <w:t>o thermal or viscous dampening</w:t>
      </w:r>
      <w:r w:rsidR="00524E64">
        <w:t>. Together they are referred to as the complex frequency shift,</w:t>
      </w:r>
      <m:oMath>
        <m:r>
          <w:rPr>
            <w:rFonts w:ascii="Cambria Math" w:hAnsi="Cambria Math"/>
          </w:rPr>
          <m:t xml:space="preserve"> </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f</m:t>
            </m:r>
          </m:e>
        </m:acc>
      </m:oMath>
      <w:r w:rsidR="004872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4"/>
        <w:gridCol w:w="963"/>
      </w:tblGrid>
      <w:tr w:rsidR="00A1498B" w14:paraId="0C48C7E2" w14:textId="77777777" w:rsidTr="00185270">
        <w:tc>
          <w:tcPr>
            <w:tcW w:w="959" w:type="dxa"/>
            <w:vAlign w:val="center"/>
          </w:tcPr>
          <w:p w14:paraId="3A09C1E5" w14:textId="77777777" w:rsidR="00A1498B" w:rsidRDefault="00A1498B" w:rsidP="001E48F5">
            <w:pPr>
              <w:pStyle w:val="TAMainText"/>
              <w:ind w:firstLine="0"/>
              <w:jc w:val="center"/>
            </w:pPr>
          </w:p>
        </w:tc>
        <w:tc>
          <w:tcPr>
            <w:tcW w:w="7654" w:type="dxa"/>
            <w:vAlign w:val="center"/>
          </w:tcPr>
          <w:p w14:paraId="236032FA" w14:textId="77777777" w:rsidR="00A1498B" w:rsidRDefault="001B24E5" w:rsidP="001E48F5">
            <w:pPr>
              <w:pStyle w:val="TAMainText"/>
              <w:ind w:firstLine="0"/>
              <w:jc w:val="center"/>
            </w:pPr>
            <m:oMathPara>
              <m:oMath>
                <m:f>
                  <m:fPr>
                    <m:ctrlPr>
                      <w:rPr>
                        <w:rFonts w:ascii="Cambria Math" w:eastAsiaTheme="minorEastAsia" w:hAnsi="Cambria Math"/>
                        <w:i/>
                      </w:rPr>
                    </m:ctrlPr>
                  </m:fPr>
                  <m:num>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f</m:t>
                        </m:r>
                      </m:e>
                    </m:acc>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m:t>
                        </m:r>
                      </m:sub>
                    </m:sSub>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∆f+i∆</m:t>
                    </m:r>
                    <m:r>
                      <m:rPr>
                        <m:sty m:val="p"/>
                      </m:rPr>
                      <w:rPr>
                        <w:rFonts w:ascii="Cambria Math" w:hAnsi="Cambria Math"/>
                      </w:rPr>
                      <m:t>Γ</m:t>
                    </m:r>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i</m:t>
                    </m:r>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q</m:t>
                        </m:r>
                      </m:sub>
                    </m:sSub>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q</m:t>
                        </m:r>
                      </m:sub>
                    </m:sSub>
                  </m:den>
                </m:f>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load</m:t>
                    </m:r>
                  </m:sub>
                </m:sSub>
              </m:oMath>
            </m:oMathPara>
          </w:p>
        </w:tc>
        <w:tc>
          <w:tcPr>
            <w:tcW w:w="963" w:type="dxa"/>
            <w:vAlign w:val="center"/>
          </w:tcPr>
          <w:p w14:paraId="3C9070EB" w14:textId="77777777" w:rsidR="00A1498B" w:rsidRDefault="00185270" w:rsidP="00185270">
            <w:pPr>
              <w:pStyle w:val="TAMainText"/>
              <w:ind w:firstLine="0"/>
              <w:jc w:val="center"/>
            </w:pPr>
            <w:bookmarkStart w:id="0" w:name="_Ref410078359"/>
            <w:r>
              <w:t>(</w:t>
            </w:r>
            <w:r w:rsidR="006C421D">
              <w:rPr>
                <w:noProof/>
              </w:rPr>
              <w:t>1</w:t>
            </w:r>
            <w:bookmarkEnd w:id="0"/>
            <w:r>
              <w:rPr>
                <w:noProof/>
              </w:rPr>
              <w:t>)</w:t>
            </w:r>
          </w:p>
        </w:tc>
      </w:tr>
    </w:tbl>
    <w:p w14:paraId="5F28DAC7" w14:textId="54DBC07F" w:rsidR="00246A97" w:rsidRDefault="001E48F5" w:rsidP="00487202">
      <w:pPr>
        <w:pStyle w:val="TAMainText"/>
        <w:ind w:firstLine="0"/>
        <w:rPr>
          <w:noProof/>
        </w:rPr>
      </w:pPr>
      <w:r>
        <w:lastRenderedPageBreak/>
        <w:t xml:space="preserve">Equation </w:t>
      </w:r>
      <w:r w:rsidR="006C421D">
        <w:rPr>
          <w:noProof/>
        </w:rPr>
        <w:t>1</w:t>
      </w:r>
      <w:r w:rsidR="00467CB4">
        <w:t xml:space="preserve"> is known </w:t>
      </w:r>
      <w:r w:rsidR="00C1408B">
        <w:t>as the small load approximation, where:</w:t>
      </w:r>
      <w:r w:rsidR="006B3D3F">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m:t>
            </m:r>
          </m:sub>
        </m:sSub>
      </m:oMath>
      <w:r w:rsidR="006B3D3F">
        <w:t xml:space="preserve"> is the </w:t>
      </w:r>
      <w:r w:rsidR="00765365">
        <w:t>fundamental</w:t>
      </w:r>
      <w:r w:rsidR="006B3D3F">
        <w:t xml:space="preserve"> resonance</w:t>
      </w:r>
      <w:r w:rsidR="001379DD">
        <w:t xml:space="preserve"> of the unloaded sensor</w:t>
      </w:r>
      <w:r w:rsidR="00616188">
        <w:t xml:space="preserve"> (</w:t>
      </w:r>
      <m:oMath>
        <m:r>
          <w:rPr>
            <w:rFonts w:ascii="Cambria Math" w:hAnsi="Cambria Math"/>
          </w:rPr>
          <m:t>5 MHz</m:t>
        </m:r>
      </m:oMath>
      <w:r w:rsidR="00616188">
        <w:t>)</w:t>
      </w:r>
      <w:r w:rsidR="006B3D3F">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q</m:t>
            </m:r>
          </m:sub>
        </m:sSub>
      </m:oMath>
      <w:r w:rsidR="006B3D3F">
        <w:t xml:space="preserve"> </w:t>
      </w:r>
      <w:r w:rsidR="00B44A27">
        <w:t xml:space="preserve"> </w:t>
      </w:r>
      <w:r w:rsidR="006B3D3F">
        <w:t>is the active area of the sensor</w:t>
      </w:r>
      <w:r w:rsidR="001F1A39">
        <w:t xml:space="preserve"> (</w:t>
      </w:r>
      <m:oMath>
        <m:r>
          <w:rPr>
            <w:rFonts w:ascii="Cambria Math" w:hAnsi="Cambria Math"/>
          </w:rPr>
          <m:t>7.70∙</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oMath>
      <w:r w:rsidR="001F1A39">
        <w:t>)</w:t>
      </w:r>
      <w:r w:rsidR="006B3D3F">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q</m:t>
            </m:r>
          </m:sub>
        </m:sSub>
      </m:oMath>
      <w:r w:rsidR="006B3D3F">
        <w:t xml:space="preserve"> </w:t>
      </w:r>
      <w:r w:rsidR="001F1A39">
        <w:t xml:space="preserve">is the acoustic impedance of quartz </w:t>
      </w:r>
      <w:r w:rsidR="00B66E63">
        <w:t>(</w:t>
      </w:r>
      <m:oMath>
        <m:r>
          <w:rPr>
            <w:rFonts w:ascii="Cambria Math" w:hAnsi="Cambria Math"/>
          </w:rPr>
          <m:t>8.84∙</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kg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-1</m:t>
            </m:r>
          </m:sup>
        </m:sSup>
      </m:oMath>
      <w:r w:rsidR="00B66E63">
        <w:t>)</w:t>
      </w:r>
      <w:r w:rsidR="0059304B">
        <w:t>, and</w:t>
      </w:r>
      <m:oMath>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load</m:t>
            </m:r>
          </m:sub>
        </m:sSub>
      </m:oMath>
      <w:r w:rsidR="003C1BC5">
        <w:t xml:space="preserve"> is the total load imposed by a population of crysta</w:t>
      </w:r>
      <w:r w:rsidR="005C6425">
        <w:t>ls on the QCM sensor’s surface.</w:t>
      </w:r>
    </w:p>
    <w:p w14:paraId="3D5DEE8B" w14:textId="1A1CE294" w:rsidR="00D57EF6" w:rsidRDefault="00E571F9" w:rsidP="003A66D1">
      <w:pPr>
        <w:pStyle w:val="TAMainText"/>
        <w:rPr>
          <w:rFonts w:eastAsiaTheme="minorEastAsia"/>
        </w:rPr>
      </w:pPr>
      <w:r>
        <w:t>For clarity</w:t>
      </w:r>
      <w:r w:rsidR="006F7004">
        <w:t>, the deposited calcium sulphate crystals wi</w:t>
      </w:r>
      <w:r>
        <w:t>ll be referred to as ‘crystals’</w:t>
      </w:r>
      <w:r w:rsidR="006F7004">
        <w:t xml:space="preserve"> and the quartz crystal QCM sensor will be referred to as the ‘QCM sensor’. </w:t>
      </w:r>
      <w:r w:rsidR="00D57EF6">
        <w:t xml:space="preserve">Assuming every crystal behaves as a point load impedance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r>
          <w:rPr>
            <w:rFonts w:ascii="Cambria Math" w:eastAsiaTheme="minorEastAsia" w:hAnsi="Cambria Math"/>
          </w:rPr>
          <m:t>(m)</m:t>
        </m:r>
      </m:oMath>
      <w:r w:rsidR="00D57EF6">
        <w:rPr>
          <w:rFonts w:eastAsiaTheme="minorEastAsia"/>
        </w:rPr>
        <w:t xml:space="preserve"> (that depends on the</w:t>
      </w:r>
      <w:r w:rsidR="00BF5AD6">
        <w:rPr>
          <w:rFonts w:eastAsiaTheme="minorEastAsia"/>
        </w:rPr>
        <w:t xml:space="preserve"> crystal’s</w:t>
      </w:r>
      <w:r w:rsidR="00D57EF6">
        <w:rPr>
          <w:rFonts w:eastAsiaTheme="minorEastAsia"/>
        </w:rPr>
        <w:t xml:space="preserve"> mass</w:t>
      </w:r>
      <w:r w:rsidR="003C1BC5">
        <w:rPr>
          <w:rFonts w:eastAsiaTheme="minorEastAsia"/>
        </w:rPr>
        <w:t>), the total impedance</w:t>
      </w:r>
      <w:r w:rsidR="004E4999">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load</m:t>
            </m:r>
          </m:sub>
        </m:sSub>
      </m:oMath>
      <w:r w:rsidR="004E4999">
        <w:rPr>
          <w:rFonts w:eastAsiaTheme="minorEastAsia"/>
        </w:rPr>
        <w:t>,</w:t>
      </w:r>
      <w:r w:rsidR="003C1BC5">
        <w:rPr>
          <w:rFonts w:eastAsiaTheme="minorEastAsia"/>
        </w:rPr>
        <w:t xml:space="preserve"> must be described </w:t>
      </w:r>
      <w:r w:rsidR="00524E64">
        <w:rPr>
          <w:rFonts w:eastAsiaTheme="minorEastAsia"/>
        </w:rPr>
        <w:t>as</w:t>
      </w:r>
      <w:r w:rsidR="003C1BC5">
        <w:rPr>
          <w:rFonts w:eastAsiaTheme="minorEastAsia"/>
        </w:rPr>
        <w:t xml:space="preserve"> a population density function,</w:t>
      </w:r>
      <m:oMath>
        <m:r>
          <w:rPr>
            <w:rFonts w:ascii="Cambria Math" w:eastAsiaTheme="minorEastAsia" w:hAnsi="Cambria Math"/>
          </w:rPr>
          <m:t xml:space="preserve"> N(m)</m:t>
        </m:r>
      </m:oMath>
      <w:r w:rsidR="004E4999">
        <w:rPr>
          <w:rFonts w:eastAsiaTheme="minorEastAsia"/>
        </w:rPr>
        <w:t>.</w:t>
      </w:r>
      <w:r w:rsidR="003C1BC5">
        <w:rPr>
          <w:rFonts w:eastAsiaTheme="minorEastAsia"/>
        </w:rPr>
        <w:t xml:space="preserve"> </w:t>
      </w:r>
      <w:r w:rsidR="004E4999">
        <w:rPr>
          <w:rFonts w:eastAsiaTheme="minorEastAsia"/>
        </w:rPr>
        <w:t>This function</w:t>
      </w:r>
      <w:r w:rsidR="003C1BC5">
        <w:rPr>
          <w:rFonts w:eastAsiaTheme="minorEastAsia"/>
        </w:rPr>
        <w:t xml:space="preserve"> describes the evolution of the crystal size distribution </w:t>
      </w:r>
      <w:r w:rsidR="004E4999">
        <w:rPr>
          <w:rFonts w:eastAsiaTheme="minorEastAsia"/>
        </w:rPr>
        <w:t>with</w:t>
      </w:r>
      <w:r w:rsidR="003C1BC5">
        <w:rPr>
          <w:rFonts w:eastAsiaTheme="minorEastAsia"/>
        </w:rPr>
        <w:t xml:space="preserve"> time. </w:t>
      </w:r>
      <w:r w:rsidR="00CC3F4A">
        <w:rPr>
          <w:noProof/>
        </w:rPr>
        <w:t>The mass distribution in</w:t>
      </w:r>
      <w:r w:rsidR="001E48F5">
        <w:rPr>
          <w:noProof/>
        </w:rPr>
        <w:t xml:space="preserve"> Equation</w:t>
      </w:r>
      <w:r w:rsidR="00CC3F4A">
        <w:rPr>
          <w:noProof/>
        </w:rPr>
        <w:t xml:space="preserve"> </w:t>
      </w:r>
      <w:r w:rsidR="006C421D">
        <w:rPr>
          <w:noProof/>
        </w:rPr>
        <w:t>2</w:t>
      </w:r>
      <w:r w:rsidR="00CC3F4A">
        <w:rPr>
          <w:noProof/>
        </w:rPr>
        <w:t xml:space="preserve"> is analogous to the heterogeneity equation discussed by Johannsmann</w:t>
      </w:r>
      <w:r w:rsidR="003A66D1">
        <w:rPr>
          <w:noProof/>
        </w:rPr>
        <w:t>,</w:t>
      </w:r>
      <w:r w:rsidR="002E6FA0" w:rsidRPr="0055220B">
        <w:rPr>
          <w:noProof/>
          <w:vertAlign w:val="superscript"/>
        </w:rPr>
        <w:t>25</w:t>
      </w:r>
      <w:r w:rsidR="00CC3F4A">
        <w:rPr>
          <w:noProof/>
        </w:rPr>
        <w:t xml:space="preserve"> which utilies an angular resonance frequency distribution </w:t>
      </w:r>
      <w:r w:rsidR="00CC3F4A" w:rsidRPr="002708C9">
        <w:rPr>
          <w:noProof/>
        </w:rPr>
        <w:t xml:space="preserve">instead. </w:t>
      </w:r>
      <w:r w:rsidR="00CC3F4A">
        <w:rPr>
          <w:noProof/>
        </w:rPr>
        <w:t>The modification of</w:t>
      </w:r>
      <w:r w:rsidR="00CC3F4A" w:rsidRPr="002708C9">
        <w:rPr>
          <w:noProof/>
        </w:rPr>
        <w:t xml:space="preserve"> a mass</w:t>
      </w:r>
      <w:r w:rsidR="00CC3F4A">
        <w:rPr>
          <w:noProof/>
        </w:rPr>
        <w:t>, rather than</w:t>
      </w:r>
      <w:r w:rsidR="00CC3F4A" w:rsidRPr="002708C9">
        <w:rPr>
          <w:noProof/>
        </w:rPr>
        <w:t xml:space="preserve"> resonance distribution is </w:t>
      </w:r>
      <w:r w:rsidR="00CC3F4A">
        <w:rPr>
          <w:noProof/>
        </w:rPr>
        <w:t>equivalent</w:t>
      </w:r>
      <w:r w:rsidR="000860A3">
        <w:rPr>
          <w:noProof/>
        </w:rPr>
        <w:t xml:space="preserve">, and was found to be more </w:t>
      </w:r>
      <w:r w:rsidR="00581B51">
        <w:rPr>
          <w:noProof/>
        </w:rPr>
        <w:t>conve</w:t>
      </w:r>
      <w:r w:rsidR="000860A3" w:rsidRPr="004B6BDC">
        <w:rPr>
          <w:noProof/>
        </w:rPr>
        <w:t xml:space="preserve">nient </w:t>
      </w:r>
      <w:r w:rsidR="000860A3">
        <w:rPr>
          <w:noProof/>
        </w:rPr>
        <w:t xml:space="preserve">in this </w:t>
      </w:r>
      <w:r w:rsidR="00D17B9E">
        <w:rPr>
          <w:noProof/>
        </w:rPr>
        <w:t>application</w:t>
      </w:r>
      <w:r w:rsidR="00CC3F4A">
        <w:rPr>
          <w:noProof/>
        </w:rPr>
        <w:t xml:space="preserve">. </w:t>
      </w:r>
      <w:r w:rsidR="005E7E75" w:rsidRPr="002708C9">
        <w:rPr>
          <w:rFonts w:eastAsiaTheme="minorEastAsia"/>
        </w:rPr>
        <w:t>Therefore</w:t>
      </w:r>
      <w:r w:rsidR="005E7E75">
        <w:rPr>
          <w:rFonts w:eastAsiaTheme="minorEastAsia"/>
        </w:rPr>
        <w:t xml:space="preserve">, </w:t>
      </w:r>
      <w:r w:rsidR="00D57EF6">
        <w:rPr>
          <w:rFonts w:eastAsiaTheme="minorEastAsia"/>
        </w:rPr>
        <w:t>the total surf</w:t>
      </w:r>
      <w:r w:rsidR="005E7E75">
        <w:rPr>
          <w:rFonts w:eastAsiaTheme="minorEastAsia"/>
        </w:rPr>
        <w:t xml:space="preserve">ace impedance can be written as the convolution of the population </w:t>
      </w:r>
      <w:r w:rsidR="00686ABE">
        <w:rPr>
          <w:rFonts w:eastAsiaTheme="minorEastAsia"/>
        </w:rPr>
        <w:t>density</w:t>
      </w:r>
      <w:r w:rsidR="005E7E75">
        <w:rPr>
          <w:rFonts w:eastAsiaTheme="minorEastAsia"/>
        </w:rPr>
        <w:t xml:space="preserve"> function and the impedance of </w:t>
      </w:r>
      <w:r w:rsidR="00DD614A">
        <w:rPr>
          <w:rFonts w:eastAsiaTheme="minorEastAsia"/>
        </w:rPr>
        <w:t xml:space="preserve">a </w:t>
      </w:r>
      <w:r w:rsidR="005E7E75">
        <w:rPr>
          <w:rFonts w:eastAsiaTheme="minorEastAsia"/>
        </w:rPr>
        <w:t>point load crystal,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4"/>
        <w:gridCol w:w="963"/>
      </w:tblGrid>
      <w:tr w:rsidR="001E48F5" w14:paraId="2F2E9444" w14:textId="77777777" w:rsidTr="00185270">
        <w:tc>
          <w:tcPr>
            <w:tcW w:w="959" w:type="dxa"/>
            <w:vAlign w:val="center"/>
          </w:tcPr>
          <w:p w14:paraId="579513B3" w14:textId="77777777" w:rsidR="001E48F5" w:rsidRDefault="001E48F5" w:rsidP="001E48F5">
            <w:pPr>
              <w:pStyle w:val="TAMainText"/>
              <w:ind w:firstLine="0"/>
              <w:jc w:val="center"/>
            </w:pPr>
          </w:p>
        </w:tc>
        <w:tc>
          <w:tcPr>
            <w:tcW w:w="7654" w:type="dxa"/>
            <w:vAlign w:val="center"/>
          </w:tcPr>
          <w:p w14:paraId="0D21A5A1" w14:textId="77777777" w:rsidR="001E48F5" w:rsidRDefault="001B24E5" w:rsidP="001E48F5">
            <w:pPr>
              <w:pStyle w:val="TAMainText"/>
              <w:ind w:firstLine="0"/>
              <w:jc w:val="center"/>
            </w:pPr>
            <m:oMathPara>
              <m:oMath>
                <m:f>
                  <m:fPr>
                    <m:ctrlPr>
                      <w:rPr>
                        <w:rFonts w:ascii="Cambria Math" w:eastAsiaTheme="minorEastAsia" w:hAnsi="Cambria Math"/>
                      </w:rPr>
                    </m:ctrlPr>
                  </m:fPr>
                  <m:num>
                    <m:r>
                      <m:rPr>
                        <m:sty m:val="p"/>
                      </m:rPr>
                      <w:rPr>
                        <w:rFonts w:ascii="Cambria Math" w:eastAsiaTheme="minorEastAsia" w:hAnsi="Cambria Math"/>
                      </w:rPr>
                      <m:t>∆</m:t>
                    </m:r>
                    <m:acc>
                      <m:accPr>
                        <m:chr m:val="̃"/>
                        <m:ctrlPr>
                          <w:rPr>
                            <w:rFonts w:ascii="Cambria Math" w:eastAsiaTheme="minorEastAsia" w:hAnsi="Cambria Math"/>
                          </w:rPr>
                        </m:ctrlPr>
                      </m:accPr>
                      <m:e>
                        <m:r>
                          <w:rPr>
                            <w:rFonts w:ascii="Cambria Math" w:eastAsiaTheme="minorEastAsia" w:hAnsi="Cambria Math"/>
                          </w:rPr>
                          <m:t>f</m:t>
                        </m:r>
                      </m:e>
                    </m:acc>
                  </m:num>
                  <m:den>
                    <m:sSub>
                      <m:sSubPr>
                        <m:ctrlPr>
                          <w:rPr>
                            <w:rFonts w:ascii="Cambria Math" w:eastAsiaTheme="minorEastAsia" w:hAnsi="Cambria Math"/>
                          </w:rPr>
                        </m:ctrlPr>
                      </m:sSubPr>
                      <m:e>
                        <m:r>
                          <w:rPr>
                            <w:rFonts w:ascii="Cambria Math" w:eastAsiaTheme="minorEastAsia" w:hAnsi="Cambria Math"/>
                          </w:rPr>
                          <m:t>f</m:t>
                        </m:r>
                      </m:e>
                      <m:sub>
                        <m:r>
                          <w:rPr>
                            <w:rFonts w:ascii="Cambria Math" w:eastAsiaTheme="minorEastAsia" w:hAnsi="Cambria Math"/>
                          </w:rPr>
                          <m:t>f</m:t>
                        </m:r>
                      </m:sub>
                    </m:sSub>
                  </m:den>
                </m:f>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i</m:t>
                    </m:r>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q</m:t>
                        </m:r>
                      </m:sub>
                    </m:sSub>
                    <m:sSub>
                      <m:sSubPr>
                        <m:ctrlPr>
                          <w:rPr>
                            <w:rFonts w:ascii="Cambria Math" w:eastAsiaTheme="minorEastAsia" w:hAnsi="Cambria Math"/>
                          </w:rPr>
                        </m:ctrlPr>
                      </m:sSubPr>
                      <m:e>
                        <m:r>
                          <w:rPr>
                            <w:rFonts w:ascii="Cambria Math" w:eastAsiaTheme="minorEastAsia" w:hAnsi="Cambria Math"/>
                          </w:rPr>
                          <m:t>Z</m:t>
                        </m:r>
                      </m:e>
                      <m:sub>
                        <m:r>
                          <w:rPr>
                            <w:rFonts w:ascii="Cambria Math" w:eastAsiaTheme="minorEastAsia" w:hAnsi="Cambria Math"/>
                          </w:rPr>
                          <m:t>q</m:t>
                        </m:r>
                      </m:sub>
                    </m:sSub>
                  </m:den>
                </m:f>
                <m:nary>
                  <m:naryPr>
                    <m:limLoc m:val="undOvr"/>
                    <m:ctrlPr>
                      <w:rPr>
                        <w:rFonts w:ascii="Cambria Math" w:eastAsiaTheme="minorEastAsia" w:hAnsi="Cambria Math"/>
                      </w:rPr>
                    </m:ctrlPr>
                  </m:naryPr>
                  <m:sub>
                    <m:r>
                      <m:rPr>
                        <m:sty m:val="p"/>
                      </m:rPr>
                      <w:rPr>
                        <w:rFonts w:ascii="Cambria Math" w:eastAsiaTheme="minorEastAsia" w:hAnsi="Cambria Math"/>
                      </w:rPr>
                      <m:t>0</m:t>
                    </m:r>
                  </m:sub>
                  <m:sup>
                    <m:r>
                      <m:rPr>
                        <m:sty m:val="p"/>
                      </m:rPr>
                      <w:rPr>
                        <w:rFonts w:ascii="Cambria Math" w:eastAsiaTheme="minorEastAsia" w:hAnsi="Cambria Math"/>
                      </w:rPr>
                      <m:t>∞</m:t>
                    </m:r>
                  </m:sup>
                  <m:e>
                    <m:r>
                      <w:rPr>
                        <w:rFonts w:ascii="Cambria Math" w:eastAsiaTheme="minorEastAsia" w:hAnsi="Cambria Math"/>
                      </w:rPr>
                      <m:t>N</m:t>
                    </m:r>
                    <m:d>
                      <m:dPr>
                        <m:ctrlPr>
                          <w:rPr>
                            <w:rFonts w:ascii="Cambria Math" w:eastAsiaTheme="minorEastAsia" w:hAnsi="Cambria Math"/>
                          </w:rPr>
                        </m:ctrlPr>
                      </m:dPr>
                      <m:e>
                        <m:r>
                          <w:rPr>
                            <w:rFonts w:ascii="Cambria Math" w:eastAsiaTheme="minorEastAsia" w:hAnsi="Cambria Math"/>
                          </w:rPr>
                          <m:t>m</m:t>
                        </m:r>
                      </m:e>
                    </m:d>
                    <m:sSub>
                      <m:sSubPr>
                        <m:ctrlPr>
                          <w:rPr>
                            <w:rFonts w:ascii="Cambria Math" w:eastAsiaTheme="minorEastAsia" w:hAnsi="Cambria Math"/>
                          </w:rPr>
                        </m:ctrlPr>
                      </m:sSubPr>
                      <m:e>
                        <m:r>
                          <w:rPr>
                            <w:rFonts w:ascii="Cambria Math" w:eastAsiaTheme="minorEastAsia" w:hAnsi="Cambria Math"/>
                          </w:rPr>
                          <m:t>Z</m:t>
                        </m:r>
                      </m:e>
                      <m:sub>
                        <m:r>
                          <w:rPr>
                            <w:rFonts w:ascii="Cambria Math" w:eastAsiaTheme="minorEastAsia" w:hAnsi="Cambria Math"/>
                          </w:rPr>
                          <m:t>c</m:t>
                        </m:r>
                      </m:sub>
                    </m:sSub>
                    <m:d>
                      <m:dPr>
                        <m:ctrlPr>
                          <w:rPr>
                            <w:rFonts w:ascii="Cambria Math" w:eastAsiaTheme="minorEastAsia" w:hAnsi="Cambria Math"/>
                          </w:rPr>
                        </m:ctrlPr>
                      </m:dPr>
                      <m:e>
                        <m:r>
                          <w:rPr>
                            <w:rFonts w:ascii="Cambria Math" w:eastAsiaTheme="minorEastAsia" w:hAnsi="Cambria Math"/>
                          </w:rPr>
                          <m:t>m</m:t>
                        </m:r>
                      </m:e>
                    </m:d>
                    <m:r>
                      <m:rPr>
                        <m:sty m:val="p"/>
                      </m:rPr>
                      <w:rPr>
                        <w:rFonts w:ascii="Cambria Math" w:eastAsiaTheme="minorEastAsia" w:hAnsi="Cambria Math"/>
                      </w:rPr>
                      <m:t xml:space="preserve"> </m:t>
                    </m:r>
                    <m:r>
                      <w:rPr>
                        <w:rFonts w:ascii="Cambria Math" w:eastAsiaTheme="minorEastAsia" w:hAnsi="Cambria Math"/>
                      </w:rPr>
                      <m:t>dm</m:t>
                    </m:r>
                  </m:e>
                </m:nary>
              </m:oMath>
            </m:oMathPara>
          </w:p>
        </w:tc>
        <w:tc>
          <w:tcPr>
            <w:tcW w:w="963" w:type="dxa"/>
            <w:vAlign w:val="center"/>
          </w:tcPr>
          <w:p w14:paraId="5EDBBEAB" w14:textId="77777777" w:rsidR="001E48F5" w:rsidRDefault="001E48F5" w:rsidP="001E48F5">
            <w:pPr>
              <w:jc w:val="center"/>
              <w:rPr>
                <w:noProof/>
              </w:rPr>
            </w:pPr>
            <w:bookmarkStart w:id="1" w:name="_Ref402971474"/>
            <w:r>
              <w:t>(</w:t>
            </w:r>
            <w:r w:rsidR="006C421D">
              <w:rPr>
                <w:noProof/>
              </w:rPr>
              <w:t>2</w:t>
            </w:r>
            <w:bookmarkEnd w:id="1"/>
            <w:r>
              <w:rPr>
                <w:noProof/>
              </w:rPr>
              <w:t>)</w:t>
            </w:r>
          </w:p>
        </w:tc>
      </w:tr>
    </w:tbl>
    <w:p w14:paraId="28FACEFE" w14:textId="518B6D4E" w:rsidR="001D5208" w:rsidRDefault="0053705A" w:rsidP="001D5208">
      <w:pPr>
        <w:pStyle w:val="TAMainText"/>
      </w:pPr>
      <w:r>
        <w:rPr>
          <w:noProof/>
        </w:rPr>
        <w:t xml:space="preserve">The </w:t>
      </w:r>
      <w:r>
        <w:rPr>
          <w:rFonts w:eastAsiaTheme="minorEastAsia"/>
        </w:rPr>
        <w:t xml:space="preserve">evolution of the population density function in time can be described using the population balance equation. </w:t>
      </w:r>
      <w:r>
        <w:rPr>
          <w:noProof/>
        </w:rPr>
        <w:t>This equation is used to account for the size of every crystal on the QCM sensor, which eliminates the need to treat the surface as rough. The population balance</w:t>
      </w:r>
      <w:r>
        <w:rPr>
          <w:rFonts w:eastAsiaTheme="minorEastAsia"/>
        </w:rPr>
        <w:t xml:space="preserve"> equation addresses </w:t>
      </w:r>
      <w:r>
        <w:t>crystallisation on a smooth surface where crystals grow through a two-step process.</w:t>
      </w:r>
      <w:r w:rsidR="005E7E75">
        <w:t xml:space="preserve"> </w:t>
      </w:r>
      <w:r>
        <w:t xml:space="preserve">The </w:t>
      </w:r>
      <w:r w:rsidR="005E7E75">
        <w:t>first step is heterogeneous nucleation where crystals are born on a substrate</w:t>
      </w:r>
      <w:r w:rsidR="00B14632">
        <w:t xml:space="preserve"> from a supersaturated salt solution</w:t>
      </w:r>
      <w:r w:rsidR="005E7E75">
        <w:t>.</w:t>
      </w:r>
      <w:r w:rsidR="002E6FA0" w:rsidRPr="0063592E">
        <w:rPr>
          <w:noProof/>
          <w:vertAlign w:val="superscript"/>
        </w:rPr>
        <w:t>26</w:t>
      </w:r>
      <w:r w:rsidR="005E7E75">
        <w:t xml:space="preserve"> The second step is growth, where nuclei grow into larger crystals.</w:t>
      </w:r>
      <w:r w:rsidR="00686ABE">
        <w:t xml:space="preserve"> Assuming constant nucleation and growth, the crystal population density function is given as</w:t>
      </w:r>
      <w:r w:rsidR="001D5208">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4"/>
        <w:gridCol w:w="963"/>
      </w:tblGrid>
      <w:tr w:rsidR="00185270" w14:paraId="44D5E764" w14:textId="77777777" w:rsidTr="00185270">
        <w:trPr>
          <w:jc w:val="center"/>
        </w:trPr>
        <w:tc>
          <w:tcPr>
            <w:tcW w:w="959" w:type="dxa"/>
            <w:vAlign w:val="center"/>
          </w:tcPr>
          <w:p w14:paraId="38E3BB65" w14:textId="77777777" w:rsidR="00185270" w:rsidRDefault="00185270" w:rsidP="00185270">
            <w:pPr>
              <w:pStyle w:val="TAMainText"/>
              <w:ind w:firstLine="0"/>
              <w:jc w:val="center"/>
            </w:pPr>
          </w:p>
        </w:tc>
        <w:tc>
          <w:tcPr>
            <w:tcW w:w="7654" w:type="dxa"/>
            <w:vAlign w:val="center"/>
          </w:tcPr>
          <w:p w14:paraId="1398D25C" w14:textId="77777777" w:rsidR="00185270" w:rsidRDefault="001B24E5" w:rsidP="00185270">
            <w:pPr>
              <w:pStyle w:val="TAMainText"/>
              <w:ind w:firstLine="0"/>
              <w:jc w:val="center"/>
            </w:pPr>
            <m:oMathPara>
              <m:oMath>
                <m:f>
                  <m:fPr>
                    <m:ctrlPr>
                      <w:rPr>
                        <w:rFonts w:ascii="Cambria Math" w:eastAsiaTheme="minorEastAsia" w:hAnsi="Cambria Math"/>
                        <w:i/>
                        <w:iCs/>
                      </w:rPr>
                    </m:ctrlPr>
                  </m:fPr>
                  <m:num>
                    <m:r>
                      <w:rPr>
                        <w:rFonts w:ascii="Cambria Math" w:eastAsiaTheme="minorEastAsia" w:hAnsi="Cambria Math"/>
                      </w:rPr>
                      <m:t>∂N</m:t>
                    </m:r>
                  </m:num>
                  <m:den>
                    <m:r>
                      <w:rPr>
                        <w:rFonts w:ascii="Cambria Math" w:eastAsiaTheme="minorEastAsia" w:hAnsi="Cambria Math"/>
                      </w:rPr>
                      <m:t>∂t</m:t>
                    </m:r>
                  </m:den>
                </m:f>
                <m:r>
                  <w:rPr>
                    <w:rFonts w:ascii="Cambria Math" w:eastAsiaTheme="minorEastAsia" w:hAnsi="Cambria Math"/>
                  </w:rPr>
                  <m:t>+G</m:t>
                </m:r>
                <m:f>
                  <m:fPr>
                    <m:ctrlPr>
                      <w:rPr>
                        <w:rFonts w:ascii="Cambria Math" w:eastAsiaTheme="minorEastAsia" w:hAnsi="Cambria Math"/>
                        <w:i/>
                        <w:iCs/>
                      </w:rPr>
                    </m:ctrlPr>
                  </m:fPr>
                  <m:num>
                    <m:r>
                      <w:rPr>
                        <w:rFonts w:ascii="Cambria Math" w:eastAsiaTheme="minorEastAsia" w:hAnsi="Cambria Math"/>
                      </w:rPr>
                      <m:t>∂N</m:t>
                    </m:r>
                  </m:num>
                  <m:den>
                    <m:r>
                      <w:rPr>
                        <w:rFonts w:ascii="Cambria Math" w:eastAsiaTheme="minorEastAsia" w:hAnsi="Cambria Math"/>
                      </w:rPr>
                      <m:t>∂m</m:t>
                    </m:r>
                  </m:den>
                </m:f>
                <m:r>
                  <w:rPr>
                    <w:rFonts w:ascii="Cambria Math" w:eastAsiaTheme="minorEastAsia" w:hAnsi="Cambria Math"/>
                  </w:rPr>
                  <m:t>=J</m:t>
                </m:r>
                <m:r>
                  <w:rPr>
                    <w:rFonts w:ascii="Cambria Math" w:hAnsi="Cambria Math"/>
                  </w:rPr>
                  <m:t>δ</m:t>
                </m:r>
                <m:d>
                  <m:dPr>
                    <m:ctrlPr>
                      <w:rPr>
                        <w:rFonts w:ascii="Cambria Math" w:hAnsi="Cambria Math"/>
                        <w:i/>
                        <w:iCs/>
                      </w:rPr>
                    </m:ctrlPr>
                  </m:dPr>
                  <m:e>
                    <m:r>
                      <w:rPr>
                        <w:rFonts w:ascii="Cambria Math" w:hAnsi="Cambria Math"/>
                      </w:rPr>
                      <m:t>m-</m:t>
                    </m:r>
                    <m:sSup>
                      <m:sSupPr>
                        <m:ctrlPr>
                          <w:rPr>
                            <w:rFonts w:ascii="Cambria Math" w:eastAsiaTheme="minorEastAsia" w:hAnsi="Cambria Math"/>
                            <w:i/>
                            <w:iCs/>
                          </w:rPr>
                        </m:ctrlPr>
                      </m:sSupPr>
                      <m:e>
                        <m:r>
                          <w:rPr>
                            <w:rFonts w:ascii="Cambria Math" w:eastAsiaTheme="minorEastAsia" w:hAnsi="Cambria Math"/>
                          </w:rPr>
                          <m:t>m</m:t>
                        </m:r>
                      </m:e>
                      <m:sup>
                        <m:r>
                          <w:rPr>
                            <w:rFonts w:ascii="Cambria Math" w:eastAsiaTheme="minorEastAsia" w:hAnsi="Cambria Math"/>
                          </w:rPr>
                          <m:t>*</m:t>
                        </m:r>
                      </m:sup>
                    </m:sSup>
                  </m:e>
                </m:d>
              </m:oMath>
            </m:oMathPara>
          </w:p>
        </w:tc>
        <w:tc>
          <w:tcPr>
            <w:tcW w:w="963" w:type="dxa"/>
            <w:vAlign w:val="center"/>
          </w:tcPr>
          <w:p w14:paraId="68CABD88" w14:textId="77777777" w:rsidR="00185270" w:rsidRDefault="00185270" w:rsidP="00185270">
            <w:pPr>
              <w:jc w:val="center"/>
              <w:rPr>
                <w:noProof/>
              </w:rPr>
            </w:pPr>
            <w:bookmarkStart w:id="2" w:name="_Ref403008742"/>
            <w:r>
              <w:t>(</w:t>
            </w:r>
            <w:r w:rsidR="006C421D">
              <w:rPr>
                <w:noProof/>
              </w:rPr>
              <w:t>3</w:t>
            </w:r>
            <w:bookmarkEnd w:id="2"/>
            <w:r>
              <w:rPr>
                <w:noProof/>
              </w:rPr>
              <w:t>)</w:t>
            </w:r>
          </w:p>
        </w:tc>
      </w:tr>
    </w:tbl>
    <w:p w14:paraId="5D1AD120" w14:textId="77777777" w:rsidR="001D5208" w:rsidRDefault="001D5208" w:rsidP="001D5208">
      <w:pPr>
        <w:pStyle w:val="TAMainText"/>
        <w:ind w:firstLine="0"/>
        <w:rPr>
          <w:noProof/>
        </w:rPr>
      </w:pPr>
      <w:r>
        <w:rPr>
          <w:noProof/>
        </w:rPr>
        <w:t>When the population density function is solved analytically using Laplace transformes, a resulting expression for</w:t>
      </w:r>
      <m:oMath>
        <m:r>
          <w:rPr>
            <w:rFonts w:ascii="Cambria Math" w:hAnsi="Cambria Math"/>
            <w:noProof/>
          </w:rPr>
          <m:t xml:space="preserve"> N</m:t>
        </m:r>
      </m:oMath>
      <w:r>
        <w:rPr>
          <w:noProof/>
        </w:rPr>
        <w:t xml:space="preserve"> is</w:t>
      </w:r>
      <w:r w:rsidRPr="00356E84">
        <w:rPr>
          <w:noProof/>
        </w:rPr>
        <w:t xml:space="preserve"> (</w:t>
      </w:r>
      <w:r>
        <w:t>for negligibly small nuclei</w:t>
      </w:r>
      <m:oMath>
        <m:r>
          <w:rPr>
            <w:rFonts w:ascii="Cambria Math" w:hAnsi="Cambria Math"/>
          </w:rPr>
          <m:t xml:space="preserve">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m:t>
            </m:r>
          </m:sup>
        </m:sSup>
        <m:r>
          <w:rPr>
            <w:rFonts w:ascii="Cambria Math" w:eastAsiaTheme="minorEastAsia" w:hAnsi="Cambria Math"/>
          </w:rPr>
          <m:t>≅0</m:t>
        </m:r>
      </m:oMath>
      <w:r>
        <w:rPr>
          <w:noProof/>
        </w:rPr>
        <w:t xml:space="preserve">, </w:t>
      </w:r>
      <w:r w:rsidRPr="00356E84">
        <w:rPr>
          <w:noProof/>
        </w:rPr>
        <w:t>Supplementaty Material</w:t>
      </w:r>
      <w:r>
        <w:rPr>
          <w:noProof/>
        </w:rPr>
        <w:t xml:space="preserve"> </w:t>
      </w:r>
      <w:r w:rsidR="0077691D">
        <w:rPr>
          <w:noProof/>
        </w:rPr>
        <w:t>S</w:t>
      </w:r>
      <w:r w:rsidR="006C421D">
        <w:rPr>
          <w:noProof/>
        </w:rPr>
        <w:t>.1</w:t>
      </w:r>
      <w:r w:rsidRPr="00356E84">
        <w:rPr>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4"/>
        <w:gridCol w:w="963"/>
      </w:tblGrid>
      <w:tr w:rsidR="00185270" w14:paraId="2D978167" w14:textId="77777777" w:rsidTr="00185270">
        <w:tc>
          <w:tcPr>
            <w:tcW w:w="959" w:type="dxa"/>
            <w:vAlign w:val="center"/>
          </w:tcPr>
          <w:p w14:paraId="68D5A4BF" w14:textId="77777777" w:rsidR="00185270" w:rsidRDefault="00185270" w:rsidP="00185270">
            <w:pPr>
              <w:pStyle w:val="TAMainText"/>
              <w:ind w:firstLine="0"/>
              <w:jc w:val="center"/>
              <w:rPr>
                <w:noProof/>
              </w:rPr>
            </w:pPr>
          </w:p>
        </w:tc>
        <w:tc>
          <w:tcPr>
            <w:tcW w:w="7654" w:type="dxa"/>
            <w:vAlign w:val="center"/>
          </w:tcPr>
          <w:p w14:paraId="671E1158" w14:textId="77777777" w:rsidR="00185270" w:rsidRDefault="00185270" w:rsidP="00185270">
            <w:pPr>
              <w:pStyle w:val="TAMainText"/>
              <w:ind w:firstLine="0"/>
              <w:jc w:val="center"/>
              <w:rPr>
                <w:noProof/>
              </w:rPr>
            </w:pPr>
            <m:oMathPara>
              <m:oMath>
                <m:r>
                  <w:rPr>
                    <w:rFonts w:ascii="Cambria Math" w:eastAsiaTheme="minorEastAsia" w:hAnsi="Cambria Math"/>
                  </w:rPr>
                  <m:t>N</m:t>
                </m:r>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J</m:t>
                    </m:r>
                  </m:num>
                  <m:den>
                    <m:r>
                      <w:rPr>
                        <w:rFonts w:ascii="Cambria Math" w:eastAsiaTheme="minorEastAsia" w:hAnsi="Cambria Math"/>
                      </w:rPr>
                      <m:t>G</m:t>
                    </m:r>
                  </m:den>
                </m:f>
                <m:d>
                  <m:dPr>
                    <m:ctrlPr>
                      <w:rPr>
                        <w:rFonts w:ascii="Cambria Math" w:eastAsiaTheme="minorEastAsia" w:hAnsi="Cambria Math"/>
                      </w:rPr>
                    </m:ctrlPr>
                  </m:dPr>
                  <m:e>
                    <m:r>
                      <m:rPr>
                        <m:sty m:val="p"/>
                      </m:rPr>
                      <w:rPr>
                        <w:rFonts w:ascii="Cambria Math" w:eastAsiaTheme="minorEastAsia" w:hAnsi="Cambria Math"/>
                      </w:rPr>
                      <m:t>1-</m:t>
                    </m:r>
                    <m:r>
                      <w:rPr>
                        <w:rFonts w:ascii="Cambria Math" w:eastAsiaTheme="minorEastAsia" w:hAnsi="Cambria Math"/>
                      </w:rPr>
                      <m:t>H</m:t>
                    </m:r>
                    <m:d>
                      <m:dPr>
                        <m:ctrlPr>
                          <w:rPr>
                            <w:rFonts w:ascii="Cambria Math" w:eastAsiaTheme="minorEastAsia" w:hAnsi="Cambria Math"/>
                          </w:rPr>
                        </m:ctrlPr>
                      </m:dPr>
                      <m:e>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Gt</m:t>
                        </m:r>
                      </m:e>
                    </m:d>
                  </m:e>
                </m:d>
              </m:oMath>
            </m:oMathPara>
          </w:p>
        </w:tc>
        <w:tc>
          <w:tcPr>
            <w:tcW w:w="963" w:type="dxa"/>
            <w:vAlign w:val="center"/>
          </w:tcPr>
          <w:p w14:paraId="078C54A2" w14:textId="77777777" w:rsidR="00185270" w:rsidRDefault="00185270" w:rsidP="00185270">
            <w:pPr>
              <w:jc w:val="center"/>
            </w:pPr>
            <w:bookmarkStart w:id="3" w:name="_Ref432200926"/>
            <w:r>
              <w:t>(</w:t>
            </w:r>
            <w:r w:rsidR="006C421D">
              <w:rPr>
                <w:noProof/>
              </w:rPr>
              <w:t>4</w:t>
            </w:r>
            <w:bookmarkEnd w:id="3"/>
            <w:r>
              <w:rPr>
                <w:noProof/>
              </w:rPr>
              <w:t>)</w:t>
            </w:r>
          </w:p>
        </w:tc>
      </w:tr>
    </w:tbl>
    <w:p w14:paraId="284C08E3" w14:textId="747A6914" w:rsidR="00F76D84" w:rsidRDefault="00D86F62" w:rsidP="0094564A">
      <w:pPr>
        <w:pStyle w:val="TAMainText"/>
        <w:rPr>
          <w:rFonts w:eastAsiaTheme="minorEastAsia"/>
        </w:rPr>
      </w:pPr>
      <w:r>
        <w:t>The impedance of a crystal can be represented through a lumped element model that contains a mass-spring-dashpot system. In this study, the spring</w:t>
      </w:r>
      <w:r w:rsidR="00AA75D6">
        <w:t>-</w:t>
      </w:r>
      <w:r>
        <w:t xml:space="preserve">dashpot component is described </w:t>
      </w:r>
      <w:r>
        <w:rPr>
          <w:rFonts w:eastAsiaTheme="minorEastAsia"/>
        </w:rPr>
        <w:t xml:space="preserve">by a </w:t>
      </w:r>
      <w:r w:rsidR="002E6FA0">
        <w:rPr>
          <w:rFonts w:eastAsiaTheme="minorEastAsia"/>
        </w:rPr>
        <w:t>Kelvin-Voigt viscoelastic link</w:t>
      </w:r>
      <w:r w:rsidRPr="00D86F62">
        <w:rPr>
          <w:rFonts w:eastAsiaTheme="minorEastAsia"/>
        </w:rPr>
        <w:t xml:space="preserve"> </w:t>
      </w:r>
      <w:r w:rsidR="00AA75D6">
        <w:rPr>
          <w:rFonts w:eastAsiaTheme="minorEastAsia"/>
        </w:rPr>
        <w:t>(</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link</m:t>
            </m:r>
          </m:sub>
        </m:sSub>
      </m:oMath>
      <w:r w:rsidR="00AA75D6">
        <w:rPr>
          <w:rFonts w:eastAsiaTheme="minorEastAsia"/>
        </w:rPr>
        <w:t xml:space="preserve">) </w:t>
      </w:r>
      <w:r>
        <w:rPr>
          <w:rFonts w:eastAsiaTheme="minorEastAsia"/>
        </w:rPr>
        <w:t>since the crystals are solid (as opposed to the Maxwell model which describes viscoelastic liquids).</w:t>
      </w:r>
      <w:r w:rsidR="002E6FA0" w:rsidRPr="002E6FA0">
        <w:rPr>
          <w:noProof/>
          <w:vertAlign w:val="superscript"/>
        </w:rPr>
        <w:t>27</w:t>
      </w:r>
      <w:r w:rsidR="002E6FA0">
        <w:rPr>
          <w:rFonts w:eastAsiaTheme="minorEastAsia"/>
        </w:rPr>
        <w:t xml:space="preserve"> </w:t>
      </w:r>
      <w:r>
        <w:rPr>
          <w:rFonts w:eastAsiaTheme="minorEastAsia"/>
        </w:rPr>
        <w:t>In addition to t</w:t>
      </w:r>
      <w:r w:rsidR="006F7004">
        <w:rPr>
          <w:rFonts w:eastAsiaTheme="minorEastAsia"/>
        </w:rPr>
        <w:t>he mass of the</w:t>
      </w:r>
      <w:r>
        <w:rPr>
          <w:rFonts w:eastAsiaTheme="minorEastAsia"/>
        </w:rPr>
        <w:t xml:space="preserve"> crystal itself, it is important to consider</w:t>
      </w:r>
      <w:r w:rsidR="006F7004">
        <w:rPr>
          <w:rFonts w:eastAsiaTheme="minorEastAsia"/>
        </w:rPr>
        <w:t xml:space="preserve"> trapped liquid oscillating with the crystals</w:t>
      </w:r>
      <w:r w:rsidR="00F76D84">
        <w:rPr>
          <w:rFonts w:eastAsiaTheme="minorEastAsia"/>
        </w:rPr>
        <w:t xml:space="preserve"> </w:t>
      </w:r>
      <w:r w:rsidR="002750CA">
        <w:rPr>
          <w:rFonts w:eastAsiaTheme="minorEastAsia"/>
        </w:rPr>
        <w:t>(a</w:t>
      </w:r>
      <w:r w:rsidR="00F76D84">
        <w:rPr>
          <w:rFonts w:eastAsiaTheme="minorEastAsia"/>
        </w:rPr>
        <w:t xml:space="preserve">ssuming </w:t>
      </w:r>
      <w:r w:rsidR="00CD5AD7">
        <w:rPr>
          <w:rFonts w:eastAsiaTheme="minorEastAsia"/>
        </w:rPr>
        <w:t xml:space="preserve">a </w:t>
      </w:r>
      <w:r w:rsidR="00F76D84">
        <w:rPr>
          <w:rFonts w:eastAsiaTheme="minorEastAsia"/>
        </w:rPr>
        <w:t xml:space="preserve">no slip </w:t>
      </w:r>
      <w:r w:rsidR="00CD5AD7">
        <w:rPr>
          <w:rFonts w:eastAsiaTheme="minorEastAsia"/>
        </w:rPr>
        <w:t xml:space="preserve">boundary condition </w:t>
      </w:r>
      <w:r w:rsidR="00F76D84">
        <w:rPr>
          <w:rFonts w:eastAsiaTheme="minorEastAsia"/>
        </w:rPr>
        <w:t>at the crystal</w:t>
      </w:r>
      <w:r w:rsidR="00CD5AD7">
        <w:rPr>
          <w:rFonts w:eastAsiaTheme="minorEastAsia"/>
        </w:rPr>
        <w:t>-</w:t>
      </w:r>
      <w:r w:rsidR="00F76D84">
        <w:rPr>
          <w:rFonts w:eastAsiaTheme="minorEastAsia"/>
        </w:rPr>
        <w:t>solution interface</w:t>
      </w:r>
      <w:r w:rsidR="002750CA">
        <w:rPr>
          <w:rFonts w:eastAsiaTheme="minorEastAsia"/>
        </w:rPr>
        <w:t>). The trapped liquid, referred to as the</w:t>
      </w:r>
      <w:r w:rsidR="00F76D84">
        <w:rPr>
          <w:rFonts w:eastAsiaTheme="minorEastAsia"/>
        </w:rPr>
        <w:t xml:space="preserve"> hydration layer</w:t>
      </w:r>
      <w:r w:rsidR="002E6FA0" w:rsidRPr="002E6FA0">
        <w:rPr>
          <w:rFonts w:eastAsiaTheme="minorEastAsia"/>
          <w:noProof/>
          <w:vertAlign w:val="superscript"/>
        </w:rPr>
        <w:t>28</w:t>
      </w:r>
      <w:r w:rsidR="006A040C" w:rsidRPr="006A040C">
        <w:rPr>
          <w:rFonts w:eastAsiaTheme="minorEastAsia"/>
          <w:vertAlign w:val="superscript"/>
        </w:rPr>
        <w:t>-</w:t>
      </w:r>
      <w:r w:rsidR="002E6FA0" w:rsidRPr="002E6FA0">
        <w:rPr>
          <w:rFonts w:eastAsiaTheme="minorEastAsia"/>
          <w:noProof/>
          <w:vertAlign w:val="superscript"/>
        </w:rPr>
        <w:t>30</w:t>
      </w:r>
      <w:r w:rsidR="009824F4">
        <w:rPr>
          <w:rFonts w:eastAsiaTheme="minorEastAsia"/>
        </w:rPr>
        <w:t>,</w:t>
      </w:r>
      <w:r w:rsidR="00F76D84">
        <w:rPr>
          <w:rFonts w:eastAsiaTheme="minorEastAsia"/>
        </w:rPr>
        <w:t xml:space="preserve"> </w:t>
      </w:r>
      <w:r w:rsidR="00CD5AD7">
        <w:rPr>
          <w:rFonts w:eastAsiaTheme="minorEastAsia"/>
        </w:rPr>
        <w:t>contribute</w:t>
      </w:r>
      <w:r w:rsidR="0074123E">
        <w:rPr>
          <w:rFonts w:eastAsiaTheme="minorEastAsia"/>
        </w:rPr>
        <w:t>s</w:t>
      </w:r>
      <w:r w:rsidR="002750CA">
        <w:rPr>
          <w:rFonts w:eastAsiaTheme="minorEastAsia"/>
        </w:rPr>
        <w:t xml:space="preserve"> significantly</w:t>
      </w:r>
      <w:r w:rsidR="00CD5AD7">
        <w:rPr>
          <w:rFonts w:eastAsiaTheme="minorEastAsia"/>
        </w:rPr>
        <w:t xml:space="preserve"> to</w:t>
      </w:r>
      <w:r w:rsidR="0074123E">
        <w:rPr>
          <w:rFonts w:eastAsiaTheme="minorEastAsia"/>
        </w:rPr>
        <w:t xml:space="preserve"> the</w:t>
      </w:r>
      <w:r w:rsidR="00CD5AD7">
        <w:rPr>
          <w:rFonts w:eastAsiaTheme="minorEastAsia"/>
        </w:rPr>
        <w:t xml:space="preserve"> total impedance of </w:t>
      </w:r>
      <w:r w:rsidR="00AF4CEB">
        <w:rPr>
          <w:rFonts w:eastAsiaTheme="minorEastAsia"/>
        </w:rPr>
        <w:t>the</w:t>
      </w:r>
      <w:r w:rsidR="00CD5AD7">
        <w:rPr>
          <w:rFonts w:eastAsiaTheme="minorEastAsia"/>
        </w:rPr>
        <w:t xml:space="preserve"> system. </w:t>
      </w:r>
      <w:r w:rsidR="00887C8E">
        <w:rPr>
          <w:rFonts w:eastAsiaTheme="minorEastAsia"/>
        </w:rPr>
        <w:t>The mass of the trapped liquid can be estimated by considering the</w:t>
      </w:r>
      <w:r w:rsidR="0099478E" w:rsidRPr="002F309F">
        <w:rPr>
          <w:rFonts w:eastAsiaTheme="minorEastAsia"/>
        </w:rPr>
        <w:t xml:space="preserve"> penetration depth of the evanescent wave</w:t>
      </w:r>
      <w:r w:rsidR="000C21CF">
        <w:rPr>
          <w:rFonts w:eastAsiaTheme="minorEastAsia"/>
        </w:rPr>
        <w:t xml:space="preserve"> </w:t>
      </w:r>
      <w:r w:rsidRPr="002F309F">
        <w:rPr>
          <w:rFonts w:eastAsiaTheme="minorEastAsia"/>
        </w:rPr>
        <w:t>extendin</w:t>
      </w:r>
      <w:r>
        <w:rPr>
          <w:rFonts w:eastAsiaTheme="minorEastAsia"/>
        </w:rPr>
        <w:t xml:space="preserve">g into the semi-infinite medium </w:t>
      </w:r>
      <w:r w:rsidR="000C21CF">
        <w:rPr>
          <w:rFonts w:eastAsiaTheme="minorEastAsia"/>
        </w:rPr>
        <w:t>(</w:t>
      </w:r>
      <m:oMath>
        <m:sSub>
          <m:sSubPr>
            <m:ctrlPr>
              <w:rPr>
                <w:rFonts w:ascii="Cambria Math" w:hAnsi="Cambria Math"/>
                <w:i/>
              </w:rPr>
            </m:ctrlPr>
          </m:sSubPr>
          <m:e>
            <m:r>
              <w:rPr>
                <w:rFonts w:ascii="Cambria Math" w:hAnsi="Cambria Math"/>
              </w:rPr>
              <m:t>δ</m:t>
            </m:r>
          </m:e>
          <m:sub>
            <m:r>
              <w:rPr>
                <w:rFonts w:ascii="Cambria Math" w:hAnsi="Cambria Math"/>
              </w:rPr>
              <m:t>liq</m:t>
            </m:r>
          </m:sub>
        </m:sSub>
        <m:r>
          <w:rPr>
            <w:rFonts w:ascii="Cambria Math" w:hAnsi="Cambria Math"/>
          </w:rPr>
          <m:t>=252 nm</m:t>
        </m:r>
      </m:oMath>
      <w:r w:rsidR="0094564A">
        <w:rPr>
          <w:rFonts w:eastAsiaTheme="minorEastAsia"/>
        </w:rPr>
        <w:t xml:space="preserve"> for </w:t>
      </w:r>
      <w:r w:rsidR="0053705A">
        <w:rPr>
          <w:rFonts w:eastAsiaTheme="minorEastAsia"/>
        </w:rPr>
        <w:t xml:space="preserve">the fundamental harmonic in </w:t>
      </w:r>
      <w:r w:rsidR="0094564A">
        <w:rPr>
          <w:rFonts w:eastAsiaTheme="minorEastAsia"/>
        </w:rPr>
        <w:t>water</w:t>
      </w:r>
      <w:r w:rsidR="000C21CF">
        <w:rPr>
          <w:rFonts w:eastAsiaTheme="minorEastAsia"/>
        </w:rPr>
        <w:t>)</w:t>
      </w:r>
      <w:r w:rsidR="0094564A">
        <w:rPr>
          <w:rFonts w:eastAsiaTheme="minorEastAsia"/>
        </w:rPr>
        <w:t>.</w:t>
      </w:r>
      <w:r w:rsidR="002E6FA0" w:rsidRPr="00435949">
        <w:rPr>
          <w:rFonts w:eastAsiaTheme="minorEastAsia"/>
          <w:noProof/>
          <w:vertAlign w:val="superscript"/>
        </w:rPr>
        <w:t>25</w:t>
      </w:r>
      <w:r w:rsidR="0094564A">
        <w:rPr>
          <w:rFonts w:eastAsiaTheme="minorEastAsia"/>
        </w:rPr>
        <w:t xml:space="preserve"> </w:t>
      </w:r>
      <w:r w:rsidR="0099478E">
        <w:rPr>
          <w:rFonts w:eastAsiaTheme="minorEastAsia"/>
        </w:rPr>
        <w:t xml:space="preserve">This </w:t>
      </w:r>
      <w:r w:rsidR="0099478E" w:rsidRPr="002F309F">
        <w:rPr>
          <w:rFonts w:eastAsiaTheme="minorEastAsia"/>
        </w:rPr>
        <w:t xml:space="preserve">layer extends over the interface of the </w:t>
      </w:r>
      <w:r w:rsidR="0099478E">
        <w:rPr>
          <w:rFonts w:eastAsiaTheme="minorEastAsia"/>
        </w:rPr>
        <w:t>calcium sulphate crystal</w:t>
      </w:r>
      <w:r w:rsidR="0099478E" w:rsidRPr="002F309F">
        <w:rPr>
          <w:rFonts w:eastAsiaTheme="minorEastAsia"/>
        </w:rPr>
        <w:t xml:space="preserve"> with the </w:t>
      </w:r>
      <w:r w:rsidR="0099478E">
        <w:rPr>
          <w:rFonts w:eastAsiaTheme="minorEastAsia"/>
        </w:rPr>
        <w:t>solution</w:t>
      </w:r>
      <w:r w:rsidR="0099478E" w:rsidRPr="002F309F">
        <w:rPr>
          <w:rFonts w:eastAsiaTheme="minorEastAsia"/>
        </w:rPr>
        <w:t xml:space="preserve">. </w:t>
      </w:r>
      <w:r w:rsidR="00B464A8">
        <w:rPr>
          <w:rFonts w:eastAsiaTheme="minorEastAsia"/>
        </w:rPr>
        <w:t>T</w:t>
      </w:r>
      <w:r w:rsidR="00F76D84" w:rsidRPr="005F77AA">
        <w:rPr>
          <w:rFonts w:eastAsiaTheme="minorEastAsia"/>
        </w:rPr>
        <w:t xml:space="preserve">he impedance of the trapped </w:t>
      </w:r>
      <w:r w:rsidR="00B464A8">
        <w:rPr>
          <w:rFonts w:eastAsiaTheme="minorEastAsia"/>
        </w:rPr>
        <w:t>Newtonian liquid</w:t>
      </w:r>
      <w:r w:rsidR="00F76D84" w:rsidRPr="005F77AA">
        <w:rPr>
          <w:rFonts w:eastAsiaTheme="minorEastAsia"/>
        </w:rPr>
        <w:t xml:space="preserve"> is given</w:t>
      </w:r>
      <w:r w:rsidR="00CD5AD7">
        <w:rPr>
          <w:rFonts w:eastAsiaTheme="minorEastAsia"/>
        </w:rPr>
        <w:t xml:space="preserve"> </w:t>
      </w:r>
      <w:r w:rsidR="00DB0EAF">
        <w:rPr>
          <w:rFonts w:eastAsiaTheme="minorEastAsia"/>
        </w:rPr>
        <w:t>by</w:t>
      </w:r>
      <w:r w:rsidR="00185270">
        <w:rPr>
          <w:rFonts w:eastAsiaTheme="minorEastAsia"/>
        </w:rPr>
        <w:t xml:space="preserve"> Equation</w:t>
      </w:r>
      <w:r w:rsidR="00DB0EAF">
        <w:rPr>
          <w:rFonts w:eastAsiaTheme="minorEastAsia"/>
        </w:rPr>
        <w:t xml:space="preserve"> </w:t>
      </w:r>
      <w:r w:rsidR="006C421D">
        <w:rPr>
          <w:noProof/>
        </w:rPr>
        <w:t>5</w:t>
      </w:r>
      <w:r w:rsidR="005A481F">
        <w:rPr>
          <w:rFonts w:eastAsiaTheme="minorEastAsia"/>
        </w:rPr>
        <w:t>,</w:t>
      </w:r>
      <w:r w:rsidR="00B464A8" w:rsidRPr="00B464A8">
        <w:rPr>
          <w:rFonts w:eastAsiaTheme="minorEastAsia"/>
        </w:rPr>
        <w:t xml:space="preserve"> </w:t>
      </w:r>
      <w:r w:rsidR="002E6FA0" w:rsidRPr="002E6FA0">
        <w:rPr>
          <w:rFonts w:eastAsiaTheme="minorEastAsia"/>
          <w:noProof/>
          <w:vertAlign w:val="superscript"/>
        </w:rPr>
        <w:t>31</w:t>
      </w:r>
      <w:r w:rsidR="006A040C">
        <w:rPr>
          <w:rFonts w:eastAsiaTheme="minorEastAsia"/>
          <w:vertAlign w:val="superscript"/>
        </w:rPr>
        <w:t>,</w:t>
      </w:r>
      <w:r w:rsidR="002E6FA0" w:rsidRPr="002E6FA0">
        <w:rPr>
          <w:rFonts w:eastAsiaTheme="minorEastAsia"/>
          <w:noProof/>
          <w:vertAlign w:val="superscript"/>
        </w:rPr>
        <w:t>32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512"/>
        <w:gridCol w:w="963"/>
      </w:tblGrid>
      <w:tr w:rsidR="00185270" w14:paraId="1CDA4FF0" w14:textId="77777777" w:rsidTr="00185270">
        <w:trPr>
          <w:jc w:val="center"/>
        </w:trPr>
        <w:tc>
          <w:tcPr>
            <w:tcW w:w="1101" w:type="dxa"/>
            <w:vAlign w:val="center"/>
          </w:tcPr>
          <w:p w14:paraId="07FDB659" w14:textId="77777777" w:rsidR="00185270" w:rsidRDefault="00185270" w:rsidP="00185270">
            <w:pPr>
              <w:pStyle w:val="TAMainText"/>
              <w:ind w:firstLine="0"/>
              <w:jc w:val="center"/>
              <w:rPr>
                <w:noProof/>
              </w:rPr>
            </w:pPr>
          </w:p>
        </w:tc>
        <w:tc>
          <w:tcPr>
            <w:tcW w:w="7512" w:type="dxa"/>
            <w:vAlign w:val="center"/>
          </w:tcPr>
          <w:p w14:paraId="2B492B8E" w14:textId="77777777" w:rsidR="00185270" w:rsidRDefault="001B24E5" w:rsidP="00185270">
            <w:pPr>
              <w:pStyle w:val="TAMainText"/>
              <w:ind w:firstLine="0"/>
              <w:jc w:val="center"/>
              <w:rPr>
                <w:noProof/>
              </w:rPr>
            </w:pPr>
            <m:oMathPara>
              <m:oMath>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sSub>
                  <m:sSubPr>
                    <m:ctrlPr>
                      <w:rPr>
                        <w:rFonts w:ascii="Cambria Math" w:eastAsiaTheme="minorEastAsia" w:hAnsi="Cambria Math"/>
                      </w:rPr>
                    </m:ctrlPr>
                  </m:sSubPr>
                  <m:e>
                    <m:r>
                      <w:rPr>
                        <w:rFonts w:ascii="Cambria Math" w:eastAsiaTheme="minorEastAsia" w:hAnsi="Cambria Math"/>
                      </w:rPr>
                      <m:t>Z</m:t>
                    </m:r>
                  </m:e>
                  <m:sub>
                    <m:r>
                      <w:rPr>
                        <w:rFonts w:ascii="Cambria Math" w:eastAsiaTheme="minorEastAsia" w:hAnsi="Cambria Math"/>
                      </w:rPr>
                      <m:t>liq</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rad>
                  <m:radPr>
                    <m:degHide m:val="1"/>
                    <m:ctrlPr>
                      <w:rPr>
                        <w:rFonts w:ascii="Cambria Math" w:eastAsiaTheme="minorEastAsia" w:hAnsi="Cambria Math"/>
                      </w:rPr>
                    </m:ctrlPr>
                  </m:radPr>
                  <m:deg/>
                  <m:e>
                    <m:r>
                      <w:rPr>
                        <w:rFonts w:ascii="Cambria Math" w:eastAsiaTheme="minorEastAsia" w:hAnsi="Cambria Math"/>
                      </w:rPr>
                      <m:t>iω</m:t>
                    </m:r>
                    <m:sSub>
                      <m:sSubPr>
                        <m:ctrlPr>
                          <w:rPr>
                            <w:rFonts w:ascii="Cambria Math" w:eastAsiaTheme="minorEastAsia" w:hAnsi="Cambria Math"/>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m:t>
                    </m:r>
                  </m:e>
                </m:ra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1+</m:t>
                    </m:r>
                    <m: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rad>
                  <m:radPr>
                    <m:degHide m:val="1"/>
                    <m:ctrlPr>
                      <w:rPr>
                        <w:rFonts w:ascii="Cambria Math" w:eastAsiaTheme="minorEastAsia" w:hAnsi="Cambria Math"/>
                      </w:rPr>
                    </m:ctrlPr>
                  </m:radPr>
                  <m:deg/>
                  <m:e>
                    <m:f>
                      <m:fPr>
                        <m:ctrlPr>
                          <w:rPr>
                            <w:rFonts w:ascii="Cambria Math" w:eastAsiaTheme="minorEastAsia" w:hAnsi="Cambria Math"/>
                          </w:rPr>
                        </m:ctrlPr>
                      </m:fPr>
                      <m:num>
                        <m:r>
                          <w:rPr>
                            <w:rFonts w:ascii="Cambria Math" w:eastAsiaTheme="minorEastAsia" w:hAnsi="Cambria Math"/>
                          </w:rPr>
                          <m:t>ω</m:t>
                        </m:r>
                        <m:sSub>
                          <m:sSubPr>
                            <m:ctrlPr>
                              <w:rPr>
                                <w:rFonts w:ascii="Cambria Math" w:eastAsiaTheme="minorEastAsia" w:hAnsi="Cambria Math"/>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m:t>
                        </m:r>
                      </m:num>
                      <m:den>
                        <m:r>
                          <m:rPr>
                            <m:sty m:val="p"/>
                          </m:rPr>
                          <w:rPr>
                            <w:rFonts w:ascii="Cambria Math" w:eastAsiaTheme="minorEastAsia" w:hAnsi="Cambria Math"/>
                          </w:rPr>
                          <m:t>2</m:t>
                        </m:r>
                      </m:den>
                    </m:f>
                  </m:e>
                </m:rad>
              </m:oMath>
            </m:oMathPara>
          </w:p>
        </w:tc>
        <w:tc>
          <w:tcPr>
            <w:tcW w:w="963" w:type="dxa"/>
            <w:vAlign w:val="center"/>
          </w:tcPr>
          <w:p w14:paraId="3118BB68" w14:textId="77777777" w:rsidR="00185270" w:rsidRDefault="00185270" w:rsidP="00185270">
            <w:pPr>
              <w:pStyle w:val="TAMainText"/>
              <w:ind w:firstLine="0"/>
              <w:jc w:val="center"/>
              <w:rPr>
                <w:noProof/>
              </w:rPr>
            </w:pPr>
            <w:bookmarkStart w:id="4" w:name="_Ref432200085"/>
            <w:r>
              <w:t>(</w:t>
            </w:r>
            <w:r w:rsidR="006C421D">
              <w:rPr>
                <w:noProof/>
              </w:rPr>
              <w:t>5</w:t>
            </w:r>
            <w:bookmarkEnd w:id="4"/>
            <w:r>
              <w:rPr>
                <w:noProof/>
              </w:rPr>
              <w:t>)</w:t>
            </w:r>
          </w:p>
        </w:tc>
      </w:tr>
    </w:tbl>
    <w:p w14:paraId="7E3964C7" w14:textId="1BA2AF15" w:rsidR="00F76D84" w:rsidRDefault="00F76D84" w:rsidP="00487202">
      <w:pPr>
        <w:pStyle w:val="TAMainText"/>
        <w:ind w:firstLine="0"/>
        <w:rPr>
          <w:rFonts w:eastAsiaTheme="minorEastAsia"/>
        </w:rPr>
      </w:pPr>
      <w:r>
        <w:rPr>
          <w:rFonts w:eastAsiaTheme="minorEastAsia"/>
        </w:rPr>
        <w:t xml:space="preserve">The impedance of the trapped liquid depends on the </w:t>
      </w:r>
      <w:r w:rsidR="00356E84">
        <w:rPr>
          <w:rFonts w:eastAsiaTheme="minorEastAsia"/>
        </w:rPr>
        <w:t xml:space="preserve">crystal’s </w:t>
      </w:r>
      <w:r>
        <w:rPr>
          <w:rFonts w:eastAsiaTheme="minorEastAsia"/>
        </w:rPr>
        <w:t>area of contact with the liquid</w:t>
      </w:r>
      <w:r w:rsidR="005B2A1A">
        <w:rPr>
          <w:rFonts w:eastAsiaTheme="minorEastAsia"/>
        </w:rPr>
        <w:t>,</w:t>
      </w:r>
      <m:oMath>
        <m: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oMath>
      <w:r>
        <w:rPr>
          <w:rFonts w:eastAsiaTheme="minorEastAsia"/>
        </w:rPr>
        <w:t xml:space="preserve">. </w:t>
      </w:r>
      <w:r w:rsidR="00DB0EAF">
        <w:rPr>
          <w:rFonts w:eastAsiaTheme="minorEastAsia"/>
        </w:rPr>
        <w:t>With time, the crystals grow</w:t>
      </w:r>
      <w:r w:rsidR="00CD5AD7">
        <w:rPr>
          <w:rFonts w:eastAsiaTheme="minorEastAsia"/>
        </w:rPr>
        <w:t xml:space="preserve"> thereby increasing </w:t>
      </w:r>
      <w:r w:rsidR="00DB0EAF">
        <w:rPr>
          <w:rFonts w:eastAsiaTheme="minorEastAsia"/>
        </w:rPr>
        <w:t xml:space="preserve">contact area and in turn </w:t>
      </w:r>
      <w:r w:rsidR="00CD5AD7">
        <w:rPr>
          <w:rFonts w:eastAsiaTheme="minorEastAsia"/>
        </w:rPr>
        <w:t>the mass of the hydration layer</w:t>
      </w:r>
      <w:r>
        <w:rPr>
          <w:rFonts w:eastAsiaTheme="minorEastAsia"/>
        </w:rPr>
        <w:t xml:space="preserve">. The </w:t>
      </w:r>
      <w:r w:rsidRPr="00487202">
        <w:rPr>
          <w:rFonts w:eastAsiaTheme="minorEastAsia"/>
        </w:rPr>
        <w:t>constant</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oMath>
      <w:r>
        <w:rPr>
          <w:rFonts w:eastAsiaTheme="minorEastAsia"/>
        </w:rPr>
        <w:t xml:space="preserve"> relates the mass of a crystal to its contact surface area</w:t>
      </w:r>
      <w:r w:rsidR="00BF36F1">
        <w:rPr>
          <w:rFonts w:eastAsiaTheme="minorEastAsia"/>
        </w:rPr>
        <w:t xml:space="preserve"> (</w:t>
      </w:r>
      <w:r w:rsidR="001C67C0">
        <w:rPr>
          <w:rFonts w:eastAsiaTheme="minorEastAsia"/>
        </w:rPr>
        <w:t xml:space="preserve">Equation </w:t>
      </w:r>
      <w:r w:rsidR="006C421D">
        <w:rPr>
          <w:noProof/>
        </w:rPr>
        <w:t>6</w:t>
      </w:r>
      <w:r w:rsidR="00BF36F1">
        <w:rPr>
          <w:rFonts w:eastAsiaTheme="minorEastAsia"/>
        </w:rPr>
        <w:t>)</w:t>
      </w:r>
      <w:r>
        <w:rPr>
          <w:rFonts w:eastAsiaTheme="minorEastAsia"/>
        </w:rPr>
        <w:t xml:space="preserve">. </w:t>
      </w:r>
      <w:r w:rsidR="00DB0EAF">
        <w:rPr>
          <w:rFonts w:eastAsiaTheme="minorEastAsia"/>
        </w:rPr>
        <w:t>This relation uses</w:t>
      </w:r>
      <w:r>
        <w:rPr>
          <w:rFonts w:eastAsiaTheme="minorEastAsia"/>
        </w:rPr>
        <w:t xml:space="preserve"> a rectangular prism</w:t>
      </w:r>
      <w:r w:rsidR="00CF2262">
        <w:rPr>
          <w:rFonts w:eastAsiaTheme="minorEastAsia"/>
        </w:rPr>
        <w:t xml:space="preserve"> (appropriate for needle-shaped crystals)</w:t>
      </w:r>
      <w:r>
        <w:rPr>
          <w:rFonts w:eastAsiaTheme="minorEastAsia"/>
        </w:rPr>
        <w:t xml:space="preserve"> configuration</w:t>
      </w:r>
      <w:r w:rsidR="00356E84">
        <w:rPr>
          <w:rFonts w:eastAsiaTheme="minorEastAsia"/>
        </w:rPr>
        <w:t xml:space="preserve"> with a base area</w:t>
      </w:r>
      <m:oMath>
        <m: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oMath>
      <w:r w:rsidR="00356E84">
        <w:rPr>
          <w:rFonts w:eastAsiaTheme="minorEastAsia"/>
        </w:rPr>
        <w:t xml:space="preserve"> and lateral length of</w:t>
      </w:r>
      <m:oMath>
        <m: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c</m:t>
            </m:r>
          </m:sub>
        </m:sSub>
      </m:oMath>
      <w:r w:rsidR="00BF36F1">
        <w:rPr>
          <w:rFonts w:eastAsiaTheme="minorEastAsia"/>
        </w:rPr>
        <w:t>, to provide a reasonable approximation for the crystal shape.</w:t>
      </w:r>
      <w:r w:rsidR="00907580">
        <w:rPr>
          <w:rFonts w:eastAsiaTheme="minorEastAsia"/>
        </w:rPr>
        <w:t xml:space="preserve"> Here</w:t>
      </w:r>
      <m:oMath>
        <m: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oMath>
      <w:r w:rsidR="00907580">
        <w:rPr>
          <w:rFonts w:eastAsiaTheme="minorEastAsia"/>
        </w:rPr>
        <w:t xml:space="preserve"> is </w:t>
      </w:r>
      <w:r w:rsidR="00393178">
        <w:rPr>
          <w:rFonts w:eastAsiaTheme="minorEastAsia"/>
        </w:rPr>
        <w:t xml:space="preserve">assumed to be </w:t>
      </w:r>
      <w:r w:rsidR="00907580">
        <w:rPr>
          <w:rFonts w:eastAsiaTheme="minorEastAsia"/>
        </w:rPr>
        <w:t xml:space="preserve">constant </w:t>
      </w:r>
      <w:r w:rsidR="00393178">
        <w:rPr>
          <w:rFonts w:eastAsiaTheme="minorEastAsia"/>
        </w:rPr>
        <w:t>since</w:t>
      </w:r>
      <w:r w:rsidR="00907580">
        <w:rPr>
          <w:rFonts w:eastAsiaTheme="minorEastAsia"/>
        </w:rPr>
        <w:t xml:space="preserve"> </w:t>
      </w:r>
      <w:r w:rsidR="00393178">
        <w:rPr>
          <w:rFonts w:eastAsiaTheme="minorEastAsia"/>
        </w:rPr>
        <w:t xml:space="preserve">the crystal’s </w:t>
      </w:r>
      <w:r w:rsidR="00907580">
        <w:rPr>
          <w:rFonts w:eastAsiaTheme="minorEastAsia"/>
        </w:rPr>
        <w:t xml:space="preserve">lateral length is far greater than </w:t>
      </w:r>
      <w:r w:rsidR="00CF2262">
        <w:rPr>
          <w:rFonts w:eastAsiaTheme="minorEastAsia"/>
        </w:rPr>
        <w:t>its</w:t>
      </w:r>
      <w:r w:rsidR="00907580">
        <w:rPr>
          <w:rFonts w:eastAsiaTheme="minorEastAsia"/>
        </w:rPr>
        <w:t xml:space="preserve"> base </w:t>
      </w:r>
      <w:r w:rsidR="00907580">
        <w:rPr>
          <w:rFonts w:eastAsiaTheme="minorEastAsia"/>
        </w:rPr>
        <w:lastRenderedPageBreak/>
        <w:t>length (</w:t>
      </w:r>
      <m:oMath>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e>
        </m:ra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c</m:t>
            </m:r>
          </m:sub>
        </m:sSub>
      </m:oMath>
      <w:r w:rsidR="00907580">
        <w:rPr>
          <w:rFonts w:eastAsiaTheme="minorEastAsia"/>
        </w:rPr>
        <w:t>).</w:t>
      </w:r>
      <w:r w:rsidR="00492DC7">
        <w:rPr>
          <w:rFonts w:eastAsiaTheme="minorEastAsia"/>
        </w:rPr>
        <w:t xml:space="preserve"> For this reason, the base areas of the crystal are neglected in the calculation of</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liq</m:t>
            </m:r>
          </m:sub>
        </m:sSub>
      </m:oMath>
      <w:r w:rsidR="00492DC7">
        <w:rPr>
          <w:rFonts w:eastAsiaTheme="minorEastAsia"/>
        </w:rPr>
        <w:t xml:space="preserve"> as they are far smaller than the area of the lateral faces.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512"/>
        <w:gridCol w:w="963"/>
      </w:tblGrid>
      <w:tr w:rsidR="00185270" w14:paraId="20126261" w14:textId="77777777" w:rsidTr="00185270">
        <w:trPr>
          <w:jc w:val="center"/>
        </w:trPr>
        <w:tc>
          <w:tcPr>
            <w:tcW w:w="1101" w:type="dxa"/>
            <w:vAlign w:val="center"/>
          </w:tcPr>
          <w:p w14:paraId="7ADC2824" w14:textId="77777777" w:rsidR="00185270" w:rsidRDefault="00185270" w:rsidP="00185270">
            <w:pPr>
              <w:pStyle w:val="TAMainText"/>
              <w:ind w:firstLine="0"/>
              <w:jc w:val="center"/>
              <w:rPr>
                <w:rFonts w:eastAsiaTheme="minorEastAsia"/>
              </w:rPr>
            </w:pPr>
          </w:p>
        </w:tc>
        <w:tc>
          <w:tcPr>
            <w:tcW w:w="7512" w:type="dxa"/>
            <w:vAlign w:val="center"/>
          </w:tcPr>
          <w:p w14:paraId="6AFCE509" w14:textId="77777777" w:rsidR="00185270" w:rsidRDefault="001B24E5" w:rsidP="00185270">
            <w:pPr>
              <w:pStyle w:val="TAMainText"/>
              <w:ind w:firstLine="0"/>
              <w:jc w:val="center"/>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s</m:t>
                    </m:r>
                  </m:sub>
                </m:sSub>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num>
                  <m:den>
                    <m:r>
                      <w:rPr>
                        <w:rFonts w:ascii="Cambria Math" w:eastAsiaTheme="minorEastAsia" w:hAnsi="Cambria Math"/>
                      </w:rPr>
                      <m:t>m</m:t>
                    </m:r>
                  </m:den>
                </m:f>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rad>
                      <m:radPr>
                        <m:degHide m:val="1"/>
                        <m:ctrlPr>
                          <w:rPr>
                            <w:rFonts w:ascii="Cambria Math" w:eastAsiaTheme="minorEastAsia" w:hAnsi="Cambria Math"/>
                          </w:rPr>
                        </m:ctrlPr>
                      </m:radPr>
                      <m:deg/>
                      <m:e>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e>
                    </m:rad>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c</m:t>
                        </m:r>
                      </m:sub>
                    </m:sSub>
                    <m:r>
                      <w:rPr>
                        <w:rFonts w:ascii="Cambria Math" w:eastAsiaTheme="minorEastAsia" w:hAnsi="Cambria Math"/>
                      </w:rPr>
                      <m:t>+2</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num>
                  <m:den>
                    <m:sSub>
                      <m:sSubPr>
                        <m:ctrlPr>
                          <w:rPr>
                            <w:rFonts w:ascii="Cambria Math" w:eastAsiaTheme="minorEastAsia" w:hAnsi="Cambria Math"/>
                          </w:rPr>
                        </m:ctrlPr>
                      </m:sSubPr>
                      <m:e>
                        <m:r>
                          <w:rPr>
                            <w:rFonts w:ascii="Cambria Math" w:eastAsiaTheme="minorEastAsia" w:hAnsi="Cambria Math"/>
                          </w:rPr>
                          <m:t>ρ</m:t>
                        </m:r>
                      </m:e>
                      <m:sub>
                        <m:r>
                          <w:rPr>
                            <w:rFonts w:ascii="Cambria Math" w:eastAsiaTheme="minorEastAsia" w:hAnsi="Cambria Math"/>
                          </w:rPr>
                          <m:t>c</m:t>
                        </m:r>
                      </m:sub>
                    </m:sSub>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c</m:t>
                        </m:r>
                      </m:sub>
                    </m:sSub>
                  </m:den>
                </m:f>
                <m: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rad>
                      <m:radPr>
                        <m:degHide m:val="1"/>
                        <m:ctrlPr>
                          <w:rPr>
                            <w:rFonts w:ascii="Cambria Math" w:eastAsiaTheme="minorEastAsia" w:hAnsi="Cambria Math"/>
                          </w:rPr>
                        </m:ctrlPr>
                      </m:radPr>
                      <m:deg/>
                      <m:e>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e>
                    </m:rad>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c</m:t>
                        </m:r>
                      </m:sub>
                    </m:sSub>
                  </m:num>
                  <m:den>
                    <m:sSub>
                      <m:sSubPr>
                        <m:ctrlPr>
                          <w:rPr>
                            <w:rFonts w:ascii="Cambria Math" w:eastAsiaTheme="minorEastAsia" w:hAnsi="Cambria Math"/>
                          </w:rPr>
                        </m:ctrlPr>
                      </m:sSubPr>
                      <m:e>
                        <m:r>
                          <w:rPr>
                            <w:rFonts w:ascii="Cambria Math" w:eastAsiaTheme="minorEastAsia" w:hAnsi="Cambria Math"/>
                          </w:rPr>
                          <m:t>ρ</m:t>
                        </m:r>
                      </m:e>
                      <m:sub>
                        <m:r>
                          <w:rPr>
                            <w:rFonts w:ascii="Cambria Math" w:eastAsiaTheme="minorEastAsia" w:hAnsi="Cambria Math"/>
                          </w:rPr>
                          <m:t>c</m:t>
                        </m:r>
                      </m:sub>
                    </m:sSub>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c</m:t>
                        </m:r>
                      </m:sub>
                    </m:sSub>
                  </m:den>
                </m:f>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sSub>
                      <m:sSubPr>
                        <m:ctrlPr>
                          <w:rPr>
                            <w:rFonts w:ascii="Cambria Math" w:eastAsiaTheme="minorEastAsia" w:hAnsi="Cambria Math"/>
                          </w:rPr>
                        </m:ctrlPr>
                      </m:sSubPr>
                      <m:e>
                        <m:r>
                          <w:rPr>
                            <w:rFonts w:ascii="Cambria Math" w:eastAsiaTheme="minorEastAsia" w:hAnsi="Cambria Math"/>
                          </w:rPr>
                          <m:t>ρ</m:t>
                        </m:r>
                      </m:e>
                      <m:sub>
                        <m:r>
                          <w:rPr>
                            <w:rFonts w:ascii="Cambria Math" w:eastAsiaTheme="minorEastAsia" w:hAnsi="Cambria Math"/>
                          </w:rPr>
                          <m:t>c</m:t>
                        </m:r>
                      </m:sub>
                    </m:sSub>
                    <m:rad>
                      <m:radPr>
                        <m:degHide m:val="1"/>
                        <m:ctrlPr>
                          <w:rPr>
                            <w:rFonts w:ascii="Cambria Math" w:eastAsiaTheme="minorEastAsia" w:hAnsi="Cambria Math"/>
                          </w:rPr>
                        </m:ctrlPr>
                      </m:radPr>
                      <m:deg/>
                      <m:e>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c</m:t>
                            </m:r>
                          </m:sub>
                        </m:sSub>
                      </m:e>
                    </m:rad>
                  </m:den>
                </m:f>
              </m:oMath>
            </m:oMathPara>
          </w:p>
        </w:tc>
        <w:tc>
          <w:tcPr>
            <w:tcW w:w="963" w:type="dxa"/>
            <w:vAlign w:val="center"/>
          </w:tcPr>
          <w:p w14:paraId="02EB8322" w14:textId="77777777" w:rsidR="00185270" w:rsidRPr="00185270" w:rsidRDefault="00185270" w:rsidP="00185270">
            <w:pPr>
              <w:pStyle w:val="TAMainText"/>
              <w:ind w:firstLine="0"/>
              <w:jc w:val="center"/>
              <w:rPr>
                <w:noProof/>
              </w:rPr>
            </w:pPr>
            <w:bookmarkStart w:id="5" w:name="_Ref435617089"/>
            <w:r>
              <w:t>(</w:t>
            </w:r>
            <w:r w:rsidR="006C421D">
              <w:rPr>
                <w:noProof/>
              </w:rPr>
              <w:t>6</w:t>
            </w:r>
            <w:bookmarkEnd w:id="5"/>
            <w:r>
              <w:rPr>
                <w:noProof/>
              </w:rPr>
              <w:t>)</w:t>
            </w:r>
          </w:p>
        </w:tc>
      </w:tr>
    </w:tbl>
    <w:p w14:paraId="7C54F176" w14:textId="77777777" w:rsidR="00487202" w:rsidRDefault="00BB2513" w:rsidP="00487202">
      <w:pPr>
        <w:pStyle w:val="TAMainText"/>
        <w:ind w:firstLine="0"/>
        <w:rPr>
          <w:rFonts w:eastAsiaTheme="minorEastAsia"/>
        </w:rPr>
      </w:pPr>
      <w:r>
        <w:rPr>
          <w:rFonts w:eastAsiaTheme="minorEastAsia"/>
        </w:rPr>
        <w:t xml:space="preserve">Given </w:t>
      </w:r>
      <w:r w:rsidR="00971988">
        <w:rPr>
          <w:rFonts w:eastAsiaTheme="minorEastAsia"/>
        </w:rPr>
        <w:t xml:space="preserve">that </w:t>
      </w:r>
      <w:r>
        <w:rPr>
          <w:rFonts w:eastAsiaTheme="minorEastAsia"/>
        </w:rPr>
        <w:t>the density of calcium sulphate dihydrate is</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c</m:t>
            </m:r>
          </m:sub>
        </m:sSub>
        <m:r>
          <w:rPr>
            <w:rFonts w:ascii="Cambria Math" w:eastAsiaTheme="minorEastAsia" w:hAnsi="Cambria Math"/>
          </w:rPr>
          <m:t xml:space="preserve">=2320 kg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r>
        <w:rPr>
          <w:rFonts w:eastAsiaTheme="minorEastAsia"/>
        </w:rPr>
        <w:t xml:space="preserve"> </w:t>
      </w:r>
      <w:r w:rsidRPr="002F309F">
        <w:rPr>
          <w:rFonts w:eastAsiaTheme="minorEastAsia"/>
        </w:rPr>
        <w:t>and</w:t>
      </w:r>
      <w:r>
        <w:rPr>
          <w:rFonts w:eastAsiaTheme="minorEastAsia"/>
        </w:rPr>
        <w:t xml:space="preserve"> base area of a crystal is</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eastAsiaTheme="minorEastAsia" w:hAnsi="Cambria Math"/>
          </w:rPr>
          <m:t xml:space="preserve">=3 </m:t>
        </m:r>
        <m:sSup>
          <m:sSupPr>
            <m:ctrlPr>
              <w:rPr>
                <w:rFonts w:ascii="Cambria Math" w:eastAsiaTheme="minorEastAsia" w:hAnsi="Cambria Math"/>
                <w:i/>
              </w:rPr>
            </m:ctrlPr>
          </m:sSupPr>
          <m:e>
            <m:r>
              <w:rPr>
                <w:rFonts w:ascii="Cambria Math" w:eastAsiaTheme="minorEastAsia" w:hAnsi="Cambria Math"/>
              </w:rPr>
              <m:t>μm</m:t>
            </m:r>
          </m:e>
          <m:sup>
            <m:r>
              <w:rPr>
                <w:rFonts w:ascii="Cambria Math" w:eastAsiaTheme="minorEastAsia" w:hAnsi="Cambria Math"/>
              </w:rPr>
              <m:t>2</m:t>
            </m:r>
          </m:sup>
        </m:sSup>
      </m:oMath>
      <w:r>
        <w:rPr>
          <w:rFonts w:eastAsiaTheme="minorEastAsia"/>
        </w:rPr>
        <w:t>, then t</w:t>
      </w:r>
      <w:r w:rsidRPr="002F309F">
        <w:rPr>
          <w:rFonts w:eastAsiaTheme="minorEastAsia"/>
        </w:rPr>
        <w:t>he calculated value of</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
          <w:rPr>
            <w:rFonts w:ascii="Cambria Math" w:eastAsiaTheme="minorEastAsia" w:hAnsi="Cambria Math"/>
          </w:rPr>
          <m:t xml:space="preserve">=1000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kg</m:t>
            </m:r>
          </m:e>
          <m:sup>
            <m:r>
              <w:rPr>
                <w:rFonts w:ascii="Cambria Math" w:eastAsiaTheme="minorEastAsia" w:hAnsi="Cambria Math"/>
              </w:rPr>
              <m:t>-1</m:t>
            </m:r>
          </m:sup>
        </m:sSup>
      </m:oMath>
      <w:r>
        <w:rPr>
          <w:rFonts w:eastAsiaTheme="minorEastAsia"/>
        </w:rPr>
        <w:t>.</w:t>
      </w:r>
    </w:p>
    <w:p w14:paraId="61C044FC" w14:textId="77777777" w:rsidR="00D86F62" w:rsidRDefault="00D86F62" w:rsidP="00487202">
      <w:pPr>
        <w:pStyle w:val="TAMainText"/>
        <w:rPr>
          <w:noProof/>
        </w:rPr>
      </w:pPr>
      <w:r>
        <w:rPr>
          <w:noProof/>
        </w:rPr>
        <w:t>The total impedance of a single crystal is therefore obtained by combining the mass, Kelvin-Voigt, and hydration layer impedances in parallel,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512"/>
        <w:gridCol w:w="963"/>
      </w:tblGrid>
      <w:tr w:rsidR="00185270" w14:paraId="1D0D54C9" w14:textId="77777777" w:rsidTr="00185270">
        <w:tc>
          <w:tcPr>
            <w:tcW w:w="1101" w:type="dxa"/>
            <w:vAlign w:val="center"/>
          </w:tcPr>
          <w:p w14:paraId="282360F9" w14:textId="77777777" w:rsidR="00185270" w:rsidRDefault="00185270" w:rsidP="00185270">
            <w:pPr>
              <w:pStyle w:val="TAMainText"/>
              <w:ind w:firstLine="0"/>
              <w:jc w:val="center"/>
              <w:rPr>
                <w:noProof/>
              </w:rPr>
            </w:pPr>
          </w:p>
        </w:tc>
        <w:tc>
          <w:tcPr>
            <w:tcW w:w="7512" w:type="dxa"/>
            <w:vAlign w:val="center"/>
          </w:tcPr>
          <w:p w14:paraId="704BF9BC" w14:textId="77777777" w:rsidR="00185270" w:rsidRDefault="001B24E5" w:rsidP="00185270">
            <w:pPr>
              <w:pStyle w:val="TAMainText"/>
              <w:ind w:firstLine="0"/>
              <w:jc w:val="center"/>
              <w:rPr>
                <w:noProof/>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iωm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link</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liq</m:t>
                            </m:r>
                          </m:sub>
                        </m:sSub>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liq</m:t>
                            </m:r>
                          </m:sub>
                        </m:sSub>
                      </m:den>
                    </m:f>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iωm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iω</m:t>
                        </m:r>
                      </m:num>
                      <m:den>
                        <m:r>
                          <w:rPr>
                            <w:rFonts w:ascii="Cambria Math" w:eastAsiaTheme="minorEastAsia" w:hAnsi="Cambria Math"/>
                          </w:rPr>
                          <m:t>k+iωr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d>
                          <m:dPr>
                            <m:ctrlPr>
                              <w:rPr>
                                <w:rFonts w:ascii="Cambria Math" w:eastAsiaTheme="minorEastAsia" w:hAnsi="Cambria Math"/>
                                <w:i/>
                              </w:rPr>
                            </m:ctrlPr>
                          </m:dPr>
                          <m:e>
                            <m:r>
                              <w:rPr>
                                <w:rFonts w:ascii="Cambria Math" w:eastAsiaTheme="minorEastAsia" w:hAnsi="Cambria Math"/>
                              </w:rPr>
                              <m:t>1+i</m:t>
                            </m:r>
                          </m:e>
                        </m:d>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
                          <w:rPr>
                            <w:rFonts w:ascii="Cambria Math" w:eastAsiaTheme="minorEastAsia" w:hAnsi="Cambria Math"/>
                          </w:rPr>
                          <m:t>m</m:t>
                        </m:r>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ηω</m:t>
                                </m:r>
                              </m:num>
                              <m:den>
                                <m:r>
                                  <w:rPr>
                                    <w:rFonts w:ascii="Cambria Math" w:eastAsiaTheme="minorEastAsia" w:hAnsi="Cambria Math"/>
                                  </w:rPr>
                                  <m:t>2</m:t>
                                </m:r>
                              </m:den>
                            </m:f>
                          </m:e>
                        </m:rad>
                      </m:den>
                    </m:f>
                  </m:den>
                </m:f>
              </m:oMath>
            </m:oMathPara>
          </w:p>
        </w:tc>
        <w:tc>
          <w:tcPr>
            <w:tcW w:w="963" w:type="dxa"/>
            <w:vAlign w:val="center"/>
          </w:tcPr>
          <w:p w14:paraId="2DB893DD" w14:textId="77777777" w:rsidR="00185270" w:rsidRPr="00185270" w:rsidRDefault="00185270" w:rsidP="00185270">
            <w:pPr>
              <w:pStyle w:val="TAMainText"/>
              <w:ind w:firstLine="0"/>
              <w:jc w:val="center"/>
              <w:rPr>
                <w:rFonts w:eastAsiaTheme="minorEastAsia"/>
              </w:rPr>
            </w:pPr>
            <w:bookmarkStart w:id="6" w:name="_Ref443527949"/>
            <w:r>
              <w:t>(</w:t>
            </w:r>
            <w:r w:rsidR="006C421D">
              <w:rPr>
                <w:noProof/>
              </w:rPr>
              <w:t>7</w:t>
            </w:r>
            <w:bookmarkEnd w:id="6"/>
            <w:r>
              <w:rPr>
                <w:noProof/>
              </w:rPr>
              <w:t>)</w:t>
            </w:r>
          </w:p>
        </w:tc>
      </w:tr>
    </w:tbl>
    <w:p w14:paraId="237A7225" w14:textId="1C3AC416" w:rsidR="00515DDF" w:rsidRDefault="00E36485" w:rsidP="00AC7BA4">
      <w:pPr>
        <w:pStyle w:val="TAMainText"/>
        <w:ind w:firstLine="0"/>
        <w:rPr>
          <w:rFonts w:eastAsiaTheme="minorEastAsia"/>
        </w:rPr>
      </w:pPr>
      <w:r>
        <w:rPr>
          <w:rFonts w:eastAsiaTheme="minorEastAsia"/>
        </w:rPr>
        <w:t xml:space="preserve">The </w:t>
      </w:r>
      <w:r w:rsidR="00515DDF">
        <w:rPr>
          <w:rFonts w:eastAsiaTheme="minorEastAsia"/>
        </w:rPr>
        <w:t>predicted frequency shift from the crystallisation process</w:t>
      </w:r>
      <w:r>
        <w:rPr>
          <w:rFonts w:eastAsiaTheme="minorEastAsia"/>
        </w:rPr>
        <w:t xml:space="preserve"> is obtain</w:t>
      </w:r>
      <w:r w:rsidR="00515DDF">
        <w:rPr>
          <w:rFonts w:eastAsiaTheme="minorEastAsia"/>
        </w:rPr>
        <w:t>ed</w:t>
      </w:r>
      <w:r>
        <w:rPr>
          <w:rFonts w:eastAsiaTheme="minorEastAsia"/>
        </w:rPr>
        <w:t xml:space="preserve"> by substituting the crystal population density function (</w:t>
      </w:r>
      <w:r w:rsidR="001C67C0">
        <w:rPr>
          <w:rFonts w:eastAsiaTheme="minorEastAsia"/>
        </w:rPr>
        <w:t xml:space="preserve">Equation </w:t>
      </w:r>
      <w:r w:rsidR="006C421D">
        <w:rPr>
          <w:noProof/>
        </w:rPr>
        <w:t>4</w:t>
      </w:r>
      <w:r w:rsidR="001C67C0">
        <w:rPr>
          <w:rFonts w:eastAsiaTheme="minorEastAsia"/>
        </w:rPr>
        <w:t>)</w:t>
      </w:r>
      <w:r>
        <w:rPr>
          <w:rFonts w:eastAsiaTheme="minorEastAsia"/>
        </w:rPr>
        <w:t xml:space="preserve"> and crystal impedance </w:t>
      </w:r>
      <w:r w:rsidR="00D86F62">
        <w:rPr>
          <w:rFonts w:eastAsiaTheme="minorEastAsia"/>
        </w:rPr>
        <w:t>(</w:t>
      </w:r>
      <w:r w:rsidR="001C67C0">
        <w:rPr>
          <w:rFonts w:eastAsiaTheme="minorEastAsia"/>
        </w:rPr>
        <w:t xml:space="preserve">Equation </w:t>
      </w:r>
      <w:r w:rsidR="006C421D">
        <w:rPr>
          <w:noProof/>
        </w:rPr>
        <w:t>7</w:t>
      </w:r>
      <w:r w:rsidR="001C67C0">
        <w:rPr>
          <w:rFonts w:eastAsiaTheme="minorEastAsia"/>
        </w:rPr>
        <w:t>)</w:t>
      </w:r>
      <w:r w:rsidR="00961CEB">
        <w:rPr>
          <w:rFonts w:eastAsiaTheme="minorEastAsia"/>
        </w:rPr>
        <w:t xml:space="preserve"> into </w:t>
      </w:r>
      <w:r w:rsidR="001C67C0">
        <w:rPr>
          <w:rFonts w:eastAsiaTheme="minorEastAsia"/>
        </w:rPr>
        <w:t xml:space="preserve">Equation </w:t>
      </w:r>
      <w:r w:rsidR="006C421D">
        <w:rPr>
          <w:noProof/>
        </w:rPr>
        <w:t>2</w:t>
      </w:r>
      <w:r w:rsidR="00EA64A0">
        <w:rPr>
          <w:rFonts w:eastAsiaTheme="minorEastAsia"/>
        </w:rPr>
        <w:t xml:space="preserve"> to give,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512"/>
        <w:gridCol w:w="963"/>
      </w:tblGrid>
      <w:tr w:rsidR="00185270" w14:paraId="5538749D" w14:textId="77777777" w:rsidTr="00185270">
        <w:tc>
          <w:tcPr>
            <w:tcW w:w="1101" w:type="dxa"/>
            <w:vAlign w:val="center"/>
          </w:tcPr>
          <w:p w14:paraId="2B79C817" w14:textId="77777777" w:rsidR="00185270" w:rsidRDefault="00185270" w:rsidP="00185270">
            <w:pPr>
              <w:pStyle w:val="TAMainText"/>
              <w:ind w:firstLine="0"/>
              <w:jc w:val="center"/>
              <w:rPr>
                <w:rFonts w:eastAsiaTheme="minorEastAsia"/>
              </w:rPr>
            </w:pPr>
          </w:p>
        </w:tc>
        <w:tc>
          <w:tcPr>
            <w:tcW w:w="7512" w:type="dxa"/>
            <w:vAlign w:val="center"/>
          </w:tcPr>
          <w:p w14:paraId="79FDDB3D" w14:textId="77777777" w:rsidR="00185270" w:rsidRDefault="001B24E5" w:rsidP="00185270">
            <w:pPr>
              <w:pStyle w:val="TAMainText"/>
              <w:ind w:firstLine="0"/>
              <w:jc w:val="cente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f</m:t>
                        </m:r>
                      </m:e>
                    </m:acc>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m:t>
                        </m:r>
                      </m:sub>
                    </m:sSub>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iJ</m:t>
                    </m:r>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q</m:t>
                        </m:r>
                      </m:sub>
                    </m:sSub>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q</m:t>
                        </m:r>
                      </m:sub>
                    </m:sSub>
                    <m:r>
                      <w:rPr>
                        <w:rFonts w:ascii="Cambria Math" w:eastAsiaTheme="minorEastAsia" w:hAnsi="Cambria Math"/>
                      </w:rPr>
                      <m:t>G</m:t>
                    </m:r>
                  </m:den>
                </m:f>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m:t>
                    </m:r>
                  </m:sup>
                  <m:e>
                    <m:f>
                      <m:fPr>
                        <m:ctrlPr>
                          <w:rPr>
                            <w:rFonts w:ascii="Cambria Math" w:eastAsiaTheme="minorEastAsia" w:hAnsi="Cambria Math"/>
                            <w:i/>
                          </w:rPr>
                        </m:ctrlPr>
                      </m:fPr>
                      <m:num>
                        <m:r>
                          <w:rPr>
                            <w:rFonts w:ascii="Cambria Math" w:eastAsiaTheme="minorEastAsia" w:hAnsi="Cambria Math"/>
                          </w:rPr>
                          <m:t>1-H(m-Gt)</m:t>
                        </m:r>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iωm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iω</m:t>
                            </m:r>
                          </m:num>
                          <m:den>
                            <m:r>
                              <w:rPr>
                                <w:rFonts w:ascii="Cambria Math" w:eastAsiaTheme="minorEastAsia" w:hAnsi="Cambria Math"/>
                              </w:rPr>
                              <m:t>k+iωr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d>
                              <m:dPr>
                                <m:ctrlPr>
                                  <w:rPr>
                                    <w:rFonts w:ascii="Cambria Math" w:eastAsiaTheme="minorEastAsia" w:hAnsi="Cambria Math"/>
                                    <w:i/>
                                  </w:rPr>
                                </m:ctrlPr>
                              </m:dPr>
                              <m:e>
                                <m:r>
                                  <w:rPr>
                                    <w:rFonts w:ascii="Cambria Math" w:eastAsiaTheme="minorEastAsia" w:hAnsi="Cambria Math"/>
                                  </w:rPr>
                                  <m:t>1+i</m:t>
                                </m:r>
                              </m:e>
                            </m:d>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
                              <w:rPr>
                                <w:rFonts w:ascii="Cambria Math" w:eastAsiaTheme="minorEastAsia" w:hAnsi="Cambria Math"/>
                              </w:rPr>
                              <m:t>m</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ρηω</m:t>
                                    </m:r>
                                  </m:num>
                                  <m:den>
                                    <m:r>
                                      <w:rPr>
                                        <w:rFonts w:ascii="Cambria Math" w:eastAsiaTheme="minorEastAsia" w:hAnsi="Cambria Math"/>
                                      </w:rPr>
                                      <m:t>2</m:t>
                                    </m:r>
                                  </m:den>
                                </m:f>
                              </m:e>
                            </m:rad>
                          </m:den>
                        </m:f>
                      </m:den>
                    </m:f>
                    <m:r>
                      <w:rPr>
                        <w:rFonts w:ascii="Cambria Math" w:eastAsiaTheme="minorEastAsia" w:hAnsi="Cambria Math"/>
                      </w:rPr>
                      <m:t xml:space="preserve"> dm</m:t>
                    </m:r>
                  </m:e>
                </m:nary>
              </m:oMath>
            </m:oMathPara>
          </w:p>
        </w:tc>
        <w:tc>
          <w:tcPr>
            <w:tcW w:w="963" w:type="dxa"/>
            <w:vAlign w:val="center"/>
          </w:tcPr>
          <w:p w14:paraId="1AD0BEE7" w14:textId="77777777" w:rsidR="00185270" w:rsidRDefault="00185270" w:rsidP="00185270">
            <w:pPr>
              <w:jc w:val="center"/>
              <w:rPr>
                <w:rFonts w:eastAsiaTheme="minorEastAsia"/>
              </w:rPr>
            </w:pPr>
            <w:bookmarkStart w:id="7" w:name="_Ref402971666"/>
            <w:r>
              <w:t>(</w:t>
            </w:r>
            <w:r w:rsidR="006C421D">
              <w:rPr>
                <w:noProof/>
              </w:rPr>
              <w:t>8</w:t>
            </w:r>
            <w:bookmarkEnd w:id="7"/>
            <w:r>
              <w:rPr>
                <w:noProof/>
              </w:rPr>
              <w:t>)</w:t>
            </w:r>
          </w:p>
        </w:tc>
      </w:tr>
    </w:tbl>
    <w:p w14:paraId="71DE9CEC" w14:textId="77777777" w:rsidR="007927C7" w:rsidRDefault="00393258" w:rsidP="00487202">
      <w:pPr>
        <w:pStyle w:val="TAMainText"/>
        <w:ind w:firstLine="0"/>
        <w:rPr>
          <w:rFonts w:eastAsiaTheme="minorEastAsia"/>
        </w:rPr>
      </w:pPr>
      <w:r>
        <w:rPr>
          <w:rFonts w:eastAsiaTheme="minorEastAsia"/>
        </w:rPr>
        <w:t>The complete Mason circuit</w:t>
      </w:r>
      <w:r w:rsidR="005C6425">
        <w:rPr>
          <w:rFonts w:eastAsiaTheme="minorEastAsia"/>
        </w:rPr>
        <w:t xml:space="preserve"> which includes the crystal impedance</w:t>
      </w:r>
      <w:r>
        <w:rPr>
          <w:rFonts w:eastAsiaTheme="minorEastAsia"/>
        </w:rPr>
        <w:t xml:space="preserve"> is predicted by </w:t>
      </w:r>
      <w:r w:rsidR="006C421D" w:rsidRPr="006C421D">
        <w:t xml:space="preserve">Figure </w:t>
      </w:r>
      <w:r w:rsidR="006C421D" w:rsidRPr="006C421D">
        <w:rPr>
          <w:noProof/>
        </w:rPr>
        <w:t>1</w:t>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205"/>
      </w:tblGrid>
      <w:tr w:rsidR="0094564A" w14:paraId="0EA844F0" w14:textId="77777777" w:rsidTr="00D86F62">
        <w:tc>
          <w:tcPr>
            <w:tcW w:w="7054" w:type="dxa"/>
            <w:vAlign w:val="center"/>
          </w:tcPr>
          <w:p w14:paraId="04370D8A" w14:textId="77777777" w:rsidR="0094564A" w:rsidRDefault="0094564A" w:rsidP="0094564A">
            <w:pPr>
              <w:pStyle w:val="TAMainText"/>
              <w:ind w:firstLine="0"/>
              <w:jc w:val="center"/>
              <w:rPr>
                <w:rFonts w:eastAsiaTheme="minorEastAsia"/>
              </w:rPr>
            </w:pPr>
            <w:r>
              <w:rPr>
                <w:noProof/>
              </w:rPr>
              <w:lastRenderedPageBreak/>
              <w:drawing>
                <wp:inline distT="0" distB="0" distL="0" distR="0" wp14:anchorId="7BE604E0" wp14:editId="4256020E">
                  <wp:extent cx="4543425" cy="2424616"/>
                  <wp:effectExtent l="0" t="0" r="0" b="0"/>
                  <wp:docPr id="2051" name="Picture 2051"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l707\Desktop\Pictur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3425" cy="2424616"/>
                          </a:xfrm>
                          <a:prstGeom prst="rect">
                            <a:avLst/>
                          </a:prstGeom>
                          <a:noFill/>
                          <a:ln>
                            <a:noFill/>
                          </a:ln>
                        </pic:spPr>
                      </pic:pic>
                    </a:graphicData>
                  </a:graphic>
                </wp:inline>
              </w:drawing>
            </w:r>
          </w:p>
        </w:tc>
        <w:tc>
          <w:tcPr>
            <w:tcW w:w="2522" w:type="dxa"/>
            <w:vAlign w:val="center"/>
          </w:tcPr>
          <w:p w14:paraId="4F0F07BA" w14:textId="77777777" w:rsidR="0094564A" w:rsidRDefault="0094564A" w:rsidP="0094564A">
            <w:pPr>
              <w:pStyle w:val="TAMainText"/>
              <w:ind w:firstLine="0"/>
              <w:jc w:val="center"/>
              <w:rPr>
                <w:rFonts w:eastAsiaTheme="minorEastAsia"/>
              </w:rPr>
            </w:pPr>
            <w:r>
              <w:rPr>
                <w:noProof/>
              </w:rPr>
              <w:drawing>
                <wp:inline distT="0" distB="0" distL="0" distR="0" wp14:anchorId="7899B683" wp14:editId="3BFBC137">
                  <wp:extent cx="1068779" cy="1876039"/>
                  <wp:effectExtent l="0" t="0" r="0" b="0"/>
                  <wp:docPr id="2050" name="Picture 2050"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l707\Desktop\Picture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3948"/>
                          <a:stretch/>
                        </pic:blipFill>
                        <pic:spPr bwMode="auto">
                          <a:xfrm>
                            <a:off x="0" y="0"/>
                            <a:ext cx="1077287" cy="18909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300D" w14:paraId="7A89CB11" w14:textId="77777777" w:rsidTr="00D86F62">
        <w:tc>
          <w:tcPr>
            <w:tcW w:w="7054" w:type="dxa"/>
            <w:vAlign w:val="center"/>
          </w:tcPr>
          <w:p w14:paraId="686960E9" w14:textId="77777777" w:rsidR="00F2300D" w:rsidRDefault="00F2300D" w:rsidP="0094564A">
            <w:pPr>
              <w:pStyle w:val="TAMainText"/>
              <w:ind w:firstLine="0"/>
              <w:jc w:val="center"/>
              <w:rPr>
                <w:noProof/>
                <w:lang w:eastAsia="en-GB"/>
              </w:rPr>
            </w:pPr>
            <w:r>
              <w:rPr>
                <w:noProof/>
                <w:lang w:eastAsia="en-GB"/>
              </w:rPr>
              <w:t>a</w:t>
            </w:r>
          </w:p>
        </w:tc>
        <w:tc>
          <w:tcPr>
            <w:tcW w:w="2522" w:type="dxa"/>
            <w:vAlign w:val="center"/>
          </w:tcPr>
          <w:p w14:paraId="2DB7AD8D" w14:textId="77777777" w:rsidR="00F2300D" w:rsidRDefault="00F2300D" w:rsidP="0094564A">
            <w:pPr>
              <w:pStyle w:val="TAMainText"/>
              <w:ind w:firstLine="0"/>
              <w:jc w:val="center"/>
              <w:rPr>
                <w:noProof/>
                <w:lang w:eastAsia="en-GB"/>
              </w:rPr>
            </w:pPr>
            <w:r>
              <w:rPr>
                <w:noProof/>
                <w:lang w:eastAsia="en-GB"/>
              </w:rPr>
              <w:t>b</w:t>
            </w:r>
          </w:p>
        </w:tc>
      </w:tr>
    </w:tbl>
    <w:p w14:paraId="13404B02" w14:textId="77777777" w:rsidR="0059631A" w:rsidRDefault="00B123B3" w:rsidP="00132A68">
      <w:pPr>
        <w:pStyle w:val="VAFigureCaption"/>
      </w:pPr>
      <w:bookmarkStart w:id="8" w:name="_Ref432201307"/>
      <w:r w:rsidRPr="00B123B3">
        <w:rPr>
          <w:b/>
        </w:rPr>
        <w:t xml:space="preserve">Figure </w:t>
      </w:r>
      <w:r w:rsidR="006C421D">
        <w:rPr>
          <w:b/>
          <w:noProof/>
        </w:rPr>
        <w:t>1</w:t>
      </w:r>
      <w:bookmarkEnd w:id="8"/>
      <w:r w:rsidRPr="00B123B3">
        <w:rPr>
          <w:b/>
          <w:noProof/>
        </w:rPr>
        <w:t>.</w:t>
      </w:r>
      <w:r w:rsidRPr="003B2DE0">
        <w:t xml:space="preserve"> Mason equivalent circuit for crystallisation on QCM surface.</w:t>
      </w:r>
      <w:r w:rsidR="00F2300D">
        <w:t xml:space="preserve"> a.</w:t>
      </w:r>
      <w:r w:rsidRPr="003B2DE0">
        <w:t xml:space="preserve"> The central branch contains the electro-mechanical conversion through a transformer component with coil ratio</w:t>
      </w:r>
      <m:oMath>
        <m:r>
          <w:rPr>
            <w:rFonts w:ascii="Cambria Math" w:hAnsi="Cambria Math"/>
          </w:rPr>
          <m:t xml:space="preserve"> 4</m:t>
        </m:r>
        <m:sSup>
          <m:sSupPr>
            <m:ctrlPr>
              <w:rPr>
                <w:rFonts w:ascii="Cambria Math" w:hAnsi="Cambria Math"/>
              </w:rPr>
            </m:ctrlPr>
          </m:sSupPr>
          <m:e>
            <m:r>
              <w:rPr>
                <w:rFonts w:ascii="Cambria Math" w:hAnsi="Cambria Math"/>
              </w:rPr>
              <m:t>φ</m:t>
            </m:r>
          </m:e>
          <m:sup>
            <m:r>
              <w:rPr>
                <w:rFonts w:ascii="Cambria Math" w:hAnsi="Cambria Math"/>
              </w:rPr>
              <m:t>2</m:t>
            </m:r>
          </m:sup>
        </m:sSup>
      </m:oMath>
      <w:r w:rsidRPr="003B2DE0">
        <w:t xml:space="preserve">. </w:t>
      </w:r>
      <m:oMath>
        <m:sSub>
          <m:sSubPr>
            <m:ctrlPr>
              <w:rPr>
                <w:rFonts w:ascii="Cambria Math" w:hAnsi="Cambria Math"/>
              </w:rPr>
            </m:ctrlPr>
          </m:sSubPr>
          <m:e>
            <m:r>
              <m:rPr>
                <m:scr m:val="script"/>
              </m:rPr>
              <w:rPr>
                <w:rFonts w:ascii="Cambria Math" w:hAnsi="Cambria Math"/>
              </w:rPr>
              <m:t>C</m:t>
            </m:r>
          </m:e>
          <m:sub>
            <m:r>
              <w:rPr>
                <w:rFonts w:ascii="Cambria Math" w:hAnsi="Cambria Math"/>
              </w:rPr>
              <m:t>0</m:t>
            </m:r>
          </m:sub>
        </m:sSub>
      </m:oMath>
      <w:r w:rsidRPr="003B2DE0">
        <w:t xml:space="preserve"> represents parasitic capacitance which may arise due to charge build on the sensor’s electrodes, and </w:t>
      </w:r>
      <m:oMath>
        <m:sSub>
          <m:sSubPr>
            <m:ctrlPr>
              <w:rPr>
                <w:rFonts w:ascii="Cambria Math" w:hAnsi="Cambria Math"/>
              </w:rPr>
            </m:ctrlPr>
          </m:sSubPr>
          <m:e>
            <m:r>
              <w:rPr>
                <w:rFonts w:ascii="Cambria Math" w:hAnsi="Cambria Math"/>
              </w:rPr>
              <m:t>Z</m:t>
            </m:r>
          </m:e>
          <m:sub>
            <m:r>
              <w:rPr>
                <w:rFonts w:ascii="Cambria Math" w:hAnsi="Cambria Math"/>
              </w:rPr>
              <m:t>k</m:t>
            </m:r>
          </m:sub>
        </m:sSub>
      </m:oMath>
      <w:r w:rsidRPr="003B2DE0">
        <w:t xml:space="preserve"> represents piezoelectric stiffening.</w:t>
      </w:r>
      <w:r w:rsidR="00F2300D">
        <w:t xml:space="preserve"> b. Schematic of the crystal’s equivalent circuit model.</w:t>
      </w:r>
    </w:p>
    <w:p w14:paraId="248A3AB5" w14:textId="77777777" w:rsidR="00132A68" w:rsidRPr="00132A68" w:rsidRDefault="00132A68" w:rsidP="00132A68"/>
    <w:p w14:paraId="65FB0752" w14:textId="77777777" w:rsidR="00D57EF6" w:rsidRDefault="00012529" w:rsidP="004652BD">
      <w:pPr>
        <w:pStyle w:val="TAMainText"/>
        <w:spacing w:after="240"/>
        <w:ind w:firstLine="0"/>
        <w:jc w:val="center"/>
      </w:pPr>
      <w:r>
        <w:t>EXPERIMENTAL METHOD</w:t>
      </w:r>
    </w:p>
    <w:p w14:paraId="6A54BF43" w14:textId="7C479F56" w:rsidR="00012529" w:rsidRDefault="00CD52D3" w:rsidP="00E02087">
      <w:pPr>
        <w:pStyle w:val="TAMainText"/>
        <w:rPr>
          <w:rFonts w:eastAsiaTheme="minorEastAsia"/>
        </w:rPr>
      </w:pPr>
      <w:r>
        <w:t xml:space="preserve">Two </w:t>
      </w:r>
      <w:r w:rsidR="00012529">
        <w:t>reservoirs contain</w:t>
      </w:r>
      <w:r w:rsidR="001C03AA">
        <w:t>ing</w:t>
      </w:r>
      <w:r w:rsidR="00012529">
        <w:t xml:space="preserve"> sodium sulphate</w:t>
      </w:r>
      <w:r>
        <w:t xml:space="preserve"> </w:t>
      </w:r>
      <w:r w:rsidR="00012529">
        <w:t>and calcium chloride (</w:t>
      </w:r>
      <w:r w:rsidR="0059659A">
        <w:t xml:space="preserve">both </w:t>
      </w:r>
      <w:r w:rsidR="00012529">
        <w:t>99% Sigma-Aldrich®, used as received) solutions (concentration set to 1:1 molar ratio)</w:t>
      </w:r>
      <w:r w:rsidR="0058375D">
        <w:t xml:space="preserve"> were degassed with helium for 30 minutes prior to every experiment. Each solution </w:t>
      </w:r>
      <w:r>
        <w:t xml:space="preserve">was pumped at 1.9 </w:t>
      </w:r>
      <m:oMath>
        <m:r>
          <w:rPr>
            <w:rFonts w:ascii="Cambria Math" w:hAnsi="Cambria Math"/>
          </w:rPr>
          <m:t xml:space="preserve">mL </m:t>
        </m:r>
        <m:sSup>
          <m:sSupPr>
            <m:ctrlPr>
              <w:rPr>
                <w:rFonts w:ascii="Cambria Math" w:hAnsi="Cambria Math"/>
                <w:i/>
              </w:rPr>
            </m:ctrlPr>
          </m:sSupPr>
          <m:e>
            <m:r>
              <w:rPr>
                <w:rFonts w:ascii="Cambria Math" w:hAnsi="Cambria Math"/>
              </w:rPr>
              <m:t>min</m:t>
            </m:r>
          </m:e>
          <m:sup>
            <m:r>
              <w:rPr>
                <w:rFonts w:ascii="Cambria Math" w:hAnsi="Cambria Math"/>
              </w:rPr>
              <m:t>-1</m:t>
            </m:r>
          </m:sup>
        </m:sSup>
      </m:oMath>
      <w:r>
        <w:t xml:space="preserve"> by a dual channel peristaltic pump </w:t>
      </w:r>
      <w:r w:rsidR="00012529">
        <w:t>to a lightly stirred mixing</w:t>
      </w:r>
      <w:r w:rsidR="0059631A">
        <w:t>.</w:t>
      </w:r>
      <w:r w:rsidR="00012529">
        <w:t xml:space="preserve"> </w:t>
      </w:r>
      <w:r>
        <w:t>A third reservoir containing deioni</w:t>
      </w:r>
      <w:r w:rsidR="002843AE">
        <w:t>s</w:t>
      </w:r>
      <w:r>
        <w:t>ed water wa</w:t>
      </w:r>
      <w:r w:rsidR="00372E07">
        <w:t>s fed by a separate pump at 5.4</w:t>
      </w:r>
      <m:oMath>
        <m:r>
          <w:rPr>
            <w:rFonts w:ascii="Cambria Math" w:hAnsi="Cambria Math"/>
          </w:rPr>
          <m:t xml:space="preserve"> mL </m:t>
        </m:r>
        <m:sSup>
          <m:sSupPr>
            <m:ctrlPr>
              <w:rPr>
                <w:rFonts w:ascii="Cambria Math" w:hAnsi="Cambria Math"/>
                <w:i/>
              </w:rPr>
            </m:ctrlPr>
          </m:sSupPr>
          <m:e>
            <m:r>
              <w:rPr>
                <w:rFonts w:ascii="Cambria Math" w:hAnsi="Cambria Math"/>
              </w:rPr>
              <m:t>min</m:t>
            </m:r>
          </m:e>
          <m:sup>
            <m:r>
              <w:rPr>
                <w:rFonts w:ascii="Cambria Math" w:hAnsi="Cambria Math"/>
              </w:rPr>
              <m:t>-1</m:t>
            </m:r>
          </m:sup>
        </m:sSup>
      </m:oMath>
      <w:r>
        <w:t xml:space="preserve"> </w:t>
      </w:r>
      <w:r w:rsidR="00D50C00">
        <w:t>(total flow</w:t>
      </w:r>
      <m:oMath>
        <m:r>
          <w:rPr>
            <w:rFonts w:ascii="Cambria Math" w:hAnsi="Cambria Math"/>
          </w:rPr>
          <m:t xml:space="preserve"> Re=130</m:t>
        </m:r>
      </m:oMath>
      <w:r w:rsidR="00D50C00">
        <w:t>)</w:t>
      </w:r>
      <w:r w:rsidR="0059659A">
        <w:t xml:space="preserve"> </w:t>
      </w:r>
      <w:r>
        <w:t>into t</w:t>
      </w:r>
      <w:r w:rsidR="00012529">
        <w:t xml:space="preserve">he </w:t>
      </w:r>
      <w:r>
        <w:t>well-mixed chamber (</w:t>
      </w:r>
      <w:r w:rsidR="00012529">
        <w:t xml:space="preserve">residence time of 30 seconds). The </w:t>
      </w:r>
      <w:r>
        <w:t>mixture was subsequently</w:t>
      </w:r>
      <w:r w:rsidR="00012529">
        <w:t xml:space="preserve"> fed to a </w:t>
      </w:r>
      <w:r w:rsidR="0058375D">
        <w:t>customi</w:t>
      </w:r>
      <w:r w:rsidR="002843AE">
        <w:t>s</w:t>
      </w:r>
      <w:r w:rsidR="0058375D">
        <w:t>ed</w:t>
      </w:r>
      <w:r w:rsidR="00012529">
        <w:t xml:space="preserve"> </w:t>
      </w:r>
      <w:r w:rsidR="00DC6EBF">
        <w:t>flow cell</w:t>
      </w:r>
      <w:r w:rsidR="00132A68">
        <w:t xml:space="preserve"> (Longshore Systems Engineering Ltd.)</w:t>
      </w:r>
      <w:r w:rsidR="00DC6EBF">
        <w:t xml:space="preserve"> </w:t>
      </w:r>
      <w:r w:rsidR="0058375D">
        <w:t>designed to maximi</w:t>
      </w:r>
      <w:r w:rsidR="001C03AA">
        <w:t>s</w:t>
      </w:r>
      <w:r w:rsidR="0058375D">
        <w:t xml:space="preserve">e flow over the </w:t>
      </w:r>
      <w:r w:rsidR="00012529">
        <w:t>QCM quartz sensor</w:t>
      </w:r>
      <w:r>
        <w:t xml:space="preserve"> </w:t>
      </w:r>
      <w:r w:rsidR="0058375D">
        <w:lastRenderedPageBreak/>
        <w:t xml:space="preserve">at high </w:t>
      </w:r>
      <w:r w:rsidR="001C03AA">
        <w:t xml:space="preserve">throughput </w:t>
      </w:r>
      <w:r w:rsidR="00DC6EBF">
        <w:t>at</w:t>
      </w:r>
      <w:r w:rsidR="00012529">
        <w:t xml:space="preserve"> 56.0 ±</w:t>
      </w:r>
      <w:r w:rsidR="0058375D">
        <w:t xml:space="preserve"> </w:t>
      </w:r>
      <w:r w:rsidR="00012529">
        <w:t>0.5</w:t>
      </w:r>
      <m:oMath>
        <m:r>
          <w:rPr>
            <w:rFonts w:ascii="Cambria Math" w:hAnsi="Cambria Math"/>
          </w:rPr>
          <m:t>°C</m:t>
        </m:r>
      </m:oMath>
      <w:r w:rsidR="00012529">
        <w:t xml:space="preserve">. Imaging was done using a Veho microscope </w:t>
      </w:r>
      <w:r w:rsidR="0058375D">
        <w:t>camera;</w:t>
      </w:r>
      <w:r w:rsidR="00012529">
        <w:t xml:space="preserve"> snapshots of the sensor surface were taken at 15 minute intervals focused on the centre of the sensor. Images were analysed using ImageJ. QCM measurements were acquired using the E1 q-Sense system, with a gold coated quartz sensor.</w:t>
      </w:r>
      <w:r w:rsidR="0094564A">
        <w:t xml:space="preserve"> </w:t>
      </w:r>
      <w:r w:rsidR="00012529">
        <w:t xml:space="preserve">Cleaning was performed by submerging the sensor in Helmanax-III solution for one hour, after which it was rinsed and ultrasonicated in ethanol (99% Sigma) for ten minutes. The sensor was then dried with </w:t>
      </w:r>
      <w:r w:rsidR="001D5208">
        <w:t>nitrogen</w:t>
      </w:r>
      <w:r w:rsidR="00012529">
        <w:t xml:space="preserve">, and ozone/UV cleaned for a minimum of ten minutes. </w:t>
      </w:r>
      <w:r w:rsidR="00012529">
        <w:rPr>
          <w:rFonts w:eastAsiaTheme="minorEastAsia"/>
        </w:rPr>
        <w:t xml:space="preserve">The experiment was repeated three times for three concentrations of </w:t>
      </w:r>
      <w:r w:rsidR="005F0E1E">
        <w:rPr>
          <w:rFonts w:eastAsiaTheme="minorEastAsia"/>
        </w:rPr>
        <w:t>sodium</w:t>
      </w:r>
      <w:r w:rsidR="00012529">
        <w:rPr>
          <w:rFonts w:eastAsiaTheme="minorEastAsia"/>
        </w:rPr>
        <w:t xml:space="preserve"> sulphate: 30.0, 32.5, and 35.0 </w:t>
      </w:r>
      <w:r w:rsidR="005F54DB">
        <w:rPr>
          <w:rFonts w:eastAsiaTheme="minorEastAsia"/>
        </w:rPr>
        <w:t>g</w:t>
      </w:r>
      <m:oMath>
        <m:r>
          <w:rPr>
            <w:rFonts w:ascii="Cambria Math" w:hAnsi="Cambria Math"/>
          </w:rPr>
          <m:t xml:space="preserve"> </m:t>
        </m:r>
        <m:sSup>
          <m:sSupPr>
            <m:ctrlPr>
              <w:rPr>
                <w:rFonts w:ascii="Cambria Math" w:hAnsi="Cambria Math"/>
                <w:i/>
              </w:rPr>
            </m:ctrlPr>
          </m:sSupPr>
          <m:e>
            <m:r>
              <w:rPr>
                <w:rFonts w:ascii="Cambria Math" w:hAnsi="Cambria Math"/>
              </w:rPr>
              <m:t>L</m:t>
            </m:r>
          </m:e>
          <m:sup>
            <m:r>
              <w:rPr>
                <w:rFonts w:ascii="Cambria Math" w:hAnsi="Cambria Math"/>
              </w:rPr>
              <m:t>-1</m:t>
            </m:r>
          </m:sup>
        </m:sSup>
      </m:oMath>
      <w:r w:rsidR="00012529">
        <w:rPr>
          <w:rFonts w:eastAsiaTheme="minorEastAsia"/>
        </w:rPr>
        <w:t xml:space="preserve">, which correspond to supersaturations of </w:t>
      </w:r>
      <w:r w:rsidR="00D20001" w:rsidRPr="00D20001">
        <w:rPr>
          <w:rFonts w:eastAsiaTheme="minorEastAsia"/>
          <w:i/>
        </w:rPr>
        <w:t>S=</w:t>
      </w:r>
      <w:r w:rsidR="00012529">
        <w:rPr>
          <w:rFonts w:eastAsiaTheme="minorEastAsia"/>
        </w:rPr>
        <w:t xml:space="preserve">3.22, </w:t>
      </w:r>
      <w:r w:rsidR="00D20001" w:rsidRPr="00D20001">
        <w:rPr>
          <w:rFonts w:eastAsiaTheme="minorEastAsia"/>
          <w:i/>
        </w:rPr>
        <w:t>S=</w:t>
      </w:r>
      <w:r w:rsidR="00012529">
        <w:rPr>
          <w:rFonts w:eastAsiaTheme="minorEastAsia"/>
        </w:rPr>
        <w:t xml:space="preserve">3.48, and </w:t>
      </w:r>
      <w:r w:rsidR="00D20001" w:rsidRPr="00D20001">
        <w:rPr>
          <w:rFonts w:eastAsiaTheme="minorEastAsia"/>
          <w:i/>
        </w:rPr>
        <w:t>S=</w:t>
      </w:r>
      <w:r w:rsidR="00012529">
        <w:rPr>
          <w:rFonts w:eastAsiaTheme="minorEastAsia"/>
        </w:rPr>
        <w:t xml:space="preserve">3.75 respectively (Supersaturation is defined as the ratio of concentration to solubility: </w:t>
      </w:r>
      <m:oMath>
        <m:r>
          <w:rPr>
            <w:rFonts w:ascii="Cambria Math" w:eastAsiaTheme="minorEastAsia" w:hAnsi="Cambria Math"/>
          </w:rPr>
          <m:t>S=</m:t>
        </m:r>
        <m:f>
          <m:fPr>
            <m:type m:val="lin"/>
            <m:ctrlPr>
              <w:rPr>
                <w:rFonts w:ascii="Cambria Math" w:eastAsiaTheme="minorEastAsia" w:hAnsi="Cambria Math"/>
                <w:i/>
              </w:rPr>
            </m:ctrlPr>
          </m:fPr>
          <m:num>
            <m:r>
              <w:rPr>
                <w:rFonts w:ascii="Cambria Math" w:eastAsiaTheme="minorEastAsia" w:hAnsi="Cambria Math"/>
              </w:rPr>
              <m:t>C</m:t>
            </m:r>
          </m:num>
          <m:den>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den>
        </m:f>
      </m:oMath>
      <w:r w:rsidR="00012529">
        <w:rPr>
          <w:rFonts w:eastAsiaTheme="minorEastAsia"/>
        </w:rPr>
        <w:t>)</w:t>
      </w:r>
      <w:r w:rsidR="006A040C">
        <w:rPr>
          <w:rFonts w:eastAsiaTheme="minorEastAsia"/>
        </w:rPr>
        <w:t>.</w:t>
      </w:r>
      <w:r w:rsidR="00012529" w:rsidRPr="00A425FD">
        <w:t xml:space="preserve"> </w:t>
      </w:r>
      <w:r w:rsidR="002E6FA0" w:rsidRPr="0063592E">
        <w:rPr>
          <w:rFonts w:eastAsiaTheme="minorEastAsia"/>
          <w:noProof/>
          <w:vertAlign w:val="superscript"/>
        </w:rPr>
        <w:t>33</w:t>
      </w:r>
    </w:p>
    <w:p w14:paraId="7DD46B0E" w14:textId="77777777" w:rsidR="00132A68" w:rsidRDefault="00132A68" w:rsidP="00D44A91">
      <w:pPr>
        <w:pStyle w:val="TAMainText"/>
        <w:ind w:firstLine="0"/>
        <w:rPr>
          <w:rFonts w:eastAsiaTheme="minorEastAsia"/>
        </w:rPr>
      </w:pPr>
    </w:p>
    <w:p w14:paraId="591BE149" w14:textId="77777777" w:rsidR="000C35B1" w:rsidRDefault="00E951C1" w:rsidP="004652BD">
      <w:pPr>
        <w:pStyle w:val="TAMainText"/>
        <w:spacing w:after="240"/>
        <w:ind w:firstLine="0"/>
        <w:jc w:val="center"/>
      </w:pPr>
      <w:r>
        <w:t>RESULTS</w:t>
      </w:r>
      <w:r w:rsidR="00B54284">
        <w:t xml:space="preserve"> AND DISCUSSION</w:t>
      </w:r>
    </w:p>
    <w:p w14:paraId="1D9E8843" w14:textId="77777777" w:rsidR="000C35B1" w:rsidRDefault="000C35B1" w:rsidP="004652BD">
      <w:pPr>
        <w:pStyle w:val="TAMainText"/>
        <w:spacing w:after="240"/>
        <w:ind w:firstLine="0"/>
        <w:jc w:val="left"/>
      </w:pPr>
      <w:r>
        <w:t>IMAGING</w:t>
      </w:r>
    </w:p>
    <w:p w14:paraId="65DE248A" w14:textId="334F4E01" w:rsidR="00E951C1" w:rsidRPr="006D0D3D" w:rsidRDefault="00BD62AC" w:rsidP="006A040C">
      <w:pPr>
        <w:pStyle w:val="TAMainText"/>
      </w:pPr>
      <w:r>
        <w:t xml:space="preserve">The crystals on the sensor surface </w:t>
      </w:r>
      <w:r w:rsidR="004E4D2E">
        <w:t>were</w:t>
      </w:r>
      <w:r>
        <w:t xml:space="preserve"> observed using microscopy. </w:t>
      </w:r>
      <w:r w:rsidR="00E951C1">
        <w:t>To confirm the calcium sulphate crystal morphology, a higher magnification microscop</w:t>
      </w:r>
      <w:r w:rsidR="000A77CB">
        <w:t>e</w:t>
      </w:r>
      <w:r w:rsidR="00E951C1">
        <w:t xml:space="preserve"> image (after drying) reveal needle-shape </w:t>
      </w:r>
      <w:r w:rsidR="00CC50CC">
        <w:t>crystals</w:t>
      </w:r>
      <w:r w:rsidR="00E951C1">
        <w:t xml:space="preserve"> (</w:t>
      </w:r>
      <w:r w:rsidR="006C421D" w:rsidRPr="006C421D">
        <w:t xml:space="preserve">Figure </w:t>
      </w:r>
      <w:r w:rsidR="006C421D" w:rsidRPr="006C421D">
        <w:rPr>
          <w:noProof/>
        </w:rPr>
        <w:t>2</w:t>
      </w:r>
      <w:r w:rsidR="00F66117">
        <w:t>a</w:t>
      </w:r>
      <w:r w:rsidR="00E951C1">
        <w:t>).</w:t>
      </w:r>
      <w:r w:rsidR="002839A7">
        <w:t xml:space="preserve"> </w:t>
      </w:r>
      <w:r w:rsidR="002B1A98">
        <w:t>I</w:t>
      </w:r>
      <w:r w:rsidR="002839A7">
        <w:t xml:space="preserve">ndividual crystals adopt a prismatic shape </w:t>
      </w:r>
      <w:r w:rsidR="004D18C3">
        <w:t>and tend to grow</w:t>
      </w:r>
      <w:r w:rsidR="00CD4A62" w:rsidRPr="002839A7">
        <w:t xml:space="preserve"> in </w:t>
      </w:r>
      <w:r w:rsidR="00696690" w:rsidRPr="002839A7">
        <w:t>three dimensional</w:t>
      </w:r>
      <w:r w:rsidR="00CD4A62" w:rsidRPr="002839A7">
        <w:t xml:space="preserve"> </w:t>
      </w:r>
      <w:r w:rsidR="00EF3E6D">
        <w:t>crystal</w:t>
      </w:r>
      <w:r w:rsidR="002839A7" w:rsidRPr="002839A7">
        <w:t xml:space="preserve"> clusters</w:t>
      </w:r>
      <w:r w:rsidR="002B1A98">
        <w:t xml:space="preserve"> (</w:t>
      </w:r>
      <w:r w:rsidR="006C421D" w:rsidRPr="006C421D">
        <w:t xml:space="preserve">Figure </w:t>
      </w:r>
      <w:r w:rsidR="006C421D" w:rsidRPr="006C421D">
        <w:rPr>
          <w:noProof/>
        </w:rPr>
        <w:t>2</w:t>
      </w:r>
      <w:r w:rsidR="002B1A98">
        <w:t>b)</w:t>
      </w:r>
      <w:r w:rsidR="002839A7" w:rsidRPr="00DA1B64">
        <w:t>.</w:t>
      </w:r>
      <w:r w:rsidR="002E4F76" w:rsidRPr="00DA1B64">
        <w:t xml:space="preserve"> </w:t>
      </w:r>
      <w:r w:rsidR="006C421D" w:rsidRPr="006C421D">
        <w:t xml:space="preserve">Figure </w:t>
      </w:r>
      <w:r w:rsidR="006C421D" w:rsidRPr="006C421D">
        <w:rPr>
          <w:noProof/>
        </w:rPr>
        <w:t>2</w:t>
      </w:r>
      <w:r w:rsidR="00DA1B64" w:rsidRPr="00DA1B64">
        <w:t xml:space="preserve"> </w:t>
      </w:r>
      <w:r w:rsidR="002E4F76" w:rsidRPr="00DA1B64">
        <w:t>shows that</w:t>
      </w:r>
      <w:r w:rsidR="001C67C0">
        <w:t xml:space="preserve"> Equation</w:t>
      </w:r>
      <w:r w:rsidR="0059631A">
        <w:t xml:space="preserve"> </w:t>
      </w:r>
      <w:r w:rsidR="006C421D">
        <w:rPr>
          <w:noProof/>
        </w:rPr>
        <w:t>4</w:t>
      </w:r>
      <w:r w:rsidR="002E4F76" w:rsidRPr="00DA1B64">
        <w:t xml:space="preserve"> is an appropriate population balance model since adjacent clusters do not</w:t>
      </w:r>
      <w:r w:rsidR="0074123E">
        <w:t xml:space="preserve"> merge</w:t>
      </w:r>
      <w:r w:rsidR="002E4F76">
        <w:t xml:space="preserve"> </w:t>
      </w:r>
      <w:r w:rsidR="0074123E">
        <w:t xml:space="preserve">(unlike </w:t>
      </w:r>
      <w:r w:rsidR="002E4F76">
        <w:t>the birth-and-spread Avrami model</w:t>
      </w:r>
      <w:r w:rsidR="006A040C">
        <w:t>,</w:t>
      </w:r>
      <w:r w:rsidR="002E6FA0" w:rsidRPr="00DD29C6">
        <w:rPr>
          <w:noProof/>
          <w:vertAlign w:val="superscript"/>
        </w:rPr>
        <w:t>34</w:t>
      </w:r>
      <w:r w:rsidR="0074123E">
        <w:t xml:space="preserve"> for example)</w:t>
      </w:r>
      <w:r w:rsidR="002E4F76">
        <w:t xml:space="preserve"> but remain as individual entities.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951C1" w14:paraId="2040ED3D" w14:textId="77777777" w:rsidTr="0088213B">
        <w:trPr>
          <w:jc w:val="center"/>
        </w:trPr>
        <w:tc>
          <w:tcPr>
            <w:tcW w:w="4621" w:type="dxa"/>
            <w:vAlign w:val="center"/>
          </w:tcPr>
          <w:p w14:paraId="162CB6CD" w14:textId="77777777" w:rsidR="00E951C1" w:rsidRDefault="00E951C1" w:rsidP="00A87A67">
            <w:pPr>
              <w:spacing w:after="0"/>
              <w:jc w:val="center"/>
            </w:pPr>
            <w:r>
              <w:rPr>
                <w:noProof/>
              </w:rPr>
              <w:lastRenderedPageBreak/>
              <w:drawing>
                <wp:inline distT="0" distB="0" distL="0" distR="0" wp14:anchorId="44303E1C" wp14:editId="09CB9DEE">
                  <wp:extent cx="2709626" cy="2043509"/>
                  <wp:effectExtent l="0" t="0" r="0" b="0"/>
                  <wp:docPr id="3" name="Picture 3"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l707\Desktop\Pictur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9121" cy="2050670"/>
                          </a:xfrm>
                          <a:prstGeom prst="rect">
                            <a:avLst/>
                          </a:prstGeom>
                          <a:noFill/>
                          <a:ln>
                            <a:noFill/>
                          </a:ln>
                        </pic:spPr>
                      </pic:pic>
                    </a:graphicData>
                  </a:graphic>
                </wp:inline>
              </w:drawing>
            </w:r>
          </w:p>
        </w:tc>
        <w:tc>
          <w:tcPr>
            <w:tcW w:w="4621" w:type="dxa"/>
            <w:vAlign w:val="center"/>
          </w:tcPr>
          <w:p w14:paraId="4C6D82D4" w14:textId="77777777" w:rsidR="00E951C1" w:rsidRDefault="0088213B" w:rsidP="00A87A67">
            <w:pPr>
              <w:spacing w:after="0"/>
              <w:jc w:val="center"/>
            </w:pPr>
            <w:r>
              <w:rPr>
                <w:noProof/>
              </w:rPr>
              <w:drawing>
                <wp:inline distT="0" distB="0" distL="0" distR="0" wp14:anchorId="63765A32" wp14:editId="4E6F2CD8">
                  <wp:extent cx="2658140" cy="2160928"/>
                  <wp:effectExtent l="0" t="0" r="8890" b="0"/>
                  <wp:docPr id="4" name="Picture 4"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707\Desktop\Pictur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6337" cy="2167592"/>
                          </a:xfrm>
                          <a:prstGeom prst="rect">
                            <a:avLst/>
                          </a:prstGeom>
                          <a:noFill/>
                          <a:ln>
                            <a:noFill/>
                          </a:ln>
                        </pic:spPr>
                      </pic:pic>
                    </a:graphicData>
                  </a:graphic>
                </wp:inline>
              </w:drawing>
            </w:r>
          </w:p>
        </w:tc>
      </w:tr>
      <w:tr w:rsidR="00A83CE1" w14:paraId="2272C71B" w14:textId="77777777" w:rsidTr="0088213B">
        <w:trPr>
          <w:jc w:val="center"/>
        </w:trPr>
        <w:tc>
          <w:tcPr>
            <w:tcW w:w="4621" w:type="dxa"/>
            <w:vAlign w:val="center"/>
          </w:tcPr>
          <w:p w14:paraId="75D9F80D" w14:textId="77777777" w:rsidR="00A83CE1" w:rsidRPr="00A83CE1" w:rsidRDefault="00E35CC8" w:rsidP="00A87A67">
            <w:pPr>
              <w:pStyle w:val="TAMainText"/>
              <w:jc w:val="center"/>
              <w:rPr>
                <w:noProof/>
                <w:lang w:eastAsia="en-GB"/>
              </w:rPr>
            </w:pPr>
            <w:r>
              <w:rPr>
                <w:noProof/>
                <w:lang w:eastAsia="en-GB"/>
              </w:rPr>
              <w:t>a</w:t>
            </w:r>
          </w:p>
        </w:tc>
        <w:tc>
          <w:tcPr>
            <w:tcW w:w="4621" w:type="dxa"/>
            <w:vAlign w:val="center"/>
          </w:tcPr>
          <w:p w14:paraId="460E0215" w14:textId="77777777" w:rsidR="00A83CE1" w:rsidRPr="00A83CE1" w:rsidRDefault="00E35CC8" w:rsidP="00A87A67">
            <w:pPr>
              <w:pStyle w:val="TAMainText"/>
              <w:jc w:val="center"/>
              <w:rPr>
                <w:noProof/>
                <w:lang w:eastAsia="en-GB"/>
              </w:rPr>
            </w:pPr>
            <w:r>
              <w:rPr>
                <w:noProof/>
                <w:lang w:eastAsia="en-GB"/>
              </w:rPr>
              <w:t>b</w:t>
            </w:r>
          </w:p>
        </w:tc>
      </w:tr>
    </w:tbl>
    <w:p w14:paraId="284D2ABB" w14:textId="77777777" w:rsidR="00A87A67" w:rsidRDefault="00A87A67" w:rsidP="009F6FE6">
      <w:pPr>
        <w:pStyle w:val="TAMainText"/>
        <w:ind w:firstLine="0"/>
        <w:rPr>
          <w:rFonts w:eastAsiaTheme="minorEastAsia"/>
        </w:rPr>
      </w:pPr>
      <w:bookmarkStart w:id="9" w:name="_Ref403438548"/>
      <w:r w:rsidRPr="000D2121">
        <w:rPr>
          <w:b/>
        </w:rPr>
        <w:t xml:space="preserve">Figure </w:t>
      </w:r>
      <w:r w:rsidR="006C421D">
        <w:rPr>
          <w:b/>
          <w:noProof/>
        </w:rPr>
        <w:t>2</w:t>
      </w:r>
      <w:bookmarkEnd w:id="9"/>
      <w:r w:rsidRPr="000D2121">
        <w:rPr>
          <w:b/>
        </w:rPr>
        <w:t>.</w:t>
      </w:r>
      <w:r w:rsidRPr="000D2121">
        <w:t xml:space="preserve"> Calcium sulph</w:t>
      </w:r>
      <w:r>
        <w:t xml:space="preserve">ate crystallisation at </w:t>
      </w:r>
      <w:r w:rsidRPr="00373840">
        <w:rPr>
          <w:i/>
        </w:rPr>
        <w:t>S=</w:t>
      </w:r>
      <w:r>
        <w:t>3.75. (a)</w:t>
      </w:r>
      <w:r w:rsidRPr="000D2121">
        <w:t xml:space="preserve"> Calcium sulphate crystals deposited on go</w:t>
      </w:r>
      <w:r>
        <w:t>ld surface of the QCM surface. (b)</w:t>
      </w:r>
      <w:r w:rsidRPr="000D2121">
        <w:t xml:space="preserve"> </w:t>
      </w:r>
      <w:r w:rsidR="00975E34">
        <w:t xml:space="preserve">Higher magnification </w:t>
      </w:r>
      <w:r w:rsidR="00124E34">
        <w:t>SEM image of three adjacent clusters.</w:t>
      </w:r>
    </w:p>
    <w:p w14:paraId="336D0C32" w14:textId="5EE178BC" w:rsidR="00A764CF" w:rsidRDefault="00E951C1" w:rsidP="00D20001">
      <w:pPr>
        <w:pStyle w:val="TAMainText"/>
      </w:pPr>
      <w:r>
        <w:rPr>
          <w:rFonts w:eastAsiaTheme="minorEastAsia"/>
        </w:rPr>
        <w:t xml:space="preserve">The number of crystals </w:t>
      </w:r>
      <w:r w:rsidR="00BD62AC">
        <w:rPr>
          <w:rFonts w:eastAsiaTheme="minorEastAsia"/>
        </w:rPr>
        <w:t xml:space="preserve">at each time step </w:t>
      </w:r>
      <w:r>
        <w:rPr>
          <w:rFonts w:eastAsiaTheme="minorEastAsia"/>
        </w:rPr>
        <w:t xml:space="preserve">was </w:t>
      </w:r>
      <w:r w:rsidR="00BD62AC">
        <w:rPr>
          <w:rFonts w:eastAsiaTheme="minorEastAsia"/>
        </w:rPr>
        <w:t xml:space="preserve">determined </w:t>
      </w:r>
      <w:r>
        <w:rPr>
          <w:rFonts w:eastAsiaTheme="minorEastAsia"/>
        </w:rPr>
        <w:t>for all three supersaturation levels</w:t>
      </w:r>
      <w:r w:rsidR="00F12408">
        <w:rPr>
          <w:rFonts w:eastAsiaTheme="minorEastAsia"/>
        </w:rPr>
        <w:t xml:space="preserve"> (</w:t>
      </w:r>
      <m:oMath>
        <m:r>
          <w:rPr>
            <w:rFonts w:ascii="Cambria Math" w:eastAsiaTheme="minorEastAsia" w:hAnsi="Cambria Math"/>
          </w:rPr>
          <m:t>S</m:t>
        </m:r>
      </m:oMath>
      <w:r w:rsidR="00F12408">
        <w:rPr>
          <w:rFonts w:eastAsiaTheme="minorEastAsia"/>
        </w:rPr>
        <w:t>)</w:t>
      </w:r>
      <w:r>
        <w:rPr>
          <w:rFonts w:eastAsiaTheme="minorEastAsia"/>
        </w:rPr>
        <w:t xml:space="preserve"> </w:t>
      </w:r>
      <w:r w:rsidR="00D20001">
        <w:rPr>
          <w:rFonts w:eastAsiaTheme="minorEastAsia"/>
        </w:rPr>
        <w:t>(</w:t>
      </w:r>
      <w:r w:rsidR="006C421D" w:rsidRPr="006C421D">
        <w:t xml:space="preserve">Figure </w:t>
      </w:r>
      <w:r w:rsidR="006C421D" w:rsidRPr="006C421D">
        <w:rPr>
          <w:noProof/>
        </w:rPr>
        <w:t>3</w:t>
      </w:r>
      <w:r w:rsidR="00D20001">
        <w:rPr>
          <w:rFonts w:eastAsiaTheme="minorEastAsia"/>
        </w:rPr>
        <w:t>)</w:t>
      </w:r>
      <w:r>
        <w:rPr>
          <w:rFonts w:eastAsiaTheme="minorEastAsia"/>
        </w:rPr>
        <w:t>.</w:t>
      </w:r>
      <w:r w:rsidR="003010ED">
        <w:rPr>
          <w:rFonts w:eastAsiaTheme="minorEastAsia"/>
        </w:rPr>
        <w:t xml:space="preserve"> </w:t>
      </w:r>
      <w:r w:rsidR="00BD62AC">
        <w:t xml:space="preserve">The </w:t>
      </w:r>
      <w:r>
        <w:t>increase in supersaturation level results in not only</w:t>
      </w:r>
      <w:r w:rsidR="002347FC">
        <w:t xml:space="preserve"> </w:t>
      </w:r>
      <w:r w:rsidR="009C1DC1">
        <w:t>a faster rate of nucleation</w:t>
      </w:r>
      <w:r w:rsidR="00F12408">
        <w:t xml:space="preserve"> (</w:t>
      </w:r>
      <m:oMath>
        <m:r>
          <w:rPr>
            <w:rFonts w:ascii="Cambria Math" w:hAnsi="Cambria Math"/>
          </w:rPr>
          <m:t>J</m:t>
        </m:r>
      </m:oMath>
      <w:r w:rsidR="00F12408">
        <w:t>)</w:t>
      </w:r>
      <w:r w:rsidR="009C1DC1">
        <w:t xml:space="preserve">, but also </w:t>
      </w:r>
      <w:r w:rsidR="002347FC">
        <w:t xml:space="preserve">a </w:t>
      </w:r>
      <w:r w:rsidR="00D73231">
        <w:t>shorter</w:t>
      </w:r>
      <w:r w:rsidR="002347FC">
        <w:t xml:space="preserve"> </w:t>
      </w:r>
      <w:r>
        <w:t>induction time</w:t>
      </w:r>
      <w:r w:rsidR="009C1DC1" w:rsidRPr="009C1DC1">
        <w:rPr>
          <w:rFonts w:eastAsiaTheme="minorEastAsia"/>
        </w:rPr>
        <w:t xml:space="preserve"> </w:t>
      </w:r>
      <w:r w:rsidR="009C1DC1">
        <w:rPr>
          <w:rFonts w:eastAsiaTheme="minorEastAsia"/>
        </w:rPr>
        <w:t>(</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m:t>
            </m:r>
          </m:sub>
        </m:sSub>
      </m:oMath>
      <w:r w:rsidR="002E24BD">
        <w:rPr>
          <w:rFonts w:eastAsiaTheme="minorEastAsia"/>
        </w:rPr>
        <w:t xml:space="preserve">, a </w:t>
      </w:r>
      <w:r w:rsidR="009C1DC1" w:rsidRPr="005C436B">
        <w:rPr>
          <w:rFonts w:eastAsiaTheme="minorEastAsia"/>
        </w:rPr>
        <w:t xml:space="preserve">period </w:t>
      </w:r>
      <w:r w:rsidR="002E24BD">
        <w:rPr>
          <w:rFonts w:eastAsiaTheme="minorEastAsia"/>
        </w:rPr>
        <w:t xml:space="preserve">of time </w:t>
      </w:r>
      <w:r w:rsidR="009C1DC1" w:rsidRPr="005C436B">
        <w:rPr>
          <w:rFonts w:eastAsiaTheme="minorEastAsia"/>
        </w:rPr>
        <w:t>where the solution is supersaturated, but</w:t>
      </w:r>
      <w:r w:rsidR="009C1DC1">
        <w:rPr>
          <w:rFonts w:eastAsiaTheme="minorEastAsia"/>
        </w:rPr>
        <w:t xml:space="preserve"> no crystallisation is detected</w:t>
      </w:r>
      <w:r w:rsidR="002E24BD">
        <w:rPr>
          <w:rFonts w:eastAsiaTheme="minorEastAsia"/>
        </w:rPr>
        <w:t>)</w:t>
      </w:r>
      <w:r>
        <w:t xml:space="preserve">. </w:t>
      </w:r>
      <w:r w:rsidR="005C2895">
        <w:t>This is expected from classical nucleation theory</w:t>
      </w:r>
      <w:r w:rsidR="0053705A">
        <w:t>.</w:t>
      </w:r>
      <w:r w:rsidR="002E6FA0" w:rsidRPr="0063592E">
        <w:rPr>
          <w:noProof/>
          <w:vertAlign w:val="superscript"/>
        </w:rPr>
        <w:t>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71"/>
        <w:gridCol w:w="1104"/>
      </w:tblGrid>
      <w:tr w:rsidR="0006518D" w14:paraId="3BD420F2" w14:textId="77777777" w:rsidTr="00132A68">
        <w:tc>
          <w:tcPr>
            <w:tcW w:w="1101" w:type="dxa"/>
            <w:vAlign w:val="center"/>
          </w:tcPr>
          <w:p w14:paraId="79799FD8" w14:textId="77777777" w:rsidR="0006518D" w:rsidRDefault="0006518D" w:rsidP="0006518D">
            <w:pPr>
              <w:pStyle w:val="TAMainText"/>
              <w:ind w:firstLine="0"/>
              <w:jc w:val="center"/>
            </w:pPr>
          </w:p>
        </w:tc>
        <w:tc>
          <w:tcPr>
            <w:tcW w:w="7371" w:type="dxa"/>
            <w:vAlign w:val="center"/>
          </w:tcPr>
          <w:p w14:paraId="49F61ED3" w14:textId="467709D9" w:rsidR="0006518D" w:rsidRDefault="0006518D" w:rsidP="0006518D">
            <w:pPr>
              <w:pStyle w:val="TAMainText"/>
              <w:ind w:firstLine="0"/>
              <w:jc w:val="center"/>
            </w:pPr>
          </w:p>
        </w:tc>
        <w:tc>
          <w:tcPr>
            <w:tcW w:w="1104" w:type="dxa"/>
            <w:vAlign w:val="center"/>
          </w:tcPr>
          <w:p w14:paraId="508B4AF6" w14:textId="77777777" w:rsidR="0053705A" w:rsidRDefault="0053705A" w:rsidP="004652BD">
            <w:pPr>
              <w:pStyle w:val="TAMainText"/>
              <w:ind w:firstLine="0"/>
              <w:rPr>
                <w:rFonts w:eastAsia="Times New Roman" w:cs="Times New Roman"/>
                <w:szCs w:val="20"/>
                <w:lang w:val="en-US"/>
              </w:rPr>
            </w:pPr>
          </w:p>
          <w:p w14:paraId="0AC7AE8C" w14:textId="77777777" w:rsidR="0053705A" w:rsidRDefault="0053705A" w:rsidP="004652BD">
            <w:pPr>
              <w:pStyle w:val="TAMainText"/>
              <w:ind w:firstLine="0"/>
              <w:rPr>
                <w:rFonts w:eastAsia="Times New Roman" w:cs="Times New Roman"/>
                <w:szCs w:val="20"/>
                <w:lang w:val="en-US"/>
              </w:rPr>
            </w:pPr>
          </w:p>
          <w:p w14:paraId="297FDB1F" w14:textId="77777777" w:rsidR="0053705A" w:rsidRDefault="0053705A" w:rsidP="004652BD">
            <w:pPr>
              <w:pStyle w:val="TAMainText"/>
              <w:ind w:firstLine="0"/>
              <w:rPr>
                <w:rFonts w:eastAsia="Times New Roman" w:cs="Times New Roman"/>
                <w:szCs w:val="20"/>
                <w:lang w:val="en-US"/>
              </w:rPr>
            </w:pPr>
          </w:p>
          <w:p w14:paraId="02095A26" w14:textId="1D2FE355" w:rsidR="0006518D" w:rsidRDefault="0006518D" w:rsidP="004652BD">
            <w:pPr>
              <w:pStyle w:val="TAMainText"/>
              <w:ind w:firstLine="0"/>
              <w:rPr>
                <w:rFonts w:eastAsia="Times New Roman" w:cs="Times New Roman"/>
                <w:szCs w:val="20"/>
                <w:lang w:val="en-US"/>
              </w:rPr>
            </w:pPr>
          </w:p>
        </w:tc>
      </w:tr>
    </w:tbl>
    <w:p w14:paraId="5400C626" w14:textId="77777777" w:rsidR="001577DD" w:rsidRDefault="001577DD">
      <w:pPr>
        <w:spacing w:after="0"/>
        <w:jc w:val="left"/>
      </w:pPr>
    </w:p>
    <w:p w14:paraId="6D296E7C" w14:textId="77777777" w:rsidR="00D44A91" w:rsidRDefault="00D44A91">
      <w:pPr>
        <w:spacing w:after="0"/>
        <w:jc w:val="left"/>
      </w:pPr>
    </w:p>
    <w:p w14:paraId="69807A63" w14:textId="77777777" w:rsidR="00D44A91" w:rsidRDefault="00D44A91">
      <w:pPr>
        <w:spacing w:after="0"/>
        <w:jc w:val="left"/>
      </w:pPr>
    </w:p>
    <w:p w14:paraId="00E4252D" w14:textId="77777777" w:rsidR="00D44A91" w:rsidRDefault="00D44A91">
      <w:pPr>
        <w:spacing w:after="0"/>
        <w:jc w:val="left"/>
      </w:pPr>
    </w:p>
    <w:p w14:paraId="4B72D077" w14:textId="77777777" w:rsidR="00D44A91" w:rsidRDefault="00D44A91">
      <w:pPr>
        <w:spacing w:after="0"/>
        <w:jc w:val="left"/>
      </w:pPr>
    </w:p>
    <w:p w14:paraId="0EB44A03" w14:textId="77777777" w:rsidR="00D44A91" w:rsidRDefault="00D44A91">
      <w:pPr>
        <w:spacing w:after="0"/>
        <w:jc w:val="left"/>
      </w:pPr>
    </w:p>
    <w:p w14:paraId="35881FCB" w14:textId="77777777" w:rsidR="00D44A91" w:rsidRDefault="00D44A91">
      <w:pPr>
        <w:spacing w:after="0"/>
        <w:jc w:val="left"/>
      </w:pPr>
    </w:p>
    <w:p w14:paraId="42388C42" w14:textId="77777777" w:rsidR="00D44A91" w:rsidRDefault="00D44A91">
      <w:pPr>
        <w:spacing w:after="0"/>
        <w:jc w:val="left"/>
      </w:pPr>
    </w:p>
    <w:p w14:paraId="0E698DD5" w14:textId="77777777" w:rsidR="00D44A91" w:rsidRDefault="00D44A91">
      <w:pPr>
        <w:spacing w:after="0"/>
        <w:jc w:val="left"/>
      </w:pPr>
    </w:p>
    <w:p w14:paraId="0272CD4B" w14:textId="77777777" w:rsidR="00D44A91" w:rsidRDefault="00D44A91">
      <w:pPr>
        <w:spacing w:after="0"/>
        <w:jc w:val="left"/>
      </w:pPr>
    </w:p>
    <w:p w14:paraId="3CBE6F4E" w14:textId="77777777" w:rsidR="00132A68" w:rsidRDefault="00132A68">
      <w:pPr>
        <w:spacing w:after="0"/>
        <w:jc w:val="left"/>
      </w:pPr>
    </w:p>
    <w:p w14:paraId="70C0D275" w14:textId="77777777" w:rsidR="00132A68" w:rsidRDefault="00132A68">
      <w:pPr>
        <w:spacing w:after="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2"/>
        <w:gridCol w:w="420"/>
        <w:gridCol w:w="1152"/>
        <w:gridCol w:w="1278"/>
        <w:gridCol w:w="1244"/>
      </w:tblGrid>
      <w:tr w:rsidR="00E951C1" w14:paraId="6A9A4054" w14:textId="77777777" w:rsidTr="00132A68">
        <w:tc>
          <w:tcPr>
            <w:tcW w:w="5482" w:type="dxa"/>
            <w:vMerge w:val="restart"/>
            <w:vAlign w:val="center"/>
          </w:tcPr>
          <w:p w14:paraId="3056CB84" w14:textId="77777777" w:rsidR="00E951C1" w:rsidRDefault="007E3C83" w:rsidP="00E951C1">
            <w:pPr>
              <w:jc w:val="center"/>
            </w:pPr>
            <w:r>
              <w:rPr>
                <w:noProof/>
              </w:rPr>
              <w:drawing>
                <wp:inline distT="0" distB="0" distL="0" distR="0" wp14:anchorId="1A183DE7" wp14:editId="2F0B7BD2">
                  <wp:extent cx="3455719" cy="3895106"/>
                  <wp:effectExtent l="0" t="0" r="0" b="0"/>
                  <wp:docPr id="7168" name="Chart 7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20" w:type="dxa"/>
          </w:tcPr>
          <w:p w14:paraId="0CCA47EB" w14:textId="77777777" w:rsidR="00E951C1" w:rsidRPr="00E35CC8" w:rsidRDefault="00E951C1" w:rsidP="00E951C1">
            <w:pPr>
              <w:jc w:val="center"/>
              <w:rPr>
                <w:rFonts w:eastAsia="Times New Roman" w:cs="Times New Roman"/>
                <w:i/>
              </w:rPr>
            </w:pPr>
          </w:p>
        </w:tc>
        <w:tc>
          <w:tcPr>
            <w:tcW w:w="1152" w:type="dxa"/>
            <w:vAlign w:val="center"/>
          </w:tcPr>
          <w:p w14:paraId="4735C85B" w14:textId="77777777" w:rsidR="00E951C1" w:rsidRPr="004247AD" w:rsidRDefault="00E951C1" w:rsidP="00161B83">
            <w:pPr>
              <w:jc w:val="center"/>
              <w:rPr>
                <w:rFonts w:eastAsiaTheme="minorEastAsia"/>
              </w:rPr>
            </w:pPr>
            <m:oMathPara>
              <m:oMath>
                <m:r>
                  <w:rPr>
                    <w:rFonts w:ascii="Cambria Math" w:hAnsi="Cambria Math"/>
                  </w:rPr>
                  <m:t>S=3.75</m:t>
                </m:r>
              </m:oMath>
            </m:oMathPara>
          </w:p>
          <w:p w14:paraId="7554178F" w14:textId="77777777" w:rsidR="00E951C1" w:rsidRDefault="00E951C1" w:rsidP="00161B83">
            <w:pPr>
              <w:jc w:val="center"/>
            </w:pPr>
            <m:oMathPara>
              <m:oMath>
                <m:r>
                  <w:rPr>
                    <w:rFonts w:ascii="Cambria Math" w:eastAsiaTheme="minorEastAsia" w:hAnsi="Cambria Math"/>
                  </w:rPr>
                  <m:t>(min)</m:t>
                </m:r>
              </m:oMath>
            </m:oMathPara>
          </w:p>
        </w:tc>
        <w:tc>
          <w:tcPr>
            <w:tcW w:w="1278" w:type="dxa"/>
            <w:vAlign w:val="center"/>
          </w:tcPr>
          <w:p w14:paraId="3618B43F" w14:textId="77777777" w:rsidR="00E951C1" w:rsidRPr="004247AD" w:rsidRDefault="00E951C1" w:rsidP="00161B83">
            <w:pPr>
              <w:jc w:val="center"/>
              <w:rPr>
                <w:rFonts w:eastAsiaTheme="minorEastAsia"/>
              </w:rPr>
            </w:pPr>
            <m:oMathPara>
              <m:oMath>
                <m:r>
                  <w:rPr>
                    <w:rFonts w:ascii="Cambria Math" w:hAnsi="Cambria Math"/>
                  </w:rPr>
                  <m:t>S=3.48</m:t>
                </m:r>
              </m:oMath>
            </m:oMathPara>
          </w:p>
          <w:p w14:paraId="6CC7B2EB" w14:textId="77777777" w:rsidR="00E951C1" w:rsidRDefault="00E951C1" w:rsidP="00161B83">
            <w:pPr>
              <w:jc w:val="center"/>
            </w:pPr>
            <m:oMathPara>
              <m:oMath>
                <m:r>
                  <w:rPr>
                    <w:rFonts w:ascii="Cambria Math" w:eastAsiaTheme="minorEastAsia" w:hAnsi="Cambria Math"/>
                  </w:rPr>
                  <m:t>(min)</m:t>
                </m:r>
              </m:oMath>
            </m:oMathPara>
          </w:p>
        </w:tc>
        <w:tc>
          <w:tcPr>
            <w:tcW w:w="1244" w:type="dxa"/>
            <w:vAlign w:val="center"/>
          </w:tcPr>
          <w:p w14:paraId="4427E000" w14:textId="77777777" w:rsidR="00E951C1" w:rsidRPr="004247AD" w:rsidRDefault="00E951C1" w:rsidP="00161B83">
            <w:pPr>
              <w:jc w:val="center"/>
              <w:rPr>
                <w:rFonts w:eastAsiaTheme="minorEastAsia"/>
              </w:rPr>
            </w:pPr>
            <m:oMathPara>
              <m:oMath>
                <m:r>
                  <w:rPr>
                    <w:rFonts w:ascii="Cambria Math" w:hAnsi="Cambria Math"/>
                  </w:rPr>
                  <m:t>S=3.22</m:t>
                </m:r>
              </m:oMath>
            </m:oMathPara>
          </w:p>
          <w:p w14:paraId="48C938F1" w14:textId="77777777" w:rsidR="00E951C1" w:rsidRDefault="00E951C1" w:rsidP="00161B83">
            <w:pPr>
              <w:jc w:val="center"/>
            </w:pPr>
            <m:oMathPara>
              <m:oMath>
                <m:r>
                  <w:rPr>
                    <w:rFonts w:ascii="Cambria Math" w:eastAsiaTheme="minorEastAsia" w:hAnsi="Cambria Math"/>
                  </w:rPr>
                  <m:t>(min)</m:t>
                </m:r>
              </m:oMath>
            </m:oMathPara>
          </w:p>
        </w:tc>
      </w:tr>
      <w:tr w:rsidR="00E951C1" w14:paraId="410F40F6" w14:textId="77777777" w:rsidTr="00132A68">
        <w:tc>
          <w:tcPr>
            <w:tcW w:w="5482" w:type="dxa"/>
            <w:vMerge/>
            <w:vAlign w:val="center"/>
          </w:tcPr>
          <w:p w14:paraId="3AA2BAFF" w14:textId="77777777" w:rsidR="00E951C1" w:rsidRDefault="00E951C1" w:rsidP="00E951C1">
            <w:pPr>
              <w:jc w:val="center"/>
            </w:pPr>
          </w:p>
        </w:tc>
        <w:tc>
          <w:tcPr>
            <w:tcW w:w="420" w:type="dxa"/>
          </w:tcPr>
          <w:p w14:paraId="0FEC925F" w14:textId="77777777" w:rsidR="00E951C1" w:rsidRDefault="00E951C1" w:rsidP="00E951C1">
            <w:pPr>
              <w:ind w:left="360"/>
            </w:pPr>
          </w:p>
        </w:tc>
        <w:tc>
          <w:tcPr>
            <w:tcW w:w="1152" w:type="dxa"/>
            <w:vAlign w:val="center"/>
          </w:tcPr>
          <w:p w14:paraId="01B7EFCD" w14:textId="77777777" w:rsidR="00E951C1" w:rsidRDefault="009A551E" w:rsidP="009A551E">
            <w:pPr>
              <w:ind w:left="360"/>
              <w:jc w:val="center"/>
            </w:pPr>
            <w:r>
              <w:t>4.) 75</w:t>
            </w:r>
          </w:p>
        </w:tc>
        <w:tc>
          <w:tcPr>
            <w:tcW w:w="1278" w:type="dxa"/>
            <w:vAlign w:val="center"/>
          </w:tcPr>
          <w:p w14:paraId="0877422D" w14:textId="77777777" w:rsidR="00E951C1" w:rsidRDefault="00E951C1" w:rsidP="009A551E">
            <w:pPr>
              <w:ind w:left="360"/>
              <w:jc w:val="center"/>
            </w:pPr>
            <w:r>
              <w:t>8.) 1</w:t>
            </w:r>
            <w:r w:rsidR="009A551E">
              <w:t>2</w:t>
            </w:r>
            <w:r>
              <w:t>0</w:t>
            </w:r>
          </w:p>
        </w:tc>
        <w:tc>
          <w:tcPr>
            <w:tcW w:w="1244" w:type="dxa"/>
            <w:vAlign w:val="center"/>
          </w:tcPr>
          <w:p w14:paraId="62325C64" w14:textId="77777777" w:rsidR="00E951C1" w:rsidRDefault="00FD7A41" w:rsidP="009A551E">
            <w:pPr>
              <w:jc w:val="center"/>
            </w:pPr>
            <w:r>
              <w:t>12</w:t>
            </w:r>
            <w:r w:rsidR="009A551E">
              <w:t>.) 195</w:t>
            </w:r>
          </w:p>
        </w:tc>
      </w:tr>
      <w:tr w:rsidR="00E951C1" w14:paraId="6AF12E06" w14:textId="77777777" w:rsidTr="00132A68">
        <w:trPr>
          <w:trHeight w:val="1202"/>
        </w:trPr>
        <w:tc>
          <w:tcPr>
            <w:tcW w:w="5482" w:type="dxa"/>
            <w:vMerge/>
            <w:vAlign w:val="center"/>
          </w:tcPr>
          <w:p w14:paraId="013BE35B" w14:textId="77777777" w:rsidR="00E951C1" w:rsidRDefault="00E951C1" w:rsidP="00E951C1">
            <w:pPr>
              <w:jc w:val="center"/>
            </w:pPr>
          </w:p>
        </w:tc>
        <w:tc>
          <w:tcPr>
            <w:tcW w:w="420" w:type="dxa"/>
          </w:tcPr>
          <w:p w14:paraId="718DC032" w14:textId="77777777" w:rsidR="00E951C1" w:rsidRDefault="00E951C1" w:rsidP="00E951C1">
            <w:pPr>
              <w:jc w:val="center"/>
              <w:rPr>
                <w:noProof/>
                <w:lang w:eastAsia="en-GB"/>
              </w:rPr>
            </w:pPr>
          </w:p>
        </w:tc>
        <w:tc>
          <w:tcPr>
            <w:tcW w:w="1152" w:type="dxa"/>
            <w:vAlign w:val="center"/>
          </w:tcPr>
          <w:p w14:paraId="66132976" w14:textId="77777777" w:rsidR="00E951C1" w:rsidRDefault="00E951C1" w:rsidP="00161B83">
            <w:pPr>
              <w:jc w:val="center"/>
            </w:pPr>
            <w:r>
              <w:rPr>
                <w:noProof/>
              </w:rPr>
              <w:drawing>
                <wp:inline distT="0" distB="0" distL="0" distR="0" wp14:anchorId="6699E3E7" wp14:editId="38C91319">
                  <wp:extent cx="638286" cy="662425"/>
                  <wp:effectExtent l="0" t="0" r="0" b="4445"/>
                  <wp:docPr id="5" name="Picture 1" descr="D:\MATLAB\Image Processing\QCM Pics\T2 70g\c9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70g\c90.pn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286" cy="662425"/>
                          </a:xfrm>
                          <a:prstGeom prst="rect">
                            <a:avLst/>
                          </a:prstGeom>
                          <a:noFill/>
                          <a:ln>
                            <a:noFill/>
                          </a:ln>
                        </pic:spPr>
                      </pic:pic>
                    </a:graphicData>
                  </a:graphic>
                </wp:inline>
              </w:drawing>
            </w:r>
          </w:p>
        </w:tc>
        <w:tc>
          <w:tcPr>
            <w:tcW w:w="1278" w:type="dxa"/>
            <w:vAlign w:val="center"/>
          </w:tcPr>
          <w:p w14:paraId="082A7D72" w14:textId="77777777" w:rsidR="00E951C1" w:rsidRDefault="00E951C1" w:rsidP="00161B83">
            <w:pPr>
              <w:jc w:val="center"/>
            </w:pPr>
            <w:r>
              <w:rPr>
                <w:noProof/>
              </w:rPr>
              <w:drawing>
                <wp:inline distT="0" distB="0" distL="0" distR="0" wp14:anchorId="14EE7B6E" wp14:editId="1C01DA2B">
                  <wp:extent cx="647700" cy="657225"/>
                  <wp:effectExtent l="0" t="0" r="0" b="9525"/>
                  <wp:docPr id="19" name="Picture 1" descr="D:\MATLAB\Image Processing\QCM Pics\T2 65g\c15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65g\c150.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4567" cy="654046"/>
                          </a:xfrm>
                          <a:prstGeom prst="rect">
                            <a:avLst/>
                          </a:prstGeom>
                          <a:noFill/>
                          <a:ln>
                            <a:noFill/>
                          </a:ln>
                        </pic:spPr>
                      </pic:pic>
                    </a:graphicData>
                  </a:graphic>
                </wp:inline>
              </w:drawing>
            </w:r>
          </w:p>
        </w:tc>
        <w:tc>
          <w:tcPr>
            <w:tcW w:w="1244" w:type="dxa"/>
            <w:vAlign w:val="center"/>
          </w:tcPr>
          <w:p w14:paraId="611B2F44" w14:textId="77777777" w:rsidR="00E951C1" w:rsidRDefault="00E951C1" w:rsidP="00161B83">
            <w:pPr>
              <w:jc w:val="center"/>
            </w:pPr>
            <w:r>
              <w:rPr>
                <w:noProof/>
              </w:rPr>
              <w:drawing>
                <wp:inline distT="0" distB="0" distL="0" distR="0" wp14:anchorId="0E1B67BC" wp14:editId="4C674F0B">
                  <wp:extent cx="660771" cy="670129"/>
                  <wp:effectExtent l="0" t="0" r="6350" b="0"/>
                  <wp:docPr id="21" name="Picture 1" descr="D:\MATLAB\Image Processing\QCM Pics\T1 60g\No Scratch\c22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1 60g\No Scratch\c225.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0771" cy="670129"/>
                          </a:xfrm>
                          <a:prstGeom prst="rect">
                            <a:avLst/>
                          </a:prstGeom>
                          <a:noFill/>
                          <a:ln>
                            <a:noFill/>
                          </a:ln>
                        </pic:spPr>
                      </pic:pic>
                    </a:graphicData>
                  </a:graphic>
                </wp:inline>
              </w:drawing>
            </w:r>
          </w:p>
        </w:tc>
      </w:tr>
      <w:tr w:rsidR="00E951C1" w14:paraId="75B08B7B" w14:textId="77777777" w:rsidTr="00132A68">
        <w:tc>
          <w:tcPr>
            <w:tcW w:w="5482" w:type="dxa"/>
            <w:vMerge/>
            <w:vAlign w:val="center"/>
          </w:tcPr>
          <w:p w14:paraId="417F92B7" w14:textId="77777777" w:rsidR="00E951C1" w:rsidRDefault="00E951C1" w:rsidP="00E951C1">
            <w:pPr>
              <w:jc w:val="center"/>
            </w:pPr>
          </w:p>
        </w:tc>
        <w:tc>
          <w:tcPr>
            <w:tcW w:w="420" w:type="dxa"/>
          </w:tcPr>
          <w:p w14:paraId="562C5E1B" w14:textId="77777777" w:rsidR="00E951C1" w:rsidRDefault="00E951C1" w:rsidP="00E951C1">
            <w:pPr>
              <w:ind w:left="360"/>
              <w:jc w:val="center"/>
            </w:pPr>
          </w:p>
        </w:tc>
        <w:tc>
          <w:tcPr>
            <w:tcW w:w="1152" w:type="dxa"/>
            <w:vAlign w:val="center"/>
          </w:tcPr>
          <w:p w14:paraId="7F2313A9" w14:textId="77777777" w:rsidR="00E951C1" w:rsidRDefault="009A551E" w:rsidP="009A551E">
            <w:pPr>
              <w:ind w:left="360"/>
              <w:jc w:val="center"/>
            </w:pPr>
            <w:r>
              <w:t>3.) 60</w:t>
            </w:r>
          </w:p>
        </w:tc>
        <w:tc>
          <w:tcPr>
            <w:tcW w:w="1278" w:type="dxa"/>
            <w:vAlign w:val="center"/>
          </w:tcPr>
          <w:p w14:paraId="7FB64323" w14:textId="77777777" w:rsidR="00E951C1" w:rsidRDefault="009A551E" w:rsidP="009A551E">
            <w:pPr>
              <w:jc w:val="center"/>
            </w:pPr>
            <w:r>
              <w:t>7.) 90</w:t>
            </w:r>
          </w:p>
        </w:tc>
        <w:tc>
          <w:tcPr>
            <w:tcW w:w="1244" w:type="dxa"/>
            <w:vAlign w:val="center"/>
          </w:tcPr>
          <w:p w14:paraId="0E3A8297" w14:textId="77777777" w:rsidR="00E951C1" w:rsidRDefault="00FD7A41" w:rsidP="00161B83">
            <w:pPr>
              <w:jc w:val="center"/>
            </w:pPr>
            <w:r>
              <w:t>11</w:t>
            </w:r>
            <w:r w:rsidR="009A551E">
              <w:t>.) 16</w:t>
            </w:r>
            <w:r w:rsidR="00E951C1">
              <w:t>5</w:t>
            </w:r>
          </w:p>
        </w:tc>
      </w:tr>
      <w:tr w:rsidR="00E951C1" w14:paraId="06CA78AE" w14:textId="77777777" w:rsidTr="00132A68">
        <w:tc>
          <w:tcPr>
            <w:tcW w:w="5482" w:type="dxa"/>
            <w:vMerge/>
            <w:vAlign w:val="center"/>
          </w:tcPr>
          <w:p w14:paraId="10E3E978" w14:textId="77777777" w:rsidR="00E951C1" w:rsidRDefault="00E951C1" w:rsidP="00E951C1">
            <w:pPr>
              <w:jc w:val="center"/>
            </w:pPr>
          </w:p>
        </w:tc>
        <w:tc>
          <w:tcPr>
            <w:tcW w:w="420" w:type="dxa"/>
          </w:tcPr>
          <w:p w14:paraId="128056C5" w14:textId="77777777" w:rsidR="00E951C1" w:rsidRDefault="00E951C1" w:rsidP="00E951C1">
            <w:pPr>
              <w:jc w:val="center"/>
              <w:rPr>
                <w:noProof/>
                <w:lang w:eastAsia="en-GB"/>
              </w:rPr>
            </w:pPr>
          </w:p>
        </w:tc>
        <w:tc>
          <w:tcPr>
            <w:tcW w:w="1152" w:type="dxa"/>
            <w:vAlign w:val="center"/>
          </w:tcPr>
          <w:p w14:paraId="608D838E" w14:textId="77777777" w:rsidR="00E951C1" w:rsidRDefault="00E951C1" w:rsidP="00161B83">
            <w:pPr>
              <w:jc w:val="center"/>
            </w:pPr>
            <w:r>
              <w:rPr>
                <w:noProof/>
              </w:rPr>
              <w:drawing>
                <wp:inline distT="0" distB="0" distL="0" distR="0" wp14:anchorId="3250383B" wp14:editId="4A8A041A">
                  <wp:extent cx="660770" cy="702981"/>
                  <wp:effectExtent l="0" t="0" r="6350" b="1905"/>
                  <wp:docPr id="8" name="Picture 1" descr="D:\MATLAB\Image Processing\QCM Pics\T2 70g\c7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70g\c75.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770" cy="702981"/>
                          </a:xfrm>
                          <a:prstGeom prst="rect">
                            <a:avLst/>
                          </a:prstGeom>
                          <a:noFill/>
                          <a:ln>
                            <a:noFill/>
                          </a:ln>
                        </pic:spPr>
                      </pic:pic>
                    </a:graphicData>
                  </a:graphic>
                </wp:inline>
              </w:drawing>
            </w:r>
          </w:p>
        </w:tc>
        <w:tc>
          <w:tcPr>
            <w:tcW w:w="1278" w:type="dxa"/>
            <w:vAlign w:val="center"/>
          </w:tcPr>
          <w:p w14:paraId="2FFCBD12" w14:textId="77777777" w:rsidR="00E951C1" w:rsidRDefault="00E951C1" w:rsidP="00161B83">
            <w:pPr>
              <w:jc w:val="center"/>
            </w:pPr>
            <w:r>
              <w:rPr>
                <w:noProof/>
              </w:rPr>
              <w:drawing>
                <wp:inline distT="0" distB="0" distL="0" distR="0" wp14:anchorId="2BCC3D07" wp14:editId="554DF861">
                  <wp:extent cx="635393" cy="660446"/>
                  <wp:effectExtent l="0" t="0" r="0" b="6350"/>
                  <wp:docPr id="18" name="Picture 1" descr="D:\MATLAB\Image Processing\QCM Pics\T2 65g\No Scratch\c12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65g\No Scratch\c120.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5393" cy="660446"/>
                          </a:xfrm>
                          <a:prstGeom prst="rect">
                            <a:avLst/>
                          </a:prstGeom>
                          <a:noFill/>
                          <a:ln>
                            <a:noFill/>
                          </a:ln>
                        </pic:spPr>
                      </pic:pic>
                    </a:graphicData>
                  </a:graphic>
                </wp:inline>
              </w:drawing>
            </w:r>
          </w:p>
        </w:tc>
        <w:tc>
          <w:tcPr>
            <w:tcW w:w="1244" w:type="dxa"/>
            <w:vAlign w:val="center"/>
          </w:tcPr>
          <w:p w14:paraId="0DEE3741" w14:textId="77777777" w:rsidR="00E951C1" w:rsidRDefault="00E951C1" w:rsidP="00161B83">
            <w:pPr>
              <w:jc w:val="center"/>
            </w:pPr>
            <w:r>
              <w:rPr>
                <w:noProof/>
              </w:rPr>
              <w:drawing>
                <wp:inline distT="0" distB="0" distL="0" distR="0" wp14:anchorId="2B3E7BFA" wp14:editId="1726FE63">
                  <wp:extent cx="678320" cy="680265"/>
                  <wp:effectExtent l="0" t="0" r="7620" b="5715"/>
                  <wp:docPr id="22" name="Picture 1" descr="D:\MATLAB\Image Processing\QCM Pics\T1 60g\c19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1 60g\c195.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8320" cy="680265"/>
                          </a:xfrm>
                          <a:prstGeom prst="rect">
                            <a:avLst/>
                          </a:prstGeom>
                          <a:noFill/>
                          <a:ln>
                            <a:noFill/>
                          </a:ln>
                        </pic:spPr>
                      </pic:pic>
                    </a:graphicData>
                  </a:graphic>
                </wp:inline>
              </w:drawing>
            </w:r>
          </w:p>
        </w:tc>
      </w:tr>
      <w:tr w:rsidR="00E951C1" w14:paraId="0EFE4050" w14:textId="77777777" w:rsidTr="00132A68">
        <w:tc>
          <w:tcPr>
            <w:tcW w:w="5482" w:type="dxa"/>
            <w:vMerge/>
            <w:vAlign w:val="center"/>
          </w:tcPr>
          <w:p w14:paraId="20846A4E" w14:textId="77777777" w:rsidR="00E951C1" w:rsidRDefault="00E951C1" w:rsidP="00E951C1">
            <w:pPr>
              <w:jc w:val="center"/>
            </w:pPr>
          </w:p>
        </w:tc>
        <w:tc>
          <w:tcPr>
            <w:tcW w:w="420" w:type="dxa"/>
          </w:tcPr>
          <w:p w14:paraId="12EEE391" w14:textId="77777777" w:rsidR="00E951C1" w:rsidRDefault="00E951C1" w:rsidP="00E951C1">
            <w:pPr>
              <w:ind w:left="360"/>
              <w:jc w:val="center"/>
            </w:pPr>
          </w:p>
        </w:tc>
        <w:tc>
          <w:tcPr>
            <w:tcW w:w="1152" w:type="dxa"/>
            <w:vAlign w:val="center"/>
          </w:tcPr>
          <w:p w14:paraId="719CF21D" w14:textId="77777777" w:rsidR="00E951C1" w:rsidRDefault="009A551E" w:rsidP="009A551E">
            <w:pPr>
              <w:ind w:left="360"/>
              <w:jc w:val="center"/>
            </w:pPr>
            <w:r>
              <w:t>2.) 45</w:t>
            </w:r>
          </w:p>
        </w:tc>
        <w:tc>
          <w:tcPr>
            <w:tcW w:w="1278" w:type="dxa"/>
            <w:vAlign w:val="center"/>
          </w:tcPr>
          <w:p w14:paraId="2D012478" w14:textId="77777777" w:rsidR="00E951C1" w:rsidRDefault="009A551E" w:rsidP="009A551E">
            <w:pPr>
              <w:jc w:val="center"/>
            </w:pPr>
            <w:r>
              <w:t>6.) 75</w:t>
            </w:r>
          </w:p>
        </w:tc>
        <w:tc>
          <w:tcPr>
            <w:tcW w:w="1244" w:type="dxa"/>
            <w:vAlign w:val="center"/>
          </w:tcPr>
          <w:p w14:paraId="1FE0D2A8" w14:textId="77777777" w:rsidR="00E951C1" w:rsidRDefault="00E951C1" w:rsidP="009A551E">
            <w:pPr>
              <w:jc w:val="center"/>
            </w:pPr>
            <w:r>
              <w:t>1</w:t>
            </w:r>
            <w:r w:rsidR="00FD7A41">
              <w:t>0</w:t>
            </w:r>
            <w:r>
              <w:t>.) 1</w:t>
            </w:r>
            <w:r w:rsidR="009A551E">
              <w:t>3</w:t>
            </w:r>
            <w:r>
              <w:t>5</w:t>
            </w:r>
          </w:p>
        </w:tc>
      </w:tr>
      <w:tr w:rsidR="00E951C1" w14:paraId="3B4F3BF7" w14:textId="77777777" w:rsidTr="00132A68">
        <w:trPr>
          <w:trHeight w:val="1197"/>
        </w:trPr>
        <w:tc>
          <w:tcPr>
            <w:tcW w:w="5482" w:type="dxa"/>
            <w:vMerge/>
            <w:vAlign w:val="center"/>
          </w:tcPr>
          <w:p w14:paraId="4AF60944" w14:textId="77777777" w:rsidR="00E951C1" w:rsidRDefault="00E951C1" w:rsidP="00E951C1">
            <w:pPr>
              <w:jc w:val="center"/>
            </w:pPr>
          </w:p>
        </w:tc>
        <w:tc>
          <w:tcPr>
            <w:tcW w:w="420" w:type="dxa"/>
          </w:tcPr>
          <w:p w14:paraId="5BCE4520" w14:textId="77777777" w:rsidR="00E951C1" w:rsidRDefault="00E951C1" w:rsidP="00E951C1">
            <w:pPr>
              <w:jc w:val="center"/>
              <w:rPr>
                <w:noProof/>
                <w:lang w:eastAsia="en-GB"/>
              </w:rPr>
            </w:pPr>
          </w:p>
        </w:tc>
        <w:tc>
          <w:tcPr>
            <w:tcW w:w="1152" w:type="dxa"/>
            <w:vAlign w:val="center"/>
          </w:tcPr>
          <w:p w14:paraId="133ECB26" w14:textId="77777777" w:rsidR="00E951C1" w:rsidRDefault="00E951C1" w:rsidP="00161B83">
            <w:pPr>
              <w:jc w:val="center"/>
            </w:pPr>
            <w:r>
              <w:rPr>
                <w:noProof/>
              </w:rPr>
              <w:drawing>
                <wp:inline distT="0" distB="0" distL="0" distR="0" wp14:anchorId="4DF9EA44" wp14:editId="079D056D">
                  <wp:extent cx="660771" cy="675116"/>
                  <wp:effectExtent l="0" t="0" r="6350" b="0"/>
                  <wp:docPr id="9" name="Picture 1" descr="D:\MATLAB\Image Processing\QCM Pics\T2 70g\c6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70g\c60.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0771" cy="675116"/>
                          </a:xfrm>
                          <a:prstGeom prst="rect">
                            <a:avLst/>
                          </a:prstGeom>
                          <a:noFill/>
                          <a:ln>
                            <a:noFill/>
                          </a:ln>
                        </pic:spPr>
                      </pic:pic>
                    </a:graphicData>
                  </a:graphic>
                </wp:inline>
              </w:drawing>
            </w:r>
          </w:p>
        </w:tc>
        <w:tc>
          <w:tcPr>
            <w:tcW w:w="1278" w:type="dxa"/>
            <w:vAlign w:val="center"/>
          </w:tcPr>
          <w:p w14:paraId="6B042135" w14:textId="77777777" w:rsidR="00E951C1" w:rsidRDefault="00E951C1" w:rsidP="00161B83">
            <w:pPr>
              <w:jc w:val="center"/>
            </w:pPr>
            <w:r>
              <w:rPr>
                <w:noProof/>
              </w:rPr>
              <w:drawing>
                <wp:inline distT="0" distB="0" distL="0" distR="0" wp14:anchorId="2DE5EE75" wp14:editId="68F9B965">
                  <wp:extent cx="638175" cy="647700"/>
                  <wp:effectExtent l="0" t="0" r="9525" b="0"/>
                  <wp:docPr id="16" name="Picture 1" descr="D:\MATLAB\Image Processing\QCM Pics\T2 65g\No Scratch\c9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65g\No Scratch\c90.p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2576" cy="652167"/>
                          </a:xfrm>
                          <a:prstGeom prst="rect">
                            <a:avLst/>
                          </a:prstGeom>
                          <a:noFill/>
                          <a:ln>
                            <a:noFill/>
                          </a:ln>
                        </pic:spPr>
                      </pic:pic>
                    </a:graphicData>
                  </a:graphic>
                </wp:inline>
              </w:drawing>
            </w:r>
          </w:p>
        </w:tc>
        <w:tc>
          <w:tcPr>
            <w:tcW w:w="1244" w:type="dxa"/>
            <w:vAlign w:val="center"/>
          </w:tcPr>
          <w:p w14:paraId="187AD522" w14:textId="77777777" w:rsidR="00E951C1" w:rsidRDefault="00E951C1" w:rsidP="00161B83">
            <w:pPr>
              <w:jc w:val="center"/>
            </w:pPr>
            <w:r>
              <w:rPr>
                <w:noProof/>
              </w:rPr>
              <w:drawing>
                <wp:inline distT="0" distB="0" distL="0" distR="0" wp14:anchorId="4F4A4F0D" wp14:editId="70C78D1F">
                  <wp:extent cx="660771" cy="659697"/>
                  <wp:effectExtent l="0" t="0" r="6350" b="7620"/>
                  <wp:docPr id="23" name="Picture 1" descr="D:\MATLAB\Image Processing\QCM Pics\T1 60g\No Scratch\c16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1 60g\No Scratch\c165.pn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0771" cy="659697"/>
                          </a:xfrm>
                          <a:prstGeom prst="ellipse">
                            <a:avLst/>
                          </a:prstGeom>
                          <a:noFill/>
                          <a:ln>
                            <a:noFill/>
                          </a:ln>
                        </pic:spPr>
                      </pic:pic>
                    </a:graphicData>
                  </a:graphic>
                </wp:inline>
              </w:drawing>
            </w:r>
          </w:p>
        </w:tc>
      </w:tr>
      <w:tr w:rsidR="00E951C1" w14:paraId="000B1BEF" w14:textId="77777777" w:rsidTr="00132A68">
        <w:tc>
          <w:tcPr>
            <w:tcW w:w="5482" w:type="dxa"/>
            <w:vMerge/>
            <w:vAlign w:val="center"/>
          </w:tcPr>
          <w:p w14:paraId="69BC3890" w14:textId="77777777" w:rsidR="00E951C1" w:rsidRDefault="00E951C1" w:rsidP="00E951C1">
            <w:pPr>
              <w:jc w:val="center"/>
            </w:pPr>
          </w:p>
        </w:tc>
        <w:tc>
          <w:tcPr>
            <w:tcW w:w="420" w:type="dxa"/>
          </w:tcPr>
          <w:p w14:paraId="74D2D13D" w14:textId="77777777" w:rsidR="00E951C1" w:rsidRDefault="00E951C1" w:rsidP="00E951C1">
            <w:pPr>
              <w:ind w:left="360"/>
              <w:jc w:val="center"/>
            </w:pPr>
          </w:p>
        </w:tc>
        <w:tc>
          <w:tcPr>
            <w:tcW w:w="1152" w:type="dxa"/>
            <w:vAlign w:val="center"/>
          </w:tcPr>
          <w:p w14:paraId="56B204B3" w14:textId="77777777" w:rsidR="00E951C1" w:rsidRDefault="009A551E" w:rsidP="009A551E">
            <w:pPr>
              <w:ind w:left="360"/>
              <w:jc w:val="center"/>
            </w:pPr>
            <w:r>
              <w:t>1.) 30</w:t>
            </w:r>
          </w:p>
        </w:tc>
        <w:tc>
          <w:tcPr>
            <w:tcW w:w="1278" w:type="dxa"/>
            <w:vAlign w:val="center"/>
          </w:tcPr>
          <w:p w14:paraId="066B2477" w14:textId="77777777" w:rsidR="00E951C1" w:rsidRDefault="009A551E" w:rsidP="009A551E">
            <w:pPr>
              <w:jc w:val="center"/>
            </w:pPr>
            <w:r>
              <w:t>5.) 60</w:t>
            </w:r>
          </w:p>
        </w:tc>
        <w:tc>
          <w:tcPr>
            <w:tcW w:w="1244" w:type="dxa"/>
            <w:vAlign w:val="center"/>
          </w:tcPr>
          <w:p w14:paraId="5762B01D" w14:textId="77777777" w:rsidR="00E951C1" w:rsidRDefault="00FD7A41" w:rsidP="009A551E">
            <w:pPr>
              <w:jc w:val="center"/>
            </w:pPr>
            <w:r>
              <w:t>9</w:t>
            </w:r>
            <w:r w:rsidR="00E951C1">
              <w:t>.) 1</w:t>
            </w:r>
            <w:r w:rsidR="009A551E">
              <w:t>0</w:t>
            </w:r>
            <w:r w:rsidR="00E951C1">
              <w:t>5</w:t>
            </w:r>
          </w:p>
        </w:tc>
      </w:tr>
      <w:tr w:rsidR="00E951C1" w14:paraId="13FFDB3E" w14:textId="77777777" w:rsidTr="00132A68">
        <w:tc>
          <w:tcPr>
            <w:tcW w:w="5482" w:type="dxa"/>
            <w:vMerge/>
            <w:vAlign w:val="center"/>
          </w:tcPr>
          <w:p w14:paraId="453B59AB" w14:textId="77777777" w:rsidR="00E951C1" w:rsidRDefault="00E951C1" w:rsidP="00E951C1">
            <w:pPr>
              <w:jc w:val="center"/>
            </w:pPr>
          </w:p>
        </w:tc>
        <w:tc>
          <w:tcPr>
            <w:tcW w:w="420" w:type="dxa"/>
          </w:tcPr>
          <w:p w14:paraId="10EBD7A8" w14:textId="77777777" w:rsidR="00E951C1" w:rsidRDefault="00E951C1" w:rsidP="00E951C1">
            <w:pPr>
              <w:jc w:val="center"/>
              <w:rPr>
                <w:noProof/>
                <w:lang w:eastAsia="en-GB"/>
              </w:rPr>
            </w:pPr>
          </w:p>
        </w:tc>
        <w:tc>
          <w:tcPr>
            <w:tcW w:w="1152" w:type="dxa"/>
            <w:vAlign w:val="center"/>
          </w:tcPr>
          <w:p w14:paraId="42BD03AD" w14:textId="77777777" w:rsidR="00E951C1" w:rsidRDefault="00E951C1" w:rsidP="00161B83">
            <w:pPr>
              <w:jc w:val="center"/>
            </w:pPr>
            <w:r>
              <w:rPr>
                <w:noProof/>
              </w:rPr>
              <w:drawing>
                <wp:inline distT="0" distB="0" distL="0" distR="0" wp14:anchorId="327DD194" wp14:editId="1FDDE339">
                  <wp:extent cx="652310" cy="665191"/>
                  <wp:effectExtent l="0" t="0" r="0" b="1905"/>
                  <wp:docPr id="14" name="Picture 1" descr="D:\MATLAB\Image Processing\QCM Pics\T1 60g\No Scratch\c0.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1 60g\No Scratch\c0.p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310" cy="665191"/>
                          </a:xfrm>
                          <a:prstGeom prst="rect">
                            <a:avLst/>
                          </a:prstGeom>
                          <a:noFill/>
                          <a:ln>
                            <a:noFill/>
                          </a:ln>
                        </pic:spPr>
                      </pic:pic>
                    </a:graphicData>
                  </a:graphic>
                </wp:inline>
              </w:drawing>
            </w:r>
          </w:p>
        </w:tc>
        <w:tc>
          <w:tcPr>
            <w:tcW w:w="1278" w:type="dxa"/>
            <w:vAlign w:val="center"/>
          </w:tcPr>
          <w:p w14:paraId="6842CDCD" w14:textId="77777777" w:rsidR="00E951C1" w:rsidRDefault="00E951C1" w:rsidP="00161B83">
            <w:pPr>
              <w:jc w:val="center"/>
            </w:pPr>
            <w:r>
              <w:rPr>
                <w:noProof/>
              </w:rPr>
              <w:drawing>
                <wp:inline distT="0" distB="0" distL="0" distR="0" wp14:anchorId="1E62CDFD" wp14:editId="4F8512F0">
                  <wp:extent cx="657225" cy="657225"/>
                  <wp:effectExtent l="0" t="0" r="9525" b="9525"/>
                  <wp:docPr id="15" name="Picture 1" descr="D:\MATLAB\Image Processing\QCM Pics\T2 65g\No Scratch\c7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2 65g\No Scratch\c75.pn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063" cy="658063"/>
                          </a:xfrm>
                          <a:prstGeom prst="rect">
                            <a:avLst/>
                          </a:prstGeom>
                          <a:noFill/>
                          <a:ln>
                            <a:noFill/>
                          </a:ln>
                        </pic:spPr>
                      </pic:pic>
                    </a:graphicData>
                  </a:graphic>
                </wp:inline>
              </w:drawing>
            </w:r>
          </w:p>
        </w:tc>
        <w:tc>
          <w:tcPr>
            <w:tcW w:w="1244" w:type="dxa"/>
            <w:vAlign w:val="center"/>
          </w:tcPr>
          <w:p w14:paraId="65DE1606" w14:textId="77777777" w:rsidR="00E951C1" w:rsidRDefault="00E951C1" w:rsidP="00161B83">
            <w:pPr>
              <w:jc w:val="center"/>
            </w:pPr>
            <w:r>
              <w:rPr>
                <w:noProof/>
              </w:rPr>
              <w:drawing>
                <wp:inline distT="0" distB="0" distL="0" distR="0" wp14:anchorId="3F346B96" wp14:editId="591030A2">
                  <wp:extent cx="669229" cy="686466"/>
                  <wp:effectExtent l="0" t="0" r="0" b="0"/>
                  <wp:docPr id="24" name="Picture 1" descr="D:\MATLAB\Image Processing\QCM Pics\T1 60g\No Scratch\c135.png"/>
                  <wp:cNvGraphicFramePr/>
                  <a:graphic xmlns:a="http://schemas.openxmlformats.org/drawingml/2006/main">
                    <a:graphicData uri="http://schemas.openxmlformats.org/drawingml/2006/picture">
                      <pic:pic xmlns:pic="http://schemas.openxmlformats.org/drawingml/2006/picture">
                        <pic:nvPicPr>
                          <pic:cNvPr id="2" name="Picture 1" descr="D:\MATLAB\Image Processing\QCM Pics\T1 60g\No Scratch\c135.pn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9229" cy="686466"/>
                          </a:xfrm>
                          <a:prstGeom prst="ellipse">
                            <a:avLst/>
                          </a:prstGeom>
                          <a:noFill/>
                          <a:ln>
                            <a:noFill/>
                          </a:ln>
                        </pic:spPr>
                      </pic:pic>
                    </a:graphicData>
                  </a:graphic>
                </wp:inline>
              </w:drawing>
            </w:r>
          </w:p>
        </w:tc>
      </w:tr>
      <w:tr w:rsidR="001577DD" w14:paraId="670108C6" w14:textId="77777777" w:rsidTr="00132A68">
        <w:tc>
          <w:tcPr>
            <w:tcW w:w="5482" w:type="dxa"/>
            <w:vAlign w:val="center"/>
          </w:tcPr>
          <w:p w14:paraId="598AA50D" w14:textId="77777777" w:rsidR="001577DD" w:rsidRDefault="001577DD" w:rsidP="001577DD">
            <w:pPr>
              <w:pStyle w:val="TAMainText"/>
              <w:jc w:val="center"/>
            </w:pPr>
            <w:r>
              <w:t>a</w:t>
            </w:r>
          </w:p>
        </w:tc>
        <w:tc>
          <w:tcPr>
            <w:tcW w:w="4094" w:type="dxa"/>
            <w:gridSpan w:val="4"/>
          </w:tcPr>
          <w:p w14:paraId="36EAC129" w14:textId="77777777" w:rsidR="001577DD" w:rsidRDefault="001577DD" w:rsidP="001577DD">
            <w:pPr>
              <w:pStyle w:val="TAMainText"/>
              <w:jc w:val="center"/>
              <w:rPr>
                <w:noProof/>
                <w:lang w:eastAsia="en-GB"/>
              </w:rPr>
            </w:pPr>
            <w:r>
              <w:rPr>
                <w:noProof/>
                <w:lang w:eastAsia="en-GB"/>
              </w:rPr>
              <w:t>b</w:t>
            </w:r>
          </w:p>
        </w:tc>
      </w:tr>
    </w:tbl>
    <w:p w14:paraId="2DBA8DB1" w14:textId="77777777" w:rsidR="003010ED" w:rsidRDefault="003010ED" w:rsidP="003010ED">
      <w:pPr>
        <w:pStyle w:val="VAFigureCaption"/>
      </w:pPr>
      <w:bookmarkStart w:id="10" w:name="_Ref403410515"/>
      <w:r w:rsidRPr="00E951C1">
        <w:rPr>
          <w:b/>
        </w:rPr>
        <w:t xml:space="preserve">Figure </w:t>
      </w:r>
      <w:r w:rsidR="006C421D">
        <w:rPr>
          <w:b/>
          <w:noProof/>
        </w:rPr>
        <w:t>3</w:t>
      </w:r>
      <w:bookmarkEnd w:id="10"/>
      <w:r w:rsidRPr="00E951C1">
        <w:rPr>
          <w:b/>
        </w:rPr>
        <w:t>.</w:t>
      </w:r>
      <w:r>
        <w:t xml:space="preserve"> </w:t>
      </w:r>
      <w:r w:rsidR="00603896">
        <w:t xml:space="preserve">a. </w:t>
      </w:r>
      <w:r>
        <w:t xml:space="preserve">The number of crystals is shown at four time steps for supersaturation concentrations of </w:t>
      </w:r>
      <w:r w:rsidR="005E550B" w:rsidRPr="005E550B">
        <w:rPr>
          <w:i/>
        </w:rPr>
        <w:t>S=</w:t>
      </w:r>
      <w:r>
        <w:t>3.22</w:t>
      </w:r>
      <w:r w:rsidR="005E550B">
        <w:t xml:space="preserve"> (red)</w:t>
      </w:r>
      <w:r>
        <w:t xml:space="preserve">, </w:t>
      </w:r>
      <w:r w:rsidR="005E550B" w:rsidRPr="005E550B">
        <w:rPr>
          <w:i/>
        </w:rPr>
        <w:t>S=</w:t>
      </w:r>
      <w:r>
        <w:t>3.48</w:t>
      </w:r>
      <w:r w:rsidR="005E550B">
        <w:t xml:space="preserve"> (blue)</w:t>
      </w:r>
      <w:r>
        <w:t xml:space="preserve">, and </w:t>
      </w:r>
      <w:r w:rsidR="005E550B" w:rsidRPr="005E550B">
        <w:rPr>
          <w:i/>
        </w:rPr>
        <w:t>S=</w:t>
      </w:r>
      <w:r>
        <w:t>3.75</w:t>
      </w:r>
      <w:r w:rsidR="005E550B">
        <w:t xml:space="preserve"> (black)</w:t>
      </w:r>
      <w:r>
        <w:t xml:space="preserve">, determined using image analysis. Gradients of the lines represent nucleation rates </w:t>
      </w:r>
      <w:r w:rsidR="00FA0CC0">
        <w:t>(</w:t>
      </w:r>
      <m:oMath>
        <m:r>
          <w:rPr>
            <w:rFonts w:ascii="Cambria Math" w:hAnsi="Cambria Math"/>
          </w:rPr>
          <m:t>J</m:t>
        </m:r>
      </m:oMath>
      <w:r w:rsidR="00FA0CC0">
        <w:t xml:space="preserve">) </w:t>
      </w:r>
      <w:r>
        <w:t xml:space="preserve">and x-axis intercepts indicates nucleation induction </w:t>
      </w:r>
      <w:r w:rsidRPr="002C2292">
        <w:t>times</w:t>
      </w:r>
      <w:r w:rsidR="00FA0CC0">
        <w:t xml:space="preserve"> (</w:t>
      </w:r>
      <m:oMath>
        <m:sSub>
          <m:sSubPr>
            <m:ctrlPr>
              <w:rPr>
                <w:rFonts w:ascii="Cambria Math" w:hAnsi="Cambria Math"/>
                <w:i/>
              </w:rPr>
            </m:ctrlPr>
          </m:sSubPr>
          <m:e>
            <m:r>
              <w:rPr>
                <w:rFonts w:ascii="Cambria Math" w:hAnsi="Cambria Math"/>
              </w:rPr>
              <m:t>t</m:t>
            </m:r>
          </m:e>
          <m:sub>
            <m:r>
              <w:rPr>
                <w:rFonts w:ascii="Cambria Math" w:hAnsi="Cambria Math"/>
              </w:rPr>
              <m:t>D</m:t>
            </m:r>
          </m:sub>
        </m:sSub>
      </m:oMath>
      <w:r w:rsidR="00FA0CC0">
        <w:t>).</w:t>
      </w:r>
      <w:r w:rsidR="00603896">
        <w:t xml:space="preserve"> b. Corresponding microscope images</w:t>
      </w:r>
      <w:r w:rsidR="00136771">
        <w:t xml:space="preserve"> used to calculate number</w:t>
      </w:r>
      <w:r w:rsidR="0094564A">
        <w:t xml:space="preserve"> of crystals at each time frame.</w:t>
      </w:r>
    </w:p>
    <w:p w14:paraId="093A7078" w14:textId="77777777" w:rsidR="00D44A91" w:rsidRDefault="00D44A91" w:rsidP="00D44A91"/>
    <w:p w14:paraId="21F9643E" w14:textId="77777777" w:rsidR="00D44A91" w:rsidRDefault="00D44A91" w:rsidP="00D44A91"/>
    <w:p w14:paraId="77877547" w14:textId="77777777" w:rsidR="00D44A91" w:rsidRPr="00D44A91" w:rsidRDefault="00D44A91" w:rsidP="00D44A91"/>
    <w:p w14:paraId="68DA7925" w14:textId="51310374" w:rsidR="00CD5AF2" w:rsidRDefault="00CD5AF2" w:rsidP="004652BD">
      <w:pPr>
        <w:pStyle w:val="TAMainText"/>
        <w:spacing w:after="240"/>
        <w:ind w:firstLine="0"/>
        <w:jc w:val="left"/>
      </w:pPr>
      <w:r>
        <w:t>QCM</w:t>
      </w:r>
    </w:p>
    <w:p w14:paraId="206662F9" w14:textId="77777777" w:rsidR="00CD5AF2" w:rsidRDefault="00CD5AF2" w:rsidP="00E02087">
      <w:pPr>
        <w:pStyle w:val="TAMainText"/>
      </w:pPr>
      <w:r>
        <w:t>Calcium sulphate deposition at three supersaturation levels (</w:t>
      </w:r>
      <w:r w:rsidR="005E550B" w:rsidRPr="005E550B">
        <w:rPr>
          <w:i/>
        </w:rPr>
        <w:t>S=</w:t>
      </w:r>
      <w:r>
        <w:t xml:space="preserve">3.22, </w:t>
      </w:r>
      <w:r w:rsidR="005E550B" w:rsidRPr="005E550B">
        <w:rPr>
          <w:i/>
        </w:rPr>
        <w:t>S=</w:t>
      </w:r>
      <w:r>
        <w:t xml:space="preserve">3.48, </w:t>
      </w:r>
      <w:r w:rsidR="005E550B" w:rsidRPr="005E550B">
        <w:rPr>
          <w:i/>
        </w:rPr>
        <w:t>S=</w:t>
      </w:r>
      <w:r>
        <w:t xml:space="preserve">3.75) were tested on </w:t>
      </w:r>
      <w:r w:rsidR="005E70D9">
        <w:t xml:space="preserve">a </w:t>
      </w:r>
      <w:r>
        <w:t xml:space="preserve">gold coated QCM quartz sensor. </w:t>
      </w:r>
      <w:r w:rsidR="001504A4">
        <w:t>Both t</w:t>
      </w:r>
      <w:r>
        <w:t xml:space="preserve">he first four harmonic resonances </w:t>
      </w:r>
      <w:r w:rsidR="001504A4">
        <w:t>for</w:t>
      </w:r>
      <w:r>
        <w:t xml:space="preserve"> frequency (</w:t>
      </w:r>
      <w:r w:rsidR="006C421D" w:rsidRPr="006C421D">
        <w:t xml:space="preserve">Figure </w:t>
      </w:r>
      <w:r w:rsidR="006C421D" w:rsidRPr="006C421D">
        <w:rPr>
          <w:noProof/>
        </w:rPr>
        <w:t>4</w:t>
      </w:r>
      <w:r w:rsidR="00876F07">
        <w:t>a</w:t>
      </w:r>
      <w:r>
        <w:t>-</w:t>
      </w:r>
      <w:r w:rsidR="00876F07">
        <w:t>d</w:t>
      </w:r>
      <w:r>
        <w:t>) and dissipation (</w:t>
      </w:r>
      <w:r w:rsidR="006C421D" w:rsidRPr="006C421D">
        <w:t xml:space="preserve">Figure </w:t>
      </w:r>
      <w:r w:rsidR="006C421D" w:rsidRPr="006C421D">
        <w:rPr>
          <w:noProof/>
        </w:rPr>
        <w:t>4</w:t>
      </w:r>
      <w:r w:rsidR="00876F07">
        <w:t>e</w:t>
      </w:r>
      <w:r>
        <w:t>-</w:t>
      </w:r>
      <w:r w:rsidR="00876F07">
        <w:t>h</w:t>
      </w:r>
      <w:r>
        <w:t>) were measured. Noise generated by the pumps was smoothed using a linear local regression filter.</w:t>
      </w:r>
    </w:p>
    <w:p w14:paraId="35B958A1" w14:textId="77777777" w:rsidR="002D54A7" w:rsidRPr="005D7742" w:rsidRDefault="002D54A7" w:rsidP="002D54A7">
      <w:pPr>
        <w:pStyle w:val="TAMainText"/>
      </w:pPr>
      <w:r>
        <w:t>As crystals accumulate on the gold surface, the first harmonic (</w:t>
      </w:r>
      <w:r w:rsidRPr="006C421D">
        <w:t xml:space="preserve">Figure </w:t>
      </w:r>
      <w:r w:rsidRPr="006C421D">
        <w:rPr>
          <w:noProof/>
        </w:rPr>
        <w:t>4</w:t>
      </w:r>
      <w:r>
        <w:t>a) displays a negative frequency shift consistently for all supersaturations. The third overtone demonstrates some frequency inversions (</w:t>
      </w:r>
      <w:r w:rsidRPr="006C421D">
        <w:t xml:space="preserve">Figure </w:t>
      </w:r>
      <w:r w:rsidRPr="006C421D">
        <w:rPr>
          <w:noProof/>
        </w:rPr>
        <w:t>4</w:t>
      </w:r>
      <w:r>
        <w:t xml:space="preserve">b) at lower supersaturations tested, however at the highest </w:t>
      </w:r>
      <w:r w:rsidRPr="005D7742">
        <w:t>supersaturation tested (3.75) this was not observed. A continued progression is observed in the fifth overtone (</w:t>
      </w:r>
      <w:r w:rsidRPr="006C421D">
        <w:t>Figure 4</w:t>
      </w:r>
      <w:r w:rsidRPr="005D7742">
        <w:t>c). Clear inversion is observed at the lowest supersaturation (3.22), significant inversion in the intermediate supersaturation (3.48), and inversion is observed for some trials at the highest supersaturation (3.75). Finally, the seventh overtone (</w:t>
      </w:r>
      <w:r w:rsidRPr="006C421D">
        <w:t>Figure 4</w:t>
      </w:r>
      <w:r w:rsidRPr="005D7742">
        <w:t xml:space="preserve">d) shows fully positive frequency shifts for all three supersaturations. </w:t>
      </w:r>
    </w:p>
    <w:p w14:paraId="2289F015" w14:textId="77777777" w:rsidR="002D54A7" w:rsidRDefault="002D54A7" w:rsidP="002D54A7">
      <w:pPr>
        <w:pStyle w:val="TAMainText"/>
      </w:pPr>
      <w:r>
        <w:t>T</w:t>
      </w:r>
      <w:r w:rsidRPr="005D7742">
        <w:t>he variability amongst trials at the same supersaturation is expected and observed (</w:t>
      </w:r>
      <w:r w:rsidRPr="006C421D">
        <w:t>Figure 4</w:t>
      </w:r>
      <w:r w:rsidRPr="005D7742">
        <w:t>)</w:t>
      </w:r>
      <w:r>
        <w:t xml:space="preserve"> due to the </w:t>
      </w:r>
      <w:r w:rsidRPr="005D7742">
        <w:t>stochastic nature of crystalli</w:t>
      </w:r>
      <w:r>
        <w:t>s</w:t>
      </w:r>
      <w:r w:rsidRPr="005D7742">
        <w:t>ation</w:t>
      </w:r>
      <w:r>
        <w:t>, where</w:t>
      </w:r>
      <w:r w:rsidRPr="005D7742">
        <w:t xml:space="preserve"> random nucl</w:t>
      </w:r>
      <w:r>
        <w:t>eation and growth occurs on the sensor</w:t>
      </w:r>
      <w:r w:rsidRPr="005D7742">
        <w:t xml:space="preserve">. As a result, the multiple trials are critical to collectively accurately represent the behaviours occurring with changing supersaturation. Most notably, some trials are susceptible to of both a negative and positive frequency shift at a single supersaturation (e.g. third overtone </w:t>
      </w:r>
      <w:r w:rsidRPr="007D1178">
        <w:rPr>
          <w:i/>
        </w:rPr>
        <w:t>S=</w:t>
      </w:r>
      <w:r w:rsidRPr="005D7742">
        <w:t>3.48). Dissipation shifts measured simultaneously (</w:t>
      </w:r>
      <w:r w:rsidRPr="006C421D">
        <w:t>Figure 4</w:t>
      </w:r>
      <w:r w:rsidRPr="005D7742">
        <w:t>e-h) show a consistent positive increase in all harmonics due to the increase in dampening experienced by the QCM sensor.</w:t>
      </w:r>
    </w:p>
    <w:p w14:paraId="38051312" w14:textId="77777777" w:rsidR="002D54A7" w:rsidRDefault="002D54A7" w:rsidP="00E02087">
      <w:pPr>
        <w:pStyle w:val="TAMain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648"/>
      </w:tblGrid>
      <w:tr w:rsidR="00CD5AF2" w14:paraId="79B0BACE" w14:textId="77777777" w:rsidTr="00423A3D">
        <w:trPr>
          <w:jc w:val="center"/>
        </w:trPr>
        <w:tc>
          <w:tcPr>
            <w:tcW w:w="4928" w:type="dxa"/>
            <w:vAlign w:val="center"/>
          </w:tcPr>
          <w:p w14:paraId="12EFBED4" w14:textId="77777777" w:rsidR="00CD5AF2" w:rsidRDefault="00271A0D" w:rsidP="00423A3D">
            <w:pPr>
              <w:spacing w:after="0"/>
              <w:jc w:val="center"/>
            </w:pPr>
            <w:r>
              <w:rPr>
                <w:noProof/>
              </w:rPr>
              <w:lastRenderedPageBreak/>
              <w:drawing>
                <wp:inline distT="0" distB="0" distL="0" distR="0" wp14:anchorId="5D269A34" wp14:editId="2CF6B78D">
                  <wp:extent cx="2889823" cy="2317897"/>
                  <wp:effectExtent l="0" t="0" r="6350" b="635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r="6621"/>
                          <a:stretch/>
                        </pic:blipFill>
                        <pic:spPr bwMode="auto">
                          <a:xfrm>
                            <a:off x="0" y="0"/>
                            <a:ext cx="2911773" cy="2335503"/>
                          </a:xfrm>
                          <a:prstGeom prst="rect">
                            <a:avLst/>
                          </a:prstGeom>
                          <a:noFill/>
                          <a:ln>
                            <a:noFill/>
                          </a:ln>
                          <a:extLst>
                            <a:ext uri="{53640926-AAD7-44d8-BBD7-CCE9431645EC}">
                              <a14:shadowObscured xmlns:a14="http://schemas.microsoft.com/office/drawing/2010/main"/>
                            </a:ext>
                          </a:extLst>
                        </pic:spPr>
                      </pic:pic>
                    </a:graphicData>
                  </a:graphic>
                </wp:inline>
              </w:drawing>
            </w:r>
          </w:p>
          <w:p w14:paraId="127892BA" w14:textId="77777777" w:rsidR="00423A3D" w:rsidRDefault="00423A3D" w:rsidP="00423A3D">
            <w:pPr>
              <w:spacing w:after="0"/>
              <w:jc w:val="center"/>
            </w:pPr>
            <w:r>
              <w:t>a</w:t>
            </w:r>
          </w:p>
        </w:tc>
        <w:tc>
          <w:tcPr>
            <w:tcW w:w="4648" w:type="dxa"/>
            <w:vAlign w:val="center"/>
          </w:tcPr>
          <w:p w14:paraId="36A19687" w14:textId="77777777" w:rsidR="00423A3D" w:rsidRDefault="00CD5C93" w:rsidP="00423A3D">
            <w:pPr>
              <w:spacing w:after="0"/>
              <w:jc w:val="center"/>
            </w:pPr>
            <w:r>
              <w:rPr>
                <w:noProof/>
              </w:rPr>
              <w:drawing>
                <wp:inline distT="0" distB="0" distL="0" distR="0" wp14:anchorId="0FEC5CF7" wp14:editId="79B720CE">
                  <wp:extent cx="2854281" cy="2314575"/>
                  <wp:effectExtent l="0" t="0" r="3810"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r="7637"/>
                          <a:stretch/>
                        </pic:blipFill>
                        <pic:spPr bwMode="auto">
                          <a:xfrm>
                            <a:off x="0" y="0"/>
                            <a:ext cx="2855776" cy="2315787"/>
                          </a:xfrm>
                          <a:prstGeom prst="rect">
                            <a:avLst/>
                          </a:prstGeom>
                          <a:noFill/>
                          <a:ln>
                            <a:noFill/>
                          </a:ln>
                          <a:extLst>
                            <a:ext uri="{53640926-AAD7-44d8-BBD7-CCE9431645EC}">
                              <a14:shadowObscured xmlns:a14="http://schemas.microsoft.com/office/drawing/2010/main"/>
                            </a:ext>
                          </a:extLst>
                        </pic:spPr>
                      </pic:pic>
                    </a:graphicData>
                  </a:graphic>
                </wp:inline>
              </w:drawing>
            </w:r>
          </w:p>
          <w:p w14:paraId="70189248" w14:textId="77777777" w:rsidR="00CD5AF2" w:rsidRPr="00423A3D" w:rsidRDefault="00423A3D" w:rsidP="00423A3D">
            <w:pPr>
              <w:spacing w:after="0"/>
              <w:jc w:val="center"/>
            </w:pPr>
            <w:r>
              <w:t>e</w:t>
            </w:r>
          </w:p>
        </w:tc>
      </w:tr>
      <w:tr w:rsidR="00CD5AF2" w14:paraId="34E2FE06" w14:textId="77777777" w:rsidTr="00423A3D">
        <w:trPr>
          <w:jc w:val="center"/>
        </w:trPr>
        <w:tc>
          <w:tcPr>
            <w:tcW w:w="4928" w:type="dxa"/>
            <w:vAlign w:val="center"/>
          </w:tcPr>
          <w:p w14:paraId="0BFB6B59" w14:textId="77777777" w:rsidR="00CD5AF2" w:rsidRDefault="00271A0D" w:rsidP="00423A3D">
            <w:pPr>
              <w:spacing w:after="0"/>
              <w:jc w:val="center"/>
            </w:pPr>
            <w:r>
              <w:rPr>
                <w:noProof/>
              </w:rPr>
              <w:drawing>
                <wp:inline distT="0" distB="0" distL="0" distR="0" wp14:anchorId="01727E11" wp14:editId="205B1623">
                  <wp:extent cx="2785730" cy="2178870"/>
                  <wp:effectExtent l="0" t="0" r="0" b="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r="4240"/>
                          <a:stretch/>
                        </pic:blipFill>
                        <pic:spPr bwMode="auto">
                          <a:xfrm>
                            <a:off x="0" y="0"/>
                            <a:ext cx="2796155" cy="2187024"/>
                          </a:xfrm>
                          <a:prstGeom prst="rect">
                            <a:avLst/>
                          </a:prstGeom>
                          <a:noFill/>
                          <a:ln>
                            <a:noFill/>
                          </a:ln>
                          <a:extLst>
                            <a:ext uri="{53640926-AAD7-44d8-BBD7-CCE9431645EC}">
                              <a14:shadowObscured xmlns:a14="http://schemas.microsoft.com/office/drawing/2010/main"/>
                            </a:ext>
                          </a:extLst>
                        </pic:spPr>
                      </pic:pic>
                    </a:graphicData>
                  </a:graphic>
                </wp:inline>
              </w:drawing>
            </w:r>
          </w:p>
          <w:p w14:paraId="4751E835" w14:textId="77777777" w:rsidR="00423A3D" w:rsidRDefault="00423A3D" w:rsidP="00423A3D">
            <w:pPr>
              <w:spacing w:after="0"/>
              <w:jc w:val="center"/>
            </w:pPr>
            <w:r>
              <w:t>b</w:t>
            </w:r>
          </w:p>
        </w:tc>
        <w:tc>
          <w:tcPr>
            <w:tcW w:w="4648" w:type="dxa"/>
            <w:vAlign w:val="center"/>
          </w:tcPr>
          <w:p w14:paraId="2C461FE8" w14:textId="77777777" w:rsidR="00CD5AF2" w:rsidRDefault="00CD5C93" w:rsidP="00423A3D">
            <w:pPr>
              <w:spacing w:after="0"/>
              <w:jc w:val="center"/>
            </w:pPr>
            <w:r>
              <w:rPr>
                <w:noProof/>
              </w:rPr>
              <w:drawing>
                <wp:inline distT="0" distB="0" distL="0" distR="0" wp14:anchorId="616D0CE3" wp14:editId="2F945372">
                  <wp:extent cx="2908300" cy="2181225"/>
                  <wp:effectExtent l="0" t="0" r="0" b="9525"/>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08300" cy="2181225"/>
                          </a:xfrm>
                          <a:prstGeom prst="rect">
                            <a:avLst/>
                          </a:prstGeom>
                          <a:noFill/>
                          <a:ln>
                            <a:noFill/>
                          </a:ln>
                        </pic:spPr>
                      </pic:pic>
                    </a:graphicData>
                  </a:graphic>
                </wp:inline>
              </w:drawing>
            </w:r>
          </w:p>
          <w:p w14:paraId="1942DB47" w14:textId="77777777" w:rsidR="00423A3D" w:rsidRDefault="00423A3D" w:rsidP="00423A3D">
            <w:pPr>
              <w:spacing w:after="0"/>
              <w:jc w:val="center"/>
            </w:pPr>
            <w:r>
              <w:t>f</w:t>
            </w:r>
          </w:p>
        </w:tc>
      </w:tr>
      <w:tr w:rsidR="00CD5AF2" w14:paraId="267F2086" w14:textId="77777777" w:rsidTr="00423A3D">
        <w:trPr>
          <w:jc w:val="center"/>
        </w:trPr>
        <w:tc>
          <w:tcPr>
            <w:tcW w:w="4928" w:type="dxa"/>
            <w:vAlign w:val="center"/>
          </w:tcPr>
          <w:p w14:paraId="0337EDBF" w14:textId="77777777" w:rsidR="00CD5AF2" w:rsidRDefault="00271A0D" w:rsidP="00423A3D">
            <w:pPr>
              <w:spacing w:after="0"/>
              <w:jc w:val="center"/>
              <w:rPr>
                <w:noProof/>
                <w:lang w:eastAsia="en-GB"/>
              </w:rPr>
            </w:pPr>
            <w:r>
              <w:rPr>
                <w:noProof/>
              </w:rPr>
              <w:drawing>
                <wp:inline distT="0" distB="0" distL="0" distR="0" wp14:anchorId="6851F8A7" wp14:editId="2BBD205F">
                  <wp:extent cx="3023726" cy="2264735"/>
                  <wp:effectExtent l="0" t="0" r="0" b="254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3877" cy="2264848"/>
                          </a:xfrm>
                          <a:prstGeom prst="rect">
                            <a:avLst/>
                          </a:prstGeom>
                          <a:noFill/>
                          <a:ln>
                            <a:noFill/>
                          </a:ln>
                        </pic:spPr>
                      </pic:pic>
                    </a:graphicData>
                  </a:graphic>
                </wp:inline>
              </w:drawing>
            </w:r>
          </w:p>
          <w:p w14:paraId="13A86965" w14:textId="77777777" w:rsidR="00423A3D" w:rsidRDefault="00423A3D" w:rsidP="00423A3D">
            <w:pPr>
              <w:spacing w:after="0"/>
              <w:jc w:val="center"/>
            </w:pPr>
            <w:r>
              <w:rPr>
                <w:noProof/>
                <w:lang w:eastAsia="en-GB"/>
              </w:rPr>
              <w:t>c</w:t>
            </w:r>
          </w:p>
        </w:tc>
        <w:tc>
          <w:tcPr>
            <w:tcW w:w="4648" w:type="dxa"/>
            <w:vAlign w:val="center"/>
          </w:tcPr>
          <w:p w14:paraId="3EDFF33A" w14:textId="77777777" w:rsidR="00CD5AF2" w:rsidRDefault="00CD5C93" w:rsidP="00423A3D">
            <w:pPr>
              <w:spacing w:after="0"/>
              <w:jc w:val="center"/>
              <w:rPr>
                <w:noProof/>
                <w:lang w:eastAsia="en-GB"/>
              </w:rPr>
            </w:pPr>
            <w:r>
              <w:rPr>
                <w:noProof/>
              </w:rPr>
              <w:drawing>
                <wp:inline distT="0" distB="0" distL="0" distR="0" wp14:anchorId="118FA01A" wp14:editId="4DFDB2C7">
                  <wp:extent cx="3019647" cy="2264735"/>
                  <wp:effectExtent l="0" t="0" r="0" b="254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9330" cy="2264497"/>
                          </a:xfrm>
                          <a:prstGeom prst="rect">
                            <a:avLst/>
                          </a:prstGeom>
                          <a:noFill/>
                          <a:ln>
                            <a:noFill/>
                          </a:ln>
                        </pic:spPr>
                      </pic:pic>
                    </a:graphicData>
                  </a:graphic>
                </wp:inline>
              </w:drawing>
            </w:r>
          </w:p>
          <w:p w14:paraId="3082D701" w14:textId="77777777" w:rsidR="00423A3D" w:rsidRDefault="00423A3D" w:rsidP="00423A3D">
            <w:pPr>
              <w:spacing w:after="0"/>
              <w:jc w:val="center"/>
            </w:pPr>
            <w:r>
              <w:rPr>
                <w:noProof/>
                <w:lang w:eastAsia="en-GB"/>
              </w:rPr>
              <w:t>g</w:t>
            </w:r>
          </w:p>
        </w:tc>
      </w:tr>
      <w:tr w:rsidR="00CD5AF2" w14:paraId="1EB6E281" w14:textId="77777777" w:rsidTr="00423A3D">
        <w:trPr>
          <w:jc w:val="center"/>
        </w:trPr>
        <w:tc>
          <w:tcPr>
            <w:tcW w:w="4928" w:type="dxa"/>
            <w:vAlign w:val="center"/>
          </w:tcPr>
          <w:p w14:paraId="760F8261" w14:textId="77777777" w:rsidR="00423A3D" w:rsidRDefault="00271A0D" w:rsidP="00423A3D">
            <w:pPr>
              <w:spacing w:after="0"/>
              <w:jc w:val="center"/>
              <w:rPr>
                <w:noProof/>
                <w:lang w:eastAsia="en-GB"/>
              </w:rPr>
            </w:pPr>
            <w:r>
              <w:rPr>
                <w:noProof/>
              </w:rPr>
              <w:lastRenderedPageBreak/>
              <w:drawing>
                <wp:inline distT="0" distB="0" distL="0" distR="0" wp14:anchorId="18C05203" wp14:editId="25170F23">
                  <wp:extent cx="2785825" cy="2264735"/>
                  <wp:effectExtent l="0" t="0" r="0" b="2540"/>
                  <wp:docPr id="7170" name="Picture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a:extLst>
                              <a:ext uri="{28A0092B-C50C-407E-A947-70E740481C1C}">
                                <a14:useLocalDpi xmlns:a14="http://schemas.microsoft.com/office/drawing/2010/main" val="0"/>
                              </a:ext>
                            </a:extLst>
                          </a:blip>
                          <a:srcRect r="7868"/>
                          <a:stretch/>
                        </pic:blipFill>
                        <pic:spPr bwMode="auto">
                          <a:xfrm>
                            <a:off x="0" y="0"/>
                            <a:ext cx="2788221" cy="2266683"/>
                          </a:xfrm>
                          <a:prstGeom prst="rect">
                            <a:avLst/>
                          </a:prstGeom>
                          <a:noFill/>
                          <a:ln>
                            <a:noFill/>
                          </a:ln>
                          <a:extLst>
                            <a:ext uri="{53640926-AAD7-44d8-BBD7-CCE9431645EC}">
                              <a14:shadowObscured xmlns:a14="http://schemas.microsoft.com/office/drawing/2010/main"/>
                            </a:ext>
                          </a:extLst>
                        </pic:spPr>
                      </pic:pic>
                    </a:graphicData>
                  </a:graphic>
                </wp:inline>
              </w:drawing>
            </w:r>
          </w:p>
          <w:p w14:paraId="4C09AAF0" w14:textId="77777777" w:rsidR="00CD5AF2" w:rsidRDefault="00423A3D" w:rsidP="00423A3D">
            <w:pPr>
              <w:spacing w:after="0"/>
              <w:jc w:val="center"/>
              <w:rPr>
                <w:noProof/>
                <w:lang w:eastAsia="en-GB"/>
              </w:rPr>
            </w:pPr>
            <w:r>
              <w:rPr>
                <w:noProof/>
                <w:lang w:eastAsia="en-GB"/>
              </w:rPr>
              <w:t>d</w:t>
            </w:r>
          </w:p>
        </w:tc>
        <w:tc>
          <w:tcPr>
            <w:tcW w:w="4648" w:type="dxa"/>
            <w:vAlign w:val="center"/>
          </w:tcPr>
          <w:p w14:paraId="29EFA204" w14:textId="77777777" w:rsidR="00CD5AF2" w:rsidRDefault="00A775E0" w:rsidP="00423A3D">
            <w:pPr>
              <w:spacing w:after="0"/>
              <w:jc w:val="center"/>
              <w:rPr>
                <w:noProof/>
                <w:lang w:eastAsia="en-GB"/>
              </w:rPr>
            </w:pPr>
            <w:r>
              <w:rPr>
                <w:noProof/>
              </w:rPr>
              <w:drawing>
                <wp:inline distT="0" distB="0" distL="0" distR="0" wp14:anchorId="00AC8796" wp14:editId="75DA3F1C">
                  <wp:extent cx="3026019" cy="2266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442" cy="2269515"/>
                          </a:xfrm>
                          <a:prstGeom prst="rect">
                            <a:avLst/>
                          </a:prstGeom>
                          <a:noFill/>
                          <a:ln>
                            <a:noFill/>
                          </a:ln>
                        </pic:spPr>
                      </pic:pic>
                    </a:graphicData>
                  </a:graphic>
                </wp:inline>
              </w:drawing>
            </w:r>
          </w:p>
          <w:p w14:paraId="69272B59" w14:textId="77777777" w:rsidR="00423A3D" w:rsidRDefault="00423A3D" w:rsidP="00423A3D">
            <w:pPr>
              <w:spacing w:after="0"/>
              <w:jc w:val="center"/>
              <w:rPr>
                <w:noProof/>
                <w:lang w:eastAsia="en-GB"/>
              </w:rPr>
            </w:pPr>
            <w:r>
              <w:rPr>
                <w:noProof/>
                <w:lang w:eastAsia="en-GB"/>
              </w:rPr>
              <w:t>h</w:t>
            </w:r>
          </w:p>
        </w:tc>
      </w:tr>
      <w:tr w:rsidR="00CD5AF2" w14:paraId="7B1B6A35" w14:textId="77777777" w:rsidTr="00423A3D">
        <w:trPr>
          <w:trHeight w:val="417"/>
          <w:jc w:val="center"/>
        </w:trPr>
        <w:tc>
          <w:tcPr>
            <w:tcW w:w="9576" w:type="dxa"/>
            <w:gridSpan w:val="2"/>
            <w:vAlign w:val="center"/>
          </w:tcPr>
          <w:p w14:paraId="691C3B4A" w14:textId="77777777" w:rsidR="00CD5AF2" w:rsidRDefault="00CF55E5" w:rsidP="00423A3D">
            <w:pPr>
              <w:pStyle w:val="VAFigureCaption"/>
              <w:spacing w:after="0"/>
              <w:jc w:val="center"/>
            </w:pPr>
            <w:r>
              <w:rPr>
                <w:noProof/>
              </w:rPr>
              <w:drawing>
                <wp:inline distT="0" distB="0" distL="0" distR="0" wp14:anchorId="50B40929" wp14:editId="25D0562B">
                  <wp:extent cx="3209925" cy="302384"/>
                  <wp:effectExtent l="0" t="0" r="0" b="0"/>
                  <wp:docPr id="7169" name="Picture 7169"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l707\Desktop\Picture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9925" cy="302384"/>
                          </a:xfrm>
                          <a:prstGeom prst="rect">
                            <a:avLst/>
                          </a:prstGeom>
                          <a:noFill/>
                          <a:ln>
                            <a:noFill/>
                          </a:ln>
                        </pic:spPr>
                      </pic:pic>
                    </a:graphicData>
                  </a:graphic>
                </wp:inline>
              </w:drawing>
            </w:r>
          </w:p>
        </w:tc>
      </w:tr>
    </w:tbl>
    <w:p w14:paraId="65C67BC5" w14:textId="77777777" w:rsidR="00DF4F55" w:rsidRDefault="00DF4F55" w:rsidP="00DF4F55">
      <w:pPr>
        <w:pStyle w:val="TAMainText"/>
        <w:ind w:firstLine="0"/>
      </w:pPr>
      <w:bookmarkStart w:id="11" w:name="_Ref403009128"/>
      <w:r w:rsidRPr="00CD5AF2">
        <w:rPr>
          <w:b/>
        </w:rPr>
        <w:t xml:space="preserve">Figure </w:t>
      </w:r>
      <w:r w:rsidR="006C421D">
        <w:rPr>
          <w:b/>
          <w:noProof/>
        </w:rPr>
        <w:t>4</w:t>
      </w:r>
      <w:bookmarkEnd w:id="11"/>
      <w:r w:rsidRPr="00CD5AF2">
        <w:rPr>
          <w:b/>
          <w:noProof/>
        </w:rPr>
        <w:t>.</w:t>
      </w:r>
      <w:r>
        <w:t xml:space="preserve"> QCM results of the calcium sulphate crystallisation for supersaturations: </w:t>
      </w:r>
      <w:r w:rsidR="007D1178" w:rsidRPr="007D1178">
        <w:rPr>
          <w:i/>
        </w:rPr>
        <w:t>S=</w:t>
      </w:r>
      <w:r>
        <w:t xml:space="preserve">3.22, </w:t>
      </w:r>
      <w:r w:rsidR="007D1178" w:rsidRPr="007D1178">
        <w:rPr>
          <w:i/>
        </w:rPr>
        <w:t>S=</w:t>
      </w:r>
      <w:r>
        <w:t xml:space="preserve">3.48, </w:t>
      </w:r>
      <w:r w:rsidR="007D1178" w:rsidRPr="007D1178">
        <w:rPr>
          <w:i/>
        </w:rPr>
        <w:t>S=</w:t>
      </w:r>
      <w:r>
        <w:t>3.75 (each showing three trials), (a-d) frequency harmonics (1,3,5, and 7), (e-h) frequency dissipation (1,3,5, and 7).</w:t>
      </w:r>
    </w:p>
    <w:p w14:paraId="4D537F2C" w14:textId="77777777" w:rsidR="005D7742" w:rsidRPr="005D7742" w:rsidRDefault="005D7742" w:rsidP="005D7742">
      <w:pPr>
        <w:pStyle w:val="TAMainText"/>
        <w:ind w:firstLine="0"/>
      </w:pPr>
    </w:p>
    <w:p w14:paraId="1742A6A9" w14:textId="77777777" w:rsidR="00CD5AF2" w:rsidRDefault="00895701" w:rsidP="004652BD">
      <w:pPr>
        <w:pStyle w:val="TAMainText"/>
        <w:spacing w:after="240"/>
        <w:ind w:firstLine="0"/>
        <w:jc w:val="left"/>
      </w:pPr>
      <w:r>
        <w:t xml:space="preserve">COMPARISON OF </w:t>
      </w:r>
      <w:r w:rsidRPr="005D7742">
        <w:t>MODEL</w:t>
      </w:r>
      <w:r>
        <w:t xml:space="preserve"> AND EXPERIMENTAL DATA</w:t>
      </w:r>
    </w:p>
    <w:p w14:paraId="642FD6BD" w14:textId="77777777" w:rsidR="0053705A" w:rsidRDefault="0053705A" w:rsidP="0053705A">
      <w:pPr>
        <w:pStyle w:val="TAMainText"/>
        <w:rPr>
          <w:rFonts w:eastAsiaTheme="minorEastAsia"/>
        </w:rPr>
      </w:pPr>
      <w:r>
        <w:t>The agreement between the</w:t>
      </w:r>
      <w:r w:rsidRPr="00E02087">
        <w:t xml:space="preserve"> experimental data </w:t>
      </w:r>
      <w:r>
        <w:t xml:space="preserve">and the </w:t>
      </w:r>
      <w:r w:rsidRPr="00E02087">
        <w:t>model</w:t>
      </w:r>
      <w:r>
        <w:t xml:space="preserve"> for the first four harmonics is examined in </w:t>
      </w:r>
      <w:r w:rsidRPr="006C421D">
        <w:t xml:space="preserve">Figure </w:t>
      </w:r>
      <w:r>
        <w:rPr>
          <w:noProof/>
        </w:rPr>
        <w:t>5</w:t>
      </w:r>
      <w:r>
        <w:t>. The comparison is shown for a single trial at every supersaturation tested (</w:t>
      </w:r>
      <w:r>
        <w:rPr>
          <w:rFonts w:eastAsiaTheme="minorEastAsia"/>
        </w:rPr>
        <w:t>additional trials are shown in Supplementary Materials S.2). The final form of the model is provided by Equation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71"/>
        <w:gridCol w:w="1104"/>
      </w:tblGrid>
      <w:tr w:rsidR="0053705A" w14:paraId="0593C808" w14:textId="77777777" w:rsidTr="002D54A7">
        <w:tc>
          <w:tcPr>
            <w:tcW w:w="1101" w:type="dxa"/>
            <w:vAlign w:val="center"/>
          </w:tcPr>
          <w:p w14:paraId="1A4DF358" w14:textId="77777777" w:rsidR="0053705A" w:rsidRDefault="0053705A" w:rsidP="002D54A7">
            <w:pPr>
              <w:pStyle w:val="TAMainText"/>
              <w:ind w:firstLine="0"/>
              <w:jc w:val="center"/>
            </w:pPr>
          </w:p>
        </w:tc>
        <w:tc>
          <w:tcPr>
            <w:tcW w:w="7371" w:type="dxa"/>
            <w:vAlign w:val="center"/>
          </w:tcPr>
          <w:p w14:paraId="3B7D32E9" w14:textId="77777777" w:rsidR="0053705A" w:rsidRDefault="001B24E5" w:rsidP="002D54A7">
            <w:pPr>
              <w:pStyle w:val="TAMainText"/>
              <w:ind w:firstLine="0"/>
              <w:jc w:val="center"/>
            </w:pPr>
            <m:oMathPara>
              <m:oMath>
                <m:f>
                  <m:fPr>
                    <m:ctrlPr>
                      <w:rPr>
                        <w:rFonts w:ascii="Cambria Math" w:eastAsiaTheme="minorEastAsia" w:hAnsi="Cambria Math"/>
                        <w:i/>
                      </w:rPr>
                    </m:ctrlPr>
                  </m:fPr>
                  <m:num>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f</m:t>
                        </m:r>
                      </m:e>
                    </m:acc>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m:t>
                        </m:r>
                      </m:sub>
                    </m:sSub>
                  </m:den>
                </m:f>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D</m:t>
                              </m:r>
                            </m:sub>
                          </m:sSub>
                        </m:e>
                      </m:mr>
                      <m:mr>
                        <m:e>
                          <m:f>
                            <m:fPr>
                              <m:ctrlPr>
                                <w:rPr>
                                  <w:rFonts w:ascii="Cambria Math" w:eastAsiaTheme="minorEastAsia" w:hAnsi="Cambria Math"/>
                                  <w:i/>
                                </w:rPr>
                              </m:ctrlPr>
                            </m:fPr>
                            <m:num>
                              <m:r>
                                <w:rPr>
                                  <w:rFonts w:ascii="Cambria Math" w:eastAsiaTheme="minorEastAsia" w:hAnsi="Cambria Math"/>
                                </w:rPr>
                                <m:t>iJ</m:t>
                              </m:r>
                            </m:num>
                            <m:den>
                              <m:r>
                                <w:rPr>
                                  <w:rFonts w:ascii="Cambria Math" w:eastAsiaTheme="minorEastAsia" w:hAnsi="Cambria Math"/>
                                </w:rPr>
                                <m:t>πA</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q</m:t>
                                  </m:r>
                                </m:sub>
                              </m:sSub>
                              <m:r>
                                <w:rPr>
                                  <w:rFonts w:ascii="Cambria Math" w:eastAsiaTheme="minorEastAsia" w:hAnsi="Cambria Math"/>
                                </w:rPr>
                                <m:t>G</m:t>
                              </m:r>
                            </m:den>
                          </m:f>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m:t>
                              </m:r>
                            </m:sup>
                            <m:e>
                              <m:f>
                                <m:fPr>
                                  <m:ctrlPr>
                                    <w:rPr>
                                      <w:rFonts w:ascii="Cambria Math" w:eastAsiaTheme="minorEastAsia" w:hAnsi="Cambria Math"/>
                                      <w:i/>
                                    </w:rPr>
                                  </m:ctrlPr>
                                </m:fPr>
                                <m:num>
                                  <m:r>
                                    <w:rPr>
                                      <w:rFonts w:ascii="Cambria Math" w:eastAsiaTheme="minorEastAsia" w:hAnsi="Cambria Math"/>
                                    </w:rPr>
                                    <m:t>1-H(m-G(t-</m:t>
                                  </m:r>
                                  <m:sSub>
                                    <m:sSubPr>
                                      <m:ctrlPr>
                                        <w:rPr>
                                          <w:rFonts w:ascii="Cambria Math" w:eastAsiaTheme="minorEastAsia" w:hAnsi="Cambria Math"/>
                                          <w:i/>
                                        </w:rPr>
                                      </m:ctrlPr>
                                    </m:sSubPr>
                                    <m:e>
                                      <m:r>
                                        <w:rPr>
                                          <w:rFonts w:ascii="Cambria Math" w:hAnsi="Cambria Math"/>
                                        </w:rPr>
                                        <m:t>t</m:t>
                                      </m:r>
                                    </m:e>
                                    <m:sub>
                                      <m:r>
                                        <w:rPr>
                                          <w:rFonts w:ascii="Cambria Math" w:eastAsiaTheme="minorEastAsia" w:hAnsi="Cambria Math"/>
                                        </w:rPr>
                                        <m:t>D</m:t>
                                      </m:r>
                                    </m:sub>
                                  </m:sSub>
                                  <m:r>
                                    <w:rPr>
                                      <w:rFonts w:ascii="Cambria Math" w:eastAsiaTheme="minorEastAsia" w:hAnsi="Cambria Math"/>
                                    </w:rPr>
                                    <m:t>))</m:t>
                                  </m:r>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iωm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iω</m:t>
                                      </m:r>
                                    </m:num>
                                    <m:den>
                                      <m:r>
                                        <w:rPr>
                                          <w:rFonts w:ascii="Cambria Math" w:eastAsiaTheme="minorEastAsia" w:hAnsi="Cambria Math"/>
                                        </w:rPr>
                                        <m:t>k+iωr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d>
                                        <m:dPr>
                                          <m:ctrlPr>
                                            <w:rPr>
                                              <w:rFonts w:ascii="Cambria Math" w:eastAsiaTheme="minorEastAsia" w:hAnsi="Cambria Math"/>
                                              <w:i/>
                                            </w:rPr>
                                          </m:ctrlPr>
                                        </m:dPr>
                                        <m:e>
                                          <m:r>
                                            <w:rPr>
                                              <w:rFonts w:ascii="Cambria Math" w:eastAsiaTheme="minorEastAsia" w:hAnsi="Cambria Math"/>
                                            </w:rPr>
                                            <m:t>1+i</m:t>
                                          </m:r>
                                        </m:e>
                                      </m:d>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
                                        <w:rPr>
                                          <w:rFonts w:ascii="Cambria Math" w:eastAsiaTheme="minorEastAsia" w:hAnsi="Cambria Math"/>
                                        </w:rPr>
                                        <m:t>m</m:t>
                                      </m:r>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ηω</m:t>
                                              </m:r>
                                            </m:num>
                                            <m:den>
                                              <m:r>
                                                <w:rPr>
                                                  <w:rFonts w:ascii="Cambria Math" w:eastAsiaTheme="minorEastAsia" w:hAnsi="Cambria Math"/>
                                                </w:rPr>
                                                <m:t>2</m:t>
                                              </m:r>
                                            </m:den>
                                          </m:f>
                                        </m:e>
                                      </m:rad>
                                    </m:den>
                                  </m:f>
                                </m:den>
                              </m:f>
                              <m:r>
                                <w:rPr>
                                  <w:rFonts w:ascii="Cambria Math" w:eastAsiaTheme="minorEastAsia" w:hAnsi="Cambria Math"/>
                                </w:rPr>
                                <m:t xml:space="preserve"> dm</m:t>
                              </m:r>
                            </m:e>
                          </m:nary>
                        </m:e>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D</m:t>
                              </m:r>
                            </m:sub>
                          </m:sSub>
                        </m:e>
                      </m:mr>
                    </m:m>
                  </m:e>
                </m:d>
              </m:oMath>
            </m:oMathPara>
          </w:p>
        </w:tc>
        <w:tc>
          <w:tcPr>
            <w:tcW w:w="1104" w:type="dxa"/>
            <w:vAlign w:val="center"/>
          </w:tcPr>
          <w:p w14:paraId="4D16FA79" w14:textId="77777777" w:rsidR="0053705A" w:rsidRDefault="0053705A" w:rsidP="002D54A7">
            <w:pPr>
              <w:pStyle w:val="TAMainText"/>
              <w:ind w:firstLine="0"/>
              <w:jc w:val="center"/>
            </w:pPr>
            <w:r>
              <w:t>(9</w:t>
            </w:r>
            <w:r>
              <w:rPr>
                <w:noProof/>
              </w:rPr>
              <w:t>)</w:t>
            </w:r>
          </w:p>
        </w:tc>
      </w:tr>
    </w:tbl>
    <w:p w14:paraId="116D86BE" w14:textId="77777777" w:rsidR="0053705A" w:rsidRDefault="0053705A" w:rsidP="0053705A">
      <w:pPr>
        <w:pStyle w:val="TAMainText"/>
        <w:ind w:firstLine="0"/>
        <w:rPr>
          <w:rFonts w:eastAsiaTheme="minorEastAsia"/>
        </w:rPr>
      </w:pPr>
      <w:r>
        <w:rPr>
          <w:rFonts w:eastAsiaTheme="minorEastAsia"/>
        </w:rPr>
        <w:t>Nucleation rate</w:t>
      </w:r>
      <m:oMath>
        <m:r>
          <w:rPr>
            <w:rFonts w:ascii="Cambria Math" w:eastAsiaTheme="minorEastAsia" w:hAnsi="Cambria Math"/>
          </w:rPr>
          <m:t xml:space="preserve"> (J)</m:t>
        </m:r>
      </m:oMath>
      <w:r>
        <w:rPr>
          <w:rFonts w:eastAsiaTheme="minorEastAsia"/>
        </w:rPr>
        <w:t xml:space="preserve"> and induction time</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hAnsi="Cambria Math"/>
              </w:rPr>
              <m:t>t</m:t>
            </m:r>
          </m:e>
          <m:sub>
            <m:r>
              <w:rPr>
                <w:rFonts w:ascii="Cambria Math" w:eastAsiaTheme="minorEastAsia" w:hAnsi="Cambria Math"/>
              </w:rPr>
              <m:t>D</m:t>
            </m:r>
          </m:sub>
        </m:sSub>
        <m:r>
          <w:rPr>
            <w:rFonts w:ascii="Cambria Math" w:eastAsiaTheme="minorEastAsia" w:hAnsi="Cambria Math"/>
          </w:rPr>
          <m:t>)</m:t>
        </m:r>
      </m:oMath>
      <w:r>
        <w:rPr>
          <w:rFonts w:eastAsiaTheme="minorEastAsia"/>
        </w:rPr>
        <w:t xml:space="preserve"> are variables estimated by image </w:t>
      </w:r>
      <w:r w:rsidRPr="00FA0CC0">
        <w:rPr>
          <w:rFonts w:eastAsiaTheme="minorEastAsia"/>
        </w:rPr>
        <w:t>analysis (</w:t>
      </w:r>
      <w:r w:rsidRPr="006C421D">
        <w:t xml:space="preserve">Figure </w:t>
      </w:r>
      <w:r w:rsidRPr="006C421D">
        <w:rPr>
          <w:noProof/>
        </w:rPr>
        <w:t>3</w:t>
      </w:r>
      <w:r w:rsidRPr="00FA0CC0">
        <w:rPr>
          <w:rFonts w:eastAsiaTheme="minorEastAsia"/>
        </w:rPr>
        <w:t>),</w:t>
      </w:r>
      <w:r w:rsidRPr="005C436B">
        <w:rPr>
          <w:rFonts w:eastAsiaTheme="minorEastAsia"/>
        </w:rPr>
        <w:t xml:space="preserve"> which</w:t>
      </w:r>
      <w:r>
        <w:rPr>
          <w:rFonts w:eastAsiaTheme="minorEastAsia"/>
        </w:rPr>
        <w:t xml:space="preserve"> leaves the stiffness</w:t>
      </w:r>
      <m:oMath>
        <m:r>
          <w:rPr>
            <w:rFonts w:ascii="Cambria Math" w:eastAsiaTheme="minorEastAsia" w:hAnsi="Cambria Math"/>
          </w:rPr>
          <m:t xml:space="preserve"> (k)</m:t>
        </m:r>
      </m:oMath>
      <w:r>
        <w:rPr>
          <w:rFonts w:eastAsiaTheme="minorEastAsia"/>
        </w:rPr>
        <w:t>, dampening</w:t>
      </w:r>
      <m:oMath>
        <m:r>
          <w:rPr>
            <w:rFonts w:ascii="Cambria Math" w:eastAsiaTheme="minorEastAsia" w:hAnsi="Cambria Math"/>
          </w:rPr>
          <m:t xml:space="preserve"> (r)</m:t>
        </m:r>
      </m:oMath>
      <w:r>
        <w:rPr>
          <w:rFonts w:eastAsiaTheme="minorEastAsia"/>
        </w:rPr>
        <w:t xml:space="preserve"> and growth rate</w:t>
      </w:r>
      <m:oMath>
        <m:r>
          <w:rPr>
            <w:rFonts w:ascii="Cambria Math" w:eastAsiaTheme="minorEastAsia" w:hAnsi="Cambria Math"/>
          </w:rPr>
          <m:t xml:space="preserve"> (G)</m:t>
        </m:r>
      </m:oMath>
      <w:r>
        <w:rPr>
          <w:rFonts w:eastAsiaTheme="minorEastAsia"/>
        </w:rPr>
        <w:t xml:space="preserve"> as fitting parameters (three </w:t>
      </w:r>
      <w:r>
        <w:rPr>
          <w:rFonts w:eastAsiaTheme="minorEastAsia"/>
        </w:rPr>
        <w:lastRenderedPageBreak/>
        <w:t>degrees of freedom). Data was analysed using Matlab</w:t>
      </w:r>
      <w:r w:rsidRPr="005C4F60">
        <w:rPr>
          <w:rFonts w:eastAsiaTheme="minorEastAsia"/>
          <w:vertAlign w:val="superscript"/>
        </w:rPr>
        <w:t>®</w:t>
      </w:r>
      <w:r>
        <w:rPr>
          <w:rFonts w:eastAsiaTheme="minorEastAsia"/>
        </w:rPr>
        <w:t xml:space="preserve"> and QTM (courtesy of Johannsmann</w:t>
      </w:r>
      <w:r w:rsidRPr="00DD29C6">
        <w:rPr>
          <w:rFonts w:eastAsiaTheme="minorEastAsia"/>
          <w:noProof/>
          <w:vertAlign w:val="superscript"/>
        </w:rPr>
        <w:t>35</w:t>
      </w:r>
      <w:r>
        <w:rPr>
          <w:rFonts w:eastAsiaTheme="minorEastAsia"/>
        </w:rPr>
        <w:t>). In the Matlab</w:t>
      </w:r>
      <w:r w:rsidRPr="005C4F60">
        <w:rPr>
          <w:rFonts w:eastAsiaTheme="minorEastAsia"/>
          <w:vertAlign w:val="superscript"/>
        </w:rPr>
        <w:t>®</w:t>
      </w:r>
      <w:r>
        <w:rPr>
          <w:rFonts w:eastAsiaTheme="minorEastAsia"/>
        </w:rPr>
        <w:t xml:space="preserve"> optimisation toolbox, a multivariable constrained </w:t>
      </w:r>
      <w:r w:rsidRPr="00E02087">
        <w:t xml:space="preserve">non-linear </w:t>
      </w:r>
      <w:r>
        <w:rPr>
          <w:rFonts w:eastAsiaTheme="minorEastAsia"/>
        </w:rPr>
        <w:t>minimisation algorithm was used to search for the global minimum of the square of the difference between the model and experimental data. All frequency and dissipation overtones were fitted simultaneously with equal weighting.</w:t>
      </w:r>
    </w:p>
    <w:p w14:paraId="4D91D272" w14:textId="678DF323" w:rsidR="0053705A" w:rsidRDefault="002D54A7" w:rsidP="004652BD">
      <w:pPr>
        <w:pStyle w:val="TAMainText"/>
        <w:ind w:firstLine="142"/>
        <w:rPr>
          <w:rFonts w:eastAsiaTheme="minorEastAsia"/>
        </w:rPr>
      </w:pPr>
      <w:r w:rsidRPr="00393971">
        <w:rPr>
          <w:rFonts w:eastAsiaTheme="minorEastAsia"/>
        </w:rPr>
        <w:t xml:space="preserve">The model agrees well with experimental results for both frequency and dissipation shifts for the first four harmonics. The model successfully captures the negative shifts observed at the fundamental </w:t>
      </w:r>
      <w:r>
        <w:rPr>
          <w:rFonts w:eastAsiaTheme="minorEastAsia"/>
        </w:rPr>
        <w:t xml:space="preserve">overtone </w:t>
      </w:r>
      <w:r w:rsidRPr="00393971">
        <w:rPr>
          <w:rFonts w:eastAsiaTheme="minorEastAsia"/>
        </w:rPr>
        <w:t xml:space="preserve">and the gentle inversions </w:t>
      </w:r>
      <w:r>
        <w:rPr>
          <w:rFonts w:eastAsiaTheme="minorEastAsia"/>
        </w:rPr>
        <w:t xml:space="preserve">found in </w:t>
      </w:r>
      <w:r w:rsidRPr="00393971">
        <w:rPr>
          <w:rFonts w:eastAsiaTheme="minorEastAsia"/>
        </w:rPr>
        <w:t>the higher overtones</w:t>
      </w:r>
      <w:r>
        <w:rPr>
          <w:rFonts w:eastAsiaTheme="minorEastAsia"/>
        </w:rPr>
        <w:t>. Such features cannot be produced by conventional uniform layer viscoelastic models since they do not account for a nucleating-growing population of point load impedances. A comparison between the proposed model and several conventional models (including the Sauerbrey model, viscoelastic film in liquid model, and standard Kelvin-Voigt model) is available in Supplementary Material S.3.</w:t>
      </w:r>
      <w:r w:rsidRPr="00393971">
        <w:rPr>
          <w:rFonts w:eastAsiaTheme="minorEastAsia"/>
        </w:rPr>
        <w:t xml:space="preserve"> </w:t>
      </w:r>
      <w:r>
        <w:rPr>
          <w:rFonts w:eastAsiaTheme="minorEastAsia"/>
        </w:rPr>
        <w:t>Model</w:t>
      </w:r>
      <w:r w:rsidRPr="00393971">
        <w:rPr>
          <w:rFonts w:eastAsiaTheme="minorEastAsia"/>
        </w:rPr>
        <w:t xml:space="preserve"> </w:t>
      </w:r>
      <w:r>
        <w:rPr>
          <w:rFonts w:eastAsiaTheme="minorEastAsia"/>
        </w:rPr>
        <w:t>a</w:t>
      </w:r>
      <w:r w:rsidRPr="00393971">
        <w:rPr>
          <w:rFonts w:eastAsiaTheme="minorEastAsia"/>
        </w:rPr>
        <w:t>greement is better at lower supersaturation experiments</w:t>
      </w:r>
      <w:r>
        <w:rPr>
          <w:rFonts w:eastAsiaTheme="minorEastAsia"/>
        </w:rPr>
        <w:t xml:space="preserve"> for both frequency and dissipation across all overtones (with only three degrees of freedom) by employing a physically accurate description of the mechanics of crystallisation. A</w:t>
      </w:r>
      <w:r w:rsidRPr="00393971">
        <w:rPr>
          <w:rFonts w:eastAsiaTheme="minorEastAsia"/>
        </w:rPr>
        <w:t>t high supersaturation experiments (</w:t>
      </w:r>
      <w:r w:rsidRPr="00DE50E1">
        <w:rPr>
          <w:rFonts w:eastAsiaTheme="minorEastAsia"/>
          <w:i/>
        </w:rPr>
        <w:t>S=</w:t>
      </w:r>
      <w:r w:rsidRPr="00393971">
        <w:rPr>
          <w:rFonts w:eastAsiaTheme="minorEastAsia"/>
        </w:rPr>
        <w:t xml:space="preserve">3.75), </w:t>
      </w:r>
      <w:r>
        <w:rPr>
          <w:rFonts w:eastAsiaTheme="minorEastAsia"/>
        </w:rPr>
        <w:t>some minimal deviation is observed where</w:t>
      </w:r>
      <w:r w:rsidRPr="00393971">
        <w:rPr>
          <w:rFonts w:eastAsiaTheme="minorEastAsia"/>
        </w:rPr>
        <w:t xml:space="preserve"> an early prediction of the third overtone’s </w:t>
      </w:r>
      <w:r w:rsidRPr="005D7742">
        <w:rPr>
          <w:rFonts w:eastAsiaTheme="minorEastAsia"/>
        </w:rPr>
        <w:t>inversion (</w:t>
      </w:r>
      <w:r w:rsidRPr="006C421D">
        <w:t xml:space="preserve">Figure </w:t>
      </w:r>
      <w:r>
        <w:rPr>
          <w:noProof/>
        </w:rPr>
        <w:t>5</w:t>
      </w:r>
      <w:r w:rsidRPr="005D7742">
        <w:rPr>
          <w:rFonts w:eastAsiaTheme="minorEastAsia"/>
        </w:rPr>
        <w:t>a) and</w:t>
      </w:r>
      <w:r>
        <w:rPr>
          <w:rFonts w:eastAsiaTheme="minorEastAsia"/>
        </w:rPr>
        <w:t xml:space="preserve"> an underestimation of</w:t>
      </w:r>
      <w:r w:rsidRPr="00393971">
        <w:rPr>
          <w:rFonts w:eastAsiaTheme="minorEastAsia"/>
        </w:rPr>
        <w:t xml:space="preserve"> the fundamental dissipation</w:t>
      </w:r>
      <w:r>
        <w:rPr>
          <w:rFonts w:eastAsiaTheme="minorEastAsia"/>
        </w:rPr>
        <w:t xml:space="preserve"> </w:t>
      </w:r>
      <w:r w:rsidRPr="005D7742">
        <w:rPr>
          <w:rFonts w:eastAsiaTheme="minorEastAsia"/>
        </w:rPr>
        <w:t>(</w:t>
      </w:r>
      <w:r w:rsidRPr="006C421D">
        <w:t xml:space="preserve">Figure </w:t>
      </w:r>
      <w:r>
        <w:rPr>
          <w:noProof/>
        </w:rPr>
        <w:t>5</w:t>
      </w:r>
      <w:r w:rsidRPr="005D7742">
        <w:rPr>
          <w:rFonts w:eastAsiaTheme="minorEastAsia"/>
        </w:rPr>
        <w:t>b)</w:t>
      </w:r>
      <w:r>
        <w:rPr>
          <w:rFonts w:eastAsiaTheme="minorEastAsia"/>
        </w:rPr>
        <w:t xml:space="preserve"> occurs in the model</w:t>
      </w:r>
      <w:r w:rsidRPr="005D7742">
        <w:rPr>
          <w:rFonts w:eastAsiaTheme="minorEastAsia"/>
        </w:rPr>
        <w:t xml:space="preserve">. </w:t>
      </w:r>
      <w:r>
        <w:rPr>
          <w:rFonts w:eastAsiaTheme="minorEastAsia"/>
        </w:rPr>
        <w:t xml:space="preserve">Variation of </w:t>
      </w:r>
      <w:r w:rsidRPr="00754C12">
        <w:rPr>
          <w:rFonts w:eastAsiaTheme="minorEastAsia"/>
        </w:rPr>
        <w:t>fitting parameters (</w:t>
      </w:r>
      <m:oMath>
        <m:r>
          <w:rPr>
            <w:rFonts w:ascii="Cambria Math" w:eastAsiaTheme="minorEastAsia" w:hAnsi="Cambria Math"/>
          </w:rPr>
          <m:t>G</m:t>
        </m:r>
      </m:oMath>
      <w:r w:rsidRPr="00754C12">
        <w:rPr>
          <w:rFonts w:eastAsiaTheme="minorEastAsia"/>
        </w:rPr>
        <w:t>,</w:t>
      </w:r>
      <m:oMath>
        <m:r>
          <w:rPr>
            <w:rFonts w:ascii="Cambria Math" w:eastAsiaTheme="minorEastAsia" w:hAnsi="Cambria Math"/>
          </w:rPr>
          <m:t xml:space="preserve"> k</m:t>
        </m:r>
      </m:oMath>
      <w:r w:rsidRPr="00754C12">
        <w:rPr>
          <w:rFonts w:eastAsiaTheme="minorEastAsia"/>
        </w:rPr>
        <w:t xml:space="preserve">, and </w:t>
      </w:r>
      <m:oMath>
        <m:r>
          <w:rPr>
            <w:rFonts w:ascii="Cambria Math" w:eastAsiaTheme="minorEastAsia" w:hAnsi="Cambria Math"/>
          </w:rPr>
          <m:t>r</m:t>
        </m:r>
      </m:oMath>
      <w:r w:rsidRPr="00754C12">
        <w:rPr>
          <w:rFonts w:eastAsiaTheme="minorEastAsia"/>
        </w:rPr>
        <w:t xml:space="preserve">) with supersaturation is given in </w:t>
      </w:r>
      <w:r>
        <w:rPr>
          <w:rFonts w:eastAsiaTheme="minorEastAsia"/>
        </w:rPr>
        <w:t>Supplementary M</w:t>
      </w:r>
      <w:r w:rsidRPr="00754C12">
        <w:rPr>
          <w:rFonts w:eastAsiaTheme="minorEastAsia"/>
        </w:rPr>
        <w:t xml:space="preserve">aterial </w:t>
      </w:r>
      <w:r>
        <w:rPr>
          <w:rFonts w:eastAsiaTheme="minorEastAsia"/>
        </w:rPr>
        <w:t>S.4</w:t>
      </w:r>
      <w:r w:rsidRPr="00754C12">
        <w:rPr>
          <w:rFonts w:eastAsiaTheme="minorEastAsia"/>
        </w:rPr>
        <w:t>.</w:t>
      </w:r>
    </w:p>
    <w:p w14:paraId="0DE519CA" w14:textId="77777777" w:rsidR="001F08F1" w:rsidRDefault="001F08F1" w:rsidP="001F08F1">
      <w:pPr>
        <w:pStyle w:val="TAMainText"/>
        <w:tabs>
          <w:tab w:val="left" w:pos="284"/>
        </w:tabs>
        <w:ind w:firstLine="0"/>
        <w:rPr>
          <w:rFonts w:eastAsiaTheme="minorEastAsi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90"/>
      </w:tblGrid>
      <w:tr w:rsidR="001F08F1" w14:paraId="5A9C8C81" w14:textId="77777777" w:rsidTr="00CE04CE">
        <w:trPr>
          <w:jc w:val="center"/>
        </w:trPr>
        <w:tc>
          <w:tcPr>
            <w:tcW w:w="4786" w:type="dxa"/>
            <w:vAlign w:val="center"/>
          </w:tcPr>
          <w:p w14:paraId="291B052B" w14:textId="77777777" w:rsidR="001F08F1" w:rsidRDefault="001F08F1" w:rsidP="00CE04CE">
            <w:pPr>
              <w:spacing w:after="0"/>
              <w:jc w:val="center"/>
              <w:rPr>
                <w:rFonts w:eastAsiaTheme="minorEastAsia"/>
              </w:rPr>
            </w:pPr>
            <w:r w:rsidRPr="004652BD">
              <w:rPr>
                <w:rFonts w:eastAsiaTheme="minorEastAsia"/>
                <w:noProof/>
              </w:rPr>
              <w:lastRenderedPageBreak/>
              <w:drawing>
                <wp:inline distT="0" distB="0" distL="0" distR="0" wp14:anchorId="184EE41D" wp14:editId="2591E016">
                  <wp:extent cx="2456052" cy="1836000"/>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6052" cy="1836000"/>
                          </a:xfrm>
                          <a:prstGeom prst="rect">
                            <a:avLst/>
                          </a:prstGeom>
                          <a:noFill/>
                          <a:ln>
                            <a:noFill/>
                          </a:ln>
                        </pic:spPr>
                      </pic:pic>
                    </a:graphicData>
                  </a:graphic>
                </wp:inline>
              </w:drawing>
            </w:r>
          </w:p>
          <w:p w14:paraId="0CA21199" w14:textId="77777777" w:rsidR="001F08F1" w:rsidRDefault="001F08F1" w:rsidP="00CE04CE">
            <w:pPr>
              <w:spacing w:after="0"/>
              <w:jc w:val="center"/>
              <w:rPr>
                <w:rFonts w:eastAsiaTheme="minorEastAsia"/>
              </w:rPr>
            </w:pPr>
            <w:r>
              <w:rPr>
                <w:rFonts w:eastAsiaTheme="minorEastAsia"/>
              </w:rPr>
              <w:t>a</w:t>
            </w:r>
          </w:p>
        </w:tc>
        <w:tc>
          <w:tcPr>
            <w:tcW w:w="4790" w:type="dxa"/>
            <w:vAlign w:val="center"/>
          </w:tcPr>
          <w:p w14:paraId="4089DF4B" w14:textId="77777777" w:rsidR="001F08F1" w:rsidRDefault="001F08F1" w:rsidP="00CE04CE">
            <w:pPr>
              <w:spacing w:after="0"/>
              <w:jc w:val="center"/>
              <w:rPr>
                <w:rFonts w:eastAsiaTheme="minorEastAsia"/>
              </w:rPr>
            </w:pPr>
            <w:r w:rsidRPr="004652BD">
              <w:rPr>
                <w:rFonts w:eastAsiaTheme="minorEastAsia"/>
                <w:noProof/>
              </w:rPr>
              <w:drawing>
                <wp:inline distT="0" distB="0" distL="0" distR="0" wp14:anchorId="684E84A1" wp14:editId="2743101F">
                  <wp:extent cx="2456052" cy="1836000"/>
                  <wp:effectExtent l="0" t="0" r="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56052" cy="1836000"/>
                          </a:xfrm>
                          <a:prstGeom prst="rect">
                            <a:avLst/>
                          </a:prstGeom>
                          <a:noFill/>
                          <a:ln>
                            <a:noFill/>
                          </a:ln>
                        </pic:spPr>
                      </pic:pic>
                    </a:graphicData>
                  </a:graphic>
                </wp:inline>
              </w:drawing>
            </w:r>
          </w:p>
          <w:p w14:paraId="04480961" w14:textId="77777777" w:rsidR="001F08F1" w:rsidRDefault="001F08F1" w:rsidP="00CE04CE">
            <w:pPr>
              <w:spacing w:after="0"/>
              <w:jc w:val="center"/>
              <w:rPr>
                <w:rFonts w:eastAsiaTheme="minorEastAsia"/>
              </w:rPr>
            </w:pPr>
            <w:r>
              <w:rPr>
                <w:rFonts w:eastAsiaTheme="minorEastAsia"/>
              </w:rPr>
              <w:t>d</w:t>
            </w:r>
          </w:p>
        </w:tc>
      </w:tr>
      <w:tr w:rsidR="001F08F1" w14:paraId="0A6A11F4" w14:textId="77777777" w:rsidTr="00CE04CE">
        <w:trPr>
          <w:jc w:val="center"/>
        </w:trPr>
        <w:tc>
          <w:tcPr>
            <w:tcW w:w="4786" w:type="dxa"/>
            <w:vAlign w:val="center"/>
          </w:tcPr>
          <w:p w14:paraId="42C70888" w14:textId="77777777" w:rsidR="001F08F1" w:rsidRDefault="001F08F1" w:rsidP="00CE04CE">
            <w:pPr>
              <w:spacing w:after="0"/>
              <w:jc w:val="center"/>
              <w:rPr>
                <w:rFonts w:eastAsiaTheme="minorEastAsia"/>
              </w:rPr>
            </w:pPr>
            <w:r w:rsidRPr="004652BD">
              <w:rPr>
                <w:rFonts w:eastAsiaTheme="minorEastAsia"/>
                <w:noProof/>
              </w:rPr>
              <w:drawing>
                <wp:inline distT="0" distB="0" distL="0" distR="0" wp14:anchorId="52CE43DC" wp14:editId="4E0E3D84">
                  <wp:extent cx="2456053" cy="1836000"/>
                  <wp:effectExtent l="0" t="0" r="0"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6053" cy="1836000"/>
                          </a:xfrm>
                          <a:prstGeom prst="rect">
                            <a:avLst/>
                          </a:prstGeom>
                          <a:noFill/>
                          <a:ln>
                            <a:noFill/>
                          </a:ln>
                        </pic:spPr>
                      </pic:pic>
                    </a:graphicData>
                  </a:graphic>
                </wp:inline>
              </w:drawing>
            </w:r>
          </w:p>
          <w:p w14:paraId="689F10D0" w14:textId="77777777" w:rsidR="001F08F1" w:rsidRDefault="001F08F1" w:rsidP="00CE04CE">
            <w:pPr>
              <w:spacing w:after="0"/>
              <w:jc w:val="center"/>
              <w:rPr>
                <w:rFonts w:eastAsiaTheme="minorEastAsia"/>
              </w:rPr>
            </w:pPr>
            <w:r>
              <w:rPr>
                <w:rFonts w:eastAsiaTheme="minorEastAsia"/>
              </w:rPr>
              <w:t>b</w:t>
            </w:r>
          </w:p>
        </w:tc>
        <w:tc>
          <w:tcPr>
            <w:tcW w:w="4790" w:type="dxa"/>
            <w:vAlign w:val="center"/>
          </w:tcPr>
          <w:p w14:paraId="3954D960" w14:textId="77777777" w:rsidR="001F08F1" w:rsidRDefault="001F08F1" w:rsidP="00CE04CE">
            <w:pPr>
              <w:spacing w:after="0"/>
              <w:jc w:val="center"/>
              <w:rPr>
                <w:rFonts w:eastAsiaTheme="minorEastAsia"/>
              </w:rPr>
            </w:pPr>
            <w:r w:rsidRPr="004652BD">
              <w:rPr>
                <w:rFonts w:eastAsiaTheme="minorEastAsia"/>
                <w:noProof/>
              </w:rPr>
              <w:drawing>
                <wp:inline distT="0" distB="0" distL="0" distR="0" wp14:anchorId="135ACEB1" wp14:editId="1DB818B2">
                  <wp:extent cx="2456053" cy="1836000"/>
                  <wp:effectExtent l="0" t="0" r="0"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56053" cy="1836000"/>
                          </a:xfrm>
                          <a:prstGeom prst="rect">
                            <a:avLst/>
                          </a:prstGeom>
                          <a:noFill/>
                          <a:ln>
                            <a:noFill/>
                          </a:ln>
                        </pic:spPr>
                      </pic:pic>
                    </a:graphicData>
                  </a:graphic>
                </wp:inline>
              </w:drawing>
            </w:r>
          </w:p>
          <w:p w14:paraId="0723FB3D" w14:textId="77777777" w:rsidR="001F08F1" w:rsidRDefault="001F08F1" w:rsidP="00CE04CE">
            <w:pPr>
              <w:spacing w:after="0"/>
              <w:jc w:val="center"/>
              <w:rPr>
                <w:rFonts w:eastAsiaTheme="minorEastAsia"/>
              </w:rPr>
            </w:pPr>
            <w:r>
              <w:rPr>
                <w:rFonts w:eastAsiaTheme="minorEastAsia"/>
              </w:rPr>
              <w:t>e</w:t>
            </w:r>
          </w:p>
        </w:tc>
      </w:tr>
      <w:tr w:rsidR="001F08F1" w14:paraId="788224B9" w14:textId="77777777" w:rsidTr="00CE04CE">
        <w:trPr>
          <w:jc w:val="center"/>
        </w:trPr>
        <w:tc>
          <w:tcPr>
            <w:tcW w:w="4786" w:type="dxa"/>
            <w:vAlign w:val="center"/>
          </w:tcPr>
          <w:p w14:paraId="223F795C" w14:textId="77777777" w:rsidR="001F08F1" w:rsidRDefault="001F08F1" w:rsidP="00CE04CE">
            <w:pPr>
              <w:spacing w:after="0"/>
              <w:jc w:val="center"/>
              <w:rPr>
                <w:rFonts w:eastAsiaTheme="minorEastAsia"/>
              </w:rPr>
            </w:pPr>
            <w:r w:rsidRPr="004652BD">
              <w:rPr>
                <w:rFonts w:eastAsiaTheme="minorEastAsia"/>
                <w:noProof/>
              </w:rPr>
              <w:drawing>
                <wp:inline distT="0" distB="0" distL="0" distR="0" wp14:anchorId="3A982793" wp14:editId="7A33141B">
                  <wp:extent cx="2456053" cy="1836000"/>
                  <wp:effectExtent l="0" t="0" r="0" b="0"/>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6053" cy="1836000"/>
                          </a:xfrm>
                          <a:prstGeom prst="rect">
                            <a:avLst/>
                          </a:prstGeom>
                          <a:noFill/>
                          <a:ln>
                            <a:noFill/>
                          </a:ln>
                        </pic:spPr>
                      </pic:pic>
                    </a:graphicData>
                  </a:graphic>
                </wp:inline>
              </w:drawing>
            </w:r>
          </w:p>
          <w:p w14:paraId="781F8F57" w14:textId="77777777" w:rsidR="001F08F1" w:rsidRDefault="001F08F1" w:rsidP="00CE04CE">
            <w:pPr>
              <w:spacing w:after="0"/>
              <w:jc w:val="center"/>
              <w:rPr>
                <w:rFonts w:eastAsiaTheme="minorEastAsia"/>
              </w:rPr>
            </w:pPr>
            <w:r>
              <w:rPr>
                <w:rFonts w:eastAsiaTheme="minorEastAsia"/>
              </w:rPr>
              <w:t>c</w:t>
            </w:r>
          </w:p>
        </w:tc>
        <w:tc>
          <w:tcPr>
            <w:tcW w:w="4790" w:type="dxa"/>
            <w:vAlign w:val="center"/>
          </w:tcPr>
          <w:p w14:paraId="6DCB0366" w14:textId="77777777" w:rsidR="001F08F1" w:rsidRDefault="001F08F1" w:rsidP="00CE04CE">
            <w:pPr>
              <w:spacing w:after="0"/>
              <w:jc w:val="center"/>
              <w:rPr>
                <w:rFonts w:eastAsiaTheme="minorEastAsia"/>
              </w:rPr>
            </w:pPr>
            <w:r w:rsidRPr="004652BD">
              <w:rPr>
                <w:rFonts w:eastAsiaTheme="minorEastAsia"/>
                <w:noProof/>
              </w:rPr>
              <w:drawing>
                <wp:inline distT="0" distB="0" distL="0" distR="0" wp14:anchorId="14974A9E" wp14:editId="0B165E27">
                  <wp:extent cx="2456053" cy="1836000"/>
                  <wp:effectExtent l="0" t="0" r="0" b="0"/>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6053" cy="1836000"/>
                          </a:xfrm>
                          <a:prstGeom prst="rect">
                            <a:avLst/>
                          </a:prstGeom>
                          <a:noFill/>
                          <a:ln>
                            <a:noFill/>
                          </a:ln>
                        </pic:spPr>
                      </pic:pic>
                    </a:graphicData>
                  </a:graphic>
                </wp:inline>
              </w:drawing>
            </w:r>
          </w:p>
          <w:p w14:paraId="204E5791" w14:textId="77777777" w:rsidR="001F08F1" w:rsidRDefault="001F08F1" w:rsidP="00CE04CE">
            <w:pPr>
              <w:spacing w:after="0"/>
              <w:jc w:val="center"/>
              <w:rPr>
                <w:rFonts w:eastAsiaTheme="minorEastAsia"/>
              </w:rPr>
            </w:pPr>
            <w:r>
              <w:rPr>
                <w:rFonts w:eastAsiaTheme="minorEastAsia"/>
              </w:rPr>
              <w:t>f</w:t>
            </w:r>
          </w:p>
        </w:tc>
      </w:tr>
      <w:tr w:rsidR="001F08F1" w14:paraId="1100BF69" w14:textId="77777777" w:rsidTr="00CE04CE">
        <w:trPr>
          <w:trHeight w:val="357"/>
          <w:jc w:val="center"/>
        </w:trPr>
        <w:tc>
          <w:tcPr>
            <w:tcW w:w="9576" w:type="dxa"/>
            <w:gridSpan w:val="2"/>
            <w:vAlign w:val="center"/>
          </w:tcPr>
          <w:p w14:paraId="33C7BF40" w14:textId="77777777" w:rsidR="001F08F1" w:rsidRPr="00663944" w:rsidRDefault="001F08F1" w:rsidP="00CE04CE">
            <w:pPr>
              <w:pStyle w:val="VAFigureCaption"/>
              <w:spacing w:after="0"/>
              <w:jc w:val="center"/>
              <w:rPr>
                <w:rFonts w:eastAsiaTheme="minorEastAsia"/>
              </w:rPr>
            </w:pPr>
            <w:r>
              <w:rPr>
                <w:noProof/>
              </w:rPr>
              <w:drawing>
                <wp:inline distT="0" distB="0" distL="0" distR="0" wp14:anchorId="7426ADF8" wp14:editId="0AECFEF4">
                  <wp:extent cx="5067300" cy="300465"/>
                  <wp:effectExtent l="0" t="0" r="0" b="0"/>
                  <wp:docPr id="7197" name="Picture 7197"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l707\Desktop\Picture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07909" cy="302873"/>
                          </a:xfrm>
                          <a:prstGeom prst="rect">
                            <a:avLst/>
                          </a:prstGeom>
                          <a:noFill/>
                          <a:ln>
                            <a:noFill/>
                          </a:ln>
                        </pic:spPr>
                      </pic:pic>
                    </a:graphicData>
                  </a:graphic>
                </wp:inline>
              </w:drawing>
            </w:r>
          </w:p>
        </w:tc>
      </w:tr>
    </w:tbl>
    <w:p w14:paraId="64BBEBB8" w14:textId="1208C6EE" w:rsidR="001F08F1" w:rsidRDefault="001F08F1" w:rsidP="001F08F1">
      <w:pPr>
        <w:pStyle w:val="TAMainText"/>
        <w:ind w:firstLine="0"/>
        <w:rPr>
          <w:rFonts w:eastAsiaTheme="minorEastAsia"/>
        </w:rPr>
      </w:pPr>
      <w:r w:rsidRPr="00CD5AF2">
        <w:rPr>
          <w:b/>
        </w:rPr>
        <w:t xml:space="preserve">Figure </w:t>
      </w:r>
      <w:r>
        <w:rPr>
          <w:b/>
          <w:noProof/>
        </w:rPr>
        <w:t>5</w:t>
      </w:r>
      <w:r w:rsidRPr="00CD5AF2">
        <w:rPr>
          <w:b/>
          <w:noProof/>
        </w:rPr>
        <w:t>.</w:t>
      </w:r>
      <w:r w:rsidRPr="00EB7E9C">
        <w:t xml:space="preserve"> </w:t>
      </w:r>
      <w:r>
        <w:t xml:space="preserve">Agreement between experiment (dots) at </w:t>
      </w:r>
      <w:r w:rsidRPr="00373840">
        <w:rPr>
          <w:i/>
        </w:rPr>
        <w:t>S=</w:t>
      </w:r>
      <w:r>
        <w:t xml:space="preserve">3.75 (a,d) </w:t>
      </w:r>
      <w:r w:rsidRPr="00373840">
        <w:rPr>
          <w:i/>
        </w:rPr>
        <w:t>S=</w:t>
      </w:r>
      <w:r>
        <w:t xml:space="preserve">3.48 (b,e), and </w:t>
      </w:r>
      <w:r w:rsidRPr="00373840">
        <w:rPr>
          <w:i/>
        </w:rPr>
        <w:t>S=</w:t>
      </w:r>
      <w:r>
        <w:t>3.22 (c,f) and the</w:t>
      </w:r>
      <w:r w:rsidR="001B24E5">
        <w:t xml:space="preserve"> model described by Equation </w:t>
      </w:r>
      <w:bookmarkStart w:id="12" w:name="_GoBack"/>
      <w:bookmarkEnd w:id="12"/>
      <w:r w:rsidR="001B24E5">
        <w:t>8</w:t>
      </w:r>
      <w:r>
        <w:t xml:space="preserve"> (lines). (a-c) Frequency shifts, (d-f) Dissipation shifts (scaled to overtone).</w:t>
      </w:r>
    </w:p>
    <w:p w14:paraId="4BB58611" w14:textId="77777777" w:rsidR="001F08F1" w:rsidRDefault="001F08F1" w:rsidP="004652BD">
      <w:pPr>
        <w:pStyle w:val="TAMainText"/>
        <w:ind w:firstLine="142"/>
        <w:rPr>
          <w:rFonts w:eastAsiaTheme="minorEastAsia"/>
        </w:rPr>
      </w:pPr>
    </w:p>
    <w:p w14:paraId="6E434A1C" w14:textId="682119F4" w:rsidR="0053705A" w:rsidRDefault="0053705A" w:rsidP="0053705A">
      <w:pPr>
        <w:pStyle w:val="TAMainText"/>
        <w:rPr>
          <w:rFonts w:eastAsiaTheme="minorEastAsia"/>
        </w:rPr>
      </w:pPr>
    </w:p>
    <w:p w14:paraId="267F0730" w14:textId="77777777" w:rsidR="0053705A" w:rsidRDefault="0053705A" w:rsidP="0053705A">
      <w:pPr>
        <w:pStyle w:val="TAMainText"/>
        <w:rPr>
          <w:rFonts w:eastAsiaTheme="minorEastAsia"/>
        </w:rPr>
      </w:pPr>
      <w:r>
        <w:rPr>
          <w:rFonts w:eastAsiaTheme="minorEastAsia"/>
        </w:rPr>
        <w:lastRenderedPageBreak/>
        <w:t xml:space="preserve">Critically, the model’s accuracy allows for significant utility in understanding the mechanical properties underlying crystallisation growth, particularly using the </w:t>
      </w:r>
      <w:r w:rsidRPr="00393971">
        <w:rPr>
          <w:rFonts w:eastAsiaTheme="minorEastAsia"/>
        </w:rPr>
        <w:t>frequency inversions</w:t>
      </w:r>
      <w:r>
        <w:rPr>
          <w:rFonts w:eastAsiaTheme="minorEastAsia"/>
        </w:rPr>
        <w:t>.</w:t>
      </w:r>
      <w:r w:rsidRPr="00393971">
        <w:rPr>
          <w:rFonts w:eastAsiaTheme="minorEastAsia"/>
        </w:rPr>
        <w:t xml:space="preserve"> </w:t>
      </w:r>
      <w:r>
        <w:rPr>
          <w:rFonts w:eastAsiaTheme="minorEastAsia"/>
        </w:rPr>
        <w:t>W</w:t>
      </w:r>
      <w:r w:rsidRPr="00393971">
        <w:rPr>
          <w:rFonts w:eastAsiaTheme="minorEastAsia"/>
        </w:rPr>
        <w:t>hen crystals are young</w:t>
      </w:r>
      <w:r>
        <w:rPr>
          <w:rFonts w:eastAsiaTheme="minorEastAsia"/>
        </w:rPr>
        <w:t>,</w:t>
      </w:r>
      <w:r w:rsidRPr="00393971">
        <w:rPr>
          <w:rFonts w:eastAsiaTheme="minorEastAsia"/>
        </w:rPr>
        <w:t xml:space="preserve"> the impedance experienced by the QCM sensor is dominated by inertial</w:t>
      </w:r>
      <w:r>
        <w:rPr>
          <w:rFonts w:eastAsiaTheme="minorEastAsia"/>
        </w:rPr>
        <w:t>,</w:t>
      </w:r>
      <w:r w:rsidRPr="00393971">
        <w:rPr>
          <w:rFonts w:eastAsiaTheme="minorEastAsia"/>
        </w:rPr>
        <w:t xml:space="preserve"> rather than elastic</w:t>
      </w:r>
      <w:r>
        <w:rPr>
          <w:rFonts w:eastAsiaTheme="minorEastAsia"/>
        </w:rPr>
        <w:t>,</w:t>
      </w:r>
      <w:r w:rsidRPr="00393971">
        <w:rPr>
          <w:rFonts w:eastAsiaTheme="minorEastAsia"/>
        </w:rPr>
        <w:t xml:space="preserve"> forces. </w:t>
      </w:r>
      <w:r w:rsidRPr="002D5C2E">
        <w:rPr>
          <w:rFonts w:eastAsiaTheme="minorEastAsia"/>
        </w:rPr>
        <w:t>The new</w:t>
      </w:r>
      <w:r>
        <w:rPr>
          <w:rFonts w:eastAsiaTheme="minorEastAsia"/>
        </w:rPr>
        <w:t>ly</w:t>
      </w:r>
      <w:r w:rsidRPr="002D5C2E">
        <w:rPr>
          <w:rFonts w:eastAsiaTheme="minorEastAsia"/>
        </w:rPr>
        <w:t xml:space="preserve"> formed </w:t>
      </w:r>
      <w:r w:rsidRPr="00393971">
        <w:rPr>
          <w:rFonts w:eastAsiaTheme="minorEastAsia"/>
        </w:rPr>
        <w:t xml:space="preserve">crystals </w:t>
      </w:r>
      <w:r>
        <w:rPr>
          <w:rFonts w:eastAsiaTheme="minorEastAsia"/>
        </w:rPr>
        <w:t>that nucleate on</w:t>
      </w:r>
      <w:r w:rsidRPr="00393971">
        <w:rPr>
          <w:rFonts w:eastAsiaTheme="minorEastAsia"/>
        </w:rPr>
        <w:t xml:space="preserve"> the sensor’s surface act as rigid bodies </w:t>
      </w:r>
      <w:r>
        <w:rPr>
          <w:rFonts w:eastAsiaTheme="minorEastAsia"/>
        </w:rPr>
        <w:t>because</w:t>
      </w:r>
      <w:r w:rsidRPr="00393971">
        <w:rPr>
          <w:rFonts w:eastAsiaTheme="minorEastAsia"/>
        </w:rPr>
        <w:t xml:space="preserve"> their natural resonance is much higher than that of the sensor</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c</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k/m</m:t>
            </m:r>
          </m:e>
        </m:rad>
      </m:oMath>
      <w:r>
        <w:rPr>
          <w:rFonts w:eastAsiaTheme="minorEastAsia"/>
        </w:rPr>
        <w:t>)</w:t>
      </w:r>
      <w:r w:rsidRPr="00393971">
        <w:rPr>
          <w:rFonts w:eastAsiaTheme="minorEastAsia"/>
        </w:rPr>
        <w:t>. The inertia</w:t>
      </w:r>
      <w:r>
        <w:rPr>
          <w:rFonts w:eastAsiaTheme="minorEastAsia"/>
        </w:rPr>
        <w:t>l</w:t>
      </w:r>
      <w:r w:rsidRPr="00393971">
        <w:rPr>
          <w:rFonts w:eastAsiaTheme="minorEastAsia"/>
        </w:rPr>
        <w:t xml:space="preserve"> driven behaviour observed in the model can be emphasised by taking the limit of the impedance as the mass of the crystal approaches zero.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088"/>
        <w:gridCol w:w="1246"/>
      </w:tblGrid>
      <w:tr w:rsidR="0053705A" w14:paraId="60049012" w14:textId="77777777" w:rsidTr="002D54A7">
        <w:tc>
          <w:tcPr>
            <w:tcW w:w="1242" w:type="dxa"/>
            <w:vAlign w:val="center"/>
          </w:tcPr>
          <w:p w14:paraId="72438F61" w14:textId="77777777" w:rsidR="0053705A" w:rsidRDefault="0053705A" w:rsidP="002D54A7">
            <w:pPr>
              <w:pStyle w:val="TAMainText"/>
              <w:ind w:firstLine="0"/>
              <w:jc w:val="center"/>
              <w:rPr>
                <w:rFonts w:eastAsiaTheme="minorEastAsia"/>
              </w:rPr>
            </w:pPr>
          </w:p>
        </w:tc>
        <w:tc>
          <w:tcPr>
            <w:tcW w:w="7088" w:type="dxa"/>
            <w:vAlign w:val="center"/>
          </w:tcPr>
          <w:p w14:paraId="24E07F5D" w14:textId="77777777" w:rsidR="0053705A" w:rsidRDefault="001B24E5" w:rsidP="002D54A7">
            <w:pPr>
              <w:pStyle w:val="TAMainText"/>
              <w:ind w:firstLine="0"/>
              <w:jc w:val="center"/>
              <w:rPr>
                <w:rFonts w:eastAsiaTheme="minorEastAsia"/>
              </w:rPr>
            </w:pPr>
            <m:oMathPara>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m→0</m:t>
                        </m:r>
                      </m:lim>
                    </m:limLow>
                  </m:fName>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e>
                </m:func>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ηω</m:t>
                                </m:r>
                              </m:num>
                              <m:den>
                                <m:r>
                                  <w:rPr>
                                    <w:rFonts w:ascii="Cambria Math" w:eastAsiaTheme="minorEastAsia" w:hAnsi="Cambria Math"/>
                                  </w:rPr>
                                  <m:t>2</m:t>
                                </m:r>
                              </m:den>
                            </m:f>
                          </m:e>
                        </m:rad>
                        <m:d>
                          <m:dPr>
                            <m:ctrlPr>
                              <w:rPr>
                                <w:rFonts w:ascii="Cambria Math" w:eastAsiaTheme="minorEastAsia" w:hAnsi="Cambria Math"/>
                                <w:i/>
                              </w:rPr>
                            </m:ctrlPr>
                          </m:dPr>
                          <m:e>
                            <m:r>
                              <w:rPr>
                                <w:rFonts w:ascii="Cambria Math" w:eastAsiaTheme="minorEastAsia" w:hAnsi="Cambria Math"/>
                              </w:rPr>
                              <m:t>1-i</m:t>
                            </m:r>
                          </m:e>
                        </m:d>
                      </m:num>
                      <m:den>
                        <m:r>
                          <w:rPr>
                            <w:rFonts w:ascii="Cambria Math" w:eastAsiaTheme="minorEastAsia" w:hAnsi="Cambria Math"/>
                          </w:rPr>
                          <m:t>iω+</m:t>
                        </m:r>
                        <m:d>
                          <m:dPr>
                            <m:ctrlPr>
                              <w:rPr>
                                <w:rFonts w:ascii="Cambria Math" w:eastAsiaTheme="minorEastAsia" w:hAnsi="Cambria Math"/>
                                <w:i/>
                              </w:rPr>
                            </m:ctrlPr>
                          </m:dPr>
                          <m:e>
                            <m:r>
                              <w:rPr>
                                <w:rFonts w:ascii="Cambria Math" w:eastAsiaTheme="minorEastAsia" w:hAnsi="Cambria Math"/>
                              </w:rPr>
                              <m:t>1+i</m:t>
                            </m:r>
                          </m:e>
                        </m:d>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m:t>
                            </m:r>
                          </m:sub>
                        </m:sSub>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liq</m:t>
                                    </m:r>
                                  </m:sub>
                                </m:sSub>
                                <m:r>
                                  <w:rPr>
                                    <w:rFonts w:ascii="Cambria Math" w:eastAsiaTheme="minorEastAsia" w:hAnsi="Cambria Math"/>
                                  </w:rPr>
                                  <m:t>ηω</m:t>
                                </m:r>
                              </m:num>
                              <m:den>
                                <m:r>
                                  <w:rPr>
                                    <w:rFonts w:ascii="Cambria Math" w:eastAsiaTheme="minorEastAsia" w:hAnsi="Cambria Math"/>
                                  </w:rPr>
                                  <m:t>2</m:t>
                                </m:r>
                              </m:den>
                            </m:f>
                          </m:e>
                        </m:rad>
                      </m:den>
                    </m:f>
                  </m:e>
                </m:d>
                <m:r>
                  <w:rPr>
                    <w:rFonts w:ascii="Cambria Math" w:eastAsiaTheme="minorEastAsia" w:hAnsi="Cambria Math"/>
                  </w:rPr>
                  <m:t>m</m:t>
                </m:r>
              </m:oMath>
            </m:oMathPara>
          </w:p>
        </w:tc>
        <w:tc>
          <w:tcPr>
            <w:tcW w:w="1246" w:type="dxa"/>
            <w:vAlign w:val="center"/>
          </w:tcPr>
          <w:p w14:paraId="5382E7D4" w14:textId="77777777" w:rsidR="0053705A" w:rsidRDefault="0053705A" w:rsidP="002D54A7">
            <w:pPr>
              <w:pStyle w:val="TAMainText"/>
              <w:ind w:firstLine="0"/>
              <w:jc w:val="center"/>
              <w:rPr>
                <w:rFonts w:eastAsiaTheme="minorEastAsia"/>
              </w:rPr>
            </w:pPr>
            <w:r>
              <w:t>(</w:t>
            </w:r>
            <w:r>
              <w:rPr>
                <w:noProof/>
              </w:rPr>
              <w:t>10)</w:t>
            </w:r>
          </w:p>
        </w:tc>
      </w:tr>
    </w:tbl>
    <w:p w14:paraId="2A17FD80" w14:textId="77777777" w:rsidR="0053705A" w:rsidRPr="002107AD" w:rsidRDefault="0053705A" w:rsidP="0053705A">
      <w:pPr>
        <w:pStyle w:val="TAMainText"/>
        <w:ind w:firstLine="0"/>
      </w:pPr>
      <w:r w:rsidRPr="002107AD">
        <w:t>When approaching this limit, the crystal impedance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r>
          <w:rPr>
            <w:rFonts w:ascii="Cambria Math" w:hAnsi="Cambria Math"/>
          </w:rPr>
          <m:t>∝m</m:t>
        </m:r>
      </m:oMath>
      <w:r w:rsidRPr="002107AD">
        <w:t>) and negative frequency shift (</w:t>
      </w:r>
      <m:oMath>
        <m:r>
          <w:rPr>
            <w:rFonts w:ascii="Cambria Math" w:hAnsi="Cambria Math"/>
          </w:rPr>
          <m:t>∆f∝-m</m:t>
        </m:r>
      </m:oMath>
      <w:r w:rsidRPr="002107AD">
        <w:rPr>
          <w:rFonts w:eastAsiaTheme="minorEastAsia"/>
        </w:rPr>
        <w:t>,</w:t>
      </w:r>
      <w:r w:rsidRPr="002107AD">
        <w:t xml:space="preserve">) are both proportional to change in mass, similar to the behaviour described by the Sauerbrey equation. </w:t>
      </w:r>
      <w:r w:rsidRPr="002107AD">
        <w:rPr>
          <w:rFonts w:eastAsiaTheme="minorEastAsia"/>
        </w:rPr>
        <w:t>The contribution of the impedance imposed by the hydration layer plays an important part when approaching this limit as it contributes to both the frequency and dissipation shifts observed. The added dampening provided by the hydration layer accounts for the large dissipation shifts observed experimentally, which are otherwise underestimated by a standard Kelvin</w:t>
      </w:r>
      <w:r>
        <w:rPr>
          <w:rFonts w:eastAsiaTheme="minorEastAsia"/>
        </w:rPr>
        <w:t>-Voigt model.</w:t>
      </w:r>
    </w:p>
    <w:p w14:paraId="7564CDBF" w14:textId="77777777" w:rsidR="0053705A" w:rsidRDefault="0053705A" w:rsidP="0053705A">
      <w:pPr>
        <w:pStyle w:val="TAMainText"/>
        <w:ind w:firstLine="0"/>
      </w:pPr>
      <w:r>
        <w:t>After this initial period the crystals grow into a more macroscopic structure.</w:t>
      </w:r>
      <w:r w:rsidRPr="00FF4E75">
        <w:t xml:space="preserve"> </w:t>
      </w:r>
      <w:r>
        <w:t xml:space="preserve">As a result, </w:t>
      </w:r>
      <w:r w:rsidRPr="00FF4E75">
        <w:t>the</w:t>
      </w:r>
      <w:r>
        <w:t xml:space="preserve"> magnitude of</w:t>
      </w:r>
      <w:r w:rsidRPr="00FF4E75">
        <w:t xml:space="preserve"> inertial impedance increases </w:t>
      </w:r>
      <w:r>
        <w:t>and surpasses that of the elastic impedance</w:t>
      </w:r>
      <w:r w:rsidRPr="00FF4E75">
        <w:t xml:space="preserve">. </w:t>
      </w:r>
      <w:r w:rsidRPr="00593CD2">
        <w:t>The frequency inversion occurs when the crystal’s elasticity becomes the dominating impedance.</w:t>
      </w:r>
      <w:r w:rsidRPr="00133910">
        <w:t xml:space="preserve"> </w:t>
      </w:r>
      <w:r>
        <w:t>When the mass of the crystals becomes extremely large, the impedance is determined by the Kelvin-Voigt component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946"/>
        <w:gridCol w:w="1388"/>
      </w:tblGrid>
      <w:tr w:rsidR="0053705A" w14:paraId="350E2558" w14:textId="77777777" w:rsidTr="002D54A7">
        <w:tc>
          <w:tcPr>
            <w:tcW w:w="1242" w:type="dxa"/>
            <w:vAlign w:val="center"/>
          </w:tcPr>
          <w:p w14:paraId="373605B5" w14:textId="77777777" w:rsidR="0053705A" w:rsidRDefault="0053705A" w:rsidP="002D54A7">
            <w:pPr>
              <w:pStyle w:val="TAMainText"/>
              <w:ind w:firstLine="0"/>
              <w:jc w:val="center"/>
            </w:pPr>
          </w:p>
        </w:tc>
        <w:tc>
          <w:tcPr>
            <w:tcW w:w="6946" w:type="dxa"/>
            <w:vAlign w:val="center"/>
          </w:tcPr>
          <w:p w14:paraId="2E85CB32" w14:textId="77777777" w:rsidR="0053705A" w:rsidRDefault="001B24E5" w:rsidP="002D54A7">
            <w:pPr>
              <w:pStyle w:val="TAMainText"/>
              <w:ind w:firstLine="0"/>
              <w:jc w:val="center"/>
            </w:pPr>
            <m:oMathPara>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m→∞</m:t>
                        </m:r>
                      </m:lim>
                    </m:limLow>
                  </m:fName>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e>
                </m:func>
                <m:r>
                  <w:rPr>
                    <w:rFonts w:ascii="Cambria Math" w:eastAsiaTheme="minorEastAsia" w:hAnsi="Cambria Math"/>
                  </w:rPr>
                  <m:t>=r-i</m:t>
                </m:r>
                <m:f>
                  <m:fPr>
                    <m:ctrlPr>
                      <w:rPr>
                        <w:rFonts w:ascii="Cambria Math" w:eastAsiaTheme="minorEastAsia" w:hAnsi="Cambria Math"/>
                        <w:i/>
                      </w:rPr>
                    </m:ctrlPr>
                  </m:fPr>
                  <m:num>
                    <m:r>
                      <w:rPr>
                        <w:rFonts w:ascii="Cambria Math" w:eastAsiaTheme="minorEastAsia" w:hAnsi="Cambria Math"/>
                      </w:rPr>
                      <m:t>k</m:t>
                    </m:r>
                  </m:num>
                  <m:den>
                    <m:r>
                      <w:rPr>
                        <w:rFonts w:ascii="Cambria Math" w:eastAsiaTheme="minorEastAsia" w:hAnsi="Cambria Math"/>
                      </w:rPr>
                      <m:t>ω</m:t>
                    </m:r>
                  </m:den>
                </m:f>
              </m:oMath>
            </m:oMathPara>
          </w:p>
        </w:tc>
        <w:tc>
          <w:tcPr>
            <w:tcW w:w="1388" w:type="dxa"/>
            <w:vAlign w:val="center"/>
          </w:tcPr>
          <w:p w14:paraId="5DD0F9DB" w14:textId="77777777" w:rsidR="0053705A" w:rsidRDefault="0053705A" w:rsidP="002D54A7">
            <w:pPr>
              <w:pStyle w:val="TAMainText"/>
              <w:ind w:firstLine="0"/>
              <w:jc w:val="center"/>
            </w:pPr>
            <w:r>
              <w:t>(</w:t>
            </w:r>
            <w:r>
              <w:rPr>
                <w:noProof/>
              </w:rPr>
              <w:t>11)</w:t>
            </w:r>
          </w:p>
        </w:tc>
      </w:tr>
    </w:tbl>
    <w:p w14:paraId="7ABB7230" w14:textId="77777777" w:rsidR="0053705A" w:rsidRDefault="0053705A" w:rsidP="0053705A">
      <w:pPr>
        <w:pStyle w:val="TAMainText"/>
        <w:ind w:firstLine="0"/>
      </w:pPr>
      <w:r>
        <w:t>The shift from inertial to elastic impedance is depicted by Figure 6b. The imaginary component of the crystals’ impedance (black curve) follows Equation 10 (blue curve), then changes sign (green point) and asymptotically approaches Equation 11 (red line).</w:t>
      </w:r>
    </w:p>
    <w:p w14:paraId="041897BF" w14:textId="77777777" w:rsidR="0053705A" w:rsidRDefault="0053705A" w:rsidP="0053705A">
      <w:pPr>
        <w:pStyle w:val="TAMainText"/>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2"/>
        <w:gridCol w:w="1736"/>
        <w:gridCol w:w="1456"/>
        <w:gridCol w:w="3192"/>
      </w:tblGrid>
      <w:tr w:rsidR="0053705A" w14:paraId="79C3BC10" w14:textId="77777777" w:rsidTr="002D54A7">
        <w:trPr>
          <w:trHeight w:val="4082"/>
        </w:trPr>
        <w:tc>
          <w:tcPr>
            <w:tcW w:w="4928" w:type="dxa"/>
            <w:gridSpan w:val="2"/>
            <w:vAlign w:val="center"/>
          </w:tcPr>
          <w:p w14:paraId="3E823B0D" w14:textId="77777777" w:rsidR="0053705A" w:rsidRDefault="0053705A" w:rsidP="002D54A7">
            <w:pPr>
              <w:pStyle w:val="TAMainText"/>
              <w:ind w:firstLine="0"/>
              <w:jc w:val="center"/>
            </w:pPr>
            <w:r>
              <w:rPr>
                <w:noProof/>
              </w:rPr>
              <w:drawing>
                <wp:inline distT="0" distB="0" distL="0" distR="0" wp14:anchorId="7BF9E56C" wp14:editId="3CE3671B">
                  <wp:extent cx="2913321" cy="2525577"/>
                  <wp:effectExtent l="0" t="0" r="0" b="8255"/>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9679" cy="2531089"/>
                          </a:xfrm>
                          <a:prstGeom prst="rect">
                            <a:avLst/>
                          </a:prstGeom>
                          <a:noFill/>
                          <a:ln>
                            <a:noFill/>
                          </a:ln>
                        </pic:spPr>
                      </pic:pic>
                    </a:graphicData>
                  </a:graphic>
                </wp:inline>
              </w:drawing>
            </w:r>
          </w:p>
          <w:p w14:paraId="25203233" w14:textId="77777777" w:rsidR="0053705A" w:rsidRDefault="0053705A" w:rsidP="002D54A7">
            <w:pPr>
              <w:pStyle w:val="TAMainText"/>
              <w:ind w:firstLine="0"/>
              <w:jc w:val="center"/>
            </w:pPr>
            <w:r>
              <w:t>a</w:t>
            </w:r>
          </w:p>
        </w:tc>
        <w:tc>
          <w:tcPr>
            <w:tcW w:w="4648" w:type="dxa"/>
            <w:gridSpan w:val="2"/>
            <w:vAlign w:val="center"/>
          </w:tcPr>
          <w:p w14:paraId="5F328526" w14:textId="77777777" w:rsidR="0053705A" w:rsidRDefault="0053705A" w:rsidP="002D54A7">
            <w:pPr>
              <w:pStyle w:val="TAMainText"/>
              <w:ind w:firstLine="0"/>
              <w:jc w:val="center"/>
            </w:pPr>
            <w:r>
              <w:rPr>
                <w:noProof/>
              </w:rPr>
              <w:drawing>
                <wp:inline distT="0" distB="0" distL="0" distR="0" wp14:anchorId="7AF74ED9" wp14:editId="7C98C514">
                  <wp:extent cx="2927173" cy="2510841"/>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33799" cy="2516525"/>
                          </a:xfrm>
                          <a:prstGeom prst="rect">
                            <a:avLst/>
                          </a:prstGeom>
                          <a:noFill/>
                          <a:ln>
                            <a:noFill/>
                          </a:ln>
                        </pic:spPr>
                      </pic:pic>
                    </a:graphicData>
                  </a:graphic>
                </wp:inline>
              </w:drawing>
            </w:r>
          </w:p>
          <w:p w14:paraId="302AEC9B" w14:textId="77777777" w:rsidR="0053705A" w:rsidRDefault="0053705A" w:rsidP="002D54A7">
            <w:pPr>
              <w:pStyle w:val="TAMainText"/>
              <w:ind w:firstLine="0"/>
              <w:jc w:val="center"/>
            </w:pPr>
            <w:r>
              <w:t>b</w:t>
            </w:r>
          </w:p>
        </w:tc>
      </w:tr>
      <w:tr w:rsidR="0053705A" w14:paraId="65DBE49C" w14:textId="77777777" w:rsidTr="002D54A7">
        <w:trPr>
          <w:trHeight w:val="508"/>
        </w:trPr>
        <w:tc>
          <w:tcPr>
            <w:tcW w:w="3192" w:type="dxa"/>
            <w:vAlign w:val="center"/>
          </w:tcPr>
          <w:p w14:paraId="6512B622" w14:textId="77777777" w:rsidR="0053705A" w:rsidRDefault="0053705A" w:rsidP="002D54A7">
            <w:pPr>
              <w:pStyle w:val="TAMainText"/>
              <w:ind w:firstLine="0"/>
              <w:jc w:val="right"/>
              <w:rPr>
                <w:noProof/>
                <w:lang w:eastAsia="en-GB"/>
              </w:rPr>
            </w:pPr>
            <w:r>
              <w:rPr>
                <w:noProof/>
              </w:rPr>
              <w:drawing>
                <wp:inline distT="0" distB="0" distL="0" distR="0" wp14:anchorId="0BCD7FFD" wp14:editId="65B3B9CA">
                  <wp:extent cx="1114790" cy="323850"/>
                  <wp:effectExtent l="0" t="0" r="0" b="0"/>
                  <wp:docPr id="7189" name="Picture 7189"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l707\Desktop\Picture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14790" cy="323850"/>
                          </a:xfrm>
                          <a:prstGeom prst="rect">
                            <a:avLst/>
                          </a:prstGeom>
                          <a:noFill/>
                          <a:ln>
                            <a:noFill/>
                          </a:ln>
                        </pic:spPr>
                      </pic:pic>
                    </a:graphicData>
                  </a:graphic>
                </wp:inline>
              </w:drawing>
            </w:r>
          </w:p>
        </w:tc>
        <w:tc>
          <w:tcPr>
            <w:tcW w:w="3192" w:type="dxa"/>
            <w:gridSpan w:val="2"/>
            <w:vAlign w:val="center"/>
          </w:tcPr>
          <w:p w14:paraId="19E22E2A" w14:textId="77777777" w:rsidR="0053705A" w:rsidRDefault="0053705A" w:rsidP="002D54A7">
            <w:pPr>
              <w:pStyle w:val="TAMainText"/>
              <w:ind w:firstLine="0"/>
              <w:jc w:val="center"/>
              <w:rPr>
                <w:noProof/>
                <w:lang w:eastAsia="en-GB"/>
              </w:rPr>
            </w:pPr>
            <w:r>
              <w:rPr>
                <w:noProof/>
              </w:rPr>
              <w:drawing>
                <wp:inline distT="0" distB="0" distL="0" distR="0" wp14:anchorId="3AEB7305" wp14:editId="75A84B39">
                  <wp:extent cx="1784006" cy="333375"/>
                  <wp:effectExtent l="0" t="0" r="0" b="0"/>
                  <wp:docPr id="7184" name="Picture 7184"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l707\Desktop\Picture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86843" cy="333905"/>
                          </a:xfrm>
                          <a:prstGeom prst="rect">
                            <a:avLst/>
                          </a:prstGeom>
                          <a:noFill/>
                          <a:ln>
                            <a:noFill/>
                          </a:ln>
                        </pic:spPr>
                      </pic:pic>
                    </a:graphicData>
                  </a:graphic>
                </wp:inline>
              </w:drawing>
            </w:r>
          </w:p>
        </w:tc>
        <w:tc>
          <w:tcPr>
            <w:tcW w:w="3192" w:type="dxa"/>
            <w:vAlign w:val="center"/>
          </w:tcPr>
          <w:p w14:paraId="1511C5BF" w14:textId="77777777" w:rsidR="0053705A" w:rsidRDefault="0053705A" w:rsidP="002D54A7">
            <w:pPr>
              <w:pStyle w:val="TAMainText"/>
              <w:ind w:firstLine="0"/>
              <w:jc w:val="left"/>
              <w:rPr>
                <w:noProof/>
                <w:lang w:eastAsia="en-GB"/>
              </w:rPr>
            </w:pPr>
            <w:r>
              <w:rPr>
                <w:noProof/>
              </w:rPr>
              <w:drawing>
                <wp:inline distT="0" distB="0" distL="0" distR="0" wp14:anchorId="545AC3B0" wp14:editId="39122C0D">
                  <wp:extent cx="1784007" cy="333375"/>
                  <wp:effectExtent l="0" t="0" r="0" b="0"/>
                  <wp:docPr id="7185" name="Picture 7185" descr="C:\Users\tl7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l707\Desktop\Picture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84007" cy="333375"/>
                          </a:xfrm>
                          <a:prstGeom prst="rect">
                            <a:avLst/>
                          </a:prstGeom>
                          <a:noFill/>
                          <a:ln>
                            <a:noFill/>
                          </a:ln>
                        </pic:spPr>
                      </pic:pic>
                    </a:graphicData>
                  </a:graphic>
                </wp:inline>
              </w:drawing>
            </w:r>
          </w:p>
        </w:tc>
      </w:tr>
    </w:tbl>
    <w:p w14:paraId="3FDE25AA" w14:textId="77777777" w:rsidR="0053705A" w:rsidRDefault="0053705A" w:rsidP="0053705A">
      <w:pPr>
        <w:pStyle w:val="TAMainText"/>
        <w:ind w:firstLine="0"/>
      </w:pPr>
      <w:bookmarkStart w:id="13" w:name="_Ref434414369"/>
      <w:r w:rsidRPr="00EF76A1">
        <w:rPr>
          <w:b/>
        </w:rPr>
        <w:t xml:space="preserve">Figure </w:t>
      </w:r>
      <w:bookmarkEnd w:id="13"/>
      <w:r>
        <w:rPr>
          <w:b/>
          <w:noProof/>
        </w:rPr>
        <w:t>6</w:t>
      </w:r>
      <w:r w:rsidRPr="00EF76A1">
        <w:rPr>
          <w:b/>
        </w:rPr>
        <w:t>.</w:t>
      </w:r>
      <w:r>
        <w:t xml:space="preserve"> Variation of the crystal’s impedance (at</w:t>
      </w:r>
      <m:oMath>
        <m:r>
          <w:rPr>
            <w:rFonts w:ascii="Cambria Math" w:hAnsi="Cambria Math"/>
          </w:rPr>
          <m:t xml:space="preserve"> n=1</m:t>
        </m:r>
      </m:oMath>
      <w:r>
        <w:t>) with mass (Equation 7, in black), transitioning from the inertial regime (Equation 10, in blue) to the elastic regime (Equation 11, in red). (a) Real component corresponds to dissipation shift. (b) Imaginary component corresponds to frequency shift. Inversion point highlighted in green. Here</w:t>
      </w:r>
      <m:oMath>
        <m:r>
          <w:rPr>
            <w:rFonts w:ascii="Cambria Math" w:hAnsi="Cambria Math"/>
          </w:rPr>
          <m:t xml:space="preserve"> k=</m:t>
        </m:r>
        <m:sSup>
          <m:sSupPr>
            <m:ctrlPr>
              <w:rPr>
                <w:rFonts w:ascii="Cambria Math" w:hAnsi="Cambria Math"/>
                <w:i/>
              </w:rPr>
            </m:ctrlPr>
          </m:sSupPr>
          <m:e>
            <m:r>
              <w:rPr>
                <w:rFonts w:ascii="Cambria Math" w:hAnsi="Cambria Math"/>
              </w:rPr>
              <m:t>10</m:t>
            </m:r>
          </m:e>
          <m:sup>
            <m:r>
              <w:rPr>
                <w:rFonts w:ascii="Cambria Math" w:hAnsi="Cambria Math"/>
              </w:rPr>
              <m:t>5</m:t>
            </m:r>
          </m:sup>
        </m:sSup>
      </m:oMath>
      <w:r>
        <w:t>,</w:t>
      </w:r>
      <m:oMath>
        <m:r>
          <w:rPr>
            <w:rFonts w:ascii="Cambria Math" w:hAnsi="Cambria Math"/>
          </w:rPr>
          <m:t xml:space="preserve"> r=</m:t>
        </m:r>
        <m:sSup>
          <m:sSupPr>
            <m:ctrlPr>
              <w:rPr>
                <w:rFonts w:ascii="Cambria Math" w:hAnsi="Cambria Math"/>
                <w:i/>
              </w:rPr>
            </m:ctrlPr>
          </m:sSupPr>
          <m:e>
            <m:r>
              <w:rPr>
                <w:rFonts w:ascii="Cambria Math" w:hAnsi="Cambria Math"/>
              </w:rPr>
              <m:t>10</m:t>
            </m:r>
          </m:e>
          <m:sup>
            <m:r>
              <w:rPr>
                <w:rFonts w:ascii="Cambria Math" w:hAnsi="Cambria Math"/>
              </w:rPr>
              <m:t>-3</m:t>
            </m:r>
          </m:sup>
        </m:sSup>
      </m:oMath>
      <w:r>
        <w:t>,</w:t>
      </w:r>
      <m:oMath>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s</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oMath>
      <w:r>
        <w:t>.</w:t>
      </w:r>
    </w:p>
    <w:p w14:paraId="3ED9808B" w14:textId="77777777" w:rsidR="0053705A" w:rsidRDefault="0053705A" w:rsidP="004652BD">
      <w:pPr>
        <w:pStyle w:val="TAMainText"/>
        <w:spacing w:after="240"/>
        <w:ind w:firstLine="0"/>
        <w:jc w:val="left"/>
      </w:pPr>
    </w:p>
    <w:p w14:paraId="5DFBD493" w14:textId="77777777" w:rsidR="001F08F1" w:rsidRDefault="001F08F1" w:rsidP="00604F1E">
      <w:pPr>
        <w:pStyle w:val="TAMainText"/>
        <w:ind w:firstLine="0"/>
        <w:rPr>
          <w:b/>
        </w:rPr>
      </w:pPr>
      <w:bookmarkStart w:id="14" w:name="_Ref418544328"/>
    </w:p>
    <w:bookmarkEnd w:id="14"/>
    <w:p w14:paraId="6B9DC768" w14:textId="77777777" w:rsidR="00FB7578" w:rsidRPr="006C75F2" w:rsidRDefault="00FB7578" w:rsidP="00604F1E">
      <w:pPr>
        <w:pStyle w:val="TAMainText"/>
        <w:ind w:firstLine="0"/>
        <w:rPr>
          <w:rFonts w:eastAsiaTheme="minorEastAsia"/>
        </w:rPr>
      </w:pPr>
    </w:p>
    <w:p w14:paraId="1EF7C869" w14:textId="77777777" w:rsidR="00CD5AF2" w:rsidRDefault="001A1F28" w:rsidP="004652BD">
      <w:pPr>
        <w:pStyle w:val="TAMainText"/>
        <w:spacing w:after="240"/>
        <w:ind w:firstLine="0"/>
        <w:jc w:val="center"/>
      </w:pPr>
      <w:r>
        <w:lastRenderedPageBreak/>
        <w:t>CONCLUSION</w:t>
      </w:r>
    </w:p>
    <w:p w14:paraId="22D01FB7" w14:textId="77777777" w:rsidR="004E65A0" w:rsidRDefault="00BB31F4" w:rsidP="00124E34">
      <w:pPr>
        <w:pStyle w:val="TAMainText"/>
      </w:pPr>
      <w:r>
        <w:rPr>
          <w:lang w:eastAsia="en-GB"/>
        </w:rPr>
        <w:t>A novel model was derived from the well-established equivalent</w:t>
      </w:r>
      <w:r w:rsidRPr="00941C80">
        <w:rPr>
          <w:lang w:eastAsia="en-GB"/>
        </w:rPr>
        <w:t xml:space="preserve"> </w:t>
      </w:r>
      <w:r>
        <w:rPr>
          <w:lang w:eastAsia="en-GB"/>
        </w:rPr>
        <w:t xml:space="preserve">Mason circuit theory for the purpose of correctly analysing surface crystallisation using a QCM-D. The model proposed herein utilises both the liquid impedance imposed by the salt solution and the Kelvin-Voigt viscoelasticity model to accurately represent the physical phenomena occurring in crystal growth. This model </w:t>
      </w:r>
      <w:r w:rsidR="00757E41">
        <w:rPr>
          <w:lang w:eastAsia="en-GB"/>
        </w:rPr>
        <w:t xml:space="preserve">shows good agreement with </w:t>
      </w:r>
      <w:r>
        <w:rPr>
          <w:lang w:eastAsia="en-GB"/>
        </w:rPr>
        <w:t xml:space="preserve">both </w:t>
      </w:r>
      <w:r w:rsidR="00757E41">
        <w:rPr>
          <w:lang w:eastAsia="en-GB"/>
        </w:rPr>
        <w:t xml:space="preserve">the </w:t>
      </w:r>
      <w:r>
        <w:rPr>
          <w:lang w:eastAsia="en-GB"/>
        </w:rPr>
        <w:t>frequency and dissipation shifts observed experimentally in crystallisation</w:t>
      </w:r>
      <w:r w:rsidR="00757E41">
        <w:rPr>
          <w:lang w:eastAsia="en-GB"/>
        </w:rPr>
        <w:t xml:space="preserve"> for </w:t>
      </w:r>
      <w:r>
        <w:rPr>
          <w:lang w:eastAsia="en-GB"/>
        </w:rPr>
        <w:t>all supersaturation conditions</w:t>
      </w:r>
      <w:r w:rsidR="00757E41">
        <w:rPr>
          <w:lang w:eastAsia="en-GB"/>
        </w:rPr>
        <w:t xml:space="preserve"> tested</w:t>
      </w:r>
      <w:r>
        <w:rPr>
          <w:lang w:eastAsia="en-GB"/>
        </w:rPr>
        <w:t xml:space="preserve">. </w:t>
      </w:r>
      <w:r w:rsidR="00757E41">
        <w:rPr>
          <w:lang w:eastAsia="en-GB"/>
        </w:rPr>
        <w:t xml:space="preserve">Alternative models are far less successful in </w:t>
      </w:r>
      <w:r>
        <w:rPr>
          <w:lang w:eastAsia="en-GB"/>
        </w:rPr>
        <w:t>correctly predict</w:t>
      </w:r>
      <w:r w:rsidR="00757E41">
        <w:rPr>
          <w:lang w:eastAsia="en-GB"/>
        </w:rPr>
        <w:t>ing</w:t>
      </w:r>
      <w:r>
        <w:rPr>
          <w:lang w:eastAsia="en-GB"/>
        </w:rPr>
        <w:t xml:space="preserve"> </w:t>
      </w:r>
      <w:r w:rsidR="00757E41">
        <w:rPr>
          <w:lang w:eastAsia="en-GB"/>
        </w:rPr>
        <w:t xml:space="preserve">the critical </w:t>
      </w:r>
      <w:r>
        <w:rPr>
          <w:lang w:eastAsia="en-GB"/>
        </w:rPr>
        <w:t xml:space="preserve">frequency inversions for different harmonic overtones. </w:t>
      </w:r>
      <w:r w:rsidR="00757E41">
        <w:rPr>
          <w:lang w:eastAsia="en-GB"/>
        </w:rPr>
        <w:t>With the use of an appropriate QCM-D model, t</w:t>
      </w:r>
      <w:r w:rsidR="00444B96">
        <w:rPr>
          <w:lang w:eastAsia="en-GB"/>
        </w:rPr>
        <w:t>raditional microscop</w:t>
      </w:r>
      <w:r w:rsidR="00757E41">
        <w:rPr>
          <w:lang w:eastAsia="en-GB"/>
        </w:rPr>
        <w:t>ic</w:t>
      </w:r>
      <w:r w:rsidR="00444B96">
        <w:rPr>
          <w:lang w:eastAsia="en-GB"/>
        </w:rPr>
        <w:t xml:space="preserve"> imaging of calcium sulphate crystalli</w:t>
      </w:r>
      <w:r w:rsidR="00480D08">
        <w:rPr>
          <w:lang w:eastAsia="en-GB"/>
        </w:rPr>
        <w:t>s</w:t>
      </w:r>
      <w:r w:rsidR="00444B96">
        <w:rPr>
          <w:lang w:eastAsia="en-GB"/>
        </w:rPr>
        <w:t>ation</w:t>
      </w:r>
      <w:r w:rsidR="00757E41">
        <w:rPr>
          <w:lang w:eastAsia="en-GB"/>
        </w:rPr>
        <w:t xml:space="preserve"> </w:t>
      </w:r>
      <w:r w:rsidR="00B21194">
        <w:rPr>
          <w:lang w:eastAsia="en-GB"/>
        </w:rPr>
        <w:t>provides a</w:t>
      </w:r>
      <w:r w:rsidR="00757E41">
        <w:rPr>
          <w:lang w:eastAsia="en-GB"/>
        </w:rPr>
        <w:t xml:space="preserve"> more mechanistic understanding of the crystalli</w:t>
      </w:r>
      <w:r w:rsidR="00FD774C">
        <w:rPr>
          <w:lang w:eastAsia="en-GB"/>
        </w:rPr>
        <w:t>s</w:t>
      </w:r>
      <w:r w:rsidR="00757E41">
        <w:rPr>
          <w:lang w:eastAsia="en-GB"/>
        </w:rPr>
        <w:t>ation process.</w:t>
      </w:r>
      <w:r w:rsidR="00676518">
        <w:rPr>
          <w:lang w:eastAsia="en-GB"/>
        </w:rPr>
        <w:t xml:space="preserve"> </w:t>
      </w:r>
      <w:r w:rsidR="00444B96">
        <w:rPr>
          <w:lang w:eastAsia="en-GB"/>
        </w:rPr>
        <w:t>Nucleation rate</w:t>
      </w:r>
      <w:r w:rsidR="00480D08">
        <w:rPr>
          <w:lang w:eastAsia="en-GB"/>
        </w:rPr>
        <w:t>s</w:t>
      </w:r>
      <w:r w:rsidR="004B6EE0">
        <w:rPr>
          <w:lang w:eastAsia="en-GB"/>
        </w:rPr>
        <w:t xml:space="preserve"> and induction time</w:t>
      </w:r>
      <w:r w:rsidR="00480D08">
        <w:rPr>
          <w:lang w:eastAsia="en-GB"/>
        </w:rPr>
        <w:t>s</w:t>
      </w:r>
      <w:r w:rsidR="004B6EE0">
        <w:rPr>
          <w:lang w:eastAsia="en-GB"/>
        </w:rPr>
        <w:t xml:space="preserve"> at various supersaturations</w:t>
      </w:r>
      <w:r w:rsidR="00444B96">
        <w:rPr>
          <w:lang w:eastAsia="en-GB"/>
        </w:rPr>
        <w:t xml:space="preserve"> were calculated using image </w:t>
      </w:r>
      <w:r w:rsidR="00BE10CB">
        <w:rPr>
          <w:lang w:eastAsia="en-GB"/>
        </w:rPr>
        <w:t xml:space="preserve">analysis. </w:t>
      </w:r>
      <w:r w:rsidR="000B0E88">
        <w:rPr>
          <w:lang w:eastAsia="en-GB"/>
        </w:rPr>
        <w:t xml:space="preserve">The proposed model </w:t>
      </w:r>
      <w:r w:rsidR="00015F3E">
        <w:rPr>
          <w:lang w:eastAsia="en-GB"/>
        </w:rPr>
        <w:t xml:space="preserve">was </w:t>
      </w:r>
      <w:r w:rsidR="000B0E88">
        <w:rPr>
          <w:lang w:eastAsia="en-GB"/>
        </w:rPr>
        <w:t>used to determine t</w:t>
      </w:r>
      <w:r w:rsidR="00757E41">
        <w:rPr>
          <w:lang w:eastAsia="en-GB"/>
        </w:rPr>
        <w:t xml:space="preserve">he </w:t>
      </w:r>
      <w:r w:rsidR="001A1F28">
        <w:rPr>
          <w:lang w:eastAsia="en-GB"/>
        </w:rPr>
        <w:t>crystallisation growth rates</w:t>
      </w:r>
      <w:r w:rsidR="00757E41">
        <w:rPr>
          <w:lang w:eastAsia="en-GB"/>
        </w:rPr>
        <w:t xml:space="preserve"> and </w:t>
      </w:r>
      <w:r w:rsidR="001A1F28">
        <w:rPr>
          <w:lang w:eastAsia="en-GB"/>
        </w:rPr>
        <w:t xml:space="preserve">extract the stiffness and </w:t>
      </w:r>
      <w:r w:rsidR="004B6EE0">
        <w:rPr>
          <w:lang w:eastAsia="en-GB"/>
        </w:rPr>
        <w:t>dampening</w:t>
      </w:r>
      <w:r w:rsidR="001A1F28">
        <w:rPr>
          <w:lang w:eastAsia="en-GB"/>
        </w:rPr>
        <w:t xml:space="preserve"> constants of the surface crystallisation proces</w:t>
      </w:r>
      <w:r w:rsidR="00124E34">
        <w:rPr>
          <w:lang w:eastAsia="en-GB"/>
        </w:rPr>
        <w:t>s.</w:t>
      </w:r>
      <w:r w:rsidR="004E65A0">
        <w:br w:type="page"/>
      </w:r>
    </w:p>
    <w:p w14:paraId="255D7278" w14:textId="77777777" w:rsidR="00716E41" w:rsidRDefault="00716E41" w:rsidP="00F41BF5">
      <w:pPr>
        <w:pStyle w:val="SNSynopsisTOC"/>
        <w:spacing w:after="240"/>
        <w:jc w:val="left"/>
        <w:sectPr w:rsidR="00716E41" w:rsidSect="000B5610">
          <w:footerReference w:type="even" r:id="rId48"/>
          <w:footerReference w:type="default" r:id="rId49"/>
          <w:type w:val="continuous"/>
          <w:pgSz w:w="12240" w:h="15840"/>
          <w:pgMar w:top="1440" w:right="1440" w:bottom="1440" w:left="1440" w:header="0" w:footer="0" w:gutter="0"/>
          <w:cols w:space="475"/>
          <w:docGrid w:linePitch="326"/>
        </w:sectPr>
      </w:pPr>
    </w:p>
    <w:p w14:paraId="0CFD27E9" w14:textId="77777777" w:rsidR="00F41BF5" w:rsidRDefault="00F41BF5" w:rsidP="004652BD">
      <w:pPr>
        <w:pStyle w:val="SNSynopsisTOC"/>
        <w:spacing w:after="240"/>
        <w:jc w:val="center"/>
      </w:pPr>
      <w:r>
        <w:lastRenderedPageBreak/>
        <w:t>NOME</w:t>
      </w:r>
      <w:r w:rsidR="00B6326E">
        <w:t>N</w:t>
      </w:r>
      <w:r>
        <w:t>CLATURE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4464"/>
        <w:gridCol w:w="1600"/>
      </w:tblGrid>
      <w:tr w:rsidR="00F41BF5" w14:paraId="0BB29775" w14:textId="77777777" w:rsidTr="00015F3E">
        <w:trPr>
          <w:jc w:val="center"/>
        </w:trPr>
        <w:tc>
          <w:tcPr>
            <w:tcW w:w="1384" w:type="dxa"/>
            <w:tcBorders>
              <w:top w:val="single" w:sz="4" w:space="0" w:color="auto"/>
              <w:bottom w:val="single" w:sz="4" w:space="0" w:color="auto"/>
            </w:tcBorders>
          </w:tcPr>
          <w:p w14:paraId="66F0BF9A" w14:textId="77777777" w:rsidR="00F41BF5" w:rsidRPr="00DA1FDB" w:rsidRDefault="00F41BF5" w:rsidP="00EC7F8D">
            <w:pPr>
              <w:pStyle w:val="TCTableBody"/>
              <w:spacing w:after="0"/>
              <w:jc w:val="center"/>
            </w:pPr>
            <w:r w:rsidRPr="00DA1FDB">
              <w:t>Symbol</w:t>
            </w:r>
          </w:p>
        </w:tc>
        <w:tc>
          <w:tcPr>
            <w:tcW w:w="4464" w:type="dxa"/>
            <w:tcBorders>
              <w:top w:val="single" w:sz="4" w:space="0" w:color="auto"/>
              <w:bottom w:val="single" w:sz="4" w:space="0" w:color="auto"/>
            </w:tcBorders>
          </w:tcPr>
          <w:p w14:paraId="3CF36C5C" w14:textId="77777777" w:rsidR="00F41BF5" w:rsidRPr="00DA1FDB" w:rsidRDefault="00F41BF5" w:rsidP="00EC7F8D">
            <w:pPr>
              <w:pStyle w:val="TCTableBody"/>
              <w:spacing w:after="0"/>
            </w:pPr>
            <w:r w:rsidRPr="00DA1FDB">
              <w:t>Description</w:t>
            </w:r>
          </w:p>
        </w:tc>
        <w:tc>
          <w:tcPr>
            <w:tcW w:w="1600" w:type="dxa"/>
            <w:tcBorders>
              <w:top w:val="single" w:sz="4" w:space="0" w:color="auto"/>
              <w:bottom w:val="single" w:sz="4" w:space="0" w:color="auto"/>
            </w:tcBorders>
          </w:tcPr>
          <w:p w14:paraId="6190D119" w14:textId="77777777" w:rsidR="00F41BF5" w:rsidRPr="00DA1FDB" w:rsidRDefault="00F41BF5" w:rsidP="00EC7F8D">
            <w:pPr>
              <w:pStyle w:val="TCTableBody"/>
              <w:spacing w:after="0"/>
              <w:jc w:val="center"/>
            </w:pPr>
            <w:r w:rsidRPr="00DA1FDB">
              <w:t>Units</w:t>
            </w:r>
          </w:p>
        </w:tc>
      </w:tr>
      <w:tr w:rsidR="00F41BF5" w14:paraId="637A74B6" w14:textId="77777777" w:rsidTr="00015F3E">
        <w:trPr>
          <w:jc w:val="center"/>
        </w:trPr>
        <w:tc>
          <w:tcPr>
            <w:tcW w:w="1384" w:type="dxa"/>
          </w:tcPr>
          <w:p w14:paraId="5D692224" w14:textId="77777777" w:rsidR="00F41BF5" w:rsidRPr="00C20A61"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A</m:t>
                    </m:r>
                  </m:e>
                  <m:sub>
                    <m:r>
                      <w:rPr>
                        <w:rFonts w:ascii="Cambria Math" w:eastAsia="Calibri" w:hAnsi="Cambria Math" w:cs="Times New Roman"/>
                      </w:rPr>
                      <m:t>c</m:t>
                    </m:r>
                  </m:sub>
                </m:sSub>
              </m:oMath>
            </m:oMathPara>
          </w:p>
        </w:tc>
        <w:tc>
          <w:tcPr>
            <w:tcW w:w="4464" w:type="dxa"/>
          </w:tcPr>
          <w:p w14:paraId="254FB996" w14:textId="77777777" w:rsidR="00F41BF5" w:rsidRDefault="00F41BF5" w:rsidP="00EC7F8D">
            <w:pPr>
              <w:pStyle w:val="TCTableBody"/>
              <w:spacing w:after="0"/>
            </w:pPr>
            <w:r>
              <w:t>Crystal contact area with surface</w:t>
            </w:r>
          </w:p>
        </w:tc>
        <w:tc>
          <w:tcPr>
            <w:tcW w:w="1600" w:type="dxa"/>
          </w:tcPr>
          <w:p w14:paraId="7E8F88A7" w14:textId="77777777" w:rsidR="00F41BF5" w:rsidRPr="000E6BF9" w:rsidRDefault="001B24E5" w:rsidP="00EC7F8D">
            <w:pPr>
              <w:pStyle w:val="TCTableBody"/>
              <w:spacing w:after="0"/>
              <w:rPr>
                <w:rFonts w:ascii="Calibri" w:eastAsia="Calibri" w:hAnsi="Calibri" w:cs="Times New Roman"/>
              </w:rPr>
            </w:pPr>
            <m:oMathPara>
              <m:oMath>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58099F" w14:paraId="55927ABE" w14:textId="77777777" w:rsidTr="00015F3E">
        <w:trPr>
          <w:jc w:val="center"/>
        </w:trPr>
        <w:tc>
          <w:tcPr>
            <w:tcW w:w="1384" w:type="dxa"/>
          </w:tcPr>
          <w:p w14:paraId="6BDC68AB" w14:textId="77777777" w:rsidR="0058099F" w:rsidRDefault="001B24E5" w:rsidP="00EC7F8D">
            <w:pPr>
              <w:pStyle w:val="TCTableBody"/>
              <w:spacing w:after="0"/>
            </w:pPr>
            <m:oMathPara>
              <m:oMath>
                <m:sSub>
                  <m:sSubPr>
                    <m:ctrlPr>
                      <w:rPr>
                        <w:rFonts w:ascii="Cambria Math" w:eastAsia="Calibri" w:hAnsi="Cambria Math" w:cs="Times New Roman"/>
                      </w:rPr>
                    </m:ctrlPr>
                  </m:sSubPr>
                  <m:e>
                    <m:r>
                      <w:rPr>
                        <w:rFonts w:ascii="Cambria Math" w:eastAsia="Calibri" w:hAnsi="Cambria Math" w:cs="Times New Roman"/>
                      </w:rPr>
                      <m:t>A</m:t>
                    </m:r>
                  </m:e>
                  <m:sub>
                    <m:r>
                      <w:rPr>
                        <w:rFonts w:ascii="Cambria Math" w:eastAsia="Calibri" w:hAnsi="Cambria Math" w:cs="Times New Roman"/>
                      </w:rPr>
                      <m:t>liq</m:t>
                    </m:r>
                  </m:sub>
                </m:sSub>
              </m:oMath>
            </m:oMathPara>
          </w:p>
        </w:tc>
        <w:tc>
          <w:tcPr>
            <w:tcW w:w="4464" w:type="dxa"/>
          </w:tcPr>
          <w:p w14:paraId="01A8604F" w14:textId="77777777" w:rsidR="0058099F" w:rsidRDefault="0058099F" w:rsidP="00EC7F8D">
            <w:pPr>
              <w:pStyle w:val="TCTableBody"/>
              <w:spacing w:after="0"/>
            </w:pPr>
            <w:r>
              <w:t>Area of crystal-liquid interface</w:t>
            </w:r>
          </w:p>
        </w:tc>
        <w:tc>
          <w:tcPr>
            <w:tcW w:w="1600" w:type="dxa"/>
          </w:tcPr>
          <w:p w14:paraId="338377AA" w14:textId="77777777" w:rsidR="0058099F" w:rsidRDefault="001B24E5" w:rsidP="00EC7F8D">
            <w:pPr>
              <w:pStyle w:val="TCTableBody"/>
              <w:spacing w:after="0"/>
              <w:rPr>
                <w:rFonts w:eastAsia="Calibri"/>
              </w:rPr>
            </w:pPr>
            <m:oMathPara>
              <m:oMath>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58099F" w14:paraId="00E0A3F9" w14:textId="77777777" w:rsidTr="00015F3E">
        <w:trPr>
          <w:jc w:val="center"/>
        </w:trPr>
        <w:tc>
          <w:tcPr>
            <w:tcW w:w="1384" w:type="dxa"/>
          </w:tcPr>
          <w:p w14:paraId="6F7BA306" w14:textId="77777777" w:rsidR="0058099F" w:rsidRDefault="001B24E5" w:rsidP="00EC7F8D">
            <w:pPr>
              <w:pStyle w:val="TCTableBody"/>
              <w:spacing w:after="0"/>
            </w:pPr>
            <m:oMathPara>
              <m:oMath>
                <m:sSub>
                  <m:sSubPr>
                    <m:ctrlPr>
                      <w:rPr>
                        <w:rFonts w:ascii="Cambria Math" w:hAnsi="Cambria Math"/>
                        <w:i/>
                      </w:rPr>
                    </m:ctrlPr>
                  </m:sSubPr>
                  <m:e>
                    <m:r>
                      <w:rPr>
                        <w:rFonts w:ascii="Cambria Math" w:hAnsi="Cambria Math"/>
                      </w:rPr>
                      <m:t>A</m:t>
                    </m:r>
                  </m:e>
                  <m:sub>
                    <m:r>
                      <w:rPr>
                        <w:rFonts w:ascii="Cambria Math" w:hAnsi="Cambria Math"/>
                      </w:rPr>
                      <m:t>q</m:t>
                    </m:r>
                  </m:sub>
                </m:sSub>
              </m:oMath>
            </m:oMathPara>
          </w:p>
        </w:tc>
        <w:tc>
          <w:tcPr>
            <w:tcW w:w="4464" w:type="dxa"/>
          </w:tcPr>
          <w:p w14:paraId="752A1729" w14:textId="77777777" w:rsidR="0058099F" w:rsidRDefault="0058099F" w:rsidP="00EC7F8D">
            <w:pPr>
              <w:pStyle w:val="TCTableBody"/>
              <w:spacing w:after="0"/>
            </w:pPr>
            <w:r>
              <w:t>Quartz active area</w:t>
            </w:r>
          </w:p>
        </w:tc>
        <w:tc>
          <w:tcPr>
            <w:tcW w:w="1600" w:type="dxa"/>
          </w:tcPr>
          <w:p w14:paraId="6AC77501" w14:textId="77777777" w:rsidR="0058099F" w:rsidRDefault="001B24E5" w:rsidP="00EC7F8D">
            <w:pPr>
              <w:pStyle w:val="TCTableBody"/>
              <w:spacing w:after="0"/>
              <w:rPr>
                <w:rFonts w:eastAsia="Calibri"/>
              </w:rPr>
            </w:pPr>
            <m:oMathPara>
              <m:oMath>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F41BF5" w14:paraId="54A42DC8" w14:textId="77777777" w:rsidTr="00015F3E">
        <w:trPr>
          <w:jc w:val="center"/>
        </w:trPr>
        <w:tc>
          <w:tcPr>
            <w:tcW w:w="1384" w:type="dxa"/>
          </w:tcPr>
          <w:p w14:paraId="44FF3DA1" w14:textId="77777777" w:rsidR="00F41BF5" w:rsidRPr="00BA36D0" w:rsidRDefault="00F41BF5" w:rsidP="00EC7F8D">
            <w:pPr>
              <w:pStyle w:val="TCTableBody"/>
              <w:spacing w:after="0"/>
              <w:rPr>
                <w:rFonts w:ascii="Calibri" w:eastAsia="Calibri" w:hAnsi="Calibri" w:cs="Times New Roman"/>
              </w:rPr>
            </w:pPr>
            <m:oMathPara>
              <m:oMath>
                <m:r>
                  <w:rPr>
                    <w:rFonts w:ascii="Cambria Math" w:eastAsia="Calibri" w:hAnsi="Cambria Math" w:cs="Times New Roman"/>
                  </w:rPr>
                  <m:t>C</m:t>
                </m:r>
              </m:oMath>
            </m:oMathPara>
          </w:p>
        </w:tc>
        <w:tc>
          <w:tcPr>
            <w:tcW w:w="4464" w:type="dxa"/>
          </w:tcPr>
          <w:p w14:paraId="0EEC2FD8" w14:textId="77777777" w:rsidR="00F41BF5" w:rsidRDefault="00F41BF5" w:rsidP="00EC7F8D">
            <w:pPr>
              <w:pStyle w:val="TCTableBody"/>
              <w:spacing w:after="0"/>
            </w:pPr>
            <w:r>
              <w:t>Concentrations</w:t>
            </w:r>
          </w:p>
        </w:tc>
        <w:tc>
          <w:tcPr>
            <w:tcW w:w="1600" w:type="dxa"/>
          </w:tcPr>
          <w:p w14:paraId="15F4350F" w14:textId="77777777" w:rsidR="00F41BF5" w:rsidRPr="000E6BF9" w:rsidRDefault="00F41BF5" w:rsidP="00EC7F8D">
            <w:pPr>
              <w:pStyle w:val="TCTableBody"/>
              <w:spacing w:after="0"/>
              <w:rPr>
                <w:rFonts w:ascii="Calibri" w:eastAsia="Calibri" w:hAnsi="Calibri" w:cs="Times New Roman"/>
              </w:rPr>
            </w:pPr>
            <m:oMathPara>
              <m:oMath>
                <m:r>
                  <w:rPr>
                    <w:rFonts w:ascii="Cambria Math" w:eastAsia="Calibri" w:hAnsi="Cambria Math" w:cs="Times New Roman"/>
                  </w:rPr>
                  <m:t>mol</m:t>
                </m:r>
                <m:r>
                  <m:rPr>
                    <m:sty m:val="p"/>
                  </m:rPr>
                  <w:rPr>
                    <w:rFonts w:ascii="Cambria Math" w:eastAsia="Calibri" w:hAnsi="Cambria Math" w:cs="Times New Roman"/>
                  </w:rPr>
                  <m:t xml:space="preserve"> </m:t>
                </m:r>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3</m:t>
                    </m:r>
                  </m:sup>
                </m:sSup>
              </m:oMath>
            </m:oMathPara>
          </w:p>
        </w:tc>
      </w:tr>
      <w:tr w:rsidR="00F41BF5" w14:paraId="57E211ED" w14:textId="77777777" w:rsidTr="00015F3E">
        <w:trPr>
          <w:jc w:val="center"/>
        </w:trPr>
        <w:tc>
          <w:tcPr>
            <w:tcW w:w="1384" w:type="dxa"/>
          </w:tcPr>
          <w:p w14:paraId="397D2760" w14:textId="77777777" w:rsidR="00F41BF5" w:rsidRPr="00BA36D0" w:rsidRDefault="001B24E5" w:rsidP="004A02B4">
            <w:pPr>
              <w:pStyle w:val="TCTableBody"/>
              <w:spacing w:after="0"/>
              <w:rPr>
                <w:rFonts w:ascii="Calibri" w:eastAsia="Calibri" w:hAnsi="Calibri" w:cs="Times New Roman"/>
              </w:rPr>
            </w:pPr>
            <m:oMathPara>
              <m:oMath>
                <m:sSup>
                  <m:sSupPr>
                    <m:ctrlPr>
                      <w:rPr>
                        <w:rFonts w:ascii="Cambria Math" w:eastAsia="Calibri" w:hAnsi="Cambria Math" w:cs="Times New Roman"/>
                      </w:rPr>
                    </m:ctrlPr>
                  </m:sSupPr>
                  <m:e>
                    <m:r>
                      <w:rPr>
                        <w:rFonts w:ascii="Cambria Math" w:eastAsia="Calibri" w:hAnsi="Cambria Math" w:cs="Times New Roman"/>
                      </w:rPr>
                      <m:t>C</m:t>
                    </m:r>
                  </m:e>
                  <m:sup>
                    <m:r>
                      <w:rPr>
                        <w:rFonts w:ascii="Cambria Math" w:eastAsia="Calibri" w:hAnsi="Cambria Math" w:cs="Times New Roman"/>
                      </w:rPr>
                      <m:t>*</m:t>
                    </m:r>
                  </m:sup>
                </m:sSup>
              </m:oMath>
            </m:oMathPara>
          </w:p>
        </w:tc>
        <w:tc>
          <w:tcPr>
            <w:tcW w:w="4464" w:type="dxa"/>
          </w:tcPr>
          <w:p w14:paraId="115C5FED" w14:textId="77777777" w:rsidR="00F41BF5" w:rsidRDefault="00F41BF5" w:rsidP="00EC7F8D">
            <w:pPr>
              <w:pStyle w:val="TCTableBody"/>
              <w:spacing w:after="0"/>
            </w:pPr>
            <w:r>
              <w:t>Solubility</w:t>
            </w:r>
          </w:p>
        </w:tc>
        <w:tc>
          <w:tcPr>
            <w:tcW w:w="1600" w:type="dxa"/>
          </w:tcPr>
          <w:p w14:paraId="1FD8B69B" w14:textId="77777777" w:rsidR="00F41BF5" w:rsidRPr="000E6BF9" w:rsidRDefault="00F41BF5" w:rsidP="00EC7F8D">
            <w:pPr>
              <w:pStyle w:val="TCTableBody"/>
              <w:spacing w:after="0"/>
              <w:rPr>
                <w:rFonts w:ascii="Calibri" w:eastAsia="Calibri" w:hAnsi="Calibri" w:cs="Times New Roman"/>
              </w:rPr>
            </w:pPr>
            <m:oMathPara>
              <m:oMath>
                <m:r>
                  <w:rPr>
                    <w:rFonts w:ascii="Cambria Math" w:eastAsia="Calibri" w:hAnsi="Cambria Math" w:cs="Times New Roman"/>
                  </w:rPr>
                  <m:t>mol</m:t>
                </m:r>
                <m:r>
                  <m:rPr>
                    <m:sty m:val="p"/>
                  </m:rPr>
                  <w:rPr>
                    <w:rFonts w:ascii="Cambria Math" w:eastAsia="Calibri" w:hAnsi="Cambria Math" w:cs="Times New Roman"/>
                  </w:rPr>
                  <m:t xml:space="preserve"> </m:t>
                </m:r>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3</m:t>
                    </m:r>
                  </m:sup>
                </m:sSup>
              </m:oMath>
            </m:oMathPara>
          </w:p>
        </w:tc>
      </w:tr>
      <w:tr w:rsidR="0058099F" w14:paraId="27C2C90E" w14:textId="77777777" w:rsidTr="00015F3E">
        <w:trPr>
          <w:jc w:val="center"/>
        </w:trPr>
        <w:tc>
          <w:tcPr>
            <w:tcW w:w="1384" w:type="dxa"/>
          </w:tcPr>
          <w:p w14:paraId="16D6A517" w14:textId="77777777" w:rsidR="0058099F" w:rsidRDefault="001B24E5" w:rsidP="00EC7F8D">
            <w:pPr>
              <w:pStyle w:val="TCTableBody"/>
              <w:spacing w:after="0"/>
            </w:pPr>
            <m:oMathPara>
              <m:oMath>
                <m:sSub>
                  <m:sSubPr>
                    <m:ctrlPr>
                      <w:rPr>
                        <w:rFonts w:ascii="Cambria Math" w:eastAsia="Calibri" w:hAnsi="Cambria Math" w:cs="Times New Roman"/>
                      </w:rPr>
                    </m:ctrlPr>
                  </m:sSubPr>
                  <m:e>
                    <m:r>
                      <m:rPr>
                        <m:scr m:val="script"/>
                        <m:sty m:val="p"/>
                      </m:rPr>
                      <w:rPr>
                        <w:rFonts w:ascii="Cambria Math" w:eastAsia="Calibri" w:hAnsi="Cambria Math" w:cs="Times New Roman"/>
                      </w:rPr>
                      <m:t>C</m:t>
                    </m:r>
                  </m:e>
                  <m:sub>
                    <m:r>
                      <m:rPr>
                        <m:sty m:val="p"/>
                      </m:rPr>
                      <w:rPr>
                        <w:rFonts w:ascii="Cambria Math" w:eastAsia="Calibri" w:hAnsi="Cambria Math" w:cs="Times New Roman"/>
                      </w:rPr>
                      <m:t>0</m:t>
                    </m:r>
                  </m:sub>
                </m:sSub>
              </m:oMath>
            </m:oMathPara>
          </w:p>
        </w:tc>
        <w:tc>
          <w:tcPr>
            <w:tcW w:w="4464" w:type="dxa"/>
          </w:tcPr>
          <w:p w14:paraId="43881DBA" w14:textId="77777777" w:rsidR="0058099F" w:rsidRDefault="0058099F" w:rsidP="00EC7F8D">
            <w:pPr>
              <w:pStyle w:val="TCTableBody"/>
              <w:spacing w:after="0"/>
            </w:pPr>
            <w:r>
              <w:t>Parasitic capacitance</w:t>
            </w:r>
          </w:p>
        </w:tc>
        <w:tc>
          <w:tcPr>
            <w:tcW w:w="1600" w:type="dxa"/>
          </w:tcPr>
          <w:p w14:paraId="57E92F27" w14:textId="77777777" w:rsidR="0058099F" w:rsidRDefault="0058099F" w:rsidP="00EC7F8D">
            <w:pPr>
              <w:pStyle w:val="TCTableBody"/>
              <w:spacing w:after="0"/>
              <w:rPr>
                <w:rFonts w:eastAsia="Calibri"/>
              </w:rPr>
            </w:pPr>
            <m:oMathPara>
              <m:oMath>
                <m:r>
                  <w:rPr>
                    <w:rFonts w:ascii="Cambria Math" w:eastAsia="Calibri" w:hAnsi="Cambria Math" w:cs="Times New Roman"/>
                  </w:rPr>
                  <m:t>F</m:t>
                </m:r>
              </m:oMath>
            </m:oMathPara>
          </w:p>
        </w:tc>
      </w:tr>
      <w:tr w:rsidR="0058099F" w14:paraId="2ACB4121" w14:textId="77777777" w:rsidTr="00015F3E">
        <w:trPr>
          <w:jc w:val="center"/>
        </w:trPr>
        <w:tc>
          <w:tcPr>
            <w:tcW w:w="1384" w:type="dxa"/>
          </w:tcPr>
          <w:p w14:paraId="76A7E869" w14:textId="77777777" w:rsidR="0058099F" w:rsidRPr="00F76654"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D</m:t>
                </m:r>
              </m:oMath>
            </m:oMathPara>
          </w:p>
        </w:tc>
        <w:tc>
          <w:tcPr>
            <w:tcW w:w="4464" w:type="dxa"/>
          </w:tcPr>
          <w:p w14:paraId="228C0B8B" w14:textId="77777777" w:rsidR="0058099F" w:rsidRDefault="0058099F" w:rsidP="00EC7F8D">
            <w:pPr>
              <w:pStyle w:val="TCTableBody"/>
              <w:spacing w:after="0"/>
            </w:pPr>
            <w:r>
              <w:t>Dissipation</w:t>
            </w:r>
          </w:p>
        </w:tc>
        <w:tc>
          <w:tcPr>
            <w:tcW w:w="1600" w:type="dxa"/>
          </w:tcPr>
          <w:p w14:paraId="71A38FA9" w14:textId="77777777" w:rsidR="0058099F" w:rsidRDefault="0058099F" w:rsidP="00EC7F8D">
            <w:pPr>
              <w:pStyle w:val="TCTableBody"/>
              <w:spacing w:after="0"/>
              <w:jc w:val="center"/>
              <w:rPr>
                <w:rFonts w:ascii="Calibri" w:eastAsia="Calibri" w:hAnsi="Calibri" w:cs="Times New Roman"/>
              </w:rPr>
            </w:pPr>
            <w:r>
              <w:rPr>
                <w:rFonts w:ascii="Calibri" w:eastAsia="Calibri" w:hAnsi="Calibri" w:cs="Times New Roman"/>
              </w:rPr>
              <w:t>-</w:t>
            </w:r>
          </w:p>
        </w:tc>
      </w:tr>
      <w:tr w:rsidR="0058099F" w14:paraId="740BB713" w14:textId="77777777" w:rsidTr="00015F3E">
        <w:trPr>
          <w:jc w:val="center"/>
        </w:trPr>
        <w:tc>
          <w:tcPr>
            <w:tcW w:w="1384" w:type="dxa"/>
          </w:tcPr>
          <w:p w14:paraId="528E56D8" w14:textId="77777777" w:rsidR="0058099F" w:rsidRDefault="001B24E5" w:rsidP="00EC7F8D">
            <w:pPr>
              <w:pStyle w:val="TCTableBody"/>
              <w:spacing w:after="0"/>
            </w:pPr>
            <m:oMathPara>
              <m:oMath>
                <m:sSub>
                  <m:sSubPr>
                    <m:ctrlPr>
                      <w:rPr>
                        <w:rFonts w:ascii="Cambria Math" w:hAnsi="Cambria Math"/>
                      </w:rPr>
                    </m:ctrlPr>
                  </m:sSubPr>
                  <m:e>
                    <m:r>
                      <w:rPr>
                        <w:rFonts w:ascii="Cambria Math" w:hAnsi="Cambria Math"/>
                      </w:rPr>
                      <m:t>d</m:t>
                    </m:r>
                  </m:e>
                  <m:sub>
                    <m:r>
                      <w:rPr>
                        <w:rFonts w:ascii="Cambria Math" w:hAnsi="Cambria Math"/>
                      </w:rPr>
                      <m:t>q</m:t>
                    </m:r>
                  </m:sub>
                </m:sSub>
              </m:oMath>
            </m:oMathPara>
          </w:p>
        </w:tc>
        <w:tc>
          <w:tcPr>
            <w:tcW w:w="4464" w:type="dxa"/>
          </w:tcPr>
          <w:p w14:paraId="39A67DBA" w14:textId="77777777" w:rsidR="0058099F" w:rsidRDefault="0058099F" w:rsidP="00EC7F8D">
            <w:pPr>
              <w:pStyle w:val="TCTableBody"/>
              <w:spacing w:after="0"/>
            </w:pPr>
            <w:r>
              <w:t>Thickness of QCM sensor</w:t>
            </w:r>
          </w:p>
        </w:tc>
        <w:tc>
          <w:tcPr>
            <w:tcW w:w="1600" w:type="dxa"/>
          </w:tcPr>
          <w:p w14:paraId="43321991" w14:textId="77777777" w:rsidR="0058099F" w:rsidRDefault="0058099F" w:rsidP="00EC7F8D">
            <w:pPr>
              <w:pStyle w:val="TCTableBody"/>
              <w:spacing w:after="0"/>
            </w:pPr>
            <m:oMathPara>
              <m:oMath>
                <m:r>
                  <w:rPr>
                    <w:rFonts w:ascii="Cambria Math" w:hAnsi="Cambria Math"/>
                  </w:rPr>
                  <m:t>m</m:t>
                </m:r>
              </m:oMath>
            </m:oMathPara>
          </w:p>
        </w:tc>
      </w:tr>
      <w:tr w:rsidR="00BE5F8D" w14:paraId="7F8C8AA4" w14:textId="77777777" w:rsidTr="00015F3E">
        <w:trPr>
          <w:jc w:val="center"/>
        </w:trPr>
        <w:tc>
          <w:tcPr>
            <w:tcW w:w="1384" w:type="dxa"/>
          </w:tcPr>
          <w:p w14:paraId="007B4739" w14:textId="77777777" w:rsidR="00BE5F8D" w:rsidRDefault="001B24E5" w:rsidP="00EC7F8D">
            <w:pPr>
              <w:pStyle w:val="TCTableBody"/>
              <w:spacing w:after="0"/>
            </w:pPr>
            <m:oMathPara>
              <m:oMath>
                <m:sSub>
                  <m:sSubPr>
                    <m:ctrlPr>
                      <w:rPr>
                        <w:rFonts w:ascii="Cambria Math" w:hAnsi="Cambria Math"/>
                        <w:i/>
                      </w:rPr>
                    </m:ctrlPr>
                  </m:sSubPr>
                  <m:e>
                    <m:r>
                      <w:rPr>
                        <w:rFonts w:ascii="Cambria Math" w:hAnsi="Cambria Math"/>
                      </w:rPr>
                      <m:t>e</m:t>
                    </m:r>
                  </m:e>
                  <m:sub>
                    <m:r>
                      <w:rPr>
                        <w:rFonts w:ascii="Cambria Math" w:hAnsi="Cambria Math"/>
                      </w:rPr>
                      <m:t>26</m:t>
                    </m:r>
                  </m:sub>
                </m:sSub>
              </m:oMath>
            </m:oMathPara>
          </w:p>
        </w:tc>
        <w:tc>
          <w:tcPr>
            <w:tcW w:w="4464" w:type="dxa"/>
          </w:tcPr>
          <w:p w14:paraId="1467F7CD" w14:textId="77777777" w:rsidR="00BE5F8D" w:rsidRDefault="00BE5F8D" w:rsidP="00EC7F8D">
            <w:pPr>
              <w:pStyle w:val="TCTableBody"/>
              <w:spacing w:after="0"/>
            </w:pPr>
            <w:r>
              <w:t>Piezoelectric stress coefficient</w:t>
            </w:r>
          </w:p>
        </w:tc>
        <w:tc>
          <w:tcPr>
            <w:tcW w:w="1600" w:type="dxa"/>
          </w:tcPr>
          <w:p w14:paraId="739A3FBF" w14:textId="77777777" w:rsidR="00BE5F8D" w:rsidRDefault="00BE5F8D" w:rsidP="00EC7F8D">
            <w:pPr>
              <w:pStyle w:val="TCTableBody"/>
              <w:spacing w:after="0"/>
              <w:rPr>
                <w:rFonts w:eastAsia="Calibri"/>
              </w:rPr>
            </w:pPr>
            <m:oMathPara>
              <m:oMath>
                <m:r>
                  <w:rPr>
                    <w:rFonts w:ascii="Cambria Math" w:hAnsi="Cambria Math"/>
                  </w:rPr>
                  <m:t>C</m:t>
                </m:r>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58099F" w14:paraId="0CB8FF57" w14:textId="77777777" w:rsidTr="00015F3E">
        <w:trPr>
          <w:jc w:val="center"/>
        </w:trPr>
        <w:tc>
          <w:tcPr>
            <w:tcW w:w="1384" w:type="dxa"/>
          </w:tcPr>
          <w:p w14:paraId="4DAFAEBD" w14:textId="77777777" w:rsidR="0058099F" w:rsidRPr="00785BD1"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f</m:t>
                </m:r>
              </m:oMath>
            </m:oMathPara>
          </w:p>
        </w:tc>
        <w:tc>
          <w:tcPr>
            <w:tcW w:w="4464" w:type="dxa"/>
          </w:tcPr>
          <w:p w14:paraId="67CF578F" w14:textId="77777777" w:rsidR="0058099F" w:rsidRDefault="0058099F" w:rsidP="00EC7F8D">
            <w:pPr>
              <w:pStyle w:val="TCTableBody"/>
              <w:spacing w:after="0"/>
            </w:pPr>
            <w:r>
              <w:t>Frequency</w:t>
            </w:r>
          </w:p>
        </w:tc>
        <w:tc>
          <w:tcPr>
            <w:tcW w:w="1600" w:type="dxa"/>
          </w:tcPr>
          <w:p w14:paraId="185EED0E"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Hz</m:t>
                </m:r>
              </m:oMath>
            </m:oMathPara>
          </w:p>
        </w:tc>
      </w:tr>
      <w:tr w:rsidR="0058099F" w14:paraId="49C61032" w14:textId="77777777" w:rsidTr="00015F3E">
        <w:trPr>
          <w:jc w:val="center"/>
        </w:trPr>
        <w:tc>
          <w:tcPr>
            <w:tcW w:w="1384" w:type="dxa"/>
          </w:tcPr>
          <w:p w14:paraId="30286A7F" w14:textId="77777777" w:rsidR="0058099F" w:rsidRDefault="001B24E5" w:rsidP="00EC7F8D">
            <w:pPr>
              <w:pStyle w:val="TCTableBody"/>
              <w:spacing w:after="0"/>
              <w:rPr>
                <w:rFonts w:ascii="Calibri" w:eastAsia="Calibri" w:hAnsi="Calibri" w:cs="Times New Roman"/>
              </w:rPr>
            </w:pPr>
            <m:oMathPara>
              <m:oMath>
                <m:acc>
                  <m:accPr>
                    <m:chr m:val="̃"/>
                    <m:ctrlPr>
                      <w:rPr>
                        <w:rFonts w:ascii="Cambria Math" w:eastAsia="Calibri" w:hAnsi="Cambria Math" w:cs="Times New Roman"/>
                      </w:rPr>
                    </m:ctrlPr>
                  </m:accPr>
                  <m:e>
                    <m:r>
                      <w:rPr>
                        <w:rFonts w:ascii="Cambria Math" w:eastAsia="Calibri" w:hAnsi="Cambria Math" w:cs="Times New Roman"/>
                      </w:rPr>
                      <m:t>f</m:t>
                    </m:r>
                  </m:e>
                </m:acc>
              </m:oMath>
            </m:oMathPara>
          </w:p>
        </w:tc>
        <w:tc>
          <w:tcPr>
            <w:tcW w:w="4464" w:type="dxa"/>
          </w:tcPr>
          <w:p w14:paraId="198A6554" w14:textId="77777777" w:rsidR="0058099F" w:rsidRDefault="0058099F" w:rsidP="00EC7F8D">
            <w:pPr>
              <w:pStyle w:val="TCTableBody"/>
              <w:spacing w:after="0"/>
            </w:pPr>
            <w:r>
              <w:t>Frequency (as a complex number)</w:t>
            </w:r>
          </w:p>
        </w:tc>
        <w:tc>
          <w:tcPr>
            <w:tcW w:w="1600" w:type="dxa"/>
          </w:tcPr>
          <w:p w14:paraId="6D5DFD29"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Hz</m:t>
                </m:r>
              </m:oMath>
            </m:oMathPara>
          </w:p>
        </w:tc>
      </w:tr>
      <w:tr w:rsidR="0058099F" w14:paraId="6F35BEA4" w14:textId="77777777" w:rsidTr="00015F3E">
        <w:trPr>
          <w:jc w:val="center"/>
        </w:trPr>
        <w:tc>
          <w:tcPr>
            <w:tcW w:w="1384" w:type="dxa"/>
          </w:tcPr>
          <w:p w14:paraId="4E682335" w14:textId="77777777" w:rsidR="0058099F"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f</m:t>
                    </m:r>
                  </m:e>
                  <m:sub>
                    <m:r>
                      <w:rPr>
                        <w:rFonts w:ascii="Cambria Math" w:eastAsia="Calibri" w:hAnsi="Cambria Math" w:cs="Times New Roman"/>
                      </w:rPr>
                      <m:t>f</m:t>
                    </m:r>
                  </m:sub>
                </m:sSub>
              </m:oMath>
            </m:oMathPara>
          </w:p>
        </w:tc>
        <w:tc>
          <w:tcPr>
            <w:tcW w:w="4464" w:type="dxa"/>
          </w:tcPr>
          <w:p w14:paraId="0C1B8851" w14:textId="77777777" w:rsidR="0058099F" w:rsidRDefault="0058099F" w:rsidP="00EC7F8D">
            <w:pPr>
              <w:pStyle w:val="TCTableBody"/>
              <w:spacing w:after="0"/>
            </w:pPr>
            <w:r>
              <w:t>Fundamental frequency of unload quartz</w:t>
            </w:r>
          </w:p>
        </w:tc>
        <w:tc>
          <w:tcPr>
            <w:tcW w:w="1600" w:type="dxa"/>
          </w:tcPr>
          <w:p w14:paraId="174939A9"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Hz</m:t>
                </m:r>
              </m:oMath>
            </m:oMathPara>
          </w:p>
        </w:tc>
      </w:tr>
      <w:tr w:rsidR="0058099F" w14:paraId="40B1D32C" w14:textId="77777777" w:rsidTr="00015F3E">
        <w:trPr>
          <w:jc w:val="center"/>
        </w:trPr>
        <w:tc>
          <w:tcPr>
            <w:tcW w:w="1384" w:type="dxa"/>
          </w:tcPr>
          <w:p w14:paraId="7BDF86E5" w14:textId="77777777" w:rsidR="0058099F" w:rsidRPr="004912D4" w:rsidRDefault="0067360A" w:rsidP="00EC7F8D">
            <w:pPr>
              <w:pStyle w:val="TCTableBody"/>
              <w:spacing w:after="0"/>
              <w:rPr>
                <w:rFonts w:ascii="Calibri" w:eastAsia="Calibri" w:hAnsi="Calibri" w:cs="Times New Roman"/>
              </w:rPr>
            </w:pPr>
            <m:oMathPara>
              <m:oMath>
                <m:r>
                  <w:rPr>
                    <w:rFonts w:ascii="Cambria Math" w:eastAsia="Calibri" w:hAnsi="Cambria Math" w:cs="Times New Roman"/>
                  </w:rPr>
                  <m:t>G</m:t>
                </m:r>
              </m:oMath>
            </m:oMathPara>
          </w:p>
        </w:tc>
        <w:tc>
          <w:tcPr>
            <w:tcW w:w="4464" w:type="dxa"/>
          </w:tcPr>
          <w:p w14:paraId="4946FFFE" w14:textId="77777777" w:rsidR="0058099F" w:rsidRDefault="0067360A" w:rsidP="00EC7F8D">
            <w:pPr>
              <w:pStyle w:val="TCTableBody"/>
              <w:spacing w:after="0"/>
            </w:pPr>
            <w:r>
              <w:t>Crystal mass growth rate</w:t>
            </w:r>
          </w:p>
        </w:tc>
        <w:tc>
          <w:tcPr>
            <w:tcW w:w="1600" w:type="dxa"/>
          </w:tcPr>
          <w:p w14:paraId="43D79667" w14:textId="77777777" w:rsidR="0058099F" w:rsidRDefault="002C3483" w:rsidP="00EC7F8D">
            <w:pPr>
              <w:pStyle w:val="TCTableBody"/>
              <w:spacing w:after="0"/>
              <w:jc w:val="center"/>
              <w:rPr>
                <w:rFonts w:ascii="Calibri" w:eastAsia="Calibri" w:hAnsi="Calibri" w:cs="Times New Roman"/>
              </w:rPr>
            </w:pPr>
            <m:oMathPara>
              <m:oMath>
                <m:r>
                  <w:rPr>
                    <w:rFonts w:ascii="Cambria Math" w:eastAsia="Calibri" w:hAnsi="Cambria Math" w:cs="Times New Roman"/>
                  </w:rPr>
                  <m:t xml:space="preserve">kg </m:t>
                </m:r>
                <m:sSup>
                  <m:sSupPr>
                    <m:ctrlPr>
                      <w:rPr>
                        <w:rFonts w:ascii="Cambria Math" w:eastAsia="Calibri" w:hAnsi="Cambria Math" w:cs="Times New Roman"/>
                        <w:i/>
                      </w:rPr>
                    </m:ctrlPr>
                  </m:sSupPr>
                  <m:e>
                    <m:r>
                      <w:rPr>
                        <w:rFonts w:ascii="Cambria Math" w:eastAsia="Calibri" w:hAnsi="Cambria Math" w:cs="Times New Roman"/>
                      </w:rPr>
                      <m:t>s</m:t>
                    </m:r>
                  </m:e>
                  <m:sup>
                    <m:r>
                      <w:rPr>
                        <w:rFonts w:ascii="Cambria Math" w:eastAsia="Calibri" w:hAnsi="Cambria Math" w:cs="Times New Roman"/>
                      </w:rPr>
                      <m:t>-1</m:t>
                    </m:r>
                  </m:sup>
                </m:sSup>
              </m:oMath>
            </m:oMathPara>
          </w:p>
        </w:tc>
      </w:tr>
      <w:tr w:rsidR="0058099F" w14:paraId="4FC958B7" w14:textId="77777777" w:rsidTr="00015F3E">
        <w:trPr>
          <w:jc w:val="center"/>
        </w:trPr>
        <w:tc>
          <w:tcPr>
            <w:tcW w:w="1384" w:type="dxa"/>
          </w:tcPr>
          <w:p w14:paraId="00FF0C17" w14:textId="77777777" w:rsidR="0058099F" w:rsidRPr="004912D4" w:rsidRDefault="002C3483" w:rsidP="00EC7F8D">
            <w:pPr>
              <w:pStyle w:val="TCTableBody"/>
              <w:spacing w:after="0"/>
              <w:rPr>
                <w:rFonts w:ascii="Calibri" w:eastAsia="Calibri" w:hAnsi="Calibri" w:cs="Times New Roman"/>
              </w:rPr>
            </w:pPr>
            <m:oMathPara>
              <m:oMath>
                <m:r>
                  <w:rPr>
                    <w:rFonts w:ascii="Cambria Math" w:eastAsia="Calibri" w:hAnsi="Cambria Math" w:cs="Times New Roman"/>
                  </w:rPr>
                  <m:t>H</m:t>
                </m:r>
              </m:oMath>
            </m:oMathPara>
          </w:p>
        </w:tc>
        <w:tc>
          <w:tcPr>
            <w:tcW w:w="4464" w:type="dxa"/>
          </w:tcPr>
          <w:p w14:paraId="537F7E4F" w14:textId="77777777" w:rsidR="0058099F" w:rsidRDefault="002C3483" w:rsidP="00EC7F8D">
            <w:pPr>
              <w:pStyle w:val="TCTableBody"/>
              <w:spacing w:after="0"/>
            </w:pPr>
            <w:r>
              <w:t>Heaviside function</w:t>
            </w:r>
          </w:p>
        </w:tc>
        <w:tc>
          <w:tcPr>
            <w:tcW w:w="1600" w:type="dxa"/>
          </w:tcPr>
          <w:p w14:paraId="5D1D8021" w14:textId="77777777" w:rsidR="0058099F" w:rsidRDefault="002C3483" w:rsidP="00EC7F8D">
            <w:pPr>
              <w:pStyle w:val="TCTableBody"/>
              <w:spacing w:after="0"/>
              <w:jc w:val="center"/>
              <w:rPr>
                <w:rFonts w:ascii="Calibri" w:eastAsia="Calibri" w:hAnsi="Calibri" w:cs="Times New Roman"/>
              </w:rPr>
            </w:pPr>
            <w:r>
              <w:rPr>
                <w:rFonts w:ascii="Calibri" w:eastAsia="Calibri" w:hAnsi="Calibri" w:cs="Times New Roman"/>
              </w:rPr>
              <w:t>-</w:t>
            </w:r>
          </w:p>
        </w:tc>
      </w:tr>
      <w:tr w:rsidR="002C3483" w14:paraId="79C1161C" w14:textId="77777777" w:rsidTr="00015F3E">
        <w:trPr>
          <w:jc w:val="center"/>
        </w:trPr>
        <w:tc>
          <w:tcPr>
            <w:tcW w:w="1384" w:type="dxa"/>
          </w:tcPr>
          <w:p w14:paraId="7A5D3F71" w14:textId="77777777" w:rsidR="002C3483" w:rsidRDefault="002C3483" w:rsidP="00EC7F8D">
            <w:pPr>
              <w:pStyle w:val="TCTableBody"/>
              <w:spacing w:after="0"/>
            </w:pPr>
            <m:oMathPara>
              <m:oMath>
                <m:r>
                  <w:rPr>
                    <w:rFonts w:ascii="Cambria Math" w:hAnsi="Cambria Math"/>
                  </w:rPr>
                  <m:t>J</m:t>
                </m:r>
              </m:oMath>
            </m:oMathPara>
          </w:p>
        </w:tc>
        <w:tc>
          <w:tcPr>
            <w:tcW w:w="4464" w:type="dxa"/>
          </w:tcPr>
          <w:p w14:paraId="6657BF85" w14:textId="77777777" w:rsidR="002C3483" w:rsidRDefault="002C3483" w:rsidP="00EC7F8D">
            <w:pPr>
              <w:pStyle w:val="TCTableBody"/>
              <w:spacing w:after="0"/>
            </w:pPr>
            <w:r>
              <w:t>Crystal nucleation rate</w:t>
            </w:r>
          </w:p>
        </w:tc>
        <w:tc>
          <w:tcPr>
            <w:tcW w:w="1600" w:type="dxa"/>
          </w:tcPr>
          <w:p w14:paraId="4F5B39B1" w14:textId="77777777" w:rsidR="002C3483" w:rsidRDefault="001B24E5" w:rsidP="00EC7F8D">
            <w:pPr>
              <w:pStyle w:val="TCTableBody"/>
              <w:spacing w:after="0"/>
              <w:jc w:val="center"/>
              <w:rPr>
                <w:rFonts w:ascii="Calibri" w:eastAsia="Calibri" w:hAnsi="Calibri"/>
              </w:rPr>
            </w:pPr>
            <m:oMathPara>
              <m:oMath>
                <m:sSup>
                  <m:sSupPr>
                    <m:ctrlPr>
                      <w:rPr>
                        <w:rFonts w:ascii="Cambria Math" w:eastAsia="Calibri" w:hAnsi="Cambria Math" w:cs="Times New Roman"/>
                        <w:i/>
                      </w:rPr>
                    </m:ctrlPr>
                  </m:sSupPr>
                  <m:e>
                    <m:r>
                      <w:rPr>
                        <w:rFonts w:ascii="Cambria Math" w:eastAsia="Calibri" w:hAnsi="Cambria Math" w:cs="Times New Roman"/>
                      </w:rPr>
                      <m:t>s</m:t>
                    </m:r>
                  </m:e>
                  <m:sup>
                    <m:r>
                      <w:rPr>
                        <w:rFonts w:ascii="Cambria Math" w:eastAsia="Calibri" w:hAnsi="Cambria Math" w:cs="Times New Roman"/>
                      </w:rPr>
                      <m:t>-1</m:t>
                    </m:r>
                  </m:sup>
                </m:sSup>
              </m:oMath>
            </m:oMathPara>
          </w:p>
        </w:tc>
      </w:tr>
      <w:tr w:rsidR="0058099F" w14:paraId="116C46A6" w14:textId="77777777" w:rsidTr="00015F3E">
        <w:trPr>
          <w:jc w:val="center"/>
        </w:trPr>
        <w:tc>
          <w:tcPr>
            <w:tcW w:w="1384" w:type="dxa"/>
          </w:tcPr>
          <w:p w14:paraId="7F7A3611" w14:textId="77777777" w:rsidR="0058099F" w:rsidRPr="004912D4"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k</m:t>
                </m:r>
              </m:oMath>
            </m:oMathPara>
          </w:p>
        </w:tc>
        <w:tc>
          <w:tcPr>
            <w:tcW w:w="4464" w:type="dxa"/>
          </w:tcPr>
          <w:p w14:paraId="0E791ACC" w14:textId="77777777" w:rsidR="0058099F" w:rsidRDefault="0058099F" w:rsidP="00EC7F8D">
            <w:pPr>
              <w:pStyle w:val="TCTableBody"/>
              <w:spacing w:after="0"/>
            </w:pPr>
            <w:r>
              <w:t xml:space="preserve">Stiffness </w:t>
            </w:r>
            <w:r w:rsidR="002C3483">
              <w:t>c</w:t>
            </w:r>
            <w:r>
              <w:t>onstant</w:t>
            </w:r>
          </w:p>
        </w:tc>
        <w:tc>
          <w:tcPr>
            <w:tcW w:w="1600" w:type="dxa"/>
          </w:tcPr>
          <w:p w14:paraId="5705B7E2"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N</m:t>
                </m:r>
                <m:r>
                  <m:rPr>
                    <m:sty m:val="p"/>
                  </m:rPr>
                  <w:rPr>
                    <w:rFonts w:ascii="Cambria Math" w:eastAsia="Calibri" w:hAnsi="Cambria Math" w:cs="Times New Roman"/>
                  </w:rPr>
                  <m:t xml:space="preserve"> </m:t>
                </m:r>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-1</m:t>
                    </m:r>
                  </m:sup>
                </m:sSup>
              </m:oMath>
            </m:oMathPara>
          </w:p>
        </w:tc>
      </w:tr>
      <w:tr w:rsidR="00554CE7" w14:paraId="20063581" w14:textId="77777777" w:rsidTr="00015F3E">
        <w:trPr>
          <w:jc w:val="center"/>
        </w:trPr>
        <w:tc>
          <w:tcPr>
            <w:tcW w:w="1384" w:type="dxa"/>
          </w:tcPr>
          <w:p w14:paraId="01DF1737" w14:textId="77777777" w:rsidR="00554CE7" w:rsidRDefault="00554CE7" w:rsidP="00554CE7">
            <w:pPr>
              <w:pStyle w:val="TCTableBody"/>
              <w:spacing w:after="0"/>
            </w:pPr>
            <m:oMathPara>
              <m:oMath>
                <m:r>
                  <m:rPr>
                    <m:scr m:val="script"/>
                  </m:rPr>
                  <w:rPr>
                    <w:rFonts w:ascii="Cambria Math" w:hAnsi="Cambria Math"/>
                  </w:rPr>
                  <m:t>k</m:t>
                </m:r>
              </m:oMath>
            </m:oMathPara>
          </w:p>
        </w:tc>
        <w:tc>
          <w:tcPr>
            <w:tcW w:w="4464" w:type="dxa"/>
          </w:tcPr>
          <w:p w14:paraId="668A4257" w14:textId="77777777" w:rsidR="00554CE7" w:rsidRDefault="00554CE7" w:rsidP="00EC7F8D">
            <w:pPr>
              <w:pStyle w:val="TCTableBody"/>
              <w:spacing w:after="0"/>
            </w:pPr>
            <w:r>
              <w:t>Integration constant</w:t>
            </w:r>
          </w:p>
        </w:tc>
        <w:tc>
          <w:tcPr>
            <w:tcW w:w="1600" w:type="dxa"/>
          </w:tcPr>
          <w:p w14:paraId="611FE7A3" w14:textId="77777777" w:rsidR="00554CE7" w:rsidRDefault="00554CE7" w:rsidP="00554CE7">
            <w:pPr>
              <w:pStyle w:val="TCTableBody"/>
              <w:spacing w:after="0"/>
              <w:jc w:val="center"/>
              <w:rPr>
                <w:rFonts w:eastAsia="Calibri"/>
              </w:rPr>
            </w:pPr>
            <w:r>
              <w:rPr>
                <w:rFonts w:eastAsia="Calibri"/>
              </w:rPr>
              <w:t>-</w:t>
            </w:r>
          </w:p>
        </w:tc>
      </w:tr>
      <w:tr w:rsidR="0073184B" w14:paraId="0D2D8141" w14:textId="77777777" w:rsidTr="00015F3E">
        <w:trPr>
          <w:jc w:val="center"/>
        </w:trPr>
        <w:tc>
          <w:tcPr>
            <w:tcW w:w="1384" w:type="dxa"/>
          </w:tcPr>
          <w:p w14:paraId="293F4ECF" w14:textId="77777777" w:rsidR="0073184B" w:rsidRDefault="0073184B" w:rsidP="00EC7F8D">
            <w:pPr>
              <w:pStyle w:val="TCTableBody"/>
              <w:spacing w:after="0"/>
            </w:pPr>
            <m:oMathPara>
              <m:oMath>
                <m:r>
                  <m:rPr>
                    <m:scr m:val="script"/>
                  </m:rPr>
                  <w:rPr>
                    <w:rFonts w:ascii="Cambria Math" w:hAnsi="Cambria Math"/>
                  </w:rPr>
                  <m:t>L</m:t>
                </m:r>
              </m:oMath>
            </m:oMathPara>
          </w:p>
        </w:tc>
        <w:tc>
          <w:tcPr>
            <w:tcW w:w="4464" w:type="dxa"/>
          </w:tcPr>
          <w:p w14:paraId="7CBF36D5" w14:textId="77777777" w:rsidR="0073184B" w:rsidRDefault="0073184B" w:rsidP="00EC7F8D">
            <w:pPr>
              <w:pStyle w:val="TCTableBody"/>
              <w:spacing w:after="0"/>
            </w:pPr>
            <w:r>
              <w:t>Laplace transform</w:t>
            </w:r>
          </w:p>
        </w:tc>
        <w:tc>
          <w:tcPr>
            <w:tcW w:w="1600" w:type="dxa"/>
          </w:tcPr>
          <w:p w14:paraId="4EA78F33" w14:textId="77777777" w:rsidR="0073184B" w:rsidRDefault="0073184B" w:rsidP="00EC7F8D">
            <w:pPr>
              <w:pStyle w:val="TCTableBody"/>
              <w:spacing w:after="0"/>
              <w:jc w:val="center"/>
              <w:rPr>
                <w:rFonts w:eastAsia="Calibri"/>
              </w:rPr>
            </w:pPr>
            <w:r>
              <w:rPr>
                <w:rFonts w:eastAsia="Calibri"/>
              </w:rPr>
              <w:t>-</w:t>
            </w:r>
          </w:p>
        </w:tc>
      </w:tr>
      <w:tr w:rsidR="0058099F" w14:paraId="52FD08AB" w14:textId="77777777" w:rsidTr="00015F3E">
        <w:trPr>
          <w:jc w:val="center"/>
        </w:trPr>
        <w:tc>
          <w:tcPr>
            <w:tcW w:w="1384" w:type="dxa"/>
          </w:tcPr>
          <w:p w14:paraId="25C45968" w14:textId="77777777" w:rsidR="0058099F" w:rsidRPr="00785BD1"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c</m:t>
                    </m:r>
                  </m:sub>
                </m:sSub>
              </m:oMath>
            </m:oMathPara>
          </w:p>
        </w:tc>
        <w:tc>
          <w:tcPr>
            <w:tcW w:w="4464" w:type="dxa"/>
          </w:tcPr>
          <w:p w14:paraId="78A6A67F" w14:textId="77777777" w:rsidR="0058099F" w:rsidRDefault="0058099F" w:rsidP="00EC7F8D">
            <w:pPr>
              <w:pStyle w:val="TCTableBody"/>
              <w:spacing w:after="0"/>
            </w:pPr>
            <w:r>
              <w:t xml:space="preserve">Length of </w:t>
            </w:r>
            <w:r w:rsidR="002C3483">
              <w:t>c</w:t>
            </w:r>
            <w:r>
              <w:t>rystal</w:t>
            </w:r>
          </w:p>
        </w:tc>
        <w:tc>
          <w:tcPr>
            <w:tcW w:w="1600" w:type="dxa"/>
          </w:tcPr>
          <w:p w14:paraId="2C4E4D6D" w14:textId="77777777" w:rsidR="0058099F" w:rsidRPr="00522966" w:rsidRDefault="0058099F" w:rsidP="00EC7F8D">
            <w:pPr>
              <w:pStyle w:val="TCTableBody"/>
              <w:spacing w:after="0"/>
              <w:rPr>
                <w:rFonts w:ascii="Calibri" w:eastAsia="Calibri" w:hAnsi="Calibri" w:cs="Times New Roman"/>
              </w:rPr>
            </w:pPr>
            <m:oMathPara>
              <m:oMath>
                <m:r>
                  <w:rPr>
                    <w:rFonts w:ascii="Cambria Math" w:hAnsi="Cambria Math"/>
                  </w:rPr>
                  <m:t>m</m:t>
                </m:r>
              </m:oMath>
            </m:oMathPara>
          </w:p>
        </w:tc>
      </w:tr>
      <w:tr w:rsidR="0058099F" w14:paraId="07E2ADAF" w14:textId="77777777" w:rsidTr="00015F3E">
        <w:trPr>
          <w:jc w:val="center"/>
        </w:trPr>
        <w:tc>
          <w:tcPr>
            <w:tcW w:w="1384" w:type="dxa"/>
          </w:tcPr>
          <w:p w14:paraId="50425931" w14:textId="77777777" w:rsidR="0058099F" w:rsidRPr="00785BD1"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m</m:t>
                </m:r>
              </m:oMath>
            </m:oMathPara>
          </w:p>
        </w:tc>
        <w:tc>
          <w:tcPr>
            <w:tcW w:w="4464" w:type="dxa"/>
          </w:tcPr>
          <w:p w14:paraId="1C649B2C" w14:textId="77777777" w:rsidR="0058099F" w:rsidRDefault="002C3483" w:rsidP="00EC7F8D">
            <w:pPr>
              <w:pStyle w:val="TCTableBody"/>
              <w:spacing w:after="0"/>
            </w:pPr>
            <w:r>
              <w:t>Crystal m</w:t>
            </w:r>
            <w:r w:rsidR="0058099F">
              <w:t>ass</w:t>
            </w:r>
          </w:p>
        </w:tc>
        <w:tc>
          <w:tcPr>
            <w:tcW w:w="1600" w:type="dxa"/>
          </w:tcPr>
          <w:p w14:paraId="5AA1AFD0" w14:textId="77777777" w:rsidR="0058099F" w:rsidRPr="00522966"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kg</m:t>
                </m:r>
              </m:oMath>
            </m:oMathPara>
          </w:p>
        </w:tc>
      </w:tr>
      <w:tr w:rsidR="00373840" w14:paraId="7E731894" w14:textId="77777777" w:rsidTr="00015F3E">
        <w:trPr>
          <w:jc w:val="center"/>
        </w:trPr>
        <w:tc>
          <w:tcPr>
            <w:tcW w:w="1384" w:type="dxa"/>
          </w:tcPr>
          <w:p w14:paraId="1E2DD45D" w14:textId="77777777" w:rsidR="00373840" w:rsidRDefault="001B24E5" w:rsidP="00EC7F8D">
            <w:pPr>
              <w:pStyle w:val="TCTableBody"/>
              <w:spacing w:after="0"/>
            </w:pPr>
            <m:oMathPara>
              <m:oMath>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m:t>
                    </m:r>
                  </m:sup>
                </m:sSup>
              </m:oMath>
            </m:oMathPara>
          </w:p>
        </w:tc>
        <w:tc>
          <w:tcPr>
            <w:tcW w:w="4464" w:type="dxa"/>
          </w:tcPr>
          <w:p w14:paraId="5F38B9B1" w14:textId="77777777" w:rsidR="00373840" w:rsidRDefault="00373840" w:rsidP="00EC7F8D">
            <w:pPr>
              <w:pStyle w:val="TCTableBody"/>
              <w:spacing w:after="0"/>
            </w:pPr>
            <w:r>
              <w:t>Mass of critical nucleus</w:t>
            </w:r>
          </w:p>
        </w:tc>
        <w:tc>
          <w:tcPr>
            <w:tcW w:w="1600" w:type="dxa"/>
          </w:tcPr>
          <w:p w14:paraId="1E38A733" w14:textId="77777777" w:rsidR="00373840" w:rsidRDefault="00373840" w:rsidP="00EC7F8D">
            <w:pPr>
              <w:pStyle w:val="TCTableBody"/>
              <w:spacing w:after="0"/>
              <w:rPr>
                <w:rFonts w:eastAsia="Calibri"/>
              </w:rPr>
            </w:pPr>
            <m:oMathPara>
              <m:oMath>
                <m:r>
                  <w:rPr>
                    <w:rFonts w:ascii="Cambria Math" w:eastAsia="Calibri" w:hAnsi="Cambria Math" w:cs="Times New Roman"/>
                  </w:rPr>
                  <m:t>kg</m:t>
                </m:r>
              </m:oMath>
            </m:oMathPara>
          </w:p>
        </w:tc>
      </w:tr>
      <w:tr w:rsidR="0058099F" w14:paraId="6C8E4790" w14:textId="77777777" w:rsidTr="00015F3E">
        <w:trPr>
          <w:jc w:val="center"/>
        </w:trPr>
        <w:tc>
          <w:tcPr>
            <w:tcW w:w="1384" w:type="dxa"/>
          </w:tcPr>
          <w:p w14:paraId="2082E9CB"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N</m:t>
                </m:r>
              </m:oMath>
            </m:oMathPara>
          </w:p>
        </w:tc>
        <w:tc>
          <w:tcPr>
            <w:tcW w:w="4464" w:type="dxa"/>
          </w:tcPr>
          <w:p w14:paraId="594FC652" w14:textId="77777777" w:rsidR="0058099F" w:rsidRDefault="0058099F" w:rsidP="00EC7F8D">
            <w:pPr>
              <w:pStyle w:val="TCTableBody"/>
              <w:spacing w:after="0"/>
            </w:pPr>
            <w:r>
              <w:t xml:space="preserve">Number </w:t>
            </w:r>
            <w:r w:rsidR="001139AB">
              <w:t xml:space="preserve">density </w:t>
            </w:r>
            <w:r>
              <w:t>of crystals</w:t>
            </w:r>
          </w:p>
        </w:tc>
        <w:tc>
          <w:tcPr>
            <w:tcW w:w="1600" w:type="dxa"/>
          </w:tcPr>
          <w:p w14:paraId="64780CC1" w14:textId="77777777" w:rsidR="0058099F" w:rsidRDefault="001B24E5" w:rsidP="00EC7F8D">
            <w:pPr>
              <w:pStyle w:val="TCTableBody"/>
              <w:spacing w:after="0"/>
              <w:jc w:val="center"/>
              <w:rPr>
                <w:rFonts w:ascii="Calibri" w:eastAsia="Calibri" w:hAnsi="Calibri" w:cs="Times New Roman"/>
              </w:rPr>
            </w:pPr>
            <m:oMathPara>
              <m:oMath>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-1</m:t>
                    </m:r>
                  </m:sup>
                </m:sSup>
              </m:oMath>
            </m:oMathPara>
          </w:p>
        </w:tc>
      </w:tr>
      <w:tr w:rsidR="00373840" w14:paraId="07ED8624" w14:textId="77777777" w:rsidTr="00015F3E">
        <w:trPr>
          <w:jc w:val="center"/>
        </w:trPr>
        <w:tc>
          <w:tcPr>
            <w:tcW w:w="1384" w:type="dxa"/>
          </w:tcPr>
          <w:p w14:paraId="295C5E65" w14:textId="77777777" w:rsidR="00373840" w:rsidRDefault="001B24E5" w:rsidP="00EC7F8D">
            <w:pPr>
              <w:pStyle w:val="TCTableBody"/>
              <w:spacing w:after="0"/>
            </w:pPr>
            <m:oMathPara>
              <m:oMath>
                <m:acc>
                  <m:accPr>
                    <m:ctrlPr>
                      <w:rPr>
                        <w:rFonts w:ascii="Cambria Math" w:eastAsia="Calibri" w:hAnsi="Cambria Math" w:cs="Times New Roman"/>
                        <w:i/>
                      </w:rPr>
                    </m:ctrlPr>
                  </m:accPr>
                  <m:e>
                    <m:r>
                      <w:rPr>
                        <w:rFonts w:ascii="Cambria Math" w:eastAsia="Calibri" w:hAnsi="Cambria Math" w:cs="Times New Roman"/>
                      </w:rPr>
                      <m:t>N</m:t>
                    </m:r>
                  </m:e>
                </m:acc>
              </m:oMath>
            </m:oMathPara>
          </w:p>
        </w:tc>
        <w:tc>
          <w:tcPr>
            <w:tcW w:w="4464" w:type="dxa"/>
          </w:tcPr>
          <w:p w14:paraId="579DFE90" w14:textId="77777777" w:rsidR="00373840" w:rsidRDefault="0073184B" w:rsidP="00EC7F8D">
            <w:pPr>
              <w:pStyle w:val="TCTableBody"/>
              <w:spacing w:after="0"/>
            </w:pPr>
            <w:r>
              <w:t>Laplace density function</w:t>
            </w:r>
          </w:p>
        </w:tc>
        <w:tc>
          <w:tcPr>
            <w:tcW w:w="1600" w:type="dxa"/>
          </w:tcPr>
          <w:p w14:paraId="633BCB27" w14:textId="77777777" w:rsidR="00373840" w:rsidRDefault="001B24E5" w:rsidP="00EC7F8D">
            <w:pPr>
              <w:pStyle w:val="TCTableBody"/>
              <w:spacing w:after="0"/>
              <w:jc w:val="center"/>
              <w:rPr>
                <w:rFonts w:ascii="Calibri" w:eastAsia="Calibri" w:hAnsi="Calibri"/>
              </w:rPr>
            </w:pPr>
            <m:oMathPara>
              <m:oMath>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-1</m:t>
                    </m:r>
                  </m:sup>
                </m:sSup>
              </m:oMath>
            </m:oMathPara>
          </w:p>
        </w:tc>
      </w:tr>
      <w:tr w:rsidR="0058099F" w14:paraId="40129D63" w14:textId="77777777" w:rsidTr="00015F3E">
        <w:trPr>
          <w:jc w:val="center"/>
        </w:trPr>
        <w:tc>
          <w:tcPr>
            <w:tcW w:w="1384" w:type="dxa"/>
          </w:tcPr>
          <w:p w14:paraId="3E3FC6EE" w14:textId="77777777" w:rsidR="0058099F" w:rsidRDefault="0058099F" w:rsidP="00EC7F8D">
            <w:pPr>
              <w:pStyle w:val="TCTableBody"/>
              <w:spacing w:after="0"/>
            </w:pPr>
            <m:oMathPara>
              <m:oMath>
                <m:r>
                  <w:rPr>
                    <w:rFonts w:ascii="Cambria Math" w:hAnsi="Cambria Math"/>
                  </w:rPr>
                  <m:t>n</m:t>
                </m:r>
              </m:oMath>
            </m:oMathPara>
          </w:p>
        </w:tc>
        <w:tc>
          <w:tcPr>
            <w:tcW w:w="4464" w:type="dxa"/>
          </w:tcPr>
          <w:p w14:paraId="2FBF669D" w14:textId="77777777" w:rsidR="0058099F" w:rsidRDefault="0058099F" w:rsidP="00EC7F8D">
            <w:pPr>
              <w:pStyle w:val="TCTableBody"/>
              <w:spacing w:after="0"/>
            </w:pPr>
            <w:r>
              <w:t xml:space="preserve">Harmonic </w:t>
            </w:r>
            <w:r w:rsidR="002C3483">
              <w:t>o</w:t>
            </w:r>
            <w:r>
              <w:t>vertone</w:t>
            </w:r>
          </w:p>
        </w:tc>
        <w:tc>
          <w:tcPr>
            <w:tcW w:w="1600" w:type="dxa"/>
          </w:tcPr>
          <w:p w14:paraId="5CD059D1" w14:textId="77777777" w:rsidR="0058099F" w:rsidRDefault="0058099F" w:rsidP="00EC7F8D">
            <w:pPr>
              <w:pStyle w:val="TCTableBody"/>
              <w:spacing w:after="0"/>
              <w:jc w:val="center"/>
            </w:pPr>
            <w:r>
              <w:t>-</w:t>
            </w:r>
          </w:p>
        </w:tc>
      </w:tr>
      <w:tr w:rsidR="0058099F" w14:paraId="1FBFA9AC" w14:textId="77777777" w:rsidTr="00015F3E">
        <w:trPr>
          <w:jc w:val="center"/>
        </w:trPr>
        <w:tc>
          <w:tcPr>
            <w:tcW w:w="1384" w:type="dxa"/>
          </w:tcPr>
          <w:p w14:paraId="252CBF79"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r</m:t>
                </m:r>
              </m:oMath>
            </m:oMathPara>
          </w:p>
        </w:tc>
        <w:tc>
          <w:tcPr>
            <w:tcW w:w="4464" w:type="dxa"/>
          </w:tcPr>
          <w:p w14:paraId="40BA5D00" w14:textId="77777777" w:rsidR="0058099F" w:rsidRDefault="0058099F" w:rsidP="00EC7F8D">
            <w:pPr>
              <w:pStyle w:val="TCTableBody"/>
              <w:spacing w:after="0"/>
            </w:pPr>
            <w:r>
              <w:t>Dampening constant</w:t>
            </w:r>
          </w:p>
        </w:tc>
        <w:tc>
          <w:tcPr>
            <w:tcW w:w="1600" w:type="dxa"/>
          </w:tcPr>
          <w:p w14:paraId="488E8CE3" w14:textId="77777777" w:rsidR="0058099F" w:rsidRDefault="0058099F" w:rsidP="00EC7F8D">
            <w:pPr>
              <w:pStyle w:val="TCTableBody"/>
              <w:spacing w:after="0"/>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tc>
      </w:tr>
      <w:tr w:rsidR="0058099F" w14:paraId="31160676" w14:textId="77777777" w:rsidTr="00015F3E">
        <w:trPr>
          <w:jc w:val="center"/>
        </w:trPr>
        <w:tc>
          <w:tcPr>
            <w:tcW w:w="1384" w:type="dxa"/>
          </w:tcPr>
          <w:p w14:paraId="16DCF0B9"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S</m:t>
                </m:r>
              </m:oMath>
            </m:oMathPara>
          </w:p>
        </w:tc>
        <w:tc>
          <w:tcPr>
            <w:tcW w:w="4464" w:type="dxa"/>
          </w:tcPr>
          <w:p w14:paraId="350B9664" w14:textId="77777777" w:rsidR="0058099F" w:rsidRDefault="0058099F" w:rsidP="00EC7F8D">
            <w:pPr>
              <w:pStyle w:val="TCTableBody"/>
              <w:spacing w:after="0"/>
            </w:pPr>
            <w:r>
              <w:t>Supersaturation</w:t>
            </w:r>
          </w:p>
        </w:tc>
        <w:tc>
          <w:tcPr>
            <w:tcW w:w="1600" w:type="dxa"/>
          </w:tcPr>
          <w:p w14:paraId="1895421D" w14:textId="77777777" w:rsidR="0058099F" w:rsidRDefault="0058099F" w:rsidP="00EC7F8D">
            <w:pPr>
              <w:pStyle w:val="TCTableBody"/>
              <w:spacing w:after="0"/>
              <w:jc w:val="center"/>
              <w:rPr>
                <w:rFonts w:ascii="Calibri" w:eastAsia="Calibri" w:hAnsi="Calibri" w:cs="Times New Roman"/>
              </w:rPr>
            </w:pPr>
            <w:r>
              <w:rPr>
                <w:rFonts w:ascii="Calibri" w:eastAsia="Calibri" w:hAnsi="Calibri" w:cs="Times New Roman"/>
              </w:rPr>
              <w:t>-</w:t>
            </w:r>
          </w:p>
        </w:tc>
      </w:tr>
      <w:tr w:rsidR="00373840" w14:paraId="415F785C" w14:textId="77777777" w:rsidTr="00015F3E">
        <w:trPr>
          <w:jc w:val="center"/>
        </w:trPr>
        <w:tc>
          <w:tcPr>
            <w:tcW w:w="1384" w:type="dxa"/>
          </w:tcPr>
          <w:p w14:paraId="3502B1FD" w14:textId="77777777" w:rsidR="00373840" w:rsidRDefault="00373840" w:rsidP="00EC7F8D">
            <w:pPr>
              <w:pStyle w:val="TCTableBody"/>
              <w:spacing w:after="0"/>
            </w:pPr>
            <m:oMathPara>
              <m:oMath>
                <m:r>
                  <m:rPr>
                    <m:scr m:val="script"/>
                  </m:rPr>
                  <w:rPr>
                    <w:rFonts w:ascii="Cambria Math" w:hAnsi="Cambria Math"/>
                  </w:rPr>
                  <m:t>s</m:t>
                </m:r>
              </m:oMath>
            </m:oMathPara>
          </w:p>
        </w:tc>
        <w:tc>
          <w:tcPr>
            <w:tcW w:w="4464" w:type="dxa"/>
          </w:tcPr>
          <w:p w14:paraId="4372F793" w14:textId="77777777" w:rsidR="00373840" w:rsidRDefault="00373840" w:rsidP="00EC7F8D">
            <w:pPr>
              <w:pStyle w:val="TCTableBody"/>
              <w:spacing w:after="0"/>
            </w:pPr>
            <w:r>
              <w:t>Laplace transform space</w:t>
            </w:r>
          </w:p>
        </w:tc>
        <w:tc>
          <w:tcPr>
            <w:tcW w:w="1600" w:type="dxa"/>
          </w:tcPr>
          <w:p w14:paraId="2C9092E0" w14:textId="77777777" w:rsidR="00373840" w:rsidRDefault="001B24E5" w:rsidP="00EC7F8D">
            <w:pPr>
              <w:pStyle w:val="TCTableBody"/>
              <w:spacing w:after="0"/>
              <w:jc w:val="center"/>
              <w:rPr>
                <w:rFonts w:ascii="Calibri" w:eastAsia="Calibri" w:hAnsi="Calibri"/>
              </w:rPr>
            </w:pPr>
            <m:oMathPara>
              <m:oMath>
                <m:sSup>
                  <m:sSupPr>
                    <m:ctrlPr>
                      <w:rPr>
                        <w:rFonts w:ascii="Cambria Math" w:hAnsi="Cambria Math"/>
                      </w:rPr>
                    </m:ctrlPr>
                  </m:sSupPr>
                  <m:e>
                    <m:r>
                      <w:rPr>
                        <w:rFonts w:ascii="Cambria Math" w:hAnsi="Cambria Math"/>
                      </w:rPr>
                      <m:t>m</m:t>
                    </m:r>
                  </m:e>
                  <m:sup>
                    <m:r>
                      <m:rPr>
                        <m:sty m:val="p"/>
                      </m:rPr>
                      <w:rPr>
                        <w:rFonts w:ascii="Cambria Math" w:hAnsi="Cambria Math"/>
                      </w:rPr>
                      <m:t>-1</m:t>
                    </m:r>
                  </m:sup>
                </m:sSup>
              </m:oMath>
            </m:oMathPara>
          </w:p>
        </w:tc>
      </w:tr>
      <w:tr w:rsidR="0058099F" w14:paraId="682F7719" w14:textId="77777777" w:rsidTr="00015F3E">
        <w:trPr>
          <w:jc w:val="center"/>
        </w:trPr>
        <w:tc>
          <w:tcPr>
            <w:tcW w:w="1384" w:type="dxa"/>
          </w:tcPr>
          <w:p w14:paraId="06994B39"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T</m:t>
                </m:r>
              </m:oMath>
            </m:oMathPara>
          </w:p>
        </w:tc>
        <w:tc>
          <w:tcPr>
            <w:tcW w:w="4464" w:type="dxa"/>
          </w:tcPr>
          <w:p w14:paraId="41E78F77" w14:textId="77777777" w:rsidR="0058099F" w:rsidRDefault="0058099F" w:rsidP="00EC7F8D">
            <w:pPr>
              <w:pStyle w:val="TCTableBody"/>
              <w:spacing w:after="0"/>
            </w:pPr>
            <w:r>
              <w:t xml:space="preserve">Temperature </w:t>
            </w:r>
          </w:p>
        </w:tc>
        <w:tc>
          <w:tcPr>
            <w:tcW w:w="1600" w:type="dxa"/>
          </w:tcPr>
          <w:p w14:paraId="6B77A630"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K</m:t>
                </m:r>
              </m:oMath>
            </m:oMathPara>
          </w:p>
        </w:tc>
      </w:tr>
      <w:tr w:rsidR="0058099F" w14:paraId="01A2E7BB" w14:textId="77777777" w:rsidTr="00015F3E">
        <w:trPr>
          <w:jc w:val="center"/>
        </w:trPr>
        <w:tc>
          <w:tcPr>
            <w:tcW w:w="1384" w:type="dxa"/>
          </w:tcPr>
          <w:p w14:paraId="7FF8D711" w14:textId="77777777" w:rsidR="0058099F" w:rsidRDefault="0058099F" w:rsidP="00EC7F8D">
            <w:pPr>
              <w:pStyle w:val="TCTableBody"/>
              <w:spacing w:after="0"/>
            </w:pPr>
            <m:oMathPara>
              <m:oMath>
                <m:r>
                  <w:rPr>
                    <w:rFonts w:ascii="Cambria Math" w:hAnsi="Cambria Math"/>
                  </w:rPr>
                  <m:t>t</m:t>
                </m:r>
              </m:oMath>
            </m:oMathPara>
          </w:p>
        </w:tc>
        <w:tc>
          <w:tcPr>
            <w:tcW w:w="4464" w:type="dxa"/>
          </w:tcPr>
          <w:p w14:paraId="085F90FA" w14:textId="77777777" w:rsidR="0058099F" w:rsidRDefault="0058099F" w:rsidP="00EC7F8D">
            <w:pPr>
              <w:pStyle w:val="TCTableBody"/>
              <w:spacing w:after="0"/>
            </w:pPr>
            <w:r>
              <w:t>Time</w:t>
            </w:r>
          </w:p>
        </w:tc>
        <w:tc>
          <w:tcPr>
            <w:tcW w:w="1600" w:type="dxa"/>
          </w:tcPr>
          <w:p w14:paraId="55498C94" w14:textId="77777777" w:rsidR="0058099F" w:rsidRDefault="0058099F" w:rsidP="00EC7F8D">
            <w:pPr>
              <w:pStyle w:val="TCTableBody"/>
              <w:spacing w:after="0"/>
            </w:pPr>
            <m:oMathPara>
              <m:oMath>
                <m:r>
                  <w:rPr>
                    <w:rFonts w:ascii="Cambria Math" w:hAnsi="Cambria Math"/>
                  </w:rPr>
                  <m:t>s</m:t>
                </m:r>
              </m:oMath>
            </m:oMathPara>
          </w:p>
        </w:tc>
      </w:tr>
      <w:tr w:rsidR="00076E4A" w14:paraId="37098EC0" w14:textId="77777777" w:rsidTr="00015F3E">
        <w:trPr>
          <w:jc w:val="center"/>
        </w:trPr>
        <w:tc>
          <w:tcPr>
            <w:tcW w:w="1384" w:type="dxa"/>
          </w:tcPr>
          <w:p w14:paraId="61A09BDE" w14:textId="77777777" w:rsidR="00076E4A" w:rsidRDefault="001B24E5" w:rsidP="00EC7F8D">
            <w:pPr>
              <w:pStyle w:val="TCTableBody"/>
              <w:spacing w:after="0"/>
            </w:pPr>
            <m:oMathPara>
              <m:oMath>
                <m:sSub>
                  <m:sSubPr>
                    <m:ctrlPr>
                      <w:rPr>
                        <w:rFonts w:ascii="Cambria Math" w:hAnsi="Cambria Math"/>
                        <w:i/>
                      </w:rPr>
                    </m:ctrlPr>
                  </m:sSubPr>
                  <m:e>
                    <m:r>
                      <w:rPr>
                        <w:rFonts w:ascii="Cambria Math" w:hAnsi="Cambria Math"/>
                      </w:rPr>
                      <m:t>t</m:t>
                    </m:r>
                  </m:e>
                  <m:sub>
                    <m:r>
                      <w:rPr>
                        <w:rFonts w:ascii="Cambria Math" w:hAnsi="Cambria Math"/>
                      </w:rPr>
                      <m:t>D</m:t>
                    </m:r>
                  </m:sub>
                </m:sSub>
              </m:oMath>
            </m:oMathPara>
          </w:p>
        </w:tc>
        <w:tc>
          <w:tcPr>
            <w:tcW w:w="4464" w:type="dxa"/>
          </w:tcPr>
          <w:p w14:paraId="6988708F" w14:textId="77777777" w:rsidR="00076E4A" w:rsidRDefault="00076E4A" w:rsidP="00EC7F8D">
            <w:pPr>
              <w:pStyle w:val="TCTableBody"/>
              <w:spacing w:after="0"/>
            </w:pPr>
            <w:r>
              <w:t>Nucleation induction time</w:t>
            </w:r>
          </w:p>
        </w:tc>
        <w:tc>
          <w:tcPr>
            <w:tcW w:w="1600" w:type="dxa"/>
          </w:tcPr>
          <w:p w14:paraId="32530C3F" w14:textId="77777777" w:rsidR="00076E4A" w:rsidRDefault="00076E4A" w:rsidP="00EC7F8D">
            <w:pPr>
              <w:pStyle w:val="TCTableBody"/>
              <w:spacing w:after="0"/>
              <w:rPr>
                <w:rFonts w:eastAsia="Calibri"/>
              </w:rPr>
            </w:pPr>
            <m:oMathPara>
              <m:oMath>
                <m:r>
                  <w:rPr>
                    <w:rFonts w:ascii="Cambria Math" w:hAnsi="Cambria Math"/>
                  </w:rPr>
                  <m:t>s</m:t>
                </m:r>
              </m:oMath>
            </m:oMathPara>
          </w:p>
        </w:tc>
      </w:tr>
      <w:tr w:rsidR="0058099F" w14:paraId="4C7D0C78" w14:textId="77777777" w:rsidTr="00015F3E">
        <w:trPr>
          <w:jc w:val="center"/>
        </w:trPr>
        <w:tc>
          <w:tcPr>
            <w:tcW w:w="1384" w:type="dxa"/>
          </w:tcPr>
          <w:p w14:paraId="04B628A1"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x</m:t>
                </m:r>
              </m:oMath>
            </m:oMathPara>
          </w:p>
        </w:tc>
        <w:tc>
          <w:tcPr>
            <w:tcW w:w="4464" w:type="dxa"/>
          </w:tcPr>
          <w:p w14:paraId="5B4169E6" w14:textId="77777777" w:rsidR="0058099F" w:rsidRDefault="0058099F" w:rsidP="00EC7F8D">
            <w:pPr>
              <w:pStyle w:val="TCTableBody"/>
              <w:spacing w:after="0"/>
            </w:pPr>
            <w:r>
              <w:t>Radial position on QCM sensor</w:t>
            </w:r>
          </w:p>
        </w:tc>
        <w:tc>
          <w:tcPr>
            <w:tcW w:w="1600" w:type="dxa"/>
          </w:tcPr>
          <w:p w14:paraId="77888C58"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m</m:t>
                </m:r>
              </m:oMath>
            </m:oMathPara>
          </w:p>
        </w:tc>
      </w:tr>
      <w:tr w:rsidR="0058099F" w14:paraId="3BA6600A" w14:textId="77777777" w:rsidTr="00015F3E">
        <w:trPr>
          <w:jc w:val="center"/>
        </w:trPr>
        <w:tc>
          <w:tcPr>
            <w:tcW w:w="1384" w:type="dxa"/>
          </w:tcPr>
          <w:p w14:paraId="74544536" w14:textId="77777777" w:rsidR="0058099F" w:rsidRDefault="001B24E5" w:rsidP="00EC7F8D">
            <w:pPr>
              <w:pStyle w:val="TCTableBody"/>
              <w:spacing w:after="0"/>
              <w:rPr>
                <w:rFonts w:ascii="Calibri" w:eastAsia="Calibri" w:hAnsi="Calibri" w:cs="Times New Roman"/>
              </w:rPr>
            </w:pPr>
            <m:oMathPara>
              <m:oMath>
                <m:sSub>
                  <m:sSubPr>
                    <m:ctrlPr>
                      <w:rPr>
                        <w:rFonts w:ascii="Cambria Math" w:hAnsi="Cambria Math"/>
                      </w:rPr>
                    </m:ctrlPr>
                  </m:sSubPr>
                  <m:e>
                    <m:r>
                      <w:rPr>
                        <w:rFonts w:ascii="Cambria Math" w:hAnsi="Cambria Math"/>
                      </w:rPr>
                      <m:t>Z</m:t>
                    </m:r>
                  </m:e>
                  <m:sub>
                    <m:r>
                      <w:rPr>
                        <w:rFonts w:ascii="Cambria Math" w:hAnsi="Cambria Math"/>
                      </w:rPr>
                      <m:t>c</m:t>
                    </m:r>
                  </m:sub>
                </m:sSub>
              </m:oMath>
            </m:oMathPara>
          </w:p>
        </w:tc>
        <w:tc>
          <w:tcPr>
            <w:tcW w:w="4464" w:type="dxa"/>
          </w:tcPr>
          <w:p w14:paraId="5FF01EDA" w14:textId="77777777" w:rsidR="0058099F" w:rsidRDefault="00F645D9" w:rsidP="00EC7F8D">
            <w:pPr>
              <w:pStyle w:val="TCTableBody"/>
              <w:spacing w:after="0"/>
            </w:pPr>
            <w:r>
              <w:t>I</w:t>
            </w:r>
            <w:r w:rsidR="0058099F">
              <w:t>mpedance of crystal</w:t>
            </w:r>
          </w:p>
        </w:tc>
        <w:tc>
          <w:tcPr>
            <w:tcW w:w="1600" w:type="dxa"/>
          </w:tcPr>
          <w:p w14:paraId="19DC8350" w14:textId="77777777" w:rsidR="0058099F" w:rsidRDefault="0058099F" w:rsidP="00EC7F8D">
            <w:pPr>
              <w:pStyle w:val="TCTableBody"/>
              <w:spacing w:after="0"/>
              <w:rPr>
                <w:rFonts w:ascii="Calibri" w:eastAsia="Calibri" w:hAnsi="Calibri" w:cs="Times New Roman"/>
              </w:rPr>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r>
                  <m:rPr>
                    <m:sty m:val="p"/>
                  </m:rPr>
                  <w:rPr>
                    <w:rFonts w:ascii="Cambria Math" w:hAnsi="Cambria Math"/>
                  </w:rPr>
                  <m:t xml:space="preserve"> </m:t>
                </m:r>
              </m:oMath>
            </m:oMathPara>
          </w:p>
        </w:tc>
      </w:tr>
      <w:tr w:rsidR="0058099F" w14:paraId="57905606" w14:textId="77777777" w:rsidTr="00015F3E">
        <w:trPr>
          <w:jc w:val="center"/>
        </w:trPr>
        <w:tc>
          <w:tcPr>
            <w:tcW w:w="1384" w:type="dxa"/>
          </w:tcPr>
          <w:p w14:paraId="78BF4083" w14:textId="77777777" w:rsidR="0058099F" w:rsidRPr="00630AA7" w:rsidRDefault="001B24E5" w:rsidP="00EC7F8D">
            <w:pPr>
              <w:pStyle w:val="TCTableBody"/>
              <w:spacing w:after="0"/>
              <w:rPr>
                <w:rFonts w:ascii="Calibri" w:eastAsia="Calibri" w:hAnsi="Calibri" w:cs="Times New Roman"/>
              </w:rPr>
            </w:pPr>
            <m:oMathPara>
              <m:oMath>
                <m:sSub>
                  <m:sSubPr>
                    <m:ctrlPr>
                      <w:rPr>
                        <w:rFonts w:ascii="Cambria Math" w:hAnsi="Cambria Math"/>
                      </w:rPr>
                    </m:ctrlPr>
                  </m:sSubPr>
                  <m:e>
                    <m:r>
                      <w:rPr>
                        <w:rFonts w:ascii="Cambria Math" w:hAnsi="Cambria Math"/>
                      </w:rPr>
                      <m:t>Z</m:t>
                    </m:r>
                  </m:e>
                  <m:sub>
                    <m:r>
                      <w:rPr>
                        <w:rFonts w:ascii="Cambria Math" w:hAnsi="Cambria Math"/>
                      </w:rPr>
                      <m:t>k</m:t>
                    </m:r>
                  </m:sub>
                </m:sSub>
              </m:oMath>
            </m:oMathPara>
          </w:p>
        </w:tc>
        <w:tc>
          <w:tcPr>
            <w:tcW w:w="4464" w:type="dxa"/>
          </w:tcPr>
          <w:p w14:paraId="5C1ADC79" w14:textId="77777777" w:rsidR="0058099F" w:rsidRDefault="0058099F" w:rsidP="00EC7F8D">
            <w:pPr>
              <w:pStyle w:val="TCTableBody"/>
              <w:spacing w:after="0"/>
            </w:pPr>
            <w:r>
              <w:t>Piezoelectric stiffening impedance</w:t>
            </w:r>
          </w:p>
        </w:tc>
        <w:tc>
          <w:tcPr>
            <w:tcW w:w="1600" w:type="dxa"/>
          </w:tcPr>
          <w:p w14:paraId="0D88E39A" w14:textId="77777777" w:rsidR="0058099F" w:rsidRDefault="0058099F" w:rsidP="00EC7F8D">
            <w:pPr>
              <w:pStyle w:val="TCTableBody"/>
              <w:spacing w:after="0"/>
              <w:rPr>
                <w:rFonts w:ascii="Calibri" w:eastAsia="Calibri" w:hAnsi="Calibri" w:cs="Times New Roman"/>
              </w:rPr>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tc>
      </w:tr>
      <w:tr w:rsidR="0058099F" w14:paraId="719DBA2D" w14:textId="77777777" w:rsidTr="00015F3E">
        <w:trPr>
          <w:jc w:val="center"/>
        </w:trPr>
        <w:tc>
          <w:tcPr>
            <w:tcW w:w="1384" w:type="dxa"/>
          </w:tcPr>
          <w:p w14:paraId="5740FE2B" w14:textId="77777777" w:rsidR="0058099F" w:rsidRDefault="001B24E5" w:rsidP="00EC7F8D">
            <w:pPr>
              <w:pStyle w:val="TCTableBody"/>
              <w:spacing w:after="0"/>
            </w:pPr>
            <m:oMathPara>
              <m:oMath>
                <m:sSub>
                  <m:sSubPr>
                    <m:ctrlPr>
                      <w:rPr>
                        <w:rFonts w:ascii="Cambria Math" w:hAnsi="Cambria Math"/>
                      </w:rPr>
                    </m:ctrlPr>
                  </m:sSubPr>
                  <m:e>
                    <m:r>
                      <w:rPr>
                        <w:rFonts w:ascii="Cambria Math" w:hAnsi="Cambria Math"/>
                      </w:rPr>
                      <m:t>Z</m:t>
                    </m:r>
                  </m:e>
                  <m:sub>
                    <m:r>
                      <w:rPr>
                        <w:rFonts w:ascii="Cambria Math" w:hAnsi="Cambria Math"/>
                      </w:rPr>
                      <m:t>liq</m:t>
                    </m:r>
                  </m:sub>
                </m:sSub>
              </m:oMath>
            </m:oMathPara>
          </w:p>
        </w:tc>
        <w:tc>
          <w:tcPr>
            <w:tcW w:w="4464" w:type="dxa"/>
          </w:tcPr>
          <w:p w14:paraId="7363973A" w14:textId="77777777" w:rsidR="0058099F" w:rsidRDefault="00590370" w:rsidP="00EC7F8D">
            <w:pPr>
              <w:pStyle w:val="TCTableBody"/>
              <w:spacing w:after="0"/>
            </w:pPr>
            <w:r>
              <w:t>Liquid impedance</w:t>
            </w:r>
          </w:p>
        </w:tc>
        <w:tc>
          <w:tcPr>
            <w:tcW w:w="1600" w:type="dxa"/>
          </w:tcPr>
          <w:p w14:paraId="4EAD8395" w14:textId="77777777" w:rsidR="0058099F" w:rsidRDefault="00590370" w:rsidP="00EC7F8D">
            <w:pPr>
              <w:pStyle w:val="TCTableBody"/>
              <w:spacing w:after="0"/>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58099F" w14:paraId="597593D0" w14:textId="77777777" w:rsidTr="00015F3E">
        <w:trPr>
          <w:jc w:val="center"/>
        </w:trPr>
        <w:tc>
          <w:tcPr>
            <w:tcW w:w="1384" w:type="dxa"/>
          </w:tcPr>
          <w:p w14:paraId="4AFC4263" w14:textId="77777777" w:rsidR="0058099F" w:rsidRPr="00630AA7" w:rsidRDefault="001B24E5" w:rsidP="00EC7F8D">
            <w:pPr>
              <w:pStyle w:val="TCTableBody"/>
              <w:spacing w:after="0"/>
              <w:rPr>
                <w:rFonts w:ascii="Calibri" w:eastAsia="Calibri" w:hAnsi="Calibri" w:cs="Times New Roman"/>
              </w:rPr>
            </w:pPr>
            <m:oMathPara>
              <m:oMath>
                <m:sSub>
                  <m:sSubPr>
                    <m:ctrlPr>
                      <w:rPr>
                        <w:rFonts w:ascii="Cambria Math" w:hAnsi="Cambria Math"/>
                      </w:rPr>
                    </m:ctrlPr>
                  </m:sSubPr>
                  <m:e>
                    <m:r>
                      <w:rPr>
                        <w:rFonts w:ascii="Cambria Math" w:hAnsi="Cambria Math"/>
                      </w:rPr>
                      <m:t>Z</m:t>
                    </m:r>
                  </m:e>
                  <m:sub>
                    <m:r>
                      <w:rPr>
                        <w:rFonts w:ascii="Cambria Math" w:hAnsi="Cambria Math"/>
                      </w:rPr>
                      <m:t>load</m:t>
                    </m:r>
                  </m:sub>
                </m:sSub>
              </m:oMath>
            </m:oMathPara>
          </w:p>
        </w:tc>
        <w:tc>
          <w:tcPr>
            <w:tcW w:w="4464" w:type="dxa"/>
          </w:tcPr>
          <w:p w14:paraId="4A8BBB7D" w14:textId="77777777" w:rsidR="0058099F" w:rsidRDefault="0058099F" w:rsidP="00EC7F8D">
            <w:pPr>
              <w:pStyle w:val="TCTableBody"/>
              <w:spacing w:after="0"/>
            </w:pPr>
            <w:r>
              <w:t>Impedance on quartz surface (point)</w:t>
            </w:r>
          </w:p>
        </w:tc>
        <w:tc>
          <w:tcPr>
            <w:tcW w:w="1600" w:type="dxa"/>
          </w:tcPr>
          <w:p w14:paraId="6DA476FC" w14:textId="77777777" w:rsidR="0058099F" w:rsidRDefault="0058099F" w:rsidP="00EC7F8D">
            <w:pPr>
              <w:pStyle w:val="TCTableBody"/>
              <w:spacing w:after="0"/>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r>
                  <m:rPr>
                    <m:sty m:val="p"/>
                  </m:rPr>
                  <w:rPr>
                    <w:rFonts w:ascii="Cambria Math" w:hAnsi="Cambria Math"/>
                  </w:rPr>
                  <m:t xml:space="preserve"> </m:t>
                </m:r>
              </m:oMath>
            </m:oMathPara>
          </w:p>
        </w:tc>
      </w:tr>
      <w:tr w:rsidR="00590370" w14:paraId="47E17204" w14:textId="77777777" w:rsidTr="00015F3E">
        <w:trPr>
          <w:jc w:val="center"/>
        </w:trPr>
        <w:tc>
          <w:tcPr>
            <w:tcW w:w="1384" w:type="dxa"/>
          </w:tcPr>
          <w:p w14:paraId="0EB46C8E" w14:textId="77777777" w:rsidR="00590370" w:rsidRDefault="001B24E5" w:rsidP="00EC7F8D">
            <w:pPr>
              <w:pStyle w:val="TCTableBody"/>
              <w:spacing w:after="0"/>
            </w:pPr>
            <m:oMathPara>
              <m:oMath>
                <m:sSub>
                  <m:sSubPr>
                    <m:ctrlPr>
                      <w:rPr>
                        <w:rFonts w:ascii="Cambria Math" w:hAnsi="Cambria Math"/>
                      </w:rPr>
                    </m:ctrlPr>
                  </m:sSubPr>
                  <m:e>
                    <m:r>
                      <w:rPr>
                        <w:rFonts w:ascii="Cambria Math" w:hAnsi="Cambria Math"/>
                      </w:rPr>
                      <m:t>Z</m:t>
                    </m:r>
                  </m:e>
                  <m:sub>
                    <m:r>
                      <w:rPr>
                        <w:rFonts w:ascii="Cambria Math" w:hAnsi="Cambria Math"/>
                      </w:rPr>
                      <m:t>q</m:t>
                    </m:r>
                  </m:sub>
                </m:sSub>
              </m:oMath>
            </m:oMathPara>
          </w:p>
        </w:tc>
        <w:tc>
          <w:tcPr>
            <w:tcW w:w="4464" w:type="dxa"/>
          </w:tcPr>
          <w:p w14:paraId="3AB53CD5" w14:textId="77777777" w:rsidR="00590370" w:rsidRDefault="00590370" w:rsidP="00EC7F8D">
            <w:pPr>
              <w:pStyle w:val="TCTableBody"/>
              <w:spacing w:after="0"/>
            </w:pPr>
            <w:r>
              <w:t>Quartz acoustic impedance</w:t>
            </w:r>
          </w:p>
        </w:tc>
        <w:tc>
          <w:tcPr>
            <w:tcW w:w="1600" w:type="dxa"/>
          </w:tcPr>
          <w:p w14:paraId="55EB8886" w14:textId="77777777" w:rsidR="00590370" w:rsidRDefault="00590370" w:rsidP="00EC7F8D">
            <w:pPr>
              <w:pStyle w:val="TCTableBody"/>
              <w:spacing w:after="0"/>
              <w:rPr>
                <w:rFonts w:eastAsia="Calibri"/>
              </w:rPr>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r>
      <w:tr w:rsidR="0067360A" w14:paraId="04D034B5" w14:textId="77777777" w:rsidTr="00015F3E">
        <w:trPr>
          <w:jc w:val="center"/>
        </w:trPr>
        <w:tc>
          <w:tcPr>
            <w:tcW w:w="1384" w:type="dxa"/>
          </w:tcPr>
          <w:p w14:paraId="2EDFEE87" w14:textId="77777777" w:rsidR="0067360A" w:rsidRDefault="001B24E5" w:rsidP="00EC7F8D">
            <w:pPr>
              <w:pStyle w:val="TCTableBody"/>
              <w:spacing w:after="0"/>
            </w:pPr>
            <m:oMathPara>
              <m:oMath>
                <m:sSub>
                  <m:sSubPr>
                    <m:ctrlPr>
                      <w:rPr>
                        <w:rFonts w:ascii="Cambria Math" w:eastAsia="Calibri" w:hAnsi="Cambria Math" w:cs="Times New Roman"/>
                      </w:rPr>
                    </m:ctrlPr>
                  </m:sSubPr>
                  <m:e>
                    <m:r>
                      <w:rPr>
                        <w:rFonts w:ascii="Cambria Math" w:eastAsia="Calibri" w:hAnsi="Cambria Math" w:cs="Times New Roman"/>
                      </w:rPr>
                      <m:t>α</m:t>
                    </m:r>
                  </m:e>
                  <m:sub>
                    <m:r>
                      <w:rPr>
                        <w:rFonts w:ascii="Cambria Math" w:eastAsia="Calibri" w:hAnsi="Cambria Math" w:cs="Times New Roman"/>
                      </w:rPr>
                      <m:t>s</m:t>
                    </m:r>
                  </m:sub>
                </m:sSub>
              </m:oMath>
            </m:oMathPara>
          </w:p>
        </w:tc>
        <w:tc>
          <w:tcPr>
            <w:tcW w:w="4464" w:type="dxa"/>
          </w:tcPr>
          <w:p w14:paraId="5FCE7A2C" w14:textId="77777777" w:rsidR="0067360A" w:rsidRDefault="0067360A" w:rsidP="00EC7F8D">
            <w:pPr>
              <w:pStyle w:val="TCTableBody"/>
              <w:spacing w:after="0"/>
            </w:pPr>
            <w:r>
              <w:t>Shape factor</w:t>
            </w:r>
          </w:p>
        </w:tc>
        <w:tc>
          <w:tcPr>
            <w:tcW w:w="1600" w:type="dxa"/>
          </w:tcPr>
          <w:p w14:paraId="0F31CE9E" w14:textId="77777777" w:rsidR="0067360A" w:rsidRDefault="001B24E5" w:rsidP="004A02B4">
            <w:pPr>
              <w:pStyle w:val="TCTableBody"/>
              <w:spacing w:after="0"/>
              <w:jc w:val="center"/>
              <w:rPr>
                <w:rFonts w:eastAsia="Calibri"/>
              </w:rPr>
            </w:pPr>
            <m:oMathPara>
              <m:oMath>
                <m:sSup>
                  <m:sSupPr>
                    <m:ctrlPr>
                      <w:rPr>
                        <w:rFonts w:ascii="Cambria Math" w:eastAsia="Calibri" w:hAnsi="Cambria Math"/>
                        <w:i/>
                      </w:rPr>
                    </m:ctrlPr>
                  </m:sSupPr>
                  <m:e>
                    <m:r>
                      <w:rPr>
                        <w:rFonts w:ascii="Cambria Math" w:eastAsia="Calibri" w:hAnsi="Cambria Math"/>
                      </w:rPr>
                      <m:t>m</m:t>
                    </m:r>
                  </m:e>
                  <m:sup>
                    <m:r>
                      <w:rPr>
                        <w:rFonts w:ascii="Cambria Math" w:eastAsia="Calibri" w:hAnsi="Cambria Math"/>
                      </w:rPr>
                      <m:t>2</m:t>
                    </m:r>
                  </m:sup>
                </m:sSup>
                <m:r>
                  <w:rPr>
                    <w:rFonts w:ascii="Cambria Math" w:eastAsia="Calibri" w:hAnsi="Cambria Math"/>
                  </w:rPr>
                  <m:t xml:space="preserve"> </m:t>
                </m:r>
                <m:sSup>
                  <m:sSupPr>
                    <m:ctrlPr>
                      <w:rPr>
                        <w:rFonts w:ascii="Cambria Math" w:eastAsia="Calibri" w:hAnsi="Cambria Math"/>
                        <w:i/>
                      </w:rPr>
                    </m:ctrlPr>
                  </m:sSupPr>
                  <m:e>
                    <m:r>
                      <w:rPr>
                        <w:rFonts w:ascii="Cambria Math" w:eastAsia="Calibri" w:hAnsi="Cambria Math"/>
                      </w:rPr>
                      <m:t>kg</m:t>
                    </m:r>
                  </m:e>
                  <m:sup>
                    <m:r>
                      <w:rPr>
                        <w:rFonts w:ascii="Cambria Math" w:eastAsia="Calibri" w:hAnsi="Cambria Math"/>
                      </w:rPr>
                      <m:t>-1</m:t>
                    </m:r>
                  </m:sup>
                </m:sSup>
              </m:oMath>
            </m:oMathPara>
          </w:p>
        </w:tc>
      </w:tr>
      <w:tr w:rsidR="0058099F" w14:paraId="602CD5DF" w14:textId="77777777" w:rsidTr="00015F3E">
        <w:trPr>
          <w:jc w:val="center"/>
        </w:trPr>
        <w:tc>
          <w:tcPr>
            <w:tcW w:w="1384" w:type="dxa"/>
          </w:tcPr>
          <w:p w14:paraId="4282A4CC" w14:textId="77777777" w:rsidR="0058099F" w:rsidRPr="00630AA7" w:rsidRDefault="0058099F" w:rsidP="00EC7F8D">
            <w:pPr>
              <w:pStyle w:val="TCTableBody"/>
              <w:spacing w:after="0"/>
              <w:rPr>
                <w:rFonts w:ascii="Calibri" w:eastAsia="Calibri" w:hAnsi="Calibri" w:cs="Times New Roman"/>
              </w:rPr>
            </w:pPr>
            <m:oMathPara>
              <m:oMath>
                <m:r>
                  <m:rPr>
                    <m:sty m:val="p"/>
                  </m:rPr>
                  <w:rPr>
                    <w:rFonts w:ascii="Cambria Math" w:hAnsi="Cambria Math"/>
                  </w:rPr>
                  <m:t>Γ</m:t>
                </m:r>
              </m:oMath>
            </m:oMathPara>
          </w:p>
        </w:tc>
        <w:tc>
          <w:tcPr>
            <w:tcW w:w="4464" w:type="dxa"/>
          </w:tcPr>
          <w:p w14:paraId="28F903EC" w14:textId="77777777" w:rsidR="0058099F" w:rsidRDefault="0058099F" w:rsidP="00EC7F8D">
            <w:pPr>
              <w:pStyle w:val="TCTableBody"/>
              <w:spacing w:after="0"/>
            </w:pPr>
            <w:r>
              <w:t>Complex frequency</w:t>
            </w:r>
          </w:p>
        </w:tc>
        <w:tc>
          <w:tcPr>
            <w:tcW w:w="1600" w:type="dxa"/>
          </w:tcPr>
          <w:p w14:paraId="74183818"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Hz</m:t>
                </m:r>
              </m:oMath>
            </m:oMathPara>
          </w:p>
        </w:tc>
      </w:tr>
      <w:tr w:rsidR="0067360A" w14:paraId="1B3CDF92" w14:textId="77777777" w:rsidTr="00015F3E">
        <w:trPr>
          <w:jc w:val="center"/>
        </w:trPr>
        <w:tc>
          <w:tcPr>
            <w:tcW w:w="1384" w:type="dxa"/>
          </w:tcPr>
          <w:p w14:paraId="3315AE3E" w14:textId="77777777" w:rsidR="0067360A" w:rsidRDefault="0067360A" w:rsidP="00EC7F8D">
            <w:pPr>
              <w:pStyle w:val="TCTableBody"/>
              <w:spacing w:after="0"/>
            </w:pPr>
            <m:oMathPara>
              <m:oMath>
                <m:r>
                  <w:rPr>
                    <w:rFonts w:ascii="Cambria Math" w:hAnsi="Cambria Math"/>
                  </w:rPr>
                  <m:t>δ</m:t>
                </m:r>
              </m:oMath>
            </m:oMathPara>
          </w:p>
        </w:tc>
        <w:tc>
          <w:tcPr>
            <w:tcW w:w="4464" w:type="dxa"/>
          </w:tcPr>
          <w:p w14:paraId="61CA5F62" w14:textId="77777777" w:rsidR="0067360A" w:rsidRDefault="0067360A" w:rsidP="00EC7F8D">
            <w:pPr>
              <w:pStyle w:val="TCTableBody"/>
              <w:spacing w:after="0"/>
            </w:pPr>
            <w:r>
              <w:t>Dirac delta function</w:t>
            </w:r>
          </w:p>
        </w:tc>
        <w:tc>
          <w:tcPr>
            <w:tcW w:w="1600" w:type="dxa"/>
          </w:tcPr>
          <w:p w14:paraId="2BBA0ACB" w14:textId="77777777" w:rsidR="0067360A" w:rsidRDefault="0067360A" w:rsidP="00EC7F8D">
            <w:pPr>
              <w:pStyle w:val="TCTableBody"/>
              <w:spacing w:after="0"/>
              <w:jc w:val="center"/>
              <w:rPr>
                <w:rFonts w:eastAsia="Calibri"/>
              </w:rPr>
            </w:pPr>
            <w:r>
              <w:rPr>
                <w:rFonts w:eastAsia="Calibri"/>
              </w:rPr>
              <w:t>-</w:t>
            </w:r>
          </w:p>
        </w:tc>
      </w:tr>
      <w:tr w:rsidR="0067360A" w14:paraId="66C0B5AD" w14:textId="77777777" w:rsidTr="00015F3E">
        <w:trPr>
          <w:jc w:val="center"/>
        </w:trPr>
        <w:tc>
          <w:tcPr>
            <w:tcW w:w="1384" w:type="dxa"/>
          </w:tcPr>
          <w:p w14:paraId="0959A501" w14:textId="77777777" w:rsidR="0067360A" w:rsidRDefault="001B24E5" w:rsidP="00EC7F8D">
            <w:pPr>
              <w:pStyle w:val="TCTableBody"/>
              <w:spacing w:after="0"/>
            </w:pPr>
            <m:oMathPara>
              <m:oMath>
                <m:sSub>
                  <m:sSubPr>
                    <m:ctrlPr>
                      <w:rPr>
                        <w:rFonts w:ascii="Cambria Math" w:hAnsi="Cambria Math"/>
                        <w:i/>
                      </w:rPr>
                    </m:ctrlPr>
                  </m:sSubPr>
                  <m:e>
                    <m:r>
                      <w:rPr>
                        <w:rFonts w:ascii="Cambria Math" w:hAnsi="Cambria Math"/>
                      </w:rPr>
                      <m:t>δ</m:t>
                    </m:r>
                  </m:e>
                  <m:sub>
                    <m:r>
                      <w:rPr>
                        <w:rFonts w:ascii="Cambria Math" w:hAnsi="Cambria Math"/>
                      </w:rPr>
                      <m:t>w</m:t>
                    </m:r>
                  </m:sub>
                </m:sSub>
              </m:oMath>
            </m:oMathPara>
          </w:p>
        </w:tc>
        <w:tc>
          <w:tcPr>
            <w:tcW w:w="4464" w:type="dxa"/>
          </w:tcPr>
          <w:p w14:paraId="4F1BDD59" w14:textId="77777777" w:rsidR="0067360A" w:rsidRDefault="0067360A" w:rsidP="00EC7F8D">
            <w:pPr>
              <w:pStyle w:val="TCTableBody"/>
              <w:spacing w:after="0"/>
            </w:pPr>
            <w:r>
              <w:t>Evanescent wave depth penetration</w:t>
            </w:r>
          </w:p>
        </w:tc>
        <w:tc>
          <w:tcPr>
            <w:tcW w:w="1600" w:type="dxa"/>
          </w:tcPr>
          <w:p w14:paraId="7B076BD5" w14:textId="77777777" w:rsidR="0067360A" w:rsidRDefault="0067360A" w:rsidP="00EC7F8D">
            <w:pPr>
              <w:pStyle w:val="TCTableBody"/>
              <w:spacing w:after="0"/>
              <w:rPr>
                <w:rFonts w:eastAsia="Calibri"/>
              </w:rPr>
            </w:pPr>
            <m:oMathPara>
              <m:oMath>
                <m:r>
                  <w:rPr>
                    <w:rFonts w:ascii="Cambria Math" w:eastAsia="Calibri" w:hAnsi="Cambria Math"/>
                  </w:rPr>
                  <m:t>m</m:t>
                </m:r>
              </m:oMath>
            </m:oMathPara>
          </w:p>
        </w:tc>
      </w:tr>
      <w:tr w:rsidR="00015F3E" w14:paraId="7110ED64" w14:textId="77777777" w:rsidTr="00015F3E">
        <w:trPr>
          <w:jc w:val="center"/>
        </w:trPr>
        <w:tc>
          <w:tcPr>
            <w:tcW w:w="1384" w:type="dxa"/>
          </w:tcPr>
          <w:p w14:paraId="0A068BE3" w14:textId="77777777" w:rsidR="00015F3E" w:rsidRDefault="00015F3E" w:rsidP="00EC7F8D">
            <w:pPr>
              <w:pStyle w:val="TCTableBody"/>
              <w:spacing w:after="0"/>
            </w:pPr>
            <m:oMathPara>
              <m:oMath>
                <m:r>
                  <w:rPr>
                    <w:rFonts w:ascii="Cambria Math" w:hAnsi="Cambria Math"/>
                  </w:rPr>
                  <m:t>ζ</m:t>
                </m:r>
              </m:oMath>
            </m:oMathPara>
          </w:p>
        </w:tc>
        <w:tc>
          <w:tcPr>
            <w:tcW w:w="4464" w:type="dxa"/>
          </w:tcPr>
          <w:p w14:paraId="3831355E" w14:textId="77777777" w:rsidR="00015F3E" w:rsidRDefault="00015F3E" w:rsidP="00015F3E">
            <w:pPr>
              <w:pStyle w:val="TCTableBody"/>
              <w:spacing w:after="0"/>
            </w:pPr>
            <w:r>
              <w:t>Dampening coefficient of viscoelastic layer</w:t>
            </w:r>
          </w:p>
        </w:tc>
        <w:tc>
          <w:tcPr>
            <w:tcW w:w="1600" w:type="dxa"/>
            <w:vAlign w:val="center"/>
          </w:tcPr>
          <w:p w14:paraId="52D92FF0" w14:textId="77777777" w:rsidR="00015F3E" w:rsidRDefault="00015F3E" w:rsidP="00015F3E">
            <w:pPr>
              <w:pStyle w:val="TCTableBody"/>
              <w:spacing w:after="0"/>
              <w:jc w:val="center"/>
              <w:rPr>
                <w:rFonts w:eastAsia="Calibri"/>
              </w:rPr>
            </w:pPr>
            <w:r>
              <w:rPr>
                <w:rFonts w:eastAsia="Calibri"/>
              </w:rPr>
              <w:t>-</w:t>
            </w:r>
          </w:p>
        </w:tc>
      </w:tr>
      <w:tr w:rsidR="0058099F" w14:paraId="120CDC6E" w14:textId="77777777" w:rsidTr="00015F3E">
        <w:trPr>
          <w:jc w:val="center"/>
        </w:trPr>
        <w:tc>
          <w:tcPr>
            <w:tcW w:w="1384" w:type="dxa"/>
          </w:tcPr>
          <w:p w14:paraId="3170020D" w14:textId="77777777" w:rsidR="0058099F" w:rsidRPr="00630AA7" w:rsidRDefault="00076E4A" w:rsidP="00EC7F8D">
            <w:pPr>
              <w:pStyle w:val="TCTableBody"/>
              <w:spacing w:after="0"/>
              <w:rPr>
                <w:rFonts w:ascii="Calibri" w:eastAsia="Calibri" w:hAnsi="Calibri" w:cs="Times New Roman"/>
              </w:rPr>
            </w:pPr>
            <m:oMathPara>
              <m:oMath>
                <m:r>
                  <w:rPr>
                    <w:rFonts w:ascii="Cambria Math" w:eastAsia="Calibri" w:hAnsi="Cambria Math" w:cs="Times New Roman"/>
                  </w:rPr>
                  <w:lastRenderedPageBreak/>
                  <m:t>η</m:t>
                </m:r>
              </m:oMath>
            </m:oMathPara>
          </w:p>
        </w:tc>
        <w:tc>
          <w:tcPr>
            <w:tcW w:w="4464" w:type="dxa"/>
          </w:tcPr>
          <w:p w14:paraId="310B75C7" w14:textId="77777777" w:rsidR="0058099F" w:rsidRDefault="00076E4A" w:rsidP="00EC7F8D">
            <w:pPr>
              <w:pStyle w:val="TCTableBody"/>
              <w:spacing w:after="0"/>
            </w:pPr>
            <w:r>
              <w:t>Viscosity</w:t>
            </w:r>
          </w:p>
        </w:tc>
        <w:tc>
          <w:tcPr>
            <w:tcW w:w="1600" w:type="dxa"/>
          </w:tcPr>
          <w:p w14:paraId="1FB230F5" w14:textId="77777777" w:rsidR="0058099F" w:rsidRDefault="00076E4A" w:rsidP="00EC7F8D">
            <w:pPr>
              <w:pStyle w:val="TCTableBody"/>
              <w:spacing w:after="0"/>
              <w:jc w:val="center"/>
              <w:rPr>
                <w:rFonts w:ascii="Calibri" w:eastAsia="Calibri" w:hAnsi="Calibri" w:cs="Times New Roman"/>
              </w:rPr>
            </w:pPr>
            <m:oMathPara>
              <m:oMath>
                <m:r>
                  <w:rPr>
                    <w:rFonts w:ascii="Cambria Math" w:eastAsia="Calibri" w:hAnsi="Cambria Math" w:cs="Times New Roman"/>
                  </w:rPr>
                  <m:t xml:space="preserve">kg </m:t>
                </m:r>
                <m:sSup>
                  <m:sSupPr>
                    <m:ctrlPr>
                      <w:rPr>
                        <w:rFonts w:ascii="Cambria Math" w:eastAsia="Calibri" w:hAnsi="Cambria Math" w:cs="Times New Roman"/>
                        <w:i/>
                      </w:rPr>
                    </m:ctrlPr>
                  </m:sSupPr>
                  <m:e>
                    <m:r>
                      <w:rPr>
                        <w:rFonts w:ascii="Cambria Math" w:eastAsia="Calibri" w:hAnsi="Cambria Math" w:cs="Times New Roman"/>
                      </w:rPr>
                      <m:t>s</m:t>
                    </m:r>
                  </m:e>
                  <m:sup>
                    <m:r>
                      <w:rPr>
                        <w:rFonts w:ascii="Cambria Math" w:eastAsia="Calibri" w:hAnsi="Cambria Math" w:cs="Times New Roman"/>
                      </w:rPr>
                      <m:t>-1</m:t>
                    </m:r>
                  </m:sup>
                </m:sSup>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-1</m:t>
                    </m:r>
                  </m:sup>
                </m:sSup>
              </m:oMath>
            </m:oMathPara>
          </w:p>
        </w:tc>
      </w:tr>
      <w:tr w:rsidR="0058099F" w14:paraId="49F009B6" w14:textId="77777777" w:rsidTr="00015F3E">
        <w:trPr>
          <w:jc w:val="center"/>
        </w:trPr>
        <w:tc>
          <w:tcPr>
            <w:tcW w:w="1384" w:type="dxa"/>
          </w:tcPr>
          <w:p w14:paraId="12712EFF" w14:textId="77777777" w:rsidR="0058099F"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ν</m:t>
                    </m:r>
                  </m:e>
                  <m:sub>
                    <m:r>
                      <w:rPr>
                        <w:rFonts w:ascii="Cambria Math" w:eastAsia="Calibri" w:hAnsi="Cambria Math" w:cs="Times New Roman"/>
                      </w:rPr>
                      <m:t>q</m:t>
                    </m:r>
                  </m:sub>
                </m:sSub>
              </m:oMath>
            </m:oMathPara>
          </w:p>
        </w:tc>
        <w:tc>
          <w:tcPr>
            <w:tcW w:w="4464" w:type="dxa"/>
          </w:tcPr>
          <w:p w14:paraId="1B24A79C" w14:textId="77777777" w:rsidR="0058099F" w:rsidRDefault="0058099F" w:rsidP="00EC7F8D">
            <w:pPr>
              <w:pStyle w:val="TCTableBody"/>
              <w:spacing w:after="0"/>
            </w:pPr>
            <w:r>
              <w:t>Quartz wavenumber</w:t>
            </w:r>
          </w:p>
        </w:tc>
        <w:tc>
          <w:tcPr>
            <w:tcW w:w="1600" w:type="dxa"/>
          </w:tcPr>
          <w:p w14:paraId="683EBD46" w14:textId="77777777" w:rsidR="0058099F" w:rsidRDefault="001B24E5" w:rsidP="00EC7F8D">
            <w:pPr>
              <w:pStyle w:val="TCTableBody"/>
              <w:spacing w:after="0"/>
              <w:rPr>
                <w:rFonts w:ascii="Calibri" w:eastAsia="Calibri" w:hAnsi="Calibri" w:cs="Times New Roman"/>
              </w:rPr>
            </w:pPr>
            <m:oMathPara>
              <m:oMath>
                <m:sSup>
                  <m:sSupPr>
                    <m:ctrlPr>
                      <w:rPr>
                        <w:rFonts w:ascii="Cambria Math" w:hAnsi="Cambria Math"/>
                      </w:rPr>
                    </m:ctrlPr>
                  </m:sSupPr>
                  <m:e>
                    <m:r>
                      <w:rPr>
                        <w:rFonts w:ascii="Cambria Math" w:hAnsi="Cambria Math"/>
                      </w:rPr>
                      <m:t>m</m:t>
                    </m:r>
                  </m:e>
                  <m:sup>
                    <m:r>
                      <m:rPr>
                        <m:sty m:val="p"/>
                      </m:rPr>
                      <w:rPr>
                        <w:rFonts w:ascii="Cambria Math" w:hAnsi="Cambria Math"/>
                      </w:rPr>
                      <m:t>-1</m:t>
                    </m:r>
                  </m:sup>
                </m:sSup>
              </m:oMath>
            </m:oMathPara>
          </w:p>
        </w:tc>
      </w:tr>
      <w:tr w:rsidR="0058099F" w14:paraId="73AA4A85" w14:textId="77777777" w:rsidTr="00015F3E">
        <w:trPr>
          <w:jc w:val="center"/>
        </w:trPr>
        <w:tc>
          <w:tcPr>
            <w:tcW w:w="1384" w:type="dxa"/>
          </w:tcPr>
          <w:p w14:paraId="18B15872" w14:textId="77777777" w:rsidR="0058099F"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ρ</m:t>
                    </m:r>
                  </m:e>
                  <m:sub>
                    <m:r>
                      <w:rPr>
                        <w:rFonts w:ascii="Cambria Math" w:eastAsia="Calibri" w:hAnsi="Cambria Math" w:cs="Times New Roman"/>
                      </w:rPr>
                      <m:t>c</m:t>
                    </m:r>
                  </m:sub>
                </m:sSub>
              </m:oMath>
            </m:oMathPara>
          </w:p>
        </w:tc>
        <w:tc>
          <w:tcPr>
            <w:tcW w:w="4464" w:type="dxa"/>
          </w:tcPr>
          <w:p w14:paraId="669AD245" w14:textId="77777777" w:rsidR="0058099F" w:rsidRDefault="0058099F" w:rsidP="00EC7F8D">
            <w:pPr>
              <w:pStyle w:val="TCTableBody"/>
              <w:spacing w:after="0"/>
            </w:pPr>
            <w:r>
              <w:t>Density of crystal</w:t>
            </w:r>
          </w:p>
        </w:tc>
        <w:tc>
          <w:tcPr>
            <w:tcW w:w="1600" w:type="dxa"/>
          </w:tcPr>
          <w:p w14:paraId="5C819E7F" w14:textId="77777777" w:rsidR="0058099F" w:rsidRPr="00B3629B" w:rsidRDefault="0058099F" w:rsidP="00EC7F8D">
            <w:pPr>
              <w:pStyle w:val="TCTableBody"/>
              <w:spacing w:after="0"/>
              <w:rPr>
                <w:rFonts w:ascii="Calibri" w:eastAsia="Calibri" w:hAnsi="Calibri" w:cs="Times New Roman"/>
              </w:rPr>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oMath>
            </m:oMathPara>
          </w:p>
        </w:tc>
      </w:tr>
      <w:tr w:rsidR="0058099F" w14:paraId="5EEB4258" w14:textId="77777777" w:rsidTr="00015F3E">
        <w:trPr>
          <w:jc w:val="center"/>
        </w:trPr>
        <w:tc>
          <w:tcPr>
            <w:tcW w:w="1384" w:type="dxa"/>
          </w:tcPr>
          <w:p w14:paraId="66F9CF18" w14:textId="77777777" w:rsidR="0058099F" w:rsidRPr="00630AA7" w:rsidRDefault="001B24E5" w:rsidP="00EC7F8D">
            <w:pPr>
              <w:pStyle w:val="TCTableBody"/>
              <w:spacing w:after="0"/>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ρ</m:t>
                    </m:r>
                  </m:e>
                  <m:sub>
                    <m:r>
                      <w:rPr>
                        <w:rFonts w:ascii="Cambria Math" w:eastAsia="Calibri" w:hAnsi="Cambria Math" w:cs="Times New Roman"/>
                      </w:rPr>
                      <m:t>d</m:t>
                    </m:r>
                  </m:sub>
                </m:sSub>
              </m:oMath>
            </m:oMathPara>
          </w:p>
        </w:tc>
        <w:tc>
          <w:tcPr>
            <w:tcW w:w="4464" w:type="dxa"/>
          </w:tcPr>
          <w:p w14:paraId="188AB273" w14:textId="77777777" w:rsidR="0058099F" w:rsidRDefault="0058099F" w:rsidP="00EC7F8D">
            <w:pPr>
              <w:pStyle w:val="TCTableBody"/>
              <w:spacing w:after="0"/>
            </w:pPr>
            <w:r>
              <w:t>Density of quartz</w:t>
            </w:r>
          </w:p>
        </w:tc>
        <w:tc>
          <w:tcPr>
            <w:tcW w:w="1600" w:type="dxa"/>
          </w:tcPr>
          <w:p w14:paraId="1BEC9A61" w14:textId="77777777" w:rsidR="0058099F" w:rsidRDefault="0058099F" w:rsidP="00EC7F8D">
            <w:pPr>
              <w:pStyle w:val="TCTableBody"/>
              <w:spacing w:after="0"/>
              <w:rPr>
                <w:rFonts w:ascii="Calibri" w:eastAsia="Calibri" w:hAnsi="Calibri" w:cs="Times New Roman"/>
              </w:rPr>
            </w:pPr>
            <m:oMathPara>
              <m:oMath>
                <m:r>
                  <w:rPr>
                    <w:rFonts w:ascii="Cambria Math" w:hAnsi="Cambria Math"/>
                  </w:rPr>
                  <m:t>kg</m:t>
                </m:r>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oMath>
            </m:oMathPara>
          </w:p>
        </w:tc>
      </w:tr>
      <w:tr w:rsidR="00076E4A" w14:paraId="611D94C7" w14:textId="77777777" w:rsidTr="00015F3E">
        <w:trPr>
          <w:jc w:val="center"/>
        </w:trPr>
        <w:tc>
          <w:tcPr>
            <w:tcW w:w="1384" w:type="dxa"/>
          </w:tcPr>
          <w:p w14:paraId="025D1246" w14:textId="77777777" w:rsidR="00076E4A" w:rsidRDefault="00076E4A" w:rsidP="00EC7F8D">
            <w:pPr>
              <w:pStyle w:val="TCTableBody"/>
              <w:spacing w:after="0"/>
            </w:pPr>
            <m:oMathPara>
              <m:oMath>
                <m:r>
                  <w:rPr>
                    <w:rFonts w:ascii="Cambria Math" w:eastAsia="Calibri" w:hAnsi="Cambria Math" w:cs="Times New Roman"/>
                  </w:rPr>
                  <m:t>φ</m:t>
                </m:r>
              </m:oMath>
            </m:oMathPara>
          </w:p>
        </w:tc>
        <w:tc>
          <w:tcPr>
            <w:tcW w:w="4464" w:type="dxa"/>
          </w:tcPr>
          <w:p w14:paraId="4792B4E9" w14:textId="77777777" w:rsidR="00076E4A" w:rsidRDefault="00076E4A" w:rsidP="00EC7F8D">
            <w:pPr>
              <w:pStyle w:val="TCTableBody"/>
              <w:spacing w:after="0"/>
            </w:pPr>
            <w:r>
              <w:t>Turns ratio</w:t>
            </w:r>
          </w:p>
        </w:tc>
        <w:tc>
          <w:tcPr>
            <w:tcW w:w="1600" w:type="dxa"/>
          </w:tcPr>
          <w:p w14:paraId="6233324D" w14:textId="77777777" w:rsidR="00076E4A" w:rsidRDefault="00076E4A" w:rsidP="00EC7F8D">
            <w:pPr>
              <w:pStyle w:val="TCTableBody"/>
              <w:spacing w:after="0"/>
              <w:jc w:val="center"/>
              <w:rPr>
                <w:rFonts w:eastAsia="Calibri"/>
              </w:rPr>
            </w:pPr>
            <w:r>
              <w:rPr>
                <w:rFonts w:ascii="Calibri" w:eastAsia="Calibri" w:hAnsi="Calibri" w:cs="Times New Roman"/>
              </w:rPr>
              <w:t>-</w:t>
            </w:r>
          </w:p>
        </w:tc>
      </w:tr>
      <w:tr w:rsidR="0058099F" w14:paraId="57F202D3" w14:textId="77777777" w:rsidTr="00015F3E">
        <w:trPr>
          <w:jc w:val="center"/>
        </w:trPr>
        <w:tc>
          <w:tcPr>
            <w:tcW w:w="1384" w:type="dxa"/>
            <w:tcBorders>
              <w:bottom w:val="single" w:sz="4" w:space="0" w:color="auto"/>
            </w:tcBorders>
          </w:tcPr>
          <w:p w14:paraId="46E18A35" w14:textId="77777777" w:rsidR="0058099F" w:rsidRDefault="0058099F" w:rsidP="00EC7F8D">
            <w:pPr>
              <w:pStyle w:val="TCTableBody"/>
              <w:spacing w:after="0"/>
              <w:rPr>
                <w:rFonts w:ascii="Calibri" w:eastAsia="Calibri" w:hAnsi="Calibri" w:cs="Times New Roman"/>
              </w:rPr>
            </w:pPr>
            <m:oMathPara>
              <m:oMath>
                <m:r>
                  <w:rPr>
                    <w:rFonts w:ascii="Cambria Math" w:eastAsia="Calibri" w:hAnsi="Cambria Math" w:cs="Times New Roman"/>
                  </w:rPr>
                  <m:t>ω</m:t>
                </m:r>
              </m:oMath>
            </m:oMathPara>
          </w:p>
        </w:tc>
        <w:tc>
          <w:tcPr>
            <w:tcW w:w="4464" w:type="dxa"/>
            <w:tcBorders>
              <w:bottom w:val="single" w:sz="4" w:space="0" w:color="auto"/>
            </w:tcBorders>
          </w:tcPr>
          <w:p w14:paraId="557FED04" w14:textId="77777777" w:rsidR="0058099F" w:rsidRDefault="0058099F" w:rsidP="00EC7F8D">
            <w:pPr>
              <w:pStyle w:val="TCTableBody"/>
              <w:spacing w:after="0"/>
            </w:pPr>
            <w:r>
              <w:t>Angular frequency</w:t>
            </w:r>
          </w:p>
        </w:tc>
        <w:tc>
          <w:tcPr>
            <w:tcW w:w="1600" w:type="dxa"/>
            <w:tcBorders>
              <w:bottom w:val="single" w:sz="4" w:space="0" w:color="auto"/>
            </w:tcBorders>
          </w:tcPr>
          <w:p w14:paraId="27B4A386" w14:textId="77777777" w:rsidR="0058099F" w:rsidRPr="00EB12C0" w:rsidRDefault="00EB12C0" w:rsidP="00EC7F8D">
            <w:pPr>
              <w:pStyle w:val="TCTableBody"/>
              <w:spacing w:after="0"/>
              <w:rPr>
                <w:rFonts w:ascii="Calibri" w:eastAsia="Calibri" w:hAnsi="Calibri" w:cs="Times New Roman"/>
                <w:i/>
              </w:rPr>
            </w:pPr>
            <m:oMathPara>
              <m:oMath>
                <m:r>
                  <w:rPr>
                    <w:rFonts w:ascii="Cambria Math" w:hAnsi="Cambria Math"/>
                  </w:rPr>
                  <m:t>Hz</m:t>
                </m:r>
              </m:oMath>
            </m:oMathPara>
          </w:p>
        </w:tc>
      </w:tr>
    </w:tbl>
    <w:p w14:paraId="7A634CDD" w14:textId="77777777" w:rsidR="00F41BF5" w:rsidRDefault="00F41BF5" w:rsidP="001A1F28">
      <w:pPr>
        <w:rPr>
          <w:lang w:eastAsia="en-GB"/>
        </w:rPr>
      </w:pPr>
    </w:p>
    <w:p w14:paraId="4E88AFEC" w14:textId="77777777" w:rsidR="00E57A5C" w:rsidRDefault="00E57A5C" w:rsidP="00E57A5C">
      <w:pPr>
        <w:pStyle w:val="FACorrespondingAuthorFootnote"/>
        <w:spacing w:after="0"/>
        <w:jc w:val="left"/>
      </w:pPr>
    </w:p>
    <w:p w14:paraId="446759D8" w14:textId="77777777" w:rsidR="002E28FA" w:rsidRDefault="002E28FA" w:rsidP="002E28FA"/>
    <w:p w14:paraId="51EED404" w14:textId="77777777" w:rsidR="002E28FA" w:rsidRPr="00D87029" w:rsidRDefault="002E28FA" w:rsidP="004652BD">
      <w:pPr>
        <w:pStyle w:val="TAMainText"/>
        <w:ind w:firstLine="0"/>
        <w:jc w:val="center"/>
      </w:pPr>
      <w:r w:rsidRPr="00D87029">
        <w:t>ACKNOWLEDGMENT</w:t>
      </w:r>
    </w:p>
    <w:p w14:paraId="52488CDF" w14:textId="77777777" w:rsidR="002E28FA" w:rsidRDefault="002E28FA" w:rsidP="002E28FA">
      <w:pPr>
        <w:pStyle w:val="TAMainText"/>
      </w:pPr>
      <w:r w:rsidRPr="00E213C2">
        <w:t xml:space="preserve">The </w:t>
      </w:r>
      <w:r>
        <w:t>PhD studentship, supported by the Alan Howard Scholarships for Tomer Lapidot, is gratefully acknowledged</w:t>
      </w:r>
      <w:r>
        <w:rPr>
          <w:color w:val="000000"/>
        </w:rPr>
        <w:t xml:space="preserve">. </w:t>
      </w:r>
      <w:r w:rsidRPr="000D2721">
        <w:rPr>
          <w:rFonts w:ascii="Times New Roman" w:hAnsi="Times New Roman"/>
          <w:szCs w:val="24"/>
          <w:lang w:eastAsia="en-GB"/>
        </w:rPr>
        <w:t>The authors acknowledge</w:t>
      </w:r>
      <w:r>
        <w:t xml:space="preserve"> Doron Lapidot for the many fruitful ideas and interesting discussions, as well as assisting in the design of the customised QCM flow cell. The authors would also like to thank Prof. Diethelm Johannsmann for his technical input and helpful discussions in the development of the proposed model. </w:t>
      </w:r>
    </w:p>
    <w:p w14:paraId="4BEE9B9E" w14:textId="77777777" w:rsidR="002E28FA" w:rsidRDefault="002E28FA" w:rsidP="002E28FA"/>
    <w:p w14:paraId="1BD4E8AC" w14:textId="77777777" w:rsidR="002E28FA" w:rsidRPr="002E28FA" w:rsidRDefault="002E28FA" w:rsidP="002E28FA"/>
    <w:p w14:paraId="02560F71" w14:textId="77777777" w:rsidR="007D56E0" w:rsidRDefault="00C407D6" w:rsidP="004652BD">
      <w:pPr>
        <w:pStyle w:val="TESupportingInformation"/>
        <w:spacing w:after="240"/>
        <w:ind w:firstLine="0"/>
        <w:jc w:val="center"/>
      </w:pPr>
      <w:r>
        <w:t>SUPPORTING INFORMATION</w:t>
      </w:r>
    </w:p>
    <w:p w14:paraId="3A9B1EE5" w14:textId="00F5ACF2" w:rsidR="0077691D" w:rsidRDefault="0077691D" w:rsidP="0077691D">
      <w:pPr>
        <w:pStyle w:val="TAMainText"/>
      </w:pPr>
      <w:r>
        <w:t xml:space="preserve">Supporting information includes </w:t>
      </w:r>
      <w:r w:rsidR="00571994">
        <w:t xml:space="preserve">four </w:t>
      </w:r>
      <w:r>
        <w:t xml:space="preserve">additional supplementary sections for the interested reader. </w:t>
      </w:r>
      <w:r w:rsidR="0000394A">
        <w:t>Section S.1</w:t>
      </w:r>
      <w:r>
        <w:t xml:space="preserve"> provides the full derivation of Equation (4) using Laplace transforms. The second provides the </w:t>
      </w:r>
      <w:r w:rsidR="0000394A">
        <w:t xml:space="preserve">model’s </w:t>
      </w:r>
      <w:r>
        <w:t xml:space="preserve">fittings </w:t>
      </w:r>
      <w:r w:rsidR="0000394A">
        <w:t xml:space="preserve">to </w:t>
      </w:r>
      <w:r>
        <w:t>experimental data. Since the experiment was repeated three time</w:t>
      </w:r>
      <w:r w:rsidR="0000394A">
        <w:t>s</w:t>
      </w:r>
      <w:r>
        <w:t xml:space="preserve"> at each supersaturation, one of the trials’ fitting is provided in </w:t>
      </w:r>
      <w:r w:rsidR="0000394A">
        <w:t>the body of the work (F</w:t>
      </w:r>
      <w:r>
        <w:t xml:space="preserve">igure </w:t>
      </w:r>
      <w:r w:rsidR="00571994">
        <w:t>5</w:t>
      </w:r>
      <w:r w:rsidR="0000394A">
        <w:t xml:space="preserve">), </w:t>
      </w:r>
      <w:r w:rsidR="0043586B">
        <w:t xml:space="preserve">and </w:t>
      </w:r>
      <w:r w:rsidR="0000394A">
        <w:t xml:space="preserve">the fitting of the additional two trials is provide in section S.2. </w:t>
      </w:r>
      <w:r w:rsidR="00571994">
        <w:t xml:space="preserve">Section S.3 compares conventionally used models, such as the Sauerbrey model, uniform viscoelastic film in liquid model, and a standard Kelvin-Voigt model to the proposed model. </w:t>
      </w:r>
      <w:r w:rsidR="0000394A">
        <w:t>Section S.</w:t>
      </w:r>
      <w:r w:rsidR="00571994">
        <w:t xml:space="preserve">4 </w:t>
      </w:r>
      <w:r w:rsidR="0000394A">
        <w:t>depicts the values of the model’s fitted parameters (</w:t>
      </w:r>
      <w:r w:rsidR="0000394A" w:rsidRPr="0000394A">
        <w:rPr>
          <w:i/>
        </w:rPr>
        <w:t>G</w:t>
      </w:r>
      <w:r w:rsidR="0000394A">
        <w:t xml:space="preserve">, </w:t>
      </w:r>
      <w:r w:rsidR="0000394A" w:rsidRPr="0000394A">
        <w:rPr>
          <w:i/>
        </w:rPr>
        <w:t>k</w:t>
      </w:r>
      <w:r w:rsidR="0000394A">
        <w:t xml:space="preserve">, and </w:t>
      </w:r>
      <w:r w:rsidR="0000394A" w:rsidRPr="0000394A">
        <w:rPr>
          <w:i/>
        </w:rPr>
        <w:t>r</w:t>
      </w:r>
      <w:r w:rsidR="0000394A">
        <w:t>) at the three supersaturations tested.</w:t>
      </w:r>
      <w:r w:rsidR="00571994">
        <w:t xml:space="preserve"> </w:t>
      </w:r>
    </w:p>
    <w:p w14:paraId="6397EA34" w14:textId="77777777" w:rsidR="00716E41" w:rsidRDefault="00716E41" w:rsidP="005A481F">
      <w:pPr>
        <w:pStyle w:val="TFReferencesSection"/>
        <w:spacing w:after="0"/>
        <w:ind w:firstLine="0"/>
        <w:sectPr w:rsidR="00716E41" w:rsidSect="00716E41">
          <w:headerReference w:type="default" r:id="rId50"/>
          <w:footerReference w:type="default" r:id="rId51"/>
          <w:pgSz w:w="12240" w:h="15840"/>
          <w:pgMar w:top="1440" w:right="1440" w:bottom="1440" w:left="1440" w:header="0" w:footer="0" w:gutter="0"/>
          <w:pgNumType w:start="1"/>
          <w:cols w:space="475"/>
          <w:docGrid w:linePitch="326"/>
        </w:sectPr>
      </w:pPr>
    </w:p>
    <w:p w14:paraId="5600C0F4" w14:textId="77777777" w:rsidR="00DD1C2E" w:rsidRDefault="005A481F" w:rsidP="004652BD">
      <w:pPr>
        <w:pStyle w:val="TFReferencesSection"/>
        <w:spacing w:after="0"/>
        <w:ind w:firstLine="0"/>
        <w:jc w:val="center"/>
      </w:pPr>
      <w:r>
        <w:lastRenderedPageBreak/>
        <w:t>REFERENCES</w:t>
      </w:r>
    </w:p>
    <w:p w14:paraId="75F73857" w14:textId="77777777" w:rsidR="002E6FA0" w:rsidRPr="002E6FA0" w:rsidRDefault="005F4C8F" w:rsidP="002E6FA0">
      <w:pPr>
        <w:pStyle w:val="SNSynopsisTOC"/>
        <w:spacing w:after="0" w:line="240" w:lineRule="auto"/>
        <w:jc w:val="left"/>
        <w:rPr>
          <w:rFonts w:cs="Times"/>
          <w:noProof/>
        </w:rPr>
      </w:pPr>
      <w:bookmarkStart w:id="15" w:name="_ENREF_1"/>
      <w:r>
        <w:rPr>
          <w:rFonts w:cs="Times"/>
          <w:noProof/>
        </w:rPr>
        <w:t>1.</w:t>
      </w:r>
      <w:r>
        <w:rPr>
          <w:rFonts w:cs="Times"/>
          <w:noProof/>
        </w:rPr>
        <w:tab/>
        <w:t>Tanahashi, M.; Matsuda, T.</w:t>
      </w:r>
      <w:r w:rsidR="002E6FA0" w:rsidRPr="002E6FA0">
        <w:rPr>
          <w:rFonts w:cs="Times"/>
          <w:noProof/>
        </w:rPr>
        <w:t xml:space="preserve"> </w:t>
      </w:r>
      <w:r w:rsidR="002E6FA0" w:rsidRPr="002E6FA0">
        <w:rPr>
          <w:rFonts w:cs="Times"/>
          <w:i/>
          <w:noProof/>
        </w:rPr>
        <w:t>J</w:t>
      </w:r>
      <w:r w:rsidR="00021137">
        <w:rPr>
          <w:rFonts w:cs="Times"/>
          <w:i/>
          <w:noProof/>
        </w:rPr>
        <w:t xml:space="preserve"> of Biomed</w:t>
      </w:r>
      <w:r w:rsidR="00582193">
        <w:rPr>
          <w:rFonts w:cs="Times"/>
          <w:i/>
          <w:noProof/>
        </w:rPr>
        <w:t>.</w:t>
      </w:r>
      <w:r w:rsidR="002E6FA0" w:rsidRPr="002E6FA0">
        <w:rPr>
          <w:rFonts w:cs="Times"/>
          <w:i/>
          <w:noProof/>
        </w:rPr>
        <w:t xml:space="preserve"> Mater</w:t>
      </w:r>
      <w:r w:rsidR="00582193">
        <w:rPr>
          <w:rFonts w:cs="Times"/>
          <w:i/>
          <w:noProof/>
        </w:rPr>
        <w:t>.</w:t>
      </w:r>
      <w:r w:rsidR="002E6FA0" w:rsidRPr="002E6FA0">
        <w:rPr>
          <w:rFonts w:cs="Times"/>
          <w:i/>
          <w:noProof/>
        </w:rPr>
        <w:t xml:space="preserve"> Res</w:t>
      </w:r>
      <w:r w:rsidR="00582193">
        <w:rPr>
          <w:rFonts w:cs="Times"/>
          <w:i/>
          <w:noProof/>
        </w:rPr>
        <w:t>.</w:t>
      </w:r>
      <w:r w:rsidR="002E6FA0" w:rsidRPr="002E6FA0">
        <w:rPr>
          <w:rFonts w:cs="Times"/>
          <w:i/>
          <w:noProof/>
        </w:rPr>
        <w:t xml:space="preserve"> </w:t>
      </w:r>
      <w:r w:rsidR="002E6FA0" w:rsidRPr="002E6FA0">
        <w:rPr>
          <w:rFonts w:cs="Times"/>
          <w:b/>
          <w:noProof/>
        </w:rPr>
        <w:t>1997,</w:t>
      </w:r>
      <w:r w:rsidR="002E6FA0" w:rsidRPr="002E6FA0">
        <w:rPr>
          <w:rFonts w:cs="Times"/>
          <w:noProof/>
        </w:rPr>
        <w:t xml:space="preserve"> </w:t>
      </w:r>
      <w:r w:rsidR="002E6FA0" w:rsidRPr="002E6FA0">
        <w:rPr>
          <w:rFonts w:cs="Times"/>
          <w:i/>
          <w:noProof/>
        </w:rPr>
        <w:t>34</w:t>
      </w:r>
      <w:r w:rsidR="002E6FA0" w:rsidRPr="002E6FA0">
        <w:rPr>
          <w:rFonts w:cs="Times"/>
          <w:noProof/>
        </w:rPr>
        <w:t xml:space="preserve"> (3), 305-315.</w:t>
      </w:r>
      <w:bookmarkEnd w:id="15"/>
    </w:p>
    <w:p w14:paraId="28394A6F" w14:textId="77777777" w:rsidR="002E6FA0" w:rsidRPr="002E6FA0" w:rsidRDefault="002E6FA0" w:rsidP="002E6FA0">
      <w:pPr>
        <w:pStyle w:val="SNSynopsisTOC"/>
        <w:spacing w:after="0" w:line="240" w:lineRule="auto"/>
        <w:jc w:val="left"/>
        <w:rPr>
          <w:rFonts w:cs="Times"/>
          <w:noProof/>
        </w:rPr>
      </w:pPr>
      <w:bookmarkStart w:id="16" w:name="_ENREF_2"/>
      <w:r w:rsidRPr="002E6FA0">
        <w:rPr>
          <w:rFonts w:cs="Times"/>
          <w:noProof/>
        </w:rPr>
        <w:t>2.</w:t>
      </w:r>
      <w:r w:rsidRPr="002E6FA0">
        <w:rPr>
          <w:rFonts w:cs="Times"/>
          <w:noProof/>
        </w:rPr>
        <w:tab/>
        <w:t>Kar</w:t>
      </w:r>
      <w:r w:rsidR="005F4C8F">
        <w:rPr>
          <w:rFonts w:cs="Times"/>
          <w:noProof/>
        </w:rPr>
        <w:t>povich, D. S.; Blanchard, G. J.</w:t>
      </w:r>
      <w:r w:rsidRPr="002E6FA0">
        <w:rPr>
          <w:rFonts w:cs="Times"/>
          <w:noProof/>
        </w:rPr>
        <w:t xml:space="preserve"> </w:t>
      </w:r>
      <w:r w:rsidRPr="002E6FA0">
        <w:rPr>
          <w:rFonts w:cs="Times"/>
          <w:i/>
          <w:noProof/>
        </w:rPr>
        <w:t xml:space="preserve">Langmuir </w:t>
      </w:r>
      <w:r w:rsidRPr="002E6FA0">
        <w:rPr>
          <w:rFonts w:cs="Times"/>
          <w:b/>
          <w:noProof/>
        </w:rPr>
        <w:t>1994,</w:t>
      </w:r>
      <w:r w:rsidRPr="002E6FA0">
        <w:rPr>
          <w:rFonts w:cs="Times"/>
          <w:noProof/>
        </w:rPr>
        <w:t xml:space="preserve"> </w:t>
      </w:r>
      <w:r w:rsidRPr="002E6FA0">
        <w:rPr>
          <w:rFonts w:cs="Times"/>
          <w:i/>
          <w:noProof/>
        </w:rPr>
        <w:t>10</w:t>
      </w:r>
      <w:r w:rsidRPr="002E6FA0">
        <w:rPr>
          <w:rFonts w:cs="Times"/>
          <w:noProof/>
        </w:rPr>
        <w:t xml:space="preserve"> (9), 3315-3322.</w:t>
      </w:r>
      <w:bookmarkEnd w:id="16"/>
    </w:p>
    <w:p w14:paraId="38E93C4C" w14:textId="77777777" w:rsidR="002E6FA0" w:rsidRPr="002E6FA0" w:rsidRDefault="002E6FA0" w:rsidP="002E6FA0">
      <w:pPr>
        <w:pStyle w:val="SNSynopsisTOC"/>
        <w:spacing w:after="0" w:line="240" w:lineRule="auto"/>
        <w:jc w:val="left"/>
        <w:rPr>
          <w:rFonts w:cs="Times"/>
          <w:noProof/>
        </w:rPr>
      </w:pPr>
      <w:bookmarkStart w:id="17" w:name="_ENREF_3"/>
      <w:r w:rsidRPr="002E6FA0">
        <w:rPr>
          <w:rFonts w:cs="Times"/>
          <w:noProof/>
        </w:rPr>
        <w:t>3.</w:t>
      </w:r>
      <w:r w:rsidRPr="002E6FA0">
        <w:rPr>
          <w:rFonts w:cs="Times"/>
          <w:noProof/>
        </w:rPr>
        <w:tab/>
        <w:t>Domack, A.; Prucker</w:t>
      </w:r>
      <w:r w:rsidR="005F4C8F">
        <w:rPr>
          <w:rFonts w:cs="Times"/>
          <w:noProof/>
        </w:rPr>
        <w:t>, O.; Rühe, J.; Johannsmann, D.</w:t>
      </w:r>
      <w:r w:rsidRPr="002E6FA0">
        <w:rPr>
          <w:rFonts w:cs="Times"/>
          <w:noProof/>
        </w:rPr>
        <w:t xml:space="preserve"> </w:t>
      </w:r>
      <w:r w:rsidR="00582193">
        <w:rPr>
          <w:rFonts w:cs="Times"/>
          <w:i/>
          <w:noProof/>
        </w:rPr>
        <w:t>Phys. Rev.</w:t>
      </w:r>
      <w:r w:rsidRPr="002E6FA0">
        <w:rPr>
          <w:rFonts w:cs="Times"/>
          <w:i/>
          <w:noProof/>
        </w:rPr>
        <w:t xml:space="preserve"> E </w:t>
      </w:r>
      <w:r w:rsidRPr="002E6FA0">
        <w:rPr>
          <w:rFonts w:cs="Times"/>
          <w:b/>
          <w:noProof/>
        </w:rPr>
        <w:t>1997,</w:t>
      </w:r>
      <w:r w:rsidRPr="002E6FA0">
        <w:rPr>
          <w:rFonts w:cs="Times"/>
          <w:noProof/>
        </w:rPr>
        <w:t xml:space="preserve"> </w:t>
      </w:r>
      <w:r w:rsidRPr="002E6FA0">
        <w:rPr>
          <w:rFonts w:cs="Times"/>
          <w:i/>
          <w:noProof/>
        </w:rPr>
        <w:t>56</w:t>
      </w:r>
      <w:r w:rsidRPr="002E6FA0">
        <w:rPr>
          <w:rFonts w:cs="Times"/>
          <w:noProof/>
        </w:rPr>
        <w:t xml:space="preserve"> (1), 680-689.</w:t>
      </w:r>
      <w:bookmarkEnd w:id="17"/>
    </w:p>
    <w:p w14:paraId="66BAFD62" w14:textId="77777777" w:rsidR="002E6FA0" w:rsidRPr="002E6FA0" w:rsidRDefault="002E6FA0" w:rsidP="002E6FA0">
      <w:pPr>
        <w:pStyle w:val="SNSynopsisTOC"/>
        <w:spacing w:after="0" w:line="240" w:lineRule="auto"/>
        <w:jc w:val="left"/>
        <w:rPr>
          <w:rFonts w:cs="Times"/>
          <w:noProof/>
        </w:rPr>
      </w:pPr>
      <w:bookmarkStart w:id="18" w:name="_ENREF_4"/>
      <w:r w:rsidRPr="002E6FA0">
        <w:rPr>
          <w:rFonts w:cs="Times"/>
          <w:noProof/>
        </w:rPr>
        <w:t>4.</w:t>
      </w:r>
      <w:r w:rsidRPr="002E6FA0">
        <w:rPr>
          <w:rFonts w:cs="Times"/>
          <w:noProof/>
        </w:rPr>
        <w:tab/>
        <w:t>Molino, P. J</w:t>
      </w:r>
      <w:r w:rsidR="005F4C8F">
        <w:rPr>
          <w:rFonts w:cs="Times"/>
          <w:noProof/>
        </w:rPr>
        <w:t>.; Wallace, G. G.; Hanks, T. W.</w:t>
      </w:r>
      <w:r w:rsidRPr="002E6FA0">
        <w:rPr>
          <w:rFonts w:cs="Times"/>
          <w:noProof/>
        </w:rPr>
        <w:t xml:space="preserve"> </w:t>
      </w:r>
      <w:r w:rsidR="00582193">
        <w:rPr>
          <w:rFonts w:cs="Times"/>
          <w:i/>
          <w:noProof/>
        </w:rPr>
        <w:t>Synt. Met.</w:t>
      </w:r>
      <w:r w:rsidRPr="002E6FA0">
        <w:rPr>
          <w:rFonts w:cs="Times"/>
          <w:i/>
          <w:noProof/>
        </w:rPr>
        <w:t xml:space="preserve"> </w:t>
      </w:r>
      <w:r w:rsidRPr="002E6FA0">
        <w:rPr>
          <w:rFonts w:cs="Times"/>
          <w:b/>
          <w:noProof/>
        </w:rPr>
        <w:t>2012,</w:t>
      </w:r>
      <w:r w:rsidRPr="002E6FA0">
        <w:rPr>
          <w:rFonts w:cs="Times"/>
          <w:noProof/>
        </w:rPr>
        <w:t xml:space="preserve"> </w:t>
      </w:r>
      <w:r w:rsidRPr="002E6FA0">
        <w:rPr>
          <w:rFonts w:cs="Times"/>
          <w:i/>
          <w:noProof/>
        </w:rPr>
        <w:t>162</w:t>
      </w:r>
      <w:r w:rsidRPr="002E6FA0">
        <w:rPr>
          <w:rFonts w:cs="Times"/>
          <w:noProof/>
        </w:rPr>
        <w:t xml:space="preserve"> (15–16), 1464-1470.</w:t>
      </w:r>
      <w:bookmarkEnd w:id="18"/>
    </w:p>
    <w:p w14:paraId="2E978746" w14:textId="77777777" w:rsidR="002E6FA0" w:rsidRPr="002E6FA0" w:rsidRDefault="002E6FA0" w:rsidP="002E6FA0">
      <w:pPr>
        <w:pStyle w:val="SNSynopsisTOC"/>
        <w:spacing w:after="0" w:line="240" w:lineRule="auto"/>
        <w:jc w:val="left"/>
        <w:rPr>
          <w:rFonts w:cs="Times"/>
          <w:noProof/>
        </w:rPr>
      </w:pPr>
      <w:bookmarkStart w:id="19" w:name="_ENREF_5"/>
      <w:r w:rsidRPr="002E6FA0">
        <w:rPr>
          <w:rFonts w:cs="Times"/>
          <w:noProof/>
        </w:rPr>
        <w:t>5.</w:t>
      </w:r>
      <w:r w:rsidRPr="002E6FA0">
        <w:rPr>
          <w:rFonts w:cs="Times"/>
          <w:noProof/>
        </w:rPr>
        <w:tab/>
        <w:t xml:space="preserve">Wang, B.; Liu, Z.; Xu, Y.; Li, Y.; An, T.; Su, Z.; Peng, B.; Lin, Y.; Wang, Q. </w:t>
      </w:r>
      <w:r w:rsidR="00582193">
        <w:rPr>
          <w:rFonts w:cs="Times"/>
          <w:i/>
          <w:noProof/>
        </w:rPr>
        <w:t xml:space="preserve">J. </w:t>
      </w:r>
      <w:r w:rsidRPr="002E6FA0">
        <w:rPr>
          <w:rFonts w:cs="Times"/>
          <w:i/>
          <w:noProof/>
        </w:rPr>
        <w:t>Mater</w:t>
      </w:r>
      <w:r w:rsidR="00582193">
        <w:rPr>
          <w:rFonts w:cs="Times"/>
          <w:i/>
          <w:noProof/>
        </w:rPr>
        <w:t>.</w:t>
      </w:r>
      <w:r w:rsidRPr="002E6FA0">
        <w:rPr>
          <w:rFonts w:cs="Times"/>
          <w:i/>
          <w:noProof/>
        </w:rPr>
        <w:t xml:space="preserve"> Chem</w:t>
      </w:r>
      <w:r w:rsidR="00582193">
        <w:rPr>
          <w:rFonts w:cs="Times"/>
          <w:i/>
          <w:noProof/>
        </w:rPr>
        <w:t>.</w:t>
      </w:r>
      <w:r w:rsidRPr="002E6FA0">
        <w:rPr>
          <w:rFonts w:cs="Times"/>
          <w:i/>
          <w:noProof/>
        </w:rPr>
        <w:t xml:space="preserve"> </w:t>
      </w:r>
      <w:r w:rsidRPr="002E6FA0">
        <w:rPr>
          <w:rFonts w:cs="Times"/>
          <w:b/>
          <w:noProof/>
        </w:rPr>
        <w:t>2012,</w:t>
      </w:r>
      <w:r w:rsidRPr="002E6FA0">
        <w:rPr>
          <w:rFonts w:cs="Times"/>
          <w:noProof/>
        </w:rPr>
        <w:t xml:space="preserve"> </w:t>
      </w:r>
      <w:r w:rsidRPr="002E6FA0">
        <w:rPr>
          <w:rFonts w:cs="Times"/>
          <w:i/>
          <w:noProof/>
        </w:rPr>
        <w:t>22</w:t>
      </w:r>
      <w:r w:rsidRPr="002E6FA0">
        <w:rPr>
          <w:rFonts w:cs="Times"/>
          <w:noProof/>
        </w:rPr>
        <w:t xml:space="preserve"> (34), 17954-17960.</w:t>
      </w:r>
      <w:bookmarkEnd w:id="19"/>
    </w:p>
    <w:p w14:paraId="062D46C6" w14:textId="77777777" w:rsidR="002E6FA0" w:rsidRPr="002E6FA0" w:rsidRDefault="002E6FA0" w:rsidP="002E6FA0">
      <w:pPr>
        <w:pStyle w:val="SNSynopsisTOC"/>
        <w:spacing w:after="0" w:line="240" w:lineRule="auto"/>
        <w:jc w:val="left"/>
        <w:rPr>
          <w:rFonts w:cs="Times"/>
          <w:noProof/>
        </w:rPr>
      </w:pPr>
      <w:bookmarkStart w:id="20" w:name="_ENREF_6"/>
      <w:r w:rsidRPr="002E6FA0">
        <w:rPr>
          <w:rFonts w:cs="Times"/>
          <w:noProof/>
        </w:rPr>
        <w:t>6.</w:t>
      </w:r>
      <w:r w:rsidRPr="002E6FA0">
        <w:rPr>
          <w:rFonts w:cs="Times"/>
          <w:noProof/>
        </w:rPr>
        <w:tab/>
        <w:t xml:space="preserve">Patel, A. R.; </w:t>
      </w:r>
      <w:r w:rsidR="00FF6C99">
        <w:rPr>
          <w:rFonts w:cs="Times"/>
          <w:noProof/>
        </w:rPr>
        <w:t>Kerwin, B. A.; Kanapuram, S. R.</w:t>
      </w:r>
      <w:r w:rsidRPr="002E6FA0">
        <w:rPr>
          <w:rFonts w:cs="Times"/>
          <w:noProof/>
        </w:rPr>
        <w:t xml:space="preserve"> </w:t>
      </w:r>
      <w:r w:rsidR="00582193">
        <w:rPr>
          <w:rFonts w:cs="Times"/>
          <w:i/>
          <w:noProof/>
        </w:rPr>
        <w:t>J.</w:t>
      </w:r>
      <w:r w:rsidRPr="002E6FA0">
        <w:rPr>
          <w:rFonts w:cs="Times"/>
          <w:i/>
          <w:noProof/>
        </w:rPr>
        <w:t xml:space="preserve"> Pha</w:t>
      </w:r>
      <w:r w:rsidR="00582193">
        <w:rPr>
          <w:rFonts w:cs="Times"/>
          <w:i/>
          <w:noProof/>
        </w:rPr>
        <w:t>rm.</w:t>
      </w:r>
      <w:r w:rsidRPr="002E6FA0">
        <w:rPr>
          <w:rFonts w:cs="Times"/>
          <w:i/>
          <w:noProof/>
        </w:rPr>
        <w:t xml:space="preserve"> Sci</w:t>
      </w:r>
      <w:r w:rsidR="00582193">
        <w:rPr>
          <w:rFonts w:cs="Times"/>
          <w:i/>
          <w:noProof/>
        </w:rPr>
        <w:t>.</w:t>
      </w:r>
      <w:r w:rsidRPr="002E6FA0">
        <w:rPr>
          <w:rFonts w:cs="Times"/>
          <w:i/>
          <w:noProof/>
        </w:rPr>
        <w:t xml:space="preserve"> </w:t>
      </w:r>
      <w:r w:rsidRPr="002E6FA0">
        <w:rPr>
          <w:rFonts w:cs="Times"/>
          <w:b/>
          <w:noProof/>
        </w:rPr>
        <w:t>2009,</w:t>
      </w:r>
      <w:r w:rsidRPr="002E6FA0">
        <w:rPr>
          <w:rFonts w:cs="Times"/>
          <w:noProof/>
        </w:rPr>
        <w:t xml:space="preserve"> </w:t>
      </w:r>
      <w:r w:rsidRPr="002E6FA0">
        <w:rPr>
          <w:rFonts w:cs="Times"/>
          <w:i/>
          <w:noProof/>
        </w:rPr>
        <w:t>98</w:t>
      </w:r>
      <w:r w:rsidRPr="002E6FA0">
        <w:rPr>
          <w:rFonts w:cs="Times"/>
          <w:noProof/>
        </w:rPr>
        <w:t xml:space="preserve"> (9), 3108-3116.</w:t>
      </w:r>
      <w:bookmarkEnd w:id="20"/>
    </w:p>
    <w:p w14:paraId="1200D234" w14:textId="77777777" w:rsidR="002E6FA0" w:rsidRPr="002E6FA0" w:rsidRDefault="002E6FA0" w:rsidP="002E6FA0">
      <w:pPr>
        <w:pStyle w:val="SNSynopsisTOC"/>
        <w:spacing w:after="0" w:line="240" w:lineRule="auto"/>
        <w:jc w:val="left"/>
        <w:rPr>
          <w:rFonts w:cs="Times"/>
          <w:noProof/>
        </w:rPr>
      </w:pPr>
      <w:bookmarkStart w:id="21" w:name="_ENREF_7"/>
      <w:r w:rsidRPr="002E6FA0">
        <w:rPr>
          <w:rFonts w:cs="Times"/>
          <w:noProof/>
        </w:rPr>
        <w:t>7.</w:t>
      </w:r>
      <w:r w:rsidRPr="002E6FA0">
        <w:rPr>
          <w:rFonts w:cs="Times"/>
          <w:noProof/>
        </w:rPr>
        <w:tab/>
        <w:t xml:space="preserve">Willner, I.; Patolsky, F.; Weizmann, Y.; Willner, B. </w:t>
      </w:r>
      <w:r w:rsidRPr="002E6FA0">
        <w:rPr>
          <w:rFonts w:cs="Times"/>
          <w:i/>
          <w:noProof/>
        </w:rPr>
        <w:t xml:space="preserve">Talanta </w:t>
      </w:r>
      <w:r w:rsidRPr="002E6FA0">
        <w:rPr>
          <w:rFonts w:cs="Times"/>
          <w:b/>
          <w:noProof/>
        </w:rPr>
        <w:t>2002,</w:t>
      </w:r>
      <w:r w:rsidRPr="002E6FA0">
        <w:rPr>
          <w:rFonts w:cs="Times"/>
          <w:noProof/>
        </w:rPr>
        <w:t xml:space="preserve"> </w:t>
      </w:r>
      <w:r w:rsidRPr="002E6FA0">
        <w:rPr>
          <w:rFonts w:cs="Times"/>
          <w:i/>
          <w:noProof/>
        </w:rPr>
        <w:t>56</w:t>
      </w:r>
      <w:r w:rsidRPr="002E6FA0">
        <w:rPr>
          <w:rFonts w:cs="Times"/>
          <w:noProof/>
        </w:rPr>
        <w:t xml:space="preserve"> (5), 847-856.</w:t>
      </w:r>
      <w:bookmarkEnd w:id="21"/>
    </w:p>
    <w:p w14:paraId="448CD82D" w14:textId="77777777" w:rsidR="002E6FA0" w:rsidRPr="002E6FA0" w:rsidRDefault="002E6FA0" w:rsidP="002E6FA0">
      <w:pPr>
        <w:pStyle w:val="SNSynopsisTOC"/>
        <w:spacing w:after="0" w:line="240" w:lineRule="auto"/>
        <w:jc w:val="left"/>
        <w:rPr>
          <w:rFonts w:cs="Times"/>
          <w:noProof/>
        </w:rPr>
      </w:pPr>
      <w:bookmarkStart w:id="22" w:name="_ENREF_8"/>
      <w:r w:rsidRPr="002E6FA0">
        <w:rPr>
          <w:rFonts w:cs="Times"/>
          <w:noProof/>
        </w:rPr>
        <w:t>8.</w:t>
      </w:r>
      <w:r w:rsidRPr="002E6FA0">
        <w:rPr>
          <w:rFonts w:cs="Times"/>
          <w:noProof/>
        </w:rPr>
        <w:tab/>
        <w:t xml:space="preserve">Jerkiewicz, G.; Vatankhah, G.; Lessard, </w:t>
      </w:r>
      <w:r w:rsidR="00FF6C99">
        <w:rPr>
          <w:rFonts w:cs="Times"/>
          <w:noProof/>
        </w:rPr>
        <w:t>J.; Soriaga, M. P.; Park, Y.-S.</w:t>
      </w:r>
      <w:r w:rsidRPr="002E6FA0">
        <w:rPr>
          <w:rFonts w:cs="Times"/>
          <w:noProof/>
        </w:rPr>
        <w:t xml:space="preserve"> </w:t>
      </w:r>
      <w:r w:rsidR="00582193">
        <w:rPr>
          <w:rFonts w:cs="Times"/>
          <w:i/>
          <w:noProof/>
        </w:rPr>
        <w:t>Electrochim.</w:t>
      </w:r>
      <w:r w:rsidRPr="002E6FA0">
        <w:rPr>
          <w:rFonts w:cs="Times"/>
          <w:i/>
          <w:noProof/>
        </w:rPr>
        <w:t xml:space="preserve"> Acta </w:t>
      </w:r>
      <w:r w:rsidRPr="002E6FA0">
        <w:rPr>
          <w:rFonts w:cs="Times"/>
          <w:b/>
          <w:noProof/>
        </w:rPr>
        <w:t>2004,</w:t>
      </w:r>
      <w:r w:rsidRPr="002E6FA0">
        <w:rPr>
          <w:rFonts w:cs="Times"/>
          <w:noProof/>
        </w:rPr>
        <w:t xml:space="preserve"> </w:t>
      </w:r>
      <w:r w:rsidRPr="002E6FA0">
        <w:rPr>
          <w:rFonts w:cs="Times"/>
          <w:i/>
          <w:noProof/>
        </w:rPr>
        <w:t>49</w:t>
      </w:r>
      <w:r w:rsidRPr="002E6FA0">
        <w:rPr>
          <w:rFonts w:cs="Times"/>
          <w:noProof/>
        </w:rPr>
        <w:t xml:space="preserve"> (9–10), 1451-1459.</w:t>
      </w:r>
      <w:bookmarkEnd w:id="22"/>
    </w:p>
    <w:p w14:paraId="6A4E1488" w14:textId="77777777" w:rsidR="002E6FA0" w:rsidRPr="002E6FA0" w:rsidRDefault="002E6FA0" w:rsidP="002E6FA0">
      <w:pPr>
        <w:pStyle w:val="SNSynopsisTOC"/>
        <w:spacing w:after="0" w:line="240" w:lineRule="auto"/>
        <w:jc w:val="left"/>
        <w:rPr>
          <w:rFonts w:cs="Times"/>
          <w:noProof/>
        </w:rPr>
      </w:pPr>
      <w:bookmarkStart w:id="23" w:name="_ENREF_9"/>
      <w:r w:rsidRPr="002E6FA0">
        <w:rPr>
          <w:rFonts w:cs="Times"/>
          <w:noProof/>
        </w:rPr>
        <w:t>9.</w:t>
      </w:r>
      <w:r w:rsidRPr="002E6FA0">
        <w:rPr>
          <w:rFonts w:cs="Times"/>
          <w:noProof/>
        </w:rPr>
        <w:tab/>
        <w:t>Baut</w:t>
      </w:r>
      <w:r w:rsidR="00FF6C99">
        <w:rPr>
          <w:rFonts w:cs="Times"/>
          <w:noProof/>
        </w:rPr>
        <w:t>e, N.; Martinot, L.; Jérôme, R.</w:t>
      </w:r>
      <w:r w:rsidRPr="002E6FA0">
        <w:rPr>
          <w:rFonts w:cs="Times"/>
          <w:noProof/>
        </w:rPr>
        <w:t xml:space="preserve"> </w:t>
      </w:r>
      <w:r w:rsidR="00E575A8">
        <w:rPr>
          <w:rFonts w:cs="Times"/>
          <w:i/>
          <w:noProof/>
        </w:rPr>
        <w:t xml:space="preserve">J. </w:t>
      </w:r>
      <w:r w:rsidRPr="002E6FA0">
        <w:rPr>
          <w:rFonts w:cs="Times"/>
          <w:i/>
          <w:noProof/>
        </w:rPr>
        <w:t>Electroanal</w:t>
      </w:r>
      <w:r w:rsidR="00E575A8">
        <w:rPr>
          <w:rFonts w:cs="Times"/>
          <w:i/>
          <w:noProof/>
        </w:rPr>
        <w:t>. Chem.</w:t>
      </w:r>
      <w:r w:rsidRPr="002E6FA0">
        <w:rPr>
          <w:rFonts w:cs="Times"/>
          <w:i/>
          <w:noProof/>
        </w:rPr>
        <w:t xml:space="preserve"> </w:t>
      </w:r>
      <w:r w:rsidRPr="002E6FA0">
        <w:rPr>
          <w:rFonts w:cs="Times"/>
          <w:b/>
          <w:noProof/>
        </w:rPr>
        <w:t>1999,</w:t>
      </w:r>
      <w:r w:rsidRPr="002E6FA0">
        <w:rPr>
          <w:rFonts w:cs="Times"/>
          <w:noProof/>
        </w:rPr>
        <w:t xml:space="preserve"> </w:t>
      </w:r>
      <w:r w:rsidRPr="002E6FA0">
        <w:rPr>
          <w:rFonts w:cs="Times"/>
          <w:i/>
          <w:noProof/>
        </w:rPr>
        <w:t>472</w:t>
      </w:r>
      <w:r w:rsidRPr="002E6FA0">
        <w:rPr>
          <w:rFonts w:cs="Times"/>
          <w:noProof/>
        </w:rPr>
        <w:t xml:space="preserve"> (1), 83-90.</w:t>
      </w:r>
      <w:bookmarkEnd w:id="23"/>
    </w:p>
    <w:p w14:paraId="50768B9C" w14:textId="77777777" w:rsidR="002E6FA0" w:rsidRPr="002E6FA0" w:rsidRDefault="00FF6C99" w:rsidP="002E6FA0">
      <w:pPr>
        <w:pStyle w:val="SNSynopsisTOC"/>
        <w:spacing w:after="0" w:line="240" w:lineRule="auto"/>
        <w:jc w:val="left"/>
        <w:rPr>
          <w:rFonts w:cs="Times"/>
          <w:noProof/>
        </w:rPr>
      </w:pPr>
      <w:bookmarkStart w:id="24" w:name="_ENREF_10"/>
      <w:r>
        <w:rPr>
          <w:rFonts w:cs="Times"/>
          <w:noProof/>
        </w:rPr>
        <w:t>10.</w:t>
      </w:r>
      <w:r>
        <w:rPr>
          <w:rFonts w:cs="Times"/>
          <w:noProof/>
        </w:rPr>
        <w:tab/>
        <w:t>Sauerbrey, G.</w:t>
      </w:r>
      <w:r w:rsidR="002E6FA0" w:rsidRPr="002E6FA0">
        <w:rPr>
          <w:rFonts w:cs="Times"/>
          <w:noProof/>
        </w:rPr>
        <w:t xml:space="preserve"> </w:t>
      </w:r>
      <w:r w:rsidR="002E6FA0" w:rsidRPr="002E6FA0">
        <w:rPr>
          <w:rFonts w:cs="Times"/>
          <w:i/>
          <w:noProof/>
        </w:rPr>
        <w:t>Z</w:t>
      </w:r>
      <w:r w:rsidR="006E3049">
        <w:rPr>
          <w:rFonts w:cs="Times"/>
          <w:i/>
          <w:noProof/>
        </w:rPr>
        <w:t>.</w:t>
      </w:r>
      <w:r w:rsidR="002E6FA0" w:rsidRPr="002E6FA0">
        <w:rPr>
          <w:rFonts w:cs="Times"/>
          <w:i/>
          <w:noProof/>
        </w:rPr>
        <w:t xml:space="preserve"> </w:t>
      </w:r>
      <w:r w:rsidR="006E3049">
        <w:rPr>
          <w:rFonts w:cs="Times"/>
          <w:i/>
          <w:noProof/>
        </w:rPr>
        <w:t>Phys.</w:t>
      </w:r>
      <w:r w:rsidR="002E6FA0" w:rsidRPr="002E6FA0">
        <w:rPr>
          <w:rFonts w:cs="Times"/>
          <w:i/>
          <w:noProof/>
        </w:rPr>
        <w:t xml:space="preserve"> </w:t>
      </w:r>
      <w:r w:rsidR="002E6FA0" w:rsidRPr="002E6FA0">
        <w:rPr>
          <w:rFonts w:cs="Times"/>
          <w:b/>
          <w:noProof/>
        </w:rPr>
        <w:t>1959,</w:t>
      </w:r>
      <w:r w:rsidR="002E6FA0" w:rsidRPr="002E6FA0">
        <w:rPr>
          <w:rFonts w:cs="Times"/>
          <w:noProof/>
        </w:rPr>
        <w:t xml:space="preserve"> </w:t>
      </w:r>
      <w:r w:rsidR="002E6FA0" w:rsidRPr="002E6FA0">
        <w:rPr>
          <w:rFonts w:cs="Times"/>
          <w:i/>
          <w:noProof/>
        </w:rPr>
        <w:t>155</w:t>
      </w:r>
      <w:r w:rsidR="002E6FA0" w:rsidRPr="002E6FA0">
        <w:rPr>
          <w:rFonts w:cs="Times"/>
          <w:noProof/>
        </w:rPr>
        <w:t xml:space="preserve"> (2), 206-222.</w:t>
      </w:r>
      <w:bookmarkEnd w:id="24"/>
    </w:p>
    <w:p w14:paraId="6ED6B038" w14:textId="77777777" w:rsidR="002E6FA0" w:rsidRPr="002E6FA0" w:rsidRDefault="002E6FA0" w:rsidP="002E6FA0">
      <w:pPr>
        <w:pStyle w:val="SNSynopsisTOC"/>
        <w:spacing w:after="0" w:line="240" w:lineRule="auto"/>
        <w:jc w:val="left"/>
        <w:rPr>
          <w:rFonts w:cs="Times"/>
          <w:noProof/>
        </w:rPr>
      </w:pPr>
      <w:bookmarkStart w:id="25" w:name="_ENREF_11"/>
      <w:r w:rsidRPr="002E6FA0">
        <w:rPr>
          <w:rFonts w:cs="Times"/>
          <w:noProof/>
        </w:rPr>
        <w:t>11.</w:t>
      </w:r>
      <w:r w:rsidR="00FF6C99">
        <w:rPr>
          <w:rFonts w:cs="Times"/>
          <w:noProof/>
        </w:rPr>
        <w:tab/>
        <w:t>Johannsmann, D.</w:t>
      </w:r>
      <w:r w:rsidRPr="002E6FA0">
        <w:rPr>
          <w:rFonts w:cs="Times"/>
          <w:noProof/>
        </w:rPr>
        <w:t xml:space="preserve"> </w:t>
      </w:r>
      <w:r w:rsidRPr="002E6FA0">
        <w:rPr>
          <w:rFonts w:cs="Times"/>
          <w:i/>
          <w:noProof/>
        </w:rPr>
        <w:t>Macromol</w:t>
      </w:r>
      <w:r w:rsidR="00E575A8">
        <w:rPr>
          <w:rFonts w:cs="Times"/>
          <w:i/>
          <w:noProof/>
        </w:rPr>
        <w:t>. Chem.</w:t>
      </w:r>
      <w:r w:rsidRPr="002E6FA0">
        <w:rPr>
          <w:rFonts w:cs="Times"/>
          <w:i/>
          <w:noProof/>
        </w:rPr>
        <w:t xml:space="preserve"> </w:t>
      </w:r>
      <w:r w:rsidR="00E575A8">
        <w:rPr>
          <w:rFonts w:cs="Times"/>
          <w:i/>
          <w:noProof/>
        </w:rPr>
        <w:t>Phy</w:t>
      </w:r>
      <w:r w:rsidRPr="002E6FA0">
        <w:rPr>
          <w:rFonts w:cs="Times"/>
          <w:i/>
          <w:noProof/>
        </w:rPr>
        <w:t>s</w:t>
      </w:r>
      <w:r w:rsidR="00E575A8">
        <w:rPr>
          <w:rFonts w:cs="Times"/>
          <w:i/>
          <w:noProof/>
        </w:rPr>
        <w:t>.</w:t>
      </w:r>
      <w:r w:rsidRPr="002E6FA0">
        <w:rPr>
          <w:rFonts w:cs="Times"/>
          <w:i/>
          <w:noProof/>
        </w:rPr>
        <w:t xml:space="preserve"> </w:t>
      </w:r>
      <w:r w:rsidRPr="002E6FA0">
        <w:rPr>
          <w:rFonts w:cs="Times"/>
          <w:b/>
          <w:noProof/>
        </w:rPr>
        <w:t>1999,</w:t>
      </w:r>
      <w:r w:rsidRPr="002E6FA0">
        <w:rPr>
          <w:rFonts w:cs="Times"/>
          <w:noProof/>
        </w:rPr>
        <w:t xml:space="preserve"> </w:t>
      </w:r>
      <w:r w:rsidRPr="002E6FA0">
        <w:rPr>
          <w:rFonts w:cs="Times"/>
          <w:i/>
          <w:noProof/>
        </w:rPr>
        <w:t>200</w:t>
      </w:r>
      <w:r w:rsidRPr="002E6FA0">
        <w:rPr>
          <w:rFonts w:cs="Times"/>
          <w:noProof/>
        </w:rPr>
        <w:t xml:space="preserve"> (3), 501-516.</w:t>
      </w:r>
      <w:bookmarkEnd w:id="25"/>
    </w:p>
    <w:p w14:paraId="3D33384C" w14:textId="77777777" w:rsidR="002E6FA0" w:rsidRPr="002E6FA0" w:rsidRDefault="002E6FA0" w:rsidP="002E6FA0">
      <w:pPr>
        <w:pStyle w:val="SNSynopsisTOC"/>
        <w:spacing w:after="0" w:line="240" w:lineRule="auto"/>
        <w:jc w:val="left"/>
        <w:rPr>
          <w:rFonts w:cs="Times"/>
          <w:noProof/>
        </w:rPr>
      </w:pPr>
      <w:bookmarkStart w:id="26" w:name="_ENREF_12"/>
      <w:r w:rsidRPr="002E6FA0">
        <w:rPr>
          <w:rFonts w:cs="Times"/>
          <w:noProof/>
        </w:rPr>
        <w:t>12.</w:t>
      </w:r>
      <w:r w:rsidRPr="002E6FA0">
        <w:rPr>
          <w:rFonts w:cs="Times"/>
          <w:noProof/>
        </w:rPr>
        <w:tab/>
        <w:t>Voinova, M. V.; Rod</w:t>
      </w:r>
      <w:r w:rsidR="00FF6C99">
        <w:rPr>
          <w:rFonts w:cs="Times"/>
          <w:noProof/>
        </w:rPr>
        <w:t>ahl, M.; Jonson, M.; Kasemo, B.</w:t>
      </w:r>
      <w:r w:rsidRPr="002E6FA0">
        <w:rPr>
          <w:rFonts w:cs="Times"/>
          <w:noProof/>
        </w:rPr>
        <w:t xml:space="preserve"> </w:t>
      </w:r>
      <w:r w:rsidR="00E575A8">
        <w:rPr>
          <w:rFonts w:cs="Times"/>
          <w:i/>
          <w:noProof/>
        </w:rPr>
        <w:t>Phys.</w:t>
      </w:r>
      <w:r w:rsidRPr="002E6FA0">
        <w:rPr>
          <w:rFonts w:cs="Times"/>
          <w:i/>
          <w:noProof/>
        </w:rPr>
        <w:t xml:space="preserve"> Scr</w:t>
      </w:r>
      <w:r w:rsidR="00E575A8">
        <w:rPr>
          <w:rFonts w:cs="Times"/>
          <w:i/>
          <w:noProof/>
        </w:rPr>
        <w:t>.</w:t>
      </w:r>
      <w:r w:rsidRPr="002E6FA0">
        <w:rPr>
          <w:rFonts w:cs="Times"/>
          <w:i/>
          <w:noProof/>
        </w:rPr>
        <w:t xml:space="preserve"> </w:t>
      </w:r>
      <w:r w:rsidRPr="002E6FA0">
        <w:rPr>
          <w:rFonts w:cs="Times"/>
          <w:b/>
          <w:noProof/>
        </w:rPr>
        <w:t>1999,</w:t>
      </w:r>
      <w:r w:rsidRPr="002E6FA0">
        <w:rPr>
          <w:rFonts w:cs="Times"/>
          <w:noProof/>
        </w:rPr>
        <w:t xml:space="preserve"> </w:t>
      </w:r>
      <w:r w:rsidRPr="002E6FA0">
        <w:rPr>
          <w:rFonts w:cs="Times"/>
          <w:i/>
          <w:noProof/>
        </w:rPr>
        <w:t>59</w:t>
      </w:r>
      <w:r w:rsidRPr="002E6FA0">
        <w:rPr>
          <w:rFonts w:cs="Times"/>
          <w:noProof/>
        </w:rPr>
        <w:t xml:space="preserve"> (5), 391.</w:t>
      </w:r>
      <w:bookmarkEnd w:id="26"/>
    </w:p>
    <w:p w14:paraId="7103A16F" w14:textId="77777777" w:rsidR="002E6FA0" w:rsidRPr="002E6FA0" w:rsidRDefault="002E6FA0" w:rsidP="002E6FA0">
      <w:pPr>
        <w:pStyle w:val="SNSynopsisTOC"/>
        <w:spacing w:after="0" w:line="240" w:lineRule="auto"/>
        <w:jc w:val="left"/>
        <w:rPr>
          <w:rFonts w:cs="Times"/>
          <w:noProof/>
        </w:rPr>
      </w:pPr>
      <w:bookmarkStart w:id="27" w:name="_ENREF_13"/>
      <w:r w:rsidRPr="002E6FA0">
        <w:rPr>
          <w:rFonts w:cs="Times"/>
          <w:noProof/>
        </w:rPr>
        <w:t>13.</w:t>
      </w:r>
      <w:r w:rsidRPr="002E6FA0">
        <w:rPr>
          <w:rFonts w:cs="Times"/>
          <w:noProof/>
        </w:rPr>
        <w:tab/>
        <w:t>Sherrit, S.; Leary, S. P.; Dolgin, B. P.; Bar-Cohen, Y. Ultrasonics Symposium, 1999. Proceedings. 1999 IEEE, 1999; 1999; pp 921-926 vol.2.</w:t>
      </w:r>
      <w:bookmarkEnd w:id="27"/>
    </w:p>
    <w:p w14:paraId="335519C2" w14:textId="77777777" w:rsidR="002E6FA0" w:rsidRPr="002E6FA0" w:rsidRDefault="00FF6C99" w:rsidP="002E6FA0">
      <w:pPr>
        <w:pStyle w:val="SNSynopsisTOC"/>
        <w:spacing w:after="0" w:line="240" w:lineRule="auto"/>
        <w:jc w:val="left"/>
        <w:rPr>
          <w:rFonts w:cs="Times"/>
          <w:noProof/>
        </w:rPr>
      </w:pPr>
      <w:bookmarkStart w:id="28" w:name="_ENREF_14"/>
      <w:r>
        <w:rPr>
          <w:rFonts w:cs="Times"/>
          <w:noProof/>
        </w:rPr>
        <w:t>14.</w:t>
      </w:r>
      <w:r>
        <w:rPr>
          <w:rFonts w:cs="Times"/>
          <w:noProof/>
        </w:rPr>
        <w:tab/>
        <w:t>Takamichi, N.; Toyosaka, M.</w:t>
      </w:r>
      <w:r w:rsidR="002E6FA0" w:rsidRPr="002E6FA0">
        <w:rPr>
          <w:rFonts w:cs="Times"/>
          <w:noProof/>
        </w:rPr>
        <w:t xml:space="preserve"> </w:t>
      </w:r>
      <w:r w:rsidR="002E6FA0" w:rsidRPr="002E6FA0">
        <w:rPr>
          <w:rFonts w:cs="Times"/>
          <w:i/>
          <w:noProof/>
        </w:rPr>
        <w:t>J</w:t>
      </w:r>
      <w:r w:rsidR="00E575A8">
        <w:rPr>
          <w:rFonts w:cs="Times"/>
          <w:i/>
          <w:noProof/>
        </w:rPr>
        <w:t>pn. J. Appl. Phys.</w:t>
      </w:r>
      <w:r w:rsidR="002E6FA0" w:rsidRPr="002E6FA0">
        <w:rPr>
          <w:rFonts w:cs="Times"/>
          <w:i/>
          <w:noProof/>
        </w:rPr>
        <w:t xml:space="preserve"> </w:t>
      </w:r>
      <w:r w:rsidR="002E6FA0" w:rsidRPr="002E6FA0">
        <w:rPr>
          <w:rFonts w:cs="Times"/>
          <w:b/>
          <w:noProof/>
        </w:rPr>
        <w:t>1990,</w:t>
      </w:r>
      <w:r w:rsidR="002E6FA0" w:rsidRPr="002E6FA0">
        <w:rPr>
          <w:rFonts w:cs="Times"/>
          <w:noProof/>
        </w:rPr>
        <w:t xml:space="preserve"> </w:t>
      </w:r>
      <w:r w:rsidR="002E6FA0" w:rsidRPr="002E6FA0">
        <w:rPr>
          <w:rFonts w:cs="Times"/>
          <w:i/>
          <w:noProof/>
        </w:rPr>
        <w:t>29</w:t>
      </w:r>
      <w:r w:rsidR="002E6FA0" w:rsidRPr="002E6FA0">
        <w:rPr>
          <w:rFonts w:cs="Times"/>
          <w:noProof/>
        </w:rPr>
        <w:t xml:space="preserve"> (5R), 963.</w:t>
      </w:r>
      <w:bookmarkEnd w:id="28"/>
    </w:p>
    <w:p w14:paraId="62C9F9D2" w14:textId="77777777" w:rsidR="002E6FA0" w:rsidRPr="002E6FA0" w:rsidRDefault="002E6FA0" w:rsidP="002E6FA0">
      <w:pPr>
        <w:pStyle w:val="SNSynopsisTOC"/>
        <w:spacing w:after="0" w:line="240" w:lineRule="auto"/>
        <w:jc w:val="left"/>
        <w:rPr>
          <w:rFonts w:cs="Times"/>
          <w:noProof/>
        </w:rPr>
      </w:pPr>
      <w:bookmarkStart w:id="29" w:name="_ENREF_15"/>
      <w:r w:rsidRPr="002E6FA0">
        <w:rPr>
          <w:rFonts w:cs="Times"/>
          <w:noProof/>
        </w:rPr>
        <w:t>15.</w:t>
      </w:r>
      <w:r w:rsidRPr="002E6FA0">
        <w:rPr>
          <w:rFonts w:cs="Times"/>
          <w:noProof/>
        </w:rPr>
        <w:tab/>
        <w:t xml:space="preserve">Johannsmann, D., Studies of Viscoelasticity with the QCM. In </w:t>
      </w:r>
      <w:r w:rsidRPr="002E6FA0">
        <w:rPr>
          <w:rFonts w:cs="Times"/>
          <w:i/>
          <w:noProof/>
        </w:rPr>
        <w:t>Piezoelectric Sensors</w:t>
      </w:r>
      <w:r w:rsidRPr="002E6FA0">
        <w:rPr>
          <w:rFonts w:cs="Times"/>
          <w:noProof/>
        </w:rPr>
        <w:t>, Steinem, C.; Janshoff, A., Eds. Springer Berlin Heidelberg: 2007; Vol. 5, pp 49-109.</w:t>
      </w:r>
      <w:bookmarkEnd w:id="29"/>
    </w:p>
    <w:p w14:paraId="7981DF07" w14:textId="77777777" w:rsidR="002E6FA0" w:rsidRPr="002E6FA0" w:rsidRDefault="002E6FA0" w:rsidP="002E6FA0">
      <w:pPr>
        <w:pStyle w:val="SNSynopsisTOC"/>
        <w:spacing w:after="0" w:line="240" w:lineRule="auto"/>
        <w:jc w:val="left"/>
        <w:rPr>
          <w:rFonts w:cs="Times"/>
          <w:noProof/>
        </w:rPr>
      </w:pPr>
      <w:bookmarkStart w:id="30" w:name="_ENREF_16"/>
      <w:r w:rsidRPr="002E6FA0">
        <w:rPr>
          <w:rFonts w:cs="Times"/>
          <w:noProof/>
        </w:rPr>
        <w:t>16.</w:t>
      </w:r>
      <w:r w:rsidRPr="002E6FA0">
        <w:rPr>
          <w:rFonts w:cs="Times"/>
          <w:noProof/>
        </w:rPr>
        <w:tab/>
        <w:t>Johannsmann, D.</w:t>
      </w:r>
      <w:r w:rsidR="00FF6C99">
        <w:rPr>
          <w:rFonts w:cs="Times"/>
          <w:noProof/>
        </w:rPr>
        <w:t>; Reviakine, I.; Richter, R. P.</w:t>
      </w:r>
      <w:r w:rsidRPr="002E6FA0">
        <w:rPr>
          <w:rFonts w:cs="Times"/>
          <w:noProof/>
        </w:rPr>
        <w:t xml:space="preserve"> </w:t>
      </w:r>
      <w:r w:rsidR="00582193">
        <w:rPr>
          <w:rFonts w:cs="Times"/>
          <w:i/>
          <w:noProof/>
        </w:rPr>
        <w:t>Anal.</w:t>
      </w:r>
      <w:r w:rsidRPr="002E6FA0">
        <w:rPr>
          <w:rFonts w:cs="Times"/>
          <w:i/>
          <w:noProof/>
        </w:rPr>
        <w:t xml:space="preserve"> Chem</w:t>
      </w:r>
      <w:r w:rsidR="00582193">
        <w:rPr>
          <w:rFonts w:cs="Times"/>
          <w:i/>
          <w:noProof/>
        </w:rPr>
        <w:t>.</w:t>
      </w:r>
      <w:r w:rsidRPr="002E6FA0">
        <w:rPr>
          <w:rFonts w:cs="Times"/>
          <w:i/>
          <w:noProof/>
        </w:rPr>
        <w:t xml:space="preserve"> </w:t>
      </w:r>
      <w:r w:rsidRPr="002E6FA0">
        <w:rPr>
          <w:rFonts w:cs="Times"/>
          <w:b/>
          <w:noProof/>
        </w:rPr>
        <w:t>2009,</w:t>
      </w:r>
      <w:r w:rsidRPr="002E6FA0">
        <w:rPr>
          <w:rFonts w:cs="Times"/>
          <w:noProof/>
        </w:rPr>
        <w:t xml:space="preserve"> </w:t>
      </w:r>
      <w:r w:rsidRPr="002E6FA0">
        <w:rPr>
          <w:rFonts w:cs="Times"/>
          <w:i/>
          <w:noProof/>
        </w:rPr>
        <w:t>81</w:t>
      </w:r>
      <w:r w:rsidRPr="002E6FA0">
        <w:rPr>
          <w:rFonts w:cs="Times"/>
          <w:noProof/>
        </w:rPr>
        <w:t xml:space="preserve"> (19), 8167-8176.</w:t>
      </w:r>
      <w:bookmarkEnd w:id="30"/>
    </w:p>
    <w:p w14:paraId="06560569" w14:textId="77777777" w:rsidR="002E6FA0" w:rsidRPr="002E6FA0" w:rsidRDefault="002E6FA0" w:rsidP="002E6FA0">
      <w:pPr>
        <w:pStyle w:val="SNSynopsisTOC"/>
        <w:spacing w:after="0" w:line="240" w:lineRule="auto"/>
        <w:jc w:val="left"/>
        <w:rPr>
          <w:rFonts w:cs="Times"/>
          <w:noProof/>
        </w:rPr>
      </w:pPr>
      <w:bookmarkStart w:id="31" w:name="_ENREF_17"/>
      <w:r w:rsidRPr="002E6FA0">
        <w:rPr>
          <w:rFonts w:cs="Times"/>
          <w:noProof/>
        </w:rPr>
        <w:t>17.</w:t>
      </w:r>
      <w:r w:rsidRPr="002E6FA0">
        <w:rPr>
          <w:rFonts w:cs="Times"/>
          <w:noProof/>
        </w:rPr>
        <w:tab/>
        <w:t xml:space="preserve">Tellechea, E.; Johannsmann, D.; Steinmetz, N. F.; Richter, R. P. </w:t>
      </w:r>
      <w:r w:rsidRPr="002E6FA0">
        <w:rPr>
          <w:rFonts w:cs="Times"/>
          <w:i/>
          <w:noProof/>
        </w:rPr>
        <w:t xml:space="preserve">Langmuir </w:t>
      </w:r>
      <w:r w:rsidRPr="002E6FA0">
        <w:rPr>
          <w:rFonts w:cs="Times"/>
          <w:b/>
          <w:noProof/>
        </w:rPr>
        <w:t>2009,</w:t>
      </w:r>
      <w:r w:rsidRPr="002E6FA0">
        <w:rPr>
          <w:rFonts w:cs="Times"/>
          <w:noProof/>
        </w:rPr>
        <w:t xml:space="preserve"> </w:t>
      </w:r>
      <w:r w:rsidRPr="002E6FA0">
        <w:rPr>
          <w:rFonts w:cs="Times"/>
          <w:i/>
          <w:noProof/>
        </w:rPr>
        <w:t>25</w:t>
      </w:r>
      <w:r w:rsidRPr="002E6FA0">
        <w:rPr>
          <w:rFonts w:cs="Times"/>
          <w:noProof/>
        </w:rPr>
        <w:t xml:space="preserve"> (9), 5177-5184.</w:t>
      </w:r>
      <w:bookmarkEnd w:id="31"/>
    </w:p>
    <w:p w14:paraId="2D1A35FB" w14:textId="45CD8ADD" w:rsidR="002E6FA0" w:rsidRPr="002E6FA0" w:rsidRDefault="002E6FA0" w:rsidP="002E6FA0">
      <w:pPr>
        <w:pStyle w:val="SNSynopsisTOC"/>
        <w:spacing w:after="0" w:line="240" w:lineRule="auto"/>
        <w:jc w:val="left"/>
        <w:rPr>
          <w:rFonts w:cs="Times"/>
          <w:noProof/>
        </w:rPr>
      </w:pPr>
      <w:bookmarkStart w:id="32" w:name="_ENREF_18"/>
      <w:r w:rsidRPr="002E6FA0">
        <w:rPr>
          <w:rFonts w:cs="Times"/>
          <w:noProof/>
        </w:rPr>
        <w:t>18.</w:t>
      </w:r>
      <w:r w:rsidRPr="002E6FA0">
        <w:rPr>
          <w:rFonts w:cs="Times"/>
          <w:noProof/>
        </w:rPr>
        <w:tab/>
        <w:t>Serizaw</w:t>
      </w:r>
      <w:r w:rsidR="00FF6C99">
        <w:rPr>
          <w:rFonts w:cs="Times"/>
          <w:noProof/>
        </w:rPr>
        <w:t>a, T.; Kamimura, S.; Akashi, M.</w:t>
      </w:r>
      <w:r w:rsidRPr="002E6FA0">
        <w:rPr>
          <w:rFonts w:cs="Times"/>
          <w:noProof/>
        </w:rPr>
        <w:t xml:space="preserve"> </w:t>
      </w:r>
      <w:r w:rsidRPr="002E6FA0">
        <w:rPr>
          <w:rFonts w:cs="Times"/>
          <w:i/>
          <w:noProof/>
        </w:rPr>
        <w:t>Colloids Surf</w:t>
      </w:r>
      <w:r w:rsidR="00E575A8">
        <w:rPr>
          <w:rFonts w:cs="Times"/>
          <w:i/>
          <w:noProof/>
        </w:rPr>
        <w:t>.</w:t>
      </w:r>
      <w:r w:rsidRPr="002E6FA0">
        <w:rPr>
          <w:rFonts w:cs="Times"/>
          <w:i/>
          <w:noProof/>
        </w:rPr>
        <w:t xml:space="preserve"> A </w:t>
      </w:r>
      <w:r w:rsidRPr="002E6FA0">
        <w:rPr>
          <w:rFonts w:cs="Times"/>
          <w:b/>
          <w:noProof/>
        </w:rPr>
        <w:t>2000,</w:t>
      </w:r>
      <w:r w:rsidRPr="002E6FA0">
        <w:rPr>
          <w:rFonts w:cs="Times"/>
          <w:noProof/>
        </w:rPr>
        <w:t xml:space="preserve"> </w:t>
      </w:r>
      <w:r w:rsidRPr="002E6FA0">
        <w:rPr>
          <w:rFonts w:cs="Times"/>
          <w:i/>
          <w:noProof/>
        </w:rPr>
        <w:t>164</w:t>
      </w:r>
      <w:r w:rsidRPr="002E6FA0">
        <w:rPr>
          <w:rFonts w:cs="Times"/>
          <w:noProof/>
        </w:rPr>
        <w:t xml:space="preserve"> (2), 237-245.</w:t>
      </w:r>
      <w:bookmarkEnd w:id="32"/>
    </w:p>
    <w:p w14:paraId="6195B7CC" w14:textId="77777777" w:rsidR="002E6FA0" w:rsidRPr="002E6FA0" w:rsidRDefault="002E6FA0" w:rsidP="002E6FA0">
      <w:pPr>
        <w:pStyle w:val="SNSynopsisTOC"/>
        <w:spacing w:after="0" w:line="240" w:lineRule="auto"/>
        <w:jc w:val="left"/>
        <w:rPr>
          <w:rFonts w:cs="Times"/>
          <w:noProof/>
        </w:rPr>
      </w:pPr>
      <w:bookmarkStart w:id="33" w:name="_ENREF_19"/>
      <w:r w:rsidRPr="002E6FA0">
        <w:rPr>
          <w:rFonts w:cs="Times"/>
          <w:noProof/>
        </w:rPr>
        <w:t>19.</w:t>
      </w:r>
      <w:r w:rsidRPr="002E6FA0">
        <w:rPr>
          <w:rFonts w:cs="Times"/>
          <w:noProof/>
        </w:rPr>
        <w:tab/>
        <w:t xml:space="preserve">Pomorska, A.; Shchukin, D.; Hammond, R.; Cooper, M. A.; </w:t>
      </w:r>
      <w:r w:rsidR="00FF6C99">
        <w:rPr>
          <w:rFonts w:cs="Times"/>
          <w:noProof/>
        </w:rPr>
        <w:t>Grundmeier, G.; Johannsmann, D.</w:t>
      </w:r>
      <w:r w:rsidRPr="002E6FA0">
        <w:rPr>
          <w:rFonts w:cs="Times"/>
          <w:noProof/>
        </w:rPr>
        <w:t xml:space="preserve"> </w:t>
      </w:r>
      <w:r w:rsidR="00E575A8">
        <w:rPr>
          <w:rFonts w:cs="Times"/>
          <w:i/>
          <w:noProof/>
        </w:rPr>
        <w:t>Anal.</w:t>
      </w:r>
      <w:r w:rsidRPr="002E6FA0">
        <w:rPr>
          <w:rFonts w:cs="Times"/>
          <w:i/>
          <w:noProof/>
        </w:rPr>
        <w:t xml:space="preserve"> Chem</w:t>
      </w:r>
      <w:r w:rsidR="00E575A8">
        <w:rPr>
          <w:rFonts w:cs="Times"/>
          <w:i/>
          <w:noProof/>
        </w:rPr>
        <w:t>.</w:t>
      </w:r>
      <w:r w:rsidRPr="002E6FA0">
        <w:rPr>
          <w:rFonts w:cs="Times"/>
          <w:i/>
          <w:noProof/>
        </w:rPr>
        <w:t xml:space="preserve"> </w:t>
      </w:r>
      <w:r w:rsidRPr="002E6FA0">
        <w:rPr>
          <w:rFonts w:cs="Times"/>
          <w:b/>
          <w:noProof/>
        </w:rPr>
        <w:t>2010,</w:t>
      </w:r>
      <w:r w:rsidRPr="002E6FA0">
        <w:rPr>
          <w:rFonts w:cs="Times"/>
          <w:noProof/>
        </w:rPr>
        <w:t xml:space="preserve"> </w:t>
      </w:r>
      <w:r w:rsidRPr="002E6FA0">
        <w:rPr>
          <w:rFonts w:cs="Times"/>
          <w:i/>
          <w:noProof/>
        </w:rPr>
        <w:t>82</w:t>
      </w:r>
      <w:r w:rsidRPr="002E6FA0">
        <w:rPr>
          <w:rFonts w:cs="Times"/>
          <w:noProof/>
        </w:rPr>
        <w:t xml:space="preserve"> (6), 2237-2242.</w:t>
      </w:r>
      <w:bookmarkEnd w:id="33"/>
    </w:p>
    <w:p w14:paraId="47B8F03D" w14:textId="77777777" w:rsidR="002E6FA0" w:rsidRPr="002E6FA0" w:rsidRDefault="002E6FA0" w:rsidP="002E6FA0">
      <w:pPr>
        <w:pStyle w:val="SNSynopsisTOC"/>
        <w:spacing w:after="0" w:line="240" w:lineRule="auto"/>
        <w:jc w:val="left"/>
        <w:rPr>
          <w:rFonts w:cs="Times"/>
          <w:noProof/>
        </w:rPr>
      </w:pPr>
      <w:bookmarkStart w:id="34" w:name="_ENREF_20"/>
      <w:r w:rsidRPr="002E6FA0">
        <w:rPr>
          <w:rFonts w:cs="Times"/>
          <w:noProof/>
        </w:rPr>
        <w:t>20.</w:t>
      </w:r>
      <w:r w:rsidRPr="002E6FA0">
        <w:rPr>
          <w:rFonts w:cs="Times"/>
          <w:noProof/>
        </w:rPr>
        <w:tab/>
        <w:t>Abdel</w:t>
      </w:r>
      <w:r w:rsidR="00FF6C99">
        <w:rPr>
          <w:rFonts w:cs="Times"/>
          <w:noProof/>
        </w:rPr>
        <w:t>-Aal, N.; Satoh, K.; Sawada, K.</w:t>
      </w:r>
      <w:r w:rsidRPr="002E6FA0">
        <w:rPr>
          <w:rFonts w:cs="Times"/>
          <w:noProof/>
        </w:rPr>
        <w:t xml:space="preserve"> </w:t>
      </w:r>
      <w:r w:rsidR="00E575A8">
        <w:rPr>
          <w:rFonts w:cs="Times"/>
          <w:i/>
          <w:noProof/>
        </w:rPr>
        <w:t>J.</w:t>
      </w:r>
      <w:r w:rsidRPr="002E6FA0">
        <w:rPr>
          <w:rFonts w:cs="Times"/>
          <w:i/>
          <w:noProof/>
        </w:rPr>
        <w:t xml:space="preserve"> Cryst</w:t>
      </w:r>
      <w:r w:rsidR="00E575A8">
        <w:rPr>
          <w:rFonts w:cs="Times"/>
          <w:i/>
          <w:noProof/>
        </w:rPr>
        <w:t>.</w:t>
      </w:r>
      <w:r w:rsidRPr="002E6FA0">
        <w:rPr>
          <w:rFonts w:cs="Times"/>
          <w:i/>
          <w:noProof/>
        </w:rPr>
        <w:t xml:space="preserve"> Growth </w:t>
      </w:r>
      <w:r w:rsidRPr="002E6FA0">
        <w:rPr>
          <w:rFonts w:cs="Times"/>
          <w:b/>
          <w:noProof/>
        </w:rPr>
        <w:t>2002,</w:t>
      </w:r>
      <w:r w:rsidRPr="002E6FA0">
        <w:rPr>
          <w:rFonts w:cs="Times"/>
          <w:noProof/>
        </w:rPr>
        <w:t xml:space="preserve"> </w:t>
      </w:r>
      <w:r w:rsidRPr="002E6FA0">
        <w:rPr>
          <w:rFonts w:cs="Times"/>
          <w:i/>
          <w:noProof/>
        </w:rPr>
        <w:t>245</w:t>
      </w:r>
      <w:r w:rsidRPr="002E6FA0">
        <w:rPr>
          <w:rFonts w:cs="Times"/>
          <w:noProof/>
        </w:rPr>
        <w:t xml:space="preserve"> (1–2), 87-100.</w:t>
      </w:r>
      <w:bookmarkEnd w:id="34"/>
    </w:p>
    <w:p w14:paraId="1CE539EA" w14:textId="77777777" w:rsidR="002E6FA0" w:rsidRPr="002E6FA0" w:rsidRDefault="002E6FA0" w:rsidP="002E6FA0">
      <w:pPr>
        <w:pStyle w:val="SNSynopsisTOC"/>
        <w:spacing w:after="0" w:line="240" w:lineRule="auto"/>
        <w:jc w:val="left"/>
        <w:rPr>
          <w:rFonts w:cs="Times"/>
          <w:noProof/>
        </w:rPr>
      </w:pPr>
      <w:bookmarkStart w:id="35" w:name="_ENREF_21"/>
      <w:r w:rsidRPr="002E6FA0">
        <w:rPr>
          <w:rFonts w:cs="Times"/>
          <w:noProof/>
        </w:rPr>
        <w:t>21.</w:t>
      </w:r>
      <w:r w:rsidRPr="002E6FA0">
        <w:rPr>
          <w:rFonts w:cs="Times"/>
          <w:noProof/>
        </w:rPr>
        <w:tab/>
        <w:t>Gabrielli, C.; Keddam, M.; Khalil, A.; Maurin, G.; Perro</w:t>
      </w:r>
      <w:r w:rsidR="00FF6C99">
        <w:rPr>
          <w:rFonts w:cs="Times"/>
          <w:noProof/>
        </w:rPr>
        <w:t xml:space="preserve">t, H.; Rosset, R.; Zidoune, M. </w:t>
      </w:r>
      <w:r w:rsidR="00E575A8">
        <w:rPr>
          <w:rFonts w:cs="Times"/>
          <w:i/>
          <w:noProof/>
        </w:rPr>
        <w:t>J.</w:t>
      </w:r>
      <w:r w:rsidRPr="002E6FA0">
        <w:rPr>
          <w:rFonts w:cs="Times"/>
          <w:i/>
          <w:noProof/>
        </w:rPr>
        <w:t xml:space="preserve"> Electrochem</w:t>
      </w:r>
      <w:r w:rsidR="00E575A8">
        <w:rPr>
          <w:rFonts w:cs="Times"/>
          <w:i/>
          <w:noProof/>
        </w:rPr>
        <w:t>.</w:t>
      </w:r>
      <w:r w:rsidRPr="002E6FA0">
        <w:rPr>
          <w:rFonts w:cs="Times"/>
          <w:i/>
          <w:noProof/>
        </w:rPr>
        <w:t xml:space="preserve"> Soc</w:t>
      </w:r>
      <w:r w:rsidR="00E575A8">
        <w:rPr>
          <w:rFonts w:cs="Times"/>
          <w:i/>
          <w:noProof/>
        </w:rPr>
        <w:t>.</w:t>
      </w:r>
      <w:r w:rsidRPr="002E6FA0">
        <w:rPr>
          <w:rFonts w:cs="Times"/>
          <w:i/>
          <w:noProof/>
        </w:rPr>
        <w:t xml:space="preserve"> </w:t>
      </w:r>
      <w:r w:rsidRPr="002E6FA0">
        <w:rPr>
          <w:rFonts w:cs="Times"/>
          <w:b/>
          <w:noProof/>
        </w:rPr>
        <w:t>1998,</w:t>
      </w:r>
      <w:r w:rsidRPr="002E6FA0">
        <w:rPr>
          <w:rFonts w:cs="Times"/>
          <w:noProof/>
        </w:rPr>
        <w:t xml:space="preserve"> </w:t>
      </w:r>
      <w:r w:rsidRPr="002E6FA0">
        <w:rPr>
          <w:rFonts w:cs="Times"/>
          <w:i/>
          <w:noProof/>
        </w:rPr>
        <w:t>145</w:t>
      </w:r>
      <w:r w:rsidRPr="002E6FA0">
        <w:rPr>
          <w:rFonts w:cs="Times"/>
          <w:noProof/>
        </w:rPr>
        <w:t xml:space="preserve"> (7), 2386-2396.</w:t>
      </w:r>
      <w:bookmarkEnd w:id="35"/>
    </w:p>
    <w:p w14:paraId="20EB931C" w14:textId="17965FC8" w:rsidR="002E6FA0" w:rsidRPr="002E6FA0" w:rsidRDefault="002E6FA0" w:rsidP="002E6FA0">
      <w:pPr>
        <w:pStyle w:val="SNSynopsisTOC"/>
        <w:spacing w:after="0" w:line="240" w:lineRule="auto"/>
        <w:jc w:val="left"/>
        <w:rPr>
          <w:rFonts w:cs="Times"/>
          <w:noProof/>
        </w:rPr>
      </w:pPr>
      <w:bookmarkStart w:id="36" w:name="_ENREF_22"/>
      <w:r w:rsidRPr="002E6FA0">
        <w:rPr>
          <w:rFonts w:cs="Times"/>
          <w:noProof/>
        </w:rPr>
        <w:t>22.</w:t>
      </w:r>
      <w:r w:rsidRPr="002E6FA0">
        <w:rPr>
          <w:rFonts w:cs="Times"/>
          <w:noProof/>
        </w:rPr>
        <w:tab/>
        <w:t xml:space="preserve">Hoang, T. A.; Rohl, A. L.; Jeffrey, M. I.; Ang, H. M. </w:t>
      </w:r>
      <w:r w:rsidR="00D53306">
        <w:rPr>
          <w:rFonts w:cs="Times"/>
          <w:i/>
          <w:noProof/>
        </w:rPr>
        <w:t>Dev.</w:t>
      </w:r>
      <w:r w:rsidRPr="002E6FA0">
        <w:rPr>
          <w:rFonts w:cs="Times"/>
          <w:i/>
          <w:noProof/>
        </w:rPr>
        <w:t xml:space="preserve"> Chem</w:t>
      </w:r>
      <w:r w:rsidR="00D53306">
        <w:rPr>
          <w:rFonts w:cs="Times"/>
          <w:i/>
          <w:noProof/>
        </w:rPr>
        <w:t>.</w:t>
      </w:r>
      <w:r w:rsidRPr="002E6FA0">
        <w:rPr>
          <w:rFonts w:cs="Times"/>
          <w:i/>
          <w:noProof/>
        </w:rPr>
        <w:t xml:space="preserve"> Eng</w:t>
      </w:r>
      <w:r w:rsidR="00D53306">
        <w:rPr>
          <w:rFonts w:cs="Times"/>
          <w:i/>
          <w:noProof/>
        </w:rPr>
        <w:t>.</w:t>
      </w:r>
      <w:r w:rsidRPr="002E6FA0">
        <w:rPr>
          <w:rFonts w:cs="Times"/>
          <w:i/>
          <w:noProof/>
        </w:rPr>
        <w:t xml:space="preserve"> Min</w:t>
      </w:r>
      <w:r w:rsidR="00D10879">
        <w:rPr>
          <w:rFonts w:cs="Times"/>
          <w:i/>
          <w:noProof/>
        </w:rPr>
        <w:t>.</w:t>
      </w:r>
      <w:r w:rsidRPr="002E6FA0">
        <w:rPr>
          <w:rFonts w:cs="Times"/>
          <w:i/>
          <w:noProof/>
        </w:rPr>
        <w:t xml:space="preserve"> Process</w:t>
      </w:r>
      <w:r w:rsidR="00D53306">
        <w:rPr>
          <w:rFonts w:cs="Times"/>
          <w:i/>
          <w:noProof/>
        </w:rPr>
        <w:t>.</w:t>
      </w:r>
      <w:r w:rsidRPr="002E6FA0">
        <w:rPr>
          <w:rFonts w:cs="Times"/>
          <w:i/>
          <w:noProof/>
        </w:rPr>
        <w:t xml:space="preserve"> </w:t>
      </w:r>
      <w:r w:rsidRPr="002E6FA0">
        <w:rPr>
          <w:rFonts w:cs="Times"/>
          <w:b/>
          <w:noProof/>
        </w:rPr>
        <w:t>2006,</w:t>
      </w:r>
      <w:r w:rsidRPr="002E6FA0">
        <w:rPr>
          <w:rFonts w:cs="Times"/>
          <w:noProof/>
        </w:rPr>
        <w:t xml:space="preserve"> </w:t>
      </w:r>
      <w:r w:rsidRPr="002E6FA0">
        <w:rPr>
          <w:rFonts w:cs="Times"/>
          <w:i/>
          <w:noProof/>
        </w:rPr>
        <w:t>14</w:t>
      </w:r>
      <w:r w:rsidRPr="002E6FA0">
        <w:rPr>
          <w:rFonts w:cs="Times"/>
          <w:noProof/>
        </w:rPr>
        <w:t xml:space="preserve"> (1-2), 313-321.</w:t>
      </w:r>
      <w:bookmarkEnd w:id="36"/>
    </w:p>
    <w:p w14:paraId="08776F7E" w14:textId="77777777" w:rsidR="002E6FA0" w:rsidRPr="002E6FA0" w:rsidRDefault="002E6FA0" w:rsidP="002E6FA0">
      <w:pPr>
        <w:pStyle w:val="SNSynopsisTOC"/>
        <w:spacing w:after="0" w:line="240" w:lineRule="auto"/>
        <w:jc w:val="left"/>
        <w:rPr>
          <w:rFonts w:cs="Times"/>
          <w:noProof/>
        </w:rPr>
      </w:pPr>
      <w:bookmarkStart w:id="37" w:name="_ENREF_23"/>
      <w:r w:rsidRPr="002E6FA0">
        <w:rPr>
          <w:rFonts w:cs="Times"/>
          <w:noProof/>
        </w:rPr>
        <w:t>23.</w:t>
      </w:r>
      <w:r w:rsidRPr="002E6FA0">
        <w:rPr>
          <w:rFonts w:cs="Times"/>
          <w:noProof/>
        </w:rPr>
        <w:tab/>
        <w:t>Lin, N. H.; Shi</w:t>
      </w:r>
      <w:r w:rsidR="00FF6C99">
        <w:rPr>
          <w:rFonts w:cs="Times"/>
          <w:noProof/>
        </w:rPr>
        <w:t>h, W.-Y.; Lyster, E.; Cohen, Y.</w:t>
      </w:r>
      <w:r w:rsidRPr="002E6FA0">
        <w:rPr>
          <w:rFonts w:cs="Times"/>
          <w:noProof/>
        </w:rPr>
        <w:t xml:space="preserve"> </w:t>
      </w:r>
      <w:r w:rsidR="00D53306">
        <w:rPr>
          <w:rFonts w:cs="Times"/>
          <w:i/>
          <w:noProof/>
        </w:rPr>
        <w:t>J.</w:t>
      </w:r>
      <w:r w:rsidRPr="002E6FA0">
        <w:rPr>
          <w:rFonts w:cs="Times"/>
          <w:i/>
          <w:noProof/>
        </w:rPr>
        <w:t xml:space="preserve"> </w:t>
      </w:r>
      <w:r w:rsidR="00D53306">
        <w:rPr>
          <w:rFonts w:cs="Times"/>
          <w:i/>
          <w:noProof/>
        </w:rPr>
        <w:t xml:space="preserve">Colloid </w:t>
      </w:r>
      <w:r w:rsidRPr="002E6FA0">
        <w:rPr>
          <w:rFonts w:cs="Times"/>
          <w:i/>
          <w:noProof/>
        </w:rPr>
        <w:t>Interface Sci</w:t>
      </w:r>
      <w:r w:rsidR="00D53306">
        <w:rPr>
          <w:rFonts w:cs="Times"/>
          <w:i/>
          <w:noProof/>
        </w:rPr>
        <w:t>.</w:t>
      </w:r>
      <w:r w:rsidRPr="002E6FA0">
        <w:rPr>
          <w:rFonts w:cs="Times"/>
          <w:i/>
          <w:noProof/>
        </w:rPr>
        <w:t xml:space="preserve"> </w:t>
      </w:r>
      <w:r w:rsidRPr="002E6FA0">
        <w:rPr>
          <w:rFonts w:cs="Times"/>
          <w:b/>
          <w:noProof/>
        </w:rPr>
        <w:t>2011,</w:t>
      </w:r>
      <w:r w:rsidRPr="002E6FA0">
        <w:rPr>
          <w:rFonts w:cs="Times"/>
          <w:noProof/>
        </w:rPr>
        <w:t xml:space="preserve"> </w:t>
      </w:r>
      <w:r w:rsidRPr="002E6FA0">
        <w:rPr>
          <w:rFonts w:cs="Times"/>
          <w:i/>
          <w:noProof/>
        </w:rPr>
        <w:t>356</w:t>
      </w:r>
      <w:r w:rsidRPr="002E6FA0">
        <w:rPr>
          <w:rFonts w:cs="Times"/>
          <w:noProof/>
        </w:rPr>
        <w:t xml:space="preserve"> (2), 790-797.</w:t>
      </w:r>
      <w:bookmarkEnd w:id="37"/>
    </w:p>
    <w:p w14:paraId="68FCF1D6" w14:textId="77777777" w:rsidR="002E6FA0" w:rsidRPr="002E6FA0" w:rsidRDefault="00FF6C99" w:rsidP="002E6FA0">
      <w:pPr>
        <w:pStyle w:val="SNSynopsisTOC"/>
        <w:spacing w:after="0" w:line="240" w:lineRule="auto"/>
        <w:jc w:val="left"/>
        <w:rPr>
          <w:rFonts w:cs="Times"/>
          <w:noProof/>
        </w:rPr>
      </w:pPr>
      <w:bookmarkStart w:id="38" w:name="_ENREF_24"/>
      <w:r>
        <w:rPr>
          <w:rFonts w:cs="Times"/>
          <w:noProof/>
        </w:rPr>
        <w:t>24.</w:t>
      </w:r>
      <w:r>
        <w:rPr>
          <w:rFonts w:cs="Times"/>
          <w:noProof/>
        </w:rPr>
        <w:tab/>
        <w:t>Linnikov, O. D.</w:t>
      </w:r>
      <w:r w:rsidR="002E6FA0" w:rsidRPr="002E6FA0">
        <w:rPr>
          <w:rFonts w:cs="Times"/>
          <w:noProof/>
        </w:rPr>
        <w:t xml:space="preserve"> </w:t>
      </w:r>
      <w:r w:rsidR="002E6FA0" w:rsidRPr="002E6FA0">
        <w:rPr>
          <w:rFonts w:cs="Times"/>
          <w:i/>
          <w:noProof/>
        </w:rPr>
        <w:t xml:space="preserve">Desalination </w:t>
      </w:r>
      <w:r w:rsidR="002E6FA0" w:rsidRPr="002E6FA0">
        <w:rPr>
          <w:rFonts w:cs="Times"/>
          <w:b/>
          <w:noProof/>
        </w:rPr>
        <w:t>1999,</w:t>
      </w:r>
      <w:r w:rsidR="002E6FA0" w:rsidRPr="002E6FA0">
        <w:rPr>
          <w:rFonts w:cs="Times"/>
          <w:noProof/>
        </w:rPr>
        <w:t xml:space="preserve"> </w:t>
      </w:r>
      <w:r w:rsidR="002E6FA0" w:rsidRPr="002E6FA0">
        <w:rPr>
          <w:rFonts w:cs="Times"/>
          <w:i/>
          <w:noProof/>
        </w:rPr>
        <w:t>122</w:t>
      </w:r>
      <w:r w:rsidR="002E6FA0" w:rsidRPr="002E6FA0">
        <w:rPr>
          <w:rFonts w:cs="Times"/>
          <w:noProof/>
        </w:rPr>
        <w:t xml:space="preserve"> (1), 1-14.</w:t>
      </w:r>
      <w:bookmarkEnd w:id="38"/>
    </w:p>
    <w:p w14:paraId="4AD6A05E" w14:textId="7D626ED6" w:rsidR="002E6FA0" w:rsidRPr="002E6FA0" w:rsidRDefault="00D10879" w:rsidP="002E6FA0">
      <w:pPr>
        <w:pStyle w:val="SNSynopsisTOC"/>
        <w:spacing w:after="0" w:line="240" w:lineRule="auto"/>
        <w:jc w:val="left"/>
        <w:rPr>
          <w:rFonts w:cs="Times"/>
          <w:noProof/>
        </w:rPr>
      </w:pPr>
      <w:bookmarkStart w:id="39" w:name="_ENREF_25"/>
      <w:r>
        <w:rPr>
          <w:rFonts w:cs="Times"/>
          <w:noProof/>
        </w:rPr>
        <w:t>25.</w:t>
      </w:r>
      <w:r>
        <w:rPr>
          <w:rFonts w:cs="Times"/>
          <w:noProof/>
        </w:rPr>
        <w:tab/>
        <w:t>Johannsmann, D.</w:t>
      </w:r>
      <w:r w:rsidR="002E6FA0" w:rsidRPr="002E6FA0">
        <w:rPr>
          <w:rFonts w:cs="Times"/>
          <w:noProof/>
        </w:rPr>
        <w:t xml:space="preserve"> </w:t>
      </w:r>
      <w:r w:rsidR="002E6FA0" w:rsidRPr="002E6FA0">
        <w:rPr>
          <w:rFonts w:cs="Times"/>
          <w:i/>
          <w:noProof/>
        </w:rPr>
        <w:t>The Quartz Crystal Microbalance in Soft Matter Research</w:t>
      </w:r>
      <w:r w:rsidR="002E6FA0" w:rsidRPr="002E6FA0">
        <w:rPr>
          <w:rFonts w:cs="Times"/>
          <w:noProof/>
        </w:rPr>
        <w:t>. Springer:</w:t>
      </w:r>
      <w:r>
        <w:rPr>
          <w:rFonts w:cs="Times"/>
          <w:noProof/>
        </w:rPr>
        <w:t xml:space="preserve"> London,</w:t>
      </w:r>
      <w:r w:rsidR="002E6FA0" w:rsidRPr="002E6FA0">
        <w:rPr>
          <w:rFonts w:cs="Times"/>
          <w:noProof/>
        </w:rPr>
        <w:t xml:space="preserve"> 2014.</w:t>
      </w:r>
      <w:bookmarkEnd w:id="39"/>
    </w:p>
    <w:p w14:paraId="26D31921" w14:textId="7B6BD5D0" w:rsidR="002E6FA0" w:rsidRPr="002E6FA0" w:rsidRDefault="00D10879" w:rsidP="002E6FA0">
      <w:pPr>
        <w:pStyle w:val="SNSynopsisTOC"/>
        <w:spacing w:after="0" w:line="240" w:lineRule="auto"/>
        <w:jc w:val="left"/>
        <w:rPr>
          <w:rFonts w:cs="Times"/>
          <w:noProof/>
        </w:rPr>
      </w:pPr>
      <w:bookmarkStart w:id="40" w:name="_ENREF_26"/>
      <w:r>
        <w:rPr>
          <w:rFonts w:cs="Times"/>
          <w:noProof/>
        </w:rPr>
        <w:t>26.</w:t>
      </w:r>
      <w:r>
        <w:rPr>
          <w:rFonts w:cs="Times"/>
          <w:noProof/>
        </w:rPr>
        <w:tab/>
        <w:t>Kashchiev, D.</w:t>
      </w:r>
      <w:r w:rsidR="002E6FA0" w:rsidRPr="002E6FA0">
        <w:rPr>
          <w:rFonts w:cs="Times"/>
          <w:noProof/>
        </w:rPr>
        <w:t xml:space="preserve"> </w:t>
      </w:r>
      <w:r w:rsidR="002E6FA0" w:rsidRPr="002E6FA0">
        <w:rPr>
          <w:rFonts w:cs="Times"/>
          <w:i/>
          <w:noProof/>
        </w:rPr>
        <w:t>Nucleation</w:t>
      </w:r>
      <w:r w:rsidR="002E6FA0" w:rsidRPr="002E6FA0">
        <w:rPr>
          <w:rFonts w:cs="Times"/>
          <w:noProof/>
        </w:rPr>
        <w:t xml:space="preserve">. Butterworth-Heinemann: </w:t>
      </w:r>
      <w:r>
        <w:rPr>
          <w:rFonts w:cs="Times"/>
          <w:noProof/>
        </w:rPr>
        <w:t xml:space="preserve">Oxford, </w:t>
      </w:r>
      <w:r w:rsidR="002E6FA0" w:rsidRPr="002E6FA0">
        <w:rPr>
          <w:rFonts w:cs="Times"/>
          <w:noProof/>
        </w:rPr>
        <w:t>2000.</w:t>
      </w:r>
      <w:bookmarkEnd w:id="40"/>
    </w:p>
    <w:p w14:paraId="0B77DECF" w14:textId="77777777" w:rsidR="002E6FA0" w:rsidRPr="002E6FA0" w:rsidRDefault="002E6FA0" w:rsidP="002E6FA0">
      <w:pPr>
        <w:pStyle w:val="SNSynopsisTOC"/>
        <w:spacing w:after="0" w:line="240" w:lineRule="auto"/>
        <w:jc w:val="left"/>
        <w:rPr>
          <w:rFonts w:cs="Times"/>
          <w:noProof/>
        </w:rPr>
      </w:pPr>
      <w:bookmarkStart w:id="41" w:name="_ENREF_27"/>
      <w:r w:rsidRPr="002E6FA0">
        <w:rPr>
          <w:rFonts w:cs="Times"/>
          <w:noProof/>
        </w:rPr>
        <w:t>27.</w:t>
      </w:r>
      <w:r w:rsidRPr="002E6FA0">
        <w:rPr>
          <w:rFonts w:cs="Times"/>
          <w:noProof/>
        </w:rPr>
        <w:tab/>
        <w:t xml:space="preserve">Olsson, A. L. J.; van der Mei, H. C.; Johannsmann, D.; Busscher, H. J.; Sharma, P. K. </w:t>
      </w:r>
      <w:r w:rsidR="00582193">
        <w:rPr>
          <w:rFonts w:cs="Times"/>
          <w:i/>
          <w:noProof/>
        </w:rPr>
        <w:t>Anal. Chem.</w:t>
      </w:r>
      <w:r w:rsidRPr="002E6FA0">
        <w:rPr>
          <w:rFonts w:cs="Times"/>
          <w:i/>
          <w:noProof/>
        </w:rPr>
        <w:t xml:space="preserve"> </w:t>
      </w:r>
      <w:r w:rsidRPr="002E6FA0">
        <w:rPr>
          <w:rFonts w:cs="Times"/>
          <w:b/>
          <w:noProof/>
        </w:rPr>
        <w:t>2012,</w:t>
      </w:r>
      <w:r w:rsidRPr="002E6FA0">
        <w:rPr>
          <w:rFonts w:cs="Times"/>
          <w:noProof/>
        </w:rPr>
        <w:t xml:space="preserve"> </w:t>
      </w:r>
      <w:r w:rsidRPr="002E6FA0">
        <w:rPr>
          <w:rFonts w:cs="Times"/>
          <w:i/>
          <w:noProof/>
        </w:rPr>
        <w:t>84</w:t>
      </w:r>
      <w:r w:rsidRPr="002E6FA0">
        <w:rPr>
          <w:rFonts w:cs="Times"/>
          <w:noProof/>
        </w:rPr>
        <w:t xml:space="preserve"> (10), 4504-4512.</w:t>
      </w:r>
      <w:bookmarkEnd w:id="41"/>
    </w:p>
    <w:p w14:paraId="10AB5A2F" w14:textId="77777777" w:rsidR="002E6FA0" w:rsidRPr="002E6FA0" w:rsidRDefault="002E6FA0" w:rsidP="002E6FA0">
      <w:pPr>
        <w:pStyle w:val="SNSynopsisTOC"/>
        <w:spacing w:after="0" w:line="240" w:lineRule="auto"/>
        <w:jc w:val="left"/>
        <w:rPr>
          <w:rFonts w:cs="Times"/>
          <w:noProof/>
        </w:rPr>
      </w:pPr>
      <w:bookmarkStart w:id="42" w:name="_ENREF_28"/>
      <w:r w:rsidRPr="002E6FA0">
        <w:rPr>
          <w:rFonts w:cs="Times"/>
          <w:noProof/>
        </w:rPr>
        <w:t>28.</w:t>
      </w:r>
      <w:r w:rsidRPr="002E6FA0">
        <w:rPr>
          <w:rFonts w:cs="Times"/>
          <w:noProof/>
        </w:rPr>
        <w:tab/>
        <w:t xml:space="preserve">Bingen, P.; Wang, G.; Steinmetz, N. F.; Rodahl, M.; Richter, R. P. </w:t>
      </w:r>
      <w:r w:rsidR="00582193">
        <w:rPr>
          <w:rFonts w:cs="Times"/>
          <w:i/>
          <w:noProof/>
        </w:rPr>
        <w:t>Anal.</w:t>
      </w:r>
      <w:r w:rsidRPr="002E6FA0">
        <w:rPr>
          <w:rFonts w:cs="Times"/>
          <w:i/>
          <w:noProof/>
        </w:rPr>
        <w:t xml:space="preserve"> Chem</w:t>
      </w:r>
      <w:r w:rsidR="00582193">
        <w:rPr>
          <w:rFonts w:cs="Times"/>
          <w:i/>
          <w:noProof/>
        </w:rPr>
        <w:t>.</w:t>
      </w:r>
      <w:r w:rsidRPr="002E6FA0">
        <w:rPr>
          <w:rFonts w:cs="Times"/>
          <w:i/>
          <w:noProof/>
        </w:rPr>
        <w:t xml:space="preserve"> </w:t>
      </w:r>
      <w:r w:rsidRPr="002E6FA0">
        <w:rPr>
          <w:rFonts w:cs="Times"/>
          <w:b/>
          <w:noProof/>
        </w:rPr>
        <w:t>2008,</w:t>
      </w:r>
      <w:r w:rsidRPr="002E6FA0">
        <w:rPr>
          <w:rFonts w:cs="Times"/>
          <w:noProof/>
        </w:rPr>
        <w:t xml:space="preserve"> </w:t>
      </w:r>
      <w:r w:rsidRPr="002E6FA0">
        <w:rPr>
          <w:rFonts w:cs="Times"/>
          <w:i/>
          <w:noProof/>
        </w:rPr>
        <w:t>80</w:t>
      </w:r>
      <w:r w:rsidRPr="002E6FA0">
        <w:rPr>
          <w:rFonts w:cs="Times"/>
          <w:noProof/>
        </w:rPr>
        <w:t xml:space="preserve"> (23), 8880-8890.</w:t>
      </w:r>
      <w:bookmarkEnd w:id="42"/>
    </w:p>
    <w:p w14:paraId="18AF6C48" w14:textId="77777777" w:rsidR="002E6FA0" w:rsidRPr="002E6FA0" w:rsidRDefault="002E6FA0" w:rsidP="002E6FA0">
      <w:pPr>
        <w:pStyle w:val="SNSynopsisTOC"/>
        <w:spacing w:after="0" w:line="240" w:lineRule="auto"/>
        <w:jc w:val="left"/>
        <w:rPr>
          <w:rFonts w:cs="Times"/>
          <w:noProof/>
        </w:rPr>
      </w:pPr>
      <w:bookmarkStart w:id="43" w:name="_ENREF_29"/>
      <w:r w:rsidRPr="002E6FA0">
        <w:rPr>
          <w:rFonts w:cs="Times"/>
          <w:noProof/>
        </w:rPr>
        <w:t>29.</w:t>
      </w:r>
      <w:r w:rsidRPr="002E6FA0">
        <w:rPr>
          <w:rFonts w:cs="Times"/>
          <w:noProof/>
        </w:rPr>
        <w:tab/>
        <w:t>Reviakine, I.; Johann</w:t>
      </w:r>
      <w:r w:rsidR="00FF6C99">
        <w:rPr>
          <w:rFonts w:cs="Times"/>
          <w:noProof/>
        </w:rPr>
        <w:t>smann, D.; Richter, R. P.</w:t>
      </w:r>
      <w:r w:rsidRPr="002E6FA0">
        <w:rPr>
          <w:rFonts w:cs="Times"/>
          <w:noProof/>
        </w:rPr>
        <w:t xml:space="preserve"> </w:t>
      </w:r>
      <w:r w:rsidRPr="002E6FA0">
        <w:rPr>
          <w:rFonts w:cs="Times"/>
          <w:i/>
          <w:noProof/>
        </w:rPr>
        <w:t>Anal</w:t>
      </w:r>
      <w:r w:rsidR="00582193">
        <w:rPr>
          <w:rFonts w:cs="Times"/>
          <w:i/>
          <w:noProof/>
        </w:rPr>
        <w:t>. Chem.</w:t>
      </w:r>
      <w:r w:rsidRPr="002E6FA0">
        <w:rPr>
          <w:rFonts w:cs="Times"/>
          <w:i/>
          <w:noProof/>
        </w:rPr>
        <w:t xml:space="preserve"> </w:t>
      </w:r>
      <w:r w:rsidRPr="002E6FA0">
        <w:rPr>
          <w:rFonts w:cs="Times"/>
          <w:b/>
          <w:noProof/>
        </w:rPr>
        <w:t>2011,</w:t>
      </w:r>
      <w:r w:rsidRPr="002E6FA0">
        <w:rPr>
          <w:rFonts w:cs="Times"/>
          <w:noProof/>
        </w:rPr>
        <w:t xml:space="preserve"> </w:t>
      </w:r>
      <w:r w:rsidRPr="002E6FA0">
        <w:rPr>
          <w:rFonts w:cs="Times"/>
          <w:i/>
          <w:noProof/>
        </w:rPr>
        <w:t>83</w:t>
      </w:r>
      <w:r w:rsidRPr="002E6FA0">
        <w:rPr>
          <w:rFonts w:cs="Times"/>
          <w:noProof/>
        </w:rPr>
        <w:t xml:space="preserve"> (23), 8838-8848.</w:t>
      </w:r>
      <w:bookmarkEnd w:id="43"/>
    </w:p>
    <w:p w14:paraId="1CD9CA45" w14:textId="77777777" w:rsidR="002E6FA0" w:rsidRPr="002E6FA0" w:rsidRDefault="002E6FA0" w:rsidP="002E6FA0">
      <w:pPr>
        <w:pStyle w:val="SNSynopsisTOC"/>
        <w:spacing w:after="0" w:line="240" w:lineRule="auto"/>
        <w:jc w:val="left"/>
        <w:rPr>
          <w:rFonts w:cs="Times"/>
          <w:noProof/>
        </w:rPr>
      </w:pPr>
      <w:bookmarkStart w:id="44" w:name="_ENREF_30"/>
      <w:r w:rsidRPr="002E6FA0">
        <w:rPr>
          <w:rFonts w:cs="Times"/>
          <w:noProof/>
        </w:rPr>
        <w:t>3</w:t>
      </w:r>
      <w:r w:rsidR="00FF6C99">
        <w:rPr>
          <w:rFonts w:cs="Times"/>
          <w:noProof/>
        </w:rPr>
        <w:t>0.</w:t>
      </w:r>
      <w:r w:rsidR="00FF6C99">
        <w:rPr>
          <w:rFonts w:cs="Times"/>
          <w:noProof/>
        </w:rPr>
        <w:tab/>
        <w:t>Ramos, J. J. I.; Moya, S. E.</w:t>
      </w:r>
      <w:r w:rsidRPr="002E6FA0">
        <w:rPr>
          <w:rFonts w:cs="Times"/>
          <w:noProof/>
        </w:rPr>
        <w:t xml:space="preserve"> </w:t>
      </w:r>
      <w:r w:rsidRPr="002E6FA0">
        <w:rPr>
          <w:rFonts w:cs="Times"/>
          <w:i/>
          <w:noProof/>
        </w:rPr>
        <w:t>Macromol</w:t>
      </w:r>
      <w:r w:rsidR="00150AEF">
        <w:rPr>
          <w:rFonts w:cs="Times"/>
          <w:i/>
          <w:noProof/>
        </w:rPr>
        <w:t>.</w:t>
      </w:r>
      <w:r w:rsidRPr="002E6FA0">
        <w:rPr>
          <w:rFonts w:cs="Times"/>
          <w:i/>
          <w:noProof/>
        </w:rPr>
        <w:t xml:space="preserve"> Rapid Commun</w:t>
      </w:r>
      <w:r w:rsidR="00150AEF">
        <w:rPr>
          <w:rFonts w:cs="Times"/>
          <w:i/>
          <w:noProof/>
        </w:rPr>
        <w:t>.</w:t>
      </w:r>
      <w:r w:rsidRPr="002E6FA0">
        <w:rPr>
          <w:rFonts w:cs="Times"/>
          <w:i/>
          <w:noProof/>
        </w:rPr>
        <w:t xml:space="preserve"> </w:t>
      </w:r>
      <w:r w:rsidRPr="002E6FA0">
        <w:rPr>
          <w:rFonts w:cs="Times"/>
          <w:b/>
          <w:noProof/>
        </w:rPr>
        <w:t>2011,</w:t>
      </w:r>
      <w:r w:rsidRPr="002E6FA0">
        <w:rPr>
          <w:rFonts w:cs="Times"/>
          <w:noProof/>
        </w:rPr>
        <w:t xml:space="preserve"> </w:t>
      </w:r>
      <w:r w:rsidRPr="002E6FA0">
        <w:rPr>
          <w:rFonts w:cs="Times"/>
          <w:i/>
          <w:noProof/>
        </w:rPr>
        <w:t>32</w:t>
      </w:r>
      <w:r w:rsidRPr="002E6FA0">
        <w:rPr>
          <w:rFonts w:cs="Times"/>
          <w:noProof/>
        </w:rPr>
        <w:t xml:space="preserve"> (24), 1972-1978.</w:t>
      </w:r>
      <w:bookmarkEnd w:id="44"/>
    </w:p>
    <w:p w14:paraId="6A3170D0" w14:textId="212D790F" w:rsidR="002E6FA0" w:rsidRPr="002E6FA0" w:rsidRDefault="002E6FA0" w:rsidP="002E6FA0">
      <w:pPr>
        <w:pStyle w:val="SNSynopsisTOC"/>
        <w:spacing w:after="0" w:line="240" w:lineRule="auto"/>
        <w:jc w:val="left"/>
        <w:rPr>
          <w:rFonts w:cs="Times"/>
          <w:noProof/>
        </w:rPr>
      </w:pPr>
      <w:bookmarkStart w:id="45" w:name="_ENREF_31"/>
      <w:r w:rsidRPr="002E6FA0">
        <w:rPr>
          <w:rFonts w:cs="Times"/>
          <w:noProof/>
        </w:rPr>
        <w:t>31.</w:t>
      </w:r>
      <w:r w:rsidRPr="002E6FA0">
        <w:rPr>
          <w:rFonts w:cs="Times"/>
          <w:noProof/>
        </w:rPr>
        <w:tab/>
        <w:t>Keiji</w:t>
      </w:r>
      <w:r w:rsidR="00FF6C99">
        <w:rPr>
          <w:rFonts w:cs="Times"/>
          <w:noProof/>
        </w:rPr>
        <w:t xml:space="preserve"> Kanazawa, K.; Gordon Ii, J. G.</w:t>
      </w:r>
      <w:r w:rsidRPr="002E6FA0">
        <w:rPr>
          <w:rFonts w:cs="Times"/>
          <w:noProof/>
        </w:rPr>
        <w:t xml:space="preserve"> </w:t>
      </w:r>
      <w:r w:rsidR="00582193">
        <w:rPr>
          <w:rFonts w:cs="Times"/>
          <w:i/>
          <w:noProof/>
        </w:rPr>
        <w:t>Anal.</w:t>
      </w:r>
      <w:r w:rsidRPr="002E6FA0">
        <w:rPr>
          <w:rFonts w:cs="Times"/>
          <w:i/>
          <w:noProof/>
        </w:rPr>
        <w:t xml:space="preserve"> Chim</w:t>
      </w:r>
      <w:r w:rsidR="00582193">
        <w:rPr>
          <w:rFonts w:cs="Times"/>
          <w:i/>
          <w:noProof/>
        </w:rPr>
        <w:t>.</w:t>
      </w:r>
      <w:r w:rsidRPr="002E6FA0">
        <w:rPr>
          <w:rFonts w:cs="Times"/>
          <w:i/>
          <w:noProof/>
        </w:rPr>
        <w:t xml:space="preserve"> Acta </w:t>
      </w:r>
      <w:r w:rsidRPr="002E6FA0">
        <w:rPr>
          <w:rFonts w:cs="Times"/>
          <w:b/>
          <w:noProof/>
        </w:rPr>
        <w:t>1985,</w:t>
      </w:r>
      <w:r w:rsidRPr="002E6FA0">
        <w:rPr>
          <w:rFonts w:cs="Times"/>
          <w:noProof/>
        </w:rPr>
        <w:t xml:space="preserve"> </w:t>
      </w:r>
      <w:r w:rsidRPr="002E6FA0">
        <w:rPr>
          <w:rFonts w:cs="Times"/>
          <w:i/>
          <w:noProof/>
        </w:rPr>
        <w:t>175</w:t>
      </w:r>
      <w:r w:rsidRPr="002E6FA0">
        <w:rPr>
          <w:rFonts w:cs="Times"/>
          <w:noProof/>
        </w:rPr>
        <w:t>, 99-105.</w:t>
      </w:r>
      <w:bookmarkEnd w:id="45"/>
    </w:p>
    <w:p w14:paraId="05C1BACD" w14:textId="77777777" w:rsidR="002E6FA0" w:rsidRPr="002E6FA0" w:rsidRDefault="002E6FA0" w:rsidP="002E6FA0">
      <w:pPr>
        <w:pStyle w:val="SNSynopsisTOC"/>
        <w:spacing w:after="0" w:line="240" w:lineRule="auto"/>
        <w:jc w:val="left"/>
        <w:rPr>
          <w:rFonts w:cs="Times"/>
          <w:noProof/>
        </w:rPr>
      </w:pPr>
      <w:bookmarkStart w:id="46" w:name="_ENREF_32"/>
      <w:r w:rsidRPr="002E6FA0">
        <w:rPr>
          <w:rFonts w:cs="Times"/>
          <w:noProof/>
        </w:rPr>
        <w:lastRenderedPageBreak/>
        <w:t>32.</w:t>
      </w:r>
      <w:r w:rsidRPr="002E6FA0">
        <w:rPr>
          <w:rFonts w:cs="Times"/>
          <w:noProof/>
        </w:rPr>
        <w:tab/>
        <w:t xml:space="preserve">Daikhin, L.; Gileadi, E.; Katz, G.; Tsionsky, V.; Urbakh, M.; Zagidulin, D. </w:t>
      </w:r>
      <w:r w:rsidRPr="002E6FA0">
        <w:rPr>
          <w:rFonts w:cs="Times"/>
          <w:i/>
          <w:noProof/>
        </w:rPr>
        <w:t>Anal</w:t>
      </w:r>
      <w:r w:rsidR="00D53306">
        <w:rPr>
          <w:rFonts w:cs="Times"/>
          <w:i/>
          <w:noProof/>
        </w:rPr>
        <w:t>.</w:t>
      </w:r>
      <w:r w:rsidRPr="002E6FA0">
        <w:rPr>
          <w:rFonts w:cs="Times"/>
          <w:i/>
          <w:noProof/>
        </w:rPr>
        <w:t xml:space="preserve"> Chem</w:t>
      </w:r>
      <w:r w:rsidR="00D53306">
        <w:rPr>
          <w:rFonts w:cs="Times"/>
          <w:i/>
          <w:noProof/>
        </w:rPr>
        <w:t>.</w:t>
      </w:r>
      <w:r w:rsidRPr="002E6FA0">
        <w:rPr>
          <w:rFonts w:cs="Times"/>
          <w:i/>
          <w:noProof/>
        </w:rPr>
        <w:t xml:space="preserve"> </w:t>
      </w:r>
      <w:r w:rsidRPr="002E6FA0">
        <w:rPr>
          <w:rFonts w:cs="Times"/>
          <w:b/>
          <w:noProof/>
        </w:rPr>
        <w:t>2002,</w:t>
      </w:r>
      <w:r w:rsidRPr="002E6FA0">
        <w:rPr>
          <w:rFonts w:cs="Times"/>
          <w:noProof/>
        </w:rPr>
        <w:t xml:space="preserve"> </w:t>
      </w:r>
      <w:r w:rsidRPr="002E6FA0">
        <w:rPr>
          <w:rFonts w:cs="Times"/>
          <w:i/>
          <w:noProof/>
        </w:rPr>
        <w:t>74</w:t>
      </w:r>
      <w:r w:rsidRPr="002E6FA0">
        <w:rPr>
          <w:rFonts w:cs="Times"/>
          <w:noProof/>
        </w:rPr>
        <w:t xml:space="preserve"> (3), 554-561.</w:t>
      </w:r>
      <w:bookmarkEnd w:id="46"/>
    </w:p>
    <w:p w14:paraId="7427F8C7" w14:textId="77777777" w:rsidR="002E6FA0" w:rsidRPr="002E6FA0" w:rsidRDefault="00FF6C99" w:rsidP="002E6FA0">
      <w:pPr>
        <w:pStyle w:val="SNSynopsisTOC"/>
        <w:spacing w:after="0" w:line="240" w:lineRule="auto"/>
        <w:jc w:val="left"/>
        <w:rPr>
          <w:rFonts w:cs="Times"/>
          <w:noProof/>
        </w:rPr>
      </w:pPr>
      <w:bookmarkStart w:id="47" w:name="_ENREF_33"/>
      <w:r>
        <w:rPr>
          <w:rFonts w:cs="Times"/>
          <w:noProof/>
        </w:rPr>
        <w:t>33.</w:t>
      </w:r>
      <w:r>
        <w:rPr>
          <w:rFonts w:cs="Times"/>
          <w:noProof/>
        </w:rPr>
        <w:tab/>
        <w:t>Bock, E.</w:t>
      </w:r>
      <w:r w:rsidR="002E6FA0" w:rsidRPr="002E6FA0">
        <w:rPr>
          <w:rFonts w:cs="Times"/>
          <w:noProof/>
        </w:rPr>
        <w:t xml:space="preserve"> </w:t>
      </w:r>
      <w:r w:rsidR="00D53306">
        <w:rPr>
          <w:rFonts w:cs="Times"/>
          <w:i/>
          <w:noProof/>
        </w:rPr>
        <w:t>Can.</w:t>
      </w:r>
      <w:r w:rsidR="002E6FA0" w:rsidRPr="002E6FA0">
        <w:rPr>
          <w:rFonts w:cs="Times"/>
          <w:i/>
          <w:noProof/>
        </w:rPr>
        <w:t xml:space="preserve"> J</w:t>
      </w:r>
      <w:r w:rsidR="00D53306">
        <w:rPr>
          <w:rFonts w:cs="Times"/>
          <w:i/>
          <w:noProof/>
        </w:rPr>
        <w:t>.</w:t>
      </w:r>
      <w:r w:rsidR="002E6FA0" w:rsidRPr="002E6FA0">
        <w:rPr>
          <w:rFonts w:cs="Times"/>
          <w:i/>
          <w:noProof/>
        </w:rPr>
        <w:t xml:space="preserve"> Chem</w:t>
      </w:r>
      <w:r w:rsidR="00D53306">
        <w:rPr>
          <w:rFonts w:cs="Times"/>
          <w:i/>
          <w:noProof/>
        </w:rPr>
        <w:t>.</w:t>
      </w:r>
      <w:r w:rsidR="002E6FA0" w:rsidRPr="002E6FA0">
        <w:rPr>
          <w:rFonts w:cs="Times"/>
          <w:i/>
          <w:noProof/>
        </w:rPr>
        <w:t xml:space="preserve"> </w:t>
      </w:r>
      <w:r w:rsidR="002E6FA0" w:rsidRPr="002E6FA0">
        <w:rPr>
          <w:rFonts w:cs="Times"/>
          <w:b/>
          <w:noProof/>
        </w:rPr>
        <w:t>1961,</w:t>
      </w:r>
      <w:r w:rsidR="002E6FA0" w:rsidRPr="002E6FA0">
        <w:rPr>
          <w:rFonts w:cs="Times"/>
          <w:noProof/>
        </w:rPr>
        <w:t xml:space="preserve"> </w:t>
      </w:r>
      <w:r w:rsidR="002E6FA0" w:rsidRPr="002E6FA0">
        <w:rPr>
          <w:rFonts w:cs="Times"/>
          <w:i/>
          <w:noProof/>
        </w:rPr>
        <w:t>39</w:t>
      </w:r>
      <w:r w:rsidR="002E6FA0" w:rsidRPr="002E6FA0">
        <w:rPr>
          <w:rFonts w:cs="Times"/>
          <w:noProof/>
        </w:rPr>
        <w:t xml:space="preserve"> (9), 1746-1751.</w:t>
      </w:r>
      <w:bookmarkEnd w:id="47"/>
    </w:p>
    <w:p w14:paraId="3C7FCDE0" w14:textId="77777777" w:rsidR="002E6FA0" w:rsidRPr="002E6FA0" w:rsidRDefault="00FF6C99" w:rsidP="002E6FA0">
      <w:pPr>
        <w:pStyle w:val="SNSynopsisTOC"/>
        <w:spacing w:after="0" w:line="240" w:lineRule="auto"/>
        <w:jc w:val="left"/>
        <w:rPr>
          <w:rFonts w:cs="Times"/>
          <w:noProof/>
        </w:rPr>
      </w:pPr>
      <w:bookmarkStart w:id="48" w:name="_ENREF_34"/>
      <w:r>
        <w:rPr>
          <w:rFonts w:cs="Times"/>
          <w:noProof/>
        </w:rPr>
        <w:t>34.</w:t>
      </w:r>
      <w:r>
        <w:rPr>
          <w:rFonts w:cs="Times"/>
          <w:noProof/>
        </w:rPr>
        <w:tab/>
        <w:t>Avrami, M.</w:t>
      </w:r>
      <w:r w:rsidR="002E6FA0" w:rsidRPr="002E6FA0">
        <w:rPr>
          <w:rFonts w:cs="Times"/>
          <w:noProof/>
        </w:rPr>
        <w:t xml:space="preserve"> </w:t>
      </w:r>
      <w:r w:rsidR="00582193">
        <w:rPr>
          <w:rFonts w:cs="Times"/>
          <w:i/>
          <w:noProof/>
        </w:rPr>
        <w:t xml:space="preserve">J. </w:t>
      </w:r>
      <w:r w:rsidR="002E6FA0" w:rsidRPr="002E6FA0">
        <w:rPr>
          <w:rFonts w:cs="Times"/>
          <w:i/>
          <w:noProof/>
        </w:rPr>
        <w:t>Chem</w:t>
      </w:r>
      <w:r w:rsidR="00582193">
        <w:rPr>
          <w:rFonts w:cs="Times"/>
          <w:i/>
          <w:noProof/>
        </w:rPr>
        <w:t>. Phy</w:t>
      </w:r>
      <w:r w:rsidR="002E6FA0" w:rsidRPr="002E6FA0">
        <w:rPr>
          <w:rFonts w:cs="Times"/>
          <w:i/>
          <w:noProof/>
        </w:rPr>
        <w:t>s</w:t>
      </w:r>
      <w:r w:rsidR="00582193">
        <w:rPr>
          <w:rFonts w:cs="Times"/>
          <w:i/>
          <w:noProof/>
        </w:rPr>
        <w:t>.</w:t>
      </w:r>
      <w:r w:rsidR="002E6FA0" w:rsidRPr="002E6FA0">
        <w:rPr>
          <w:rFonts w:cs="Times"/>
          <w:i/>
          <w:noProof/>
        </w:rPr>
        <w:t xml:space="preserve"> </w:t>
      </w:r>
      <w:r w:rsidR="002E6FA0" w:rsidRPr="002E6FA0">
        <w:rPr>
          <w:rFonts w:cs="Times"/>
          <w:b/>
          <w:noProof/>
        </w:rPr>
        <w:t>1939,</w:t>
      </w:r>
      <w:r w:rsidR="002E6FA0" w:rsidRPr="002E6FA0">
        <w:rPr>
          <w:rFonts w:cs="Times"/>
          <w:noProof/>
        </w:rPr>
        <w:t xml:space="preserve"> </w:t>
      </w:r>
      <w:r w:rsidR="002E6FA0" w:rsidRPr="002E6FA0">
        <w:rPr>
          <w:rFonts w:cs="Times"/>
          <w:i/>
          <w:noProof/>
        </w:rPr>
        <w:t>7</w:t>
      </w:r>
      <w:r w:rsidR="002E6FA0" w:rsidRPr="002E6FA0">
        <w:rPr>
          <w:rFonts w:cs="Times"/>
          <w:noProof/>
        </w:rPr>
        <w:t xml:space="preserve"> (12), 1103-1112.</w:t>
      </w:r>
      <w:bookmarkEnd w:id="48"/>
    </w:p>
    <w:p w14:paraId="0E09CD4A" w14:textId="77777777" w:rsidR="002E6FA0" w:rsidRPr="002E6FA0" w:rsidRDefault="002E6FA0" w:rsidP="002E6FA0">
      <w:pPr>
        <w:pStyle w:val="SNSynopsisTOC"/>
        <w:spacing w:line="240" w:lineRule="auto"/>
        <w:jc w:val="left"/>
        <w:rPr>
          <w:rFonts w:cs="Times"/>
          <w:noProof/>
        </w:rPr>
      </w:pPr>
      <w:bookmarkStart w:id="49" w:name="_ENREF_35"/>
      <w:r w:rsidRPr="002E6FA0">
        <w:rPr>
          <w:rFonts w:cs="Times"/>
          <w:noProof/>
        </w:rPr>
        <w:t>35.</w:t>
      </w:r>
      <w:r w:rsidRPr="002E6FA0">
        <w:rPr>
          <w:rFonts w:cs="Times"/>
          <w:noProof/>
        </w:rPr>
        <w:tab/>
        <w:t>Johannsmann, D. QCM Modelling. http://www.pc.tu-</w:t>
      </w:r>
      <w:r w:rsidR="00150AEF">
        <w:rPr>
          <w:rFonts w:cs="Times"/>
          <w:noProof/>
        </w:rPr>
        <w:t>c</w:t>
      </w:r>
      <w:r w:rsidRPr="002E6FA0">
        <w:rPr>
          <w:rFonts w:cs="Times"/>
          <w:noProof/>
        </w:rPr>
        <w:t>lausthal.de/en/research/johannsmann-group/qcm-modelling/.</w:t>
      </w:r>
      <w:bookmarkEnd w:id="49"/>
    </w:p>
    <w:p w14:paraId="29154B3A" w14:textId="77777777" w:rsidR="002E6FA0" w:rsidRDefault="002E6FA0" w:rsidP="002E6FA0">
      <w:pPr>
        <w:pStyle w:val="SNSynopsisTOC"/>
        <w:spacing w:line="240" w:lineRule="auto"/>
        <w:jc w:val="left"/>
        <w:rPr>
          <w:rFonts w:cs="Times"/>
          <w:noProof/>
        </w:rPr>
      </w:pPr>
    </w:p>
    <w:p w14:paraId="30F3C484" w14:textId="77777777" w:rsidR="009A69D2" w:rsidRDefault="009A69D2" w:rsidP="009A69D2">
      <w:pPr>
        <w:rPr>
          <w:b/>
        </w:rPr>
      </w:pPr>
      <w:r>
        <w:rPr>
          <w:b/>
        </w:rPr>
        <w:br w:type="page"/>
      </w:r>
    </w:p>
    <w:p w14:paraId="59FC525A" w14:textId="0F84F45D" w:rsidR="009A69D2" w:rsidRDefault="009A69D2" w:rsidP="004652BD">
      <w:r w:rsidRPr="000E0780">
        <w:rPr>
          <w:b/>
        </w:rPr>
        <w:lastRenderedPageBreak/>
        <w:t xml:space="preserve">For </w:t>
      </w:r>
      <w:r>
        <w:rPr>
          <w:b/>
        </w:rPr>
        <w:t>TOC</w:t>
      </w:r>
      <w:r w:rsidRPr="000E0780">
        <w:rPr>
          <w:b/>
        </w:rPr>
        <w:t xml:space="preserve"> Only</w:t>
      </w:r>
      <w:r>
        <w:rPr>
          <w:noProof/>
        </w:rPr>
        <w:t xml:space="preserve"> </w:t>
      </w:r>
    </w:p>
    <w:p w14:paraId="3FF02C73" w14:textId="2ECE0972" w:rsidR="007F4616" w:rsidRDefault="00571994" w:rsidP="000B5610">
      <w:pPr>
        <w:pStyle w:val="SNSynopsisTOC"/>
        <w:spacing w:after="240"/>
        <w:jc w:val="left"/>
      </w:pPr>
      <w:r>
        <w:rPr>
          <w:noProof/>
        </w:rPr>
        <w:drawing>
          <wp:inline distT="0" distB="0" distL="0" distR="0" wp14:anchorId="54CCF876" wp14:editId="70A8A3E9">
            <wp:extent cx="2914984" cy="1691999"/>
            <wp:effectExtent l="0" t="0" r="6350" b="10160"/>
            <wp:docPr id="7190" name="Picture 7190" descr="Macintosh HD:Users:jerryheng:Documents:Imperial College - 1 March 2015:Presentation:J-Papers:TL - QCM Nucleation:March 2016:TOC QCM Pa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rryheng:Documents:Imperial College - 1 March 2015:Presentation:J-Papers:TL - QCM Nucleation:March 2016:TOC QCM Paper.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4984" cy="1691999"/>
                    </a:xfrm>
                    <a:prstGeom prst="rect">
                      <a:avLst/>
                    </a:prstGeom>
                    <a:noFill/>
                    <a:ln>
                      <a:noFill/>
                    </a:ln>
                  </pic:spPr>
                </pic:pic>
              </a:graphicData>
            </a:graphic>
          </wp:inline>
        </w:drawing>
      </w:r>
    </w:p>
    <w:sectPr w:rsidR="007F4616" w:rsidSect="00716E41">
      <w:footerReference w:type="default" r:id="rId53"/>
      <w:pgSz w:w="12240" w:h="15840"/>
      <w:pgMar w:top="1440" w:right="1440" w:bottom="1440" w:left="1440" w:header="0" w:footer="0" w:gutter="0"/>
      <w:pgNumType w:start="1"/>
      <w:cols w:space="475"/>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98D45" w14:textId="77777777" w:rsidR="002D54A7" w:rsidRDefault="002D54A7">
      <w:r>
        <w:separator/>
      </w:r>
    </w:p>
  </w:endnote>
  <w:endnote w:type="continuationSeparator" w:id="0">
    <w:p w14:paraId="022C2A13" w14:textId="77777777" w:rsidR="002D54A7" w:rsidRDefault="002D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AF5D3" w14:textId="77777777" w:rsidR="002D54A7" w:rsidRDefault="002D5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459343" w14:textId="77777777" w:rsidR="002D54A7" w:rsidRDefault="002D54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34157" w14:textId="77777777" w:rsidR="002D54A7" w:rsidRDefault="002D5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4E5">
      <w:rPr>
        <w:rStyle w:val="PageNumber"/>
        <w:noProof/>
      </w:rPr>
      <w:t>16</w:t>
    </w:r>
    <w:r>
      <w:rPr>
        <w:rStyle w:val="PageNumber"/>
      </w:rPr>
      <w:fldChar w:fldCharType="end"/>
    </w:r>
  </w:p>
  <w:p w14:paraId="03DE908F" w14:textId="77777777" w:rsidR="002D54A7" w:rsidRDefault="002D54A7">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68A82" w14:textId="77777777" w:rsidR="002D54A7" w:rsidRDefault="002D54A7">
    <w:pPr>
      <w:pStyle w:val="Footer"/>
      <w:jc w:val="right"/>
    </w:pPr>
    <w:r>
      <w:t>S-</w:t>
    </w:r>
    <w:sdt>
      <w:sdtPr>
        <w:id w:val="16103875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76B4">
          <w:rPr>
            <w:noProof/>
          </w:rPr>
          <w:t>2</w:t>
        </w:r>
        <w:r>
          <w:rPr>
            <w:noProof/>
          </w:rPr>
          <w:fldChar w:fldCharType="end"/>
        </w:r>
      </w:sdtContent>
    </w:sdt>
  </w:p>
  <w:p w14:paraId="734C762A" w14:textId="77777777" w:rsidR="002D54A7" w:rsidRDefault="002D54A7">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79FAF" w14:textId="77777777" w:rsidR="002D54A7" w:rsidRDefault="002D54A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6D221" w14:textId="77777777" w:rsidR="002D54A7" w:rsidRDefault="002D54A7">
      <w:r>
        <w:separator/>
      </w:r>
    </w:p>
  </w:footnote>
  <w:footnote w:type="continuationSeparator" w:id="0">
    <w:p w14:paraId="5B32DD73" w14:textId="77777777" w:rsidR="002D54A7" w:rsidRDefault="002D54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23E9D" w14:textId="77777777" w:rsidR="002D54A7" w:rsidRDefault="002D54A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39D"/>
    <w:multiLevelType w:val="hybridMultilevel"/>
    <w:tmpl w:val="745C6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DE0558"/>
    <w:multiLevelType w:val="hybridMultilevel"/>
    <w:tmpl w:val="DFF67CEE"/>
    <w:lvl w:ilvl="0" w:tplc="E2B25D7C">
      <w:start w:val="1"/>
      <w:numFmt w:val="decimal"/>
      <w:lvlText w:val="(%1)"/>
      <w:lvlJc w:val="left"/>
      <w:pPr>
        <w:ind w:left="637" w:hanging="450"/>
      </w:pPr>
      <w:rPr>
        <w:rFonts w:hint="default"/>
      </w:rPr>
    </w:lvl>
    <w:lvl w:ilvl="1" w:tplc="08090019" w:tentative="1">
      <w:start w:val="1"/>
      <w:numFmt w:val="lowerLetter"/>
      <w:lvlText w:val="%2."/>
      <w:lvlJc w:val="left"/>
      <w:pPr>
        <w:ind w:left="1267" w:hanging="360"/>
      </w:pPr>
    </w:lvl>
    <w:lvl w:ilvl="2" w:tplc="0809001B" w:tentative="1">
      <w:start w:val="1"/>
      <w:numFmt w:val="lowerRoman"/>
      <w:lvlText w:val="%3."/>
      <w:lvlJc w:val="right"/>
      <w:pPr>
        <w:ind w:left="1987" w:hanging="180"/>
      </w:pPr>
    </w:lvl>
    <w:lvl w:ilvl="3" w:tplc="0809000F" w:tentative="1">
      <w:start w:val="1"/>
      <w:numFmt w:val="decimal"/>
      <w:lvlText w:val="%4."/>
      <w:lvlJc w:val="left"/>
      <w:pPr>
        <w:ind w:left="2707" w:hanging="360"/>
      </w:pPr>
    </w:lvl>
    <w:lvl w:ilvl="4" w:tplc="08090019" w:tentative="1">
      <w:start w:val="1"/>
      <w:numFmt w:val="lowerLetter"/>
      <w:lvlText w:val="%5."/>
      <w:lvlJc w:val="left"/>
      <w:pPr>
        <w:ind w:left="3427" w:hanging="360"/>
      </w:pPr>
    </w:lvl>
    <w:lvl w:ilvl="5" w:tplc="0809001B" w:tentative="1">
      <w:start w:val="1"/>
      <w:numFmt w:val="lowerRoman"/>
      <w:lvlText w:val="%6."/>
      <w:lvlJc w:val="right"/>
      <w:pPr>
        <w:ind w:left="4147" w:hanging="180"/>
      </w:pPr>
    </w:lvl>
    <w:lvl w:ilvl="6" w:tplc="0809000F" w:tentative="1">
      <w:start w:val="1"/>
      <w:numFmt w:val="decimal"/>
      <w:lvlText w:val="%7."/>
      <w:lvlJc w:val="left"/>
      <w:pPr>
        <w:ind w:left="4867" w:hanging="360"/>
      </w:pPr>
    </w:lvl>
    <w:lvl w:ilvl="7" w:tplc="08090019" w:tentative="1">
      <w:start w:val="1"/>
      <w:numFmt w:val="lowerLetter"/>
      <w:lvlText w:val="%8."/>
      <w:lvlJc w:val="left"/>
      <w:pPr>
        <w:ind w:left="5587" w:hanging="360"/>
      </w:pPr>
    </w:lvl>
    <w:lvl w:ilvl="8" w:tplc="0809001B" w:tentative="1">
      <w:start w:val="1"/>
      <w:numFmt w:val="lowerRoman"/>
      <w:lvlText w:val="%9."/>
      <w:lvlJc w:val="right"/>
      <w:pPr>
        <w:ind w:left="6307" w:hanging="180"/>
      </w:pPr>
    </w:lvl>
  </w:abstractNum>
  <w:abstractNum w:abstractNumId="2">
    <w:nsid w:val="1A0B4F50"/>
    <w:multiLevelType w:val="hybridMultilevel"/>
    <w:tmpl w:val="E06E5674"/>
    <w:lvl w:ilvl="0" w:tplc="44CA5D72">
      <w:start w:val="1"/>
      <w:numFmt w:val="decimal"/>
      <w:lvlText w:val="%1."/>
      <w:lvlJc w:val="left"/>
      <w:pPr>
        <w:ind w:left="824" w:hanging="450"/>
      </w:pPr>
      <w:rPr>
        <w:rFonts w:hint="default"/>
      </w:r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3">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370210A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nsid w:val="3BAD19DA"/>
    <w:multiLevelType w:val="multilevel"/>
    <w:tmpl w:val="2C901CE6"/>
    <w:lvl w:ilvl="0">
      <w:start w:val="1"/>
      <w:numFmt w:val="none"/>
      <w:lvlText w:val="S."/>
      <w:lvlJc w:val="left"/>
      <w:pPr>
        <w:ind w:left="360" w:hanging="360"/>
      </w:pPr>
      <w:rPr>
        <w:rFonts w:hint="default"/>
      </w:rPr>
    </w:lvl>
    <w:lvl w:ilvl="1">
      <w:start w:val="1"/>
      <w:numFmt w:val="decimal"/>
      <w:lvlText w:val="%1S.%2."/>
      <w:lvlJc w:val="left"/>
      <w:pPr>
        <w:ind w:left="792" w:hanging="432"/>
      </w:pPr>
      <w:rPr>
        <w:rFonts w:hint="default"/>
      </w:rPr>
    </w:lvl>
    <w:lvl w:ilvl="2">
      <w:start w:val="1"/>
      <w:numFmt w:val="decimal"/>
      <w:lvlText w:val="%1S.%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2">
    <w:nsid w:val="3FAA0C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11"/>
  </w:num>
  <w:num w:numId="2">
    <w:abstractNumId w:val="8"/>
  </w:num>
  <w:num w:numId="3">
    <w:abstractNumId w:val="13"/>
  </w:num>
  <w:num w:numId="4">
    <w:abstractNumId w:val="9"/>
  </w:num>
  <w:num w:numId="5">
    <w:abstractNumId w:val="6"/>
  </w:num>
  <w:num w:numId="6">
    <w:abstractNumId w:val="5"/>
  </w:num>
  <w:num w:numId="7">
    <w:abstractNumId w:val="4"/>
  </w:num>
  <w:num w:numId="8">
    <w:abstractNumId w:val="3"/>
  </w:num>
  <w:num w:numId="9">
    <w:abstractNumId w:val="7"/>
  </w:num>
  <w:num w:numId="10">
    <w:abstractNumId w:val="1"/>
  </w:num>
  <w:num w:numId="11">
    <w:abstractNumId w:val="2"/>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wva0p9yztftwef0t25vxwqpx225ts9tarv&quot;&gt;Thesis References&lt;record-ids&gt;&lt;item&gt;44&lt;/item&gt;&lt;item&gt;55&lt;/item&gt;&lt;item&gt;65&lt;/item&gt;&lt;item&gt;111&lt;/item&gt;&lt;item&gt;116&lt;/item&gt;&lt;item&gt;118&lt;/item&gt;&lt;item&gt;119&lt;/item&gt;&lt;item&gt;121&lt;/item&gt;&lt;item&gt;123&lt;/item&gt;&lt;item&gt;124&lt;/item&gt;&lt;item&gt;125&lt;/item&gt;&lt;item&gt;127&lt;/item&gt;&lt;item&gt;128&lt;/item&gt;&lt;item&gt;129&lt;/item&gt;&lt;item&gt;130&lt;/item&gt;&lt;item&gt;131&lt;/item&gt;&lt;item&gt;132&lt;/item&gt;&lt;item&gt;238&lt;/item&gt;&lt;item&gt;239&lt;/item&gt;&lt;item&gt;260&lt;/item&gt;&lt;/record-ids&gt;&lt;/item&gt;&lt;/Libraries&gt;"/>
  </w:docVars>
  <w:rsids>
    <w:rsidRoot w:val="0059408D"/>
    <w:rsid w:val="000021C5"/>
    <w:rsid w:val="0000394A"/>
    <w:rsid w:val="00006BCE"/>
    <w:rsid w:val="00007B5B"/>
    <w:rsid w:val="0001076B"/>
    <w:rsid w:val="000109D5"/>
    <w:rsid w:val="00012529"/>
    <w:rsid w:val="00015ADC"/>
    <w:rsid w:val="00015F3A"/>
    <w:rsid w:val="00015F3E"/>
    <w:rsid w:val="00021137"/>
    <w:rsid w:val="000251BA"/>
    <w:rsid w:val="00026951"/>
    <w:rsid w:val="00027AFE"/>
    <w:rsid w:val="000340EB"/>
    <w:rsid w:val="00034F42"/>
    <w:rsid w:val="00041703"/>
    <w:rsid w:val="00043336"/>
    <w:rsid w:val="0004401C"/>
    <w:rsid w:val="0004450F"/>
    <w:rsid w:val="0005129D"/>
    <w:rsid w:val="00052580"/>
    <w:rsid w:val="000530B6"/>
    <w:rsid w:val="000550E8"/>
    <w:rsid w:val="0005660F"/>
    <w:rsid w:val="0006199A"/>
    <w:rsid w:val="0006518D"/>
    <w:rsid w:val="0006698C"/>
    <w:rsid w:val="000702AD"/>
    <w:rsid w:val="00070D6A"/>
    <w:rsid w:val="00076E4A"/>
    <w:rsid w:val="0008356C"/>
    <w:rsid w:val="000860A3"/>
    <w:rsid w:val="00090B02"/>
    <w:rsid w:val="00093A9F"/>
    <w:rsid w:val="00094672"/>
    <w:rsid w:val="000965B8"/>
    <w:rsid w:val="0009790A"/>
    <w:rsid w:val="000A00F9"/>
    <w:rsid w:val="000A77CB"/>
    <w:rsid w:val="000B0E88"/>
    <w:rsid w:val="000B17E2"/>
    <w:rsid w:val="000B5610"/>
    <w:rsid w:val="000B56A1"/>
    <w:rsid w:val="000B57A5"/>
    <w:rsid w:val="000C05CC"/>
    <w:rsid w:val="000C21CF"/>
    <w:rsid w:val="000C35B1"/>
    <w:rsid w:val="000C4D1F"/>
    <w:rsid w:val="000C7800"/>
    <w:rsid w:val="000D2121"/>
    <w:rsid w:val="000D6A28"/>
    <w:rsid w:val="000E191D"/>
    <w:rsid w:val="000F1DD1"/>
    <w:rsid w:val="000F7DC5"/>
    <w:rsid w:val="00113465"/>
    <w:rsid w:val="001139AB"/>
    <w:rsid w:val="00113D7E"/>
    <w:rsid w:val="00114EA7"/>
    <w:rsid w:val="001155FD"/>
    <w:rsid w:val="00116918"/>
    <w:rsid w:val="001170D2"/>
    <w:rsid w:val="001230CE"/>
    <w:rsid w:val="00124E34"/>
    <w:rsid w:val="0012573F"/>
    <w:rsid w:val="00132A68"/>
    <w:rsid w:val="00133910"/>
    <w:rsid w:val="00136771"/>
    <w:rsid w:val="001379DD"/>
    <w:rsid w:val="00142BD3"/>
    <w:rsid w:val="00144902"/>
    <w:rsid w:val="00147BC0"/>
    <w:rsid w:val="001504A4"/>
    <w:rsid w:val="00150AEF"/>
    <w:rsid w:val="0015278A"/>
    <w:rsid w:val="001533BB"/>
    <w:rsid w:val="00154CAF"/>
    <w:rsid w:val="00156899"/>
    <w:rsid w:val="001577DD"/>
    <w:rsid w:val="00161B83"/>
    <w:rsid w:val="00165340"/>
    <w:rsid w:val="00166387"/>
    <w:rsid w:val="001747F9"/>
    <w:rsid w:val="00177945"/>
    <w:rsid w:val="001844E4"/>
    <w:rsid w:val="00185270"/>
    <w:rsid w:val="001903F4"/>
    <w:rsid w:val="001908A6"/>
    <w:rsid w:val="00191CA2"/>
    <w:rsid w:val="00194484"/>
    <w:rsid w:val="00195ACA"/>
    <w:rsid w:val="00195E60"/>
    <w:rsid w:val="0019615E"/>
    <w:rsid w:val="001A1F28"/>
    <w:rsid w:val="001A7A90"/>
    <w:rsid w:val="001B24E5"/>
    <w:rsid w:val="001B5E93"/>
    <w:rsid w:val="001B6741"/>
    <w:rsid w:val="001C039D"/>
    <w:rsid w:val="001C03AA"/>
    <w:rsid w:val="001C3CAE"/>
    <w:rsid w:val="001C67C0"/>
    <w:rsid w:val="001D0538"/>
    <w:rsid w:val="001D1422"/>
    <w:rsid w:val="001D5208"/>
    <w:rsid w:val="001E1610"/>
    <w:rsid w:val="001E4017"/>
    <w:rsid w:val="001E48F5"/>
    <w:rsid w:val="001E797C"/>
    <w:rsid w:val="001F08F1"/>
    <w:rsid w:val="001F1A39"/>
    <w:rsid w:val="0020033C"/>
    <w:rsid w:val="00201FF6"/>
    <w:rsid w:val="00202A59"/>
    <w:rsid w:val="002107AD"/>
    <w:rsid w:val="00212B1D"/>
    <w:rsid w:val="00220597"/>
    <w:rsid w:val="00222553"/>
    <w:rsid w:val="002226AF"/>
    <w:rsid w:val="00222AB9"/>
    <w:rsid w:val="00223259"/>
    <w:rsid w:val="0022395E"/>
    <w:rsid w:val="00231211"/>
    <w:rsid w:val="002347FC"/>
    <w:rsid w:val="0024001D"/>
    <w:rsid w:val="00244E6D"/>
    <w:rsid w:val="00246A97"/>
    <w:rsid w:val="00253651"/>
    <w:rsid w:val="00260752"/>
    <w:rsid w:val="00261B88"/>
    <w:rsid w:val="00263B40"/>
    <w:rsid w:val="00265FBA"/>
    <w:rsid w:val="002708C9"/>
    <w:rsid w:val="00271A02"/>
    <w:rsid w:val="00271A0D"/>
    <w:rsid w:val="002750CA"/>
    <w:rsid w:val="002839A7"/>
    <w:rsid w:val="002843AE"/>
    <w:rsid w:val="00285218"/>
    <w:rsid w:val="00295600"/>
    <w:rsid w:val="002A1309"/>
    <w:rsid w:val="002A4F7C"/>
    <w:rsid w:val="002A566F"/>
    <w:rsid w:val="002A7493"/>
    <w:rsid w:val="002B1A98"/>
    <w:rsid w:val="002B3A92"/>
    <w:rsid w:val="002B5014"/>
    <w:rsid w:val="002B600F"/>
    <w:rsid w:val="002B6E26"/>
    <w:rsid w:val="002C2292"/>
    <w:rsid w:val="002C2747"/>
    <w:rsid w:val="002C3431"/>
    <w:rsid w:val="002C3483"/>
    <w:rsid w:val="002C4C91"/>
    <w:rsid w:val="002C6C97"/>
    <w:rsid w:val="002C78B3"/>
    <w:rsid w:val="002D004E"/>
    <w:rsid w:val="002D1BE7"/>
    <w:rsid w:val="002D54A7"/>
    <w:rsid w:val="002D5AF6"/>
    <w:rsid w:val="002D5C2E"/>
    <w:rsid w:val="002E24BD"/>
    <w:rsid w:val="002E284E"/>
    <w:rsid w:val="002E28FA"/>
    <w:rsid w:val="002E4F76"/>
    <w:rsid w:val="002E6FA0"/>
    <w:rsid w:val="002F3006"/>
    <w:rsid w:val="002F5AD1"/>
    <w:rsid w:val="002F5AE2"/>
    <w:rsid w:val="002F66A4"/>
    <w:rsid w:val="002F7D30"/>
    <w:rsid w:val="00300924"/>
    <w:rsid w:val="003010ED"/>
    <w:rsid w:val="00301E1D"/>
    <w:rsid w:val="00302AA7"/>
    <w:rsid w:val="00305DF2"/>
    <w:rsid w:val="00311965"/>
    <w:rsid w:val="003212DB"/>
    <w:rsid w:val="0032282C"/>
    <w:rsid w:val="00324128"/>
    <w:rsid w:val="00326BEF"/>
    <w:rsid w:val="0032703A"/>
    <w:rsid w:val="0033489E"/>
    <w:rsid w:val="00344C6F"/>
    <w:rsid w:val="00345276"/>
    <w:rsid w:val="0035617A"/>
    <w:rsid w:val="003562E4"/>
    <w:rsid w:val="00356E84"/>
    <w:rsid w:val="00357057"/>
    <w:rsid w:val="00363745"/>
    <w:rsid w:val="003664E9"/>
    <w:rsid w:val="003679A1"/>
    <w:rsid w:val="00372E07"/>
    <w:rsid w:val="00372F19"/>
    <w:rsid w:val="00373840"/>
    <w:rsid w:val="003750DD"/>
    <w:rsid w:val="00393178"/>
    <w:rsid w:val="00393258"/>
    <w:rsid w:val="00393971"/>
    <w:rsid w:val="00395377"/>
    <w:rsid w:val="00396596"/>
    <w:rsid w:val="003A15C2"/>
    <w:rsid w:val="003A66D1"/>
    <w:rsid w:val="003B3311"/>
    <w:rsid w:val="003B4AF3"/>
    <w:rsid w:val="003C1BC5"/>
    <w:rsid w:val="003C5974"/>
    <w:rsid w:val="003D2D4A"/>
    <w:rsid w:val="003D3C57"/>
    <w:rsid w:val="003D5A21"/>
    <w:rsid w:val="003E0CDE"/>
    <w:rsid w:val="003E1E36"/>
    <w:rsid w:val="003E1F76"/>
    <w:rsid w:val="003F587D"/>
    <w:rsid w:val="0040323A"/>
    <w:rsid w:val="004109F7"/>
    <w:rsid w:val="004113F9"/>
    <w:rsid w:val="0041244A"/>
    <w:rsid w:val="00412492"/>
    <w:rsid w:val="00412FC3"/>
    <w:rsid w:val="00423A3D"/>
    <w:rsid w:val="004258D5"/>
    <w:rsid w:val="004270D2"/>
    <w:rsid w:val="00430FEF"/>
    <w:rsid w:val="00434E93"/>
    <w:rsid w:val="0043586B"/>
    <w:rsid w:val="00435949"/>
    <w:rsid w:val="00437B25"/>
    <w:rsid w:val="004408C0"/>
    <w:rsid w:val="00443124"/>
    <w:rsid w:val="00444B96"/>
    <w:rsid w:val="00450184"/>
    <w:rsid w:val="00456675"/>
    <w:rsid w:val="004652BD"/>
    <w:rsid w:val="00465DB3"/>
    <w:rsid w:val="0046671B"/>
    <w:rsid w:val="00467CB4"/>
    <w:rsid w:val="00470B9D"/>
    <w:rsid w:val="00471708"/>
    <w:rsid w:val="00471AEB"/>
    <w:rsid w:val="004738C0"/>
    <w:rsid w:val="00475FD2"/>
    <w:rsid w:val="004805EC"/>
    <w:rsid w:val="00480D08"/>
    <w:rsid w:val="004837F0"/>
    <w:rsid w:val="00483DAB"/>
    <w:rsid w:val="0048584B"/>
    <w:rsid w:val="004866AD"/>
    <w:rsid w:val="00487202"/>
    <w:rsid w:val="00490EE8"/>
    <w:rsid w:val="00492DC7"/>
    <w:rsid w:val="00496A61"/>
    <w:rsid w:val="004A02B4"/>
    <w:rsid w:val="004A1354"/>
    <w:rsid w:val="004A2D0E"/>
    <w:rsid w:val="004B15F3"/>
    <w:rsid w:val="004B3D23"/>
    <w:rsid w:val="004B5DCE"/>
    <w:rsid w:val="004B6BDC"/>
    <w:rsid w:val="004B6ECE"/>
    <w:rsid w:val="004B6EE0"/>
    <w:rsid w:val="004C1CD9"/>
    <w:rsid w:val="004C54C0"/>
    <w:rsid w:val="004C5EA4"/>
    <w:rsid w:val="004C6477"/>
    <w:rsid w:val="004C6A8B"/>
    <w:rsid w:val="004C748A"/>
    <w:rsid w:val="004C7F16"/>
    <w:rsid w:val="004D18C3"/>
    <w:rsid w:val="004D1956"/>
    <w:rsid w:val="004D61BD"/>
    <w:rsid w:val="004D6991"/>
    <w:rsid w:val="004E2AFB"/>
    <w:rsid w:val="004E439A"/>
    <w:rsid w:val="004E4999"/>
    <w:rsid w:val="004E4CA8"/>
    <w:rsid w:val="004E4D2E"/>
    <w:rsid w:val="004E65A0"/>
    <w:rsid w:val="004E7185"/>
    <w:rsid w:val="004F0DE7"/>
    <w:rsid w:val="004F183D"/>
    <w:rsid w:val="004F3CD7"/>
    <w:rsid w:val="004F5505"/>
    <w:rsid w:val="004F7A73"/>
    <w:rsid w:val="00500054"/>
    <w:rsid w:val="0051431D"/>
    <w:rsid w:val="00515DDF"/>
    <w:rsid w:val="00516966"/>
    <w:rsid w:val="00521D08"/>
    <w:rsid w:val="00524E64"/>
    <w:rsid w:val="00532E7D"/>
    <w:rsid w:val="00535F72"/>
    <w:rsid w:val="0053705A"/>
    <w:rsid w:val="00537699"/>
    <w:rsid w:val="0055220B"/>
    <w:rsid w:val="00553266"/>
    <w:rsid w:val="00554CE7"/>
    <w:rsid w:val="005553EF"/>
    <w:rsid w:val="00556122"/>
    <w:rsid w:val="00556D05"/>
    <w:rsid w:val="00557247"/>
    <w:rsid w:val="00564EEA"/>
    <w:rsid w:val="00571994"/>
    <w:rsid w:val="00571EB8"/>
    <w:rsid w:val="005726E8"/>
    <w:rsid w:val="005748F5"/>
    <w:rsid w:val="0058099F"/>
    <w:rsid w:val="00581B51"/>
    <w:rsid w:val="00582193"/>
    <w:rsid w:val="0058375D"/>
    <w:rsid w:val="00585C3D"/>
    <w:rsid w:val="00587F3C"/>
    <w:rsid w:val="00590370"/>
    <w:rsid w:val="00591A57"/>
    <w:rsid w:val="0059304B"/>
    <w:rsid w:val="00593985"/>
    <w:rsid w:val="00593CD2"/>
    <w:rsid w:val="0059408D"/>
    <w:rsid w:val="005945DB"/>
    <w:rsid w:val="0059631A"/>
    <w:rsid w:val="0059659A"/>
    <w:rsid w:val="005A0308"/>
    <w:rsid w:val="005A481F"/>
    <w:rsid w:val="005A4DF9"/>
    <w:rsid w:val="005A61BD"/>
    <w:rsid w:val="005A6AAA"/>
    <w:rsid w:val="005A7E7A"/>
    <w:rsid w:val="005B2A1A"/>
    <w:rsid w:val="005B4DEF"/>
    <w:rsid w:val="005B5223"/>
    <w:rsid w:val="005C2895"/>
    <w:rsid w:val="005C4F60"/>
    <w:rsid w:val="005C5E03"/>
    <w:rsid w:val="005C6425"/>
    <w:rsid w:val="005D0C10"/>
    <w:rsid w:val="005D65E9"/>
    <w:rsid w:val="005D7742"/>
    <w:rsid w:val="005E3496"/>
    <w:rsid w:val="005E34F6"/>
    <w:rsid w:val="005E550B"/>
    <w:rsid w:val="005E70D9"/>
    <w:rsid w:val="005E7E75"/>
    <w:rsid w:val="005F0451"/>
    <w:rsid w:val="005F0E1E"/>
    <w:rsid w:val="005F13CE"/>
    <w:rsid w:val="005F1FCD"/>
    <w:rsid w:val="005F4C8F"/>
    <w:rsid w:val="005F54DB"/>
    <w:rsid w:val="005F6BBF"/>
    <w:rsid w:val="006003A2"/>
    <w:rsid w:val="00603896"/>
    <w:rsid w:val="00604F1E"/>
    <w:rsid w:val="00610B87"/>
    <w:rsid w:val="00616188"/>
    <w:rsid w:val="00621247"/>
    <w:rsid w:val="00622615"/>
    <w:rsid w:val="0062310C"/>
    <w:rsid w:val="0062335F"/>
    <w:rsid w:val="00625FB5"/>
    <w:rsid w:val="00633FE3"/>
    <w:rsid w:val="0063592E"/>
    <w:rsid w:val="006400BF"/>
    <w:rsid w:val="00643C69"/>
    <w:rsid w:val="006455A5"/>
    <w:rsid w:val="0064602E"/>
    <w:rsid w:val="00647083"/>
    <w:rsid w:val="006535FC"/>
    <w:rsid w:val="00656694"/>
    <w:rsid w:val="00662DA0"/>
    <w:rsid w:val="00663944"/>
    <w:rsid w:val="00663D8C"/>
    <w:rsid w:val="0066471B"/>
    <w:rsid w:val="00665D1E"/>
    <w:rsid w:val="00665EDF"/>
    <w:rsid w:val="00672AFF"/>
    <w:rsid w:val="0067360A"/>
    <w:rsid w:val="00676518"/>
    <w:rsid w:val="006826C1"/>
    <w:rsid w:val="00683CEE"/>
    <w:rsid w:val="00686ABE"/>
    <w:rsid w:val="006906E0"/>
    <w:rsid w:val="00691893"/>
    <w:rsid w:val="006923B7"/>
    <w:rsid w:val="00696690"/>
    <w:rsid w:val="006A040C"/>
    <w:rsid w:val="006A0474"/>
    <w:rsid w:val="006A1198"/>
    <w:rsid w:val="006A1597"/>
    <w:rsid w:val="006A1A2B"/>
    <w:rsid w:val="006A5EE0"/>
    <w:rsid w:val="006B0B23"/>
    <w:rsid w:val="006B2581"/>
    <w:rsid w:val="006B3286"/>
    <w:rsid w:val="006B3933"/>
    <w:rsid w:val="006B3D3F"/>
    <w:rsid w:val="006C0045"/>
    <w:rsid w:val="006C421D"/>
    <w:rsid w:val="006C75F2"/>
    <w:rsid w:val="006D3F0C"/>
    <w:rsid w:val="006D43E7"/>
    <w:rsid w:val="006D74E3"/>
    <w:rsid w:val="006E230B"/>
    <w:rsid w:val="006E3049"/>
    <w:rsid w:val="006E3264"/>
    <w:rsid w:val="006F5E90"/>
    <w:rsid w:val="006F7004"/>
    <w:rsid w:val="00700BCC"/>
    <w:rsid w:val="007016F9"/>
    <w:rsid w:val="00702454"/>
    <w:rsid w:val="0071424E"/>
    <w:rsid w:val="00716E41"/>
    <w:rsid w:val="00722ECE"/>
    <w:rsid w:val="0073107F"/>
    <w:rsid w:val="00731406"/>
    <w:rsid w:val="0073184B"/>
    <w:rsid w:val="007353A2"/>
    <w:rsid w:val="00735A33"/>
    <w:rsid w:val="00740910"/>
    <w:rsid w:val="0074123E"/>
    <w:rsid w:val="00742510"/>
    <w:rsid w:val="0075014F"/>
    <w:rsid w:val="00754C12"/>
    <w:rsid w:val="00755929"/>
    <w:rsid w:val="00757E41"/>
    <w:rsid w:val="007606C9"/>
    <w:rsid w:val="007629D3"/>
    <w:rsid w:val="00765365"/>
    <w:rsid w:val="00766AE8"/>
    <w:rsid w:val="007707C3"/>
    <w:rsid w:val="00775D5F"/>
    <w:rsid w:val="0077691D"/>
    <w:rsid w:val="00777D23"/>
    <w:rsid w:val="00783FA7"/>
    <w:rsid w:val="007901CF"/>
    <w:rsid w:val="007927C7"/>
    <w:rsid w:val="00794616"/>
    <w:rsid w:val="00797FA9"/>
    <w:rsid w:val="007A3C2A"/>
    <w:rsid w:val="007B20DD"/>
    <w:rsid w:val="007C0A92"/>
    <w:rsid w:val="007C13A7"/>
    <w:rsid w:val="007C4DC2"/>
    <w:rsid w:val="007C683F"/>
    <w:rsid w:val="007C793D"/>
    <w:rsid w:val="007D1178"/>
    <w:rsid w:val="007D23AB"/>
    <w:rsid w:val="007D3A34"/>
    <w:rsid w:val="007D4030"/>
    <w:rsid w:val="007D4CD6"/>
    <w:rsid w:val="007D56E0"/>
    <w:rsid w:val="007D74A7"/>
    <w:rsid w:val="007E3C83"/>
    <w:rsid w:val="007F4616"/>
    <w:rsid w:val="007F4B41"/>
    <w:rsid w:val="007F6F94"/>
    <w:rsid w:val="00801520"/>
    <w:rsid w:val="00801C16"/>
    <w:rsid w:val="008047DE"/>
    <w:rsid w:val="00804C3B"/>
    <w:rsid w:val="00806A97"/>
    <w:rsid w:val="00814B74"/>
    <w:rsid w:val="00831155"/>
    <w:rsid w:val="00833127"/>
    <w:rsid w:val="008356CD"/>
    <w:rsid w:val="00837268"/>
    <w:rsid w:val="00837B6D"/>
    <w:rsid w:val="008430FF"/>
    <w:rsid w:val="0084400D"/>
    <w:rsid w:val="00847021"/>
    <w:rsid w:val="00853477"/>
    <w:rsid w:val="00856EAA"/>
    <w:rsid w:val="008572FD"/>
    <w:rsid w:val="00864E2D"/>
    <w:rsid w:val="008655C0"/>
    <w:rsid w:val="008665D1"/>
    <w:rsid w:val="00873279"/>
    <w:rsid w:val="00876B74"/>
    <w:rsid w:val="00876F07"/>
    <w:rsid w:val="008806E6"/>
    <w:rsid w:val="0088213B"/>
    <w:rsid w:val="00885BAE"/>
    <w:rsid w:val="008862C4"/>
    <w:rsid w:val="00887C8E"/>
    <w:rsid w:val="00887FEC"/>
    <w:rsid w:val="00890EC5"/>
    <w:rsid w:val="00895701"/>
    <w:rsid w:val="0089711A"/>
    <w:rsid w:val="008A5842"/>
    <w:rsid w:val="008A58FF"/>
    <w:rsid w:val="008B0AE9"/>
    <w:rsid w:val="008B5986"/>
    <w:rsid w:val="008B60F8"/>
    <w:rsid w:val="008B7E28"/>
    <w:rsid w:val="008C46D1"/>
    <w:rsid w:val="008C4C64"/>
    <w:rsid w:val="008C5AB7"/>
    <w:rsid w:val="008D0270"/>
    <w:rsid w:val="008D0564"/>
    <w:rsid w:val="008D08AC"/>
    <w:rsid w:val="008F1D77"/>
    <w:rsid w:val="008F2298"/>
    <w:rsid w:val="008F7190"/>
    <w:rsid w:val="0090168D"/>
    <w:rsid w:val="00907580"/>
    <w:rsid w:val="00911ED4"/>
    <w:rsid w:val="00912169"/>
    <w:rsid w:val="00917041"/>
    <w:rsid w:val="0092037A"/>
    <w:rsid w:val="009246AD"/>
    <w:rsid w:val="00924E6F"/>
    <w:rsid w:val="009250A2"/>
    <w:rsid w:val="009263F5"/>
    <w:rsid w:val="00930CFD"/>
    <w:rsid w:val="00934D45"/>
    <w:rsid w:val="0094564A"/>
    <w:rsid w:val="00946D35"/>
    <w:rsid w:val="00950C45"/>
    <w:rsid w:val="00953BA6"/>
    <w:rsid w:val="0095699E"/>
    <w:rsid w:val="00957D3F"/>
    <w:rsid w:val="009609FD"/>
    <w:rsid w:val="00961392"/>
    <w:rsid w:val="00961CEB"/>
    <w:rsid w:val="00970482"/>
    <w:rsid w:val="00971988"/>
    <w:rsid w:val="00975E34"/>
    <w:rsid w:val="00975EC7"/>
    <w:rsid w:val="009824F4"/>
    <w:rsid w:val="00991DF6"/>
    <w:rsid w:val="0099478E"/>
    <w:rsid w:val="00995439"/>
    <w:rsid w:val="009A1524"/>
    <w:rsid w:val="009A551E"/>
    <w:rsid w:val="009A69D2"/>
    <w:rsid w:val="009C1DC1"/>
    <w:rsid w:val="009C3DA0"/>
    <w:rsid w:val="009C556D"/>
    <w:rsid w:val="009C6F3F"/>
    <w:rsid w:val="009D14F2"/>
    <w:rsid w:val="009D21EB"/>
    <w:rsid w:val="009D223E"/>
    <w:rsid w:val="009D2309"/>
    <w:rsid w:val="009D3CF7"/>
    <w:rsid w:val="009D4001"/>
    <w:rsid w:val="009D6FA7"/>
    <w:rsid w:val="009E14DB"/>
    <w:rsid w:val="009F2E7E"/>
    <w:rsid w:val="009F6FE6"/>
    <w:rsid w:val="00A008B1"/>
    <w:rsid w:val="00A01A49"/>
    <w:rsid w:val="00A02D62"/>
    <w:rsid w:val="00A03632"/>
    <w:rsid w:val="00A04950"/>
    <w:rsid w:val="00A1024E"/>
    <w:rsid w:val="00A103AA"/>
    <w:rsid w:val="00A1410F"/>
    <w:rsid w:val="00A1498B"/>
    <w:rsid w:val="00A1557D"/>
    <w:rsid w:val="00A167D0"/>
    <w:rsid w:val="00A200B0"/>
    <w:rsid w:val="00A20EB5"/>
    <w:rsid w:val="00A220A7"/>
    <w:rsid w:val="00A23B95"/>
    <w:rsid w:val="00A32F6D"/>
    <w:rsid w:val="00A35C67"/>
    <w:rsid w:val="00A40900"/>
    <w:rsid w:val="00A60AF4"/>
    <w:rsid w:val="00A6125E"/>
    <w:rsid w:val="00A70049"/>
    <w:rsid w:val="00A71D4C"/>
    <w:rsid w:val="00A727F0"/>
    <w:rsid w:val="00A75C65"/>
    <w:rsid w:val="00A764CF"/>
    <w:rsid w:val="00A764EF"/>
    <w:rsid w:val="00A77163"/>
    <w:rsid w:val="00A775E0"/>
    <w:rsid w:val="00A83CE1"/>
    <w:rsid w:val="00A87A67"/>
    <w:rsid w:val="00A976B4"/>
    <w:rsid w:val="00AA75D6"/>
    <w:rsid w:val="00AA7796"/>
    <w:rsid w:val="00AB34C5"/>
    <w:rsid w:val="00AB56B9"/>
    <w:rsid w:val="00AB58F7"/>
    <w:rsid w:val="00AB7524"/>
    <w:rsid w:val="00AC762B"/>
    <w:rsid w:val="00AC7BA4"/>
    <w:rsid w:val="00AD41C2"/>
    <w:rsid w:val="00AE0396"/>
    <w:rsid w:val="00AE26AF"/>
    <w:rsid w:val="00AE4ACB"/>
    <w:rsid w:val="00AE7DA9"/>
    <w:rsid w:val="00AF1FF6"/>
    <w:rsid w:val="00AF4CEB"/>
    <w:rsid w:val="00AF7F6A"/>
    <w:rsid w:val="00B0527E"/>
    <w:rsid w:val="00B05A88"/>
    <w:rsid w:val="00B06297"/>
    <w:rsid w:val="00B10143"/>
    <w:rsid w:val="00B123B3"/>
    <w:rsid w:val="00B135AA"/>
    <w:rsid w:val="00B14632"/>
    <w:rsid w:val="00B17FD7"/>
    <w:rsid w:val="00B21194"/>
    <w:rsid w:val="00B22692"/>
    <w:rsid w:val="00B43FA8"/>
    <w:rsid w:val="00B44A27"/>
    <w:rsid w:val="00B464A8"/>
    <w:rsid w:val="00B46CAD"/>
    <w:rsid w:val="00B54284"/>
    <w:rsid w:val="00B5456C"/>
    <w:rsid w:val="00B55D25"/>
    <w:rsid w:val="00B6121F"/>
    <w:rsid w:val="00B6326E"/>
    <w:rsid w:val="00B64739"/>
    <w:rsid w:val="00B647C0"/>
    <w:rsid w:val="00B664EB"/>
    <w:rsid w:val="00B66E63"/>
    <w:rsid w:val="00B7044B"/>
    <w:rsid w:val="00B7199A"/>
    <w:rsid w:val="00B72EE8"/>
    <w:rsid w:val="00B750FD"/>
    <w:rsid w:val="00B75A47"/>
    <w:rsid w:val="00B7618D"/>
    <w:rsid w:val="00B81F3A"/>
    <w:rsid w:val="00B8494F"/>
    <w:rsid w:val="00B94E3F"/>
    <w:rsid w:val="00B958DB"/>
    <w:rsid w:val="00BA38AC"/>
    <w:rsid w:val="00BB2513"/>
    <w:rsid w:val="00BB31F4"/>
    <w:rsid w:val="00BD2C44"/>
    <w:rsid w:val="00BD62AC"/>
    <w:rsid w:val="00BE0B06"/>
    <w:rsid w:val="00BE10CB"/>
    <w:rsid w:val="00BE35E5"/>
    <w:rsid w:val="00BE44B6"/>
    <w:rsid w:val="00BE5F8D"/>
    <w:rsid w:val="00BE5FFF"/>
    <w:rsid w:val="00BE7A7F"/>
    <w:rsid w:val="00BE7D1B"/>
    <w:rsid w:val="00BF135F"/>
    <w:rsid w:val="00BF2F00"/>
    <w:rsid w:val="00BF36F1"/>
    <w:rsid w:val="00BF46EA"/>
    <w:rsid w:val="00BF5AD6"/>
    <w:rsid w:val="00C006E4"/>
    <w:rsid w:val="00C074BA"/>
    <w:rsid w:val="00C10EE0"/>
    <w:rsid w:val="00C12556"/>
    <w:rsid w:val="00C1408B"/>
    <w:rsid w:val="00C20A82"/>
    <w:rsid w:val="00C3210A"/>
    <w:rsid w:val="00C339D5"/>
    <w:rsid w:val="00C341B2"/>
    <w:rsid w:val="00C3553B"/>
    <w:rsid w:val="00C36009"/>
    <w:rsid w:val="00C36CC3"/>
    <w:rsid w:val="00C36FA3"/>
    <w:rsid w:val="00C37BDE"/>
    <w:rsid w:val="00C407D6"/>
    <w:rsid w:val="00C4150C"/>
    <w:rsid w:val="00C41C5E"/>
    <w:rsid w:val="00C44783"/>
    <w:rsid w:val="00C46ECA"/>
    <w:rsid w:val="00C500E9"/>
    <w:rsid w:val="00C55977"/>
    <w:rsid w:val="00C611E4"/>
    <w:rsid w:val="00C6170A"/>
    <w:rsid w:val="00C67DCD"/>
    <w:rsid w:val="00C70276"/>
    <w:rsid w:val="00C77C49"/>
    <w:rsid w:val="00C806F7"/>
    <w:rsid w:val="00C85AB5"/>
    <w:rsid w:val="00C870D2"/>
    <w:rsid w:val="00C87BAA"/>
    <w:rsid w:val="00C96CFA"/>
    <w:rsid w:val="00CA176F"/>
    <w:rsid w:val="00CA2A45"/>
    <w:rsid w:val="00CA32DA"/>
    <w:rsid w:val="00CA51BC"/>
    <w:rsid w:val="00CB5BFF"/>
    <w:rsid w:val="00CB67AE"/>
    <w:rsid w:val="00CC09BA"/>
    <w:rsid w:val="00CC22DF"/>
    <w:rsid w:val="00CC25CC"/>
    <w:rsid w:val="00CC3F4A"/>
    <w:rsid w:val="00CC50CC"/>
    <w:rsid w:val="00CC5787"/>
    <w:rsid w:val="00CD4A62"/>
    <w:rsid w:val="00CD52D3"/>
    <w:rsid w:val="00CD566B"/>
    <w:rsid w:val="00CD5AD7"/>
    <w:rsid w:val="00CD5AF2"/>
    <w:rsid w:val="00CD5C93"/>
    <w:rsid w:val="00CE7C9F"/>
    <w:rsid w:val="00CF2262"/>
    <w:rsid w:val="00CF31D5"/>
    <w:rsid w:val="00CF55E5"/>
    <w:rsid w:val="00D001E0"/>
    <w:rsid w:val="00D02A85"/>
    <w:rsid w:val="00D030C5"/>
    <w:rsid w:val="00D04C81"/>
    <w:rsid w:val="00D06AAB"/>
    <w:rsid w:val="00D10879"/>
    <w:rsid w:val="00D17B9E"/>
    <w:rsid w:val="00D20001"/>
    <w:rsid w:val="00D27D2E"/>
    <w:rsid w:val="00D31B3E"/>
    <w:rsid w:val="00D32E24"/>
    <w:rsid w:val="00D3393F"/>
    <w:rsid w:val="00D3499F"/>
    <w:rsid w:val="00D36086"/>
    <w:rsid w:val="00D4354F"/>
    <w:rsid w:val="00D44A91"/>
    <w:rsid w:val="00D46506"/>
    <w:rsid w:val="00D50540"/>
    <w:rsid w:val="00D506C4"/>
    <w:rsid w:val="00D50C00"/>
    <w:rsid w:val="00D5207C"/>
    <w:rsid w:val="00D53215"/>
    <w:rsid w:val="00D53306"/>
    <w:rsid w:val="00D54637"/>
    <w:rsid w:val="00D553BF"/>
    <w:rsid w:val="00D57EF6"/>
    <w:rsid w:val="00D6014B"/>
    <w:rsid w:val="00D62F9F"/>
    <w:rsid w:val="00D66863"/>
    <w:rsid w:val="00D67ADE"/>
    <w:rsid w:val="00D72EC1"/>
    <w:rsid w:val="00D73231"/>
    <w:rsid w:val="00D74B5D"/>
    <w:rsid w:val="00D76505"/>
    <w:rsid w:val="00D76DDC"/>
    <w:rsid w:val="00D86F62"/>
    <w:rsid w:val="00D8706E"/>
    <w:rsid w:val="00D91C2C"/>
    <w:rsid w:val="00DA1B64"/>
    <w:rsid w:val="00DA2A2F"/>
    <w:rsid w:val="00DA3798"/>
    <w:rsid w:val="00DA7741"/>
    <w:rsid w:val="00DB0EAF"/>
    <w:rsid w:val="00DB2732"/>
    <w:rsid w:val="00DC007C"/>
    <w:rsid w:val="00DC6EBF"/>
    <w:rsid w:val="00DD1C2E"/>
    <w:rsid w:val="00DD29C6"/>
    <w:rsid w:val="00DD329A"/>
    <w:rsid w:val="00DD3E44"/>
    <w:rsid w:val="00DD46AA"/>
    <w:rsid w:val="00DD5307"/>
    <w:rsid w:val="00DD5501"/>
    <w:rsid w:val="00DD614A"/>
    <w:rsid w:val="00DD66F2"/>
    <w:rsid w:val="00DD6DBB"/>
    <w:rsid w:val="00DE3BF9"/>
    <w:rsid w:val="00DE3FEA"/>
    <w:rsid w:val="00DE50E1"/>
    <w:rsid w:val="00DE5BE8"/>
    <w:rsid w:val="00DE6187"/>
    <w:rsid w:val="00DE7178"/>
    <w:rsid w:val="00DE71C4"/>
    <w:rsid w:val="00DF4AB7"/>
    <w:rsid w:val="00DF4F55"/>
    <w:rsid w:val="00DF744F"/>
    <w:rsid w:val="00DF74F0"/>
    <w:rsid w:val="00DF7D77"/>
    <w:rsid w:val="00E02087"/>
    <w:rsid w:val="00E0532C"/>
    <w:rsid w:val="00E0605C"/>
    <w:rsid w:val="00E074F2"/>
    <w:rsid w:val="00E16342"/>
    <w:rsid w:val="00E16978"/>
    <w:rsid w:val="00E35CC8"/>
    <w:rsid w:val="00E36485"/>
    <w:rsid w:val="00E36538"/>
    <w:rsid w:val="00E40117"/>
    <w:rsid w:val="00E41D6E"/>
    <w:rsid w:val="00E42149"/>
    <w:rsid w:val="00E465B2"/>
    <w:rsid w:val="00E51AB7"/>
    <w:rsid w:val="00E571F9"/>
    <w:rsid w:val="00E575A8"/>
    <w:rsid w:val="00E57A5C"/>
    <w:rsid w:val="00E651DD"/>
    <w:rsid w:val="00E659E1"/>
    <w:rsid w:val="00E66CBA"/>
    <w:rsid w:val="00E743B6"/>
    <w:rsid w:val="00E7639E"/>
    <w:rsid w:val="00E77305"/>
    <w:rsid w:val="00E77964"/>
    <w:rsid w:val="00E80FAB"/>
    <w:rsid w:val="00E817C3"/>
    <w:rsid w:val="00E85B42"/>
    <w:rsid w:val="00E91482"/>
    <w:rsid w:val="00E94AE0"/>
    <w:rsid w:val="00E951C1"/>
    <w:rsid w:val="00E95D60"/>
    <w:rsid w:val="00E96302"/>
    <w:rsid w:val="00EA3381"/>
    <w:rsid w:val="00EA64A0"/>
    <w:rsid w:val="00EB12C0"/>
    <w:rsid w:val="00EB65D2"/>
    <w:rsid w:val="00EC0D8F"/>
    <w:rsid w:val="00EC2A1D"/>
    <w:rsid w:val="00EC75FE"/>
    <w:rsid w:val="00EC7F8D"/>
    <w:rsid w:val="00ED2A6A"/>
    <w:rsid w:val="00ED619F"/>
    <w:rsid w:val="00ED76A7"/>
    <w:rsid w:val="00EE334A"/>
    <w:rsid w:val="00EF3E6D"/>
    <w:rsid w:val="00EF66CC"/>
    <w:rsid w:val="00EF76A1"/>
    <w:rsid w:val="00EF7FDD"/>
    <w:rsid w:val="00F02633"/>
    <w:rsid w:val="00F07A93"/>
    <w:rsid w:val="00F10FE9"/>
    <w:rsid w:val="00F12408"/>
    <w:rsid w:val="00F134F5"/>
    <w:rsid w:val="00F13718"/>
    <w:rsid w:val="00F21A53"/>
    <w:rsid w:val="00F2300D"/>
    <w:rsid w:val="00F23050"/>
    <w:rsid w:val="00F27E5F"/>
    <w:rsid w:val="00F376FD"/>
    <w:rsid w:val="00F41BF5"/>
    <w:rsid w:val="00F42130"/>
    <w:rsid w:val="00F476D5"/>
    <w:rsid w:val="00F4787D"/>
    <w:rsid w:val="00F47B85"/>
    <w:rsid w:val="00F50A4E"/>
    <w:rsid w:val="00F54F53"/>
    <w:rsid w:val="00F5645C"/>
    <w:rsid w:val="00F62A63"/>
    <w:rsid w:val="00F645D9"/>
    <w:rsid w:val="00F65F31"/>
    <w:rsid w:val="00F66117"/>
    <w:rsid w:val="00F701E4"/>
    <w:rsid w:val="00F73591"/>
    <w:rsid w:val="00F74727"/>
    <w:rsid w:val="00F76D84"/>
    <w:rsid w:val="00F77BC0"/>
    <w:rsid w:val="00F8470A"/>
    <w:rsid w:val="00F8562D"/>
    <w:rsid w:val="00F959CC"/>
    <w:rsid w:val="00FA0CC0"/>
    <w:rsid w:val="00FA1E9F"/>
    <w:rsid w:val="00FB5D22"/>
    <w:rsid w:val="00FB7578"/>
    <w:rsid w:val="00FB78C3"/>
    <w:rsid w:val="00FC35DA"/>
    <w:rsid w:val="00FC6020"/>
    <w:rsid w:val="00FC6386"/>
    <w:rsid w:val="00FC686A"/>
    <w:rsid w:val="00FD13BF"/>
    <w:rsid w:val="00FD25FE"/>
    <w:rsid w:val="00FD413A"/>
    <w:rsid w:val="00FD50EB"/>
    <w:rsid w:val="00FD774C"/>
    <w:rsid w:val="00FD7A41"/>
    <w:rsid w:val="00FE46E1"/>
    <w:rsid w:val="00FE4941"/>
    <w:rsid w:val="00FE6219"/>
    <w:rsid w:val="00FE776C"/>
    <w:rsid w:val="00FF02A5"/>
    <w:rsid w:val="00FF2D4B"/>
    <w:rsid w:val="00FF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5D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5D1"/>
    <w:pPr>
      <w:spacing w:after="200"/>
      <w:jc w:val="both"/>
    </w:pPr>
    <w:rPr>
      <w:rFonts w:ascii="Times" w:hAnsi="Times"/>
      <w:sz w:val="24"/>
    </w:rPr>
  </w:style>
  <w:style w:type="paragraph" w:styleId="Heading2">
    <w:name w:val="heading 2"/>
    <w:basedOn w:val="Normal"/>
    <w:next w:val="Normal"/>
    <w:link w:val="Heading2Char"/>
    <w:uiPriority w:val="9"/>
    <w:unhideWhenUsed/>
    <w:qFormat/>
    <w:rsid w:val="00CD5AF2"/>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B64739"/>
    <w:pPr>
      <w:spacing w:after="240" w:line="480" w:lineRule="auto"/>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B64739"/>
    <w:rPr>
      <w:rFonts w:ascii="Arno Pro" w:hAnsi="Arno Pro"/>
      <w:kern w:val="20"/>
      <w:sz w:val="18"/>
    </w:rPr>
  </w:style>
  <w:style w:type="paragraph" w:customStyle="1" w:styleId="FAAuthorInfoSubtitle">
    <w:name w:val="FA_Author_Info_Subtitle"/>
    <w:basedOn w:val="Normal"/>
    <w:link w:val="FAAuthorInfoSubtitleChar"/>
    <w:autoRedefine/>
    <w:rsid w:val="00683CEE"/>
    <w:pPr>
      <w:spacing w:before="120" w:after="60" w:line="480" w:lineRule="auto"/>
      <w:jc w:val="left"/>
    </w:pPr>
    <w:rPr>
      <w:b/>
    </w:rPr>
  </w:style>
  <w:style w:type="character" w:customStyle="1" w:styleId="FAAuthorInfoSubtitleChar">
    <w:name w:val="FA_Author_Info_Subtitle Char"/>
    <w:link w:val="FAAuthorInfoSubtitle"/>
    <w:rsid w:val="00683CEE"/>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Caption">
    <w:name w:val="caption"/>
    <w:basedOn w:val="Normal"/>
    <w:next w:val="Normal"/>
    <w:uiPriority w:val="35"/>
    <w:unhideWhenUsed/>
    <w:qFormat/>
    <w:rsid w:val="00D57EF6"/>
    <w:pPr>
      <w:jc w:val="left"/>
    </w:pPr>
    <w:rPr>
      <w:rFonts w:asciiTheme="minorHAnsi" w:eastAsiaTheme="minorHAnsi" w:hAnsiTheme="minorHAnsi" w:cstheme="minorBidi"/>
      <w:bCs/>
      <w:i/>
      <w:sz w:val="22"/>
      <w:szCs w:val="18"/>
      <w:lang w:val="en-GB"/>
    </w:rPr>
  </w:style>
  <w:style w:type="table" w:styleId="TableGrid">
    <w:name w:val="Table Grid"/>
    <w:basedOn w:val="TableNormal"/>
    <w:uiPriority w:val="59"/>
    <w:rsid w:val="00E951C1"/>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D5AF2"/>
    <w:rPr>
      <w:rFonts w:asciiTheme="majorHAnsi" w:eastAsiaTheme="majorEastAsia" w:hAnsiTheme="majorHAnsi" w:cstheme="majorBidi"/>
      <w:b/>
      <w:bCs/>
      <w:color w:val="4F81BD" w:themeColor="accent1"/>
      <w:sz w:val="26"/>
      <w:szCs w:val="26"/>
      <w:lang w:val="en-GB"/>
    </w:rPr>
  </w:style>
  <w:style w:type="character" w:styleId="PlaceholderText">
    <w:name w:val="Placeholder Text"/>
    <w:basedOn w:val="DefaultParagraphFont"/>
    <w:uiPriority w:val="99"/>
    <w:semiHidden/>
    <w:rsid w:val="009C3DA0"/>
    <w:rPr>
      <w:color w:val="808080"/>
    </w:rPr>
  </w:style>
  <w:style w:type="character" w:styleId="CommentReference">
    <w:name w:val="annotation reference"/>
    <w:basedOn w:val="DefaultParagraphFont"/>
    <w:rsid w:val="009D4001"/>
    <w:rPr>
      <w:sz w:val="16"/>
      <w:szCs w:val="16"/>
    </w:rPr>
  </w:style>
  <w:style w:type="paragraph" w:styleId="CommentText">
    <w:name w:val="annotation text"/>
    <w:basedOn w:val="Normal"/>
    <w:link w:val="CommentTextChar"/>
    <w:rsid w:val="009D4001"/>
    <w:rPr>
      <w:sz w:val="20"/>
    </w:rPr>
  </w:style>
  <w:style w:type="character" w:customStyle="1" w:styleId="CommentTextChar">
    <w:name w:val="Comment Text Char"/>
    <w:basedOn w:val="DefaultParagraphFont"/>
    <w:link w:val="CommentText"/>
    <w:rsid w:val="009D4001"/>
    <w:rPr>
      <w:rFonts w:ascii="Times" w:hAnsi="Times"/>
    </w:rPr>
  </w:style>
  <w:style w:type="paragraph" w:styleId="CommentSubject">
    <w:name w:val="annotation subject"/>
    <w:basedOn w:val="CommentText"/>
    <w:next w:val="CommentText"/>
    <w:link w:val="CommentSubjectChar"/>
    <w:rsid w:val="009D4001"/>
    <w:rPr>
      <w:b/>
      <w:bCs/>
    </w:rPr>
  </w:style>
  <w:style w:type="character" w:customStyle="1" w:styleId="CommentSubjectChar">
    <w:name w:val="Comment Subject Char"/>
    <w:basedOn w:val="CommentTextChar"/>
    <w:link w:val="CommentSubject"/>
    <w:rsid w:val="009D4001"/>
    <w:rPr>
      <w:rFonts w:ascii="Times" w:hAnsi="Times"/>
      <w:b/>
      <w:bCs/>
    </w:rPr>
  </w:style>
  <w:style w:type="paragraph" w:styleId="ListParagraph">
    <w:name w:val="List Paragraph"/>
    <w:basedOn w:val="Normal"/>
    <w:uiPriority w:val="34"/>
    <w:qFormat/>
    <w:rsid w:val="007D56E0"/>
    <w:pPr>
      <w:ind w:left="720"/>
      <w:contextualSpacing/>
    </w:pPr>
  </w:style>
  <w:style w:type="paragraph" w:styleId="NormalWeb">
    <w:name w:val="Normal (Web)"/>
    <w:basedOn w:val="Normal"/>
    <w:uiPriority w:val="99"/>
    <w:unhideWhenUsed/>
    <w:rsid w:val="0006698C"/>
    <w:pPr>
      <w:spacing w:before="100" w:beforeAutospacing="1" w:after="100" w:afterAutospacing="1"/>
      <w:jc w:val="left"/>
    </w:pPr>
    <w:rPr>
      <w:rFonts w:ascii="Times New Roman" w:eastAsiaTheme="minorEastAsia" w:hAnsi="Times New Roman"/>
      <w:szCs w:val="24"/>
      <w:lang w:val="en-GB" w:eastAsia="en-GB"/>
    </w:rPr>
  </w:style>
  <w:style w:type="paragraph" w:styleId="Header">
    <w:name w:val="header"/>
    <w:basedOn w:val="Normal"/>
    <w:link w:val="HeaderChar"/>
    <w:rsid w:val="00E57A5C"/>
    <w:pPr>
      <w:tabs>
        <w:tab w:val="center" w:pos="4513"/>
        <w:tab w:val="right" w:pos="9026"/>
      </w:tabs>
      <w:spacing w:after="0"/>
    </w:pPr>
  </w:style>
  <w:style w:type="character" w:customStyle="1" w:styleId="HeaderChar">
    <w:name w:val="Header Char"/>
    <w:basedOn w:val="DefaultParagraphFont"/>
    <w:link w:val="Header"/>
    <w:rsid w:val="00E57A5C"/>
    <w:rPr>
      <w:rFonts w:ascii="Times" w:hAnsi="Times"/>
      <w:sz w:val="24"/>
    </w:rPr>
  </w:style>
  <w:style w:type="character" w:customStyle="1" w:styleId="FooterChar">
    <w:name w:val="Footer Char"/>
    <w:basedOn w:val="DefaultParagraphFont"/>
    <w:link w:val="Footer"/>
    <w:uiPriority w:val="99"/>
    <w:rsid w:val="00716E41"/>
    <w:rPr>
      <w:rFonts w:ascii="Times" w:hAnsi="Times"/>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5D1"/>
    <w:pPr>
      <w:spacing w:after="200"/>
      <w:jc w:val="both"/>
    </w:pPr>
    <w:rPr>
      <w:rFonts w:ascii="Times" w:hAnsi="Times"/>
      <w:sz w:val="24"/>
    </w:rPr>
  </w:style>
  <w:style w:type="paragraph" w:styleId="Heading2">
    <w:name w:val="heading 2"/>
    <w:basedOn w:val="Normal"/>
    <w:next w:val="Normal"/>
    <w:link w:val="Heading2Char"/>
    <w:uiPriority w:val="9"/>
    <w:unhideWhenUsed/>
    <w:qFormat/>
    <w:rsid w:val="00CD5AF2"/>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B64739"/>
    <w:pPr>
      <w:spacing w:after="240" w:line="480" w:lineRule="auto"/>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B64739"/>
    <w:rPr>
      <w:rFonts w:ascii="Arno Pro" w:hAnsi="Arno Pro"/>
      <w:kern w:val="20"/>
      <w:sz w:val="18"/>
    </w:rPr>
  </w:style>
  <w:style w:type="paragraph" w:customStyle="1" w:styleId="FAAuthorInfoSubtitle">
    <w:name w:val="FA_Author_Info_Subtitle"/>
    <w:basedOn w:val="Normal"/>
    <w:link w:val="FAAuthorInfoSubtitleChar"/>
    <w:autoRedefine/>
    <w:rsid w:val="00683CEE"/>
    <w:pPr>
      <w:spacing w:before="120" w:after="60" w:line="480" w:lineRule="auto"/>
      <w:jc w:val="left"/>
    </w:pPr>
    <w:rPr>
      <w:b/>
    </w:rPr>
  </w:style>
  <w:style w:type="character" w:customStyle="1" w:styleId="FAAuthorInfoSubtitleChar">
    <w:name w:val="FA_Author_Info_Subtitle Char"/>
    <w:link w:val="FAAuthorInfoSubtitle"/>
    <w:rsid w:val="00683CEE"/>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Caption">
    <w:name w:val="caption"/>
    <w:basedOn w:val="Normal"/>
    <w:next w:val="Normal"/>
    <w:uiPriority w:val="35"/>
    <w:unhideWhenUsed/>
    <w:qFormat/>
    <w:rsid w:val="00D57EF6"/>
    <w:pPr>
      <w:jc w:val="left"/>
    </w:pPr>
    <w:rPr>
      <w:rFonts w:asciiTheme="minorHAnsi" w:eastAsiaTheme="minorHAnsi" w:hAnsiTheme="minorHAnsi" w:cstheme="minorBidi"/>
      <w:bCs/>
      <w:i/>
      <w:sz w:val="22"/>
      <w:szCs w:val="18"/>
      <w:lang w:val="en-GB"/>
    </w:rPr>
  </w:style>
  <w:style w:type="table" w:styleId="TableGrid">
    <w:name w:val="Table Grid"/>
    <w:basedOn w:val="TableNormal"/>
    <w:uiPriority w:val="59"/>
    <w:rsid w:val="00E951C1"/>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D5AF2"/>
    <w:rPr>
      <w:rFonts w:asciiTheme="majorHAnsi" w:eastAsiaTheme="majorEastAsia" w:hAnsiTheme="majorHAnsi" w:cstheme="majorBidi"/>
      <w:b/>
      <w:bCs/>
      <w:color w:val="4F81BD" w:themeColor="accent1"/>
      <w:sz w:val="26"/>
      <w:szCs w:val="26"/>
      <w:lang w:val="en-GB"/>
    </w:rPr>
  </w:style>
  <w:style w:type="character" w:styleId="PlaceholderText">
    <w:name w:val="Placeholder Text"/>
    <w:basedOn w:val="DefaultParagraphFont"/>
    <w:uiPriority w:val="99"/>
    <w:semiHidden/>
    <w:rsid w:val="009C3DA0"/>
    <w:rPr>
      <w:color w:val="808080"/>
    </w:rPr>
  </w:style>
  <w:style w:type="character" w:styleId="CommentReference">
    <w:name w:val="annotation reference"/>
    <w:basedOn w:val="DefaultParagraphFont"/>
    <w:rsid w:val="009D4001"/>
    <w:rPr>
      <w:sz w:val="16"/>
      <w:szCs w:val="16"/>
    </w:rPr>
  </w:style>
  <w:style w:type="paragraph" w:styleId="CommentText">
    <w:name w:val="annotation text"/>
    <w:basedOn w:val="Normal"/>
    <w:link w:val="CommentTextChar"/>
    <w:rsid w:val="009D4001"/>
    <w:rPr>
      <w:sz w:val="20"/>
    </w:rPr>
  </w:style>
  <w:style w:type="character" w:customStyle="1" w:styleId="CommentTextChar">
    <w:name w:val="Comment Text Char"/>
    <w:basedOn w:val="DefaultParagraphFont"/>
    <w:link w:val="CommentText"/>
    <w:rsid w:val="009D4001"/>
    <w:rPr>
      <w:rFonts w:ascii="Times" w:hAnsi="Times"/>
    </w:rPr>
  </w:style>
  <w:style w:type="paragraph" w:styleId="CommentSubject">
    <w:name w:val="annotation subject"/>
    <w:basedOn w:val="CommentText"/>
    <w:next w:val="CommentText"/>
    <w:link w:val="CommentSubjectChar"/>
    <w:rsid w:val="009D4001"/>
    <w:rPr>
      <w:b/>
      <w:bCs/>
    </w:rPr>
  </w:style>
  <w:style w:type="character" w:customStyle="1" w:styleId="CommentSubjectChar">
    <w:name w:val="Comment Subject Char"/>
    <w:basedOn w:val="CommentTextChar"/>
    <w:link w:val="CommentSubject"/>
    <w:rsid w:val="009D4001"/>
    <w:rPr>
      <w:rFonts w:ascii="Times" w:hAnsi="Times"/>
      <w:b/>
      <w:bCs/>
    </w:rPr>
  </w:style>
  <w:style w:type="paragraph" w:styleId="ListParagraph">
    <w:name w:val="List Paragraph"/>
    <w:basedOn w:val="Normal"/>
    <w:uiPriority w:val="34"/>
    <w:qFormat/>
    <w:rsid w:val="007D56E0"/>
    <w:pPr>
      <w:ind w:left="720"/>
      <w:contextualSpacing/>
    </w:pPr>
  </w:style>
  <w:style w:type="paragraph" w:styleId="NormalWeb">
    <w:name w:val="Normal (Web)"/>
    <w:basedOn w:val="Normal"/>
    <w:uiPriority w:val="99"/>
    <w:unhideWhenUsed/>
    <w:rsid w:val="0006698C"/>
    <w:pPr>
      <w:spacing w:before="100" w:beforeAutospacing="1" w:after="100" w:afterAutospacing="1"/>
      <w:jc w:val="left"/>
    </w:pPr>
    <w:rPr>
      <w:rFonts w:ascii="Times New Roman" w:eastAsiaTheme="minorEastAsia" w:hAnsi="Times New Roman"/>
      <w:szCs w:val="24"/>
      <w:lang w:val="en-GB" w:eastAsia="en-GB"/>
    </w:rPr>
  </w:style>
  <w:style w:type="paragraph" w:styleId="Header">
    <w:name w:val="header"/>
    <w:basedOn w:val="Normal"/>
    <w:link w:val="HeaderChar"/>
    <w:rsid w:val="00E57A5C"/>
    <w:pPr>
      <w:tabs>
        <w:tab w:val="center" w:pos="4513"/>
        <w:tab w:val="right" w:pos="9026"/>
      </w:tabs>
      <w:spacing w:after="0"/>
    </w:pPr>
  </w:style>
  <w:style w:type="character" w:customStyle="1" w:styleId="HeaderChar">
    <w:name w:val="Header Char"/>
    <w:basedOn w:val="DefaultParagraphFont"/>
    <w:link w:val="Header"/>
    <w:rsid w:val="00E57A5C"/>
    <w:rPr>
      <w:rFonts w:ascii="Times" w:hAnsi="Times"/>
      <w:sz w:val="24"/>
    </w:rPr>
  </w:style>
  <w:style w:type="character" w:customStyle="1" w:styleId="FooterChar">
    <w:name w:val="Footer Char"/>
    <w:basedOn w:val="DefaultParagraphFont"/>
    <w:link w:val="Footer"/>
    <w:uiPriority w:val="99"/>
    <w:rsid w:val="00716E41"/>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4" Type="http://schemas.openxmlformats.org/officeDocument/2006/relationships/chart" Target="charts/chart1.xml"/><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50" Type="http://schemas.openxmlformats.org/officeDocument/2006/relationships/header" Target="header1.xml"/><Relationship Id="rId51" Type="http://schemas.openxmlformats.org/officeDocument/2006/relationships/footer" Target="footer3.xml"/><Relationship Id="rId52" Type="http://schemas.openxmlformats.org/officeDocument/2006/relationships/image" Target="media/image38.png"/><Relationship Id="rId53" Type="http://schemas.openxmlformats.org/officeDocument/2006/relationships/footer" Target="footer4.xml"/><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png"/><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footer" Target="footer1.xml"/><Relationship Id="rId4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erry.heng@imperial.ac.uk" TargetMode="External"/><Relationship Id="rId9" Type="http://schemas.openxmlformats.org/officeDocument/2006/relationships/hyperlink" Target="http://www.imperial.ac.uk/spel" TargetMode="External"/><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emf"/><Relationship Id="rId34" Type="http://schemas.openxmlformats.org/officeDocument/2006/relationships/image" Target="media/image24.emf"/><Relationship Id="rId35" Type="http://schemas.openxmlformats.org/officeDocument/2006/relationships/image" Target="media/image25.png"/><Relationship Id="rId36" Type="http://schemas.openxmlformats.org/officeDocument/2006/relationships/image" Target="media/image26.emf"/><Relationship Id="rId37" Type="http://schemas.openxmlformats.org/officeDocument/2006/relationships/image" Target="media/image27.emf"/><Relationship Id="rId38" Type="http://schemas.openxmlformats.org/officeDocument/2006/relationships/image" Target="media/image28.emf"/><Relationship Id="rId39" Type="http://schemas.openxmlformats.org/officeDocument/2006/relationships/image" Target="media/image29.emf"/><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707\Desktop\Langmuir\acstemplate_msw201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Tomer\Paper%20Stuff\Paper%202\Fitted%20Parameters.xlsx" TargetMode="External"/><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172406357678"/>
          <c:y val="0.0612975685207976"/>
          <c:w val="0.768266748540607"/>
          <c:h val="0.82223844844306"/>
        </c:manualLayout>
      </c:layout>
      <c:scatterChart>
        <c:scatterStyle val="smoothMarker"/>
        <c:varyColors val="0"/>
        <c:ser>
          <c:idx val="1"/>
          <c:order val="0"/>
          <c:tx>
            <c:strRef>
              <c:f>'Image Nucleation'!$Q$29</c:f>
              <c:strCache>
                <c:ptCount val="1"/>
                <c:pt idx="0">
                  <c:v>S=3.75</c:v>
                </c:pt>
              </c:strCache>
            </c:strRef>
          </c:tx>
          <c:spPr>
            <a:ln>
              <a:noFill/>
            </a:ln>
          </c:spPr>
          <c:marker>
            <c:symbol val="square"/>
            <c:size val="5"/>
            <c:spPr>
              <a:solidFill>
                <a:schemeClr val="tx1"/>
              </a:solidFill>
              <a:ln>
                <a:noFill/>
              </a:ln>
            </c:spPr>
          </c:marker>
          <c:trendline>
            <c:spPr>
              <a:ln w="19050">
                <a:solidFill>
                  <a:schemeClr val="tx1"/>
                </a:solidFill>
              </a:ln>
            </c:spPr>
            <c:trendlineType val="linear"/>
            <c:dispRSqr val="0"/>
            <c:dispEq val="0"/>
          </c:trendline>
          <c:errBars>
            <c:errDir val="y"/>
            <c:errBarType val="both"/>
            <c:errValType val="cust"/>
            <c:noEndCap val="0"/>
            <c:plus>
              <c:numRef>
                <c:f>'Image Nucleation'!$T$28:$T$31</c:f>
                <c:numCache>
                  <c:formatCode>General</c:formatCode>
                  <c:ptCount val="4"/>
                  <c:pt idx="0">
                    <c:v>120.6666666666667</c:v>
                  </c:pt>
                  <c:pt idx="1">
                    <c:v>214.3333333333333</c:v>
                  </c:pt>
                  <c:pt idx="2">
                    <c:v>71.0</c:v>
                  </c:pt>
                  <c:pt idx="3">
                    <c:v>71.0</c:v>
                  </c:pt>
                </c:numCache>
              </c:numRef>
            </c:plus>
            <c:minus>
              <c:numRef>
                <c:f>'Image Nucleation'!$U$28:$U$31</c:f>
                <c:numCache>
                  <c:formatCode>General</c:formatCode>
                  <c:ptCount val="4"/>
                  <c:pt idx="0">
                    <c:v>72.33333333333326</c:v>
                  </c:pt>
                  <c:pt idx="1">
                    <c:v>96.33333333333324</c:v>
                  </c:pt>
                  <c:pt idx="2">
                    <c:v>71.0</c:v>
                  </c:pt>
                  <c:pt idx="3">
                    <c:v>71.0</c:v>
                  </c:pt>
                </c:numCache>
              </c:numRef>
            </c:minus>
          </c:errBars>
          <c:xVal>
            <c:numRef>
              <c:f>'Image Nucleation'!$R$28:$R$31</c:f>
              <c:numCache>
                <c:formatCode>General</c:formatCode>
                <c:ptCount val="4"/>
                <c:pt idx="0">
                  <c:v>30.0</c:v>
                </c:pt>
                <c:pt idx="1">
                  <c:v>45.0</c:v>
                </c:pt>
                <c:pt idx="2">
                  <c:v>60.0</c:v>
                </c:pt>
                <c:pt idx="3">
                  <c:v>75.0</c:v>
                </c:pt>
              </c:numCache>
            </c:numRef>
          </c:xVal>
          <c:yVal>
            <c:numRef>
              <c:f>'Image Nucleation'!$S$28:$S$31</c:f>
              <c:numCache>
                <c:formatCode>General</c:formatCode>
                <c:ptCount val="4"/>
                <c:pt idx="0">
                  <c:v>92.33333333333326</c:v>
                </c:pt>
                <c:pt idx="1">
                  <c:v>390.6666666666668</c:v>
                </c:pt>
                <c:pt idx="2">
                  <c:v>861.3333333333334</c:v>
                </c:pt>
                <c:pt idx="3">
                  <c:v>1128.0</c:v>
                </c:pt>
              </c:numCache>
            </c:numRef>
          </c:yVal>
          <c:smooth val="1"/>
        </c:ser>
        <c:ser>
          <c:idx val="2"/>
          <c:order val="1"/>
          <c:tx>
            <c:strRef>
              <c:f>'Image Nucleation'!$J$29</c:f>
              <c:strCache>
                <c:ptCount val="1"/>
                <c:pt idx="0">
                  <c:v>S=3.48</c:v>
                </c:pt>
              </c:strCache>
            </c:strRef>
          </c:tx>
          <c:spPr>
            <a:ln>
              <a:noFill/>
            </a:ln>
          </c:spPr>
          <c:marker>
            <c:symbol val="triangle"/>
            <c:size val="6"/>
            <c:spPr>
              <a:solidFill>
                <a:srgbClr val="1000DE"/>
              </a:solidFill>
              <a:ln>
                <a:noFill/>
              </a:ln>
            </c:spPr>
          </c:marker>
          <c:trendline>
            <c:spPr>
              <a:ln w="19050">
                <a:solidFill>
                  <a:srgbClr val="1000DE"/>
                </a:solidFill>
              </a:ln>
            </c:spPr>
            <c:trendlineType val="linear"/>
            <c:dispRSqr val="0"/>
            <c:dispEq val="0"/>
          </c:trendline>
          <c:errBars>
            <c:errDir val="y"/>
            <c:errBarType val="both"/>
            <c:errValType val="cust"/>
            <c:noEndCap val="0"/>
            <c:plus>
              <c:numRef>
                <c:f>'Image Nucleation'!$M$28:$M$31</c:f>
                <c:numCache>
                  <c:formatCode>General</c:formatCode>
                  <c:ptCount val="4"/>
                  <c:pt idx="0">
                    <c:v>50.66666666666659</c:v>
                  </c:pt>
                  <c:pt idx="1">
                    <c:v>142.6666666666666</c:v>
                  </c:pt>
                  <c:pt idx="2">
                    <c:v>247.6666666666667</c:v>
                  </c:pt>
                  <c:pt idx="3">
                    <c:v>155.0</c:v>
                  </c:pt>
                </c:numCache>
              </c:numRef>
            </c:plus>
            <c:minus>
              <c:numRef>
                <c:f>'Image Nucleation'!$N$28:$N$31</c:f>
                <c:numCache>
                  <c:formatCode>General</c:formatCode>
                  <c:ptCount val="4"/>
                  <c:pt idx="0">
                    <c:v>28.33333333333328</c:v>
                  </c:pt>
                  <c:pt idx="1">
                    <c:v>88.33333333333327</c:v>
                  </c:pt>
                  <c:pt idx="2">
                    <c:v>140.3333333333333</c:v>
                  </c:pt>
                  <c:pt idx="3">
                    <c:v>82.0</c:v>
                  </c:pt>
                </c:numCache>
              </c:numRef>
            </c:minus>
          </c:errBars>
          <c:xVal>
            <c:numRef>
              <c:f>'Image Nucleation'!$K$28:$K$31</c:f>
              <c:numCache>
                <c:formatCode>General</c:formatCode>
                <c:ptCount val="4"/>
                <c:pt idx="0">
                  <c:v>60.0</c:v>
                </c:pt>
                <c:pt idx="1">
                  <c:v>75.0</c:v>
                </c:pt>
                <c:pt idx="2">
                  <c:v>90.0</c:v>
                </c:pt>
                <c:pt idx="3">
                  <c:v>120.0</c:v>
                </c:pt>
              </c:numCache>
            </c:numRef>
          </c:xVal>
          <c:yVal>
            <c:numRef>
              <c:f>'Image Nucleation'!$L$28:$L$31</c:f>
              <c:numCache>
                <c:formatCode>General</c:formatCode>
                <c:ptCount val="4"/>
                <c:pt idx="0">
                  <c:v>78.33333333333326</c:v>
                </c:pt>
                <c:pt idx="1">
                  <c:v>228.3333333333334</c:v>
                </c:pt>
                <c:pt idx="2">
                  <c:v>445.3333333333333</c:v>
                </c:pt>
                <c:pt idx="3">
                  <c:v>865.0</c:v>
                </c:pt>
              </c:numCache>
            </c:numRef>
          </c:yVal>
          <c:smooth val="1"/>
        </c:ser>
        <c:dLbls>
          <c:showLegendKey val="0"/>
          <c:showVal val="0"/>
          <c:showCatName val="0"/>
          <c:showSerName val="0"/>
          <c:showPercent val="0"/>
          <c:showBubbleSize val="0"/>
        </c:dLbls>
        <c:axId val="2131613336"/>
        <c:axId val="2134709080"/>
      </c:scatterChart>
      <c:scatterChart>
        <c:scatterStyle val="smoothMarker"/>
        <c:varyColors val="0"/>
        <c:ser>
          <c:idx val="0"/>
          <c:order val="2"/>
          <c:tx>
            <c:strRef>
              <c:f>'Image Nucleation'!$C$29</c:f>
              <c:strCache>
                <c:ptCount val="1"/>
                <c:pt idx="0">
                  <c:v>S=3.22</c:v>
                </c:pt>
              </c:strCache>
            </c:strRef>
          </c:tx>
          <c:spPr>
            <a:ln>
              <a:noFill/>
            </a:ln>
          </c:spPr>
          <c:marker>
            <c:symbol val="circle"/>
            <c:size val="5"/>
            <c:spPr>
              <a:solidFill>
                <a:srgbClr val="FF0000"/>
              </a:solidFill>
              <a:ln>
                <a:noFill/>
              </a:ln>
            </c:spPr>
          </c:marker>
          <c:trendline>
            <c:spPr>
              <a:ln w="19050">
                <a:solidFill>
                  <a:srgbClr val="FF0000"/>
                </a:solidFill>
              </a:ln>
            </c:spPr>
            <c:trendlineType val="linear"/>
            <c:dispRSqr val="0"/>
            <c:dispEq val="0"/>
          </c:trendline>
          <c:errBars>
            <c:errDir val="y"/>
            <c:errBarType val="both"/>
            <c:errValType val="cust"/>
            <c:noEndCap val="0"/>
            <c:plus>
              <c:numRef>
                <c:f>'Image Nucleation'!$G$28:$G$31</c:f>
                <c:numCache>
                  <c:formatCode>General</c:formatCode>
                  <c:ptCount val="4"/>
                  <c:pt idx="0">
                    <c:v>28.33333333333329</c:v>
                  </c:pt>
                  <c:pt idx="1">
                    <c:v>53.33333333333334</c:v>
                  </c:pt>
                  <c:pt idx="2">
                    <c:v>64.0</c:v>
                  </c:pt>
                  <c:pt idx="3">
                    <c:v>119.6666666666666</c:v>
                  </c:pt>
                </c:numCache>
              </c:numRef>
            </c:plus>
            <c:minus>
              <c:numRef>
                <c:f>'Image Nucleation'!$H$28:$H$31</c:f>
                <c:numCache>
                  <c:formatCode>General</c:formatCode>
                  <c:ptCount val="4"/>
                  <c:pt idx="0">
                    <c:v>25.66666666666666</c:v>
                  </c:pt>
                  <c:pt idx="1">
                    <c:v>50.66666666666658</c:v>
                  </c:pt>
                  <c:pt idx="2">
                    <c:v>115.0</c:v>
                  </c:pt>
                  <c:pt idx="3">
                    <c:v>238.3333333333334</c:v>
                  </c:pt>
                </c:numCache>
              </c:numRef>
            </c:minus>
          </c:errBars>
          <c:xVal>
            <c:numRef>
              <c:f>'Image Nucleation'!$D$28:$D$31</c:f>
              <c:numCache>
                <c:formatCode>General</c:formatCode>
                <c:ptCount val="4"/>
                <c:pt idx="0">
                  <c:v>105.0</c:v>
                </c:pt>
                <c:pt idx="1">
                  <c:v>135.0</c:v>
                </c:pt>
                <c:pt idx="2">
                  <c:v>165.0</c:v>
                </c:pt>
                <c:pt idx="3">
                  <c:v>195.0</c:v>
                </c:pt>
              </c:numCache>
            </c:numRef>
          </c:xVal>
          <c:yVal>
            <c:numRef>
              <c:f>'Image Nucleation'!$E$28:$E$31</c:f>
              <c:numCache>
                <c:formatCode>General</c:formatCode>
                <c:ptCount val="4"/>
                <c:pt idx="0">
                  <c:v>60.66666666666659</c:v>
                </c:pt>
                <c:pt idx="1">
                  <c:v>246.6666666666666</c:v>
                </c:pt>
                <c:pt idx="2">
                  <c:v>508.0</c:v>
                </c:pt>
                <c:pt idx="3">
                  <c:v>749.3333333333334</c:v>
                </c:pt>
              </c:numCache>
            </c:numRef>
          </c:yVal>
          <c:smooth val="1"/>
        </c:ser>
        <c:dLbls>
          <c:showLegendKey val="0"/>
          <c:showVal val="0"/>
          <c:showCatName val="0"/>
          <c:showSerName val="0"/>
          <c:showPercent val="0"/>
          <c:showBubbleSize val="0"/>
        </c:dLbls>
        <c:axId val="-2141966824"/>
        <c:axId val="2091512232"/>
      </c:scatterChart>
      <c:valAx>
        <c:axId val="2131613336"/>
        <c:scaling>
          <c:orientation val="minMax"/>
          <c:max val="220.0"/>
          <c:min val="0.0"/>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Time (min)</a:t>
                </a:r>
              </a:p>
            </c:rich>
          </c:tx>
          <c:layout>
            <c:manualLayout>
              <c:xMode val="edge"/>
              <c:yMode val="edge"/>
              <c:x val="0.406452897356527"/>
              <c:y val="0.949441420796333"/>
            </c:manualLayout>
          </c:layout>
          <c:overlay val="0"/>
        </c:title>
        <c:numFmt formatCode="General" sourceLinked="1"/>
        <c:majorTickMark val="in"/>
        <c:minorTickMark val="in"/>
        <c:tickLblPos val="nextTo"/>
        <c:spPr>
          <a:ln>
            <a:solidFill>
              <a:schemeClr val="tx1"/>
            </a:solidFill>
          </a:ln>
        </c:spPr>
        <c:crossAx val="2134709080"/>
        <c:crosses val="autoZero"/>
        <c:crossBetween val="midCat"/>
        <c:majorUnit val="50.0"/>
        <c:minorUnit val="25.0"/>
      </c:valAx>
      <c:valAx>
        <c:axId val="2134709080"/>
        <c:scaling>
          <c:orientation val="minMax"/>
          <c:max val="1400.0"/>
          <c:min val="0.0"/>
        </c:scaling>
        <c:delete val="0"/>
        <c:axPos val="l"/>
        <c:title>
          <c:tx>
            <c:rich>
              <a:bodyPr rot="-5400000" vert="horz"/>
              <a:lstStyle/>
              <a:p>
                <a:pPr>
                  <a:defRPr sz="1200" b="0">
                    <a:latin typeface="Times New Roman" panose="02020603050405020304" pitchFamily="18" charset="0"/>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Numver of Crystals</a:t>
                </a:r>
              </a:p>
            </c:rich>
          </c:tx>
          <c:layout>
            <c:manualLayout>
              <c:xMode val="edge"/>
              <c:yMode val="edge"/>
              <c:x val="0.000723438450869414"/>
              <c:y val="0.28866443971788"/>
            </c:manualLayout>
          </c:layout>
          <c:overlay val="0"/>
        </c:title>
        <c:numFmt formatCode="General" sourceLinked="1"/>
        <c:majorTickMark val="in"/>
        <c:minorTickMark val="in"/>
        <c:tickLblPos val="nextTo"/>
        <c:spPr>
          <a:ln>
            <a:solidFill>
              <a:schemeClr val="tx1"/>
            </a:solidFill>
          </a:ln>
        </c:spPr>
        <c:crossAx val="2131613336"/>
        <c:crosses val="autoZero"/>
        <c:crossBetween val="midCat"/>
        <c:majorUnit val="200.0"/>
        <c:minorUnit val="100.0"/>
      </c:valAx>
      <c:valAx>
        <c:axId val="2091512232"/>
        <c:scaling>
          <c:orientation val="minMax"/>
          <c:max val="1400.0"/>
          <c:min val="0.0"/>
        </c:scaling>
        <c:delete val="0"/>
        <c:axPos val="r"/>
        <c:numFmt formatCode="General" sourceLinked="1"/>
        <c:majorTickMark val="in"/>
        <c:minorTickMark val="in"/>
        <c:tickLblPos val="none"/>
        <c:spPr>
          <a:ln>
            <a:solidFill>
              <a:schemeClr val="tx1"/>
            </a:solidFill>
          </a:ln>
        </c:spPr>
        <c:crossAx val="-2141966824"/>
        <c:crosses val="max"/>
        <c:crossBetween val="midCat"/>
        <c:majorUnit val="200.0"/>
        <c:minorUnit val="100.0"/>
      </c:valAx>
      <c:valAx>
        <c:axId val="-2141966824"/>
        <c:scaling>
          <c:orientation val="minMax"/>
          <c:max val="220.0"/>
          <c:min val="0.0"/>
        </c:scaling>
        <c:delete val="0"/>
        <c:axPos val="t"/>
        <c:numFmt formatCode="General" sourceLinked="1"/>
        <c:majorTickMark val="in"/>
        <c:minorTickMark val="in"/>
        <c:tickLblPos val="none"/>
        <c:spPr>
          <a:ln>
            <a:solidFill>
              <a:schemeClr val="tx1"/>
            </a:solidFill>
          </a:ln>
        </c:spPr>
        <c:crossAx val="2091512232"/>
        <c:crosses val="max"/>
        <c:crossBetween val="midCat"/>
        <c:majorUnit val="50.0"/>
        <c:minorUnit val="25.0"/>
      </c:valAx>
    </c:plotArea>
    <c:legend>
      <c:legendPos val="r"/>
      <c:legendEntry>
        <c:idx val="3"/>
        <c:delete val="1"/>
      </c:legendEntry>
      <c:legendEntry>
        <c:idx val="4"/>
        <c:delete val="1"/>
      </c:legendEntry>
      <c:legendEntry>
        <c:idx val="5"/>
        <c:delete val="1"/>
      </c:legendEntry>
      <c:layout>
        <c:manualLayout>
          <c:xMode val="edge"/>
          <c:yMode val="edge"/>
          <c:x val="0.63923549254928"/>
          <c:y val="0.0889204978409957"/>
          <c:w val="0.258733413699138"/>
          <c:h val="0.216699686732707"/>
        </c:manualLayout>
      </c:layout>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0.20673</cdr:x>
      <cdr:y>0.7972</cdr:y>
    </cdr:from>
    <cdr:to>
      <cdr:x>0.27288</cdr:x>
      <cdr:y>0.86811</cdr:y>
    </cdr:to>
    <cdr:sp macro="" textlink="">
      <cdr:nvSpPr>
        <cdr:cNvPr id="2" name="Text Box 1"/>
        <cdr:cNvSpPr txBox="1"/>
      </cdr:nvSpPr>
      <cdr:spPr>
        <a:xfrm xmlns:a="http://schemas.openxmlformats.org/drawingml/2006/main">
          <a:off x="714375" y="3105149"/>
          <a:ext cx="22860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latin typeface="Times New Roman" panose="02020603050405020304" pitchFamily="18" charset="0"/>
              <a:cs typeface="Times New Roman" panose="02020603050405020304" pitchFamily="18" charset="0"/>
            </a:rPr>
            <a:t>1</a:t>
          </a:r>
        </a:p>
      </cdr:txBody>
    </cdr:sp>
  </cdr:relSizeAnchor>
  <cdr:relSizeAnchor xmlns:cdr="http://schemas.openxmlformats.org/drawingml/2006/chartDrawing">
    <cdr:from>
      <cdr:x>0.2545</cdr:x>
      <cdr:y>0.62194</cdr:y>
    </cdr:from>
    <cdr:to>
      <cdr:x>0.328</cdr:x>
      <cdr:y>0.69449</cdr:y>
    </cdr:to>
    <cdr:sp macro="" textlink="">
      <cdr:nvSpPr>
        <cdr:cNvPr id="3" name="Text Box 1"/>
        <cdr:cNvSpPr txBox="1"/>
      </cdr:nvSpPr>
      <cdr:spPr>
        <a:xfrm xmlns:a="http://schemas.openxmlformats.org/drawingml/2006/main">
          <a:off x="879475" y="2422524"/>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2</a:t>
          </a:r>
        </a:p>
      </cdr:txBody>
    </cdr:sp>
  </cdr:relSizeAnchor>
  <cdr:relSizeAnchor xmlns:cdr="http://schemas.openxmlformats.org/drawingml/2006/chartDrawing">
    <cdr:from>
      <cdr:x>0.24715</cdr:x>
      <cdr:y>0.4149</cdr:y>
    </cdr:from>
    <cdr:to>
      <cdr:x>0.34454</cdr:x>
      <cdr:y>0.50375</cdr:y>
    </cdr:to>
    <cdr:sp macro="" textlink="">
      <cdr:nvSpPr>
        <cdr:cNvPr id="4" name="Text Box 1"/>
        <cdr:cNvSpPr txBox="1"/>
      </cdr:nvSpPr>
      <cdr:spPr>
        <a:xfrm xmlns:a="http://schemas.openxmlformats.org/drawingml/2006/main">
          <a:off x="854075" y="1616074"/>
          <a:ext cx="336550" cy="346076"/>
        </a:xfrm>
        <a:prstGeom xmlns:a="http://schemas.openxmlformats.org/drawingml/2006/main" prst="rect">
          <a:avLst/>
        </a:prstGeom>
      </cdr:spPr>
    </cdr:sp>
  </cdr:relSizeAnchor>
  <cdr:relSizeAnchor xmlns:cdr="http://schemas.openxmlformats.org/drawingml/2006/chartDrawing">
    <cdr:from>
      <cdr:x>0.30779</cdr:x>
      <cdr:y>0.34398</cdr:y>
    </cdr:from>
    <cdr:to>
      <cdr:x>0.38129</cdr:x>
      <cdr:y>0.41653</cdr:y>
    </cdr:to>
    <cdr:sp macro="" textlink="">
      <cdr:nvSpPr>
        <cdr:cNvPr id="5" name="Text Box 1"/>
        <cdr:cNvSpPr txBox="1"/>
      </cdr:nvSpPr>
      <cdr:spPr>
        <a:xfrm xmlns:a="http://schemas.openxmlformats.org/drawingml/2006/main">
          <a:off x="1063625" y="1339849"/>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3</a:t>
          </a:r>
        </a:p>
      </cdr:txBody>
    </cdr:sp>
  </cdr:relSizeAnchor>
  <cdr:relSizeAnchor xmlns:cdr="http://schemas.openxmlformats.org/drawingml/2006/chartDrawing">
    <cdr:from>
      <cdr:x>0.35832</cdr:x>
      <cdr:y>0.18177</cdr:y>
    </cdr:from>
    <cdr:to>
      <cdr:x>0.43183</cdr:x>
      <cdr:y>0.25432</cdr:y>
    </cdr:to>
    <cdr:sp macro="" textlink="">
      <cdr:nvSpPr>
        <cdr:cNvPr id="6" name="Text Box 1"/>
        <cdr:cNvSpPr txBox="1"/>
      </cdr:nvSpPr>
      <cdr:spPr>
        <a:xfrm xmlns:a="http://schemas.openxmlformats.org/drawingml/2006/main">
          <a:off x="1238250" y="708024"/>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4</a:t>
          </a:r>
        </a:p>
      </cdr:txBody>
    </cdr:sp>
  </cdr:relSizeAnchor>
  <cdr:relSizeAnchor xmlns:cdr="http://schemas.openxmlformats.org/drawingml/2006/chartDrawing">
    <cdr:from>
      <cdr:x>0.31239</cdr:x>
      <cdr:y>0.79801</cdr:y>
    </cdr:from>
    <cdr:to>
      <cdr:x>0.38589</cdr:x>
      <cdr:y>0.87056</cdr:y>
    </cdr:to>
    <cdr:sp macro="" textlink="">
      <cdr:nvSpPr>
        <cdr:cNvPr id="7" name="Text Box 1"/>
        <cdr:cNvSpPr txBox="1"/>
      </cdr:nvSpPr>
      <cdr:spPr>
        <a:xfrm xmlns:a="http://schemas.openxmlformats.org/drawingml/2006/main">
          <a:off x="1079500" y="3108324"/>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5</a:t>
          </a:r>
        </a:p>
      </cdr:txBody>
    </cdr:sp>
  </cdr:relSizeAnchor>
  <cdr:relSizeAnchor xmlns:cdr="http://schemas.openxmlformats.org/drawingml/2006/chartDrawing">
    <cdr:from>
      <cdr:x>0.35741</cdr:x>
      <cdr:y>0.69938</cdr:y>
    </cdr:from>
    <cdr:to>
      <cdr:x>0.43091</cdr:x>
      <cdr:y>0.77193</cdr:y>
    </cdr:to>
    <cdr:sp macro="" textlink="">
      <cdr:nvSpPr>
        <cdr:cNvPr id="8" name="Text Box 1"/>
        <cdr:cNvSpPr txBox="1"/>
      </cdr:nvSpPr>
      <cdr:spPr>
        <a:xfrm xmlns:a="http://schemas.openxmlformats.org/drawingml/2006/main">
          <a:off x="1235075" y="2724150"/>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6</a:t>
          </a:r>
        </a:p>
      </cdr:txBody>
    </cdr:sp>
  </cdr:relSizeAnchor>
  <cdr:relSizeAnchor xmlns:cdr="http://schemas.openxmlformats.org/drawingml/2006/chartDrawing">
    <cdr:from>
      <cdr:x>0.42448</cdr:x>
      <cdr:y>0.58445</cdr:y>
    </cdr:from>
    <cdr:to>
      <cdr:x>0.49798</cdr:x>
      <cdr:y>0.65699</cdr:y>
    </cdr:to>
    <cdr:sp macro="" textlink="">
      <cdr:nvSpPr>
        <cdr:cNvPr id="9" name="Text Box 1"/>
        <cdr:cNvSpPr txBox="1"/>
      </cdr:nvSpPr>
      <cdr:spPr>
        <a:xfrm xmlns:a="http://schemas.openxmlformats.org/drawingml/2006/main">
          <a:off x="1466850" y="2276475"/>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7</a:t>
          </a:r>
        </a:p>
      </cdr:txBody>
    </cdr:sp>
  </cdr:relSizeAnchor>
  <cdr:relSizeAnchor xmlns:cdr="http://schemas.openxmlformats.org/drawingml/2006/chartDrawing">
    <cdr:from>
      <cdr:x>0.52462</cdr:x>
      <cdr:y>0.33828</cdr:y>
    </cdr:from>
    <cdr:to>
      <cdr:x>0.59813</cdr:x>
      <cdr:y>0.41083</cdr:y>
    </cdr:to>
    <cdr:sp macro="" textlink="">
      <cdr:nvSpPr>
        <cdr:cNvPr id="10" name="Text Box 1"/>
        <cdr:cNvSpPr txBox="1"/>
      </cdr:nvSpPr>
      <cdr:spPr>
        <a:xfrm xmlns:a="http://schemas.openxmlformats.org/drawingml/2006/main">
          <a:off x="1812925" y="1317625"/>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8</a:t>
          </a:r>
        </a:p>
      </cdr:txBody>
    </cdr:sp>
  </cdr:relSizeAnchor>
  <cdr:relSizeAnchor xmlns:cdr="http://schemas.openxmlformats.org/drawingml/2006/chartDrawing">
    <cdr:from>
      <cdr:x>0.47593</cdr:x>
      <cdr:y>0.80861</cdr:y>
    </cdr:from>
    <cdr:to>
      <cdr:x>0.54943</cdr:x>
      <cdr:y>0.88115</cdr:y>
    </cdr:to>
    <cdr:sp macro="" textlink="">
      <cdr:nvSpPr>
        <cdr:cNvPr id="11" name="Text Box 1"/>
        <cdr:cNvSpPr txBox="1"/>
      </cdr:nvSpPr>
      <cdr:spPr>
        <a:xfrm xmlns:a="http://schemas.openxmlformats.org/drawingml/2006/main">
          <a:off x="1644650" y="3149600"/>
          <a:ext cx="254000"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9</a:t>
          </a:r>
        </a:p>
      </cdr:txBody>
    </cdr:sp>
  </cdr:relSizeAnchor>
  <cdr:relSizeAnchor xmlns:cdr="http://schemas.openxmlformats.org/drawingml/2006/chartDrawing">
    <cdr:from>
      <cdr:x>0.55402</cdr:x>
      <cdr:y>0.67982</cdr:y>
    </cdr:from>
    <cdr:to>
      <cdr:x>0.65601</cdr:x>
      <cdr:y>0.75236</cdr:y>
    </cdr:to>
    <cdr:sp macro="" textlink="">
      <cdr:nvSpPr>
        <cdr:cNvPr id="12" name="Text Box 1"/>
        <cdr:cNvSpPr txBox="1"/>
      </cdr:nvSpPr>
      <cdr:spPr>
        <a:xfrm xmlns:a="http://schemas.openxmlformats.org/drawingml/2006/main">
          <a:off x="1914524" y="2647950"/>
          <a:ext cx="352425"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10</a:t>
          </a:r>
        </a:p>
      </cdr:txBody>
    </cdr:sp>
  </cdr:relSizeAnchor>
  <cdr:relSizeAnchor xmlns:cdr="http://schemas.openxmlformats.org/drawingml/2006/chartDrawing">
    <cdr:from>
      <cdr:x>0.65968</cdr:x>
      <cdr:y>0.53635</cdr:y>
    </cdr:from>
    <cdr:to>
      <cdr:x>0.76167</cdr:x>
      <cdr:y>0.6089</cdr:y>
    </cdr:to>
    <cdr:sp macro="" textlink="">
      <cdr:nvSpPr>
        <cdr:cNvPr id="13" name="Text Box 1"/>
        <cdr:cNvSpPr txBox="1"/>
      </cdr:nvSpPr>
      <cdr:spPr>
        <a:xfrm xmlns:a="http://schemas.openxmlformats.org/drawingml/2006/main">
          <a:off x="2279649" y="2089150"/>
          <a:ext cx="352425"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11</a:t>
          </a:r>
        </a:p>
      </cdr:txBody>
    </cdr:sp>
  </cdr:relSizeAnchor>
  <cdr:relSizeAnchor xmlns:cdr="http://schemas.openxmlformats.org/drawingml/2006/chartDrawing">
    <cdr:from>
      <cdr:x>0.75983</cdr:x>
      <cdr:y>0.40349</cdr:y>
    </cdr:from>
    <cdr:to>
      <cdr:x>0.86182</cdr:x>
      <cdr:y>0.47604</cdr:y>
    </cdr:to>
    <cdr:sp macro="" textlink="">
      <cdr:nvSpPr>
        <cdr:cNvPr id="14" name="Text Box 1"/>
        <cdr:cNvSpPr txBox="1"/>
      </cdr:nvSpPr>
      <cdr:spPr>
        <a:xfrm xmlns:a="http://schemas.openxmlformats.org/drawingml/2006/main">
          <a:off x="2625724" y="1571625"/>
          <a:ext cx="352425" cy="28257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GB">
              <a:latin typeface="Times New Roman" panose="02020603050405020304" pitchFamily="18" charset="0"/>
              <a:cs typeface="Times New Roman" panose="02020603050405020304" pitchFamily="18" charset="0"/>
            </a:rPr>
            <a:t>12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\Users\tl707\Desktop\Langmuir\acstemplate_msw2010.dotx</Template>
  <TotalTime>107</TotalTime>
  <Pages>24</Pages>
  <Words>4444</Words>
  <Characters>25331</Characters>
  <Application>Microsoft Macintosh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29716</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Lapidot, Tomer</dc:creator>
  <cp:lastModifiedBy>Jerry Heng</cp:lastModifiedBy>
  <cp:revision>38</cp:revision>
  <cp:lastPrinted>2008-06-11T19:33:00Z</cp:lastPrinted>
  <dcterms:created xsi:type="dcterms:W3CDTF">2016-02-22T02:25:00Z</dcterms:created>
  <dcterms:modified xsi:type="dcterms:W3CDTF">2016-03-25T20:46:00Z</dcterms:modified>
</cp:coreProperties>
</file>