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F38" w:rsidRPr="002700AC" w:rsidRDefault="007E4F38" w:rsidP="00207EFE">
      <w:pPr>
        <w:spacing w:line="480" w:lineRule="auto"/>
        <w:jc w:val="both"/>
        <w:rPr>
          <w:rFonts w:ascii="Arial" w:hAnsi="Arial" w:cs="Arial"/>
          <w:b/>
          <w:sz w:val="24"/>
          <w:szCs w:val="24"/>
        </w:rPr>
      </w:pPr>
      <w:bookmarkStart w:id="0" w:name="_GoBack"/>
      <w:bookmarkEnd w:id="0"/>
      <w:r w:rsidRPr="002700AC">
        <w:rPr>
          <w:rFonts w:ascii="Arial" w:hAnsi="Arial" w:cs="Arial"/>
          <w:b/>
          <w:sz w:val="24"/>
          <w:szCs w:val="24"/>
        </w:rPr>
        <w:t xml:space="preserve">RATIONALE AND DESIGN OF THE COMPARISON OF THREE COMBINATION THERAPIES IN LOWERING BLOOD PRESSURE IN BLACK AFRICANS (CREOLE STUDY): 2 x 3 FACTORIAL RANDOMIZED SINGLE-BLIND MULTICENTRE TRIAL </w:t>
      </w:r>
    </w:p>
    <w:p w:rsidR="00305F45" w:rsidRPr="002700AC" w:rsidRDefault="004C192F" w:rsidP="00207EFE">
      <w:pPr>
        <w:tabs>
          <w:tab w:val="left" w:pos="-142"/>
        </w:tabs>
        <w:spacing w:line="480" w:lineRule="auto"/>
        <w:jc w:val="both"/>
        <w:rPr>
          <w:rFonts w:ascii="Arial" w:hAnsi="Arial" w:cs="Arial"/>
          <w:sz w:val="24"/>
          <w:szCs w:val="24"/>
          <w:vertAlign w:val="superscript"/>
          <w:lang w:val="en-CA"/>
        </w:rPr>
      </w:pPr>
      <w:r w:rsidRPr="002700AC">
        <w:rPr>
          <w:rFonts w:ascii="Arial" w:hAnsi="Arial" w:cs="Arial"/>
          <w:sz w:val="24"/>
          <w:szCs w:val="24"/>
        </w:rPr>
        <w:t>Dike B. Ojji, PhD,</w:t>
      </w:r>
      <w:r w:rsidRPr="002700AC">
        <w:rPr>
          <w:rFonts w:ascii="Arial" w:hAnsi="Arial" w:cs="Arial"/>
          <w:sz w:val="24"/>
          <w:szCs w:val="24"/>
          <w:vertAlign w:val="superscript"/>
        </w:rPr>
        <w:t>a</w:t>
      </w:r>
      <w:r w:rsidR="00234980" w:rsidRPr="002700AC">
        <w:rPr>
          <w:rFonts w:ascii="Arial" w:hAnsi="Arial" w:cs="Arial"/>
          <w:sz w:val="24"/>
          <w:szCs w:val="24"/>
        </w:rPr>
        <w:t xml:space="preserve"> Neil Poulter, FMedSci</w:t>
      </w:r>
      <w:r w:rsidRPr="002700AC">
        <w:rPr>
          <w:rFonts w:ascii="Arial" w:hAnsi="Arial" w:cs="Arial"/>
          <w:sz w:val="24"/>
          <w:szCs w:val="24"/>
        </w:rPr>
        <w:t>,</w:t>
      </w:r>
      <w:r w:rsidRPr="002700AC">
        <w:rPr>
          <w:rFonts w:ascii="Arial" w:hAnsi="Arial" w:cs="Arial"/>
          <w:sz w:val="24"/>
          <w:szCs w:val="24"/>
          <w:vertAlign w:val="superscript"/>
        </w:rPr>
        <w:t>b</w:t>
      </w:r>
      <w:r w:rsidRPr="002700AC">
        <w:rPr>
          <w:rFonts w:ascii="Arial" w:hAnsi="Arial" w:cs="Arial"/>
          <w:sz w:val="24"/>
          <w:szCs w:val="24"/>
        </w:rPr>
        <w:t xml:space="preserve"> Albertino Damasceno,PhD,</w:t>
      </w:r>
      <w:r w:rsidRPr="002700AC">
        <w:rPr>
          <w:rFonts w:ascii="Arial" w:hAnsi="Arial" w:cs="Arial"/>
          <w:sz w:val="24"/>
          <w:szCs w:val="24"/>
          <w:vertAlign w:val="superscript"/>
        </w:rPr>
        <w:t xml:space="preserve">c </w:t>
      </w:r>
      <w:r w:rsidRPr="002700AC">
        <w:rPr>
          <w:rFonts w:ascii="Arial" w:hAnsi="Arial" w:cs="Arial"/>
          <w:sz w:val="24"/>
          <w:szCs w:val="24"/>
        </w:rPr>
        <w:t xml:space="preserve"> Karen Sliwa, </w:t>
      </w:r>
      <w:r w:rsidR="00AD73EE" w:rsidRPr="002700AC">
        <w:rPr>
          <w:rFonts w:ascii="Arial" w:hAnsi="Arial" w:cs="Arial"/>
          <w:sz w:val="24"/>
          <w:szCs w:val="24"/>
        </w:rPr>
        <w:t xml:space="preserve">MD, </w:t>
      </w:r>
      <w:r w:rsidRPr="002700AC">
        <w:rPr>
          <w:rFonts w:ascii="Arial" w:hAnsi="Arial" w:cs="Arial"/>
          <w:sz w:val="24"/>
          <w:szCs w:val="24"/>
        </w:rPr>
        <w:t>PhD,</w:t>
      </w:r>
      <w:r w:rsidRPr="002700AC">
        <w:rPr>
          <w:rFonts w:ascii="Arial" w:hAnsi="Arial" w:cs="Arial"/>
          <w:sz w:val="24"/>
          <w:szCs w:val="24"/>
          <w:vertAlign w:val="superscript"/>
        </w:rPr>
        <w:t>d</w:t>
      </w:r>
      <w:r w:rsidRPr="002700AC">
        <w:rPr>
          <w:rFonts w:ascii="Arial" w:hAnsi="Arial" w:cs="Arial"/>
          <w:sz w:val="24"/>
          <w:szCs w:val="24"/>
        </w:rPr>
        <w:t xml:space="preserve"> Wynand Smythe,PhD,</w:t>
      </w:r>
      <w:r w:rsidRPr="002700AC">
        <w:rPr>
          <w:rFonts w:ascii="Arial" w:hAnsi="Arial" w:cs="Arial"/>
          <w:sz w:val="24"/>
          <w:szCs w:val="24"/>
          <w:vertAlign w:val="superscript"/>
        </w:rPr>
        <w:t>e</w:t>
      </w:r>
      <w:r w:rsidRPr="002700AC">
        <w:rPr>
          <w:rFonts w:ascii="Arial" w:hAnsi="Arial" w:cs="Arial"/>
          <w:sz w:val="24"/>
          <w:szCs w:val="24"/>
        </w:rPr>
        <w:t xml:space="preserve"> Nicky Kramer, B.Pharm,</w:t>
      </w:r>
      <w:r w:rsidRPr="002700AC">
        <w:rPr>
          <w:rFonts w:ascii="Arial" w:hAnsi="Arial" w:cs="Arial"/>
          <w:sz w:val="24"/>
          <w:szCs w:val="24"/>
          <w:vertAlign w:val="superscript"/>
        </w:rPr>
        <w:t xml:space="preserve">e  </w:t>
      </w:r>
      <w:r w:rsidRPr="002700AC">
        <w:rPr>
          <w:rFonts w:ascii="Arial" w:hAnsi="Arial" w:cs="Arial"/>
          <w:sz w:val="24"/>
          <w:szCs w:val="24"/>
        </w:rPr>
        <w:t xml:space="preserve">Motasim Badri,PhD </w:t>
      </w:r>
      <w:r w:rsidRPr="002700AC">
        <w:rPr>
          <w:rFonts w:ascii="Arial" w:hAnsi="Arial" w:cs="Arial"/>
          <w:sz w:val="24"/>
          <w:szCs w:val="24"/>
          <w:vertAlign w:val="superscript"/>
        </w:rPr>
        <w:t>f,g</w:t>
      </w:r>
      <w:r w:rsidR="00030D56" w:rsidRPr="002700AC">
        <w:rPr>
          <w:rFonts w:ascii="Arial" w:hAnsi="Arial" w:cs="Arial"/>
          <w:sz w:val="24"/>
          <w:szCs w:val="24"/>
        </w:rPr>
        <w:t xml:space="preserve"> </w:t>
      </w:r>
      <w:r w:rsidRPr="002700AC">
        <w:rPr>
          <w:rFonts w:ascii="Arial" w:hAnsi="Arial" w:cs="Arial"/>
          <w:sz w:val="24"/>
          <w:szCs w:val="24"/>
        </w:rPr>
        <w:t>Veronica Francis,BA,</w:t>
      </w:r>
      <w:r w:rsidR="00030D56" w:rsidRPr="002700AC">
        <w:rPr>
          <w:rFonts w:ascii="Arial" w:hAnsi="Arial" w:cs="Arial"/>
          <w:sz w:val="24"/>
          <w:szCs w:val="24"/>
          <w:vertAlign w:val="superscript"/>
        </w:rPr>
        <w:t>e</w:t>
      </w:r>
      <w:r w:rsidRPr="002700AC">
        <w:rPr>
          <w:rFonts w:ascii="Arial" w:hAnsi="Arial" w:cs="Arial"/>
          <w:sz w:val="24"/>
          <w:szCs w:val="24"/>
        </w:rPr>
        <w:t xml:space="preserve"> Akinyemi Aje,</w:t>
      </w:r>
      <w:r w:rsidR="001A7BA0" w:rsidRPr="002700AC">
        <w:rPr>
          <w:rFonts w:ascii="Arial" w:hAnsi="Arial" w:cs="Arial"/>
          <w:sz w:val="24"/>
          <w:szCs w:val="24"/>
        </w:rPr>
        <w:t xml:space="preserve"> </w:t>
      </w:r>
      <w:r w:rsidRPr="002700AC">
        <w:rPr>
          <w:rFonts w:ascii="Arial" w:hAnsi="Arial" w:cs="Arial"/>
          <w:sz w:val="24"/>
          <w:szCs w:val="24"/>
        </w:rPr>
        <w:t>FMCP,</w:t>
      </w:r>
      <w:r w:rsidR="00276613" w:rsidRPr="002700AC">
        <w:rPr>
          <w:rFonts w:ascii="Arial" w:hAnsi="Arial" w:cs="Arial"/>
          <w:sz w:val="24"/>
          <w:szCs w:val="24"/>
          <w:vertAlign w:val="superscript"/>
        </w:rPr>
        <w:t>h</w:t>
      </w:r>
      <w:r w:rsidRPr="002700AC">
        <w:rPr>
          <w:rFonts w:ascii="Arial" w:hAnsi="Arial" w:cs="Arial"/>
          <w:sz w:val="24"/>
          <w:szCs w:val="24"/>
        </w:rPr>
        <w:t xml:space="preserve"> </w:t>
      </w:r>
      <w:r w:rsidRPr="002700AC">
        <w:rPr>
          <w:rFonts w:ascii="Arial" w:hAnsi="Arial" w:cs="Arial"/>
          <w:sz w:val="24"/>
          <w:szCs w:val="24"/>
          <w:lang w:val="en-CA"/>
        </w:rPr>
        <w:t>Felix Barasa, MMed,</w:t>
      </w:r>
      <w:r w:rsidR="00276613" w:rsidRPr="002700AC">
        <w:rPr>
          <w:rFonts w:ascii="Arial" w:hAnsi="Arial" w:cs="Arial"/>
          <w:sz w:val="24"/>
          <w:szCs w:val="24"/>
          <w:vertAlign w:val="superscript"/>
          <w:lang w:val="en-CA"/>
        </w:rPr>
        <w:t>i</w:t>
      </w:r>
      <w:r w:rsidRPr="002700AC">
        <w:rPr>
          <w:rFonts w:ascii="Arial" w:hAnsi="Arial" w:cs="Arial"/>
          <w:sz w:val="24"/>
          <w:szCs w:val="24"/>
          <w:lang w:val="en-CA"/>
        </w:rPr>
        <w:t xml:space="preserve"> Anastase Dzudie,PhD,</w:t>
      </w:r>
      <w:r w:rsidR="00276613" w:rsidRPr="002700AC">
        <w:rPr>
          <w:rFonts w:ascii="Arial" w:hAnsi="Arial" w:cs="Arial"/>
          <w:sz w:val="24"/>
          <w:szCs w:val="24"/>
          <w:vertAlign w:val="superscript"/>
          <w:lang w:val="en-CA"/>
        </w:rPr>
        <w:t>j</w:t>
      </w:r>
      <w:r w:rsidRPr="002700AC">
        <w:rPr>
          <w:rFonts w:ascii="Arial" w:hAnsi="Arial" w:cs="Arial"/>
          <w:sz w:val="24"/>
          <w:szCs w:val="24"/>
          <w:lang w:val="en-CA"/>
        </w:rPr>
        <w:t xml:space="preserve"> Erika Jones, PhD,</w:t>
      </w:r>
      <w:r w:rsidRPr="002700AC">
        <w:rPr>
          <w:rFonts w:ascii="Arial" w:hAnsi="Arial" w:cs="Arial"/>
          <w:sz w:val="24"/>
          <w:szCs w:val="24"/>
          <w:vertAlign w:val="superscript"/>
          <w:lang w:val="en-CA"/>
        </w:rPr>
        <w:t>g</w:t>
      </w:r>
      <w:r w:rsidRPr="002700AC">
        <w:rPr>
          <w:rFonts w:ascii="Arial" w:hAnsi="Arial" w:cs="Arial"/>
          <w:sz w:val="24"/>
          <w:szCs w:val="24"/>
          <w:lang w:val="en-CA"/>
        </w:rPr>
        <w:t xml:space="preserve"> Abubakar Kana, FWACP,</w:t>
      </w:r>
      <w:r w:rsidR="00276613" w:rsidRPr="002700AC">
        <w:rPr>
          <w:rFonts w:ascii="Arial" w:hAnsi="Arial" w:cs="Arial"/>
          <w:sz w:val="24"/>
          <w:szCs w:val="24"/>
          <w:vertAlign w:val="superscript"/>
          <w:lang w:val="en-CA"/>
        </w:rPr>
        <w:t>k</w:t>
      </w:r>
      <w:r w:rsidRPr="002700AC">
        <w:rPr>
          <w:rFonts w:ascii="Arial" w:hAnsi="Arial" w:cs="Arial"/>
          <w:sz w:val="24"/>
          <w:szCs w:val="24"/>
          <w:lang w:val="en-CA"/>
        </w:rPr>
        <w:t xml:space="preserve"> Mntla Pindile,FCP(SA),</w:t>
      </w:r>
      <w:r w:rsidR="00276613" w:rsidRPr="002700AC">
        <w:rPr>
          <w:rFonts w:ascii="Arial" w:hAnsi="Arial" w:cs="Arial"/>
          <w:sz w:val="24"/>
          <w:szCs w:val="24"/>
          <w:vertAlign w:val="superscript"/>
          <w:lang w:val="en-CA"/>
        </w:rPr>
        <w:t>l</w:t>
      </w:r>
      <w:r w:rsidRPr="002700AC">
        <w:rPr>
          <w:rFonts w:ascii="Arial" w:hAnsi="Arial" w:cs="Arial"/>
          <w:sz w:val="24"/>
          <w:szCs w:val="24"/>
          <w:lang w:val="en-CA"/>
        </w:rPr>
        <w:t xml:space="preserve"> Charles Mondo, PhD,</w:t>
      </w:r>
      <w:r w:rsidR="00276613" w:rsidRPr="002700AC">
        <w:rPr>
          <w:rFonts w:ascii="Arial" w:hAnsi="Arial" w:cs="Arial"/>
          <w:sz w:val="24"/>
          <w:szCs w:val="24"/>
          <w:vertAlign w:val="superscript"/>
          <w:lang w:val="en-CA"/>
        </w:rPr>
        <w:t>m</w:t>
      </w:r>
      <w:r w:rsidRPr="002700AC">
        <w:rPr>
          <w:rFonts w:ascii="Arial" w:hAnsi="Arial" w:cs="Arial"/>
          <w:sz w:val="24"/>
          <w:szCs w:val="24"/>
          <w:vertAlign w:val="superscript"/>
          <w:lang w:val="en-CA"/>
        </w:rPr>
        <w:t xml:space="preserve"> </w:t>
      </w:r>
      <w:r w:rsidR="001A7BA0" w:rsidRPr="002700AC">
        <w:rPr>
          <w:rFonts w:ascii="Arial" w:hAnsi="Arial" w:cs="Arial"/>
          <w:sz w:val="24"/>
          <w:szCs w:val="24"/>
          <w:lang w:val="en-CA"/>
        </w:rPr>
        <w:t>Okechukwu Ogah, PhD,</w:t>
      </w:r>
      <w:r w:rsidR="00276613" w:rsidRPr="002700AC">
        <w:rPr>
          <w:rFonts w:ascii="Arial" w:hAnsi="Arial" w:cs="Arial"/>
          <w:sz w:val="24"/>
          <w:szCs w:val="24"/>
          <w:vertAlign w:val="superscript"/>
          <w:lang w:val="en-CA"/>
        </w:rPr>
        <w:t>h</w:t>
      </w:r>
      <w:r w:rsidR="001A7BA0" w:rsidRPr="002700AC">
        <w:rPr>
          <w:rFonts w:ascii="Arial" w:hAnsi="Arial" w:cs="Arial"/>
          <w:sz w:val="24"/>
          <w:szCs w:val="24"/>
          <w:lang w:val="en-CA"/>
        </w:rPr>
        <w:t xml:space="preserve"> </w:t>
      </w:r>
      <w:r w:rsidR="001B7C9A" w:rsidRPr="002700AC">
        <w:rPr>
          <w:rFonts w:ascii="Arial" w:hAnsi="Arial" w:cs="Arial"/>
          <w:sz w:val="24"/>
          <w:szCs w:val="24"/>
          <w:lang w:val="en-CA"/>
        </w:rPr>
        <w:t xml:space="preserve">Elijah N. </w:t>
      </w:r>
      <w:r w:rsidR="00836AE2" w:rsidRPr="002700AC">
        <w:rPr>
          <w:rFonts w:ascii="Arial" w:hAnsi="Arial" w:cs="Arial"/>
          <w:sz w:val="24"/>
          <w:szCs w:val="24"/>
          <w:lang w:val="en-CA"/>
        </w:rPr>
        <w:t>Ogola,</w:t>
      </w:r>
      <w:r w:rsidR="001B7C9A" w:rsidRPr="002700AC">
        <w:rPr>
          <w:rFonts w:ascii="Arial" w:hAnsi="Arial" w:cs="Arial"/>
          <w:sz w:val="24"/>
          <w:szCs w:val="24"/>
          <w:lang w:val="en-CA"/>
        </w:rPr>
        <w:t xml:space="preserve"> </w:t>
      </w:r>
      <w:r w:rsidR="00836AE2" w:rsidRPr="002700AC">
        <w:rPr>
          <w:rFonts w:ascii="Arial" w:hAnsi="Arial" w:cs="Arial"/>
          <w:sz w:val="24"/>
          <w:szCs w:val="24"/>
          <w:lang w:val="en-CA"/>
        </w:rPr>
        <w:t>MM</w:t>
      </w:r>
      <w:r w:rsidRPr="002700AC">
        <w:rPr>
          <w:rFonts w:ascii="Arial" w:hAnsi="Arial" w:cs="Arial"/>
          <w:sz w:val="24"/>
          <w:szCs w:val="24"/>
          <w:lang w:val="en-CA"/>
        </w:rPr>
        <w:t>ed,</w:t>
      </w:r>
      <w:r w:rsidR="00276613" w:rsidRPr="002700AC">
        <w:rPr>
          <w:rFonts w:ascii="Arial" w:hAnsi="Arial" w:cs="Arial"/>
          <w:sz w:val="24"/>
          <w:szCs w:val="24"/>
          <w:vertAlign w:val="superscript"/>
          <w:lang w:val="en-CA"/>
        </w:rPr>
        <w:t>n</w:t>
      </w:r>
      <w:r w:rsidRPr="002700AC">
        <w:rPr>
          <w:rFonts w:ascii="Arial" w:hAnsi="Arial" w:cs="Arial"/>
          <w:sz w:val="24"/>
          <w:szCs w:val="24"/>
          <w:vertAlign w:val="superscript"/>
          <w:lang w:val="en-CA"/>
        </w:rPr>
        <w:t xml:space="preserve"> </w:t>
      </w:r>
      <w:r w:rsidRPr="002700AC">
        <w:rPr>
          <w:rFonts w:ascii="Arial" w:hAnsi="Arial" w:cs="Arial"/>
          <w:sz w:val="24"/>
          <w:szCs w:val="24"/>
          <w:lang w:val="en-CA"/>
        </w:rPr>
        <w:t>Gboyega Ogunbanjo,FCFP(SA),</w:t>
      </w:r>
      <w:r w:rsidR="00276613" w:rsidRPr="002700AC">
        <w:rPr>
          <w:rFonts w:ascii="Arial" w:hAnsi="Arial" w:cs="Arial"/>
          <w:sz w:val="24"/>
          <w:szCs w:val="24"/>
          <w:vertAlign w:val="superscript"/>
          <w:lang w:val="en-CA"/>
        </w:rPr>
        <w:t>o</w:t>
      </w:r>
      <w:r w:rsidRPr="002700AC">
        <w:rPr>
          <w:rFonts w:ascii="Arial" w:hAnsi="Arial" w:cs="Arial"/>
          <w:sz w:val="24"/>
          <w:szCs w:val="24"/>
          <w:lang w:val="en-CA"/>
        </w:rPr>
        <w:t xml:space="preserve"> Ikechi Okpechi, PhD,</w:t>
      </w:r>
      <w:r w:rsidR="00E6562D" w:rsidRPr="002700AC">
        <w:rPr>
          <w:rFonts w:ascii="Arial" w:hAnsi="Arial" w:cs="Arial"/>
          <w:sz w:val="24"/>
          <w:szCs w:val="24"/>
          <w:vertAlign w:val="superscript"/>
          <w:lang w:val="en-CA"/>
        </w:rPr>
        <w:t>g</w:t>
      </w:r>
      <w:r w:rsidRPr="002700AC">
        <w:rPr>
          <w:rFonts w:ascii="Arial" w:hAnsi="Arial" w:cs="Arial"/>
          <w:sz w:val="24"/>
          <w:szCs w:val="24"/>
          <w:vertAlign w:val="superscript"/>
          <w:lang w:val="en-CA"/>
        </w:rPr>
        <w:t xml:space="preserve"> </w:t>
      </w:r>
      <w:r w:rsidRPr="002700AC">
        <w:rPr>
          <w:rFonts w:ascii="Arial" w:hAnsi="Arial" w:cs="Arial"/>
          <w:sz w:val="24"/>
          <w:szCs w:val="24"/>
          <w:lang w:val="en-CA"/>
        </w:rPr>
        <w:t>Gabriel Shedul,</w:t>
      </w:r>
      <w:r w:rsidR="00207EFE" w:rsidRPr="002700AC">
        <w:rPr>
          <w:rFonts w:ascii="Arial" w:hAnsi="Arial" w:cs="Arial"/>
          <w:sz w:val="24"/>
          <w:szCs w:val="24"/>
          <w:lang w:val="en-CA"/>
        </w:rPr>
        <w:t xml:space="preserve"> </w:t>
      </w:r>
      <w:r w:rsidRPr="002700AC">
        <w:rPr>
          <w:rFonts w:ascii="Arial" w:hAnsi="Arial" w:cs="Arial"/>
          <w:sz w:val="24"/>
          <w:szCs w:val="24"/>
          <w:lang w:val="en-CA"/>
        </w:rPr>
        <w:t>FMCFM,</w:t>
      </w:r>
      <w:r w:rsidR="00276613" w:rsidRPr="002700AC">
        <w:rPr>
          <w:rFonts w:ascii="Arial" w:hAnsi="Arial" w:cs="Arial"/>
          <w:sz w:val="24"/>
          <w:szCs w:val="24"/>
          <w:vertAlign w:val="superscript"/>
          <w:lang w:val="en-CA"/>
        </w:rPr>
        <w:t>p</w:t>
      </w:r>
      <w:r w:rsidRPr="002700AC">
        <w:rPr>
          <w:rFonts w:ascii="Arial" w:hAnsi="Arial" w:cs="Arial"/>
          <w:sz w:val="24"/>
          <w:szCs w:val="24"/>
          <w:lang w:val="en-CA"/>
        </w:rPr>
        <w:t xml:space="preserve"> Mahmoud Sani,</w:t>
      </w:r>
      <w:r w:rsidR="001A7BA0" w:rsidRPr="002700AC">
        <w:rPr>
          <w:rFonts w:ascii="Arial" w:hAnsi="Arial" w:cs="Arial"/>
          <w:sz w:val="24"/>
          <w:szCs w:val="24"/>
          <w:lang w:val="en-CA"/>
        </w:rPr>
        <w:t xml:space="preserve"> </w:t>
      </w:r>
      <w:r w:rsidRPr="002700AC">
        <w:rPr>
          <w:rFonts w:ascii="Arial" w:hAnsi="Arial" w:cs="Arial"/>
          <w:sz w:val="24"/>
          <w:szCs w:val="24"/>
          <w:lang w:val="en-CA"/>
        </w:rPr>
        <w:t>PhD,</w:t>
      </w:r>
      <w:r w:rsidR="00276613" w:rsidRPr="002700AC">
        <w:rPr>
          <w:rFonts w:ascii="Arial" w:hAnsi="Arial" w:cs="Arial"/>
          <w:sz w:val="24"/>
          <w:szCs w:val="24"/>
          <w:vertAlign w:val="superscript"/>
          <w:lang w:val="en-CA"/>
        </w:rPr>
        <w:t>q</w:t>
      </w:r>
      <w:r w:rsidRPr="002700AC">
        <w:rPr>
          <w:rFonts w:ascii="Arial" w:hAnsi="Arial" w:cs="Arial"/>
          <w:sz w:val="24"/>
          <w:szCs w:val="24"/>
          <w:lang w:val="en-CA"/>
        </w:rPr>
        <w:t xml:space="preserve"> Grace Shedul,B.Pharm,</w:t>
      </w:r>
      <w:r w:rsidR="00276613" w:rsidRPr="002700AC">
        <w:rPr>
          <w:rFonts w:ascii="Arial" w:hAnsi="Arial" w:cs="Arial"/>
          <w:sz w:val="24"/>
          <w:szCs w:val="24"/>
          <w:vertAlign w:val="superscript"/>
          <w:lang w:val="en-CA"/>
        </w:rPr>
        <w:t>r</w:t>
      </w:r>
      <w:r w:rsidRPr="002700AC">
        <w:rPr>
          <w:rFonts w:ascii="Arial" w:hAnsi="Arial" w:cs="Arial"/>
          <w:sz w:val="24"/>
          <w:szCs w:val="24"/>
          <w:vertAlign w:val="superscript"/>
          <w:lang w:val="en-CA"/>
        </w:rPr>
        <w:t xml:space="preserve"> </w:t>
      </w:r>
      <w:r w:rsidRPr="002700AC">
        <w:rPr>
          <w:rFonts w:ascii="Arial" w:hAnsi="Arial" w:cs="Arial"/>
          <w:sz w:val="24"/>
          <w:szCs w:val="24"/>
          <w:lang w:val="en-CA"/>
        </w:rPr>
        <w:t>and</w:t>
      </w:r>
      <w:r w:rsidRPr="002700AC">
        <w:rPr>
          <w:rFonts w:ascii="Arial" w:hAnsi="Arial" w:cs="Arial"/>
          <w:sz w:val="24"/>
          <w:szCs w:val="24"/>
          <w:vertAlign w:val="superscript"/>
          <w:lang w:val="en-CA"/>
        </w:rPr>
        <w:t xml:space="preserve"> </w:t>
      </w:r>
      <w:r w:rsidRPr="002700AC">
        <w:rPr>
          <w:rFonts w:ascii="Arial" w:hAnsi="Arial" w:cs="Arial"/>
          <w:sz w:val="24"/>
          <w:szCs w:val="24"/>
          <w:lang w:val="en-CA"/>
        </w:rPr>
        <w:t>Bongani Mayosi</w:t>
      </w:r>
      <w:r w:rsidR="00E6562D" w:rsidRPr="002700AC">
        <w:rPr>
          <w:rFonts w:ascii="Arial" w:hAnsi="Arial" w:cs="Arial"/>
          <w:sz w:val="24"/>
          <w:szCs w:val="24"/>
          <w:lang w:val="en-CA"/>
        </w:rPr>
        <w:t>, DPhil,</w:t>
      </w:r>
      <w:r w:rsidR="00E6562D" w:rsidRPr="002700AC">
        <w:rPr>
          <w:rFonts w:ascii="Arial" w:hAnsi="Arial" w:cs="Arial"/>
          <w:sz w:val="24"/>
          <w:szCs w:val="24"/>
          <w:vertAlign w:val="superscript"/>
          <w:lang w:val="en-CA"/>
        </w:rPr>
        <w:t xml:space="preserve">g  </w:t>
      </w:r>
    </w:p>
    <w:p w:rsidR="004C192F" w:rsidRPr="002700AC" w:rsidRDefault="00E6562D" w:rsidP="00207EFE">
      <w:pPr>
        <w:tabs>
          <w:tab w:val="left" w:pos="-142"/>
        </w:tabs>
        <w:spacing w:line="480" w:lineRule="auto"/>
        <w:jc w:val="both"/>
        <w:rPr>
          <w:rFonts w:ascii="Arial" w:hAnsi="Arial" w:cs="Arial"/>
          <w:i/>
          <w:sz w:val="24"/>
          <w:szCs w:val="24"/>
          <w:lang w:val="en-CA"/>
        </w:rPr>
      </w:pPr>
      <w:r w:rsidRPr="002700AC">
        <w:rPr>
          <w:rFonts w:ascii="Arial" w:hAnsi="Arial" w:cs="Arial"/>
          <w:i/>
          <w:sz w:val="24"/>
          <w:szCs w:val="24"/>
          <w:lang w:val="en-CA"/>
        </w:rPr>
        <w:t xml:space="preserve">Abuja, Nigeria; London; United Kingdom; Maputo, Mozambique; Cape </w:t>
      </w:r>
      <w:r w:rsidR="00C11CAB" w:rsidRPr="002700AC">
        <w:rPr>
          <w:rFonts w:ascii="Arial" w:hAnsi="Arial" w:cs="Arial"/>
          <w:i/>
          <w:sz w:val="24"/>
          <w:szCs w:val="24"/>
          <w:lang w:val="en-CA"/>
        </w:rPr>
        <w:t>Town, South Africa; Riyadh, Saudi Arabia; Ibadan, Nigeria; Eldoret, Kenya; Douala, Cameroon; Kano, Nigeria; Pretoria, South Africa; Kampala, Uganda; Nairobi, Kenya</w:t>
      </w:r>
    </w:p>
    <w:p w:rsidR="006D3488" w:rsidRPr="002700AC" w:rsidRDefault="004047B1" w:rsidP="00207EFE">
      <w:pPr>
        <w:spacing w:line="480" w:lineRule="auto"/>
        <w:jc w:val="both"/>
        <w:rPr>
          <w:rFonts w:ascii="Arial" w:eastAsia="Calibri" w:hAnsi="Arial" w:cs="Arial"/>
          <w:sz w:val="24"/>
          <w:szCs w:val="24"/>
          <w:lang w:val="en-CA"/>
        </w:rPr>
      </w:pPr>
      <w:r w:rsidRPr="002700AC">
        <w:rPr>
          <w:rFonts w:ascii="Arial" w:eastAsia="Calibri" w:hAnsi="Arial" w:cs="Arial"/>
          <w:b/>
          <w:sz w:val="24"/>
          <w:szCs w:val="24"/>
          <w:lang w:val="en-CA"/>
        </w:rPr>
        <w:t>C</w:t>
      </w:r>
      <w:r w:rsidR="006D3488" w:rsidRPr="002700AC">
        <w:rPr>
          <w:rFonts w:ascii="Arial" w:eastAsia="Calibri" w:hAnsi="Arial" w:cs="Arial"/>
          <w:b/>
          <w:sz w:val="24"/>
          <w:szCs w:val="24"/>
          <w:lang w:val="en-CA"/>
        </w:rPr>
        <w:t>orresponding Author</w:t>
      </w:r>
      <w:r w:rsidR="006D3488" w:rsidRPr="002700AC">
        <w:rPr>
          <w:rFonts w:ascii="Arial" w:eastAsia="Calibri" w:hAnsi="Arial" w:cs="Arial"/>
          <w:sz w:val="24"/>
          <w:szCs w:val="24"/>
          <w:lang w:val="en-CA"/>
        </w:rPr>
        <w:t xml:space="preserve">: </w:t>
      </w:r>
    </w:p>
    <w:p w:rsidR="006D3488" w:rsidRPr="002700AC" w:rsidRDefault="006D3488" w:rsidP="00207EFE">
      <w:pPr>
        <w:tabs>
          <w:tab w:val="left" w:pos="-142"/>
        </w:tabs>
        <w:spacing w:line="480" w:lineRule="auto"/>
        <w:jc w:val="both"/>
        <w:rPr>
          <w:rFonts w:ascii="Arial" w:hAnsi="Arial" w:cs="Arial"/>
          <w:sz w:val="24"/>
          <w:szCs w:val="24"/>
          <w:lang w:val="en-CA"/>
        </w:rPr>
      </w:pPr>
      <w:r w:rsidRPr="002700AC">
        <w:rPr>
          <w:rFonts w:ascii="Arial" w:eastAsia="Calibri" w:hAnsi="Arial" w:cs="Arial"/>
          <w:sz w:val="24"/>
          <w:szCs w:val="24"/>
          <w:lang w:val="en-CA"/>
        </w:rPr>
        <w:t>Pr</w:t>
      </w:r>
      <w:r w:rsidRPr="002700AC">
        <w:rPr>
          <w:rFonts w:ascii="Arial" w:hAnsi="Arial" w:cs="Arial"/>
          <w:sz w:val="24"/>
          <w:szCs w:val="24"/>
          <w:lang w:val="en-CA"/>
        </w:rPr>
        <w:t>of Bongani Mayosi,</w:t>
      </w:r>
    </w:p>
    <w:p w:rsidR="006D3488" w:rsidRPr="002700AC" w:rsidRDefault="006D3488"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University of Cape Town,</w:t>
      </w:r>
      <w:r w:rsidR="00C87E77" w:rsidRPr="002700AC">
        <w:rPr>
          <w:rFonts w:ascii="Arial" w:hAnsi="Arial" w:cs="Arial"/>
          <w:sz w:val="24"/>
          <w:szCs w:val="24"/>
          <w:lang w:val="en-CA"/>
        </w:rPr>
        <w:t xml:space="preserve"> Faculty of Health Sciences,</w:t>
      </w:r>
    </w:p>
    <w:p w:rsidR="00C87E77" w:rsidRPr="002700AC" w:rsidRDefault="00C87E77"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 xml:space="preserve">Barnard Fuller Building, Anzio Road, Observatory, Cape Town </w:t>
      </w:r>
    </w:p>
    <w:p w:rsidR="006D3488" w:rsidRPr="002700AC" w:rsidRDefault="006D3488"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Rondebosch 7700</w:t>
      </w:r>
    </w:p>
    <w:p w:rsidR="006D3488" w:rsidRPr="002700AC" w:rsidRDefault="006D3488"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Cape Town, South Africa</w:t>
      </w:r>
    </w:p>
    <w:p w:rsidR="00C87E77" w:rsidRPr="002700AC" w:rsidRDefault="00C87E77"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Tel: +27 (0) 21 406-6101</w:t>
      </w:r>
      <w:r w:rsidR="00207EFE" w:rsidRPr="002700AC">
        <w:rPr>
          <w:rFonts w:ascii="Arial" w:hAnsi="Arial" w:cs="Arial"/>
          <w:sz w:val="24"/>
          <w:szCs w:val="24"/>
          <w:lang w:val="en-CA"/>
        </w:rPr>
        <w:t>/6</w:t>
      </w:r>
    </w:p>
    <w:p w:rsidR="006D3488" w:rsidRPr="002700AC" w:rsidRDefault="00305F45" w:rsidP="00207EFE">
      <w:pPr>
        <w:spacing w:line="480" w:lineRule="auto"/>
        <w:jc w:val="both"/>
        <w:rPr>
          <w:rFonts w:ascii="Arial" w:eastAsia="Calibri" w:hAnsi="Arial" w:cs="Arial"/>
          <w:sz w:val="24"/>
          <w:szCs w:val="24"/>
          <w:lang w:val="en-CA"/>
        </w:rPr>
      </w:pPr>
      <w:r w:rsidRPr="002700AC">
        <w:rPr>
          <w:rFonts w:ascii="Arial" w:eastAsia="Calibri" w:hAnsi="Arial" w:cs="Arial"/>
          <w:sz w:val="24"/>
          <w:szCs w:val="24"/>
          <w:lang w:val="en-CA"/>
        </w:rPr>
        <w:t xml:space="preserve">Email: </w:t>
      </w:r>
      <w:hyperlink r:id="rId8" w:history="1">
        <w:r w:rsidRPr="002700AC">
          <w:rPr>
            <w:rStyle w:val="Hyperlink"/>
            <w:rFonts w:ascii="Arial" w:eastAsia="Calibri" w:hAnsi="Arial" w:cs="Arial"/>
            <w:sz w:val="24"/>
            <w:szCs w:val="24"/>
            <w:lang w:val="en-CA"/>
          </w:rPr>
          <w:t>bongani.mayosi@uct.ac.za</w:t>
        </w:r>
      </w:hyperlink>
    </w:p>
    <w:p w:rsidR="00305F45" w:rsidRPr="002700AC" w:rsidRDefault="00305F45" w:rsidP="00207EFE">
      <w:pPr>
        <w:spacing w:line="480" w:lineRule="auto"/>
        <w:jc w:val="both"/>
        <w:rPr>
          <w:rFonts w:ascii="Arial" w:eastAsia="Calibri" w:hAnsi="Arial" w:cs="Arial"/>
          <w:sz w:val="24"/>
          <w:szCs w:val="24"/>
          <w:lang w:val="en-CA"/>
        </w:rPr>
      </w:pPr>
    </w:p>
    <w:p w:rsidR="004C192F" w:rsidRPr="002700AC" w:rsidRDefault="004C192F" w:rsidP="00207EFE">
      <w:pPr>
        <w:pStyle w:val="ListParagraph"/>
        <w:numPr>
          <w:ilvl w:val="0"/>
          <w:numId w:val="11"/>
        </w:numPr>
        <w:tabs>
          <w:tab w:val="left" w:pos="284"/>
        </w:tabs>
        <w:spacing w:line="480" w:lineRule="auto"/>
        <w:ind w:left="284" w:hanging="284"/>
        <w:jc w:val="both"/>
        <w:rPr>
          <w:rFonts w:ascii="Arial" w:hAnsi="Arial" w:cs="Arial"/>
          <w:color w:val="000000" w:themeColor="text1"/>
          <w:sz w:val="24"/>
          <w:szCs w:val="24"/>
        </w:rPr>
      </w:pPr>
      <w:r w:rsidRPr="002700AC">
        <w:rPr>
          <w:rFonts w:ascii="Arial" w:hAnsi="Arial" w:cs="Arial"/>
          <w:color w:val="000000" w:themeColor="text1"/>
          <w:sz w:val="24"/>
          <w:szCs w:val="24"/>
          <w:vertAlign w:val="superscript"/>
        </w:rPr>
        <w:t xml:space="preserve"> </w:t>
      </w:r>
      <w:r w:rsidRPr="002700AC">
        <w:rPr>
          <w:rFonts w:ascii="Arial" w:hAnsi="Arial" w:cs="Arial"/>
          <w:color w:val="000000" w:themeColor="text1"/>
          <w:sz w:val="24"/>
          <w:szCs w:val="24"/>
        </w:rPr>
        <w:t xml:space="preserve">Department of Medicine, Faculty of Clinical Sciences, University of </w:t>
      </w:r>
    </w:p>
    <w:p w:rsidR="004C192F" w:rsidRPr="002700AC" w:rsidRDefault="00AB6F1B" w:rsidP="00207EFE">
      <w:pPr>
        <w:pStyle w:val="ListParagraph"/>
        <w:tabs>
          <w:tab w:val="left" w:pos="284"/>
        </w:tabs>
        <w:spacing w:line="480" w:lineRule="auto"/>
        <w:ind w:left="284" w:hanging="284"/>
        <w:jc w:val="both"/>
        <w:rPr>
          <w:rFonts w:ascii="Arial" w:hAnsi="Arial" w:cs="Arial"/>
          <w:color w:val="000000" w:themeColor="text1"/>
          <w:sz w:val="24"/>
          <w:szCs w:val="24"/>
        </w:rPr>
      </w:pPr>
      <w:r w:rsidRPr="002700AC">
        <w:rPr>
          <w:rFonts w:ascii="Arial" w:hAnsi="Arial" w:cs="Arial"/>
          <w:color w:val="000000" w:themeColor="text1"/>
          <w:sz w:val="24"/>
          <w:szCs w:val="24"/>
        </w:rPr>
        <w:t xml:space="preserve">     </w:t>
      </w:r>
      <w:r w:rsidR="004C192F" w:rsidRPr="002700AC">
        <w:rPr>
          <w:rFonts w:ascii="Arial" w:hAnsi="Arial" w:cs="Arial"/>
          <w:color w:val="000000" w:themeColor="text1"/>
          <w:sz w:val="24"/>
          <w:szCs w:val="24"/>
        </w:rPr>
        <w:t>Abuja/University of Abuja Teaching Hospital, Gwagwalada, Abuja, Nigeria,</w:t>
      </w:r>
    </w:p>
    <w:p w:rsidR="00CC07D9" w:rsidRPr="002700AC" w:rsidRDefault="001A7BA0" w:rsidP="00207EFE">
      <w:pPr>
        <w:pStyle w:val="ListParagraph"/>
        <w:numPr>
          <w:ilvl w:val="0"/>
          <w:numId w:val="11"/>
        </w:numPr>
        <w:tabs>
          <w:tab w:val="left" w:pos="284"/>
        </w:tabs>
        <w:spacing w:line="480" w:lineRule="auto"/>
        <w:ind w:left="284" w:hanging="284"/>
        <w:jc w:val="both"/>
        <w:rPr>
          <w:rFonts w:ascii="Arial" w:eastAsia="Calibri" w:hAnsi="Arial" w:cs="Arial"/>
          <w:sz w:val="24"/>
          <w:szCs w:val="24"/>
          <w:lang w:val="en-CA"/>
        </w:rPr>
      </w:pPr>
      <w:r w:rsidRPr="002700AC">
        <w:rPr>
          <w:rFonts w:ascii="Arial" w:hAnsi="Arial" w:cs="Arial"/>
          <w:color w:val="000000" w:themeColor="text1"/>
          <w:sz w:val="24"/>
          <w:szCs w:val="24"/>
          <w:vertAlign w:val="superscript"/>
        </w:rPr>
        <w:t xml:space="preserve"> </w:t>
      </w:r>
      <w:r w:rsidR="005E0535" w:rsidRPr="002700AC">
        <w:rPr>
          <w:rFonts w:ascii="Arial" w:hAnsi="Arial" w:cs="Arial"/>
          <w:color w:val="000000" w:themeColor="text1"/>
          <w:sz w:val="24"/>
          <w:szCs w:val="24"/>
        </w:rPr>
        <w:t>Imperial Clinical Trials Unit, School of Public Health, I</w:t>
      </w:r>
      <w:r w:rsidR="004E7B8F">
        <w:rPr>
          <w:rFonts w:ascii="Arial" w:hAnsi="Arial" w:cs="Arial"/>
          <w:color w:val="000000" w:themeColor="text1"/>
          <w:sz w:val="24"/>
          <w:szCs w:val="24"/>
        </w:rPr>
        <w:t>mperial College</w:t>
      </w:r>
      <w:r w:rsidR="00CC07D9" w:rsidRPr="002700AC">
        <w:rPr>
          <w:rFonts w:ascii="Arial" w:hAnsi="Arial" w:cs="Arial"/>
          <w:color w:val="000000" w:themeColor="text1"/>
          <w:sz w:val="24"/>
          <w:szCs w:val="24"/>
        </w:rPr>
        <w:t xml:space="preserve"> London, United </w:t>
      </w:r>
      <w:r w:rsidR="00AB6F1B" w:rsidRPr="002700AC">
        <w:rPr>
          <w:rFonts w:ascii="Arial" w:hAnsi="Arial" w:cs="Arial"/>
          <w:color w:val="000000" w:themeColor="text1"/>
          <w:sz w:val="24"/>
          <w:szCs w:val="24"/>
        </w:rPr>
        <w:t xml:space="preserve">  </w:t>
      </w:r>
      <w:r w:rsidR="00612DEF" w:rsidRPr="002700AC">
        <w:rPr>
          <w:rFonts w:ascii="Arial" w:hAnsi="Arial" w:cs="Arial"/>
          <w:color w:val="000000" w:themeColor="text1"/>
          <w:sz w:val="24"/>
          <w:szCs w:val="24"/>
        </w:rPr>
        <w:t>Kingdom</w:t>
      </w:r>
    </w:p>
    <w:p w:rsidR="004C192F" w:rsidRPr="002700AC" w:rsidRDefault="004C192F" w:rsidP="00207EFE">
      <w:pPr>
        <w:pStyle w:val="ListParagraph"/>
        <w:numPr>
          <w:ilvl w:val="0"/>
          <w:numId w:val="11"/>
        </w:numPr>
        <w:tabs>
          <w:tab w:val="left" w:pos="284"/>
        </w:tabs>
        <w:spacing w:line="480" w:lineRule="auto"/>
        <w:ind w:left="284" w:hanging="284"/>
        <w:jc w:val="both"/>
        <w:rPr>
          <w:rFonts w:ascii="Arial" w:eastAsia="Calibri" w:hAnsi="Arial" w:cs="Arial"/>
          <w:sz w:val="24"/>
          <w:szCs w:val="24"/>
          <w:lang w:val="en-CA"/>
        </w:rPr>
      </w:pPr>
      <w:r w:rsidRPr="002700AC">
        <w:rPr>
          <w:rFonts w:ascii="Arial" w:eastAsia="Calibri" w:hAnsi="Arial" w:cs="Arial"/>
          <w:sz w:val="24"/>
          <w:szCs w:val="24"/>
          <w:lang w:val="en-CA"/>
        </w:rPr>
        <w:t xml:space="preserve">Eduardo Mondlane University Hospital, Maputo, </w:t>
      </w:r>
      <w:r w:rsidR="00CC07D9" w:rsidRPr="002700AC">
        <w:rPr>
          <w:rFonts w:ascii="Arial" w:eastAsia="Calibri" w:hAnsi="Arial" w:cs="Arial"/>
          <w:sz w:val="24"/>
          <w:szCs w:val="24"/>
          <w:lang w:val="en-CA"/>
        </w:rPr>
        <w:t>Mozambique</w:t>
      </w:r>
    </w:p>
    <w:p w:rsidR="004C192F" w:rsidRPr="002700AC" w:rsidRDefault="004C192F" w:rsidP="00207EFE">
      <w:pPr>
        <w:pStyle w:val="ListParagraph"/>
        <w:numPr>
          <w:ilvl w:val="0"/>
          <w:numId w:val="11"/>
        </w:numPr>
        <w:tabs>
          <w:tab w:val="left" w:pos="284"/>
        </w:tabs>
        <w:spacing w:line="480" w:lineRule="auto"/>
        <w:ind w:left="284" w:hanging="284"/>
        <w:jc w:val="both"/>
        <w:rPr>
          <w:rFonts w:ascii="Arial" w:eastAsia="Calibri" w:hAnsi="Arial" w:cs="Arial"/>
          <w:sz w:val="24"/>
          <w:szCs w:val="24"/>
          <w:lang w:val="en-CA"/>
        </w:rPr>
      </w:pPr>
      <w:r w:rsidRPr="002700AC">
        <w:rPr>
          <w:rFonts w:ascii="Arial" w:eastAsia="Calibri" w:hAnsi="Arial" w:cs="Arial"/>
          <w:sz w:val="24"/>
          <w:szCs w:val="24"/>
          <w:lang w:val="en-CA"/>
        </w:rPr>
        <w:t xml:space="preserve">Hatter Institute of Cardiovascular Research in Africa, Cape Town, South Africa,  </w:t>
      </w:r>
    </w:p>
    <w:p w:rsidR="00030D56" w:rsidRPr="002700AC" w:rsidRDefault="004C192F" w:rsidP="00030D56">
      <w:pPr>
        <w:pStyle w:val="ListParagraph"/>
        <w:numPr>
          <w:ilvl w:val="0"/>
          <w:numId w:val="11"/>
        </w:numPr>
        <w:tabs>
          <w:tab w:val="left" w:pos="284"/>
        </w:tabs>
        <w:spacing w:line="480" w:lineRule="auto"/>
        <w:ind w:left="284" w:hanging="284"/>
        <w:jc w:val="both"/>
        <w:rPr>
          <w:rFonts w:ascii="Arial" w:hAnsi="Arial" w:cs="Arial"/>
          <w:bCs/>
          <w:color w:val="000000" w:themeColor="text1"/>
          <w:sz w:val="24"/>
          <w:szCs w:val="24"/>
          <w:lang w:eastAsia="en-GB"/>
        </w:rPr>
      </w:pPr>
      <w:r w:rsidRPr="002700AC">
        <w:rPr>
          <w:rFonts w:ascii="Arial" w:eastAsia="Calibri" w:hAnsi="Arial" w:cs="Arial"/>
          <w:sz w:val="24"/>
          <w:szCs w:val="24"/>
          <w:vertAlign w:val="superscript"/>
          <w:lang w:val="en-CA"/>
        </w:rPr>
        <w:t xml:space="preserve"> </w:t>
      </w:r>
      <w:r w:rsidRPr="002700AC">
        <w:rPr>
          <w:rFonts w:ascii="Arial" w:eastAsia="Calibri" w:hAnsi="Arial" w:cs="Arial"/>
          <w:sz w:val="24"/>
          <w:szCs w:val="24"/>
          <w:lang w:val="en-CA"/>
        </w:rPr>
        <w:t xml:space="preserve">Clinical Research Centre, Faculty of Clinical Sciences, University of Cape Town, South Africa </w:t>
      </w:r>
      <w:r w:rsidRPr="002700AC">
        <w:rPr>
          <w:rFonts w:ascii="Arial" w:hAnsi="Arial" w:cs="Arial"/>
          <w:bCs/>
          <w:color w:val="000000" w:themeColor="text1"/>
          <w:sz w:val="24"/>
          <w:szCs w:val="24"/>
          <w:lang w:eastAsia="en-GB"/>
        </w:rPr>
        <w:t xml:space="preserve"> </w:t>
      </w:r>
    </w:p>
    <w:p w:rsidR="004C192F" w:rsidRPr="002700AC" w:rsidRDefault="004C192F" w:rsidP="00030D56">
      <w:pPr>
        <w:pStyle w:val="ListParagraph"/>
        <w:numPr>
          <w:ilvl w:val="0"/>
          <w:numId w:val="11"/>
        </w:numPr>
        <w:tabs>
          <w:tab w:val="left" w:pos="284"/>
        </w:tabs>
        <w:spacing w:line="480" w:lineRule="auto"/>
        <w:ind w:left="284" w:hanging="284"/>
        <w:jc w:val="both"/>
        <w:rPr>
          <w:rFonts w:ascii="Arial" w:hAnsi="Arial" w:cs="Arial"/>
          <w:bCs/>
          <w:color w:val="000000" w:themeColor="text1"/>
          <w:sz w:val="24"/>
          <w:szCs w:val="24"/>
          <w:lang w:eastAsia="en-GB"/>
        </w:rPr>
      </w:pPr>
      <w:r w:rsidRPr="002700AC">
        <w:rPr>
          <w:rFonts w:ascii="Arial" w:eastAsia="Calibri" w:hAnsi="Arial" w:cs="Arial"/>
          <w:sz w:val="24"/>
          <w:szCs w:val="24"/>
          <w:lang w:val="en-CA"/>
        </w:rPr>
        <w:t xml:space="preserve">Department of Basic Sciences, College of Sciences &amp; Health Professions King Saud Bin </w:t>
      </w:r>
      <w:r w:rsidR="00207EFE" w:rsidRPr="002700AC">
        <w:rPr>
          <w:rFonts w:ascii="Arial" w:eastAsia="Calibri" w:hAnsi="Arial" w:cs="Arial"/>
          <w:sz w:val="24"/>
          <w:szCs w:val="24"/>
          <w:lang w:val="en-CA"/>
        </w:rPr>
        <w:t>Abdul-Aziz</w:t>
      </w:r>
      <w:r w:rsidRPr="002700AC">
        <w:rPr>
          <w:rFonts w:ascii="Arial" w:eastAsia="Calibri" w:hAnsi="Arial" w:cs="Arial"/>
          <w:sz w:val="24"/>
          <w:szCs w:val="24"/>
          <w:lang w:val="en-CA"/>
        </w:rPr>
        <w:t xml:space="preserve"> University for Health Sciences NGHA, Riyadh, Saudi Arabia </w:t>
      </w:r>
    </w:p>
    <w:p w:rsidR="004C192F" w:rsidRPr="002700AC" w:rsidRDefault="004C192F" w:rsidP="00030D56">
      <w:pPr>
        <w:pStyle w:val="ListParagraph"/>
        <w:numPr>
          <w:ilvl w:val="0"/>
          <w:numId w:val="11"/>
        </w:numPr>
        <w:tabs>
          <w:tab w:val="left" w:pos="284"/>
        </w:tabs>
        <w:spacing w:line="480" w:lineRule="auto"/>
        <w:ind w:left="284" w:hanging="284"/>
        <w:jc w:val="both"/>
        <w:rPr>
          <w:rFonts w:ascii="Arial" w:eastAsia="Calibri" w:hAnsi="Arial" w:cs="Arial"/>
          <w:sz w:val="24"/>
          <w:szCs w:val="24"/>
          <w:lang w:val="en-CA"/>
        </w:rPr>
      </w:pPr>
      <w:r w:rsidRPr="002700AC">
        <w:rPr>
          <w:rFonts w:ascii="Arial" w:eastAsia="Calibri" w:hAnsi="Arial" w:cs="Arial"/>
          <w:sz w:val="24"/>
          <w:szCs w:val="24"/>
          <w:vertAlign w:val="superscript"/>
          <w:lang w:val="en-CA"/>
        </w:rPr>
        <w:t xml:space="preserve"> </w:t>
      </w:r>
      <w:r w:rsidRPr="002700AC">
        <w:rPr>
          <w:rFonts w:ascii="Arial" w:eastAsia="Calibri" w:hAnsi="Arial" w:cs="Arial"/>
          <w:sz w:val="24"/>
          <w:szCs w:val="24"/>
          <w:lang w:val="en-CA"/>
        </w:rPr>
        <w:t>Department of Medicine, Faculty of Clinical Sciences, University of Cape Town</w:t>
      </w:r>
    </w:p>
    <w:p w:rsidR="004C192F" w:rsidRPr="002700AC" w:rsidRDefault="004C192F" w:rsidP="00030D56">
      <w:pPr>
        <w:pStyle w:val="ListParagraph"/>
        <w:numPr>
          <w:ilvl w:val="0"/>
          <w:numId w:val="11"/>
        </w:numPr>
        <w:tabs>
          <w:tab w:val="left" w:pos="284"/>
        </w:tabs>
        <w:spacing w:line="480" w:lineRule="auto"/>
        <w:ind w:left="284" w:hanging="284"/>
        <w:jc w:val="both"/>
        <w:rPr>
          <w:rFonts w:ascii="Arial" w:hAnsi="Arial" w:cs="Arial"/>
          <w:bCs/>
          <w:color w:val="000000" w:themeColor="text1"/>
          <w:sz w:val="24"/>
          <w:szCs w:val="24"/>
          <w:lang w:eastAsia="en-GB"/>
        </w:rPr>
      </w:pPr>
      <w:r w:rsidRPr="002700AC">
        <w:rPr>
          <w:rFonts w:ascii="Arial" w:hAnsi="Arial" w:cs="Arial"/>
          <w:bCs/>
          <w:color w:val="000000" w:themeColor="text1"/>
          <w:sz w:val="24"/>
          <w:szCs w:val="24"/>
          <w:lang w:eastAsia="en-GB"/>
        </w:rPr>
        <w:t xml:space="preserve">University College Hospital, Ibadan, Nigeria </w:t>
      </w:r>
    </w:p>
    <w:p w:rsidR="004C192F" w:rsidRPr="002700AC" w:rsidRDefault="00AB6F1B" w:rsidP="00030D56">
      <w:pPr>
        <w:pStyle w:val="ListParagraph"/>
        <w:numPr>
          <w:ilvl w:val="0"/>
          <w:numId w:val="11"/>
        </w:numPr>
        <w:tabs>
          <w:tab w:val="left" w:pos="284"/>
        </w:tabs>
        <w:spacing w:line="480" w:lineRule="auto"/>
        <w:ind w:left="284" w:hanging="284"/>
        <w:jc w:val="both"/>
        <w:rPr>
          <w:rFonts w:ascii="Arial" w:eastAsia="Calibri" w:hAnsi="Arial" w:cs="Arial"/>
          <w:sz w:val="24"/>
          <w:szCs w:val="24"/>
          <w:lang w:val="en-CA"/>
        </w:rPr>
      </w:pPr>
      <w:r w:rsidRPr="002700AC">
        <w:rPr>
          <w:rFonts w:ascii="Arial" w:eastAsia="Calibri" w:hAnsi="Arial" w:cs="Arial"/>
          <w:sz w:val="24"/>
          <w:szCs w:val="24"/>
          <w:lang w:val="en-CA"/>
        </w:rPr>
        <w:t>MOI</w:t>
      </w:r>
      <w:r w:rsidR="004C192F" w:rsidRPr="002700AC">
        <w:rPr>
          <w:rFonts w:ascii="Arial" w:eastAsia="Calibri" w:hAnsi="Arial" w:cs="Arial"/>
          <w:sz w:val="24"/>
          <w:szCs w:val="24"/>
          <w:lang w:val="en-CA"/>
        </w:rPr>
        <w:t xml:space="preserve"> University Hospital, Eldoret, Kenya, </w:t>
      </w:r>
    </w:p>
    <w:p w:rsidR="004C192F" w:rsidRPr="002700AC" w:rsidRDefault="004C192F" w:rsidP="00030D56">
      <w:pPr>
        <w:pStyle w:val="ListParagraph"/>
        <w:numPr>
          <w:ilvl w:val="0"/>
          <w:numId w:val="11"/>
        </w:numPr>
        <w:tabs>
          <w:tab w:val="left" w:pos="284"/>
        </w:tabs>
        <w:spacing w:line="480" w:lineRule="auto"/>
        <w:ind w:left="284" w:hanging="284"/>
        <w:jc w:val="both"/>
        <w:rPr>
          <w:rFonts w:ascii="Arial" w:eastAsia="Calibri" w:hAnsi="Arial" w:cs="Arial"/>
          <w:sz w:val="24"/>
          <w:szCs w:val="24"/>
          <w:lang w:val="en-CA"/>
        </w:rPr>
      </w:pPr>
      <w:r w:rsidRPr="002700AC">
        <w:rPr>
          <w:rFonts w:ascii="Arial" w:eastAsia="Calibri" w:hAnsi="Arial" w:cs="Arial"/>
          <w:sz w:val="24"/>
          <w:szCs w:val="24"/>
          <w:lang w:val="en-CA"/>
        </w:rPr>
        <w:t xml:space="preserve"> Douala General Hospital, Douala, Cameroon</w:t>
      </w:r>
    </w:p>
    <w:p w:rsidR="004C192F" w:rsidRPr="002700AC" w:rsidRDefault="004C192F" w:rsidP="00030D56">
      <w:pPr>
        <w:pStyle w:val="ListParagraph"/>
        <w:numPr>
          <w:ilvl w:val="0"/>
          <w:numId w:val="11"/>
        </w:numPr>
        <w:tabs>
          <w:tab w:val="left" w:pos="284"/>
        </w:tabs>
        <w:spacing w:line="480" w:lineRule="auto"/>
        <w:ind w:left="284" w:hanging="284"/>
        <w:jc w:val="both"/>
        <w:rPr>
          <w:rFonts w:ascii="Arial" w:eastAsia="Calibri" w:hAnsi="Arial" w:cs="Arial"/>
          <w:sz w:val="24"/>
          <w:szCs w:val="24"/>
          <w:lang w:val="en-CA"/>
        </w:rPr>
      </w:pPr>
      <w:r w:rsidRPr="002700AC">
        <w:rPr>
          <w:rFonts w:ascii="Arial" w:eastAsia="Calibri" w:hAnsi="Arial" w:cs="Arial"/>
          <w:sz w:val="24"/>
          <w:szCs w:val="24"/>
          <w:lang w:val="en-CA"/>
        </w:rPr>
        <w:t xml:space="preserve"> </w:t>
      </w:r>
      <w:r w:rsidR="002C155A" w:rsidRPr="002700AC">
        <w:rPr>
          <w:rFonts w:ascii="Arial" w:eastAsia="Calibri" w:hAnsi="Arial" w:cs="Arial"/>
          <w:sz w:val="24"/>
          <w:szCs w:val="24"/>
          <w:lang w:val="en-CA"/>
        </w:rPr>
        <w:t xml:space="preserve">Department of Medicine, </w:t>
      </w:r>
      <w:r w:rsidRPr="002700AC">
        <w:rPr>
          <w:rFonts w:ascii="Arial" w:eastAsia="Calibri" w:hAnsi="Arial" w:cs="Arial"/>
          <w:sz w:val="24"/>
          <w:szCs w:val="24"/>
          <w:lang w:val="en-CA"/>
        </w:rPr>
        <w:t>Aminu Kano Teaching Hospital, Kano, Nigeria</w:t>
      </w:r>
    </w:p>
    <w:p w:rsidR="004C192F" w:rsidRPr="002700AC" w:rsidRDefault="004C192F" w:rsidP="00030D56">
      <w:pPr>
        <w:pStyle w:val="ListParagraph"/>
        <w:numPr>
          <w:ilvl w:val="0"/>
          <w:numId w:val="11"/>
        </w:numPr>
        <w:tabs>
          <w:tab w:val="left" w:pos="284"/>
        </w:tabs>
        <w:spacing w:line="480" w:lineRule="auto"/>
        <w:ind w:left="284" w:hanging="284"/>
        <w:jc w:val="both"/>
        <w:rPr>
          <w:rFonts w:ascii="Arial" w:eastAsia="Calibri" w:hAnsi="Arial" w:cs="Arial"/>
          <w:sz w:val="24"/>
          <w:szCs w:val="24"/>
          <w:lang w:val="en-CA"/>
        </w:rPr>
      </w:pPr>
      <w:r w:rsidRPr="002700AC">
        <w:rPr>
          <w:rFonts w:ascii="Arial" w:eastAsia="Calibri" w:hAnsi="Arial" w:cs="Arial"/>
          <w:sz w:val="24"/>
          <w:szCs w:val="24"/>
          <w:lang w:val="en-CA"/>
        </w:rPr>
        <w:t xml:space="preserve"> </w:t>
      </w:r>
      <w:r w:rsidRPr="002700AC">
        <w:rPr>
          <w:rFonts w:ascii="Arial" w:hAnsi="Arial" w:cs="Arial"/>
          <w:snapToGrid w:val="0"/>
          <w:sz w:val="24"/>
          <w:szCs w:val="24"/>
        </w:rPr>
        <w:t>Department of Cardiology</w:t>
      </w:r>
      <w:r w:rsidR="00F255DC" w:rsidRPr="002700AC">
        <w:rPr>
          <w:rFonts w:ascii="Arial" w:hAnsi="Arial" w:cs="Arial"/>
          <w:snapToGrid w:val="0"/>
          <w:sz w:val="24"/>
          <w:szCs w:val="24"/>
        </w:rPr>
        <w:t>,</w:t>
      </w:r>
      <w:r w:rsidRPr="002700AC">
        <w:rPr>
          <w:rFonts w:ascii="Arial" w:hAnsi="Arial" w:cs="Arial"/>
          <w:snapToGrid w:val="0"/>
          <w:sz w:val="24"/>
          <w:szCs w:val="24"/>
        </w:rPr>
        <w:t xml:space="preserve"> Sefako Makgatho Health Sciences Universit</w:t>
      </w:r>
      <w:r w:rsidR="00F255DC" w:rsidRPr="002700AC">
        <w:rPr>
          <w:rFonts w:ascii="Arial" w:hAnsi="Arial" w:cs="Arial"/>
          <w:snapToGrid w:val="0"/>
          <w:sz w:val="24"/>
          <w:szCs w:val="24"/>
        </w:rPr>
        <w:t>y</w:t>
      </w:r>
      <w:r w:rsidRPr="002700AC">
        <w:rPr>
          <w:rFonts w:ascii="Arial" w:hAnsi="Arial" w:cs="Arial"/>
          <w:snapToGrid w:val="0"/>
          <w:sz w:val="24"/>
          <w:szCs w:val="24"/>
        </w:rPr>
        <w:t>, Pretoria, South Africa</w:t>
      </w:r>
    </w:p>
    <w:p w:rsidR="004C192F" w:rsidRPr="002700AC" w:rsidRDefault="00B61C0E" w:rsidP="00030D56">
      <w:pPr>
        <w:pStyle w:val="ListParagraph"/>
        <w:widowControl w:val="0"/>
        <w:numPr>
          <w:ilvl w:val="0"/>
          <w:numId w:val="11"/>
        </w:numPr>
        <w:tabs>
          <w:tab w:val="left" w:pos="284"/>
        </w:tabs>
        <w:spacing w:line="480" w:lineRule="auto"/>
        <w:ind w:left="284" w:hanging="284"/>
        <w:jc w:val="both"/>
        <w:rPr>
          <w:rFonts w:ascii="Arial" w:hAnsi="Arial" w:cs="Arial"/>
          <w:snapToGrid w:val="0"/>
          <w:sz w:val="24"/>
          <w:szCs w:val="24"/>
        </w:rPr>
      </w:pPr>
      <w:r w:rsidRPr="002700AC">
        <w:rPr>
          <w:rFonts w:ascii="Arial" w:hAnsi="Arial" w:cs="Arial"/>
          <w:snapToGrid w:val="0"/>
          <w:sz w:val="24"/>
          <w:szCs w:val="24"/>
          <w:vertAlign w:val="superscript"/>
        </w:rPr>
        <w:t xml:space="preserve"> </w:t>
      </w:r>
      <w:r w:rsidR="004C192F" w:rsidRPr="002700AC">
        <w:rPr>
          <w:rFonts w:ascii="Arial" w:hAnsi="Arial" w:cs="Arial"/>
          <w:sz w:val="24"/>
          <w:szCs w:val="24"/>
          <w:lang w:val="en-CA"/>
        </w:rPr>
        <w:t>St Francis Hospital, Nsambya, Kampala, Uganda</w:t>
      </w:r>
    </w:p>
    <w:p w:rsidR="00B96FC0" w:rsidRPr="002700AC" w:rsidRDefault="001B7C9A" w:rsidP="00030D56">
      <w:pPr>
        <w:pStyle w:val="ListParagraph"/>
        <w:widowControl w:val="0"/>
        <w:numPr>
          <w:ilvl w:val="0"/>
          <w:numId w:val="11"/>
        </w:numPr>
        <w:tabs>
          <w:tab w:val="left" w:pos="284"/>
        </w:tabs>
        <w:spacing w:line="480" w:lineRule="auto"/>
        <w:ind w:left="284" w:hanging="284"/>
        <w:jc w:val="both"/>
        <w:rPr>
          <w:rFonts w:ascii="Arial" w:hAnsi="Arial" w:cs="Arial"/>
          <w:snapToGrid w:val="0"/>
          <w:sz w:val="24"/>
          <w:szCs w:val="24"/>
        </w:rPr>
      </w:pPr>
      <w:r w:rsidRPr="002700AC">
        <w:rPr>
          <w:rFonts w:ascii="Arial" w:eastAsia="Calibri" w:hAnsi="Arial" w:cs="Arial"/>
          <w:sz w:val="24"/>
          <w:szCs w:val="24"/>
          <w:lang w:val="en-CA"/>
        </w:rPr>
        <w:t xml:space="preserve">Department of Clinical Medicine and Therapeutics, University of Nairobi, </w:t>
      </w:r>
      <w:r w:rsidR="00B96FC0" w:rsidRPr="002700AC">
        <w:rPr>
          <w:rFonts w:ascii="Arial" w:eastAsia="Calibri" w:hAnsi="Arial" w:cs="Arial"/>
          <w:sz w:val="24"/>
          <w:szCs w:val="24"/>
          <w:lang w:val="en-CA"/>
        </w:rPr>
        <w:t>Kenya</w:t>
      </w:r>
    </w:p>
    <w:p w:rsidR="004C192F" w:rsidRPr="002700AC" w:rsidRDefault="004C192F" w:rsidP="00030D56">
      <w:pPr>
        <w:pStyle w:val="ListParagraph"/>
        <w:widowControl w:val="0"/>
        <w:numPr>
          <w:ilvl w:val="0"/>
          <w:numId w:val="11"/>
        </w:numPr>
        <w:tabs>
          <w:tab w:val="left" w:pos="284"/>
        </w:tabs>
        <w:spacing w:line="480" w:lineRule="auto"/>
        <w:ind w:left="284" w:hanging="284"/>
        <w:jc w:val="both"/>
        <w:rPr>
          <w:rFonts w:ascii="Arial" w:hAnsi="Arial" w:cs="Arial"/>
          <w:snapToGrid w:val="0"/>
          <w:sz w:val="24"/>
          <w:szCs w:val="24"/>
        </w:rPr>
      </w:pPr>
      <w:r w:rsidRPr="002700AC">
        <w:rPr>
          <w:rFonts w:ascii="Arial" w:eastAsia="Calibri" w:hAnsi="Arial" w:cs="Arial"/>
          <w:sz w:val="24"/>
          <w:szCs w:val="24"/>
          <w:lang w:val="en-CA"/>
        </w:rPr>
        <w:t>Department</w:t>
      </w:r>
      <w:r w:rsidRPr="002700AC">
        <w:rPr>
          <w:rFonts w:ascii="Arial" w:hAnsi="Arial" w:cs="Arial"/>
          <w:snapToGrid w:val="0"/>
          <w:sz w:val="24"/>
          <w:szCs w:val="24"/>
        </w:rPr>
        <w:t xml:space="preserve"> of Family Medicine &amp; Primary Health Care, Sefako Makgatho Health Sciences University</w:t>
      </w:r>
      <w:r w:rsidR="00F255DC" w:rsidRPr="002700AC">
        <w:rPr>
          <w:rFonts w:ascii="Arial" w:hAnsi="Arial" w:cs="Arial"/>
          <w:snapToGrid w:val="0"/>
          <w:sz w:val="24"/>
          <w:szCs w:val="24"/>
        </w:rPr>
        <w:t>, Pretoria,</w:t>
      </w:r>
      <w:r w:rsidR="00836AE2" w:rsidRPr="002700AC">
        <w:rPr>
          <w:rFonts w:ascii="Arial" w:hAnsi="Arial" w:cs="Arial"/>
          <w:snapToGrid w:val="0"/>
          <w:sz w:val="24"/>
          <w:szCs w:val="24"/>
        </w:rPr>
        <w:t xml:space="preserve"> South Africa</w:t>
      </w:r>
    </w:p>
    <w:p w:rsidR="005E442B" w:rsidRPr="002700AC" w:rsidRDefault="004C192F" w:rsidP="00030D56">
      <w:pPr>
        <w:pStyle w:val="ListParagraph"/>
        <w:numPr>
          <w:ilvl w:val="0"/>
          <w:numId w:val="11"/>
        </w:numPr>
        <w:tabs>
          <w:tab w:val="left" w:pos="284"/>
        </w:tabs>
        <w:spacing w:line="480" w:lineRule="auto"/>
        <w:ind w:left="284" w:hanging="284"/>
        <w:jc w:val="both"/>
        <w:rPr>
          <w:rFonts w:ascii="Arial" w:eastAsia="Calibri" w:hAnsi="Arial" w:cs="Arial"/>
          <w:sz w:val="24"/>
          <w:szCs w:val="24"/>
          <w:lang w:val="en-CA"/>
        </w:rPr>
      </w:pPr>
      <w:r w:rsidRPr="002700AC">
        <w:rPr>
          <w:rFonts w:ascii="Arial" w:eastAsia="Calibri" w:hAnsi="Arial" w:cs="Arial"/>
          <w:sz w:val="24"/>
          <w:szCs w:val="24"/>
          <w:lang w:val="en-CA"/>
        </w:rPr>
        <w:t xml:space="preserve">Department of Family Medicine, University of Abuja Teaching Hospital, Gwagwalada, Abuja, </w:t>
      </w:r>
    </w:p>
    <w:p w:rsidR="004C192F" w:rsidRPr="002700AC" w:rsidRDefault="00A548F4" w:rsidP="00030D56">
      <w:pPr>
        <w:pStyle w:val="ListParagraph"/>
        <w:numPr>
          <w:ilvl w:val="0"/>
          <w:numId w:val="11"/>
        </w:numPr>
        <w:tabs>
          <w:tab w:val="left" w:pos="284"/>
        </w:tabs>
        <w:spacing w:line="480" w:lineRule="auto"/>
        <w:ind w:left="284" w:hanging="284"/>
        <w:jc w:val="both"/>
        <w:rPr>
          <w:rFonts w:ascii="Arial" w:eastAsia="Calibri" w:hAnsi="Arial" w:cs="Arial"/>
          <w:sz w:val="24"/>
          <w:szCs w:val="24"/>
          <w:lang w:val="en-CA"/>
        </w:rPr>
      </w:pPr>
      <w:r w:rsidRPr="002700AC">
        <w:rPr>
          <w:rFonts w:ascii="Arial" w:eastAsia="Calibri" w:hAnsi="Arial" w:cs="Arial"/>
          <w:sz w:val="24"/>
          <w:szCs w:val="24"/>
          <w:lang w:val="en-CA"/>
        </w:rPr>
        <w:lastRenderedPageBreak/>
        <w:t xml:space="preserve">Aminu Kano Teaching Hospital, Kano </w:t>
      </w:r>
      <w:r w:rsidR="004C192F" w:rsidRPr="002700AC">
        <w:rPr>
          <w:rFonts w:ascii="Arial" w:eastAsia="Calibri" w:hAnsi="Arial" w:cs="Arial"/>
          <w:sz w:val="24"/>
          <w:szCs w:val="24"/>
          <w:lang w:val="en-CA"/>
        </w:rPr>
        <w:t>Nigeria</w:t>
      </w:r>
    </w:p>
    <w:p w:rsidR="004C192F" w:rsidRPr="002700AC" w:rsidRDefault="00836AE2" w:rsidP="00030D56">
      <w:pPr>
        <w:pStyle w:val="ListParagraph"/>
        <w:numPr>
          <w:ilvl w:val="0"/>
          <w:numId w:val="11"/>
        </w:numPr>
        <w:tabs>
          <w:tab w:val="left" w:pos="284"/>
        </w:tabs>
        <w:spacing w:line="480" w:lineRule="auto"/>
        <w:ind w:left="284" w:hanging="284"/>
        <w:jc w:val="both"/>
        <w:rPr>
          <w:rFonts w:ascii="Arial" w:eastAsia="Calibri" w:hAnsi="Arial" w:cs="Arial"/>
          <w:sz w:val="24"/>
          <w:szCs w:val="24"/>
          <w:lang w:val="en-CA"/>
        </w:rPr>
      </w:pPr>
      <w:r w:rsidRPr="002700AC">
        <w:rPr>
          <w:rFonts w:ascii="Arial" w:eastAsia="Calibri" w:hAnsi="Arial" w:cs="Arial"/>
          <w:sz w:val="24"/>
          <w:szCs w:val="24"/>
          <w:vertAlign w:val="superscript"/>
          <w:lang w:val="en-CA"/>
        </w:rPr>
        <w:t xml:space="preserve"> </w:t>
      </w:r>
      <w:r w:rsidR="004C192F" w:rsidRPr="002700AC">
        <w:rPr>
          <w:rFonts w:ascii="Arial" w:eastAsia="Calibri" w:hAnsi="Arial" w:cs="Arial"/>
          <w:sz w:val="24"/>
          <w:szCs w:val="24"/>
          <w:lang w:val="en-CA"/>
        </w:rPr>
        <w:t>Department of Pharmacy, University of Abuja Teaching Hospital, Gwagwalada, Abuja, Nigeria</w:t>
      </w:r>
    </w:p>
    <w:p w:rsidR="007E4F38" w:rsidRPr="002700AC" w:rsidRDefault="00DB2AD3" w:rsidP="00207EFE">
      <w:pPr>
        <w:spacing w:line="480" w:lineRule="auto"/>
        <w:jc w:val="both"/>
        <w:rPr>
          <w:rFonts w:ascii="Arial" w:hAnsi="Arial" w:cs="Arial"/>
          <w:b/>
          <w:sz w:val="24"/>
          <w:szCs w:val="24"/>
          <w:lang w:val="en-CA"/>
        </w:rPr>
      </w:pPr>
      <w:r w:rsidRPr="002700AC">
        <w:rPr>
          <w:rFonts w:ascii="Arial" w:hAnsi="Arial" w:cs="Arial"/>
          <w:b/>
          <w:sz w:val="24"/>
          <w:szCs w:val="24"/>
        </w:rPr>
        <w:t>ABSTRACT</w:t>
      </w:r>
    </w:p>
    <w:p w:rsidR="007E4F38" w:rsidRPr="002700AC" w:rsidRDefault="007E4F38" w:rsidP="00207EFE">
      <w:pPr>
        <w:shd w:val="clear" w:color="auto" w:fill="FFFFFF"/>
        <w:spacing w:line="480" w:lineRule="auto"/>
        <w:jc w:val="both"/>
        <w:rPr>
          <w:rFonts w:ascii="Arial" w:hAnsi="Arial" w:cs="Arial"/>
          <w:sz w:val="24"/>
          <w:szCs w:val="24"/>
          <w:lang w:val="en-CA"/>
        </w:rPr>
      </w:pPr>
      <w:r w:rsidRPr="002700AC">
        <w:rPr>
          <w:rFonts w:ascii="Arial" w:hAnsi="Arial" w:cs="Arial"/>
          <w:b/>
          <w:sz w:val="24"/>
          <w:szCs w:val="24"/>
          <w:lang w:val="en-CA"/>
        </w:rPr>
        <w:t>Background</w:t>
      </w:r>
      <w:r w:rsidR="00EF622D">
        <w:rPr>
          <w:rFonts w:ascii="Arial" w:hAnsi="Arial" w:cs="Arial"/>
          <w:b/>
          <w:sz w:val="24"/>
          <w:szCs w:val="24"/>
          <w:lang w:val="en-CA"/>
        </w:rPr>
        <w:t>:</w:t>
      </w:r>
      <w:r w:rsidRPr="002700AC">
        <w:rPr>
          <w:rFonts w:ascii="Arial" w:hAnsi="Arial" w:cs="Arial"/>
          <w:sz w:val="24"/>
          <w:szCs w:val="24"/>
          <w:lang w:val="en-CA"/>
        </w:rPr>
        <w:t xml:space="preserve"> Current hypertension guidelines recommend the use of combination therapy as first-line treatment or early in the management of hypertensive patients. Although there are many possible combinations of blood pressure(BP)-lowering therapies, the best combination for the black population is still a subject of debate as no large randomized controlled trials (RCT</w:t>
      </w:r>
      <w:r w:rsidR="00C97A65" w:rsidRPr="002700AC">
        <w:rPr>
          <w:rFonts w:ascii="Arial" w:hAnsi="Arial" w:cs="Arial"/>
          <w:sz w:val="24"/>
          <w:szCs w:val="24"/>
          <w:lang w:val="en-CA"/>
        </w:rPr>
        <w:t>s</w:t>
      </w:r>
      <w:r w:rsidRPr="002700AC">
        <w:rPr>
          <w:rFonts w:ascii="Arial" w:hAnsi="Arial" w:cs="Arial"/>
          <w:sz w:val="24"/>
          <w:szCs w:val="24"/>
          <w:lang w:val="en-CA"/>
        </w:rPr>
        <w:t xml:space="preserve">) have been conducted in this group to compare the efficacy of different combination therapies to address this issue. </w:t>
      </w:r>
    </w:p>
    <w:p w:rsidR="007E4F38" w:rsidRPr="002700AC" w:rsidRDefault="007E4F38" w:rsidP="004047B1">
      <w:pPr>
        <w:spacing w:after="120" w:line="480" w:lineRule="auto"/>
        <w:jc w:val="both"/>
        <w:rPr>
          <w:rFonts w:ascii="Arial" w:hAnsi="Arial" w:cs="Arial"/>
          <w:iCs/>
          <w:color w:val="000000"/>
          <w:sz w:val="24"/>
          <w:szCs w:val="24"/>
          <w:lang w:val="en-CA"/>
        </w:rPr>
      </w:pPr>
      <w:r w:rsidRPr="002700AC">
        <w:rPr>
          <w:rFonts w:ascii="Arial" w:hAnsi="Arial" w:cs="Arial"/>
          <w:b/>
          <w:sz w:val="24"/>
          <w:szCs w:val="24"/>
        </w:rPr>
        <w:t>Methods</w:t>
      </w:r>
      <w:r w:rsidR="00EF622D">
        <w:rPr>
          <w:rFonts w:ascii="Arial" w:hAnsi="Arial" w:cs="Arial"/>
          <w:b/>
          <w:sz w:val="24"/>
          <w:szCs w:val="24"/>
        </w:rPr>
        <w:t>:</w:t>
      </w:r>
      <w:r w:rsidRPr="002700AC">
        <w:rPr>
          <w:rFonts w:ascii="Arial" w:hAnsi="Arial" w:cs="Arial"/>
          <w:b/>
          <w:sz w:val="24"/>
          <w:szCs w:val="24"/>
        </w:rPr>
        <w:t xml:space="preserve"> </w:t>
      </w:r>
      <w:r w:rsidRPr="002700AC">
        <w:rPr>
          <w:rFonts w:ascii="Arial" w:hAnsi="Arial" w:cs="Arial"/>
          <w:sz w:val="24"/>
          <w:szCs w:val="24"/>
        </w:rPr>
        <w:t xml:space="preserve">The </w:t>
      </w:r>
      <w:r w:rsidR="00A7009F">
        <w:rPr>
          <w:rFonts w:ascii="Arial" w:hAnsi="Arial" w:cs="Arial"/>
          <w:sz w:val="24"/>
          <w:szCs w:val="24"/>
        </w:rPr>
        <w:t xml:space="preserve">comparison of three combination therapies in lowering blood pressure in Black Africans (CREOLE) </w:t>
      </w:r>
      <w:r w:rsidRPr="002700AC">
        <w:rPr>
          <w:rFonts w:ascii="Arial" w:hAnsi="Arial" w:cs="Arial"/>
          <w:sz w:val="24"/>
          <w:szCs w:val="24"/>
        </w:rPr>
        <w:t xml:space="preserve">study is a randomized single-blind trial that will compare the efficacy of amlodipine plus hydrochlorothiazide, versus amlodipine plus perindopril, </w:t>
      </w:r>
      <w:r w:rsidR="00C97A65" w:rsidRPr="002700AC">
        <w:rPr>
          <w:rFonts w:ascii="Arial" w:hAnsi="Arial" w:cs="Arial"/>
          <w:sz w:val="24"/>
          <w:szCs w:val="24"/>
        </w:rPr>
        <w:t xml:space="preserve">and </w:t>
      </w:r>
      <w:r w:rsidRPr="002700AC">
        <w:rPr>
          <w:rFonts w:ascii="Arial" w:hAnsi="Arial" w:cs="Arial"/>
          <w:sz w:val="24"/>
          <w:szCs w:val="24"/>
        </w:rPr>
        <w:t>versus perindopr</w:t>
      </w:r>
      <w:r w:rsidR="007932A4" w:rsidRPr="002700AC">
        <w:rPr>
          <w:rFonts w:ascii="Arial" w:hAnsi="Arial" w:cs="Arial"/>
          <w:sz w:val="24"/>
          <w:szCs w:val="24"/>
        </w:rPr>
        <w:t>il plus hydrochlorothiazide in B</w:t>
      </w:r>
      <w:r w:rsidRPr="002700AC">
        <w:rPr>
          <w:rFonts w:ascii="Arial" w:hAnsi="Arial" w:cs="Arial"/>
          <w:sz w:val="24"/>
          <w:szCs w:val="24"/>
        </w:rPr>
        <w:t xml:space="preserve">lacks residing in sub Saharan Africa (SSA). </w:t>
      </w:r>
      <w:r w:rsidRPr="002700AC">
        <w:rPr>
          <w:rFonts w:ascii="Arial" w:hAnsi="Arial" w:cs="Arial"/>
          <w:sz w:val="24"/>
          <w:szCs w:val="24"/>
          <w:lang w:val="en-CA"/>
        </w:rPr>
        <w:t xml:space="preserve"> </w:t>
      </w:r>
      <w:r w:rsidR="00CC7CBC">
        <w:rPr>
          <w:rFonts w:ascii="Arial" w:hAnsi="Arial" w:cs="Arial"/>
          <w:sz w:val="24"/>
          <w:szCs w:val="24"/>
          <w:lang w:val="en-CA"/>
        </w:rPr>
        <w:t>7</w:t>
      </w:r>
      <w:r w:rsidRPr="002700AC">
        <w:rPr>
          <w:rFonts w:ascii="Arial" w:hAnsi="Arial" w:cs="Arial"/>
          <w:sz w:val="24"/>
          <w:szCs w:val="24"/>
          <w:lang w:val="en-CA"/>
        </w:rPr>
        <w:t>0</w:t>
      </w:r>
      <w:r w:rsidR="00CC7CBC">
        <w:rPr>
          <w:rFonts w:ascii="Arial" w:hAnsi="Arial" w:cs="Arial"/>
          <w:sz w:val="24"/>
          <w:szCs w:val="24"/>
          <w:lang w:val="en-CA"/>
        </w:rPr>
        <w:t>2</w:t>
      </w:r>
      <w:r w:rsidRPr="002700AC">
        <w:rPr>
          <w:rFonts w:ascii="Arial" w:hAnsi="Arial" w:cs="Arial"/>
          <w:sz w:val="24"/>
          <w:szCs w:val="24"/>
          <w:lang w:val="en-CA"/>
        </w:rPr>
        <w:t xml:space="preserve"> patients aged 30-79 ye</w:t>
      </w:r>
      <w:r w:rsidR="00B549AB" w:rsidRPr="002700AC">
        <w:rPr>
          <w:rFonts w:ascii="Arial" w:hAnsi="Arial" w:cs="Arial"/>
          <w:sz w:val="24"/>
          <w:szCs w:val="24"/>
          <w:lang w:val="en-CA"/>
        </w:rPr>
        <w:t>ars with a sitting systolic BP of 140mm</w:t>
      </w:r>
      <w:r w:rsidRPr="002700AC">
        <w:rPr>
          <w:rFonts w:ascii="Arial" w:hAnsi="Arial" w:cs="Arial"/>
          <w:sz w:val="24"/>
          <w:szCs w:val="24"/>
          <w:lang w:val="en-CA"/>
        </w:rPr>
        <w:t>Hg</w:t>
      </w:r>
      <w:r w:rsidR="00B549AB" w:rsidRPr="002700AC">
        <w:rPr>
          <w:rFonts w:ascii="Arial" w:hAnsi="Arial" w:cs="Arial"/>
          <w:sz w:val="24"/>
          <w:szCs w:val="24"/>
          <w:lang w:val="en-CA"/>
        </w:rPr>
        <w:t xml:space="preserve"> and above, and less than</w:t>
      </w:r>
      <w:r w:rsidRPr="002700AC">
        <w:rPr>
          <w:rFonts w:ascii="Arial" w:hAnsi="Arial" w:cs="Arial"/>
          <w:sz w:val="24"/>
          <w:szCs w:val="24"/>
          <w:lang w:val="en-CA"/>
        </w:rPr>
        <w:t xml:space="preserve"> 160 mmHg on antihypertensive monotherapy</w:t>
      </w:r>
      <w:r w:rsidR="00B549AB" w:rsidRPr="002700AC">
        <w:rPr>
          <w:rFonts w:ascii="Arial" w:hAnsi="Arial" w:cs="Arial"/>
          <w:sz w:val="24"/>
          <w:szCs w:val="24"/>
          <w:lang w:val="en-CA"/>
        </w:rPr>
        <w:t xml:space="preserve">, or sitting systolic BP of </w:t>
      </w:r>
      <w:r w:rsidRPr="002700AC">
        <w:rPr>
          <w:rFonts w:ascii="Arial" w:hAnsi="Arial" w:cs="Arial"/>
          <w:sz w:val="24"/>
          <w:szCs w:val="24"/>
          <w:lang w:val="en-CA"/>
        </w:rPr>
        <w:t>150 mmHg</w:t>
      </w:r>
      <w:r w:rsidR="00B549AB" w:rsidRPr="002700AC">
        <w:rPr>
          <w:rFonts w:ascii="Arial" w:hAnsi="Arial" w:cs="Arial"/>
          <w:sz w:val="24"/>
          <w:szCs w:val="24"/>
          <w:lang w:val="en-CA"/>
        </w:rPr>
        <w:t xml:space="preserve"> and above, and less than</w:t>
      </w:r>
      <w:r w:rsidRPr="002700AC">
        <w:rPr>
          <w:rFonts w:ascii="Arial" w:hAnsi="Arial" w:cs="Arial"/>
          <w:sz w:val="24"/>
          <w:szCs w:val="24"/>
          <w:lang w:val="en-CA"/>
        </w:rPr>
        <w:t xml:space="preserve"> 180 mmHg on no treatment</w:t>
      </w:r>
      <w:r w:rsidR="00B549AB" w:rsidRPr="002700AC">
        <w:rPr>
          <w:rFonts w:ascii="Arial" w:hAnsi="Arial" w:cs="Arial"/>
          <w:sz w:val="24"/>
          <w:szCs w:val="24"/>
          <w:lang w:val="en-CA"/>
        </w:rPr>
        <w:t>, will be centrally</w:t>
      </w:r>
      <w:r w:rsidRPr="002700AC">
        <w:rPr>
          <w:rFonts w:ascii="Arial" w:hAnsi="Arial" w:cs="Arial"/>
          <w:sz w:val="24"/>
          <w:szCs w:val="24"/>
          <w:lang w:val="en-CA"/>
        </w:rPr>
        <w:t xml:space="preserve"> randomised into any of the three arms (2</w:t>
      </w:r>
      <w:r w:rsidR="00CC7CBC">
        <w:rPr>
          <w:rFonts w:ascii="Arial" w:hAnsi="Arial" w:cs="Arial"/>
          <w:sz w:val="24"/>
          <w:szCs w:val="24"/>
          <w:lang w:val="en-CA"/>
        </w:rPr>
        <w:t>34</w:t>
      </w:r>
      <w:r w:rsidRPr="002700AC">
        <w:rPr>
          <w:rFonts w:ascii="Arial" w:hAnsi="Arial" w:cs="Arial"/>
          <w:sz w:val="24"/>
          <w:szCs w:val="24"/>
          <w:lang w:val="en-CA"/>
        </w:rPr>
        <w:t xml:space="preserve"> into eac</w:t>
      </w:r>
      <w:r w:rsidR="00BD13B4">
        <w:rPr>
          <w:rFonts w:ascii="Arial" w:hAnsi="Arial" w:cs="Arial"/>
          <w:sz w:val="24"/>
          <w:szCs w:val="24"/>
          <w:lang w:val="en-CA"/>
        </w:rPr>
        <w:t>h arm). The CREOLE</w:t>
      </w:r>
      <w:r w:rsidR="007932A4" w:rsidRPr="002700AC">
        <w:rPr>
          <w:rFonts w:ascii="Arial" w:hAnsi="Arial" w:cs="Arial"/>
          <w:sz w:val="24"/>
          <w:szCs w:val="24"/>
          <w:lang w:val="en-CA"/>
        </w:rPr>
        <w:t xml:space="preserve"> study is taking place </w:t>
      </w:r>
      <w:r w:rsidRPr="002700AC">
        <w:rPr>
          <w:rFonts w:ascii="Arial" w:hAnsi="Arial" w:cs="Arial"/>
          <w:sz w:val="24"/>
          <w:szCs w:val="24"/>
          <w:lang w:val="en-CA"/>
        </w:rPr>
        <w:t>in ten sites in sub-Saharan Africa,</w:t>
      </w:r>
      <w:r w:rsidRPr="002700AC">
        <w:rPr>
          <w:rFonts w:ascii="Arial" w:hAnsi="Arial" w:cs="Arial"/>
          <w:sz w:val="24"/>
          <w:szCs w:val="24"/>
        </w:rPr>
        <w:t xml:space="preserve"> and the</w:t>
      </w:r>
      <w:r w:rsidRPr="002700AC">
        <w:rPr>
          <w:rFonts w:ascii="Arial" w:hAnsi="Arial" w:cs="Arial"/>
          <w:sz w:val="24"/>
          <w:szCs w:val="24"/>
          <w:lang w:val="en-CA"/>
        </w:rPr>
        <w:t xml:space="preserve"> primary outcome measure is change in ambulatory systolic BP (ASBP) from baseline to 6 months. The first patient was randomized in June 2017 and the trial will be concluded in 2020. </w:t>
      </w:r>
    </w:p>
    <w:p w:rsidR="007E4F38" w:rsidRPr="002700AC" w:rsidRDefault="007E4F38" w:rsidP="00207EFE">
      <w:pPr>
        <w:spacing w:line="480" w:lineRule="auto"/>
        <w:jc w:val="both"/>
        <w:rPr>
          <w:rFonts w:ascii="Arial" w:hAnsi="Arial" w:cs="Arial"/>
          <w:sz w:val="24"/>
          <w:szCs w:val="24"/>
          <w:lang w:val="en-CA"/>
        </w:rPr>
      </w:pPr>
      <w:r w:rsidRPr="002700AC">
        <w:rPr>
          <w:rFonts w:ascii="Arial" w:hAnsi="Arial" w:cs="Arial"/>
          <w:b/>
          <w:sz w:val="24"/>
          <w:szCs w:val="24"/>
          <w:lang w:val="en-CA"/>
        </w:rPr>
        <w:lastRenderedPageBreak/>
        <w:t>Conclusion</w:t>
      </w:r>
      <w:r w:rsidR="00EF622D">
        <w:rPr>
          <w:rFonts w:ascii="Arial" w:hAnsi="Arial" w:cs="Arial"/>
          <w:b/>
          <w:sz w:val="24"/>
          <w:szCs w:val="24"/>
          <w:lang w:val="en-CA"/>
        </w:rPr>
        <w:t>:</w:t>
      </w:r>
      <w:r w:rsidRPr="002700AC">
        <w:rPr>
          <w:rFonts w:ascii="Arial" w:hAnsi="Arial" w:cs="Arial"/>
          <w:sz w:val="24"/>
          <w:szCs w:val="24"/>
          <w:lang w:val="en-CA"/>
        </w:rPr>
        <w:t xml:space="preserve"> The CREOLE trial will provide unique information as to the most efficacious two-drug combination in blacks residing in SSA, and thereby inform the development of clinical guidelines for the treatment of hypertension in this sub region. </w:t>
      </w:r>
    </w:p>
    <w:p w:rsidR="007E4F38" w:rsidRPr="002700AC" w:rsidRDefault="00400768" w:rsidP="00207EFE">
      <w:pPr>
        <w:spacing w:line="480" w:lineRule="auto"/>
        <w:jc w:val="both"/>
        <w:rPr>
          <w:rFonts w:ascii="Arial" w:hAnsi="Arial" w:cs="Arial"/>
          <w:b/>
          <w:sz w:val="24"/>
          <w:szCs w:val="24"/>
        </w:rPr>
      </w:pPr>
      <w:r w:rsidRPr="002700AC">
        <w:rPr>
          <w:rFonts w:ascii="Arial" w:hAnsi="Arial" w:cs="Arial"/>
          <w:b/>
          <w:sz w:val="24"/>
          <w:szCs w:val="24"/>
        </w:rPr>
        <w:t>INTRODUCTION</w:t>
      </w:r>
    </w:p>
    <w:p w:rsidR="007E4F38" w:rsidRPr="002700AC" w:rsidRDefault="007E4F38" w:rsidP="00207EFE">
      <w:pPr>
        <w:spacing w:line="480" w:lineRule="auto"/>
        <w:jc w:val="both"/>
        <w:rPr>
          <w:rFonts w:ascii="Arial" w:hAnsi="Arial" w:cs="Arial"/>
          <w:sz w:val="24"/>
          <w:szCs w:val="24"/>
          <w:vertAlign w:val="superscript"/>
        </w:rPr>
      </w:pPr>
      <w:r w:rsidRPr="002700AC">
        <w:rPr>
          <w:rFonts w:ascii="Arial" w:hAnsi="Arial" w:cs="Arial"/>
          <w:sz w:val="24"/>
          <w:szCs w:val="24"/>
          <w:lang w:val="en-CA"/>
        </w:rPr>
        <w:t>Hypertension is a common and independent risk factor for cardiovascular mortality worldwide</w:t>
      </w:r>
      <w:r w:rsidRPr="002700AC">
        <w:rPr>
          <w:rFonts w:ascii="Arial" w:hAnsi="Arial" w:cs="Arial"/>
          <w:sz w:val="24"/>
          <w:szCs w:val="24"/>
          <w:vertAlign w:val="superscript"/>
          <w:lang w:val="en-CA"/>
        </w:rPr>
        <w:t xml:space="preserve"> </w:t>
      </w:r>
      <w:r w:rsidRPr="002700AC">
        <w:rPr>
          <w:rFonts w:ascii="Arial" w:hAnsi="Arial" w:cs="Arial"/>
          <w:sz w:val="24"/>
          <w:szCs w:val="24"/>
          <w:lang w:val="en-CA"/>
        </w:rPr>
        <w:t>and therefore the importance of effective treatment cannot be overemphasized</w:t>
      </w:r>
      <w:r w:rsidR="00875B65">
        <w:rPr>
          <w:rFonts w:ascii="Arial" w:hAnsi="Arial" w:cs="Arial"/>
          <w:sz w:val="24"/>
          <w:szCs w:val="24"/>
          <w:lang w:val="en-CA"/>
        </w:rPr>
        <w:t>.</w:t>
      </w:r>
      <w:r w:rsidR="00875B65" w:rsidRPr="00875B65">
        <w:rPr>
          <w:rFonts w:ascii="Arial" w:hAnsi="Arial" w:cs="Arial"/>
          <w:sz w:val="24"/>
          <w:szCs w:val="24"/>
          <w:vertAlign w:val="superscript"/>
          <w:lang w:val="en-CA"/>
        </w:rPr>
        <w:t>1,2</w:t>
      </w:r>
      <w:r w:rsidR="00875B65">
        <w:rPr>
          <w:rFonts w:ascii="Arial" w:hAnsi="Arial" w:cs="Arial"/>
          <w:sz w:val="24"/>
          <w:szCs w:val="24"/>
          <w:lang w:val="en-CA"/>
        </w:rPr>
        <w:t xml:space="preserve"> </w:t>
      </w:r>
      <w:r w:rsidR="00875B65">
        <w:rPr>
          <w:rFonts w:ascii="Arial" w:hAnsi="Arial" w:cs="Arial"/>
          <w:sz w:val="24"/>
          <w:szCs w:val="24"/>
        </w:rPr>
        <w:t xml:space="preserve"> </w:t>
      </w:r>
      <w:r w:rsidRPr="002700AC">
        <w:rPr>
          <w:rFonts w:ascii="Arial" w:hAnsi="Arial" w:cs="Arial"/>
          <w:sz w:val="24"/>
          <w:szCs w:val="24"/>
        </w:rPr>
        <w:t>It has been shown in many different randomised controlled trials that BP reduction is associated with reduced cardiovascular morbidity and mortality</w:t>
      </w:r>
      <w:r w:rsidR="00875B65">
        <w:rPr>
          <w:rFonts w:ascii="Arial" w:hAnsi="Arial" w:cs="Arial"/>
          <w:sz w:val="24"/>
          <w:szCs w:val="24"/>
        </w:rPr>
        <w:t>.</w:t>
      </w:r>
      <w:r w:rsidR="00875B65" w:rsidRPr="00875B65">
        <w:rPr>
          <w:rFonts w:ascii="Arial" w:hAnsi="Arial" w:cs="Arial"/>
          <w:sz w:val="24"/>
          <w:szCs w:val="24"/>
          <w:vertAlign w:val="superscript"/>
        </w:rPr>
        <w:t>3,4</w:t>
      </w:r>
      <w:r w:rsidR="00875B65">
        <w:rPr>
          <w:rFonts w:ascii="Arial" w:hAnsi="Arial" w:cs="Arial"/>
          <w:sz w:val="24"/>
          <w:szCs w:val="24"/>
        </w:rPr>
        <w:t xml:space="preserve"> </w:t>
      </w:r>
      <w:r w:rsidRPr="002700AC">
        <w:rPr>
          <w:rFonts w:ascii="Arial" w:hAnsi="Arial" w:cs="Arial"/>
          <w:sz w:val="24"/>
          <w:szCs w:val="24"/>
        </w:rPr>
        <w:t>Furthermore, a meta-analysis of 61 prospective observational studies covering 1 million adults and 12.7 million person-years at risk has substantiated that for every 2 mmHg difference in mean systolic blood pressure (SBP), there is a 7% difference in the risk of ischaemic heart disease mortality and 10% difference in the risk of cerebrovascular accident</w:t>
      </w:r>
      <w:r w:rsidR="00875B65">
        <w:rPr>
          <w:rFonts w:ascii="Arial" w:hAnsi="Arial" w:cs="Arial"/>
          <w:sz w:val="24"/>
          <w:szCs w:val="24"/>
        </w:rPr>
        <w:t>.</w:t>
      </w:r>
      <w:r w:rsidR="00875B65" w:rsidRPr="00875B65">
        <w:rPr>
          <w:rFonts w:ascii="Arial" w:hAnsi="Arial" w:cs="Arial"/>
          <w:sz w:val="24"/>
          <w:szCs w:val="24"/>
          <w:vertAlign w:val="superscript"/>
        </w:rPr>
        <w:t>5</w:t>
      </w:r>
      <w:r w:rsidRPr="00875B65">
        <w:rPr>
          <w:rFonts w:ascii="Arial" w:hAnsi="Arial" w:cs="Arial"/>
          <w:sz w:val="24"/>
          <w:szCs w:val="24"/>
          <w:vertAlign w:val="superscript"/>
        </w:rPr>
        <w:t xml:space="preserve"> </w:t>
      </w:r>
    </w:p>
    <w:p w:rsidR="007E4F38" w:rsidRPr="002700AC" w:rsidRDefault="007E4F38" w:rsidP="00207EFE">
      <w:pPr>
        <w:spacing w:line="480" w:lineRule="auto"/>
        <w:jc w:val="both"/>
        <w:rPr>
          <w:rFonts w:ascii="Arial" w:hAnsi="Arial" w:cs="Arial"/>
          <w:sz w:val="24"/>
          <w:szCs w:val="24"/>
          <w:lang w:val="en-CA"/>
        </w:rPr>
      </w:pPr>
      <w:r w:rsidRPr="002700AC">
        <w:rPr>
          <w:rFonts w:ascii="Arial" w:hAnsi="Arial" w:cs="Arial"/>
          <w:sz w:val="24"/>
          <w:szCs w:val="24"/>
          <w:lang w:val="en-CA"/>
        </w:rPr>
        <w:t>Reducing blood pressure to target levels is therefore a major priority in preventing clinical events in hypertension, and typically this requires more than one medication in the majority of patients. For example, in the large Antihypertensive and Lipid Lowering Treatment to Prevent Heart Attack (ALLHAT) trial, less than 30% of the subjects achieved BP goal on mono-therapy</w:t>
      </w:r>
      <w:r w:rsidR="00875B65">
        <w:rPr>
          <w:rFonts w:ascii="Arial" w:hAnsi="Arial" w:cs="Arial"/>
          <w:sz w:val="24"/>
          <w:szCs w:val="24"/>
          <w:lang w:val="en-CA"/>
        </w:rPr>
        <w:t>.</w:t>
      </w:r>
      <w:r w:rsidR="00875B65" w:rsidRPr="00875B65">
        <w:rPr>
          <w:rFonts w:ascii="Arial" w:hAnsi="Arial" w:cs="Arial"/>
          <w:sz w:val="24"/>
          <w:szCs w:val="24"/>
          <w:vertAlign w:val="superscript"/>
          <w:lang w:val="en-CA"/>
        </w:rPr>
        <w:t>6</w:t>
      </w:r>
    </w:p>
    <w:p w:rsidR="007E4F38" w:rsidRPr="002700AC" w:rsidRDefault="00BD13B4" w:rsidP="00207EFE">
      <w:pPr>
        <w:spacing w:line="480" w:lineRule="auto"/>
        <w:jc w:val="both"/>
        <w:rPr>
          <w:rFonts w:ascii="Arial" w:hAnsi="Arial" w:cs="Arial"/>
          <w:sz w:val="24"/>
          <w:szCs w:val="24"/>
          <w:lang w:val="en-CA"/>
        </w:rPr>
      </w:pPr>
      <w:r>
        <w:rPr>
          <w:rFonts w:ascii="Arial" w:hAnsi="Arial" w:cs="Arial"/>
          <w:sz w:val="24"/>
          <w:szCs w:val="24"/>
          <w:lang w:val="en-CA"/>
        </w:rPr>
        <w:t>Randomised controlled trials (</w:t>
      </w:r>
      <w:r w:rsidR="007E4F38" w:rsidRPr="002700AC">
        <w:rPr>
          <w:rFonts w:ascii="Arial" w:hAnsi="Arial" w:cs="Arial"/>
          <w:sz w:val="24"/>
          <w:szCs w:val="24"/>
          <w:lang w:val="en-CA"/>
        </w:rPr>
        <w:t>RCTs</w:t>
      </w:r>
      <w:r>
        <w:rPr>
          <w:rFonts w:ascii="Arial" w:hAnsi="Arial" w:cs="Arial"/>
          <w:sz w:val="24"/>
          <w:szCs w:val="24"/>
          <w:lang w:val="en-CA"/>
        </w:rPr>
        <w:t>)</w:t>
      </w:r>
      <w:r w:rsidR="007E4F38" w:rsidRPr="002700AC">
        <w:rPr>
          <w:rFonts w:ascii="Arial" w:hAnsi="Arial" w:cs="Arial"/>
          <w:sz w:val="24"/>
          <w:szCs w:val="24"/>
          <w:lang w:val="en-CA"/>
        </w:rPr>
        <w:t xml:space="preserve"> in hypertension as early as the 1950s showed that patients with malignant hypertension were markedly transformed by the introduction o</w:t>
      </w:r>
      <w:r w:rsidR="00875B65">
        <w:rPr>
          <w:rFonts w:ascii="Arial" w:hAnsi="Arial" w:cs="Arial"/>
          <w:sz w:val="24"/>
          <w:szCs w:val="24"/>
          <w:lang w:val="en-CA"/>
        </w:rPr>
        <w:t>f anti-hypertensive therapy.</w:t>
      </w:r>
      <w:r w:rsidR="00875B65" w:rsidRPr="00875B65">
        <w:rPr>
          <w:rFonts w:ascii="Arial" w:hAnsi="Arial" w:cs="Arial"/>
          <w:sz w:val="24"/>
          <w:szCs w:val="24"/>
          <w:vertAlign w:val="superscript"/>
          <w:lang w:val="en-CA"/>
        </w:rPr>
        <w:t>7</w:t>
      </w:r>
      <w:r w:rsidR="007E4F38" w:rsidRPr="00875B65">
        <w:rPr>
          <w:rFonts w:ascii="Arial" w:hAnsi="Arial" w:cs="Arial"/>
          <w:sz w:val="24"/>
          <w:szCs w:val="24"/>
          <w:vertAlign w:val="superscript"/>
          <w:lang w:val="en-CA"/>
        </w:rPr>
        <w:t xml:space="preserve"> </w:t>
      </w:r>
      <w:r w:rsidR="00896133">
        <w:rPr>
          <w:rFonts w:ascii="Arial" w:hAnsi="Arial" w:cs="Arial"/>
          <w:sz w:val="24"/>
          <w:szCs w:val="24"/>
          <w:lang w:val="en-CA"/>
        </w:rPr>
        <w:t>Over the following decades</w:t>
      </w:r>
      <w:r w:rsidR="007E4F38" w:rsidRPr="002700AC">
        <w:rPr>
          <w:rFonts w:ascii="Arial" w:hAnsi="Arial" w:cs="Arial"/>
          <w:sz w:val="24"/>
          <w:szCs w:val="24"/>
          <w:lang w:val="en-CA"/>
        </w:rPr>
        <w:t xml:space="preserve"> (during the 1970s, 1980s and early 1990s), trials of severe and moderate hypertension confirmed the </w:t>
      </w:r>
      <w:r w:rsidR="00CC7CBC">
        <w:rPr>
          <w:rFonts w:ascii="Arial" w:hAnsi="Arial" w:cs="Arial"/>
          <w:sz w:val="24"/>
          <w:szCs w:val="24"/>
          <w:lang w:val="en-CA"/>
        </w:rPr>
        <w:t xml:space="preserve">cardio protective, reno protective and neuro protective </w:t>
      </w:r>
      <w:r w:rsidR="007E4F38" w:rsidRPr="002700AC">
        <w:rPr>
          <w:rFonts w:ascii="Arial" w:hAnsi="Arial" w:cs="Arial"/>
          <w:sz w:val="24"/>
          <w:szCs w:val="24"/>
          <w:lang w:val="en-CA"/>
        </w:rPr>
        <w:t xml:space="preserve"> benefits of lowering BP, with a series of placebo-controlled trials of milder levels of hypertension also taking place</w:t>
      </w:r>
      <w:r w:rsidR="00875B65">
        <w:rPr>
          <w:rFonts w:ascii="Arial" w:hAnsi="Arial" w:cs="Arial"/>
          <w:sz w:val="24"/>
          <w:szCs w:val="24"/>
          <w:lang w:val="en-CA"/>
        </w:rPr>
        <w:t>.</w:t>
      </w:r>
      <w:r w:rsidR="00875B65" w:rsidRPr="00875B65">
        <w:rPr>
          <w:rFonts w:ascii="Arial" w:hAnsi="Arial" w:cs="Arial"/>
          <w:sz w:val="24"/>
          <w:szCs w:val="24"/>
          <w:vertAlign w:val="superscript"/>
          <w:lang w:val="en-CA"/>
        </w:rPr>
        <w:t>7</w:t>
      </w:r>
      <w:r w:rsidR="007E4F38" w:rsidRPr="00875B65">
        <w:rPr>
          <w:rFonts w:ascii="Arial" w:hAnsi="Arial" w:cs="Arial"/>
          <w:sz w:val="24"/>
          <w:szCs w:val="24"/>
          <w:vertAlign w:val="superscript"/>
          <w:lang w:val="en-CA"/>
        </w:rPr>
        <w:t xml:space="preserve"> </w:t>
      </w:r>
      <w:r w:rsidR="007E4F38" w:rsidRPr="002700AC">
        <w:rPr>
          <w:rFonts w:ascii="Arial" w:hAnsi="Arial" w:cs="Arial"/>
          <w:sz w:val="24"/>
          <w:szCs w:val="24"/>
          <w:lang w:val="en-CA"/>
        </w:rPr>
        <w:t>By the end of 1980s, the results of a number of these placebo-controlled trials in hypertension showed in meta-analysis that a reduction in SBP of 10-12 mmHg and DBP reduction of 6-7 mmHg reduced the incidence of cerebro</w:t>
      </w:r>
      <w:r w:rsidR="00875B65">
        <w:rPr>
          <w:rFonts w:ascii="Arial" w:hAnsi="Arial" w:cs="Arial"/>
          <w:sz w:val="24"/>
          <w:szCs w:val="24"/>
          <w:lang w:val="en-CA"/>
        </w:rPr>
        <w:t>vascular accident by about 40%,</w:t>
      </w:r>
      <w:r w:rsidR="00875B65" w:rsidRPr="00875B65">
        <w:rPr>
          <w:rFonts w:ascii="Arial" w:hAnsi="Arial" w:cs="Arial"/>
          <w:sz w:val="24"/>
          <w:szCs w:val="24"/>
          <w:vertAlign w:val="superscript"/>
          <w:lang w:val="en-CA"/>
        </w:rPr>
        <w:t>4</w:t>
      </w:r>
      <w:r w:rsidR="007E4F38" w:rsidRPr="002700AC">
        <w:rPr>
          <w:rFonts w:ascii="Arial" w:hAnsi="Arial" w:cs="Arial"/>
          <w:sz w:val="24"/>
          <w:szCs w:val="24"/>
          <w:lang w:val="en-CA"/>
        </w:rPr>
        <w:t xml:space="preserve"> which was comparable with the risk reduction reported from prospective observational studies</w:t>
      </w:r>
      <w:r w:rsidR="00875B65">
        <w:rPr>
          <w:rFonts w:ascii="Arial" w:hAnsi="Arial" w:cs="Arial"/>
          <w:sz w:val="24"/>
          <w:szCs w:val="24"/>
          <w:lang w:val="en-CA"/>
        </w:rPr>
        <w:t>.</w:t>
      </w:r>
      <w:r w:rsidR="00875B65" w:rsidRPr="00875B65">
        <w:rPr>
          <w:rFonts w:ascii="Arial" w:hAnsi="Arial" w:cs="Arial"/>
          <w:sz w:val="24"/>
          <w:szCs w:val="24"/>
          <w:vertAlign w:val="superscript"/>
          <w:lang w:val="en-CA"/>
        </w:rPr>
        <w:t>8</w:t>
      </w:r>
      <w:r w:rsidR="007E4F38" w:rsidRPr="00875B65">
        <w:rPr>
          <w:rFonts w:ascii="Arial" w:hAnsi="Arial" w:cs="Arial"/>
          <w:sz w:val="24"/>
          <w:szCs w:val="24"/>
          <w:vertAlign w:val="superscript"/>
          <w:lang w:val="en-CA"/>
        </w:rPr>
        <w:t xml:space="preserve">  </w:t>
      </w:r>
      <w:r w:rsidR="007E4F38" w:rsidRPr="002700AC">
        <w:rPr>
          <w:rFonts w:ascii="Arial" w:hAnsi="Arial" w:cs="Arial"/>
          <w:sz w:val="24"/>
          <w:szCs w:val="24"/>
          <w:lang w:val="en-CA"/>
        </w:rPr>
        <w:t>However, the risk of non-fatal myocardial infarction and coronary heart disease death was reduced by about 14% which is less than what was expected from prospective observational data</w:t>
      </w:r>
      <w:r w:rsidR="00875B65">
        <w:rPr>
          <w:rFonts w:ascii="Arial" w:hAnsi="Arial" w:cs="Arial"/>
          <w:sz w:val="24"/>
          <w:szCs w:val="24"/>
          <w:lang w:val="en-CA"/>
        </w:rPr>
        <w:t>.</w:t>
      </w:r>
      <w:r w:rsidR="00875B65" w:rsidRPr="00875B65">
        <w:rPr>
          <w:rFonts w:ascii="Arial" w:hAnsi="Arial" w:cs="Arial"/>
          <w:sz w:val="24"/>
          <w:szCs w:val="24"/>
          <w:vertAlign w:val="superscript"/>
          <w:lang w:val="en-CA"/>
        </w:rPr>
        <w:t>4,5</w:t>
      </w:r>
    </w:p>
    <w:p w:rsidR="007E4F38" w:rsidRPr="002700AC" w:rsidRDefault="007E4F38" w:rsidP="00207EFE">
      <w:pPr>
        <w:spacing w:line="480" w:lineRule="auto"/>
        <w:jc w:val="both"/>
        <w:rPr>
          <w:rFonts w:ascii="Arial" w:hAnsi="Arial" w:cs="Arial"/>
          <w:sz w:val="24"/>
          <w:szCs w:val="24"/>
        </w:rPr>
      </w:pPr>
      <w:r w:rsidRPr="002700AC">
        <w:rPr>
          <w:rFonts w:ascii="Arial" w:hAnsi="Arial" w:cs="Arial"/>
          <w:sz w:val="24"/>
          <w:szCs w:val="24"/>
          <w:lang w:val="en-CA"/>
        </w:rPr>
        <w:t>Following these placebo-controlled trials and the resultant meta-analyses, a series of trials set out to compare the benefits of contemporary drugs over standard therapy. In 2000, the Blood Pressure Lowering Treatment Trialists Collaboration published a meta-analysis of these trials that included data from approximately 75,000 patients. This demonstrated that angiotensin receptor blockers were effective in reducing total cardiovascular events, angiotensin converting</w:t>
      </w:r>
      <w:r w:rsidR="00C97A65" w:rsidRPr="002700AC">
        <w:rPr>
          <w:rFonts w:ascii="Arial" w:hAnsi="Arial" w:cs="Arial"/>
          <w:sz w:val="24"/>
          <w:szCs w:val="24"/>
          <w:lang w:val="en-CA"/>
        </w:rPr>
        <w:t xml:space="preserve"> enzyme inhibitors and diuretic plus </w:t>
      </w:r>
      <w:r w:rsidRPr="002700AC">
        <w:rPr>
          <w:rFonts w:ascii="Arial" w:hAnsi="Arial" w:cs="Arial"/>
          <w:sz w:val="24"/>
          <w:szCs w:val="24"/>
          <w:lang w:val="en-CA"/>
        </w:rPr>
        <w:t>beta-blocker based regimens are more effective than calcium channel blockers in preventing heart failure, and that calcium channel blockers may be more effective in preventing stroke</w:t>
      </w:r>
      <w:r w:rsidR="00875B65">
        <w:rPr>
          <w:rFonts w:ascii="Arial" w:hAnsi="Arial" w:cs="Arial"/>
          <w:sz w:val="24"/>
          <w:szCs w:val="24"/>
          <w:lang w:val="en-CA"/>
        </w:rPr>
        <w:t>.</w:t>
      </w:r>
      <w:r w:rsidR="00875B65" w:rsidRPr="00875B65">
        <w:rPr>
          <w:rFonts w:ascii="Arial" w:hAnsi="Arial" w:cs="Arial"/>
          <w:sz w:val="24"/>
          <w:szCs w:val="24"/>
          <w:vertAlign w:val="superscript"/>
          <w:lang w:val="en-CA"/>
        </w:rPr>
        <w:t>9</w:t>
      </w:r>
    </w:p>
    <w:p w:rsidR="007E4F38" w:rsidRPr="002700AC" w:rsidRDefault="007E4F38" w:rsidP="00207EFE">
      <w:pPr>
        <w:spacing w:line="480" w:lineRule="auto"/>
        <w:jc w:val="both"/>
        <w:rPr>
          <w:rFonts w:ascii="Arial" w:hAnsi="Arial" w:cs="Arial"/>
          <w:sz w:val="24"/>
          <w:szCs w:val="24"/>
          <w:lang w:val="en-CA"/>
        </w:rPr>
      </w:pPr>
      <w:r w:rsidRPr="002700AC">
        <w:rPr>
          <w:rFonts w:ascii="Arial" w:hAnsi="Arial" w:cs="Arial"/>
          <w:sz w:val="24"/>
          <w:szCs w:val="24"/>
          <w:lang w:val="en-CA"/>
        </w:rPr>
        <w:t xml:space="preserve">Results from various </w:t>
      </w:r>
      <w:r w:rsidR="00CC7CBC">
        <w:rPr>
          <w:rFonts w:ascii="Arial" w:hAnsi="Arial" w:cs="Arial"/>
          <w:sz w:val="24"/>
          <w:szCs w:val="24"/>
          <w:lang w:val="en-CA"/>
        </w:rPr>
        <w:t>RCTs  s</w:t>
      </w:r>
      <w:r w:rsidRPr="002700AC">
        <w:rPr>
          <w:rFonts w:ascii="Arial" w:hAnsi="Arial" w:cs="Arial"/>
          <w:sz w:val="24"/>
          <w:szCs w:val="24"/>
          <w:lang w:val="en-CA"/>
        </w:rPr>
        <w:t xml:space="preserve">howed that the majority of patients with hypertension require at least two </w:t>
      </w:r>
      <w:r w:rsidR="00CC7CBC">
        <w:rPr>
          <w:rFonts w:ascii="Arial" w:hAnsi="Arial" w:cs="Arial"/>
          <w:sz w:val="24"/>
          <w:szCs w:val="24"/>
          <w:lang w:val="en-CA"/>
        </w:rPr>
        <w:t>BP</w:t>
      </w:r>
      <w:r w:rsidR="001F77EC">
        <w:rPr>
          <w:rFonts w:ascii="Arial" w:hAnsi="Arial" w:cs="Arial"/>
          <w:sz w:val="24"/>
          <w:szCs w:val="24"/>
          <w:lang w:val="en-CA"/>
        </w:rPr>
        <w:t>-l</w:t>
      </w:r>
      <w:r w:rsidRPr="002700AC">
        <w:rPr>
          <w:rFonts w:ascii="Arial" w:hAnsi="Arial" w:cs="Arial"/>
          <w:sz w:val="24"/>
          <w:szCs w:val="24"/>
          <w:lang w:val="en-CA"/>
        </w:rPr>
        <w:t>owering agents if recomme</w:t>
      </w:r>
      <w:r w:rsidR="00875B65">
        <w:rPr>
          <w:rFonts w:ascii="Arial" w:hAnsi="Arial" w:cs="Arial"/>
          <w:sz w:val="24"/>
          <w:szCs w:val="24"/>
          <w:lang w:val="en-CA"/>
        </w:rPr>
        <w:t>nded targets are to be reached.</w:t>
      </w:r>
      <w:r w:rsidR="00875B65" w:rsidRPr="00875B65">
        <w:rPr>
          <w:rFonts w:ascii="Arial" w:hAnsi="Arial" w:cs="Arial"/>
          <w:sz w:val="24"/>
          <w:szCs w:val="24"/>
          <w:vertAlign w:val="superscript"/>
          <w:lang w:val="en-CA"/>
        </w:rPr>
        <w:t>10-16</w:t>
      </w:r>
      <w:r w:rsidRPr="002700AC">
        <w:rPr>
          <w:rFonts w:ascii="Arial" w:hAnsi="Arial" w:cs="Arial"/>
          <w:sz w:val="24"/>
          <w:szCs w:val="24"/>
          <w:lang w:val="en-CA"/>
        </w:rPr>
        <w:t xml:space="preserve"> Consequently, there has been a lot of emphasis by the various guidelines</w:t>
      </w:r>
      <w:r w:rsidRPr="002700AC">
        <w:rPr>
          <w:rFonts w:ascii="Arial" w:hAnsi="Arial" w:cs="Arial"/>
          <w:sz w:val="24"/>
          <w:szCs w:val="24"/>
          <w:vertAlign w:val="superscript"/>
          <w:lang w:val="en-CA"/>
        </w:rPr>
        <w:t xml:space="preserve"> </w:t>
      </w:r>
      <w:r w:rsidRPr="002700AC">
        <w:rPr>
          <w:rFonts w:ascii="Arial" w:hAnsi="Arial" w:cs="Arial"/>
          <w:sz w:val="24"/>
          <w:szCs w:val="24"/>
          <w:lang w:val="en-CA"/>
        </w:rPr>
        <w:t>on the use of combinations of two or three agents on the management of hypertension</w:t>
      </w:r>
      <w:r w:rsidR="00875B65">
        <w:rPr>
          <w:rFonts w:ascii="Arial" w:hAnsi="Arial" w:cs="Arial"/>
          <w:sz w:val="24"/>
          <w:szCs w:val="24"/>
          <w:lang w:val="en-CA"/>
        </w:rPr>
        <w:t>.</w:t>
      </w:r>
      <w:r w:rsidR="00875B65" w:rsidRPr="00875B65">
        <w:rPr>
          <w:rFonts w:ascii="Arial" w:hAnsi="Arial" w:cs="Arial"/>
          <w:sz w:val="24"/>
          <w:szCs w:val="24"/>
          <w:vertAlign w:val="superscript"/>
          <w:lang w:val="en-CA"/>
        </w:rPr>
        <w:t>17-21</w:t>
      </w:r>
    </w:p>
    <w:p w:rsidR="007E4F38" w:rsidRPr="002700AC" w:rsidRDefault="007E4F38" w:rsidP="00207EFE">
      <w:pPr>
        <w:spacing w:line="480" w:lineRule="auto"/>
        <w:jc w:val="both"/>
        <w:rPr>
          <w:rFonts w:ascii="Arial" w:hAnsi="Arial" w:cs="Arial"/>
          <w:sz w:val="24"/>
          <w:szCs w:val="24"/>
          <w:lang w:val="en-CA"/>
        </w:rPr>
      </w:pPr>
      <w:r w:rsidRPr="002700AC">
        <w:rPr>
          <w:rFonts w:ascii="Arial" w:hAnsi="Arial" w:cs="Arial"/>
          <w:sz w:val="24"/>
          <w:szCs w:val="24"/>
          <w:lang w:val="en-CA"/>
        </w:rPr>
        <w:t xml:space="preserve">Guidelines differ regarding which combination of two </w:t>
      </w:r>
      <w:r w:rsidR="001F77EC">
        <w:rPr>
          <w:rFonts w:ascii="Arial" w:hAnsi="Arial" w:cs="Arial"/>
          <w:sz w:val="24"/>
          <w:szCs w:val="24"/>
          <w:lang w:val="en-CA"/>
        </w:rPr>
        <w:t xml:space="preserve">BP-lowering </w:t>
      </w:r>
      <w:r w:rsidRPr="002700AC">
        <w:rPr>
          <w:rFonts w:ascii="Arial" w:hAnsi="Arial" w:cs="Arial"/>
          <w:sz w:val="24"/>
          <w:szCs w:val="24"/>
          <w:lang w:val="en-CA"/>
        </w:rPr>
        <w:t>agents they recommend, and none has been able to recommend with certainty optimal combinations for black populations</w:t>
      </w:r>
      <w:r w:rsidR="00875B65">
        <w:rPr>
          <w:rFonts w:ascii="Arial" w:hAnsi="Arial" w:cs="Arial"/>
          <w:sz w:val="24"/>
          <w:szCs w:val="24"/>
          <w:lang w:val="en-CA"/>
        </w:rPr>
        <w:t>.</w:t>
      </w:r>
      <w:r w:rsidR="00875B65" w:rsidRPr="00875B65">
        <w:rPr>
          <w:rFonts w:ascii="Arial" w:hAnsi="Arial" w:cs="Arial"/>
          <w:sz w:val="24"/>
          <w:szCs w:val="24"/>
          <w:vertAlign w:val="superscript"/>
          <w:lang w:val="en-CA"/>
        </w:rPr>
        <w:t>19-23</w:t>
      </w:r>
      <w:r w:rsidR="00875B65" w:rsidRPr="002700AC">
        <w:rPr>
          <w:rFonts w:ascii="Arial" w:hAnsi="Arial" w:cs="Arial"/>
          <w:sz w:val="24"/>
          <w:szCs w:val="24"/>
          <w:vertAlign w:val="superscript"/>
          <w:lang w:val="en-CA"/>
        </w:rPr>
        <w:t xml:space="preserve"> </w:t>
      </w:r>
      <w:r w:rsidR="00875B65">
        <w:rPr>
          <w:rFonts w:ascii="Arial" w:hAnsi="Arial" w:cs="Arial"/>
          <w:sz w:val="24"/>
          <w:szCs w:val="24"/>
          <w:lang w:val="en-CA"/>
        </w:rPr>
        <w:t>This</w:t>
      </w:r>
      <w:r w:rsidRPr="002700AC">
        <w:rPr>
          <w:rFonts w:ascii="Arial" w:hAnsi="Arial" w:cs="Arial"/>
          <w:sz w:val="24"/>
          <w:szCs w:val="24"/>
          <w:lang w:val="en-CA"/>
        </w:rPr>
        <w:t xml:space="preserve"> is because there are no large RCTs that have compared the efficacy of contemporary combination therapies among any black populations</w:t>
      </w:r>
      <w:r w:rsidR="00875B65">
        <w:rPr>
          <w:rFonts w:ascii="Arial" w:hAnsi="Arial" w:cs="Arial"/>
          <w:sz w:val="24"/>
          <w:szCs w:val="24"/>
          <w:lang w:val="en-CA"/>
        </w:rPr>
        <w:t>,</w:t>
      </w:r>
      <w:r w:rsidR="00875B65" w:rsidRPr="00875B65">
        <w:rPr>
          <w:rFonts w:ascii="Arial" w:hAnsi="Arial" w:cs="Arial"/>
          <w:sz w:val="24"/>
          <w:szCs w:val="24"/>
          <w:vertAlign w:val="superscript"/>
          <w:lang w:val="en-CA"/>
        </w:rPr>
        <w:t xml:space="preserve"> 24</w:t>
      </w:r>
      <w:r w:rsidRPr="00875B65">
        <w:rPr>
          <w:rFonts w:ascii="Arial" w:hAnsi="Arial" w:cs="Arial"/>
          <w:sz w:val="24"/>
          <w:szCs w:val="24"/>
          <w:vertAlign w:val="superscript"/>
          <w:lang w:val="en-CA"/>
        </w:rPr>
        <w:t xml:space="preserve"> </w:t>
      </w:r>
      <w:r w:rsidRPr="002700AC">
        <w:rPr>
          <w:rFonts w:ascii="Arial" w:hAnsi="Arial" w:cs="Arial"/>
          <w:sz w:val="24"/>
          <w:szCs w:val="24"/>
          <w:lang w:val="en-CA"/>
        </w:rPr>
        <w:t>despite the high burden of hypertension and its complications in this group</w:t>
      </w:r>
      <w:r w:rsidR="0053294D">
        <w:rPr>
          <w:rFonts w:ascii="Arial" w:hAnsi="Arial" w:cs="Arial"/>
          <w:sz w:val="24"/>
          <w:szCs w:val="24"/>
          <w:lang w:val="en-CA"/>
        </w:rPr>
        <w:t>.</w:t>
      </w:r>
      <w:r w:rsidR="0053294D" w:rsidRPr="0053294D">
        <w:rPr>
          <w:rFonts w:ascii="Arial" w:hAnsi="Arial" w:cs="Arial"/>
          <w:sz w:val="24"/>
          <w:szCs w:val="24"/>
          <w:vertAlign w:val="superscript"/>
          <w:lang w:val="en-CA"/>
        </w:rPr>
        <w:t>25-27</w:t>
      </w:r>
    </w:p>
    <w:p w:rsidR="007E4F38" w:rsidRPr="002700AC" w:rsidRDefault="00400768" w:rsidP="00207EFE">
      <w:pPr>
        <w:spacing w:line="480" w:lineRule="auto"/>
        <w:jc w:val="both"/>
        <w:rPr>
          <w:rFonts w:ascii="Arial" w:hAnsi="Arial" w:cs="Arial"/>
          <w:b/>
          <w:sz w:val="24"/>
          <w:szCs w:val="24"/>
        </w:rPr>
      </w:pPr>
      <w:r w:rsidRPr="002700AC">
        <w:rPr>
          <w:rFonts w:ascii="Arial" w:hAnsi="Arial" w:cs="Arial"/>
          <w:b/>
          <w:sz w:val="24"/>
          <w:szCs w:val="24"/>
        </w:rPr>
        <w:t>RATIONALE FOR THE STUDY</w:t>
      </w:r>
    </w:p>
    <w:p w:rsidR="007E4F38" w:rsidRPr="002700AC" w:rsidRDefault="007E4F38" w:rsidP="00207EFE">
      <w:pPr>
        <w:spacing w:line="480" w:lineRule="auto"/>
        <w:jc w:val="both"/>
        <w:rPr>
          <w:rFonts w:ascii="Arial" w:hAnsi="Arial" w:cs="Arial"/>
          <w:sz w:val="24"/>
          <w:szCs w:val="24"/>
          <w:lang w:val="en-CA"/>
        </w:rPr>
      </w:pPr>
      <w:r w:rsidRPr="002700AC">
        <w:rPr>
          <w:rFonts w:ascii="Arial" w:hAnsi="Arial" w:cs="Arial"/>
          <w:sz w:val="24"/>
          <w:szCs w:val="24"/>
          <w:lang w:val="en-CA"/>
        </w:rPr>
        <w:t>Although</w:t>
      </w:r>
      <w:r w:rsidR="001F77EC">
        <w:rPr>
          <w:rFonts w:ascii="Arial" w:hAnsi="Arial" w:cs="Arial"/>
          <w:sz w:val="24"/>
          <w:szCs w:val="24"/>
          <w:lang w:val="en-CA"/>
        </w:rPr>
        <w:t xml:space="preserve"> it might be argued</w:t>
      </w:r>
      <w:r w:rsidR="007932A4" w:rsidRPr="002700AC">
        <w:rPr>
          <w:rFonts w:ascii="Arial" w:hAnsi="Arial" w:cs="Arial"/>
          <w:sz w:val="24"/>
          <w:szCs w:val="24"/>
          <w:lang w:val="en-CA"/>
        </w:rPr>
        <w:t xml:space="preserve"> that</w:t>
      </w:r>
      <w:r w:rsidRPr="002700AC">
        <w:rPr>
          <w:rFonts w:ascii="Arial" w:hAnsi="Arial" w:cs="Arial"/>
          <w:sz w:val="24"/>
          <w:szCs w:val="24"/>
          <w:lang w:val="en-CA"/>
        </w:rPr>
        <w:t xml:space="preserve"> findings in African-Americans</w:t>
      </w:r>
      <w:r w:rsidR="007932A4" w:rsidRPr="002700AC">
        <w:rPr>
          <w:rFonts w:ascii="Arial" w:hAnsi="Arial" w:cs="Arial"/>
          <w:sz w:val="24"/>
          <w:szCs w:val="24"/>
          <w:lang w:val="en-CA"/>
        </w:rPr>
        <w:t xml:space="preserve"> can be extrapolated to B</w:t>
      </w:r>
      <w:r w:rsidRPr="002700AC">
        <w:rPr>
          <w:rFonts w:ascii="Arial" w:hAnsi="Arial" w:cs="Arial"/>
          <w:sz w:val="24"/>
          <w:szCs w:val="24"/>
          <w:lang w:val="en-CA"/>
        </w:rPr>
        <w:t>lack Africans since they have the same ancestral origin, the differences in selection in previous generations, ethnic admixture and differences in lifestyle</w:t>
      </w:r>
      <w:r w:rsidRPr="002700AC">
        <w:rPr>
          <w:rFonts w:ascii="Arial" w:hAnsi="Arial" w:cs="Arial"/>
          <w:b/>
          <w:sz w:val="24"/>
          <w:szCs w:val="24"/>
          <w:lang w:val="en-CA"/>
        </w:rPr>
        <w:t xml:space="preserve"> </w:t>
      </w:r>
      <w:r w:rsidRPr="002700AC">
        <w:rPr>
          <w:rFonts w:ascii="Arial" w:hAnsi="Arial" w:cs="Arial"/>
          <w:sz w:val="24"/>
          <w:szCs w:val="24"/>
          <w:lang w:val="en-CA"/>
        </w:rPr>
        <w:t>suggest that such an extrapolation may be inappropriate</w:t>
      </w:r>
      <w:r w:rsidR="0053294D">
        <w:rPr>
          <w:rFonts w:ascii="Arial" w:hAnsi="Arial" w:cs="Arial"/>
          <w:sz w:val="24"/>
          <w:szCs w:val="24"/>
          <w:lang w:val="en-CA"/>
        </w:rPr>
        <w:t>.</w:t>
      </w:r>
      <w:r w:rsidR="0053294D" w:rsidRPr="0053294D">
        <w:rPr>
          <w:rFonts w:ascii="Arial" w:hAnsi="Arial" w:cs="Arial"/>
          <w:sz w:val="24"/>
          <w:szCs w:val="24"/>
          <w:vertAlign w:val="superscript"/>
          <w:lang w:val="en-CA"/>
        </w:rPr>
        <w:t>28-30</w:t>
      </w:r>
      <w:r w:rsidRPr="002700AC">
        <w:rPr>
          <w:rFonts w:ascii="Arial" w:hAnsi="Arial" w:cs="Arial"/>
          <w:sz w:val="24"/>
          <w:szCs w:val="24"/>
          <w:lang w:val="en-CA"/>
        </w:rPr>
        <w:t xml:space="preserve"> In additi</w:t>
      </w:r>
      <w:r w:rsidR="007932A4" w:rsidRPr="002700AC">
        <w:rPr>
          <w:rFonts w:ascii="Arial" w:hAnsi="Arial" w:cs="Arial"/>
          <w:sz w:val="24"/>
          <w:szCs w:val="24"/>
          <w:lang w:val="en-CA"/>
        </w:rPr>
        <w:t xml:space="preserve">on, </w:t>
      </w:r>
      <w:r w:rsidRPr="002700AC">
        <w:rPr>
          <w:rFonts w:ascii="Arial" w:hAnsi="Arial" w:cs="Arial"/>
          <w:sz w:val="24"/>
          <w:szCs w:val="24"/>
          <w:lang w:val="en-CA"/>
        </w:rPr>
        <w:t xml:space="preserve">among African-American patients with hypertension, no </w:t>
      </w:r>
      <w:r w:rsidR="006A0497">
        <w:rPr>
          <w:rFonts w:ascii="Arial" w:hAnsi="Arial" w:cs="Arial"/>
          <w:sz w:val="24"/>
          <w:szCs w:val="24"/>
          <w:lang w:val="en-CA"/>
        </w:rPr>
        <w:t xml:space="preserve">large RCTs </w:t>
      </w:r>
      <w:r w:rsidRPr="002700AC">
        <w:rPr>
          <w:rFonts w:ascii="Arial" w:hAnsi="Arial" w:cs="Arial"/>
          <w:sz w:val="24"/>
          <w:szCs w:val="24"/>
          <w:lang w:val="en-CA"/>
        </w:rPr>
        <w:t>trials have evaluated optimal combinations of antihypertensive medications.</w:t>
      </w:r>
    </w:p>
    <w:p w:rsidR="007E4F38" w:rsidRPr="002700AC" w:rsidRDefault="00B33158" w:rsidP="00207EFE">
      <w:pPr>
        <w:spacing w:line="480" w:lineRule="auto"/>
        <w:jc w:val="both"/>
        <w:rPr>
          <w:rFonts w:ascii="Arial" w:hAnsi="Arial" w:cs="Arial"/>
          <w:b/>
          <w:sz w:val="24"/>
          <w:szCs w:val="24"/>
          <w:lang w:val="en-CA"/>
        </w:rPr>
      </w:pPr>
      <w:r w:rsidRPr="002700AC">
        <w:rPr>
          <w:rFonts w:ascii="Arial" w:hAnsi="Arial" w:cs="Arial"/>
          <w:b/>
          <w:sz w:val="24"/>
          <w:szCs w:val="24"/>
          <w:lang w:val="en-CA"/>
        </w:rPr>
        <w:t>HYPOTHESIS</w:t>
      </w:r>
    </w:p>
    <w:p w:rsidR="007E4F38" w:rsidRPr="002700AC" w:rsidRDefault="000D1C08" w:rsidP="00207EFE">
      <w:pPr>
        <w:spacing w:line="480" w:lineRule="auto"/>
        <w:jc w:val="both"/>
        <w:rPr>
          <w:rFonts w:ascii="Arial" w:hAnsi="Arial" w:cs="Arial"/>
          <w:sz w:val="24"/>
          <w:szCs w:val="24"/>
          <w:lang w:val="en-CA"/>
        </w:rPr>
      </w:pPr>
      <w:r>
        <w:rPr>
          <w:rFonts w:ascii="Arial" w:hAnsi="Arial" w:cs="Arial"/>
          <w:sz w:val="24"/>
          <w:szCs w:val="24"/>
          <w:lang w:val="en-CA"/>
        </w:rPr>
        <w:t>P</w:t>
      </w:r>
      <w:r w:rsidR="007E4F38" w:rsidRPr="002700AC">
        <w:rPr>
          <w:rFonts w:ascii="Arial" w:hAnsi="Arial" w:cs="Arial"/>
          <w:sz w:val="24"/>
          <w:szCs w:val="24"/>
          <w:lang w:val="en-CA"/>
        </w:rPr>
        <w:t>revious s</w:t>
      </w:r>
      <w:r w:rsidR="0053294D">
        <w:rPr>
          <w:rFonts w:ascii="Arial" w:hAnsi="Arial" w:cs="Arial"/>
          <w:sz w:val="24"/>
          <w:szCs w:val="24"/>
          <w:lang w:val="en-CA"/>
        </w:rPr>
        <w:t xml:space="preserve">tudies in black </w:t>
      </w:r>
      <w:r w:rsidR="005920E0">
        <w:rPr>
          <w:rFonts w:ascii="Arial" w:hAnsi="Arial" w:cs="Arial"/>
          <w:sz w:val="24"/>
          <w:szCs w:val="24"/>
          <w:lang w:val="en-CA"/>
        </w:rPr>
        <w:t>African</w:t>
      </w:r>
      <w:r w:rsidR="00F130AA">
        <w:rPr>
          <w:rFonts w:ascii="Arial" w:hAnsi="Arial" w:cs="Arial"/>
          <w:sz w:val="24"/>
          <w:szCs w:val="24"/>
          <w:lang w:val="en-CA"/>
        </w:rPr>
        <w:t>s</w:t>
      </w:r>
      <w:r w:rsidR="005920E0">
        <w:rPr>
          <w:rFonts w:ascii="Arial" w:hAnsi="Arial" w:cs="Arial"/>
          <w:sz w:val="24"/>
          <w:szCs w:val="24"/>
          <w:lang w:val="en-CA"/>
        </w:rPr>
        <w:t xml:space="preserve"> </w:t>
      </w:r>
      <w:r w:rsidR="007E4F38" w:rsidRPr="002700AC">
        <w:rPr>
          <w:rFonts w:ascii="Arial" w:hAnsi="Arial" w:cs="Arial"/>
          <w:sz w:val="24"/>
          <w:szCs w:val="24"/>
          <w:lang w:val="en-CA"/>
        </w:rPr>
        <w:t xml:space="preserve">showed </w:t>
      </w:r>
      <w:r>
        <w:rPr>
          <w:rFonts w:ascii="Arial" w:hAnsi="Arial" w:cs="Arial"/>
          <w:sz w:val="24"/>
          <w:szCs w:val="24"/>
          <w:lang w:val="en-CA"/>
        </w:rPr>
        <w:t xml:space="preserve">that </w:t>
      </w:r>
      <w:r w:rsidR="007E4F38" w:rsidRPr="002700AC">
        <w:rPr>
          <w:rFonts w:ascii="Arial" w:hAnsi="Arial" w:cs="Arial"/>
          <w:sz w:val="24"/>
          <w:szCs w:val="24"/>
          <w:lang w:val="en-CA"/>
        </w:rPr>
        <w:t>calcium channel blockers and diuretics to be more efficacious as monotherapy when compared with angiotensin converting enzyme inhibitors</w:t>
      </w:r>
      <w:r>
        <w:rPr>
          <w:rFonts w:ascii="Arial" w:hAnsi="Arial" w:cs="Arial"/>
          <w:sz w:val="24"/>
          <w:szCs w:val="24"/>
          <w:lang w:val="en-CA"/>
        </w:rPr>
        <w:t>.</w:t>
      </w:r>
      <w:r w:rsidR="0053294D" w:rsidRPr="0053294D">
        <w:rPr>
          <w:rFonts w:ascii="Arial" w:hAnsi="Arial" w:cs="Arial"/>
          <w:sz w:val="24"/>
          <w:szCs w:val="24"/>
          <w:vertAlign w:val="superscript"/>
          <w:lang w:val="en-CA"/>
        </w:rPr>
        <w:t>31,32</w:t>
      </w:r>
      <w:r w:rsidR="007E4F38" w:rsidRPr="002700AC">
        <w:rPr>
          <w:rFonts w:ascii="Arial" w:hAnsi="Arial" w:cs="Arial"/>
          <w:sz w:val="24"/>
          <w:szCs w:val="24"/>
          <w:lang w:val="en-CA"/>
        </w:rPr>
        <w:t xml:space="preserve"> </w:t>
      </w:r>
      <w:r>
        <w:rPr>
          <w:rFonts w:ascii="Arial" w:hAnsi="Arial" w:cs="Arial"/>
          <w:sz w:val="24"/>
          <w:szCs w:val="24"/>
          <w:lang w:val="en-CA"/>
        </w:rPr>
        <w:t xml:space="preserve">Based on these, we aim to test the hypothesis that </w:t>
      </w:r>
      <w:r w:rsidR="007E4F38" w:rsidRPr="002700AC">
        <w:rPr>
          <w:rFonts w:ascii="Arial" w:hAnsi="Arial" w:cs="Arial"/>
          <w:sz w:val="24"/>
          <w:szCs w:val="24"/>
          <w:lang w:val="en-CA"/>
        </w:rPr>
        <w:t xml:space="preserve">therapy with a combination of amlodipine plus hydrochlorothiazide </w:t>
      </w:r>
      <w:r>
        <w:rPr>
          <w:rFonts w:ascii="Arial" w:hAnsi="Arial" w:cs="Arial"/>
          <w:sz w:val="24"/>
          <w:szCs w:val="24"/>
          <w:lang w:val="en-CA"/>
        </w:rPr>
        <w:t>is</w:t>
      </w:r>
      <w:r w:rsidR="007E4F38" w:rsidRPr="002700AC">
        <w:rPr>
          <w:rFonts w:ascii="Arial" w:hAnsi="Arial" w:cs="Arial"/>
          <w:sz w:val="24"/>
          <w:szCs w:val="24"/>
          <w:lang w:val="en-CA"/>
        </w:rPr>
        <w:t xml:space="preserve"> more efficacious than the combinations of perindopril plus amlodipine, and perindopril plus hydrochloroth</w:t>
      </w:r>
      <w:r w:rsidR="005920E0">
        <w:rPr>
          <w:rFonts w:ascii="Arial" w:hAnsi="Arial" w:cs="Arial"/>
          <w:sz w:val="24"/>
          <w:szCs w:val="24"/>
          <w:lang w:val="en-CA"/>
        </w:rPr>
        <w:t>iazide in reducing mean 24</w:t>
      </w:r>
      <w:r>
        <w:rPr>
          <w:rFonts w:ascii="Arial" w:hAnsi="Arial" w:cs="Arial"/>
          <w:sz w:val="24"/>
          <w:szCs w:val="24"/>
          <w:lang w:val="en-CA"/>
        </w:rPr>
        <w:t>-</w:t>
      </w:r>
      <w:r w:rsidR="005920E0">
        <w:rPr>
          <w:rFonts w:ascii="Arial" w:hAnsi="Arial" w:cs="Arial"/>
          <w:sz w:val="24"/>
          <w:szCs w:val="24"/>
          <w:lang w:val="en-CA"/>
        </w:rPr>
        <w:t>hour ambulatory systolic blood pressure (</w:t>
      </w:r>
      <w:r w:rsidR="007E4F38" w:rsidRPr="002700AC">
        <w:rPr>
          <w:rFonts w:ascii="Arial" w:hAnsi="Arial" w:cs="Arial"/>
          <w:sz w:val="24"/>
          <w:szCs w:val="24"/>
          <w:lang w:val="en-CA"/>
        </w:rPr>
        <w:t>ASBP</w:t>
      </w:r>
      <w:r w:rsidR="005920E0">
        <w:rPr>
          <w:rFonts w:ascii="Arial" w:hAnsi="Arial" w:cs="Arial"/>
          <w:sz w:val="24"/>
          <w:szCs w:val="24"/>
          <w:lang w:val="en-CA"/>
        </w:rPr>
        <w:t>)</w:t>
      </w:r>
      <w:r w:rsidR="007E4F38" w:rsidRPr="002700AC">
        <w:rPr>
          <w:rFonts w:ascii="Arial" w:hAnsi="Arial" w:cs="Arial"/>
          <w:sz w:val="24"/>
          <w:szCs w:val="24"/>
          <w:lang w:val="en-CA"/>
        </w:rPr>
        <w:t xml:space="preserve"> levels in black Africans.</w:t>
      </w:r>
    </w:p>
    <w:p w:rsidR="00B33158" w:rsidRPr="002700AC" w:rsidRDefault="00B33158" w:rsidP="00207EFE">
      <w:pPr>
        <w:spacing w:line="480" w:lineRule="auto"/>
        <w:jc w:val="both"/>
        <w:rPr>
          <w:rFonts w:ascii="Arial" w:hAnsi="Arial" w:cs="Arial"/>
          <w:b/>
          <w:sz w:val="24"/>
          <w:szCs w:val="24"/>
          <w:lang w:val="en-CA"/>
        </w:rPr>
      </w:pPr>
      <w:r w:rsidRPr="002700AC">
        <w:rPr>
          <w:rFonts w:ascii="Arial" w:hAnsi="Arial" w:cs="Arial"/>
          <w:b/>
          <w:sz w:val="24"/>
          <w:szCs w:val="24"/>
          <w:lang w:val="en-CA"/>
        </w:rPr>
        <w:t>OBJECTIVES</w:t>
      </w:r>
    </w:p>
    <w:p w:rsidR="007E4F38" w:rsidRPr="002700AC" w:rsidRDefault="007E4F38" w:rsidP="00207EFE">
      <w:pPr>
        <w:spacing w:line="480" w:lineRule="auto"/>
        <w:jc w:val="both"/>
        <w:rPr>
          <w:rFonts w:ascii="Arial" w:hAnsi="Arial" w:cs="Arial"/>
          <w:b/>
          <w:sz w:val="24"/>
          <w:szCs w:val="24"/>
          <w:lang w:val="en-CA"/>
        </w:rPr>
      </w:pPr>
      <w:r w:rsidRPr="002700AC">
        <w:rPr>
          <w:rFonts w:ascii="Arial" w:hAnsi="Arial" w:cs="Arial"/>
          <w:b/>
          <w:sz w:val="24"/>
          <w:szCs w:val="24"/>
          <w:lang w:val="en-CA"/>
        </w:rPr>
        <w:t xml:space="preserve">Primary Objectives </w:t>
      </w:r>
    </w:p>
    <w:p w:rsidR="007E4F38" w:rsidRPr="002700AC" w:rsidRDefault="007E4F38" w:rsidP="00207EFE">
      <w:pPr>
        <w:keepNext/>
        <w:keepLines/>
        <w:spacing w:line="480" w:lineRule="auto"/>
        <w:jc w:val="both"/>
        <w:outlineLvl w:val="1"/>
        <w:rPr>
          <w:rFonts w:ascii="Arial" w:hAnsi="Arial" w:cs="Arial"/>
          <w:sz w:val="24"/>
          <w:szCs w:val="24"/>
          <w:lang w:val="en-CA"/>
        </w:rPr>
      </w:pPr>
      <w:r w:rsidRPr="002700AC">
        <w:rPr>
          <w:rFonts w:ascii="Arial" w:hAnsi="Arial" w:cs="Arial"/>
          <w:sz w:val="24"/>
          <w:szCs w:val="24"/>
          <w:lang w:val="en-CA"/>
        </w:rPr>
        <w:t xml:space="preserve">The primary objective of </w:t>
      </w:r>
      <w:r w:rsidR="00D27361" w:rsidRPr="002700AC">
        <w:rPr>
          <w:rFonts w:ascii="Arial" w:hAnsi="Arial" w:cs="Arial"/>
          <w:sz w:val="24"/>
          <w:szCs w:val="24"/>
          <w:lang w:val="en-CA"/>
        </w:rPr>
        <w:t xml:space="preserve">the </w:t>
      </w:r>
      <w:r w:rsidRPr="002700AC">
        <w:rPr>
          <w:rFonts w:ascii="Arial" w:hAnsi="Arial" w:cs="Arial"/>
          <w:sz w:val="24"/>
          <w:szCs w:val="24"/>
          <w:lang w:val="en-CA"/>
        </w:rPr>
        <w:t>CREOLE study is to</w:t>
      </w:r>
      <w:r w:rsidRPr="002700AC">
        <w:rPr>
          <w:rFonts w:ascii="Arial" w:hAnsi="Arial" w:cs="Arial"/>
          <w:sz w:val="24"/>
          <w:szCs w:val="24"/>
        </w:rPr>
        <w:t xml:space="preserve"> determine which of the </w:t>
      </w:r>
      <w:r w:rsidR="002B1585" w:rsidRPr="002700AC">
        <w:rPr>
          <w:rFonts w:ascii="Arial" w:hAnsi="Arial" w:cs="Arial"/>
          <w:sz w:val="24"/>
          <w:szCs w:val="24"/>
        </w:rPr>
        <w:t xml:space="preserve">three </w:t>
      </w:r>
      <w:r w:rsidR="00D27361" w:rsidRPr="002700AC">
        <w:rPr>
          <w:rFonts w:ascii="Arial" w:hAnsi="Arial" w:cs="Arial"/>
          <w:sz w:val="24"/>
          <w:szCs w:val="24"/>
        </w:rPr>
        <w:t>‘</w:t>
      </w:r>
      <w:r w:rsidR="002B1585" w:rsidRPr="002700AC">
        <w:rPr>
          <w:rFonts w:ascii="Arial" w:hAnsi="Arial" w:cs="Arial"/>
          <w:sz w:val="24"/>
          <w:szCs w:val="24"/>
        </w:rPr>
        <w:t>two-drug</w:t>
      </w:r>
      <w:r w:rsidR="00D27361" w:rsidRPr="002700AC">
        <w:rPr>
          <w:rFonts w:ascii="Arial" w:hAnsi="Arial" w:cs="Arial"/>
          <w:sz w:val="24"/>
          <w:szCs w:val="24"/>
        </w:rPr>
        <w:t>’</w:t>
      </w:r>
      <w:r w:rsidR="002B1585" w:rsidRPr="002700AC">
        <w:rPr>
          <w:rFonts w:ascii="Arial" w:hAnsi="Arial" w:cs="Arial"/>
          <w:sz w:val="24"/>
          <w:szCs w:val="24"/>
        </w:rPr>
        <w:t xml:space="preserve"> anti-hypertensive </w:t>
      </w:r>
      <w:r w:rsidRPr="002700AC">
        <w:rPr>
          <w:rFonts w:ascii="Arial" w:hAnsi="Arial" w:cs="Arial"/>
          <w:sz w:val="24"/>
          <w:szCs w:val="24"/>
        </w:rPr>
        <w:t>comb</w:t>
      </w:r>
      <w:r w:rsidR="002B1585" w:rsidRPr="002700AC">
        <w:rPr>
          <w:rFonts w:ascii="Arial" w:hAnsi="Arial" w:cs="Arial"/>
          <w:sz w:val="24"/>
          <w:szCs w:val="24"/>
        </w:rPr>
        <w:t>inations of amlodipine</w:t>
      </w:r>
      <w:r w:rsidRPr="002700AC">
        <w:rPr>
          <w:rFonts w:ascii="Arial" w:hAnsi="Arial" w:cs="Arial"/>
          <w:sz w:val="24"/>
          <w:szCs w:val="24"/>
        </w:rPr>
        <w:t xml:space="preserve"> plus perindopril versus amlodipine plus hydrochlorothiazide versus perindopril plus hydrochlorothiazide) is most effective in reducing </w:t>
      </w:r>
      <w:r w:rsidRPr="002700AC">
        <w:rPr>
          <w:rFonts w:ascii="Arial" w:hAnsi="Arial" w:cs="Arial"/>
          <w:sz w:val="24"/>
          <w:szCs w:val="24"/>
          <w:lang w:val="en-CA"/>
        </w:rPr>
        <w:t xml:space="preserve">24 hour ASBP in black African patients with hypertension. </w:t>
      </w:r>
    </w:p>
    <w:p w:rsidR="007E4F38" w:rsidRPr="002700AC" w:rsidRDefault="007E4F38" w:rsidP="00207EFE">
      <w:pPr>
        <w:spacing w:line="480" w:lineRule="auto"/>
        <w:jc w:val="both"/>
        <w:rPr>
          <w:rFonts w:ascii="Arial" w:hAnsi="Arial" w:cs="Arial"/>
          <w:b/>
          <w:sz w:val="24"/>
          <w:szCs w:val="24"/>
          <w:lang w:val="en-CA"/>
        </w:rPr>
      </w:pPr>
      <w:r w:rsidRPr="002700AC">
        <w:rPr>
          <w:rFonts w:ascii="Arial" w:hAnsi="Arial" w:cs="Arial"/>
          <w:b/>
          <w:sz w:val="24"/>
          <w:szCs w:val="24"/>
          <w:lang w:val="en-CA"/>
        </w:rPr>
        <w:t>Secondary Objectives</w:t>
      </w:r>
    </w:p>
    <w:p w:rsidR="007E4F38" w:rsidRPr="002700AC" w:rsidRDefault="007E4F38" w:rsidP="00207EFE">
      <w:pPr>
        <w:spacing w:line="480" w:lineRule="auto"/>
        <w:jc w:val="both"/>
        <w:rPr>
          <w:rFonts w:ascii="Arial" w:hAnsi="Arial" w:cs="Arial"/>
          <w:sz w:val="24"/>
          <w:szCs w:val="24"/>
        </w:rPr>
      </w:pPr>
      <w:r w:rsidRPr="002700AC">
        <w:rPr>
          <w:rFonts w:ascii="Arial" w:hAnsi="Arial" w:cs="Arial"/>
          <w:sz w:val="24"/>
          <w:szCs w:val="24"/>
        </w:rPr>
        <w:t>The secondary objectives of the study are:</w:t>
      </w:r>
    </w:p>
    <w:p w:rsidR="007E4F38" w:rsidRPr="002700AC" w:rsidRDefault="007E4F38" w:rsidP="00207EFE">
      <w:pPr>
        <w:spacing w:line="480" w:lineRule="auto"/>
        <w:jc w:val="both"/>
        <w:rPr>
          <w:rFonts w:ascii="Arial" w:hAnsi="Arial" w:cs="Arial"/>
          <w:sz w:val="24"/>
          <w:szCs w:val="24"/>
        </w:rPr>
      </w:pPr>
      <w:r w:rsidRPr="002700AC">
        <w:rPr>
          <w:rFonts w:ascii="Arial" w:hAnsi="Arial" w:cs="Arial"/>
          <w:sz w:val="24"/>
          <w:szCs w:val="24"/>
        </w:rPr>
        <w:t xml:space="preserve">1. To determine which of these combinations is most effective in reducing other measures of blood pressure which include:  </w:t>
      </w:r>
    </w:p>
    <w:p w:rsidR="007E4F38" w:rsidRPr="002700AC" w:rsidRDefault="007E4F38" w:rsidP="00207EFE">
      <w:pPr>
        <w:spacing w:line="480" w:lineRule="auto"/>
        <w:ind w:left="426"/>
        <w:jc w:val="both"/>
        <w:rPr>
          <w:rFonts w:ascii="Arial" w:hAnsi="Arial" w:cs="Arial"/>
          <w:sz w:val="24"/>
          <w:szCs w:val="24"/>
          <w:lang w:val="en-CA"/>
        </w:rPr>
      </w:pPr>
      <w:r w:rsidRPr="002700AC">
        <w:rPr>
          <w:rFonts w:ascii="Arial" w:hAnsi="Arial" w:cs="Arial"/>
          <w:sz w:val="24"/>
          <w:szCs w:val="24"/>
        </w:rPr>
        <w:t xml:space="preserve">i. </w:t>
      </w:r>
      <w:r w:rsidRPr="002700AC">
        <w:rPr>
          <w:rFonts w:ascii="Arial" w:hAnsi="Arial" w:cs="Arial"/>
          <w:sz w:val="24"/>
          <w:szCs w:val="24"/>
          <w:lang w:val="en-CA"/>
        </w:rPr>
        <w:t>24</w:t>
      </w:r>
      <w:r w:rsidR="000D1C08">
        <w:rPr>
          <w:rFonts w:ascii="Arial" w:hAnsi="Arial" w:cs="Arial"/>
          <w:sz w:val="24"/>
          <w:szCs w:val="24"/>
          <w:lang w:val="en-CA"/>
        </w:rPr>
        <w:t>-</w:t>
      </w:r>
      <w:r w:rsidRPr="002700AC">
        <w:rPr>
          <w:rFonts w:ascii="Arial" w:hAnsi="Arial" w:cs="Arial"/>
          <w:sz w:val="24"/>
          <w:szCs w:val="24"/>
          <w:lang w:val="en-CA"/>
        </w:rPr>
        <w:t xml:space="preserve">hour ambulatory diastolic BP (ADBP)  </w:t>
      </w:r>
    </w:p>
    <w:p w:rsidR="007E4F38" w:rsidRPr="002700AC" w:rsidRDefault="007E4F38" w:rsidP="00207EFE">
      <w:pPr>
        <w:spacing w:line="480" w:lineRule="auto"/>
        <w:ind w:left="426"/>
        <w:jc w:val="both"/>
        <w:rPr>
          <w:rFonts w:ascii="Arial" w:hAnsi="Arial" w:cs="Arial"/>
          <w:sz w:val="24"/>
          <w:szCs w:val="24"/>
          <w:lang w:val="en-CA"/>
        </w:rPr>
      </w:pPr>
      <w:r w:rsidRPr="002700AC">
        <w:rPr>
          <w:rFonts w:ascii="Arial" w:hAnsi="Arial" w:cs="Arial"/>
          <w:sz w:val="24"/>
          <w:szCs w:val="24"/>
          <w:lang w:val="en-CA"/>
        </w:rPr>
        <w:t xml:space="preserve">ii. </w:t>
      </w:r>
      <w:r w:rsidR="00DB2AD3" w:rsidRPr="002700AC">
        <w:rPr>
          <w:rFonts w:ascii="Arial" w:hAnsi="Arial" w:cs="Arial"/>
          <w:sz w:val="24"/>
          <w:szCs w:val="24"/>
          <w:lang w:val="en-CA"/>
        </w:rPr>
        <w:t>Clinic</w:t>
      </w:r>
      <w:r w:rsidRPr="002700AC">
        <w:rPr>
          <w:rFonts w:ascii="Arial" w:hAnsi="Arial" w:cs="Arial"/>
          <w:sz w:val="24"/>
          <w:szCs w:val="24"/>
          <w:lang w:val="en-CA"/>
        </w:rPr>
        <w:t xml:space="preserve"> BP </w:t>
      </w:r>
    </w:p>
    <w:p w:rsidR="007E4F38" w:rsidRPr="002700AC" w:rsidRDefault="007E4F38" w:rsidP="00207EFE">
      <w:pPr>
        <w:spacing w:line="480" w:lineRule="auto"/>
        <w:ind w:left="426"/>
        <w:jc w:val="both"/>
        <w:rPr>
          <w:rFonts w:ascii="Arial" w:hAnsi="Arial" w:cs="Arial"/>
          <w:sz w:val="24"/>
          <w:szCs w:val="24"/>
          <w:lang w:val="en-CA"/>
        </w:rPr>
      </w:pPr>
      <w:r w:rsidRPr="002700AC">
        <w:rPr>
          <w:rFonts w:ascii="Arial" w:hAnsi="Arial" w:cs="Arial"/>
          <w:sz w:val="24"/>
          <w:szCs w:val="24"/>
          <w:lang w:val="en-CA"/>
        </w:rPr>
        <w:t xml:space="preserve">iii. </w:t>
      </w:r>
      <w:r w:rsidR="00DB2AD3" w:rsidRPr="002700AC">
        <w:rPr>
          <w:rFonts w:ascii="Arial" w:hAnsi="Arial" w:cs="Arial"/>
          <w:sz w:val="24"/>
          <w:szCs w:val="24"/>
          <w:lang w:val="en-CA"/>
        </w:rPr>
        <w:t>Day</w:t>
      </w:r>
      <w:r w:rsidRPr="002700AC">
        <w:rPr>
          <w:rFonts w:ascii="Arial" w:hAnsi="Arial" w:cs="Arial"/>
          <w:sz w:val="24"/>
          <w:szCs w:val="24"/>
          <w:lang w:val="en-CA"/>
        </w:rPr>
        <w:t xml:space="preserve"> </w:t>
      </w:r>
      <w:r w:rsidR="002700AC" w:rsidRPr="002700AC">
        <w:rPr>
          <w:rFonts w:ascii="Arial" w:hAnsi="Arial" w:cs="Arial"/>
          <w:sz w:val="24"/>
          <w:szCs w:val="24"/>
          <w:lang w:val="en-CA"/>
        </w:rPr>
        <w:t>time and nighttime</w:t>
      </w:r>
      <w:r w:rsidR="00D27361" w:rsidRPr="002700AC">
        <w:rPr>
          <w:rFonts w:ascii="Arial" w:hAnsi="Arial" w:cs="Arial"/>
          <w:sz w:val="24"/>
          <w:szCs w:val="24"/>
          <w:lang w:val="en-CA"/>
        </w:rPr>
        <w:t xml:space="preserve"> BP</w:t>
      </w:r>
    </w:p>
    <w:p w:rsidR="007E4F38" w:rsidRPr="002700AC" w:rsidRDefault="007E4F38" w:rsidP="00207EFE">
      <w:pPr>
        <w:spacing w:line="480" w:lineRule="auto"/>
        <w:ind w:left="426"/>
        <w:jc w:val="both"/>
        <w:rPr>
          <w:rFonts w:ascii="Arial" w:hAnsi="Arial" w:cs="Arial"/>
          <w:sz w:val="24"/>
          <w:szCs w:val="24"/>
          <w:lang w:val="en-CA"/>
        </w:rPr>
      </w:pPr>
      <w:r w:rsidRPr="002700AC">
        <w:rPr>
          <w:rFonts w:ascii="Arial" w:hAnsi="Arial" w:cs="Arial"/>
          <w:sz w:val="24"/>
          <w:szCs w:val="24"/>
          <w:lang w:val="en-CA"/>
        </w:rPr>
        <w:t>iv. 24</w:t>
      </w:r>
      <w:r w:rsidR="000D1C08">
        <w:rPr>
          <w:rFonts w:ascii="Arial" w:hAnsi="Arial" w:cs="Arial"/>
          <w:sz w:val="24"/>
          <w:szCs w:val="24"/>
          <w:lang w:val="en-CA"/>
        </w:rPr>
        <w:t>-</w:t>
      </w:r>
      <w:r w:rsidRPr="002700AC">
        <w:rPr>
          <w:rFonts w:ascii="Arial" w:hAnsi="Arial" w:cs="Arial"/>
          <w:sz w:val="24"/>
          <w:szCs w:val="24"/>
          <w:lang w:val="en-CA"/>
        </w:rPr>
        <w:t xml:space="preserve">hour ASBP variability measured </w:t>
      </w:r>
      <w:r w:rsidR="00A4457B" w:rsidRPr="002700AC">
        <w:rPr>
          <w:rFonts w:ascii="Arial" w:hAnsi="Arial" w:cs="Arial"/>
          <w:sz w:val="24"/>
          <w:szCs w:val="24"/>
          <w:lang w:val="en-CA"/>
        </w:rPr>
        <w:t xml:space="preserve">by </w:t>
      </w:r>
      <w:r w:rsidR="005920E0">
        <w:rPr>
          <w:rFonts w:ascii="Arial" w:hAnsi="Arial" w:cs="Arial"/>
          <w:sz w:val="24"/>
          <w:szCs w:val="24"/>
          <w:lang w:val="en-CA"/>
        </w:rPr>
        <w:t>ambulatory blood pressure monitoring (</w:t>
      </w:r>
      <w:r w:rsidR="00A4457B" w:rsidRPr="002700AC">
        <w:rPr>
          <w:rFonts w:ascii="Arial" w:hAnsi="Arial" w:cs="Arial"/>
          <w:sz w:val="24"/>
          <w:szCs w:val="24"/>
          <w:lang w:val="en-CA"/>
        </w:rPr>
        <w:t>ABPM</w:t>
      </w:r>
      <w:r w:rsidR="005920E0">
        <w:rPr>
          <w:rFonts w:ascii="Arial" w:hAnsi="Arial" w:cs="Arial"/>
          <w:sz w:val="24"/>
          <w:szCs w:val="24"/>
          <w:lang w:val="en-CA"/>
        </w:rPr>
        <w:t>)</w:t>
      </w:r>
      <w:r w:rsidRPr="002700AC">
        <w:rPr>
          <w:rFonts w:ascii="Arial" w:hAnsi="Arial" w:cs="Arial"/>
          <w:sz w:val="24"/>
          <w:szCs w:val="24"/>
          <w:lang w:val="en-CA"/>
        </w:rPr>
        <w:t>.</w:t>
      </w:r>
    </w:p>
    <w:p w:rsidR="007E4F38" w:rsidRPr="002700AC" w:rsidRDefault="007E4F38" w:rsidP="00207EFE">
      <w:pPr>
        <w:spacing w:line="480" w:lineRule="auto"/>
        <w:ind w:left="426" w:hanging="568"/>
        <w:jc w:val="both"/>
        <w:rPr>
          <w:rFonts w:ascii="Arial" w:hAnsi="Arial" w:cs="Arial"/>
          <w:sz w:val="24"/>
          <w:szCs w:val="24"/>
        </w:rPr>
      </w:pPr>
      <w:r w:rsidRPr="002700AC">
        <w:rPr>
          <w:rFonts w:ascii="Arial" w:hAnsi="Arial" w:cs="Arial"/>
          <w:sz w:val="24"/>
          <w:szCs w:val="24"/>
          <w:lang w:val="en-CA"/>
        </w:rPr>
        <w:t>2.  T</w:t>
      </w:r>
      <w:r w:rsidRPr="002700AC">
        <w:rPr>
          <w:rFonts w:ascii="Arial" w:hAnsi="Arial" w:cs="Arial"/>
          <w:sz w:val="24"/>
          <w:szCs w:val="24"/>
        </w:rPr>
        <w:t>o determine which of the three combinations of two -antihypertensive agents is most effective in increasing the proportion of patients who achieve BP control</w:t>
      </w:r>
      <w:r w:rsidR="001F77EC">
        <w:rPr>
          <w:rFonts w:ascii="Arial" w:hAnsi="Arial" w:cs="Arial"/>
          <w:sz w:val="24"/>
          <w:szCs w:val="24"/>
        </w:rPr>
        <w:t xml:space="preserve"> (BP control is defined as SBP &lt; 140mmHg and DBP&lt; 90mmHg), and</w:t>
      </w:r>
      <w:r w:rsidRPr="002700AC">
        <w:rPr>
          <w:rFonts w:ascii="Arial" w:hAnsi="Arial" w:cs="Arial"/>
          <w:sz w:val="24"/>
          <w:szCs w:val="24"/>
        </w:rPr>
        <w:t xml:space="preserve"> proportion of patients classified as “r</w:t>
      </w:r>
      <w:r w:rsidR="005920E0">
        <w:rPr>
          <w:rFonts w:ascii="Arial" w:hAnsi="Arial" w:cs="Arial"/>
          <w:sz w:val="24"/>
          <w:szCs w:val="24"/>
        </w:rPr>
        <w:t xml:space="preserve">esponders” </w:t>
      </w:r>
      <w:r w:rsidR="00830B39">
        <w:rPr>
          <w:rFonts w:ascii="Arial" w:hAnsi="Arial" w:cs="Arial"/>
          <w:sz w:val="24"/>
          <w:szCs w:val="24"/>
        </w:rPr>
        <w:t>(responders</w:t>
      </w:r>
      <w:r w:rsidR="001F77EC">
        <w:rPr>
          <w:rFonts w:ascii="Arial" w:hAnsi="Arial" w:cs="Arial"/>
          <w:sz w:val="24"/>
          <w:szCs w:val="24"/>
        </w:rPr>
        <w:t xml:space="preserve"> are </w:t>
      </w:r>
      <w:r w:rsidR="005920E0">
        <w:rPr>
          <w:rFonts w:ascii="Arial" w:hAnsi="Arial" w:cs="Arial"/>
          <w:sz w:val="24"/>
          <w:szCs w:val="24"/>
        </w:rPr>
        <w:t xml:space="preserve">defined as </w:t>
      </w:r>
      <w:r w:rsidR="001F77EC">
        <w:rPr>
          <w:rFonts w:ascii="Arial" w:hAnsi="Arial" w:cs="Arial"/>
          <w:sz w:val="24"/>
          <w:szCs w:val="24"/>
        </w:rPr>
        <w:t xml:space="preserve">those </w:t>
      </w:r>
      <w:r w:rsidR="00830B39">
        <w:rPr>
          <w:rFonts w:ascii="Arial" w:hAnsi="Arial" w:cs="Arial"/>
          <w:sz w:val="24"/>
          <w:szCs w:val="24"/>
        </w:rPr>
        <w:t>with</w:t>
      </w:r>
      <w:r w:rsidR="00830B39" w:rsidRPr="002700AC">
        <w:rPr>
          <w:rFonts w:ascii="Arial" w:hAnsi="Arial" w:cs="Arial"/>
          <w:sz w:val="24"/>
          <w:szCs w:val="24"/>
        </w:rPr>
        <w:t xml:space="preserve"> a</w:t>
      </w:r>
      <w:r w:rsidRPr="002700AC">
        <w:rPr>
          <w:rFonts w:ascii="Arial" w:hAnsi="Arial" w:cs="Arial"/>
          <w:sz w:val="24"/>
          <w:szCs w:val="24"/>
        </w:rPr>
        <w:t xml:space="preserve"> reduction of SBP &gt; 20mmHg and DBP&gt; </w:t>
      </w:r>
      <w:r w:rsidR="005920E0" w:rsidRPr="002700AC">
        <w:rPr>
          <w:rFonts w:ascii="Arial" w:hAnsi="Arial" w:cs="Arial"/>
          <w:sz w:val="24"/>
          <w:szCs w:val="24"/>
        </w:rPr>
        <w:t>10mmHg during</w:t>
      </w:r>
      <w:r w:rsidRPr="002700AC">
        <w:rPr>
          <w:rFonts w:ascii="Arial" w:hAnsi="Arial" w:cs="Arial"/>
          <w:sz w:val="24"/>
          <w:szCs w:val="24"/>
        </w:rPr>
        <w:t xml:space="preserve"> the trial). </w:t>
      </w:r>
    </w:p>
    <w:p w:rsidR="007E4F38" w:rsidRPr="002700AC" w:rsidRDefault="007E4F38" w:rsidP="00207EFE">
      <w:pPr>
        <w:spacing w:line="480" w:lineRule="auto"/>
        <w:jc w:val="both"/>
        <w:rPr>
          <w:rFonts w:ascii="Arial" w:hAnsi="Arial" w:cs="Arial"/>
          <w:sz w:val="24"/>
          <w:szCs w:val="24"/>
        </w:rPr>
      </w:pPr>
      <w:r w:rsidRPr="002700AC">
        <w:rPr>
          <w:rFonts w:ascii="Arial" w:hAnsi="Arial" w:cs="Arial"/>
          <w:sz w:val="24"/>
          <w:szCs w:val="24"/>
        </w:rPr>
        <w:t>3.  To determine the effect of these three combinations on:</w:t>
      </w:r>
    </w:p>
    <w:p w:rsidR="007E4F38" w:rsidRPr="002700AC" w:rsidRDefault="007E4F38" w:rsidP="00207EFE">
      <w:pPr>
        <w:spacing w:line="480" w:lineRule="auto"/>
        <w:ind w:left="426"/>
        <w:jc w:val="both"/>
        <w:rPr>
          <w:rFonts w:ascii="Arial" w:hAnsi="Arial" w:cs="Arial"/>
          <w:sz w:val="24"/>
          <w:szCs w:val="24"/>
        </w:rPr>
      </w:pPr>
      <w:r w:rsidRPr="002700AC">
        <w:rPr>
          <w:rFonts w:ascii="Arial" w:hAnsi="Arial" w:cs="Arial"/>
          <w:sz w:val="24"/>
          <w:szCs w:val="24"/>
        </w:rPr>
        <w:t xml:space="preserve">i. </w:t>
      </w:r>
      <w:r w:rsidR="000D1C08">
        <w:rPr>
          <w:rFonts w:ascii="Arial" w:hAnsi="Arial" w:cs="Arial"/>
          <w:sz w:val="24"/>
          <w:szCs w:val="24"/>
        </w:rPr>
        <w:t>M</w:t>
      </w:r>
      <w:r w:rsidR="000D1C08" w:rsidRPr="002700AC">
        <w:rPr>
          <w:rFonts w:ascii="Arial" w:hAnsi="Arial" w:cs="Arial"/>
          <w:sz w:val="24"/>
          <w:szCs w:val="24"/>
        </w:rPr>
        <w:t>icro</w:t>
      </w:r>
      <w:r w:rsidR="00D27361" w:rsidRPr="002700AC">
        <w:rPr>
          <w:rFonts w:ascii="Arial" w:hAnsi="Arial" w:cs="Arial"/>
          <w:sz w:val="24"/>
          <w:szCs w:val="24"/>
        </w:rPr>
        <w:t>- and macro-albuminuria</w:t>
      </w:r>
      <w:r w:rsidR="007B242E">
        <w:rPr>
          <w:rFonts w:ascii="Arial" w:hAnsi="Arial" w:cs="Arial"/>
          <w:sz w:val="24"/>
          <w:szCs w:val="24"/>
        </w:rPr>
        <w:t>,</w:t>
      </w:r>
      <w:r w:rsidRPr="002700AC">
        <w:rPr>
          <w:rFonts w:ascii="Arial" w:hAnsi="Arial" w:cs="Arial"/>
          <w:sz w:val="24"/>
          <w:szCs w:val="24"/>
        </w:rPr>
        <w:t xml:space="preserve"> </w:t>
      </w:r>
    </w:p>
    <w:p w:rsidR="007E4F38" w:rsidRPr="002700AC" w:rsidRDefault="007E4F38" w:rsidP="00207EFE">
      <w:pPr>
        <w:spacing w:line="480" w:lineRule="auto"/>
        <w:ind w:left="426"/>
        <w:jc w:val="both"/>
        <w:rPr>
          <w:rFonts w:ascii="Arial" w:hAnsi="Arial" w:cs="Arial"/>
          <w:sz w:val="24"/>
          <w:szCs w:val="24"/>
        </w:rPr>
      </w:pPr>
      <w:r w:rsidRPr="002700AC">
        <w:rPr>
          <w:rFonts w:ascii="Arial" w:hAnsi="Arial" w:cs="Arial"/>
          <w:sz w:val="24"/>
          <w:szCs w:val="24"/>
        </w:rPr>
        <w:t xml:space="preserve">ii. </w:t>
      </w:r>
      <w:r w:rsidR="00F05905" w:rsidRPr="002700AC">
        <w:rPr>
          <w:rFonts w:ascii="Arial" w:hAnsi="Arial" w:cs="Arial"/>
          <w:sz w:val="24"/>
          <w:szCs w:val="24"/>
        </w:rPr>
        <w:t>Fasting</w:t>
      </w:r>
      <w:r w:rsidRPr="002700AC">
        <w:rPr>
          <w:rFonts w:ascii="Arial" w:hAnsi="Arial" w:cs="Arial"/>
          <w:sz w:val="24"/>
          <w:szCs w:val="24"/>
        </w:rPr>
        <w:t xml:space="preserve"> bl</w:t>
      </w:r>
      <w:r w:rsidR="00D27361" w:rsidRPr="002700AC">
        <w:rPr>
          <w:rFonts w:ascii="Arial" w:hAnsi="Arial" w:cs="Arial"/>
          <w:sz w:val="24"/>
          <w:szCs w:val="24"/>
        </w:rPr>
        <w:t>ood glucose</w:t>
      </w:r>
      <w:r w:rsidR="007B242E">
        <w:rPr>
          <w:rFonts w:ascii="Arial" w:hAnsi="Arial" w:cs="Arial"/>
          <w:sz w:val="24"/>
          <w:szCs w:val="24"/>
        </w:rPr>
        <w:t>,</w:t>
      </w:r>
      <w:r w:rsidRPr="002700AC">
        <w:rPr>
          <w:rFonts w:ascii="Arial" w:hAnsi="Arial" w:cs="Arial"/>
          <w:sz w:val="24"/>
          <w:szCs w:val="24"/>
        </w:rPr>
        <w:t xml:space="preserve"> </w:t>
      </w:r>
    </w:p>
    <w:p w:rsidR="007E4F38" w:rsidRPr="002700AC" w:rsidRDefault="007E4F38" w:rsidP="00207EFE">
      <w:pPr>
        <w:spacing w:line="480" w:lineRule="auto"/>
        <w:ind w:left="426"/>
        <w:jc w:val="both"/>
        <w:rPr>
          <w:rFonts w:ascii="Arial" w:hAnsi="Arial" w:cs="Arial"/>
          <w:sz w:val="24"/>
          <w:szCs w:val="24"/>
        </w:rPr>
      </w:pPr>
      <w:r w:rsidRPr="002700AC">
        <w:rPr>
          <w:rFonts w:ascii="Arial" w:hAnsi="Arial" w:cs="Arial"/>
          <w:sz w:val="24"/>
          <w:szCs w:val="24"/>
        </w:rPr>
        <w:t xml:space="preserve">iii. </w:t>
      </w:r>
      <w:r w:rsidR="00F05905" w:rsidRPr="002700AC">
        <w:rPr>
          <w:rFonts w:ascii="Arial" w:hAnsi="Arial" w:cs="Arial"/>
          <w:sz w:val="24"/>
          <w:szCs w:val="24"/>
        </w:rPr>
        <w:t>Fasting</w:t>
      </w:r>
      <w:r w:rsidR="00D27361" w:rsidRPr="002700AC">
        <w:rPr>
          <w:rFonts w:ascii="Arial" w:hAnsi="Arial" w:cs="Arial"/>
          <w:sz w:val="24"/>
          <w:szCs w:val="24"/>
        </w:rPr>
        <w:t xml:space="preserve"> lipid profile</w:t>
      </w:r>
      <w:r w:rsidR="007B242E">
        <w:rPr>
          <w:rFonts w:ascii="Arial" w:hAnsi="Arial" w:cs="Arial"/>
          <w:sz w:val="24"/>
          <w:szCs w:val="24"/>
        </w:rPr>
        <w:t>,</w:t>
      </w:r>
    </w:p>
    <w:p w:rsidR="007E4F38" w:rsidRPr="002700AC" w:rsidRDefault="007E4F38" w:rsidP="00207EFE">
      <w:pPr>
        <w:spacing w:line="480" w:lineRule="auto"/>
        <w:ind w:left="426"/>
        <w:jc w:val="both"/>
        <w:rPr>
          <w:rFonts w:ascii="Arial" w:hAnsi="Arial" w:cs="Arial"/>
          <w:sz w:val="24"/>
          <w:szCs w:val="24"/>
        </w:rPr>
      </w:pPr>
      <w:r w:rsidRPr="002700AC">
        <w:rPr>
          <w:rFonts w:ascii="Arial" w:hAnsi="Arial" w:cs="Arial"/>
          <w:sz w:val="24"/>
          <w:szCs w:val="24"/>
        </w:rPr>
        <w:t xml:space="preserve">iv. </w:t>
      </w:r>
      <w:r w:rsidR="00F05905" w:rsidRPr="002700AC">
        <w:rPr>
          <w:rFonts w:ascii="Arial" w:hAnsi="Arial" w:cs="Arial"/>
          <w:sz w:val="24"/>
          <w:szCs w:val="24"/>
        </w:rPr>
        <w:t>Serum</w:t>
      </w:r>
      <w:r w:rsidRPr="002700AC">
        <w:rPr>
          <w:rFonts w:ascii="Arial" w:hAnsi="Arial" w:cs="Arial"/>
          <w:sz w:val="24"/>
          <w:szCs w:val="24"/>
        </w:rPr>
        <w:t xml:space="preserve"> sodium, potassium, urea, creatinine and estimated glomerular filtration rate</w:t>
      </w:r>
      <w:r w:rsidR="002F156C">
        <w:rPr>
          <w:rFonts w:ascii="Arial" w:hAnsi="Arial" w:cs="Arial"/>
          <w:sz w:val="24"/>
          <w:szCs w:val="24"/>
        </w:rPr>
        <w:t>,</w:t>
      </w:r>
    </w:p>
    <w:p w:rsidR="007E4F38" w:rsidRPr="002700AC" w:rsidRDefault="00F05905" w:rsidP="00830B39">
      <w:pPr>
        <w:spacing w:line="480" w:lineRule="auto"/>
        <w:ind w:left="426"/>
        <w:jc w:val="both"/>
        <w:rPr>
          <w:rFonts w:ascii="Arial" w:hAnsi="Arial" w:cs="Arial"/>
          <w:sz w:val="24"/>
          <w:szCs w:val="24"/>
        </w:rPr>
      </w:pPr>
      <w:r w:rsidRPr="002700AC">
        <w:rPr>
          <w:rFonts w:ascii="Arial" w:hAnsi="Arial" w:cs="Arial"/>
          <w:sz w:val="24"/>
          <w:szCs w:val="24"/>
        </w:rPr>
        <w:t>v</w:t>
      </w:r>
      <w:r w:rsidR="007E4F38" w:rsidRPr="002700AC">
        <w:rPr>
          <w:rFonts w:ascii="Arial" w:hAnsi="Arial" w:cs="Arial"/>
          <w:sz w:val="24"/>
          <w:szCs w:val="24"/>
        </w:rPr>
        <w:t xml:space="preserve">. </w:t>
      </w:r>
      <w:r w:rsidRPr="002700AC">
        <w:rPr>
          <w:rFonts w:ascii="Arial" w:hAnsi="Arial" w:cs="Arial"/>
          <w:sz w:val="24"/>
          <w:szCs w:val="24"/>
        </w:rPr>
        <w:t>A</w:t>
      </w:r>
      <w:r w:rsidR="007E4F38" w:rsidRPr="002700AC">
        <w:rPr>
          <w:rFonts w:ascii="Arial" w:hAnsi="Arial" w:cs="Arial"/>
          <w:sz w:val="24"/>
          <w:szCs w:val="24"/>
        </w:rPr>
        <w:t>dverse events causing permanent discontinuation of therapy</w:t>
      </w:r>
      <w:r w:rsidR="002F156C">
        <w:rPr>
          <w:rFonts w:ascii="Arial" w:hAnsi="Arial" w:cs="Arial"/>
          <w:sz w:val="24"/>
          <w:szCs w:val="24"/>
        </w:rPr>
        <w:t>.</w:t>
      </w:r>
    </w:p>
    <w:p w:rsidR="007E4F38" w:rsidRPr="002700AC" w:rsidRDefault="00400768" w:rsidP="00207EFE">
      <w:pPr>
        <w:spacing w:line="480" w:lineRule="auto"/>
        <w:jc w:val="both"/>
        <w:rPr>
          <w:rFonts w:ascii="Arial" w:hAnsi="Arial" w:cs="Arial"/>
          <w:b/>
          <w:sz w:val="24"/>
          <w:szCs w:val="24"/>
        </w:rPr>
      </w:pPr>
      <w:r w:rsidRPr="002700AC">
        <w:rPr>
          <w:rFonts w:ascii="Arial" w:hAnsi="Arial" w:cs="Arial"/>
          <w:b/>
          <w:sz w:val="24"/>
          <w:szCs w:val="24"/>
        </w:rPr>
        <w:t>STUDY DESIGN</w:t>
      </w:r>
    </w:p>
    <w:p w:rsidR="007E4F38" w:rsidRDefault="007E4F38" w:rsidP="00207EFE">
      <w:pPr>
        <w:spacing w:line="480" w:lineRule="auto"/>
        <w:jc w:val="both"/>
        <w:rPr>
          <w:rFonts w:ascii="Arial" w:hAnsi="Arial" w:cs="Arial"/>
          <w:sz w:val="24"/>
          <w:szCs w:val="24"/>
        </w:rPr>
      </w:pPr>
      <w:r w:rsidRPr="002700AC">
        <w:rPr>
          <w:rFonts w:ascii="Arial" w:hAnsi="Arial" w:cs="Arial"/>
          <w:sz w:val="24"/>
          <w:szCs w:val="24"/>
        </w:rPr>
        <w:t>The CREOLE trial is a randomi</w:t>
      </w:r>
      <w:r w:rsidR="00D433D8" w:rsidRPr="002700AC">
        <w:rPr>
          <w:rFonts w:ascii="Arial" w:hAnsi="Arial" w:cs="Arial"/>
          <w:sz w:val="24"/>
          <w:szCs w:val="24"/>
        </w:rPr>
        <w:t>zed single-blind trial comparing</w:t>
      </w:r>
      <w:r w:rsidRPr="002700AC">
        <w:rPr>
          <w:rFonts w:ascii="Arial" w:hAnsi="Arial" w:cs="Arial"/>
          <w:sz w:val="24"/>
          <w:szCs w:val="24"/>
        </w:rPr>
        <w:t xml:space="preserve"> the efficacy of amlodipine plus hydrochlorothiazide with a combination of amlodipine plus perindopril, and a combination of perindopril plus hydrochlorothiazide (Figure1).  </w:t>
      </w:r>
    </w:p>
    <w:p w:rsidR="00C75F3B" w:rsidRDefault="00C75F3B" w:rsidP="00207EFE">
      <w:pPr>
        <w:spacing w:line="480" w:lineRule="auto"/>
        <w:jc w:val="both"/>
        <w:rPr>
          <w:rFonts w:ascii="Arial" w:hAnsi="Arial" w:cs="Arial"/>
          <w:sz w:val="24"/>
          <w:szCs w:val="24"/>
        </w:rPr>
      </w:pPr>
      <w:r>
        <w:rPr>
          <w:noProof/>
          <w:lang w:eastAsia="en-GB"/>
        </w:rPr>
        <w:drawing>
          <wp:anchor distT="0" distB="0" distL="114300" distR="114300" simplePos="0" relativeHeight="251679744" behindDoc="1" locked="0" layoutInCell="1" allowOverlap="1" wp14:anchorId="275845AE" wp14:editId="0075DDC3">
            <wp:simplePos x="0" y="0"/>
            <wp:positionH relativeFrom="column">
              <wp:posOffset>1320800</wp:posOffset>
            </wp:positionH>
            <wp:positionV relativeFrom="page">
              <wp:posOffset>3843655</wp:posOffset>
            </wp:positionV>
            <wp:extent cx="3074670" cy="4198620"/>
            <wp:effectExtent l="19050" t="19050" r="11430" b="11430"/>
            <wp:wrapTight wrapText="bothSides">
              <wp:wrapPolygon edited="0">
                <wp:start x="-134" y="-98"/>
                <wp:lineTo x="-134" y="21561"/>
                <wp:lineTo x="21546" y="21561"/>
                <wp:lineTo x="21546" y="-98"/>
                <wp:lineTo x="-134" y="-98"/>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074670" cy="419862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rsidR="002E6D34" w:rsidRDefault="002E6D34" w:rsidP="00711476">
      <w:pPr>
        <w:spacing w:line="480" w:lineRule="auto"/>
        <w:ind w:left="1276"/>
        <w:jc w:val="center"/>
        <w:rPr>
          <w:rFonts w:ascii="Arial" w:hAnsi="Arial" w:cs="Arial"/>
          <w:sz w:val="24"/>
          <w:szCs w:val="24"/>
        </w:rPr>
      </w:pPr>
    </w:p>
    <w:p w:rsidR="00C75F3B" w:rsidRDefault="00C75F3B" w:rsidP="00207EFE">
      <w:pPr>
        <w:spacing w:line="480" w:lineRule="auto"/>
        <w:jc w:val="both"/>
        <w:rPr>
          <w:rFonts w:ascii="Arial" w:hAnsi="Arial" w:cs="Arial"/>
          <w:sz w:val="24"/>
          <w:szCs w:val="24"/>
        </w:rPr>
      </w:pPr>
    </w:p>
    <w:p w:rsidR="00C75F3B" w:rsidRDefault="00C75F3B" w:rsidP="00207EFE">
      <w:pPr>
        <w:spacing w:line="480" w:lineRule="auto"/>
        <w:jc w:val="both"/>
        <w:rPr>
          <w:rFonts w:ascii="Arial" w:hAnsi="Arial" w:cs="Arial"/>
          <w:sz w:val="24"/>
          <w:szCs w:val="24"/>
        </w:rPr>
      </w:pPr>
    </w:p>
    <w:p w:rsidR="00C75F3B" w:rsidRDefault="00C75F3B" w:rsidP="00207EFE">
      <w:pPr>
        <w:spacing w:line="480" w:lineRule="auto"/>
        <w:jc w:val="both"/>
        <w:rPr>
          <w:rFonts w:ascii="Arial" w:hAnsi="Arial" w:cs="Arial"/>
          <w:sz w:val="24"/>
          <w:szCs w:val="24"/>
        </w:rPr>
      </w:pPr>
    </w:p>
    <w:p w:rsidR="00C75F3B" w:rsidRDefault="00C75F3B" w:rsidP="00207EFE">
      <w:pPr>
        <w:spacing w:line="480" w:lineRule="auto"/>
        <w:jc w:val="both"/>
        <w:rPr>
          <w:rFonts w:ascii="Arial" w:hAnsi="Arial" w:cs="Arial"/>
          <w:sz w:val="24"/>
          <w:szCs w:val="24"/>
        </w:rPr>
      </w:pPr>
    </w:p>
    <w:p w:rsidR="00C75F3B" w:rsidRDefault="00C75F3B" w:rsidP="00207EFE">
      <w:pPr>
        <w:spacing w:line="480" w:lineRule="auto"/>
        <w:jc w:val="both"/>
        <w:rPr>
          <w:rFonts w:ascii="Arial" w:hAnsi="Arial" w:cs="Arial"/>
          <w:sz w:val="24"/>
          <w:szCs w:val="24"/>
        </w:rPr>
      </w:pPr>
    </w:p>
    <w:p w:rsidR="00C75F3B" w:rsidRDefault="00C75F3B" w:rsidP="00207EFE">
      <w:pPr>
        <w:spacing w:line="480" w:lineRule="auto"/>
        <w:jc w:val="both"/>
        <w:rPr>
          <w:rFonts w:ascii="Arial" w:hAnsi="Arial" w:cs="Arial"/>
          <w:sz w:val="24"/>
          <w:szCs w:val="24"/>
        </w:rPr>
      </w:pPr>
    </w:p>
    <w:p w:rsidR="00C75F3B" w:rsidRDefault="00C75F3B" w:rsidP="00207EFE">
      <w:pPr>
        <w:spacing w:line="480" w:lineRule="auto"/>
        <w:jc w:val="both"/>
        <w:rPr>
          <w:rFonts w:ascii="Arial" w:hAnsi="Arial" w:cs="Arial"/>
          <w:sz w:val="24"/>
          <w:szCs w:val="24"/>
        </w:rPr>
      </w:pPr>
    </w:p>
    <w:p w:rsidR="00C75F3B" w:rsidRDefault="00C75F3B" w:rsidP="00207EFE">
      <w:pPr>
        <w:spacing w:line="480" w:lineRule="auto"/>
        <w:jc w:val="both"/>
        <w:rPr>
          <w:rFonts w:ascii="Arial" w:hAnsi="Arial" w:cs="Arial"/>
          <w:sz w:val="24"/>
          <w:szCs w:val="24"/>
        </w:rPr>
      </w:pPr>
    </w:p>
    <w:p w:rsidR="007E4F38" w:rsidRPr="00B2093A" w:rsidRDefault="007E4F38" w:rsidP="00207EFE">
      <w:pPr>
        <w:spacing w:line="480" w:lineRule="auto"/>
        <w:jc w:val="both"/>
        <w:rPr>
          <w:rFonts w:ascii="Arial" w:hAnsi="Arial" w:cs="Arial"/>
          <w:sz w:val="24"/>
          <w:szCs w:val="24"/>
          <w:lang w:val="en-CA"/>
        </w:rPr>
      </w:pPr>
      <w:r w:rsidRPr="002700AC">
        <w:rPr>
          <w:rFonts w:ascii="Arial" w:hAnsi="Arial" w:cs="Arial"/>
          <w:sz w:val="24"/>
          <w:szCs w:val="24"/>
        </w:rPr>
        <w:t>Although the study</w:t>
      </w:r>
      <w:r w:rsidRPr="002700AC">
        <w:rPr>
          <w:rFonts w:ascii="Arial" w:hAnsi="Arial" w:cs="Arial"/>
          <w:sz w:val="24"/>
          <w:szCs w:val="24"/>
          <w:lang w:val="en-CA"/>
        </w:rPr>
        <w:t xml:space="preserve"> is strictly classified as single</w:t>
      </w:r>
      <w:r w:rsidR="007B242E">
        <w:rPr>
          <w:rFonts w:ascii="Arial" w:hAnsi="Arial" w:cs="Arial"/>
          <w:sz w:val="24"/>
          <w:szCs w:val="24"/>
          <w:lang w:val="en-CA"/>
        </w:rPr>
        <w:t>-</w:t>
      </w:r>
      <w:r w:rsidRPr="002700AC">
        <w:rPr>
          <w:rFonts w:ascii="Arial" w:hAnsi="Arial" w:cs="Arial"/>
          <w:sz w:val="24"/>
          <w:szCs w:val="24"/>
          <w:lang w:val="en-CA"/>
        </w:rPr>
        <w:t>blinded since the commercial products to be used do not match each other,</w:t>
      </w:r>
      <w:r w:rsidR="00D27361" w:rsidRPr="002700AC">
        <w:rPr>
          <w:rFonts w:ascii="Arial" w:hAnsi="Arial" w:cs="Arial"/>
          <w:sz w:val="24"/>
          <w:szCs w:val="24"/>
          <w:lang w:val="en-CA"/>
        </w:rPr>
        <w:t xml:space="preserve"> measures will</w:t>
      </w:r>
      <w:r w:rsidRPr="002700AC">
        <w:rPr>
          <w:rFonts w:ascii="Arial" w:hAnsi="Arial" w:cs="Arial"/>
          <w:sz w:val="24"/>
          <w:szCs w:val="24"/>
          <w:lang w:val="en-CA"/>
        </w:rPr>
        <w:t xml:space="preserve"> be taken to mask the identity of dispensed medications in order to minimise bias. Such measures include: re-packaging the products into identical blister packs with identical labels such that patients, pharmacists administering the medication</w:t>
      </w:r>
      <w:r w:rsidR="00D27361" w:rsidRPr="002700AC">
        <w:rPr>
          <w:rFonts w:ascii="Arial" w:hAnsi="Arial" w:cs="Arial"/>
          <w:sz w:val="24"/>
          <w:szCs w:val="24"/>
          <w:lang w:val="en-CA"/>
        </w:rPr>
        <w:t>s</w:t>
      </w:r>
      <w:r w:rsidRPr="002700AC">
        <w:rPr>
          <w:rFonts w:ascii="Arial" w:hAnsi="Arial" w:cs="Arial"/>
          <w:sz w:val="24"/>
          <w:szCs w:val="24"/>
          <w:lang w:val="en-CA"/>
        </w:rPr>
        <w:t xml:space="preserve"> and physicians assessing the outcomes are not aware of the group assignments</w:t>
      </w:r>
      <w:r w:rsidRPr="00B2093A">
        <w:rPr>
          <w:rFonts w:ascii="Arial" w:hAnsi="Arial" w:cs="Arial"/>
          <w:sz w:val="24"/>
          <w:szCs w:val="24"/>
          <w:lang w:val="en-CA"/>
        </w:rPr>
        <w:t xml:space="preserve">. </w:t>
      </w:r>
      <w:r w:rsidR="00F32E36" w:rsidRPr="00B2093A">
        <w:rPr>
          <w:rFonts w:ascii="Arial" w:hAnsi="Arial" w:cs="Arial"/>
          <w:color w:val="222222"/>
          <w:sz w:val="24"/>
          <w:szCs w:val="24"/>
          <w:shd w:val="clear" w:color="auto" w:fill="FFFFFF"/>
        </w:rPr>
        <w:t>In addition, physicians and investigators do not have any access to the medications as during follow up visits the patient reports first to the site Pharmacist who collects any remaining packs before sending the patient to the Physician. And after follow up review by the physicians, the patient goes to the study pharmacist to collect fresh medications and does not return to the physician. Furthermore, the Pharmacist educates the patient not to reveal the colour or shapes of the tablets he or she is taking. And lastly during site initiation visits and training, investigators were trained never to ask of the shape or colour of patients’ medications as this is completely blinded to them.</w:t>
      </w:r>
    </w:p>
    <w:p w:rsidR="007E4F38" w:rsidRPr="002700AC" w:rsidRDefault="00D433D8" w:rsidP="00207EFE">
      <w:pPr>
        <w:tabs>
          <w:tab w:val="left" w:pos="-142"/>
        </w:tabs>
        <w:spacing w:line="480" w:lineRule="auto"/>
        <w:jc w:val="both"/>
        <w:rPr>
          <w:rFonts w:ascii="Arial" w:hAnsi="Arial" w:cs="Arial"/>
          <w:sz w:val="24"/>
          <w:szCs w:val="24"/>
          <w:lang w:val="en-CA"/>
        </w:rPr>
      </w:pPr>
      <w:r w:rsidRPr="002700AC">
        <w:rPr>
          <w:rFonts w:ascii="Arial" w:hAnsi="Arial" w:cs="Arial"/>
          <w:color w:val="000000"/>
          <w:sz w:val="24"/>
          <w:szCs w:val="24"/>
          <w:shd w:val="clear" w:color="auto" w:fill="FFFFFF"/>
        </w:rPr>
        <w:t xml:space="preserve">Allocation to study groups is </w:t>
      </w:r>
      <w:r w:rsidR="007E4F38" w:rsidRPr="002700AC">
        <w:rPr>
          <w:rFonts w:ascii="Arial" w:hAnsi="Arial" w:cs="Arial"/>
          <w:color w:val="000000"/>
          <w:sz w:val="24"/>
          <w:szCs w:val="24"/>
          <w:shd w:val="clear" w:color="auto" w:fill="FFFFFF"/>
        </w:rPr>
        <w:t>performed using randomization in a 1:1:1 allocation ratio, with stratifi</w:t>
      </w:r>
      <w:r w:rsidR="00AF52D6" w:rsidRPr="002700AC">
        <w:rPr>
          <w:rFonts w:ascii="Arial" w:hAnsi="Arial" w:cs="Arial"/>
          <w:color w:val="000000"/>
          <w:sz w:val="24"/>
          <w:szCs w:val="24"/>
          <w:shd w:val="clear" w:color="auto" w:fill="FFFFFF"/>
        </w:rPr>
        <w:t xml:space="preserve">cation by age (less than 55 years or </w:t>
      </w:r>
      <w:r w:rsidR="007E4F38" w:rsidRPr="002700AC">
        <w:rPr>
          <w:rFonts w:ascii="Arial" w:hAnsi="Arial" w:cs="Arial"/>
          <w:color w:val="000000"/>
          <w:sz w:val="24"/>
          <w:szCs w:val="24"/>
          <w:shd w:val="clear" w:color="auto" w:fill="FFFFFF"/>
        </w:rPr>
        <w:t>55 years</w:t>
      </w:r>
      <w:r w:rsidR="00AF52D6" w:rsidRPr="002700AC">
        <w:rPr>
          <w:rFonts w:ascii="Arial" w:hAnsi="Arial" w:cs="Arial"/>
          <w:color w:val="000000"/>
          <w:sz w:val="24"/>
          <w:szCs w:val="24"/>
          <w:shd w:val="clear" w:color="auto" w:fill="FFFFFF"/>
        </w:rPr>
        <w:t xml:space="preserve"> and above</w:t>
      </w:r>
      <w:r w:rsidR="007E4F38" w:rsidRPr="002700AC">
        <w:rPr>
          <w:rFonts w:ascii="Arial" w:hAnsi="Arial" w:cs="Arial"/>
          <w:color w:val="000000"/>
          <w:sz w:val="24"/>
          <w:szCs w:val="24"/>
          <w:shd w:val="clear" w:color="auto" w:fill="FFFFFF"/>
        </w:rPr>
        <w:t>) and blocked by site</w:t>
      </w:r>
      <w:r w:rsidR="007E4F38" w:rsidRPr="002700AC">
        <w:rPr>
          <w:rFonts w:ascii="Arial" w:hAnsi="Arial" w:cs="Arial"/>
          <w:sz w:val="24"/>
          <w:szCs w:val="24"/>
        </w:rPr>
        <w:t xml:space="preserve">. </w:t>
      </w:r>
      <w:r w:rsidRPr="002700AC">
        <w:rPr>
          <w:rFonts w:ascii="Arial" w:hAnsi="Arial" w:cs="Arial"/>
          <w:sz w:val="24"/>
          <w:szCs w:val="24"/>
          <w:lang w:val="en-CA"/>
        </w:rPr>
        <w:t>A randomisation list is</w:t>
      </w:r>
      <w:r w:rsidR="007E4F38" w:rsidRPr="002700AC">
        <w:rPr>
          <w:rFonts w:ascii="Arial" w:hAnsi="Arial" w:cs="Arial"/>
          <w:sz w:val="24"/>
          <w:szCs w:val="24"/>
          <w:lang w:val="en-CA"/>
        </w:rPr>
        <w:t xml:space="preserve"> drawn up </w:t>
      </w:r>
      <w:r w:rsidRPr="002700AC">
        <w:rPr>
          <w:rFonts w:ascii="Arial" w:hAnsi="Arial" w:cs="Arial"/>
          <w:sz w:val="24"/>
          <w:szCs w:val="24"/>
          <w:lang w:val="en-CA"/>
        </w:rPr>
        <w:t>centrally for each site and</w:t>
      </w:r>
      <w:r w:rsidR="007E4F38" w:rsidRPr="002700AC">
        <w:rPr>
          <w:rFonts w:ascii="Arial" w:hAnsi="Arial" w:cs="Arial"/>
          <w:sz w:val="24"/>
          <w:szCs w:val="24"/>
          <w:lang w:val="en-CA"/>
        </w:rPr>
        <w:t xml:space="preserve"> include</w:t>
      </w:r>
      <w:r w:rsidRPr="002700AC">
        <w:rPr>
          <w:rFonts w:ascii="Arial" w:hAnsi="Arial" w:cs="Arial"/>
          <w:sz w:val="24"/>
          <w:szCs w:val="24"/>
          <w:lang w:val="en-CA"/>
        </w:rPr>
        <w:t>s</w:t>
      </w:r>
      <w:r w:rsidR="007E4F38" w:rsidRPr="002700AC">
        <w:rPr>
          <w:rFonts w:ascii="Arial" w:hAnsi="Arial" w:cs="Arial"/>
          <w:sz w:val="24"/>
          <w:szCs w:val="24"/>
          <w:lang w:val="en-CA"/>
        </w:rPr>
        <w:t xml:space="preserve"> enrolment numbers randomly allocated to one of </w:t>
      </w:r>
      <w:r w:rsidR="00D27361" w:rsidRPr="002700AC">
        <w:rPr>
          <w:rFonts w:ascii="Arial" w:hAnsi="Arial" w:cs="Arial"/>
          <w:sz w:val="24"/>
          <w:szCs w:val="24"/>
          <w:lang w:val="en-CA"/>
        </w:rPr>
        <w:t xml:space="preserve">the </w:t>
      </w:r>
      <w:r w:rsidR="007E4F38" w:rsidRPr="002700AC">
        <w:rPr>
          <w:rFonts w:ascii="Arial" w:hAnsi="Arial" w:cs="Arial"/>
          <w:sz w:val="24"/>
          <w:szCs w:val="24"/>
          <w:lang w:val="en-CA"/>
        </w:rPr>
        <w:t>three trial combinations of amlodipine plus perindopril or amlodipine plus hydrochlorothiazide or perindopril plus hydrochlorot</w:t>
      </w:r>
      <w:r w:rsidRPr="002700AC">
        <w:rPr>
          <w:rFonts w:ascii="Arial" w:hAnsi="Arial" w:cs="Arial"/>
          <w:sz w:val="24"/>
          <w:szCs w:val="24"/>
          <w:lang w:val="en-CA"/>
        </w:rPr>
        <w:t xml:space="preserve">hiazide. Enrolled patients </w:t>
      </w:r>
      <w:r w:rsidR="007E4F38" w:rsidRPr="002700AC">
        <w:rPr>
          <w:rFonts w:ascii="Arial" w:hAnsi="Arial" w:cs="Arial"/>
          <w:sz w:val="24"/>
          <w:szCs w:val="24"/>
          <w:lang w:val="en-CA"/>
        </w:rPr>
        <w:t>take their allocated enrolment numbers to the pharmacy where the co</w:t>
      </w:r>
      <w:r w:rsidRPr="002700AC">
        <w:rPr>
          <w:rFonts w:ascii="Arial" w:hAnsi="Arial" w:cs="Arial"/>
          <w:sz w:val="24"/>
          <w:szCs w:val="24"/>
          <w:lang w:val="en-CA"/>
        </w:rPr>
        <w:t>rresponding study medications are</w:t>
      </w:r>
      <w:r w:rsidR="007E4F38" w:rsidRPr="002700AC">
        <w:rPr>
          <w:rFonts w:ascii="Arial" w:hAnsi="Arial" w:cs="Arial"/>
          <w:sz w:val="24"/>
          <w:szCs w:val="24"/>
          <w:lang w:val="en-CA"/>
        </w:rPr>
        <w:t xml:space="preserve"> dispensed to them in medication blister packs labelled with unique patient identification numbers consisting of the centre and randomization numbers. </w:t>
      </w:r>
    </w:p>
    <w:p w:rsidR="00D910A0" w:rsidRPr="002700AC" w:rsidRDefault="00D910A0"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The label</w:t>
      </w:r>
      <w:r w:rsidR="00830B39">
        <w:rPr>
          <w:rFonts w:ascii="Arial" w:hAnsi="Arial" w:cs="Arial"/>
          <w:sz w:val="24"/>
          <w:szCs w:val="24"/>
          <w:lang w:val="en-CA"/>
        </w:rPr>
        <w:t xml:space="preserve"> </w:t>
      </w:r>
      <w:r w:rsidRPr="002700AC">
        <w:rPr>
          <w:rFonts w:ascii="Arial" w:hAnsi="Arial" w:cs="Arial"/>
          <w:sz w:val="24"/>
          <w:szCs w:val="24"/>
          <w:lang w:val="en-CA"/>
        </w:rPr>
        <w:t>contain dosing instructions and temperature storage requirements. All labelling</w:t>
      </w:r>
      <w:r w:rsidR="00830B39">
        <w:rPr>
          <w:rFonts w:ascii="Arial" w:hAnsi="Arial" w:cs="Arial"/>
          <w:sz w:val="24"/>
          <w:szCs w:val="24"/>
          <w:lang w:val="en-CA"/>
        </w:rPr>
        <w:t xml:space="preserve"> is</w:t>
      </w:r>
      <w:r w:rsidRPr="002700AC">
        <w:rPr>
          <w:rFonts w:ascii="Arial" w:hAnsi="Arial" w:cs="Arial"/>
          <w:sz w:val="24"/>
          <w:szCs w:val="24"/>
          <w:lang w:val="en-CA"/>
        </w:rPr>
        <w:t xml:space="preserve"> in English. After the two-month clinic visit, patients</w:t>
      </w:r>
      <w:r w:rsidR="00830B39">
        <w:rPr>
          <w:rFonts w:ascii="Arial" w:hAnsi="Arial" w:cs="Arial"/>
          <w:sz w:val="24"/>
          <w:szCs w:val="24"/>
          <w:lang w:val="en-CA"/>
        </w:rPr>
        <w:t xml:space="preserve"> </w:t>
      </w:r>
      <w:r w:rsidRPr="002700AC">
        <w:rPr>
          <w:rFonts w:ascii="Arial" w:hAnsi="Arial" w:cs="Arial"/>
          <w:sz w:val="24"/>
          <w:szCs w:val="24"/>
          <w:lang w:val="en-CA"/>
        </w:rPr>
        <w:t xml:space="preserve">receive a higher dose of the same medication they were randomized to and instructed to complete the treatment. </w:t>
      </w:r>
      <w:r w:rsidRPr="002700AC">
        <w:rPr>
          <w:rFonts w:ascii="Arial" w:hAnsi="Arial" w:cs="Arial"/>
          <w:color w:val="000000"/>
          <w:sz w:val="24"/>
          <w:szCs w:val="24"/>
          <w:lang w:val="en-CA"/>
        </w:rPr>
        <w:t xml:space="preserve"> </w:t>
      </w:r>
    </w:p>
    <w:p w:rsidR="00D910A0" w:rsidRPr="00B2093A" w:rsidRDefault="00D433D8" w:rsidP="00207EFE">
      <w:pPr>
        <w:spacing w:line="480" w:lineRule="auto"/>
        <w:jc w:val="both"/>
        <w:rPr>
          <w:rFonts w:ascii="Arial" w:hAnsi="Arial" w:cs="Arial"/>
          <w:sz w:val="24"/>
          <w:szCs w:val="24"/>
          <w:lang w:val="en-CA"/>
        </w:rPr>
      </w:pPr>
      <w:r w:rsidRPr="002700AC">
        <w:rPr>
          <w:rFonts w:ascii="Arial" w:hAnsi="Arial" w:cs="Arial"/>
          <w:sz w:val="24"/>
          <w:szCs w:val="24"/>
          <w:lang w:val="en-CA"/>
        </w:rPr>
        <w:t xml:space="preserve">Patients </w:t>
      </w:r>
      <w:r w:rsidR="00D910A0" w:rsidRPr="002700AC">
        <w:rPr>
          <w:rFonts w:ascii="Arial" w:hAnsi="Arial" w:cs="Arial"/>
          <w:sz w:val="24"/>
          <w:szCs w:val="24"/>
          <w:lang w:val="en-CA"/>
        </w:rPr>
        <w:t>commence treatment at a starting dose of amlodipine/hydrochlorothiazide 5/12.5 mg or amlodipine/perindopril 5/4 mg or perindopril/hydrochlorothiazide 4/12.5 mg. These doses will be increased at the two months visit, to amlodipine/hydrochlorothiazide 10/25 mg or amlodipine/perindopril 10/8mg or perindopril/hydrochlorothiazide 8/25 mg unless patients cannot tolerate higher d</w:t>
      </w:r>
      <w:r w:rsidR="00F32E36">
        <w:rPr>
          <w:rFonts w:ascii="Arial" w:hAnsi="Arial" w:cs="Arial"/>
          <w:sz w:val="24"/>
          <w:szCs w:val="24"/>
          <w:lang w:val="en-CA"/>
        </w:rPr>
        <w:t xml:space="preserve">oses as judged by the physician </w:t>
      </w:r>
      <w:r w:rsidR="00F32E36" w:rsidRPr="00B2093A">
        <w:rPr>
          <w:rFonts w:ascii="Arial" w:hAnsi="Arial" w:cs="Arial"/>
          <w:sz w:val="24"/>
          <w:szCs w:val="24"/>
          <w:lang w:val="en-CA"/>
        </w:rPr>
        <w:t>or have a systolic blood pressure of less than</w:t>
      </w:r>
      <w:r w:rsidR="00D910A0" w:rsidRPr="00B2093A">
        <w:rPr>
          <w:rFonts w:ascii="Arial" w:hAnsi="Arial" w:cs="Arial"/>
          <w:sz w:val="24"/>
          <w:szCs w:val="24"/>
          <w:lang w:val="en-CA"/>
        </w:rPr>
        <w:t xml:space="preserve"> </w:t>
      </w:r>
      <w:r w:rsidR="00F32E36" w:rsidRPr="00B2093A">
        <w:rPr>
          <w:rFonts w:ascii="Arial" w:hAnsi="Arial" w:cs="Arial"/>
          <w:sz w:val="24"/>
          <w:szCs w:val="24"/>
          <w:lang w:val="en-CA"/>
        </w:rPr>
        <w:t>100mmHg.</w:t>
      </w:r>
    </w:p>
    <w:p w:rsidR="00F32E36" w:rsidRPr="00F32E36" w:rsidRDefault="00D910A0" w:rsidP="00907039">
      <w:pPr>
        <w:spacing w:line="480" w:lineRule="auto"/>
        <w:rPr>
          <w:rFonts w:ascii="Arial" w:hAnsi="Arial" w:cs="Arial"/>
          <w:b/>
          <w:sz w:val="24"/>
        </w:rPr>
      </w:pPr>
      <w:r w:rsidRPr="002700AC">
        <w:rPr>
          <w:rFonts w:ascii="Arial" w:hAnsi="Arial" w:cs="Arial"/>
          <w:sz w:val="24"/>
        </w:rPr>
        <w:t>If af</w:t>
      </w:r>
      <w:r w:rsidR="00AF52D6" w:rsidRPr="002700AC">
        <w:rPr>
          <w:rFonts w:ascii="Arial" w:hAnsi="Arial" w:cs="Arial"/>
          <w:sz w:val="24"/>
        </w:rPr>
        <w:t>ter four months</w:t>
      </w:r>
      <w:r w:rsidR="006660EC">
        <w:rPr>
          <w:rFonts w:ascii="Arial" w:hAnsi="Arial" w:cs="Arial"/>
          <w:sz w:val="24"/>
        </w:rPr>
        <w:t xml:space="preserve"> of treatment</w:t>
      </w:r>
      <w:r w:rsidR="00AF52D6" w:rsidRPr="002700AC">
        <w:rPr>
          <w:rFonts w:ascii="Arial" w:hAnsi="Arial" w:cs="Arial"/>
          <w:sz w:val="24"/>
        </w:rPr>
        <w:t>, clinic SBP is greater than160 mm Hg or DBP is greater than</w:t>
      </w:r>
      <w:r w:rsidRPr="002700AC">
        <w:rPr>
          <w:rFonts w:ascii="Arial" w:hAnsi="Arial" w:cs="Arial"/>
          <w:sz w:val="24"/>
        </w:rPr>
        <w:t xml:space="preserve">100 mm Hg, atenolol 50 mg once daily will be added to the trial therapy unless contraindicated, in which case an alternative agent that is not a thiazide diuretic, ACE inhibitor or calcium channel blocker such as 12.5mg of spironolactone or 2mg of doxazosin will be added at the investigator’s discretion. </w:t>
      </w:r>
      <w:r w:rsidR="00B15AAA">
        <w:rPr>
          <w:rFonts w:ascii="Arial" w:hAnsi="Arial" w:cs="Arial"/>
          <w:color w:val="222222"/>
          <w:sz w:val="24"/>
          <w:shd w:val="clear" w:color="auto" w:fill="FFFFFF"/>
        </w:rPr>
        <w:t>W</w:t>
      </w:r>
      <w:r w:rsidR="00B15AAA">
        <w:rPr>
          <w:rFonts w:ascii="Arial" w:hAnsi="Arial" w:cs="Arial"/>
          <w:color w:val="222222"/>
          <w:sz w:val="24"/>
          <w:szCs w:val="24"/>
          <w:shd w:val="clear" w:color="auto" w:fill="FFFFFF"/>
        </w:rPr>
        <w:t>hilst the intention to treat (ITT)</w:t>
      </w:r>
      <w:r w:rsidR="00096198">
        <w:rPr>
          <w:rFonts w:ascii="Arial" w:hAnsi="Arial" w:cs="Arial"/>
          <w:color w:val="222222"/>
          <w:sz w:val="24"/>
          <w:shd w:val="clear" w:color="auto" w:fill="FFFFFF"/>
        </w:rPr>
        <w:t xml:space="preserve"> principal will be maintained, there will be</w:t>
      </w:r>
      <w:r w:rsidR="00B15AAA">
        <w:rPr>
          <w:rFonts w:ascii="Arial" w:hAnsi="Arial" w:cs="Arial"/>
          <w:color w:val="222222"/>
          <w:sz w:val="24"/>
          <w:szCs w:val="24"/>
          <w:shd w:val="clear" w:color="auto" w:fill="FFFFFF"/>
        </w:rPr>
        <w:t xml:space="preserve"> sensitivity analyses excluding BP</w:t>
      </w:r>
      <w:r w:rsidR="00907039">
        <w:rPr>
          <w:rFonts w:ascii="Arial" w:hAnsi="Arial" w:cs="Arial"/>
          <w:color w:val="222222"/>
          <w:sz w:val="24"/>
          <w:shd w:val="clear" w:color="auto" w:fill="FFFFFF"/>
        </w:rPr>
        <w:t xml:space="preserve"> values</w:t>
      </w:r>
      <w:r w:rsidR="00B15AAA">
        <w:rPr>
          <w:rFonts w:ascii="Arial" w:hAnsi="Arial" w:cs="Arial"/>
          <w:color w:val="222222"/>
          <w:sz w:val="24"/>
          <w:shd w:val="clear" w:color="auto" w:fill="FFFFFF"/>
        </w:rPr>
        <w:t xml:space="preserve"> from this group of patients</w:t>
      </w:r>
      <w:r w:rsidR="00B15AAA">
        <w:rPr>
          <w:rFonts w:ascii="Arial" w:hAnsi="Arial" w:cs="Arial"/>
          <w:color w:val="222222"/>
          <w:sz w:val="24"/>
          <w:szCs w:val="24"/>
          <w:shd w:val="clear" w:color="auto" w:fill="FFFFFF"/>
        </w:rPr>
        <w:t xml:space="preserve"> on non-trial agents</w:t>
      </w:r>
      <w:r w:rsidR="00907039">
        <w:rPr>
          <w:rFonts w:ascii="Arial" w:hAnsi="Arial" w:cs="Arial"/>
          <w:color w:val="222222"/>
          <w:sz w:val="24"/>
          <w:szCs w:val="24"/>
          <w:shd w:val="clear" w:color="auto" w:fill="FFFFFF"/>
        </w:rPr>
        <w:t xml:space="preserve"> by</w:t>
      </w:r>
      <w:r w:rsidR="00B15AAA">
        <w:rPr>
          <w:rFonts w:ascii="Arial" w:hAnsi="Arial" w:cs="Arial"/>
          <w:color w:val="222222"/>
          <w:sz w:val="24"/>
          <w:szCs w:val="24"/>
          <w:shd w:val="clear" w:color="auto" w:fill="FFFFFF"/>
        </w:rPr>
        <w:t xml:space="preserve"> carrying forward their 4 month BP data to 6 months.  </w:t>
      </w:r>
    </w:p>
    <w:p w:rsidR="00D910A0" w:rsidRDefault="00D910A0" w:rsidP="00207EFE">
      <w:pPr>
        <w:pStyle w:val="Protocol-maintext"/>
        <w:spacing w:line="480" w:lineRule="auto"/>
        <w:rPr>
          <w:rFonts w:ascii="Arial" w:hAnsi="Arial" w:cs="Arial"/>
          <w:sz w:val="24"/>
        </w:rPr>
      </w:pPr>
      <w:r w:rsidRPr="002700AC">
        <w:rPr>
          <w:rFonts w:ascii="Arial" w:hAnsi="Arial" w:cs="Arial"/>
          <w:sz w:val="24"/>
        </w:rPr>
        <w:t xml:space="preserve">All Patients will be randomised and followed up </w:t>
      </w:r>
      <w:r w:rsidR="00F551D5" w:rsidRPr="002700AC">
        <w:rPr>
          <w:rFonts w:ascii="Arial" w:hAnsi="Arial" w:cs="Arial"/>
          <w:sz w:val="24"/>
        </w:rPr>
        <w:t>for</w:t>
      </w:r>
      <w:r w:rsidR="00A40041" w:rsidRPr="002700AC">
        <w:rPr>
          <w:rFonts w:ascii="Arial" w:hAnsi="Arial" w:cs="Arial"/>
          <w:sz w:val="24"/>
        </w:rPr>
        <w:t xml:space="preserve"> 6 months</w:t>
      </w:r>
      <w:r w:rsidR="00F551D5" w:rsidRPr="002700AC">
        <w:rPr>
          <w:rFonts w:ascii="Arial" w:hAnsi="Arial" w:cs="Arial"/>
          <w:sz w:val="24"/>
        </w:rPr>
        <w:t xml:space="preserve">. </w:t>
      </w:r>
      <w:r w:rsidR="00A40041" w:rsidRPr="002700AC">
        <w:rPr>
          <w:rFonts w:ascii="Arial" w:hAnsi="Arial" w:cs="Arial"/>
          <w:sz w:val="24"/>
        </w:rPr>
        <w:t xml:space="preserve">Last </w:t>
      </w:r>
      <w:r w:rsidR="00830B39">
        <w:rPr>
          <w:rFonts w:ascii="Arial" w:hAnsi="Arial" w:cs="Arial"/>
          <w:sz w:val="24"/>
        </w:rPr>
        <w:t xml:space="preserve">patient follow up </w:t>
      </w:r>
      <w:r w:rsidR="00A40041" w:rsidRPr="002700AC">
        <w:rPr>
          <w:rFonts w:ascii="Arial" w:hAnsi="Arial" w:cs="Arial"/>
          <w:sz w:val="24"/>
        </w:rPr>
        <w:t xml:space="preserve">visit will </w:t>
      </w:r>
      <w:r w:rsidR="00DC7D20" w:rsidRPr="002700AC">
        <w:rPr>
          <w:rFonts w:ascii="Arial" w:hAnsi="Arial" w:cs="Arial"/>
          <w:sz w:val="24"/>
        </w:rPr>
        <w:t>occur 18</w:t>
      </w:r>
      <w:r w:rsidRPr="002700AC">
        <w:rPr>
          <w:rFonts w:ascii="Arial" w:hAnsi="Arial" w:cs="Arial"/>
          <w:sz w:val="24"/>
        </w:rPr>
        <w:t xml:space="preserve"> months </w:t>
      </w:r>
      <w:r w:rsidR="00A40041" w:rsidRPr="002700AC">
        <w:rPr>
          <w:rFonts w:ascii="Arial" w:hAnsi="Arial" w:cs="Arial"/>
          <w:sz w:val="24"/>
        </w:rPr>
        <w:t xml:space="preserve">after first patient randomized. </w:t>
      </w:r>
      <w:r w:rsidRPr="002700AC">
        <w:rPr>
          <w:rFonts w:ascii="Arial" w:hAnsi="Arial" w:cs="Arial"/>
          <w:sz w:val="24"/>
        </w:rPr>
        <w:t>(Figure2).</w:t>
      </w:r>
    </w:p>
    <w:tbl>
      <w:tblPr>
        <w:tblW w:w="10681" w:type="dxa"/>
        <w:tblInd w:w="-719" w:type="dxa"/>
        <w:tblLook w:val="04A0" w:firstRow="1" w:lastRow="0" w:firstColumn="1" w:lastColumn="0" w:noHBand="0" w:noVBand="1"/>
      </w:tblPr>
      <w:tblGrid>
        <w:gridCol w:w="1702"/>
        <w:gridCol w:w="541"/>
        <w:gridCol w:w="462"/>
        <w:gridCol w:w="454"/>
        <w:gridCol w:w="449"/>
        <w:gridCol w:w="436"/>
        <w:gridCol w:w="468"/>
        <w:gridCol w:w="444"/>
        <w:gridCol w:w="480"/>
        <w:gridCol w:w="216"/>
        <w:gridCol w:w="235"/>
        <w:gridCol w:w="449"/>
        <w:gridCol w:w="436"/>
        <w:gridCol w:w="468"/>
        <w:gridCol w:w="335"/>
        <w:gridCol w:w="216"/>
        <w:gridCol w:w="462"/>
        <w:gridCol w:w="454"/>
        <w:gridCol w:w="449"/>
        <w:gridCol w:w="436"/>
        <w:gridCol w:w="468"/>
        <w:gridCol w:w="621"/>
      </w:tblGrid>
      <w:tr w:rsidR="00C75F3B" w:rsidRPr="00706BD9" w:rsidTr="00DB27A2">
        <w:trPr>
          <w:trHeight w:val="174"/>
        </w:trPr>
        <w:tc>
          <w:tcPr>
            <w:tcW w:w="1702" w:type="dxa"/>
            <w:tcBorders>
              <w:top w:val="single" w:sz="8" w:space="0" w:color="auto"/>
              <w:left w:val="single" w:sz="8" w:space="0" w:color="auto"/>
              <w:bottom w:val="single" w:sz="8" w:space="0" w:color="auto"/>
              <w:right w:val="single" w:sz="8" w:space="0" w:color="auto"/>
            </w:tcBorders>
            <w:shd w:val="clear" w:color="000000" w:fill="F2DCDB"/>
            <w:vAlign w:val="center"/>
            <w:hideMark/>
          </w:tcPr>
          <w:p w:rsidR="00C75F3B" w:rsidRPr="00706BD9" w:rsidRDefault="00C75F3B" w:rsidP="00DB27A2">
            <w:pPr>
              <w:spacing w:after="0" w:line="240" w:lineRule="auto"/>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Year</w:t>
            </w:r>
          </w:p>
        </w:tc>
        <w:tc>
          <w:tcPr>
            <w:tcW w:w="541" w:type="dxa"/>
            <w:tcBorders>
              <w:top w:val="single" w:sz="8" w:space="0" w:color="auto"/>
              <w:left w:val="nil"/>
              <w:bottom w:val="single" w:sz="8" w:space="0" w:color="auto"/>
              <w:right w:val="single" w:sz="8" w:space="0" w:color="000000"/>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2016</w:t>
            </w:r>
          </w:p>
        </w:tc>
        <w:tc>
          <w:tcPr>
            <w:tcW w:w="2713" w:type="dxa"/>
            <w:gridSpan w:val="6"/>
            <w:tcBorders>
              <w:top w:val="single" w:sz="8" w:space="0" w:color="auto"/>
              <w:left w:val="nil"/>
              <w:bottom w:val="single" w:sz="8" w:space="0" w:color="auto"/>
              <w:right w:val="single" w:sz="8" w:space="0" w:color="000000"/>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2017</w:t>
            </w:r>
          </w:p>
        </w:tc>
        <w:tc>
          <w:tcPr>
            <w:tcW w:w="2619" w:type="dxa"/>
            <w:gridSpan w:val="7"/>
            <w:tcBorders>
              <w:top w:val="single" w:sz="8" w:space="0" w:color="auto"/>
              <w:left w:val="nil"/>
              <w:bottom w:val="single" w:sz="8" w:space="0" w:color="auto"/>
              <w:right w:val="single" w:sz="8" w:space="0" w:color="000000"/>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2018</w:t>
            </w:r>
          </w:p>
        </w:tc>
        <w:tc>
          <w:tcPr>
            <w:tcW w:w="3106" w:type="dxa"/>
            <w:gridSpan w:val="7"/>
            <w:tcBorders>
              <w:top w:val="single" w:sz="8" w:space="0" w:color="auto"/>
              <w:left w:val="nil"/>
              <w:bottom w:val="single" w:sz="8" w:space="0" w:color="auto"/>
              <w:right w:val="single" w:sz="8" w:space="0" w:color="000000"/>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2019</w:t>
            </w:r>
          </w:p>
        </w:tc>
      </w:tr>
      <w:tr w:rsidR="00C75F3B" w:rsidRPr="00706BD9" w:rsidTr="00DB27A2">
        <w:trPr>
          <w:trHeight w:val="196"/>
        </w:trPr>
        <w:tc>
          <w:tcPr>
            <w:tcW w:w="1702" w:type="dxa"/>
            <w:tcBorders>
              <w:top w:val="nil"/>
              <w:left w:val="single" w:sz="8" w:space="0" w:color="auto"/>
              <w:bottom w:val="single" w:sz="8" w:space="0" w:color="auto"/>
              <w:right w:val="single" w:sz="8" w:space="0" w:color="auto"/>
            </w:tcBorders>
            <w:shd w:val="clear" w:color="000000" w:fill="F2DCDB"/>
            <w:vAlign w:val="center"/>
            <w:hideMark/>
          </w:tcPr>
          <w:p w:rsidR="00C75F3B" w:rsidRPr="00706BD9" w:rsidRDefault="00C75F3B" w:rsidP="00DB27A2">
            <w:pPr>
              <w:spacing w:after="0" w:line="240" w:lineRule="auto"/>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Months</w:t>
            </w:r>
          </w:p>
        </w:tc>
        <w:tc>
          <w:tcPr>
            <w:tcW w:w="541" w:type="dxa"/>
            <w:tcBorders>
              <w:top w:val="nil"/>
              <w:left w:val="nil"/>
              <w:bottom w:val="single" w:sz="8" w:space="0" w:color="auto"/>
              <w:right w:val="single" w:sz="8" w:space="0" w:color="auto"/>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0</w:t>
            </w:r>
          </w:p>
        </w:tc>
        <w:tc>
          <w:tcPr>
            <w:tcW w:w="462" w:type="dxa"/>
            <w:tcBorders>
              <w:top w:val="nil"/>
              <w:left w:val="nil"/>
              <w:bottom w:val="single" w:sz="8" w:space="0" w:color="auto"/>
              <w:right w:val="single" w:sz="8" w:space="0" w:color="auto"/>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2</w:t>
            </w:r>
          </w:p>
        </w:tc>
        <w:tc>
          <w:tcPr>
            <w:tcW w:w="454" w:type="dxa"/>
            <w:tcBorders>
              <w:top w:val="nil"/>
              <w:left w:val="nil"/>
              <w:bottom w:val="single" w:sz="8" w:space="0" w:color="auto"/>
              <w:right w:val="single" w:sz="8" w:space="0" w:color="auto"/>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4</w:t>
            </w:r>
          </w:p>
        </w:tc>
        <w:tc>
          <w:tcPr>
            <w:tcW w:w="449" w:type="dxa"/>
            <w:tcBorders>
              <w:top w:val="nil"/>
              <w:left w:val="nil"/>
              <w:bottom w:val="single" w:sz="8" w:space="0" w:color="auto"/>
              <w:right w:val="single" w:sz="8" w:space="0" w:color="auto"/>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6</w:t>
            </w:r>
          </w:p>
        </w:tc>
        <w:tc>
          <w:tcPr>
            <w:tcW w:w="436" w:type="dxa"/>
            <w:tcBorders>
              <w:top w:val="nil"/>
              <w:left w:val="nil"/>
              <w:bottom w:val="single" w:sz="8" w:space="0" w:color="auto"/>
              <w:right w:val="single" w:sz="8" w:space="0" w:color="auto"/>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8</w:t>
            </w:r>
          </w:p>
        </w:tc>
        <w:tc>
          <w:tcPr>
            <w:tcW w:w="468" w:type="dxa"/>
            <w:tcBorders>
              <w:top w:val="nil"/>
              <w:left w:val="nil"/>
              <w:bottom w:val="single" w:sz="8" w:space="0" w:color="auto"/>
              <w:right w:val="single" w:sz="8" w:space="0" w:color="auto"/>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10</w:t>
            </w:r>
          </w:p>
        </w:tc>
        <w:tc>
          <w:tcPr>
            <w:tcW w:w="444" w:type="dxa"/>
            <w:tcBorders>
              <w:top w:val="nil"/>
              <w:left w:val="nil"/>
              <w:bottom w:val="single" w:sz="8" w:space="0" w:color="auto"/>
              <w:right w:val="single" w:sz="8" w:space="0" w:color="auto"/>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12</w:t>
            </w:r>
          </w:p>
        </w:tc>
        <w:tc>
          <w:tcPr>
            <w:tcW w:w="480" w:type="dxa"/>
            <w:tcBorders>
              <w:top w:val="nil"/>
              <w:left w:val="nil"/>
              <w:bottom w:val="single" w:sz="8" w:space="0" w:color="auto"/>
              <w:right w:val="single" w:sz="8" w:space="0" w:color="auto"/>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14</w:t>
            </w:r>
          </w:p>
        </w:tc>
        <w:tc>
          <w:tcPr>
            <w:tcW w:w="451" w:type="dxa"/>
            <w:gridSpan w:val="2"/>
            <w:tcBorders>
              <w:top w:val="nil"/>
              <w:left w:val="nil"/>
              <w:bottom w:val="single" w:sz="8" w:space="0" w:color="auto"/>
              <w:right w:val="single" w:sz="8" w:space="0" w:color="auto"/>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16</w:t>
            </w:r>
          </w:p>
        </w:tc>
        <w:tc>
          <w:tcPr>
            <w:tcW w:w="449" w:type="dxa"/>
            <w:tcBorders>
              <w:top w:val="nil"/>
              <w:left w:val="nil"/>
              <w:bottom w:val="single" w:sz="8" w:space="0" w:color="auto"/>
              <w:right w:val="single" w:sz="8" w:space="0" w:color="auto"/>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18</w:t>
            </w:r>
          </w:p>
        </w:tc>
        <w:tc>
          <w:tcPr>
            <w:tcW w:w="436" w:type="dxa"/>
            <w:tcBorders>
              <w:top w:val="nil"/>
              <w:left w:val="nil"/>
              <w:bottom w:val="single" w:sz="8" w:space="0" w:color="auto"/>
              <w:right w:val="single" w:sz="8" w:space="0" w:color="auto"/>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20</w:t>
            </w:r>
          </w:p>
        </w:tc>
        <w:tc>
          <w:tcPr>
            <w:tcW w:w="468" w:type="dxa"/>
            <w:tcBorders>
              <w:top w:val="nil"/>
              <w:left w:val="nil"/>
              <w:bottom w:val="single" w:sz="8" w:space="0" w:color="auto"/>
              <w:right w:val="single" w:sz="8" w:space="0" w:color="auto"/>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22</w:t>
            </w:r>
          </w:p>
        </w:tc>
        <w:tc>
          <w:tcPr>
            <w:tcW w:w="551" w:type="dxa"/>
            <w:gridSpan w:val="2"/>
            <w:tcBorders>
              <w:top w:val="nil"/>
              <w:left w:val="nil"/>
              <w:bottom w:val="single" w:sz="8" w:space="0" w:color="auto"/>
              <w:right w:val="single" w:sz="8" w:space="0" w:color="auto"/>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24</w:t>
            </w:r>
          </w:p>
        </w:tc>
        <w:tc>
          <w:tcPr>
            <w:tcW w:w="462" w:type="dxa"/>
            <w:tcBorders>
              <w:top w:val="nil"/>
              <w:left w:val="nil"/>
              <w:bottom w:val="single" w:sz="8" w:space="0" w:color="auto"/>
              <w:right w:val="single" w:sz="8" w:space="0" w:color="auto"/>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26</w:t>
            </w:r>
          </w:p>
        </w:tc>
        <w:tc>
          <w:tcPr>
            <w:tcW w:w="454" w:type="dxa"/>
            <w:tcBorders>
              <w:top w:val="nil"/>
              <w:left w:val="nil"/>
              <w:bottom w:val="single" w:sz="8" w:space="0" w:color="auto"/>
              <w:right w:val="single" w:sz="8" w:space="0" w:color="auto"/>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28</w:t>
            </w:r>
          </w:p>
        </w:tc>
        <w:tc>
          <w:tcPr>
            <w:tcW w:w="449" w:type="dxa"/>
            <w:tcBorders>
              <w:top w:val="nil"/>
              <w:left w:val="nil"/>
              <w:bottom w:val="single" w:sz="8" w:space="0" w:color="auto"/>
              <w:right w:val="single" w:sz="8" w:space="0" w:color="auto"/>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30</w:t>
            </w:r>
          </w:p>
        </w:tc>
        <w:tc>
          <w:tcPr>
            <w:tcW w:w="436" w:type="dxa"/>
            <w:tcBorders>
              <w:top w:val="nil"/>
              <w:left w:val="nil"/>
              <w:bottom w:val="single" w:sz="8" w:space="0" w:color="auto"/>
              <w:right w:val="single" w:sz="8" w:space="0" w:color="auto"/>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32</w:t>
            </w:r>
          </w:p>
        </w:tc>
        <w:tc>
          <w:tcPr>
            <w:tcW w:w="468" w:type="dxa"/>
            <w:tcBorders>
              <w:top w:val="nil"/>
              <w:left w:val="nil"/>
              <w:bottom w:val="single" w:sz="8" w:space="0" w:color="auto"/>
              <w:right w:val="single" w:sz="8" w:space="0" w:color="auto"/>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34</w:t>
            </w:r>
          </w:p>
        </w:tc>
        <w:tc>
          <w:tcPr>
            <w:tcW w:w="621" w:type="dxa"/>
            <w:tcBorders>
              <w:top w:val="nil"/>
              <w:left w:val="nil"/>
              <w:bottom w:val="single" w:sz="8" w:space="0" w:color="auto"/>
              <w:right w:val="single" w:sz="8" w:space="0" w:color="auto"/>
            </w:tcBorders>
            <w:shd w:val="clear" w:color="000000" w:fill="F2DCDB"/>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36</w:t>
            </w:r>
          </w:p>
        </w:tc>
      </w:tr>
      <w:tr w:rsidR="00C75F3B" w:rsidRPr="00706BD9" w:rsidTr="00DB27A2">
        <w:trPr>
          <w:trHeight w:val="181"/>
        </w:trPr>
        <w:tc>
          <w:tcPr>
            <w:tcW w:w="1702" w:type="dxa"/>
            <w:tcBorders>
              <w:top w:val="nil"/>
              <w:left w:val="single" w:sz="8" w:space="0" w:color="auto"/>
              <w:bottom w:val="single" w:sz="8" w:space="0" w:color="auto"/>
              <w:right w:val="single" w:sz="8" w:space="0" w:color="auto"/>
            </w:tcBorders>
            <w:shd w:val="clear" w:color="000000" w:fill="95B3D7"/>
            <w:vAlign w:val="center"/>
            <w:hideMark/>
          </w:tcPr>
          <w:p w:rsidR="00C75F3B" w:rsidRPr="00706BD9" w:rsidRDefault="00C75F3B" w:rsidP="00DB27A2">
            <w:pPr>
              <w:spacing w:after="0" w:line="240" w:lineRule="auto"/>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Quarter</w:t>
            </w:r>
          </w:p>
        </w:tc>
        <w:tc>
          <w:tcPr>
            <w:tcW w:w="541" w:type="dxa"/>
            <w:tcBorders>
              <w:top w:val="single" w:sz="8" w:space="0" w:color="auto"/>
              <w:left w:val="nil"/>
              <w:bottom w:val="single" w:sz="8" w:space="0" w:color="auto"/>
              <w:right w:val="single" w:sz="8" w:space="0" w:color="000000"/>
            </w:tcBorders>
            <w:shd w:val="clear" w:color="000000" w:fill="95B3D7"/>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4</w:t>
            </w:r>
          </w:p>
        </w:tc>
        <w:tc>
          <w:tcPr>
            <w:tcW w:w="462" w:type="dxa"/>
            <w:tcBorders>
              <w:top w:val="nil"/>
              <w:left w:val="nil"/>
              <w:bottom w:val="single" w:sz="8" w:space="0" w:color="auto"/>
              <w:right w:val="single" w:sz="8" w:space="0" w:color="auto"/>
            </w:tcBorders>
            <w:shd w:val="clear" w:color="000000" w:fill="95B3D7"/>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1</w:t>
            </w:r>
          </w:p>
        </w:tc>
        <w:tc>
          <w:tcPr>
            <w:tcW w:w="903" w:type="dxa"/>
            <w:gridSpan w:val="2"/>
            <w:tcBorders>
              <w:top w:val="single" w:sz="8" w:space="0" w:color="auto"/>
              <w:left w:val="nil"/>
              <w:bottom w:val="single" w:sz="8" w:space="0" w:color="auto"/>
              <w:right w:val="single" w:sz="8" w:space="0" w:color="000000"/>
            </w:tcBorders>
            <w:shd w:val="clear" w:color="000000" w:fill="95B3D7"/>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2</w:t>
            </w:r>
          </w:p>
        </w:tc>
        <w:tc>
          <w:tcPr>
            <w:tcW w:w="436" w:type="dxa"/>
            <w:tcBorders>
              <w:top w:val="nil"/>
              <w:left w:val="nil"/>
              <w:bottom w:val="single" w:sz="8" w:space="0" w:color="auto"/>
              <w:right w:val="single" w:sz="8" w:space="0" w:color="auto"/>
            </w:tcBorders>
            <w:shd w:val="clear" w:color="000000" w:fill="95B3D7"/>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3</w:t>
            </w:r>
          </w:p>
        </w:tc>
        <w:tc>
          <w:tcPr>
            <w:tcW w:w="912" w:type="dxa"/>
            <w:gridSpan w:val="2"/>
            <w:tcBorders>
              <w:top w:val="single" w:sz="8" w:space="0" w:color="auto"/>
              <w:left w:val="nil"/>
              <w:bottom w:val="single" w:sz="8" w:space="0" w:color="auto"/>
              <w:right w:val="single" w:sz="8" w:space="0" w:color="000000"/>
            </w:tcBorders>
            <w:shd w:val="clear" w:color="000000" w:fill="95B3D7"/>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4</w:t>
            </w:r>
          </w:p>
        </w:tc>
        <w:tc>
          <w:tcPr>
            <w:tcW w:w="696" w:type="dxa"/>
            <w:gridSpan w:val="2"/>
            <w:tcBorders>
              <w:top w:val="nil"/>
              <w:left w:val="nil"/>
              <w:bottom w:val="single" w:sz="8" w:space="0" w:color="auto"/>
              <w:right w:val="single" w:sz="8" w:space="0" w:color="auto"/>
            </w:tcBorders>
            <w:shd w:val="clear" w:color="000000" w:fill="95B3D7"/>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1</w:t>
            </w:r>
          </w:p>
        </w:tc>
        <w:tc>
          <w:tcPr>
            <w:tcW w:w="684" w:type="dxa"/>
            <w:gridSpan w:val="2"/>
            <w:tcBorders>
              <w:top w:val="single" w:sz="8" w:space="0" w:color="auto"/>
              <w:left w:val="nil"/>
              <w:bottom w:val="single" w:sz="8" w:space="0" w:color="auto"/>
              <w:right w:val="single" w:sz="8" w:space="0" w:color="000000"/>
            </w:tcBorders>
            <w:shd w:val="clear" w:color="000000" w:fill="95B3D7"/>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2</w:t>
            </w:r>
          </w:p>
        </w:tc>
        <w:tc>
          <w:tcPr>
            <w:tcW w:w="436" w:type="dxa"/>
            <w:tcBorders>
              <w:top w:val="nil"/>
              <w:left w:val="nil"/>
              <w:bottom w:val="single" w:sz="8" w:space="0" w:color="auto"/>
              <w:right w:val="single" w:sz="8" w:space="0" w:color="auto"/>
            </w:tcBorders>
            <w:shd w:val="clear" w:color="000000" w:fill="95B3D7"/>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3</w:t>
            </w:r>
          </w:p>
        </w:tc>
        <w:tc>
          <w:tcPr>
            <w:tcW w:w="803" w:type="dxa"/>
            <w:gridSpan w:val="2"/>
            <w:tcBorders>
              <w:top w:val="single" w:sz="8" w:space="0" w:color="auto"/>
              <w:left w:val="nil"/>
              <w:bottom w:val="single" w:sz="8" w:space="0" w:color="auto"/>
              <w:right w:val="single" w:sz="8" w:space="0" w:color="000000"/>
            </w:tcBorders>
            <w:shd w:val="clear" w:color="000000" w:fill="95B3D7"/>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4</w:t>
            </w:r>
          </w:p>
        </w:tc>
        <w:tc>
          <w:tcPr>
            <w:tcW w:w="678" w:type="dxa"/>
            <w:gridSpan w:val="2"/>
            <w:tcBorders>
              <w:top w:val="nil"/>
              <w:left w:val="nil"/>
              <w:bottom w:val="single" w:sz="8" w:space="0" w:color="auto"/>
              <w:right w:val="single" w:sz="8" w:space="0" w:color="auto"/>
            </w:tcBorders>
            <w:shd w:val="clear" w:color="000000" w:fill="95B3D7"/>
            <w:noWrap/>
            <w:vAlign w:val="center"/>
            <w:hideMark/>
          </w:tcPr>
          <w:p w:rsidR="00C75F3B" w:rsidRPr="00706BD9" w:rsidRDefault="00C75F3B" w:rsidP="00DB27A2">
            <w:pPr>
              <w:spacing w:after="0" w:line="240" w:lineRule="auto"/>
              <w:jc w:val="right"/>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1</w:t>
            </w:r>
          </w:p>
        </w:tc>
        <w:tc>
          <w:tcPr>
            <w:tcW w:w="903" w:type="dxa"/>
            <w:gridSpan w:val="2"/>
            <w:tcBorders>
              <w:top w:val="single" w:sz="8" w:space="0" w:color="auto"/>
              <w:left w:val="nil"/>
              <w:bottom w:val="single" w:sz="8" w:space="0" w:color="auto"/>
              <w:right w:val="single" w:sz="8" w:space="0" w:color="000000"/>
            </w:tcBorders>
            <w:shd w:val="clear" w:color="000000" w:fill="95B3D7"/>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2</w:t>
            </w:r>
          </w:p>
        </w:tc>
        <w:tc>
          <w:tcPr>
            <w:tcW w:w="1525" w:type="dxa"/>
            <w:gridSpan w:val="3"/>
            <w:tcBorders>
              <w:top w:val="single" w:sz="8" w:space="0" w:color="auto"/>
              <w:left w:val="nil"/>
              <w:bottom w:val="single" w:sz="8" w:space="0" w:color="auto"/>
              <w:right w:val="single" w:sz="8" w:space="0" w:color="000000"/>
            </w:tcBorders>
            <w:shd w:val="clear" w:color="000000" w:fill="95B3D7"/>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3</w:t>
            </w:r>
          </w:p>
        </w:tc>
      </w:tr>
      <w:tr w:rsidR="00C75F3B" w:rsidRPr="00706BD9" w:rsidTr="00DB27A2">
        <w:trPr>
          <w:trHeight w:val="188"/>
        </w:trPr>
        <w:tc>
          <w:tcPr>
            <w:tcW w:w="1702" w:type="dxa"/>
            <w:tcBorders>
              <w:top w:val="nil"/>
              <w:left w:val="single" w:sz="8" w:space="0" w:color="auto"/>
              <w:bottom w:val="single" w:sz="8" w:space="0" w:color="auto"/>
              <w:right w:val="single" w:sz="8" w:space="0" w:color="auto"/>
            </w:tcBorders>
            <w:shd w:val="clear" w:color="000000" w:fill="D9D9D9"/>
            <w:vAlign w:val="center"/>
            <w:hideMark/>
          </w:tcPr>
          <w:p w:rsidR="00C75F3B" w:rsidRPr="00706BD9" w:rsidRDefault="00C75F3B" w:rsidP="00DB27A2">
            <w:pPr>
              <w:spacing w:after="0" w:line="240" w:lineRule="auto"/>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Month</w:t>
            </w:r>
          </w:p>
        </w:tc>
        <w:tc>
          <w:tcPr>
            <w:tcW w:w="541" w:type="dxa"/>
            <w:tcBorders>
              <w:top w:val="nil"/>
              <w:left w:val="nil"/>
              <w:bottom w:val="single" w:sz="8" w:space="0" w:color="auto"/>
              <w:right w:val="single" w:sz="8" w:space="0" w:color="auto"/>
            </w:tcBorders>
            <w:shd w:val="clear" w:color="000000" w:fill="D9D9D9"/>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Oct</w:t>
            </w:r>
          </w:p>
        </w:tc>
        <w:tc>
          <w:tcPr>
            <w:tcW w:w="462" w:type="dxa"/>
            <w:tcBorders>
              <w:top w:val="nil"/>
              <w:left w:val="nil"/>
              <w:bottom w:val="single" w:sz="8" w:space="0" w:color="auto"/>
              <w:right w:val="single" w:sz="8" w:space="0" w:color="auto"/>
            </w:tcBorders>
            <w:shd w:val="clear" w:color="000000" w:fill="D9D9D9"/>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Dec</w:t>
            </w:r>
          </w:p>
        </w:tc>
        <w:tc>
          <w:tcPr>
            <w:tcW w:w="454" w:type="dxa"/>
            <w:tcBorders>
              <w:top w:val="nil"/>
              <w:left w:val="nil"/>
              <w:bottom w:val="single" w:sz="8" w:space="0" w:color="auto"/>
              <w:right w:val="single" w:sz="8" w:space="0" w:color="auto"/>
            </w:tcBorders>
            <w:shd w:val="clear" w:color="000000" w:fill="D9D9D9"/>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Feb</w:t>
            </w:r>
          </w:p>
        </w:tc>
        <w:tc>
          <w:tcPr>
            <w:tcW w:w="449" w:type="dxa"/>
            <w:tcBorders>
              <w:top w:val="nil"/>
              <w:left w:val="nil"/>
              <w:bottom w:val="single" w:sz="8" w:space="0" w:color="auto"/>
              <w:right w:val="single" w:sz="8" w:space="0" w:color="auto"/>
            </w:tcBorders>
            <w:shd w:val="clear" w:color="000000" w:fill="D9D9D9"/>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Apr</w:t>
            </w:r>
          </w:p>
        </w:tc>
        <w:tc>
          <w:tcPr>
            <w:tcW w:w="436" w:type="dxa"/>
            <w:tcBorders>
              <w:top w:val="nil"/>
              <w:left w:val="nil"/>
              <w:bottom w:val="single" w:sz="8" w:space="0" w:color="auto"/>
              <w:right w:val="single" w:sz="8" w:space="0" w:color="auto"/>
            </w:tcBorders>
            <w:shd w:val="clear" w:color="000000" w:fill="D9D9D9"/>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Jun</w:t>
            </w:r>
          </w:p>
        </w:tc>
        <w:tc>
          <w:tcPr>
            <w:tcW w:w="468" w:type="dxa"/>
            <w:tcBorders>
              <w:top w:val="nil"/>
              <w:left w:val="nil"/>
              <w:bottom w:val="single" w:sz="8" w:space="0" w:color="auto"/>
              <w:right w:val="single" w:sz="8" w:space="0" w:color="auto"/>
            </w:tcBorders>
            <w:shd w:val="clear" w:color="000000" w:fill="D9D9D9"/>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Aug</w:t>
            </w:r>
          </w:p>
        </w:tc>
        <w:tc>
          <w:tcPr>
            <w:tcW w:w="444" w:type="dxa"/>
            <w:tcBorders>
              <w:top w:val="nil"/>
              <w:left w:val="nil"/>
              <w:bottom w:val="single" w:sz="8" w:space="0" w:color="auto"/>
              <w:right w:val="single" w:sz="8" w:space="0" w:color="auto"/>
            </w:tcBorders>
            <w:shd w:val="clear" w:color="000000" w:fill="D9D9D9"/>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Oct</w:t>
            </w:r>
          </w:p>
        </w:tc>
        <w:tc>
          <w:tcPr>
            <w:tcW w:w="480" w:type="dxa"/>
            <w:tcBorders>
              <w:top w:val="nil"/>
              <w:left w:val="nil"/>
              <w:bottom w:val="single" w:sz="8" w:space="0" w:color="auto"/>
              <w:right w:val="single" w:sz="8" w:space="0" w:color="auto"/>
            </w:tcBorders>
            <w:shd w:val="clear" w:color="000000" w:fill="D9D9D9"/>
            <w:noWrap/>
            <w:vAlign w:val="center"/>
            <w:hideMark/>
          </w:tcPr>
          <w:p w:rsidR="00C75F3B" w:rsidRPr="00706BD9" w:rsidRDefault="00C75F3B" w:rsidP="00DB27A2">
            <w:pPr>
              <w:spacing w:after="0" w:line="240" w:lineRule="auto"/>
              <w:jc w:val="center"/>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DEC</w:t>
            </w:r>
          </w:p>
        </w:tc>
        <w:tc>
          <w:tcPr>
            <w:tcW w:w="451" w:type="dxa"/>
            <w:gridSpan w:val="2"/>
            <w:tcBorders>
              <w:top w:val="nil"/>
              <w:left w:val="nil"/>
              <w:bottom w:val="single" w:sz="8" w:space="0" w:color="auto"/>
              <w:right w:val="single" w:sz="8" w:space="0" w:color="auto"/>
            </w:tcBorders>
            <w:shd w:val="clear" w:color="000000" w:fill="D9D9D9"/>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Feb</w:t>
            </w:r>
          </w:p>
        </w:tc>
        <w:tc>
          <w:tcPr>
            <w:tcW w:w="449" w:type="dxa"/>
            <w:tcBorders>
              <w:top w:val="nil"/>
              <w:left w:val="nil"/>
              <w:bottom w:val="single" w:sz="8" w:space="0" w:color="auto"/>
              <w:right w:val="single" w:sz="8" w:space="0" w:color="auto"/>
            </w:tcBorders>
            <w:shd w:val="clear" w:color="000000" w:fill="D9D9D9"/>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Apr</w:t>
            </w:r>
          </w:p>
        </w:tc>
        <w:tc>
          <w:tcPr>
            <w:tcW w:w="436" w:type="dxa"/>
            <w:tcBorders>
              <w:top w:val="nil"/>
              <w:left w:val="nil"/>
              <w:bottom w:val="single" w:sz="8" w:space="0" w:color="auto"/>
              <w:right w:val="single" w:sz="8" w:space="0" w:color="auto"/>
            </w:tcBorders>
            <w:shd w:val="clear" w:color="000000" w:fill="D9D9D9"/>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Jun</w:t>
            </w:r>
          </w:p>
        </w:tc>
        <w:tc>
          <w:tcPr>
            <w:tcW w:w="468" w:type="dxa"/>
            <w:tcBorders>
              <w:top w:val="nil"/>
              <w:left w:val="nil"/>
              <w:bottom w:val="single" w:sz="8" w:space="0" w:color="auto"/>
              <w:right w:val="single" w:sz="8" w:space="0" w:color="auto"/>
            </w:tcBorders>
            <w:shd w:val="clear" w:color="000000" w:fill="D9D9D9"/>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Aug</w:t>
            </w:r>
          </w:p>
        </w:tc>
        <w:tc>
          <w:tcPr>
            <w:tcW w:w="551" w:type="dxa"/>
            <w:gridSpan w:val="2"/>
            <w:tcBorders>
              <w:top w:val="nil"/>
              <w:left w:val="nil"/>
              <w:bottom w:val="single" w:sz="8" w:space="0" w:color="auto"/>
              <w:right w:val="single" w:sz="8" w:space="0" w:color="auto"/>
            </w:tcBorders>
            <w:shd w:val="clear" w:color="000000" w:fill="D9D9D9"/>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Oct</w:t>
            </w:r>
          </w:p>
        </w:tc>
        <w:tc>
          <w:tcPr>
            <w:tcW w:w="462" w:type="dxa"/>
            <w:tcBorders>
              <w:top w:val="nil"/>
              <w:left w:val="nil"/>
              <w:bottom w:val="single" w:sz="8" w:space="0" w:color="auto"/>
              <w:right w:val="single" w:sz="8" w:space="0" w:color="auto"/>
            </w:tcBorders>
            <w:shd w:val="clear" w:color="000000" w:fill="D9D9D9"/>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Dec</w:t>
            </w:r>
          </w:p>
        </w:tc>
        <w:tc>
          <w:tcPr>
            <w:tcW w:w="454" w:type="dxa"/>
            <w:tcBorders>
              <w:top w:val="nil"/>
              <w:left w:val="nil"/>
              <w:bottom w:val="single" w:sz="8" w:space="0" w:color="auto"/>
              <w:right w:val="single" w:sz="8" w:space="0" w:color="auto"/>
            </w:tcBorders>
            <w:shd w:val="clear" w:color="000000" w:fill="D9D9D9"/>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Feb</w:t>
            </w:r>
          </w:p>
        </w:tc>
        <w:tc>
          <w:tcPr>
            <w:tcW w:w="449" w:type="dxa"/>
            <w:tcBorders>
              <w:top w:val="nil"/>
              <w:left w:val="nil"/>
              <w:bottom w:val="single" w:sz="8" w:space="0" w:color="auto"/>
              <w:right w:val="single" w:sz="8" w:space="0" w:color="auto"/>
            </w:tcBorders>
            <w:shd w:val="clear" w:color="000000" w:fill="D9D9D9"/>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Apr</w:t>
            </w:r>
          </w:p>
        </w:tc>
        <w:tc>
          <w:tcPr>
            <w:tcW w:w="436" w:type="dxa"/>
            <w:tcBorders>
              <w:top w:val="nil"/>
              <w:left w:val="nil"/>
              <w:bottom w:val="single" w:sz="8" w:space="0" w:color="auto"/>
              <w:right w:val="single" w:sz="8" w:space="0" w:color="auto"/>
            </w:tcBorders>
            <w:shd w:val="clear" w:color="000000" w:fill="D9D9D9"/>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Jun</w:t>
            </w:r>
          </w:p>
        </w:tc>
        <w:tc>
          <w:tcPr>
            <w:tcW w:w="468" w:type="dxa"/>
            <w:tcBorders>
              <w:top w:val="nil"/>
              <w:left w:val="nil"/>
              <w:bottom w:val="single" w:sz="8" w:space="0" w:color="auto"/>
              <w:right w:val="single" w:sz="8" w:space="0" w:color="auto"/>
            </w:tcBorders>
            <w:shd w:val="clear" w:color="000000" w:fill="D9D9D9"/>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Aug</w:t>
            </w:r>
          </w:p>
        </w:tc>
        <w:tc>
          <w:tcPr>
            <w:tcW w:w="621" w:type="dxa"/>
            <w:tcBorders>
              <w:top w:val="nil"/>
              <w:left w:val="nil"/>
              <w:bottom w:val="single" w:sz="8" w:space="0" w:color="auto"/>
              <w:right w:val="single" w:sz="8" w:space="0" w:color="auto"/>
            </w:tcBorders>
            <w:shd w:val="clear" w:color="000000" w:fill="D9D9D9"/>
            <w:noWrap/>
            <w:vAlign w:val="center"/>
            <w:hideMark/>
          </w:tcPr>
          <w:p w:rsidR="00C75F3B" w:rsidRPr="00706BD9" w:rsidRDefault="00C75F3B" w:rsidP="00DB27A2">
            <w:pPr>
              <w:spacing w:after="0" w:line="240" w:lineRule="auto"/>
              <w:jc w:val="center"/>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Oct</w:t>
            </w:r>
          </w:p>
        </w:tc>
      </w:tr>
      <w:tr w:rsidR="00C75F3B" w:rsidRPr="00706BD9" w:rsidTr="00DB27A2">
        <w:trPr>
          <w:trHeight w:val="298"/>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C75F3B" w:rsidRPr="00706BD9" w:rsidRDefault="00C75F3B" w:rsidP="00DB27A2">
            <w:pPr>
              <w:spacing w:after="0" w:line="240" w:lineRule="auto"/>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Trial set up(Test of Study Instrument and Database)</w:t>
            </w:r>
          </w:p>
        </w:tc>
        <w:tc>
          <w:tcPr>
            <w:tcW w:w="541" w:type="dxa"/>
            <w:tcBorders>
              <w:top w:val="nil"/>
              <w:left w:val="nil"/>
              <w:bottom w:val="single" w:sz="8" w:space="0" w:color="auto"/>
              <w:right w:val="single" w:sz="8" w:space="0" w:color="auto"/>
            </w:tcBorders>
            <w:shd w:val="clear" w:color="000000" w:fill="538DD5"/>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2" w:type="dxa"/>
            <w:tcBorders>
              <w:top w:val="nil"/>
              <w:left w:val="nil"/>
              <w:bottom w:val="single" w:sz="8" w:space="0" w:color="auto"/>
              <w:right w:val="single" w:sz="8" w:space="0" w:color="auto"/>
            </w:tcBorders>
            <w:shd w:val="clear" w:color="000000" w:fill="538DD5"/>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54" w:type="dxa"/>
            <w:tcBorders>
              <w:top w:val="nil"/>
              <w:left w:val="nil"/>
              <w:bottom w:val="single" w:sz="8" w:space="0" w:color="auto"/>
              <w:right w:val="single" w:sz="8" w:space="0" w:color="auto"/>
            </w:tcBorders>
            <w:shd w:val="clear" w:color="000000" w:fill="538DD5"/>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9"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36"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8"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4"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80"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 </w:t>
            </w:r>
          </w:p>
        </w:tc>
        <w:tc>
          <w:tcPr>
            <w:tcW w:w="451" w:type="dxa"/>
            <w:gridSpan w:val="2"/>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9"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36"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8"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551" w:type="dxa"/>
            <w:gridSpan w:val="2"/>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2"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54"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9"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36"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8"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621"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r>
      <w:tr w:rsidR="00C75F3B" w:rsidRPr="00706BD9" w:rsidTr="00DB27A2">
        <w:trPr>
          <w:trHeight w:val="224"/>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C75F3B" w:rsidRPr="00706BD9" w:rsidRDefault="00C75F3B" w:rsidP="00DB27A2">
            <w:pPr>
              <w:spacing w:after="0" w:line="240" w:lineRule="auto"/>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Grant start date</w:t>
            </w:r>
          </w:p>
        </w:tc>
        <w:tc>
          <w:tcPr>
            <w:tcW w:w="541" w:type="dxa"/>
            <w:tcBorders>
              <w:top w:val="nil"/>
              <w:left w:val="nil"/>
              <w:bottom w:val="single" w:sz="8" w:space="0" w:color="auto"/>
              <w:right w:val="single" w:sz="8" w:space="0" w:color="auto"/>
            </w:tcBorders>
            <w:shd w:val="clear" w:color="000000" w:fill="C4BD97"/>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2"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54"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9"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36"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8"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4"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80"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 </w:t>
            </w:r>
          </w:p>
        </w:tc>
        <w:tc>
          <w:tcPr>
            <w:tcW w:w="451" w:type="dxa"/>
            <w:gridSpan w:val="2"/>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9"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36"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8"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551" w:type="dxa"/>
            <w:gridSpan w:val="2"/>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2"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54"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9"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36"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8"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621"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r>
      <w:tr w:rsidR="00C75F3B" w:rsidRPr="00706BD9" w:rsidTr="00DB27A2">
        <w:trPr>
          <w:trHeight w:val="224"/>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C75F3B" w:rsidRPr="00706BD9" w:rsidRDefault="00C75F3B" w:rsidP="00DB27A2">
            <w:pPr>
              <w:spacing w:after="0" w:line="240" w:lineRule="auto"/>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Ethics Approval</w:t>
            </w:r>
          </w:p>
        </w:tc>
        <w:tc>
          <w:tcPr>
            <w:tcW w:w="541"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2" w:type="dxa"/>
            <w:tcBorders>
              <w:top w:val="nil"/>
              <w:left w:val="nil"/>
              <w:bottom w:val="single" w:sz="8" w:space="0" w:color="auto"/>
              <w:right w:val="single" w:sz="8" w:space="0" w:color="auto"/>
            </w:tcBorders>
            <w:shd w:val="clear" w:color="000000" w:fill="DA9694"/>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54" w:type="dxa"/>
            <w:tcBorders>
              <w:top w:val="nil"/>
              <w:left w:val="nil"/>
              <w:bottom w:val="single" w:sz="8" w:space="0" w:color="auto"/>
              <w:right w:val="single" w:sz="8" w:space="0" w:color="auto"/>
            </w:tcBorders>
            <w:shd w:val="clear" w:color="000000" w:fill="DA9694"/>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9" w:type="dxa"/>
            <w:tcBorders>
              <w:top w:val="nil"/>
              <w:left w:val="nil"/>
              <w:bottom w:val="single" w:sz="8" w:space="0" w:color="auto"/>
              <w:right w:val="single" w:sz="8" w:space="0" w:color="auto"/>
            </w:tcBorders>
            <w:shd w:val="clear" w:color="000000" w:fill="DA9694"/>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36"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8"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4"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80"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 </w:t>
            </w:r>
          </w:p>
        </w:tc>
        <w:tc>
          <w:tcPr>
            <w:tcW w:w="451" w:type="dxa"/>
            <w:gridSpan w:val="2"/>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9"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36"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8"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551" w:type="dxa"/>
            <w:gridSpan w:val="2"/>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2"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54"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9"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36"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8"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621"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r>
      <w:tr w:rsidR="00C75F3B" w:rsidRPr="00706BD9" w:rsidTr="00DB27A2">
        <w:trPr>
          <w:trHeight w:val="298"/>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C75F3B" w:rsidRPr="00706BD9" w:rsidRDefault="00C75F3B" w:rsidP="00DB27A2">
            <w:pPr>
              <w:spacing w:after="0" w:line="240" w:lineRule="auto"/>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Patient recruitment/ Randomization</w:t>
            </w:r>
          </w:p>
        </w:tc>
        <w:tc>
          <w:tcPr>
            <w:tcW w:w="541"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2"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54"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9"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36" w:type="dxa"/>
            <w:tcBorders>
              <w:top w:val="nil"/>
              <w:left w:val="nil"/>
              <w:bottom w:val="single" w:sz="8" w:space="0" w:color="auto"/>
              <w:right w:val="single" w:sz="8" w:space="0" w:color="auto"/>
            </w:tcBorders>
            <w:shd w:val="clear" w:color="000000" w:fill="C4D79B"/>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8" w:type="dxa"/>
            <w:tcBorders>
              <w:top w:val="nil"/>
              <w:left w:val="nil"/>
              <w:bottom w:val="single" w:sz="8" w:space="0" w:color="auto"/>
              <w:right w:val="single" w:sz="8" w:space="0" w:color="auto"/>
            </w:tcBorders>
            <w:shd w:val="clear" w:color="000000" w:fill="C4D79B"/>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4" w:type="dxa"/>
            <w:tcBorders>
              <w:top w:val="nil"/>
              <w:left w:val="nil"/>
              <w:bottom w:val="single" w:sz="8" w:space="0" w:color="auto"/>
              <w:right w:val="single" w:sz="8" w:space="0" w:color="auto"/>
            </w:tcBorders>
            <w:shd w:val="clear" w:color="000000" w:fill="C4D79B"/>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80" w:type="dxa"/>
            <w:tcBorders>
              <w:top w:val="nil"/>
              <w:left w:val="nil"/>
              <w:bottom w:val="single" w:sz="8" w:space="0" w:color="auto"/>
              <w:right w:val="single" w:sz="8" w:space="0" w:color="auto"/>
            </w:tcBorders>
            <w:shd w:val="clear" w:color="000000" w:fill="C4D79B"/>
            <w:noWrap/>
            <w:vAlign w:val="center"/>
            <w:hideMark/>
          </w:tcPr>
          <w:p w:rsidR="00C75F3B" w:rsidRPr="00706BD9" w:rsidRDefault="00C75F3B" w:rsidP="00DB27A2">
            <w:pPr>
              <w:spacing w:after="0" w:line="240" w:lineRule="auto"/>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 </w:t>
            </w:r>
          </w:p>
        </w:tc>
        <w:tc>
          <w:tcPr>
            <w:tcW w:w="451" w:type="dxa"/>
            <w:gridSpan w:val="2"/>
            <w:tcBorders>
              <w:top w:val="nil"/>
              <w:left w:val="nil"/>
              <w:bottom w:val="single" w:sz="8" w:space="0" w:color="auto"/>
              <w:right w:val="single" w:sz="8" w:space="0" w:color="auto"/>
            </w:tcBorders>
            <w:shd w:val="clear" w:color="000000" w:fill="C4D79B"/>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9" w:type="dxa"/>
            <w:tcBorders>
              <w:top w:val="nil"/>
              <w:left w:val="nil"/>
              <w:bottom w:val="single" w:sz="8" w:space="0" w:color="auto"/>
              <w:right w:val="single" w:sz="8" w:space="0" w:color="auto"/>
            </w:tcBorders>
            <w:shd w:val="clear" w:color="000000" w:fill="C4D79B"/>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36" w:type="dxa"/>
            <w:tcBorders>
              <w:top w:val="nil"/>
              <w:left w:val="nil"/>
              <w:bottom w:val="single" w:sz="8" w:space="0" w:color="auto"/>
              <w:right w:val="single" w:sz="8" w:space="0" w:color="auto"/>
            </w:tcBorders>
            <w:shd w:val="clear" w:color="000000" w:fill="C4D79B"/>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8"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551" w:type="dxa"/>
            <w:gridSpan w:val="2"/>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2"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54"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9"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36"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8"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621"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r>
      <w:tr w:rsidR="00C75F3B" w:rsidRPr="00706BD9" w:rsidTr="00DB27A2">
        <w:trPr>
          <w:trHeight w:val="210"/>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C75F3B" w:rsidRPr="00706BD9" w:rsidRDefault="00C75F3B" w:rsidP="00DB27A2">
            <w:pPr>
              <w:spacing w:after="0" w:line="240" w:lineRule="auto"/>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Follow up visits</w:t>
            </w:r>
          </w:p>
        </w:tc>
        <w:tc>
          <w:tcPr>
            <w:tcW w:w="541"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2"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54"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9"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36"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8" w:type="dxa"/>
            <w:tcBorders>
              <w:top w:val="nil"/>
              <w:left w:val="nil"/>
              <w:bottom w:val="single" w:sz="8" w:space="0" w:color="auto"/>
              <w:right w:val="single" w:sz="8" w:space="0" w:color="auto"/>
            </w:tcBorders>
            <w:shd w:val="clear" w:color="000000" w:fill="31869B"/>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4" w:type="dxa"/>
            <w:tcBorders>
              <w:top w:val="nil"/>
              <w:left w:val="nil"/>
              <w:bottom w:val="single" w:sz="8" w:space="0" w:color="auto"/>
              <w:right w:val="single" w:sz="8" w:space="0" w:color="auto"/>
            </w:tcBorders>
            <w:shd w:val="clear" w:color="000000" w:fill="31869B"/>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80" w:type="dxa"/>
            <w:tcBorders>
              <w:top w:val="nil"/>
              <w:left w:val="nil"/>
              <w:bottom w:val="single" w:sz="8" w:space="0" w:color="auto"/>
              <w:right w:val="single" w:sz="8" w:space="0" w:color="auto"/>
            </w:tcBorders>
            <w:shd w:val="clear" w:color="000000" w:fill="31869B"/>
            <w:noWrap/>
            <w:vAlign w:val="center"/>
            <w:hideMark/>
          </w:tcPr>
          <w:p w:rsidR="00C75F3B" w:rsidRPr="00706BD9" w:rsidRDefault="00C75F3B" w:rsidP="00DB27A2">
            <w:pPr>
              <w:spacing w:after="0" w:line="240" w:lineRule="auto"/>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 </w:t>
            </w:r>
          </w:p>
        </w:tc>
        <w:tc>
          <w:tcPr>
            <w:tcW w:w="451" w:type="dxa"/>
            <w:gridSpan w:val="2"/>
            <w:tcBorders>
              <w:top w:val="nil"/>
              <w:left w:val="nil"/>
              <w:bottom w:val="single" w:sz="8" w:space="0" w:color="auto"/>
              <w:right w:val="single" w:sz="8" w:space="0" w:color="auto"/>
            </w:tcBorders>
            <w:shd w:val="clear" w:color="000000" w:fill="31869B"/>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9" w:type="dxa"/>
            <w:tcBorders>
              <w:top w:val="nil"/>
              <w:left w:val="nil"/>
              <w:bottom w:val="single" w:sz="8" w:space="0" w:color="auto"/>
              <w:right w:val="single" w:sz="8" w:space="0" w:color="auto"/>
            </w:tcBorders>
            <w:shd w:val="clear" w:color="000000" w:fill="31869B"/>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36" w:type="dxa"/>
            <w:tcBorders>
              <w:top w:val="nil"/>
              <w:left w:val="nil"/>
              <w:bottom w:val="single" w:sz="8" w:space="0" w:color="auto"/>
              <w:right w:val="single" w:sz="8" w:space="0" w:color="auto"/>
            </w:tcBorders>
            <w:shd w:val="clear" w:color="000000" w:fill="31869B"/>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8" w:type="dxa"/>
            <w:tcBorders>
              <w:top w:val="nil"/>
              <w:left w:val="nil"/>
              <w:bottom w:val="single" w:sz="8" w:space="0" w:color="auto"/>
              <w:right w:val="single" w:sz="8" w:space="0" w:color="auto"/>
            </w:tcBorders>
            <w:shd w:val="clear" w:color="000000" w:fill="31869B"/>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551" w:type="dxa"/>
            <w:gridSpan w:val="2"/>
            <w:tcBorders>
              <w:top w:val="nil"/>
              <w:left w:val="nil"/>
              <w:bottom w:val="single" w:sz="8" w:space="0" w:color="auto"/>
              <w:right w:val="single" w:sz="8" w:space="0" w:color="auto"/>
            </w:tcBorders>
            <w:shd w:val="clear" w:color="000000" w:fill="31869B"/>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2" w:type="dxa"/>
            <w:tcBorders>
              <w:top w:val="nil"/>
              <w:left w:val="nil"/>
              <w:bottom w:val="single" w:sz="8" w:space="0" w:color="auto"/>
              <w:right w:val="single" w:sz="8" w:space="0" w:color="auto"/>
            </w:tcBorders>
            <w:shd w:val="clear" w:color="000000" w:fill="31869B"/>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54" w:type="dxa"/>
            <w:tcBorders>
              <w:top w:val="nil"/>
              <w:left w:val="nil"/>
              <w:bottom w:val="single" w:sz="8" w:space="0" w:color="auto"/>
              <w:right w:val="single" w:sz="8" w:space="0" w:color="auto"/>
            </w:tcBorders>
            <w:shd w:val="clear" w:color="000000" w:fill="31869B"/>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9" w:type="dxa"/>
            <w:tcBorders>
              <w:top w:val="nil"/>
              <w:left w:val="nil"/>
              <w:bottom w:val="single" w:sz="8" w:space="0" w:color="auto"/>
              <w:right w:val="single" w:sz="8" w:space="0" w:color="auto"/>
            </w:tcBorders>
            <w:shd w:val="clear" w:color="000000" w:fill="31869B"/>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36" w:type="dxa"/>
            <w:tcBorders>
              <w:top w:val="nil"/>
              <w:left w:val="nil"/>
              <w:bottom w:val="single" w:sz="8" w:space="0" w:color="auto"/>
              <w:right w:val="single" w:sz="8" w:space="0" w:color="auto"/>
            </w:tcBorders>
            <w:shd w:val="clear" w:color="000000" w:fill="31869B"/>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8"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621"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r>
      <w:tr w:rsidR="00C75F3B" w:rsidRPr="00706BD9" w:rsidTr="00DB27A2">
        <w:trPr>
          <w:trHeight w:val="203"/>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C75F3B" w:rsidRPr="00706BD9" w:rsidRDefault="00C75F3B" w:rsidP="00DB27A2">
            <w:pPr>
              <w:spacing w:after="0" w:line="240" w:lineRule="auto"/>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 xml:space="preserve">Monitoring visits </w:t>
            </w:r>
          </w:p>
        </w:tc>
        <w:tc>
          <w:tcPr>
            <w:tcW w:w="541"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2"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54"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9"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36"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8"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4"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80" w:type="dxa"/>
            <w:tcBorders>
              <w:top w:val="nil"/>
              <w:left w:val="nil"/>
              <w:bottom w:val="single" w:sz="8" w:space="0" w:color="auto"/>
              <w:right w:val="single" w:sz="8" w:space="0" w:color="auto"/>
            </w:tcBorders>
            <w:shd w:val="clear" w:color="000000" w:fill="494529"/>
            <w:noWrap/>
            <w:vAlign w:val="center"/>
            <w:hideMark/>
          </w:tcPr>
          <w:p w:rsidR="00C75F3B" w:rsidRPr="00706BD9" w:rsidRDefault="00C75F3B" w:rsidP="00DB27A2">
            <w:pPr>
              <w:spacing w:after="0" w:line="240" w:lineRule="auto"/>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 </w:t>
            </w:r>
          </w:p>
        </w:tc>
        <w:tc>
          <w:tcPr>
            <w:tcW w:w="451" w:type="dxa"/>
            <w:gridSpan w:val="2"/>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9"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36"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8"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551" w:type="dxa"/>
            <w:gridSpan w:val="2"/>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2" w:type="dxa"/>
            <w:tcBorders>
              <w:top w:val="nil"/>
              <w:left w:val="nil"/>
              <w:bottom w:val="single" w:sz="8" w:space="0" w:color="auto"/>
              <w:right w:val="single" w:sz="8" w:space="0" w:color="auto"/>
            </w:tcBorders>
            <w:shd w:val="clear" w:color="000000" w:fill="494529"/>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54"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9"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36" w:type="dxa"/>
            <w:tcBorders>
              <w:top w:val="nil"/>
              <w:left w:val="nil"/>
              <w:bottom w:val="single" w:sz="8" w:space="0" w:color="auto"/>
              <w:right w:val="single" w:sz="8" w:space="0" w:color="auto"/>
            </w:tcBorders>
            <w:shd w:val="clear" w:color="000000" w:fill="494529"/>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8"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621"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r>
      <w:tr w:rsidR="00C75F3B" w:rsidRPr="00706BD9" w:rsidTr="00DB27A2">
        <w:trPr>
          <w:trHeight w:val="70"/>
        </w:trPr>
        <w:tc>
          <w:tcPr>
            <w:tcW w:w="1702" w:type="dxa"/>
            <w:tcBorders>
              <w:top w:val="nil"/>
              <w:left w:val="single" w:sz="8" w:space="0" w:color="auto"/>
              <w:bottom w:val="single" w:sz="8" w:space="0" w:color="auto"/>
              <w:right w:val="single" w:sz="8" w:space="0" w:color="auto"/>
            </w:tcBorders>
            <w:shd w:val="clear" w:color="auto" w:fill="auto"/>
            <w:vAlign w:val="center"/>
            <w:hideMark/>
          </w:tcPr>
          <w:p w:rsidR="00C75F3B" w:rsidRDefault="00C75F3B" w:rsidP="00DB27A2">
            <w:pPr>
              <w:spacing w:after="0" w:line="240" w:lineRule="auto"/>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Close out,</w:t>
            </w:r>
          </w:p>
          <w:p w:rsidR="00C75F3B" w:rsidRPr="00706BD9" w:rsidRDefault="00C75F3B" w:rsidP="00DB27A2">
            <w:pPr>
              <w:spacing w:after="0" w:line="240" w:lineRule="auto"/>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data clean up, final report &amp; publications</w:t>
            </w:r>
          </w:p>
        </w:tc>
        <w:tc>
          <w:tcPr>
            <w:tcW w:w="541"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2"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54"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9"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36"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8"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4"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80"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b/>
                <w:bCs/>
                <w:color w:val="000000"/>
                <w:sz w:val="16"/>
                <w:szCs w:val="16"/>
                <w:lang w:val="en-ZA" w:eastAsia="en-ZA"/>
              </w:rPr>
            </w:pPr>
            <w:r w:rsidRPr="00706BD9">
              <w:rPr>
                <w:rFonts w:ascii="Calibri" w:eastAsia="Times New Roman" w:hAnsi="Calibri" w:cs="Times New Roman"/>
                <w:b/>
                <w:bCs/>
                <w:color w:val="000000"/>
                <w:sz w:val="16"/>
                <w:szCs w:val="16"/>
                <w:lang w:val="en-ZA" w:eastAsia="en-ZA"/>
              </w:rPr>
              <w:t> </w:t>
            </w:r>
          </w:p>
        </w:tc>
        <w:tc>
          <w:tcPr>
            <w:tcW w:w="451" w:type="dxa"/>
            <w:gridSpan w:val="2"/>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9"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36"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8" w:type="dxa"/>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551" w:type="dxa"/>
            <w:gridSpan w:val="2"/>
            <w:tcBorders>
              <w:top w:val="nil"/>
              <w:left w:val="nil"/>
              <w:bottom w:val="single" w:sz="8" w:space="0" w:color="auto"/>
              <w:right w:val="single" w:sz="8" w:space="0" w:color="auto"/>
            </w:tcBorders>
            <w:shd w:val="clear" w:color="000000" w:fill="FFFFFF"/>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2"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54"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49" w:type="dxa"/>
            <w:tcBorders>
              <w:top w:val="nil"/>
              <w:left w:val="nil"/>
              <w:bottom w:val="single" w:sz="8" w:space="0" w:color="auto"/>
              <w:right w:val="single" w:sz="8" w:space="0" w:color="auto"/>
            </w:tcBorders>
            <w:shd w:val="clear" w:color="auto" w:fill="auto"/>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36" w:type="dxa"/>
            <w:tcBorders>
              <w:top w:val="nil"/>
              <w:left w:val="nil"/>
              <w:bottom w:val="single" w:sz="8" w:space="0" w:color="auto"/>
              <w:right w:val="single" w:sz="8" w:space="0" w:color="auto"/>
            </w:tcBorders>
            <w:shd w:val="clear" w:color="000000" w:fill="FFFF00"/>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468" w:type="dxa"/>
            <w:tcBorders>
              <w:top w:val="nil"/>
              <w:left w:val="nil"/>
              <w:bottom w:val="single" w:sz="8" w:space="0" w:color="auto"/>
              <w:right w:val="single" w:sz="8" w:space="0" w:color="auto"/>
            </w:tcBorders>
            <w:shd w:val="clear" w:color="000000" w:fill="FFFF00"/>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c>
          <w:tcPr>
            <w:tcW w:w="621" w:type="dxa"/>
            <w:tcBorders>
              <w:top w:val="nil"/>
              <w:left w:val="nil"/>
              <w:bottom w:val="single" w:sz="8" w:space="0" w:color="auto"/>
              <w:right w:val="single" w:sz="8" w:space="0" w:color="auto"/>
            </w:tcBorders>
            <w:shd w:val="clear" w:color="000000" w:fill="FFFF00"/>
            <w:noWrap/>
            <w:vAlign w:val="center"/>
            <w:hideMark/>
          </w:tcPr>
          <w:p w:rsidR="00C75F3B" w:rsidRPr="00706BD9" w:rsidRDefault="00C75F3B" w:rsidP="00DB27A2">
            <w:pPr>
              <w:spacing w:after="0" w:line="240" w:lineRule="auto"/>
              <w:rPr>
                <w:rFonts w:ascii="Calibri" w:eastAsia="Times New Roman" w:hAnsi="Calibri" w:cs="Times New Roman"/>
                <w:color w:val="000000"/>
                <w:sz w:val="16"/>
                <w:szCs w:val="16"/>
                <w:lang w:val="en-ZA" w:eastAsia="en-ZA"/>
              </w:rPr>
            </w:pPr>
            <w:r w:rsidRPr="00706BD9">
              <w:rPr>
                <w:rFonts w:ascii="Calibri" w:eastAsia="Times New Roman" w:hAnsi="Calibri" w:cs="Times New Roman"/>
                <w:color w:val="000000"/>
                <w:sz w:val="16"/>
                <w:szCs w:val="16"/>
                <w:lang w:val="en-ZA" w:eastAsia="en-ZA"/>
              </w:rPr>
              <w:t> </w:t>
            </w:r>
          </w:p>
        </w:tc>
      </w:tr>
    </w:tbl>
    <w:p w:rsidR="00C75F3B" w:rsidRDefault="00C75F3B" w:rsidP="00207EFE">
      <w:pPr>
        <w:pStyle w:val="Protocol-maintext"/>
        <w:spacing w:line="480" w:lineRule="auto"/>
        <w:rPr>
          <w:rFonts w:ascii="Arial" w:hAnsi="Arial" w:cs="Arial"/>
          <w:sz w:val="24"/>
        </w:rPr>
      </w:pPr>
      <w:r>
        <w:rPr>
          <w:rFonts w:ascii="Arial" w:hAnsi="Arial" w:cs="Arial"/>
          <w:b/>
          <w:noProof/>
          <w:sz w:val="24"/>
          <w:lang w:eastAsia="en-GB"/>
        </w:rPr>
        <mc:AlternateContent>
          <mc:Choice Requires="wps">
            <w:drawing>
              <wp:anchor distT="0" distB="0" distL="114300" distR="114300" simplePos="0" relativeHeight="251669504" behindDoc="0" locked="0" layoutInCell="1" allowOverlap="1" wp14:anchorId="28EF38A7" wp14:editId="530FD85A">
                <wp:simplePos x="0" y="0"/>
                <wp:positionH relativeFrom="column">
                  <wp:posOffset>1625600</wp:posOffset>
                </wp:positionH>
                <wp:positionV relativeFrom="page">
                  <wp:posOffset>8972550</wp:posOffset>
                </wp:positionV>
                <wp:extent cx="2573020" cy="257810"/>
                <wp:effectExtent l="0" t="0" r="17780" b="27940"/>
                <wp:wrapNone/>
                <wp:docPr id="7" name="Rectangle 7"/>
                <wp:cNvGraphicFramePr/>
                <a:graphic xmlns:a="http://schemas.openxmlformats.org/drawingml/2006/main">
                  <a:graphicData uri="http://schemas.microsoft.com/office/word/2010/wordprocessingShape">
                    <wps:wsp>
                      <wps:cNvSpPr/>
                      <wps:spPr>
                        <a:xfrm>
                          <a:off x="0" y="0"/>
                          <a:ext cx="2573020" cy="257810"/>
                        </a:xfrm>
                        <a:prstGeom prst="rect">
                          <a:avLst/>
                        </a:prstGeom>
                        <a:solidFill>
                          <a:sysClr val="window" lastClr="FFFFFF"/>
                        </a:solidFill>
                        <a:ln w="3175" cap="flat" cmpd="sng" algn="ctr">
                          <a:solidFill>
                            <a:sysClr val="windowText" lastClr="000000"/>
                          </a:solidFill>
                          <a:prstDash val="solid"/>
                          <a:miter lim="800000"/>
                        </a:ln>
                        <a:effectLst/>
                      </wps:spPr>
                      <wps:txbx>
                        <w:txbxContent>
                          <w:p w:rsidR="002E6D34" w:rsidRPr="005103D5" w:rsidRDefault="002E6D34" w:rsidP="00706BD9">
                            <w:pPr>
                              <w:pStyle w:val="Protocol-maintext"/>
                              <w:spacing w:line="480" w:lineRule="auto"/>
                              <w:jc w:val="center"/>
                              <w:rPr>
                                <w:rFonts w:ascii="Arial" w:hAnsi="Arial" w:cs="Arial"/>
                                <w:b/>
                                <w:sz w:val="16"/>
                                <w:szCs w:val="16"/>
                              </w:rPr>
                            </w:pPr>
                            <w:r w:rsidRPr="005103D5">
                              <w:rPr>
                                <w:rFonts w:ascii="Arial" w:hAnsi="Arial" w:cs="Arial"/>
                                <w:b/>
                                <w:sz w:val="16"/>
                                <w:szCs w:val="16"/>
                              </w:rPr>
                              <w:t xml:space="preserve">Figure 2: </w:t>
                            </w:r>
                            <w:r w:rsidR="00602B20">
                              <w:rPr>
                                <w:rFonts w:ascii="Arial" w:hAnsi="Arial" w:cs="Arial"/>
                                <w:b/>
                                <w:sz w:val="16"/>
                                <w:szCs w:val="16"/>
                              </w:rPr>
                              <w:t xml:space="preserve">CREOLE </w:t>
                            </w:r>
                            <w:r w:rsidRPr="005103D5">
                              <w:rPr>
                                <w:rFonts w:ascii="Arial" w:hAnsi="Arial" w:cs="Arial"/>
                                <w:b/>
                                <w:sz w:val="16"/>
                                <w:szCs w:val="16"/>
                              </w:rPr>
                              <w:t>Timelines of the study</w:t>
                            </w:r>
                          </w:p>
                          <w:p w:rsidR="002E6D34" w:rsidRPr="00222DE3" w:rsidRDefault="002E6D34" w:rsidP="00706BD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rect w14:anchorId="28EF38A7" id="Rectangle 7" o:spid="_x0000_s1026" style="position:absolute;left:0;text-align:left;margin-left:128pt;margin-top:706.5pt;width:202.6pt;height:20.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" fillcolor="window" strokecolor="windowText" strokeweight=".25pt">
                <v:textbox>
                  <w:txbxContent>
                    <w:p w:rsidR="002E6D34" w:rsidRPr="005103D5" w:rsidRDefault="002E6D34" w:rsidP="00706BD9">
                      <w:pPr>
                        <w:pStyle w:val="Protocol-maintext"/>
                        <w:spacing w:line="480" w:lineRule="auto"/>
                        <w:jc w:val="center"/>
                        <w:rPr>
                          <w:rFonts w:ascii="Arial" w:hAnsi="Arial" w:cs="Arial"/>
                          <w:b/>
                          <w:sz w:val="16"/>
                          <w:szCs w:val="16"/>
                        </w:rPr>
                      </w:pPr>
                      <w:r w:rsidRPr="005103D5">
                        <w:rPr>
                          <w:rFonts w:ascii="Arial" w:hAnsi="Arial" w:cs="Arial"/>
                          <w:b/>
                          <w:sz w:val="16"/>
                          <w:szCs w:val="16"/>
                        </w:rPr>
                        <w:t xml:space="preserve">Figure 2: </w:t>
                      </w:r>
                      <w:r w:rsidR="00602B20">
                        <w:rPr>
                          <w:rFonts w:ascii="Arial" w:hAnsi="Arial" w:cs="Arial"/>
                          <w:b/>
                          <w:sz w:val="16"/>
                          <w:szCs w:val="16"/>
                        </w:rPr>
                        <w:t xml:space="preserve">CREOLE </w:t>
                      </w:r>
                      <w:r w:rsidRPr="005103D5">
                        <w:rPr>
                          <w:rFonts w:ascii="Arial" w:hAnsi="Arial" w:cs="Arial"/>
                          <w:b/>
                          <w:sz w:val="16"/>
                          <w:szCs w:val="16"/>
                        </w:rPr>
                        <w:t>Timelines of the study</w:t>
                      </w:r>
                    </w:p>
                    <w:p w:rsidR="002E6D34" w:rsidRPr="00222DE3" w:rsidRDefault="002E6D34" w:rsidP="00706BD9">
                      <w:pPr>
                        <w:jc w:val="center"/>
                      </w:pPr>
                    </w:p>
                  </w:txbxContent>
                </v:textbox>
                <w10:wrap anchory="page"/>
              </v:rect>
            </w:pict>
          </mc:Fallback>
        </mc:AlternateContent>
      </w:r>
    </w:p>
    <w:p w:rsidR="007E4F38" w:rsidRPr="002700AC" w:rsidRDefault="007E4F38" w:rsidP="00207EFE">
      <w:pPr>
        <w:pStyle w:val="Protocol-maintext"/>
        <w:spacing w:line="480" w:lineRule="auto"/>
        <w:rPr>
          <w:rFonts w:ascii="Arial" w:hAnsi="Arial" w:cs="Arial"/>
          <w:b/>
          <w:sz w:val="24"/>
        </w:rPr>
      </w:pPr>
      <w:r w:rsidRPr="002700AC">
        <w:rPr>
          <w:rFonts w:ascii="Arial" w:hAnsi="Arial" w:cs="Arial"/>
          <w:b/>
          <w:sz w:val="24"/>
        </w:rPr>
        <w:t>Study Population</w:t>
      </w:r>
    </w:p>
    <w:p w:rsidR="007E4F38" w:rsidRDefault="007E4F38" w:rsidP="00207EFE">
      <w:pPr>
        <w:spacing w:line="480" w:lineRule="auto"/>
        <w:jc w:val="both"/>
        <w:rPr>
          <w:rFonts w:ascii="Arial" w:hAnsi="Arial" w:cs="Arial"/>
          <w:sz w:val="24"/>
          <w:szCs w:val="24"/>
        </w:rPr>
      </w:pPr>
      <w:r w:rsidRPr="002700AC">
        <w:rPr>
          <w:rFonts w:ascii="Arial" w:hAnsi="Arial" w:cs="Arial"/>
          <w:sz w:val="24"/>
          <w:szCs w:val="24"/>
        </w:rPr>
        <w:t xml:space="preserve">The </w:t>
      </w:r>
      <w:r w:rsidR="00D433D8" w:rsidRPr="002700AC">
        <w:rPr>
          <w:rFonts w:ascii="Arial" w:hAnsi="Arial" w:cs="Arial"/>
          <w:sz w:val="24"/>
          <w:szCs w:val="24"/>
        </w:rPr>
        <w:t xml:space="preserve">enrolled patients </w:t>
      </w:r>
      <w:r w:rsidRPr="002700AC">
        <w:rPr>
          <w:rFonts w:ascii="Arial" w:hAnsi="Arial" w:cs="Arial"/>
          <w:sz w:val="24"/>
          <w:szCs w:val="24"/>
        </w:rPr>
        <w:t>are those referred to primary and secondary care in</w:t>
      </w:r>
      <w:r w:rsidR="00D27361" w:rsidRPr="002700AC">
        <w:rPr>
          <w:rFonts w:ascii="Arial" w:hAnsi="Arial" w:cs="Arial"/>
          <w:sz w:val="24"/>
          <w:szCs w:val="24"/>
        </w:rPr>
        <w:t xml:space="preserve"> the study sites</w:t>
      </w:r>
      <w:r w:rsidRPr="002700AC">
        <w:rPr>
          <w:rFonts w:ascii="Arial" w:hAnsi="Arial" w:cs="Arial"/>
          <w:sz w:val="24"/>
          <w:szCs w:val="24"/>
        </w:rPr>
        <w:t xml:space="preserve"> for </w:t>
      </w:r>
      <w:r w:rsidR="00D27361" w:rsidRPr="002700AC">
        <w:rPr>
          <w:rFonts w:ascii="Arial" w:hAnsi="Arial" w:cs="Arial"/>
          <w:sz w:val="24"/>
          <w:szCs w:val="24"/>
        </w:rPr>
        <w:t xml:space="preserve">the </w:t>
      </w:r>
      <w:r w:rsidRPr="002700AC">
        <w:rPr>
          <w:rFonts w:ascii="Arial" w:hAnsi="Arial" w:cs="Arial"/>
          <w:sz w:val="24"/>
          <w:szCs w:val="24"/>
        </w:rPr>
        <w:t>management of primary hypertension</w:t>
      </w:r>
      <w:r w:rsidR="00BE4F88" w:rsidRPr="002700AC">
        <w:rPr>
          <w:rFonts w:ascii="Arial" w:hAnsi="Arial" w:cs="Arial"/>
          <w:sz w:val="24"/>
          <w:szCs w:val="24"/>
        </w:rPr>
        <w:t xml:space="preserve"> (figure </w:t>
      </w:r>
      <w:r w:rsidR="005A048E" w:rsidRPr="002700AC">
        <w:rPr>
          <w:rFonts w:ascii="Arial" w:hAnsi="Arial" w:cs="Arial"/>
          <w:sz w:val="24"/>
          <w:szCs w:val="24"/>
        </w:rPr>
        <w:t>3</w:t>
      </w:r>
      <w:r w:rsidR="00BE4F88" w:rsidRPr="002700AC">
        <w:rPr>
          <w:rFonts w:ascii="Arial" w:hAnsi="Arial" w:cs="Arial"/>
          <w:sz w:val="24"/>
          <w:szCs w:val="24"/>
        </w:rPr>
        <w:t>).</w:t>
      </w:r>
    </w:p>
    <w:p w:rsidR="00B02DC7" w:rsidRPr="002700AC" w:rsidRDefault="00B02DC7" w:rsidP="005103D5">
      <w:pPr>
        <w:spacing w:line="480" w:lineRule="auto"/>
        <w:ind w:left="1134"/>
        <w:jc w:val="both"/>
        <w:rPr>
          <w:rFonts w:ascii="Arial" w:hAnsi="Arial" w:cs="Arial"/>
          <w:sz w:val="24"/>
          <w:szCs w:val="24"/>
        </w:rPr>
      </w:pPr>
      <w:r>
        <w:rPr>
          <w:rFonts w:ascii="Arial" w:hAnsi="Arial" w:cs="Arial"/>
          <w:noProof/>
          <w:sz w:val="24"/>
          <w:szCs w:val="24"/>
          <w:lang w:eastAsia="en-GB"/>
        </w:rPr>
        <mc:AlternateContent>
          <mc:Choice Requires="wps">
            <w:drawing>
              <wp:anchor distT="0" distB="0" distL="114300" distR="114300" simplePos="0" relativeHeight="251671552" behindDoc="0" locked="0" layoutInCell="1" allowOverlap="1" wp14:anchorId="1A8ADBBC" wp14:editId="54057583">
                <wp:simplePos x="0" y="0"/>
                <wp:positionH relativeFrom="column">
                  <wp:posOffset>1916922</wp:posOffset>
                </wp:positionH>
                <wp:positionV relativeFrom="paragraph">
                  <wp:posOffset>3415480</wp:posOffset>
                </wp:positionV>
                <wp:extent cx="2149642" cy="208547"/>
                <wp:effectExtent l="0" t="0" r="22225" b="20320"/>
                <wp:wrapNone/>
                <wp:docPr id="8" name="Rectangle 8"/>
                <wp:cNvGraphicFramePr/>
                <a:graphic xmlns:a="http://schemas.openxmlformats.org/drawingml/2006/main">
                  <a:graphicData uri="http://schemas.microsoft.com/office/word/2010/wordprocessingShape">
                    <wps:wsp>
                      <wps:cNvSpPr/>
                      <wps:spPr>
                        <a:xfrm>
                          <a:off x="0" y="0"/>
                          <a:ext cx="2149642" cy="208547"/>
                        </a:xfrm>
                        <a:prstGeom prst="rect">
                          <a:avLst/>
                        </a:prstGeom>
                        <a:solidFill>
                          <a:sysClr val="window" lastClr="FFFFFF"/>
                        </a:solidFill>
                        <a:ln w="3175" cap="flat" cmpd="sng" algn="ctr">
                          <a:solidFill>
                            <a:sysClr val="windowText" lastClr="000000"/>
                          </a:solidFill>
                          <a:prstDash val="solid"/>
                          <a:miter lim="800000"/>
                        </a:ln>
                        <a:effectLst/>
                      </wps:spPr>
                      <wps:txbx>
                        <w:txbxContent>
                          <w:p w:rsidR="002E6D34" w:rsidRPr="005103D5" w:rsidRDefault="002E6D34" w:rsidP="005103D5">
                            <w:pPr>
                              <w:ind w:left="-284"/>
                              <w:rPr>
                                <w:sz w:val="16"/>
                                <w:szCs w:val="16"/>
                              </w:rPr>
                            </w:pPr>
                            <w:r>
                              <w:rPr>
                                <w:rFonts w:ascii="Arial" w:hAnsi="Arial" w:cs="Arial"/>
                                <w:sz w:val="16"/>
                                <w:szCs w:val="16"/>
                              </w:rPr>
                              <w:t xml:space="preserve">     </w:t>
                            </w:r>
                            <w:r w:rsidRPr="005103D5">
                              <w:rPr>
                                <w:rFonts w:ascii="Arial" w:hAnsi="Arial" w:cs="Arial"/>
                                <w:sz w:val="16"/>
                                <w:szCs w:val="16"/>
                              </w:rPr>
                              <w:t>Figure 3: Study sites in Sub Saharan Africa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rect w14:anchorId="1A8ADBBC" id="Rectangle 8" o:spid="_x0000_s1027" style="position:absolute;left:0;text-align:left;margin-left:150.95pt;margin-top:268.95pt;width:169.25pt;height:16.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" fillcolor="window" strokecolor="windowText" strokeweight=".25pt">
                <v:textbox>
                  <w:txbxContent>
                    <w:p w:rsidR="002E6D34" w:rsidRPr="005103D5" w:rsidRDefault="002E6D34" w:rsidP="005103D5">
                      <w:pPr>
                        <w:ind w:left="-284"/>
                        <w:rPr>
                          <w:sz w:val="16"/>
                          <w:szCs w:val="16"/>
                        </w:rPr>
                      </w:pPr>
                      <w:r>
                        <w:rPr>
                          <w:rFonts w:ascii="Arial" w:hAnsi="Arial" w:cs="Arial"/>
                          <w:sz w:val="16"/>
                          <w:szCs w:val="16"/>
                        </w:rPr>
                        <w:t xml:space="preserve">     </w:t>
                      </w:r>
                      <w:r w:rsidRPr="005103D5">
                        <w:rPr>
                          <w:rFonts w:ascii="Arial" w:hAnsi="Arial" w:cs="Arial"/>
                          <w:sz w:val="16"/>
                          <w:szCs w:val="16"/>
                        </w:rPr>
                        <w:t>Figure 3: Study sites in Sub Saharan Africa</w:t>
                      </w:r>
                    </w:p>
                  </w:txbxContent>
                </v:textbox>
              </v:rect>
            </w:pict>
          </mc:Fallback>
        </mc:AlternateContent>
      </w:r>
      <w:r w:rsidRPr="00E57D16">
        <w:rPr>
          <w:rFonts w:ascii="Arial" w:hAnsi="Arial" w:cs="Arial"/>
          <w:noProof/>
          <w:sz w:val="24"/>
          <w:szCs w:val="24"/>
          <w:bdr w:val="single" w:sz="4" w:space="0" w:color="auto"/>
          <w:lang w:eastAsia="en-GB"/>
        </w:rPr>
        <w:drawing>
          <wp:inline distT="0" distB="0" distL="0" distR="0" wp14:anchorId="4CEBCFE8" wp14:editId="0D93DE29">
            <wp:extent cx="4459705" cy="3384550"/>
            <wp:effectExtent l="19050" t="19050" r="17145" b="25400"/>
            <wp:docPr id="9" name="Picture 9" descr="C:\Users\01411090\Google Drive\Clinical Trials\Dike Ojji\CREOLE\Publications\Africa map CREOLE sit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01411090\Google Drive\Clinical Trials\Dike Ojji\CREOLE\Publications\Africa map CREOLE sites.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87424" cy="3405586"/>
                    </a:xfrm>
                    <a:prstGeom prst="rect">
                      <a:avLst/>
                    </a:prstGeom>
                    <a:noFill/>
                    <a:ln>
                      <a:solidFill>
                        <a:sysClr val="windowText" lastClr="000000"/>
                      </a:solidFill>
                    </a:ln>
                  </pic:spPr>
                </pic:pic>
              </a:graphicData>
            </a:graphic>
          </wp:inline>
        </w:drawing>
      </w:r>
    </w:p>
    <w:p w:rsidR="00B02DC7" w:rsidRDefault="00B02DC7" w:rsidP="00207EFE">
      <w:pPr>
        <w:spacing w:line="480" w:lineRule="auto"/>
        <w:jc w:val="both"/>
        <w:rPr>
          <w:rFonts w:ascii="Arial" w:hAnsi="Arial" w:cs="Arial"/>
          <w:b/>
          <w:sz w:val="24"/>
          <w:szCs w:val="24"/>
        </w:rPr>
      </w:pPr>
    </w:p>
    <w:p w:rsidR="007E4F38" w:rsidRPr="002700AC" w:rsidRDefault="007E4F38" w:rsidP="00207EFE">
      <w:pPr>
        <w:spacing w:line="480" w:lineRule="auto"/>
        <w:jc w:val="both"/>
        <w:rPr>
          <w:rFonts w:ascii="Arial" w:hAnsi="Arial" w:cs="Arial"/>
          <w:b/>
          <w:sz w:val="24"/>
          <w:szCs w:val="24"/>
        </w:rPr>
      </w:pPr>
      <w:r w:rsidRPr="002700AC">
        <w:rPr>
          <w:rFonts w:ascii="Arial" w:hAnsi="Arial" w:cs="Arial"/>
          <w:b/>
          <w:sz w:val="24"/>
          <w:szCs w:val="24"/>
        </w:rPr>
        <w:t>Inclusion Criteria</w:t>
      </w:r>
    </w:p>
    <w:p w:rsidR="007E4F38" w:rsidRPr="002700AC" w:rsidRDefault="00830B39" w:rsidP="00207EFE">
      <w:pPr>
        <w:spacing w:line="480" w:lineRule="auto"/>
        <w:jc w:val="both"/>
        <w:rPr>
          <w:rFonts w:ascii="Arial" w:hAnsi="Arial" w:cs="Arial"/>
          <w:sz w:val="24"/>
          <w:szCs w:val="24"/>
          <w:lang w:val="en-CA"/>
        </w:rPr>
      </w:pPr>
      <w:r>
        <w:rPr>
          <w:rFonts w:ascii="Arial" w:hAnsi="Arial" w:cs="Arial"/>
          <w:sz w:val="24"/>
          <w:szCs w:val="24"/>
          <w:lang w:val="en-CA"/>
        </w:rPr>
        <w:t>Eligible patients will be a</w:t>
      </w:r>
      <w:r w:rsidR="007E4F38" w:rsidRPr="002700AC">
        <w:rPr>
          <w:rFonts w:ascii="Arial" w:hAnsi="Arial" w:cs="Arial"/>
          <w:sz w:val="24"/>
          <w:szCs w:val="24"/>
          <w:lang w:val="en-CA"/>
        </w:rPr>
        <w:t>ged 30-79 years with a sitting SBP ≥</w:t>
      </w:r>
      <w:r w:rsidR="00D27361" w:rsidRPr="002700AC">
        <w:rPr>
          <w:rFonts w:ascii="Arial" w:hAnsi="Arial" w:cs="Arial"/>
          <w:sz w:val="24"/>
          <w:szCs w:val="24"/>
          <w:lang w:val="en-CA"/>
        </w:rPr>
        <w:t xml:space="preserve">140 mm Hg and &lt; 160 mmHg on antihypertensive monotherapy, </w:t>
      </w:r>
      <w:r w:rsidR="007E4F38" w:rsidRPr="002700AC">
        <w:rPr>
          <w:rFonts w:ascii="Arial" w:hAnsi="Arial" w:cs="Arial"/>
          <w:sz w:val="24"/>
          <w:szCs w:val="24"/>
          <w:lang w:val="en-CA"/>
        </w:rPr>
        <w:t>or sitting SBP ≥ 150 mm Hg and &lt; 180 mm Hg on no antihypertensive treatment.</w:t>
      </w:r>
    </w:p>
    <w:p w:rsidR="007E4F38" w:rsidRPr="002700AC" w:rsidRDefault="007E4F38" w:rsidP="00207EFE">
      <w:pPr>
        <w:spacing w:line="480" w:lineRule="auto"/>
        <w:jc w:val="both"/>
        <w:rPr>
          <w:rFonts w:ascii="Arial" w:hAnsi="Arial" w:cs="Arial"/>
          <w:b/>
          <w:sz w:val="24"/>
          <w:szCs w:val="24"/>
        </w:rPr>
      </w:pPr>
      <w:r w:rsidRPr="002700AC">
        <w:rPr>
          <w:rFonts w:ascii="Arial" w:hAnsi="Arial" w:cs="Arial"/>
          <w:b/>
          <w:sz w:val="24"/>
          <w:szCs w:val="24"/>
        </w:rPr>
        <w:t>Exclusion Criteria</w:t>
      </w:r>
    </w:p>
    <w:p w:rsidR="007E4F38" w:rsidRPr="002700AC" w:rsidRDefault="007E4F38" w:rsidP="00207EFE">
      <w:pPr>
        <w:spacing w:line="480" w:lineRule="auto"/>
        <w:jc w:val="both"/>
        <w:rPr>
          <w:rFonts w:ascii="Arial" w:hAnsi="Arial" w:cs="Arial"/>
          <w:sz w:val="24"/>
          <w:szCs w:val="24"/>
        </w:rPr>
      </w:pPr>
      <w:r w:rsidRPr="002700AC">
        <w:rPr>
          <w:rFonts w:ascii="Arial" w:hAnsi="Arial" w:cs="Arial"/>
          <w:sz w:val="24"/>
          <w:szCs w:val="24"/>
        </w:rPr>
        <w:t xml:space="preserve">The following patients will be excluded from the study: </w:t>
      </w:r>
    </w:p>
    <w:p w:rsidR="007E4F38" w:rsidRPr="002700AC" w:rsidRDefault="007E4F38" w:rsidP="00207EFE">
      <w:pPr>
        <w:spacing w:line="480" w:lineRule="auto"/>
        <w:ind w:left="426" w:hanging="426"/>
        <w:jc w:val="both"/>
        <w:rPr>
          <w:rFonts w:ascii="Arial" w:hAnsi="Arial" w:cs="Arial"/>
          <w:sz w:val="24"/>
          <w:szCs w:val="24"/>
        </w:rPr>
      </w:pPr>
      <w:r w:rsidRPr="002700AC">
        <w:rPr>
          <w:rFonts w:ascii="Arial" w:hAnsi="Arial" w:cs="Arial"/>
          <w:sz w:val="24"/>
          <w:szCs w:val="24"/>
        </w:rPr>
        <w:t xml:space="preserve">1. </w:t>
      </w:r>
      <w:r w:rsidRPr="00830B39">
        <w:rPr>
          <w:rFonts w:ascii="Arial" w:hAnsi="Arial" w:cs="Arial"/>
          <w:sz w:val="24"/>
          <w:szCs w:val="24"/>
        </w:rPr>
        <w:t>Those</w:t>
      </w:r>
      <w:r w:rsidRPr="002700AC">
        <w:rPr>
          <w:rFonts w:ascii="Arial" w:hAnsi="Arial" w:cs="Arial"/>
          <w:sz w:val="24"/>
          <w:szCs w:val="24"/>
        </w:rPr>
        <w:t xml:space="preserve"> with clinically defined congestive heart failure </w:t>
      </w:r>
    </w:p>
    <w:p w:rsidR="007E4F38" w:rsidRPr="002700AC" w:rsidRDefault="007E4F38" w:rsidP="00207EFE">
      <w:pPr>
        <w:spacing w:line="480" w:lineRule="auto"/>
        <w:ind w:left="426" w:hanging="426"/>
        <w:jc w:val="both"/>
        <w:rPr>
          <w:rFonts w:ascii="Arial" w:hAnsi="Arial" w:cs="Arial"/>
          <w:sz w:val="24"/>
          <w:szCs w:val="24"/>
        </w:rPr>
      </w:pPr>
      <w:r w:rsidRPr="002700AC">
        <w:rPr>
          <w:rFonts w:ascii="Arial" w:hAnsi="Arial" w:cs="Arial"/>
          <w:sz w:val="24"/>
          <w:szCs w:val="24"/>
        </w:rPr>
        <w:t xml:space="preserve">2. Those </w:t>
      </w:r>
      <w:r w:rsidR="00D27361" w:rsidRPr="002700AC">
        <w:rPr>
          <w:rFonts w:ascii="Arial" w:hAnsi="Arial" w:cs="Arial"/>
          <w:sz w:val="24"/>
          <w:szCs w:val="24"/>
        </w:rPr>
        <w:t xml:space="preserve">with </w:t>
      </w:r>
      <w:r w:rsidRPr="002700AC">
        <w:rPr>
          <w:rFonts w:ascii="Arial" w:hAnsi="Arial" w:cs="Arial"/>
          <w:sz w:val="24"/>
          <w:szCs w:val="24"/>
        </w:rPr>
        <w:t>estimated glo</w:t>
      </w:r>
      <w:r w:rsidR="00D27361" w:rsidRPr="002700AC">
        <w:rPr>
          <w:rFonts w:ascii="Arial" w:hAnsi="Arial" w:cs="Arial"/>
          <w:sz w:val="24"/>
          <w:szCs w:val="24"/>
        </w:rPr>
        <w:t>merular filtration rate (eGFR) less than</w:t>
      </w:r>
      <w:r w:rsidRPr="002700AC">
        <w:rPr>
          <w:rFonts w:ascii="Arial" w:hAnsi="Arial" w:cs="Arial"/>
          <w:sz w:val="24"/>
          <w:szCs w:val="24"/>
        </w:rPr>
        <w:t xml:space="preserve"> 30 ml/min</w:t>
      </w:r>
    </w:p>
    <w:p w:rsidR="007E4F38" w:rsidRPr="002700AC" w:rsidRDefault="007E4F38" w:rsidP="00207EFE">
      <w:pPr>
        <w:spacing w:line="480" w:lineRule="auto"/>
        <w:ind w:left="426" w:hanging="426"/>
        <w:jc w:val="both"/>
        <w:rPr>
          <w:rFonts w:ascii="Arial" w:hAnsi="Arial" w:cs="Arial"/>
          <w:sz w:val="24"/>
          <w:szCs w:val="24"/>
        </w:rPr>
      </w:pPr>
      <w:r w:rsidRPr="002700AC">
        <w:rPr>
          <w:rFonts w:ascii="Arial" w:hAnsi="Arial" w:cs="Arial"/>
          <w:sz w:val="24"/>
          <w:szCs w:val="24"/>
        </w:rPr>
        <w:t xml:space="preserve">3. </w:t>
      </w:r>
      <w:r w:rsidR="00830B39">
        <w:rPr>
          <w:rFonts w:ascii="Arial" w:hAnsi="Arial" w:cs="Arial"/>
          <w:sz w:val="24"/>
          <w:szCs w:val="24"/>
        </w:rPr>
        <w:t>Those</w:t>
      </w:r>
      <w:r w:rsidR="00830B39" w:rsidRPr="00830B39">
        <w:rPr>
          <w:rFonts w:ascii="Arial" w:hAnsi="Arial" w:cs="Arial"/>
          <w:sz w:val="24"/>
          <w:szCs w:val="24"/>
        </w:rPr>
        <w:t xml:space="preserve"> </w:t>
      </w:r>
      <w:r w:rsidRPr="002700AC">
        <w:rPr>
          <w:rFonts w:ascii="Arial" w:hAnsi="Arial" w:cs="Arial"/>
          <w:sz w:val="24"/>
          <w:szCs w:val="24"/>
        </w:rPr>
        <w:t xml:space="preserve">with history of coronary heart disease including chronic stable angina, myocardial infarction or acute coronary syndrome </w:t>
      </w:r>
    </w:p>
    <w:p w:rsidR="007E4F38" w:rsidRPr="002700AC" w:rsidRDefault="007E4F38" w:rsidP="00207EFE">
      <w:pPr>
        <w:spacing w:line="480" w:lineRule="auto"/>
        <w:ind w:left="426" w:hanging="426"/>
        <w:jc w:val="both"/>
        <w:rPr>
          <w:rFonts w:ascii="Arial" w:hAnsi="Arial" w:cs="Arial"/>
          <w:sz w:val="24"/>
          <w:szCs w:val="24"/>
        </w:rPr>
      </w:pPr>
      <w:r w:rsidRPr="002700AC">
        <w:rPr>
          <w:rFonts w:ascii="Arial" w:hAnsi="Arial" w:cs="Arial"/>
          <w:sz w:val="24"/>
          <w:szCs w:val="24"/>
        </w:rPr>
        <w:t>4. Patients with a history of a stroke or transient ischaemic</w:t>
      </w:r>
      <w:r w:rsidR="00D27361" w:rsidRPr="002700AC">
        <w:rPr>
          <w:rFonts w:ascii="Arial" w:hAnsi="Arial" w:cs="Arial"/>
          <w:sz w:val="24"/>
          <w:szCs w:val="24"/>
        </w:rPr>
        <w:t xml:space="preserve"> attack</w:t>
      </w:r>
    </w:p>
    <w:p w:rsidR="007E4F38" w:rsidRPr="002700AC" w:rsidRDefault="007E4F38" w:rsidP="00207EFE">
      <w:pPr>
        <w:spacing w:line="480" w:lineRule="auto"/>
        <w:ind w:left="426" w:hanging="426"/>
        <w:jc w:val="both"/>
        <w:rPr>
          <w:rFonts w:ascii="Arial" w:hAnsi="Arial" w:cs="Arial"/>
          <w:sz w:val="24"/>
          <w:szCs w:val="24"/>
        </w:rPr>
      </w:pPr>
      <w:r w:rsidRPr="002700AC">
        <w:rPr>
          <w:rFonts w:ascii="Arial" w:hAnsi="Arial" w:cs="Arial"/>
          <w:sz w:val="24"/>
          <w:szCs w:val="24"/>
        </w:rPr>
        <w:t xml:space="preserve">5. Patients with known or suspected secondary hypertension </w:t>
      </w:r>
    </w:p>
    <w:p w:rsidR="007E4F38" w:rsidRPr="002700AC" w:rsidRDefault="007E4F38" w:rsidP="00207EFE">
      <w:pPr>
        <w:spacing w:line="480" w:lineRule="auto"/>
        <w:ind w:left="426" w:hanging="426"/>
        <w:jc w:val="both"/>
        <w:rPr>
          <w:rFonts w:ascii="Arial" w:hAnsi="Arial" w:cs="Arial"/>
          <w:sz w:val="24"/>
          <w:szCs w:val="24"/>
        </w:rPr>
      </w:pPr>
      <w:r w:rsidRPr="002700AC">
        <w:rPr>
          <w:rFonts w:ascii="Arial" w:hAnsi="Arial" w:cs="Arial"/>
          <w:sz w:val="24"/>
          <w:szCs w:val="24"/>
        </w:rPr>
        <w:t xml:space="preserve">6. Those with any other concomitant illness, physical or mental impairment that could </w:t>
      </w:r>
      <w:r w:rsidR="00A41B99" w:rsidRPr="002700AC">
        <w:rPr>
          <w:rFonts w:ascii="Arial" w:hAnsi="Arial" w:cs="Arial"/>
          <w:sz w:val="24"/>
          <w:szCs w:val="24"/>
        </w:rPr>
        <w:t xml:space="preserve">    </w:t>
      </w:r>
      <w:r w:rsidR="00314E06" w:rsidRPr="002700AC">
        <w:rPr>
          <w:rFonts w:ascii="Arial" w:hAnsi="Arial" w:cs="Arial"/>
          <w:sz w:val="24"/>
          <w:szCs w:val="24"/>
        </w:rPr>
        <w:t xml:space="preserve">  </w:t>
      </w:r>
      <w:r w:rsidRPr="002700AC">
        <w:rPr>
          <w:rFonts w:ascii="Arial" w:hAnsi="Arial" w:cs="Arial"/>
          <w:sz w:val="24"/>
          <w:szCs w:val="24"/>
        </w:rPr>
        <w:t xml:space="preserve">interfere </w:t>
      </w:r>
      <w:r w:rsidR="00D27361" w:rsidRPr="002700AC">
        <w:rPr>
          <w:rFonts w:ascii="Arial" w:hAnsi="Arial" w:cs="Arial"/>
          <w:sz w:val="24"/>
          <w:szCs w:val="24"/>
        </w:rPr>
        <w:t xml:space="preserve">  </w:t>
      </w:r>
      <w:r w:rsidRPr="002700AC">
        <w:rPr>
          <w:rFonts w:ascii="Arial" w:hAnsi="Arial" w:cs="Arial"/>
          <w:sz w:val="24"/>
          <w:szCs w:val="24"/>
        </w:rPr>
        <w:t xml:space="preserve">with the effective conduct of the study  </w:t>
      </w:r>
    </w:p>
    <w:p w:rsidR="007E4F38" w:rsidRPr="002700AC" w:rsidRDefault="007E4F38" w:rsidP="00207EFE">
      <w:pPr>
        <w:spacing w:line="480" w:lineRule="auto"/>
        <w:ind w:left="426" w:hanging="426"/>
        <w:jc w:val="both"/>
        <w:rPr>
          <w:rFonts w:ascii="Arial" w:hAnsi="Arial" w:cs="Arial"/>
          <w:sz w:val="24"/>
          <w:szCs w:val="24"/>
        </w:rPr>
      </w:pPr>
      <w:r w:rsidRPr="002700AC">
        <w:rPr>
          <w:rFonts w:ascii="Arial" w:hAnsi="Arial" w:cs="Arial"/>
          <w:sz w:val="24"/>
          <w:szCs w:val="24"/>
        </w:rPr>
        <w:t xml:space="preserve">7. Those who are pregnant or those of child-bearing age who are not taking </w:t>
      </w:r>
      <w:r w:rsidR="00314E06" w:rsidRPr="002700AC">
        <w:rPr>
          <w:rFonts w:ascii="Arial" w:hAnsi="Arial" w:cs="Arial"/>
          <w:sz w:val="24"/>
          <w:szCs w:val="24"/>
        </w:rPr>
        <w:t>reliable contraception.</w:t>
      </w:r>
      <w:r w:rsidRPr="002700AC">
        <w:rPr>
          <w:rFonts w:ascii="Arial" w:hAnsi="Arial" w:cs="Arial"/>
          <w:sz w:val="24"/>
          <w:szCs w:val="24"/>
        </w:rPr>
        <w:t xml:space="preserve"> </w:t>
      </w:r>
    </w:p>
    <w:p w:rsidR="007E4F38" w:rsidRPr="002700AC" w:rsidRDefault="007E4F38" w:rsidP="00207EFE">
      <w:pPr>
        <w:spacing w:line="480" w:lineRule="auto"/>
        <w:ind w:left="426" w:hanging="426"/>
        <w:jc w:val="both"/>
        <w:rPr>
          <w:rFonts w:ascii="Arial" w:hAnsi="Arial" w:cs="Arial"/>
          <w:sz w:val="24"/>
          <w:szCs w:val="24"/>
        </w:rPr>
      </w:pPr>
      <w:r w:rsidRPr="002700AC">
        <w:rPr>
          <w:rFonts w:ascii="Arial" w:hAnsi="Arial" w:cs="Arial"/>
          <w:sz w:val="24"/>
          <w:szCs w:val="24"/>
        </w:rPr>
        <w:t>8.  Patients with gout and serum potassium &lt; 3.5mmol/L</w:t>
      </w:r>
    </w:p>
    <w:p w:rsidR="007E4F38" w:rsidRPr="002700AC" w:rsidRDefault="007E4F38" w:rsidP="00207EFE">
      <w:pPr>
        <w:spacing w:line="480" w:lineRule="auto"/>
        <w:jc w:val="both"/>
        <w:rPr>
          <w:rFonts w:ascii="Arial" w:hAnsi="Arial" w:cs="Arial"/>
          <w:b/>
          <w:sz w:val="24"/>
          <w:szCs w:val="24"/>
          <w:lang w:val="en-CA"/>
        </w:rPr>
      </w:pPr>
      <w:r w:rsidRPr="002700AC">
        <w:rPr>
          <w:rFonts w:ascii="Arial" w:hAnsi="Arial" w:cs="Arial"/>
          <w:b/>
          <w:sz w:val="24"/>
          <w:szCs w:val="24"/>
          <w:lang w:val="en-CA"/>
        </w:rPr>
        <w:t>Primary Endpoint</w:t>
      </w:r>
    </w:p>
    <w:p w:rsidR="007E4F38" w:rsidRDefault="007E4F38" w:rsidP="00207EFE">
      <w:pPr>
        <w:spacing w:line="480" w:lineRule="auto"/>
        <w:jc w:val="both"/>
        <w:rPr>
          <w:rFonts w:ascii="Arial" w:hAnsi="Arial" w:cs="Arial"/>
          <w:sz w:val="24"/>
          <w:szCs w:val="24"/>
          <w:vertAlign w:val="superscript"/>
          <w:lang w:val="en-CA"/>
        </w:rPr>
      </w:pPr>
      <w:r w:rsidRPr="002700AC">
        <w:rPr>
          <w:rFonts w:ascii="Arial" w:hAnsi="Arial" w:cs="Arial"/>
          <w:sz w:val="24"/>
          <w:szCs w:val="24"/>
          <w:lang w:val="en-CA"/>
        </w:rPr>
        <w:t>The primary outcome measure is change in ASBP from baseline to 6 months. This will be calculated as the difference between the mean ASBP at randomization and that at the end of follow</w:t>
      </w:r>
      <w:r w:rsidR="00E63EAA">
        <w:rPr>
          <w:rFonts w:ascii="Arial" w:hAnsi="Arial" w:cs="Arial"/>
          <w:sz w:val="24"/>
          <w:szCs w:val="24"/>
          <w:lang w:val="en-CA"/>
        </w:rPr>
        <w:t xml:space="preserve"> up.  ABPM</w:t>
      </w:r>
      <w:r w:rsidRPr="002700AC">
        <w:rPr>
          <w:rFonts w:ascii="Arial" w:hAnsi="Arial" w:cs="Arial"/>
          <w:sz w:val="24"/>
          <w:szCs w:val="24"/>
          <w:lang w:val="en-CA"/>
        </w:rPr>
        <w:t xml:space="preserve"> will be used as it is a better reflection of true overall BP and </w:t>
      </w:r>
      <w:r w:rsidR="008364DF" w:rsidRPr="002700AC">
        <w:rPr>
          <w:rFonts w:ascii="Arial" w:hAnsi="Arial" w:cs="Arial"/>
          <w:sz w:val="24"/>
          <w:szCs w:val="24"/>
          <w:lang w:val="en-CA"/>
        </w:rPr>
        <w:t>there</w:t>
      </w:r>
      <w:r w:rsidR="008364DF">
        <w:rPr>
          <w:rFonts w:ascii="Arial" w:hAnsi="Arial" w:cs="Arial"/>
          <w:sz w:val="24"/>
          <w:szCs w:val="24"/>
          <w:lang w:val="en-CA"/>
        </w:rPr>
        <w:t>fore</w:t>
      </w:r>
      <w:r w:rsidR="008364DF" w:rsidRPr="002700AC">
        <w:rPr>
          <w:rFonts w:ascii="Arial" w:hAnsi="Arial" w:cs="Arial"/>
          <w:sz w:val="24"/>
          <w:szCs w:val="24"/>
          <w:lang w:val="en-CA"/>
        </w:rPr>
        <w:t xml:space="preserve"> </w:t>
      </w:r>
      <w:r w:rsidRPr="002700AC">
        <w:rPr>
          <w:rFonts w:ascii="Arial" w:hAnsi="Arial" w:cs="Arial"/>
          <w:sz w:val="24"/>
          <w:szCs w:val="24"/>
          <w:lang w:val="en-CA"/>
        </w:rPr>
        <w:t>a stronger predictor of adverse CV events than routine clinic readings</w:t>
      </w:r>
      <w:r w:rsidR="0053294D">
        <w:rPr>
          <w:rFonts w:ascii="Arial" w:hAnsi="Arial" w:cs="Arial"/>
          <w:sz w:val="24"/>
          <w:szCs w:val="24"/>
          <w:lang w:val="en-CA"/>
        </w:rPr>
        <w:t xml:space="preserve">. </w:t>
      </w:r>
      <w:r w:rsidR="0053294D" w:rsidRPr="0053294D">
        <w:rPr>
          <w:rFonts w:ascii="Arial" w:hAnsi="Arial" w:cs="Arial"/>
          <w:sz w:val="24"/>
          <w:szCs w:val="24"/>
          <w:vertAlign w:val="superscript"/>
          <w:lang w:val="en-CA"/>
        </w:rPr>
        <w:t>30,31</w:t>
      </w:r>
    </w:p>
    <w:p w:rsidR="00DD5B8F" w:rsidRPr="00B2093A" w:rsidRDefault="00DD5B8F" w:rsidP="0019361A">
      <w:pPr>
        <w:spacing w:line="480" w:lineRule="auto"/>
        <w:rPr>
          <w:rFonts w:ascii="Arial" w:eastAsiaTheme="minorHAnsi" w:hAnsi="Arial" w:cs="Arial"/>
          <w:sz w:val="24"/>
          <w:szCs w:val="24"/>
          <w:vertAlign w:val="superscript"/>
          <w:lang w:val="en-CA"/>
        </w:rPr>
      </w:pPr>
      <w:r w:rsidRPr="00B2093A">
        <w:rPr>
          <w:rFonts w:ascii="Arial" w:eastAsiaTheme="minorHAnsi" w:hAnsi="Arial" w:cs="Arial"/>
          <w:sz w:val="24"/>
          <w:szCs w:val="24"/>
          <w:lang w:val="en-CA"/>
        </w:rPr>
        <w:t>Ambulatory blood pressure will be performed with MEDITECH ABPM monitors (ABPM-</w:t>
      </w:r>
      <w:r w:rsidR="009A2B92" w:rsidRPr="00B2093A">
        <w:rPr>
          <w:rFonts w:ascii="Arial" w:eastAsiaTheme="minorHAnsi" w:hAnsi="Arial" w:cs="Arial"/>
          <w:sz w:val="24"/>
          <w:szCs w:val="24"/>
          <w:lang w:val="en-CA"/>
        </w:rPr>
        <w:t xml:space="preserve"> </w:t>
      </w:r>
      <w:r w:rsidRPr="00B2093A">
        <w:rPr>
          <w:rFonts w:ascii="Arial" w:eastAsiaTheme="minorHAnsi" w:hAnsi="Arial" w:cs="Arial"/>
          <w:sz w:val="24"/>
          <w:szCs w:val="24"/>
          <w:lang w:val="en-CA"/>
        </w:rPr>
        <w:t xml:space="preserve">05 model).  Patients will wear the ABPM device for a minimum of 24 hours with automatic readings every 30 minutes both </w:t>
      </w:r>
      <w:r w:rsidR="0019361A" w:rsidRPr="00B2093A">
        <w:rPr>
          <w:rFonts w:ascii="Arial" w:eastAsiaTheme="minorHAnsi" w:hAnsi="Arial" w:cs="Arial"/>
          <w:sz w:val="24"/>
          <w:szCs w:val="24"/>
          <w:lang w:val="en-CA"/>
        </w:rPr>
        <w:t>in the daytime and at night</w:t>
      </w:r>
      <w:r w:rsidRPr="00B2093A">
        <w:rPr>
          <w:rFonts w:ascii="Arial" w:eastAsiaTheme="minorHAnsi" w:hAnsi="Arial" w:cs="Arial"/>
          <w:sz w:val="24"/>
          <w:szCs w:val="24"/>
          <w:lang w:val="en-CA"/>
        </w:rPr>
        <w:t>.</w:t>
      </w:r>
      <w:r w:rsidR="0019361A" w:rsidRPr="00B2093A">
        <w:rPr>
          <w:rFonts w:ascii="Arial" w:eastAsiaTheme="minorHAnsi" w:hAnsi="Arial" w:cs="Arial"/>
          <w:sz w:val="24"/>
          <w:szCs w:val="24"/>
          <w:vertAlign w:val="superscript"/>
          <w:lang w:val="en-CA"/>
        </w:rPr>
        <w:t>30, 31</w:t>
      </w:r>
      <w:r w:rsidRPr="00B2093A">
        <w:rPr>
          <w:rFonts w:ascii="Arial" w:eastAsiaTheme="minorHAnsi" w:hAnsi="Arial" w:cs="Arial"/>
          <w:sz w:val="24"/>
          <w:szCs w:val="24"/>
          <w:lang w:val="en-CA"/>
        </w:rPr>
        <w:t xml:space="preserve"> Daytime will be defined as 9 AM through 9 PM, and night-time as 12 midnight through 6 AM</w:t>
      </w:r>
      <w:r w:rsidR="0019361A" w:rsidRPr="00B2093A">
        <w:rPr>
          <w:rFonts w:ascii="Arial" w:eastAsiaTheme="minorHAnsi" w:hAnsi="Arial" w:cs="Arial"/>
          <w:sz w:val="24"/>
          <w:szCs w:val="24"/>
          <w:lang w:val="en-CA"/>
        </w:rPr>
        <w:t>.</w:t>
      </w:r>
      <w:r w:rsidR="0019361A" w:rsidRPr="00B2093A">
        <w:rPr>
          <w:rFonts w:ascii="Arial" w:eastAsiaTheme="minorHAnsi" w:hAnsi="Arial" w:cs="Arial"/>
          <w:sz w:val="24"/>
          <w:szCs w:val="24"/>
          <w:vertAlign w:val="superscript"/>
          <w:lang w:val="en-CA"/>
        </w:rPr>
        <w:t>30</w:t>
      </w:r>
      <w:r w:rsidR="009A2B92" w:rsidRPr="00B2093A">
        <w:rPr>
          <w:rFonts w:ascii="Arial" w:eastAsiaTheme="minorHAnsi" w:hAnsi="Arial" w:cs="Arial"/>
          <w:sz w:val="24"/>
          <w:szCs w:val="24"/>
          <w:vertAlign w:val="superscript"/>
          <w:lang w:val="en-CA"/>
        </w:rPr>
        <w:t xml:space="preserve">    </w:t>
      </w:r>
      <w:r w:rsidRPr="00B2093A">
        <w:rPr>
          <w:rFonts w:ascii="Arial" w:eastAsiaTheme="minorHAnsi" w:hAnsi="Arial" w:cs="Arial"/>
          <w:sz w:val="24"/>
          <w:szCs w:val="24"/>
          <w:lang w:val="en-CA"/>
        </w:rPr>
        <w:t xml:space="preserve">Small, medium or large blood pressure cuffs will be utilized as appropriate on the non-dominant arm. </w:t>
      </w:r>
    </w:p>
    <w:p w:rsidR="007E4F38" w:rsidRPr="002700AC" w:rsidRDefault="007E4F38" w:rsidP="00207EFE">
      <w:pPr>
        <w:spacing w:line="480" w:lineRule="auto"/>
        <w:jc w:val="both"/>
        <w:rPr>
          <w:rFonts w:ascii="Arial" w:hAnsi="Arial" w:cs="Arial"/>
          <w:b/>
          <w:sz w:val="24"/>
          <w:szCs w:val="24"/>
          <w:lang w:val="en-CA"/>
        </w:rPr>
      </w:pPr>
      <w:r w:rsidRPr="002700AC">
        <w:rPr>
          <w:rFonts w:ascii="Arial" w:hAnsi="Arial" w:cs="Arial"/>
          <w:b/>
          <w:sz w:val="24"/>
          <w:szCs w:val="24"/>
          <w:lang w:val="en-CA"/>
        </w:rPr>
        <w:t>Secondary Endpoint</w:t>
      </w:r>
    </w:p>
    <w:p w:rsidR="007E4F38" w:rsidRPr="002700AC" w:rsidRDefault="007E4F38" w:rsidP="00207EFE">
      <w:pPr>
        <w:spacing w:after="120" w:line="480" w:lineRule="auto"/>
        <w:jc w:val="both"/>
        <w:rPr>
          <w:rFonts w:ascii="Arial" w:hAnsi="Arial" w:cs="Arial"/>
          <w:sz w:val="24"/>
          <w:szCs w:val="24"/>
        </w:rPr>
      </w:pPr>
      <w:r w:rsidRPr="002700AC">
        <w:rPr>
          <w:rFonts w:ascii="Arial" w:hAnsi="Arial" w:cs="Arial"/>
          <w:sz w:val="24"/>
          <w:szCs w:val="24"/>
        </w:rPr>
        <w:t>The secondary endpoints include:</w:t>
      </w:r>
    </w:p>
    <w:p w:rsidR="007E4F38" w:rsidRPr="002700AC" w:rsidRDefault="007E4F38" w:rsidP="00207EFE">
      <w:pPr>
        <w:spacing w:after="120" w:line="480" w:lineRule="auto"/>
        <w:ind w:left="426" w:hanging="426"/>
        <w:jc w:val="both"/>
        <w:rPr>
          <w:rFonts w:ascii="Arial" w:hAnsi="Arial" w:cs="Arial"/>
          <w:sz w:val="24"/>
          <w:szCs w:val="24"/>
          <w:lang w:val="en-CA"/>
        </w:rPr>
      </w:pPr>
      <w:r w:rsidRPr="002700AC">
        <w:rPr>
          <w:rFonts w:ascii="Arial" w:hAnsi="Arial" w:cs="Arial"/>
          <w:sz w:val="24"/>
          <w:szCs w:val="24"/>
        </w:rPr>
        <w:t xml:space="preserve">1.  Change in ADBP </w:t>
      </w:r>
      <w:r w:rsidR="0034654E" w:rsidRPr="002700AC">
        <w:rPr>
          <w:rFonts w:ascii="Arial" w:hAnsi="Arial" w:cs="Arial"/>
          <w:sz w:val="24"/>
          <w:szCs w:val="24"/>
          <w:lang w:val="en-CA"/>
        </w:rPr>
        <w:t>from baseline to 6 months</w:t>
      </w:r>
    </w:p>
    <w:p w:rsidR="007E4F38" w:rsidRPr="002700AC" w:rsidRDefault="007E4F38" w:rsidP="00207EFE">
      <w:pPr>
        <w:spacing w:after="120" w:line="480" w:lineRule="auto"/>
        <w:ind w:left="426" w:hanging="426"/>
        <w:jc w:val="both"/>
        <w:rPr>
          <w:rFonts w:ascii="Arial" w:hAnsi="Arial" w:cs="Arial"/>
          <w:sz w:val="24"/>
          <w:szCs w:val="24"/>
          <w:lang w:val="en-CA"/>
        </w:rPr>
      </w:pPr>
      <w:r w:rsidRPr="002700AC">
        <w:rPr>
          <w:rFonts w:ascii="Arial" w:hAnsi="Arial" w:cs="Arial"/>
          <w:sz w:val="24"/>
          <w:szCs w:val="24"/>
          <w:lang w:val="en-CA"/>
        </w:rPr>
        <w:t>2.  Change in clinic BP from baseline to 2, 4 and 6 months</w:t>
      </w:r>
    </w:p>
    <w:p w:rsidR="007E4F38" w:rsidRPr="002700AC" w:rsidRDefault="007E4F38" w:rsidP="00207EFE">
      <w:pPr>
        <w:spacing w:after="120" w:line="480" w:lineRule="auto"/>
        <w:ind w:left="426" w:hanging="426"/>
        <w:jc w:val="both"/>
        <w:rPr>
          <w:rFonts w:ascii="Arial" w:hAnsi="Arial" w:cs="Arial"/>
          <w:sz w:val="24"/>
          <w:szCs w:val="24"/>
        </w:rPr>
      </w:pPr>
      <w:r w:rsidRPr="002700AC">
        <w:rPr>
          <w:rFonts w:ascii="Arial" w:hAnsi="Arial" w:cs="Arial"/>
          <w:sz w:val="24"/>
          <w:szCs w:val="24"/>
          <w:lang w:val="en-CA"/>
        </w:rPr>
        <w:t xml:space="preserve">3. Change in </w:t>
      </w:r>
      <w:r w:rsidRPr="002700AC">
        <w:rPr>
          <w:rFonts w:ascii="Arial" w:hAnsi="Arial" w:cs="Arial"/>
          <w:sz w:val="24"/>
          <w:szCs w:val="24"/>
        </w:rPr>
        <w:t xml:space="preserve">daytime and night time BP measured using ABPM from baseline to 6 months </w:t>
      </w:r>
    </w:p>
    <w:p w:rsidR="007E4F38" w:rsidRPr="002700AC" w:rsidRDefault="007E4F38" w:rsidP="00207EFE">
      <w:pPr>
        <w:spacing w:after="120" w:line="480" w:lineRule="auto"/>
        <w:ind w:left="426" w:hanging="426"/>
        <w:jc w:val="both"/>
        <w:rPr>
          <w:rFonts w:ascii="Arial" w:hAnsi="Arial" w:cs="Arial"/>
          <w:sz w:val="24"/>
          <w:szCs w:val="24"/>
        </w:rPr>
      </w:pPr>
      <w:r w:rsidRPr="002700AC">
        <w:rPr>
          <w:rFonts w:ascii="Arial" w:hAnsi="Arial" w:cs="Arial"/>
          <w:sz w:val="24"/>
          <w:szCs w:val="24"/>
        </w:rPr>
        <w:t xml:space="preserve">4. BP variability also measured using ABPM  </w:t>
      </w:r>
    </w:p>
    <w:p w:rsidR="00B549AB" w:rsidRPr="002700AC" w:rsidRDefault="007E4F38" w:rsidP="00207EFE">
      <w:pPr>
        <w:spacing w:after="120" w:line="480" w:lineRule="auto"/>
        <w:ind w:left="426" w:hanging="426"/>
        <w:jc w:val="both"/>
        <w:rPr>
          <w:rFonts w:ascii="Arial" w:hAnsi="Arial" w:cs="Arial"/>
          <w:sz w:val="24"/>
          <w:szCs w:val="24"/>
          <w:lang w:val="en-CA"/>
        </w:rPr>
      </w:pPr>
      <w:r w:rsidRPr="002700AC">
        <w:rPr>
          <w:rFonts w:ascii="Arial" w:hAnsi="Arial" w:cs="Arial"/>
          <w:sz w:val="24"/>
          <w:szCs w:val="24"/>
        </w:rPr>
        <w:t xml:space="preserve">5. Proportion of patients who achieve BP control at 2, 4 and 6 months (with BP control defined </w:t>
      </w:r>
      <w:r w:rsidR="00A41B99" w:rsidRPr="002700AC">
        <w:rPr>
          <w:rFonts w:ascii="Arial" w:hAnsi="Arial" w:cs="Arial"/>
          <w:sz w:val="24"/>
          <w:szCs w:val="24"/>
        </w:rPr>
        <w:t>as less</w:t>
      </w:r>
      <w:r w:rsidR="00B549AB" w:rsidRPr="002700AC">
        <w:rPr>
          <w:rFonts w:ascii="Arial" w:hAnsi="Arial" w:cs="Arial"/>
          <w:sz w:val="24"/>
          <w:szCs w:val="24"/>
          <w:lang w:val="en-CA"/>
        </w:rPr>
        <w:t xml:space="preserve"> than140 mmHg SBP and less than </w:t>
      </w:r>
      <w:r w:rsidRPr="002700AC">
        <w:rPr>
          <w:rFonts w:ascii="Arial" w:hAnsi="Arial" w:cs="Arial"/>
          <w:sz w:val="24"/>
          <w:szCs w:val="24"/>
          <w:lang w:val="en-CA"/>
        </w:rPr>
        <w:t>90 mmHg DBP</w:t>
      </w:r>
      <w:r w:rsidR="0034654E" w:rsidRPr="002700AC">
        <w:rPr>
          <w:rFonts w:ascii="Arial" w:hAnsi="Arial" w:cs="Arial"/>
          <w:sz w:val="24"/>
          <w:szCs w:val="24"/>
          <w:lang w:val="en-CA"/>
        </w:rPr>
        <w:t>)</w:t>
      </w:r>
      <w:r w:rsidR="00B549AB" w:rsidRPr="002700AC">
        <w:rPr>
          <w:rFonts w:ascii="Arial" w:hAnsi="Arial" w:cs="Arial"/>
          <w:sz w:val="24"/>
          <w:szCs w:val="24"/>
          <w:lang w:val="en-CA"/>
        </w:rPr>
        <w:t xml:space="preserve"> </w:t>
      </w:r>
    </w:p>
    <w:p w:rsidR="00527C80" w:rsidRPr="002700AC" w:rsidRDefault="00527C80" w:rsidP="00207EFE">
      <w:pPr>
        <w:spacing w:after="120" w:line="480" w:lineRule="auto"/>
        <w:ind w:left="426" w:hanging="426"/>
        <w:jc w:val="both"/>
        <w:rPr>
          <w:rFonts w:ascii="Arial" w:hAnsi="Arial" w:cs="Arial"/>
          <w:sz w:val="24"/>
          <w:szCs w:val="24"/>
        </w:rPr>
      </w:pPr>
      <w:r w:rsidRPr="002700AC">
        <w:rPr>
          <w:rFonts w:ascii="Arial" w:hAnsi="Arial" w:cs="Arial"/>
          <w:sz w:val="24"/>
          <w:szCs w:val="24"/>
          <w:lang w:val="en-CA"/>
        </w:rPr>
        <w:t xml:space="preserve">6. </w:t>
      </w:r>
      <w:r w:rsidRPr="002700AC">
        <w:rPr>
          <w:rFonts w:ascii="Arial" w:hAnsi="Arial" w:cs="Arial"/>
          <w:sz w:val="24"/>
          <w:szCs w:val="24"/>
        </w:rPr>
        <w:t>Proportion of “responders” (</w:t>
      </w:r>
      <w:r w:rsidR="00B549AB" w:rsidRPr="002700AC">
        <w:rPr>
          <w:rFonts w:ascii="Arial" w:hAnsi="Arial" w:cs="Arial"/>
          <w:sz w:val="24"/>
          <w:szCs w:val="24"/>
        </w:rPr>
        <w:t xml:space="preserve">defined as clinic BP reduction greater than 20mmHg SBP </w:t>
      </w:r>
      <w:r w:rsidR="00A41B99" w:rsidRPr="002700AC">
        <w:rPr>
          <w:rFonts w:ascii="Arial" w:hAnsi="Arial" w:cs="Arial"/>
          <w:sz w:val="24"/>
          <w:szCs w:val="24"/>
        </w:rPr>
        <w:t xml:space="preserve">  </w:t>
      </w:r>
      <w:r w:rsidR="00B549AB" w:rsidRPr="002700AC">
        <w:rPr>
          <w:rFonts w:ascii="Arial" w:hAnsi="Arial" w:cs="Arial"/>
          <w:sz w:val="24"/>
          <w:szCs w:val="24"/>
        </w:rPr>
        <w:t xml:space="preserve">and greater than 10 mmHg </w:t>
      </w:r>
      <w:r w:rsidRPr="002700AC">
        <w:rPr>
          <w:rFonts w:ascii="Arial" w:hAnsi="Arial" w:cs="Arial"/>
          <w:sz w:val="24"/>
          <w:szCs w:val="24"/>
        </w:rPr>
        <w:t>DBP) at two, four</w:t>
      </w:r>
      <w:r w:rsidR="0034654E" w:rsidRPr="002700AC">
        <w:rPr>
          <w:rFonts w:ascii="Arial" w:hAnsi="Arial" w:cs="Arial"/>
          <w:sz w:val="24"/>
          <w:szCs w:val="24"/>
        </w:rPr>
        <w:t xml:space="preserve"> and six months</w:t>
      </w:r>
    </w:p>
    <w:p w:rsidR="007E4F38" w:rsidRPr="002700AC" w:rsidRDefault="00527C80" w:rsidP="00207EFE">
      <w:pPr>
        <w:spacing w:after="120" w:line="480" w:lineRule="auto"/>
        <w:ind w:left="426" w:hanging="426"/>
        <w:jc w:val="both"/>
        <w:rPr>
          <w:rFonts w:ascii="Arial" w:hAnsi="Arial" w:cs="Arial"/>
          <w:sz w:val="24"/>
          <w:szCs w:val="24"/>
          <w:vertAlign w:val="superscript"/>
          <w:lang w:val="en-CA"/>
        </w:rPr>
      </w:pPr>
      <w:r w:rsidRPr="002700AC">
        <w:rPr>
          <w:rFonts w:ascii="Arial" w:hAnsi="Arial" w:cs="Arial"/>
          <w:sz w:val="24"/>
          <w:szCs w:val="24"/>
          <w:lang w:val="en-CA"/>
        </w:rPr>
        <w:t>7</w:t>
      </w:r>
      <w:r w:rsidR="007E4F38" w:rsidRPr="002700AC">
        <w:rPr>
          <w:rFonts w:ascii="Arial" w:hAnsi="Arial" w:cs="Arial"/>
          <w:sz w:val="24"/>
          <w:szCs w:val="24"/>
          <w:lang w:val="en-CA"/>
        </w:rPr>
        <w:t xml:space="preserve">. Change in </w:t>
      </w:r>
      <w:r w:rsidR="007E4F38" w:rsidRPr="002700AC">
        <w:rPr>
          <w:rFonts w:ascii="Arial" w:hAnsi="Arial" w:cs="Arial"/>
          <w:sz w:val="24"/>
          <w:szCs w:val="24"/>
        </w:rPr>
        <w:t xml:space="preserve">micro- and macro-albuminuria measured </w:t>
      </w:r>
      <w:r w:rsidR="007E4F38" w:rsidRPr="002700AC">
        <w:rPr>
          <w:rFonts w:ascii="Arial" w:hAnsi="Arial" w:cs="Arial"/>
          <w:sz w:val="24"/>
          <w:szCs w:val="24"/>
          <w:lang w:val="en-CA"/>
        </w:rPr>
        <w:t>using spot urine at baseline and 6 months</w:t>
      </w:r>
    </w:p>
    <w:p w:rsidR="007E4F38" w:rsidRPr="002700AC" w:rsidRDefault="00527C80" w:rsidP="00207EFE">
      <w:pPr>
        <w:spacing w:after="120" w:line="480" w:lineRule="auto"/>
        <w:ind w:left="426" w:hanging="426"/>
        <w:jc w:val="both"/>
        <w:rPr>
          <w:rFonts w:ascii="Arial" w:hAnsi="Arial" w:cs="Arial"/>
          <w:sz w:val="24"/>
          <w:szCs w:val="24"/>
        </w:rPr>
      </w:pPr>
      <w:r w:rsidRPr="002700AC">
        <w:rPr>
          <w:rFonts w:ascii="Arial" w:hAnsi="Arial" w:cs="Arial"/>
          <w:sz w:val="24"/>
          <w:szCs w:val="24"/>
          <w:lang w:val="en-CA"/>
        </w:rPr>
        <w:t>8</w:t>
      </w:r>
      <w:r w:rsidR="007E4F38" w:rsidRPr="002700AC">
        <w:rPr>
          <w:rFonts w:ascii="Arial" w:hAnsi="Arial" w:cs="Arial"/>
          <w:sz w:val="24"/>
          <w:szCs w:val="24"/>
          <w:lang w:val="en-CA"/>
        </w:rPr>
        <w:t xml:space="preserve">. Changes in </w:t>
      </w:r>
      <w:r w:rsidR="007E4F38" w:rsidRPr="002700AC">
        <w:rPr>
          <w:rFonts w:ascii="Arial" w:hAnsi="Arial" w:cs="Arial"/>
          <w:sz w:val="24"/>
          <w:szCs w:val="24"/>
        </w:rPr>
        <w:t>fasting blood glucose concentration, fasting lipid profile, serum sodium</w:t>
      </w:r>
      <w:r w:rsidR="00314E06" w:rsidRPr="002700AC">
        <w:rPr>
          <w:rFonts w:ascii="Arial" w:hAnsi="Arial" w:cs="Arial"/>
          <w:sz w:val="24"/>
          <w:szCs w:val="24"/>
        </w:rPr>
        <w:t>, potassium</w:t>
      </w:r>
      <w:r w:rsidR="007E4F38" w:rsidRPr="002700AC">
        <w:rPr>
          <w:rFonts w:ascii="Arial" w:hAnsi="Arial" w:cs="Arial"/>
          <w:sz w:val="24"/>
          <w:szCs w:val="24"/>
        </w:rPr>
        <w:t xml:space="preserve"> urea, creatinine and eGFR from baseline to 6 months</w:t>
      </w:r>
    </w:p>
    <w:p w:rsidR="007E4F38" w:rsidRPr="002700AC" w:rsidRDefault="00527C80" w:rsidP="00207EFE">
      <w:pPr>
        <w:spacing w:line="480" w:lineRule="auto"/>
        <w:ind w:left="426" w:hanging="426"/>
        <w:jc w:val="both"/>
        <w:rPr>
          <w:rFonts w:ascii="Arial" w:hAnsi="Arial" w:cs="Arial"/>
          <w:sz w:val="24"/>
          <w:szCs w:val="24"/>
        </w:rPr>
      </w:pPr>
      <w:r w:rsidRPr="002700AC">
        <w:rPr>
          <w:rFonts w:ascii="Arial" w:hAnsi="Arial" w:cs="Arial"/>
          <w:sz w:val="24"/>
          <w:szCs w:val="24"/>
        </w:rPr>
        <w:t>9</w:t>
      </w:r>
      <w:r w:rsidR="007E4F38" w:rsidRPr="002700AC">
        <w:rPr>
          <w:rFonts w:ascii="Arial" w:hAnsi="Arial" w:cs="Arial"/>
          <w:sz w:val="24"/>
          <w:szCs w:val="24"/>
        </w:rPr>
        <w:t xml:space="preserve">. Adverse events causing permanent discontinuation of trial therapy </w:t>
      </w:r>
    </w:p>
    <w:p w:rsidR="007E4F38" w:rsidRPr="002700AC" w:rsidRDefault="00BE4F88" w:rsidP="00207EFE">
      <w:pPr>
        <w:spacing w:line="480" w:lineRule="auto"/>
        <w:jc w:val="both"/>
        <w:rPr>
          <w:rFonts w:ascii="Arial" w:hAnsi="Arial" w:cs="Arial"/>
          <w:b/>
          <w:sz w:val="24"/>
          <w:szCs w:val="24"/>
        </w:rPr>
      </w:pPr>
      <w:r w:rsidRPr="002700AC">
        <w:rPr>
          <w:rFonts w:ascii="Arial" w:hAnsi="Arial" w:cs="Arial"/>
          <w:b/>
          <w:sz w:val="24"/>
          <w:szCs w:val="24"/>
        </w:rPr>
        <w:t>STATISTICAL CONSIDERATIONS AND STUDY SIZE</w:t>
      </w:r>
    </w:p>
    <w:p w:rsidR="007E4F38" w:rsidRPr="002700AC" w:rsidRDefault="007E4F38" w:rsidP="00207EFE">
      <w:pPr>
        <w:spacing w:line="480" w:lineRule="auto"/>
        <w:jc w:val="both"/>
        <w:rPr>
          <w:rFonts w:ascii="Arial" w:hAnsi="Arial" w:cs="Arial"/>
          <w:b/>
          <w:sz w:val="24"/>
          <w:szCs w:val="24"/>
        </w:rPr>
      </w:pPr>
      <w:r w:rsidRPr="002700AC">
        <w:rPr>
          <w:rFonts w:ascii="Arial" w:hAnsi="Arial" w:cs="Arial"/>
          <w:b/>
          <w:sz w:val="24"/>
          <w:szCs w:val="24"/>
        </w:rPr>
        <w:t>Power of the study</w:t>
      </w:r>
    </w:p>
    <w:p w:rsidR="007E4F38" w:rsidRPr="002700AC" w:rsidRDefault="007E4F38" w:rsidP="00207EFE">
      <w:pPr>
        <w:shd w:val="clear" w:color="auto" w:fill="FFFFFF"/>
        <w:spacing w:line="480" w:lineRule="auto"/>
        <w:jc w:val="both"/>
        <w:rPr>
          <w:rFonts w:ascii="Arial" w:hAnsi="Arial" w:cs="Arial"/>
          <w:color w:val="000000"/>
          <w:sz w:val="24"/>
          <w:szCs w:val="24"/>
          <w:lang w:val="en-US"/>
        </w:rPr>
      </w:pPr>
      <w:r w:rsidRPr="002700AC">
        <w:rPr>
          <w:rFonts w:ascii="Arial" w:hAnsi="Arial" w:cs="Arial"/>
          <w:iCs/>
          <w:color w:val="000000"/>
          <w:sz w:val="24"/>
          <w:szCs w:val="24"/>
          <w:lang w:val="en-CA"/>
        </w:rPr>
        <w:t>The sample size calculation is based on detecting a 3.0mmHg difference in the 24-hour mean ASBP assuming a standard deviation in 24</w:t>
      </w:r>
      <w:r w:rsidR="008364DF">
        <w:rPr>
          <w:rFonts w:ascii="Arial" w:hAnsi="Arial" w:cs="Arial"/>
          <w:iCs/>
          <w:color w:val="000000"/>
          <w:sz w:val="24"/>
          <w:szCs w:val="24"/>
          <w:lang w:val="en-CA"/>
        </w:rPr>
        <w:t>-</w:t>
      </w:r>
      <w:r w:rsidRPr="002700AC">
        <w:rPr>
          <w:rFonts w:ascii="Arial" w:hAnsi="Arial" w:cs="Arial"/>
          <w:iCs/>
          <w:color w:val="000000"/>
          <w:sz w:val="24"/>
          <w:szCs w:val="24"/>
          <w:lang w:val="en-CA"/>
        </w:rPr>
        <w:t xml:space="preserve">hour ASBP of 9 mmHg. By recruiting a </w:t>
      </w:r>
      <w:r w:rsidR="00BE2316">
        <w:rPr>
          <w:rFonts w:ascii="Arial" w:hAnsi="Arial" w:cs="Arial"/>
          <w:iCs/>
          <w:color w:val="000000"/>
          <w:sz w:val="24"/>
          <w:szCs w:val="24"/>
          <w:lang w:val="en-CA"/>
        </w:rPr>
        <w:t>total of 702 participants (234</w:t>
      </w:r>
      <w:r w:rsidRPr="002700AC">
        <w:rPr>
          <w:rFonts w:ascii="Arial" w:hAnsi="Arial" w:cs="Arial"/>
          <w:iCs/>
          <w:color w:val="000000"/>
          <w:sz w:val="24"/>
          <w:szCs w:val="24"/>
          <w:lang w:val="en-CA"/>
        </w:rPr>
        <w:t xml:space="preserve"> partic</w:t>
      </w:r>
      <w:r w:rsidR="00BE2316">
        <w:rPr>
          <w:rFonts w:ascii="Arial" w:hAnsi="Arial" w:cs="Arial"/>
          <w:iCs/>
          <w:color w:val="000000"/>
          <w:sz w:val="24"/>
          <w:szCs w:val="24"/>
          <w:lang w:val="en-CA"/>
        </w:rPr>
        <w:t xml:space="preserve">ipants per group), </w:t>
      </w:r>
      <w:r w:rsidR="004B6E9E">
        <w:rPr>
          <w:rFonts w:ascii="Arial" w:hAnsi="Arial" w:cs="Arial"/>
          <w:iCs/>
          <w:color w:val="000000"/>
          <w:sz w:val="24"/>
          <w:szCs w:val="24"/>
          <w:lang w:val="en-CA"/>
        </w:rPr>
        <w:t xml:space="preserve">in order to achieve </w:t>
      </w:r>
      <w:r w:rsidR="00BE2316">
        <w:rPr>
          <w:rFonts w:ascii="Arial" w:hAnsi="Arial" w:cs="Arial"/>
          <w:iCs/>
          <w:color w:val="000000"/>
          <w:sz w:val="24"/>
          <w:szCs w:val="24"/>
          <w:lang w:val="en-CA"/>
        </w:rPr>
        <w:t>a total of 21</w:t>
      </w:r>
      <w:r w:rsidRPr="002700AC">
        <w:rPr>
          <w:rFonts w:ascii="Arial" w:hAnsi="Arial" w:cs="Arial"/>
          <w:iCs/>
          <w:color w:val="000000"/>
          <w:sz w:val="24"/>
          <w:szCs w:val="24"/>
          <w:lang w:val="en-CA"/>
        </w:rPr>
        <w:t>0 evaluable participants per group (assuming a 10% dropout rate).  This will prov</w:t>
      </w:r>
      <w:r w:rsidR="00BE2316">
        <w:rPr>
          <w:rFonts w:ascii="Arial" w:hAnsi="Arial" w:cs="Arial"/>
          <w:iCs/>
          <w:color w:val="000000"/>
          <w:sz w:val="24"/>
          <w:szCs w:val="24"/>
          <w:lang w:val="en-CA"/>
        </w:rPr>
        <w:t>ide the trial with a power of 84</w:t>
      </w:r>
      <w:r w:rsidRPr="002700AC">
        <w:rPr>
          <w:rFonts w:ascii="Arial" w:hAnsi="Arial" w:cs="Arial"/>
          <w:iCs/>
          <w:color w:val="000000"/>
          <w:sz w:val="24"/>
          <w:szCs w:val="24"/>
          <w:lang w:val="en-CA"/>
        </w:rPr>
        <w:t>% at a significance level of 5%.</w:t>
      </w:r>
    </w:p>
    <w:p w:rsidR="007E4F38" w:rsidRPr="002700AC" w:rsidRDefault="007E4F38" w:rsidP="00207EFE">
      <w:pPr>
        <w:spacing w:after="120" w:line="480" w:lineRule="auto"/>
        <w:ind w:left="-28"/>
        <w:jc w:val="both"/>
        <w:rPr>
          <w:rFonts w:ascii="Arial" w:hAnsi="Arial" w:cs="Arial"/>
          <w:b/>
          <w:sz w:val="24"/>
          <w:szCs w:val="24"/>
          <w:lang w:val="en-CA"/>
        </w:rPr>
      </w:pPr>
      <w:r w:rsidRPr="002700AC">
        <w:rPr>
          <w:rFonts w:ascii="Arial" w:hAnsi="Arial" w:cs="Arial"/>
          <w:b/>
          <w:sz w:val="24"/>
          <w:szCs w:val="24"/>
          <w:lang w:val="en-CA"/>
        </w:rPr>
        <w:t>Statistical Analysis</w:t>
      </w:r>
    </w:p>
    <w:p w:rsidR="007E4F38" w:rsidRPr="004A3250" w:rsidRDefault="00D433D8" w:rsidP="00207EFE">
      <w:pPr>
        <w:spacing w:line="480" w:lineRule="auto"/>
        <w:contextualSpacing/>
        <w:jc w:val="both"/>
        <w:rPr>
          <w:rFonts w:ascii="Arial" w:hAnsi="Arial" w:cs="Arial"/>
          <w:b/>
          <w:sz w:val="24"/>
          <w:szCs w:val="24"/>
          <w:lang w:val="en-CA"/>
        </w:rPr>
      </w:pPr>
      <w:r w:rsidRPr="002700AC">
        <w:rPr>
          <w:rFonts w:ascii="Arial" w:hAnsi="Arial" w:cs="Arial"/>
          <w:sz w:val="24"/>
          <w:szCs w:val="24"/>
          <w:lang w:val="en-CA"/>
        </w:rPr>
        <w:t>Mean differences among the three</w:t>
      </w:r>
      <w:r w:rsidR="007E4F38" w:rsidRPr="002700AC">
        <w:rPr>
          <w:rFonts w:ascii="Arial" w:hAnsi="Arial" w:cs="Arial"/>
          <w:sz w:val="24"/>
          <w:szCs w:val="24"/>
          <w:lang w:val="en-CA"/>
        </w:rPr>
        <w:t xml:space="preserve"> randomised groups will be analysed using the analysis of variance (ANOVA) test, and if required, the Turkey post-hoc test, and differences in proportions using the </w:t>
      </w:r>
      <w:r w:rsidR="007E4F38" w:rsidRPr="002700AC">
        <w:rPr>
          <w:rFonts w:ascii="Arial" w:hAnsi="Arial" w:cs="Arial"/>
          <w:sz w:val="24"/>
          <w:szCs w:val="24"/>
          <w:lang w:val="en-CA"/>
        </w:rPr>
        <w:sym w:font="Symbol" w:char="F063"/>
      </w:r>
      <w:r w:rsidR="00830B39" w:rsidRPr="00830B39">
        <w:rPr>
          <w:rFonts w:ascii="Arial" w:hAnsi="Arial" w:cs="Arial"/>
          <w:sz w:val="24"/>
          <w:szCs w:val="24"/>
          <w:vertAlign w:val="superscript"/>
          <w:lang w:val="en-CA"/>
        </w:rPr>
        <w:t>2</w:t>
      </w:r>
      <w:r w:rsidR="007E4F38" w:rsidRPr="002700AC">
        <w:rPr>
          <w:rFonts w:ascii="Arial" w:hAnsi="Arial" w:cs="Arial"/>
          <w:sz w:val="24"/>
          <w:szCs w:val="24"/>
          <w:lang w:val="en-CA"/>
        </w:rPr>
        <w:t>test, or Fisher exact test, as appropriate. These analyses will include comparison of absolute 24-hour ASBP values, 24-hour blood pressure variability, mean night-time and day-time ambulatory BP,</w:t>
      </w:r>
      <w:r w:rsidR="007E4F38" w:rsidRPr="002700AC" w:rsidDel="00210826">
        <w:rPr>
          <w:rFonts w:ascii="Arial" w:hAnsi="Arial" w:cs="Arial"/>
          <w:sz w:val="24"/>
          <w:szCs w:val="24"/>
          <w:lang w:val="en-CA"/>
        </w:rPr>
        <w:t xml:space="preserve"> </w:t>
      </w:r>
      <w:r w:rsidR="007E4F38" w:rsidRPr="002700AC">
        <w:rPr>
          <w:rFonts w:ascii="Arial" w:hAnsi="Arial" w:cs="Arial"/>
          <w:sz w:val="24"/>
          <w:szCs w:val="24"/>
          <w:lang w:val="en-CA"/>
        </w:rPr>
        <w:t xml:space="preserve">rates of BP control and BP response, clinic systolic and diastolic BPs, and other variables. Analyses at two and six months will also be conducted using the Mixed Model Repeated Measures (MMRM). </w:t>
      </w:r>
      <w:r w:rsidR="004A3250" w:rsidRPr="004A3250">
        <w:rPr>
          <w:rFonts w:ascii="Arial" w:hAnsi="Arial" w:cs="Arial"/>
          <w:b/>
          <w:color w:val="222222"/>
          <w:sz w:val="24"/>
          <w:szCs w:val="24"/>
          <w:shd w:val="clear" w:color="auto" w:fill="FFFFFF"/>
        </w:rPr>
        <w:t>A sensitivity analysis will be conducted excluding blood pressure values from those on non-trial agents a six months with a carry forward of four month blood pressures.</w:t>
      </w:r>
      <w:r w:rsidR="004A3250" w:rsidRPr="004A3250">
        <w:rPr>
          <w:rFonts w:ascii="Arial" w:hAnsi="Arial" w:cs="Arial"/>
          <w:b/>
          <w:sz w:val="24"/>
          <w:szCs w:val="24"/>
          <w:lang w:val="en-CA"/>
        </w:rPr>
        <w:t xml:space="preserve"> </w:t>
      </w:r>
      <w:r w:rsidR="007E4F38" w:rsidRPr="002700AC">
        <w:rPr>
          <w:rFonts w:ascii="Arial" w:hAnsi="Arial" w:cs="Arial"/>
          <w:sz w:val="24"/>
          <w:szCs w:val="24"/>
          <w:lang w:val="en-CA"/>
        </w:rPr>
        <w:t>Multiple linear regression analysis and logistic regression analysis will be conducted to determine variables associated with continuous or binary outcomes respectively.</w:t>
      </w:r>
      <w:r w:rsidR="004A3250" w:rsidRPr="004A3250">
        <w:rPr>
          <w:rFonts w:ascii="Arial" w:hAnsi="Arial" w:cs="Arial"/>
          <w:bCs/>
          <w:color w:val="000000" w:themeColor="text1"/>
          <w:sz w:val="24"/>
          <w:szCs w:val="24"/>
          <w:lang w:val="en-CA"/>
        </w:rPr>
        <w:t xml:space="preserve"> </w:t>
      </w:r>
      <w:r w:rsidR="004A3250" w:rsidRPr="004A3250">
        <w:rPr>
          <w:rFonts w:ascii="Arial" w:hAnsi="Arial" w:cs="Arial"/>
          <w:b/>
          <w:bCs/>
          <w:color w:val="000000" w:themeColor="text1"/>
          <w:sz w:val="24"/>
          <w:szCs w:val="24"/>
          <w:lang w:val="en-CA"/>
        </w:rPr>
        <w:t>Analysis will be further stratified by presence or absence of diabetes mellitus, and age less than &lt; 55 years versus 55 years and above.</w:t>
      </w:r>
      <w:r w:rsidR="004A3250" w:rsidRPr="004A3250">
        <w:rPr>
          <w:rFonts w:ascii="Arial" w:hAnsi="Arial" w:cs="Arial"/>
          <w:b/>
          <w:sz w:val="24"/>
          <w:szCs w:val="24"/>
          <w:lang w:val="en-CA"/>
        </w:rPr>
        <w:t xml:space="preserve"> </w:t>
      </w:r>
      <w:r w:rsidR="007E4F38" w:rsidRPr="004A3250">
        <w:rPr>
          <w:rFonts w:ascii="Arial" w:hAnsi="Arial" w:cs="Arial"/>
          <w:b/>
          <w:sz w:val="24"/>
          <w:szCs w:val="24"/>
          <w:lang w:val="en-CA"/>
        </w:rPr>
        <w:t xml:space="preserve"> The Stata (TX, USA) statistical software will be used for data analysis. </w:t>
      </w:r>
    </w:p>
    <w:p w:rsidR="007E4F38" w:rsidRPr="002700AC" w:rsidRDefault="007E4F38" w:rsidP="00207EFE">
      <w:pPr>
        <w:spacing w:after="120" w:line="480" w:lineRule="auto"/>
        <w:contextualSpacing/>
        <w:jc w:val="both"/>
        <w:rPr>
          <w:rFonts w:ascii="Arial" w:hAnsi="Arial" w:cs="Arial"/>
          <w:b/>
          <w:sz w:val="24"/>
          <w:szCs w:val="24"/>
          <w:lang w:val="en-CA"/>
        </w:rPr>
      </w:pPr>
      <w:r w:rsidRPr="002700AC">
        <w:rPr>
          <w:rFonts w:ascii="Arial" w:hAnsi="Arial" w:cs="Arial"/>
          <w:b/>
          <w:sz w:val="24"/>
          <w:szCs w:val="24"/>
          <w:lang w:val="en-CA"/>
        </w:rPr>
        <w:t>Analysis of Missing Outcome Data</w:t>
      </w:r>
    </w:p>
    <w:p w:rsidR="007E4F38" w:rsidRPr="002700AC" w:rsidRDefault="007E4F38" w:rsidP="00207EFE">
      <w:pPr>
        <w:spacing w:line="480" w:lineRule="auto"/>
        <w:jc w:val="both"/>
        <w:rPr>
          <w:rFonts w:ascii="Arial" w:hAnsi="Arial" w:cs="Arial"/>
          <w:color w:val="000000"/>
          <w:sz w:val="24"/>
          <w:szCs w:val="24"/>
          <w:shd w:val="clear" w:color="auto" w:fill="FFFFFF"/>
        </w:rPr>
      </w:pPr>
      <w:r w:rsidRPr="002700AC">
        <w:rPr>
          <w:rFonts w:ascii="Arial" w:hAnsi="Arial" w:cs="Arial"/>
          <w:sz w:val="24"/>
          <w:szCs w:val="24"/>
          <w:lang w:val="en-CA"/>
        </w:rPr>
        <w:t>The analysis will be conducted according to the intention</w:t>
      </w:r>
      <w:r w:rsidR="008364DF">
        <w:rPr>
          <w:rFonts w:ascii="Arial" w:hAnsi="Arial" w:cs="Arial"/>
          <w:sz w:val="24"/>
          <w:szCs w:val="24"/>
          <w:lang w:val="en-CA"/>
        </w:rPr>
        <w:t>-</w:t>
      </w:r>
      <w:r w:rsidRPr="002700AC">
        <w:rPr>
          <w:rFonts w:ascii="Arial" w:hAnsi="Arial" w:cs="Arial"/>
          <w:sz w:val="24"/>
          <w:szCs w:val="24"/>
          <w:lang w:val="en-CA"/>
        </w:rPr>
        <w:t>to</w:t>
      </w:r>
      <w:r w:rsidR="008364DF">
        <w:rPr>
          <w:rFonts w:ascii="Arial" w:hAnsi="Arial" w:cs="Arial"/>
          <w:sz w:val="24"/>
          <w:szCs w:val="24"/>
          <w:lang w:val="en-CA"/>
        </w:rPr>
        <w:t>-</w:t>
      </w:r>
      <w:r w:rsidRPr="002700AC">
        <w:rPr>
          <w:rFonts w:ascii="Arial" w:hAnsi="Arial" w:cs="Arial"/>
          <w:sz w:val="24"/>
          <w:szCs w:val="24"/>
          <w:lang w:val="en-CA"/>
        </w:rPr>
        <w:t xml:space="preserve">treat principle, meaning that participants will be analysed in the groups to which they will have been randomised regardless of compliance with the protocol. Patients who have discontinued study drug will be invited to attend scheduled clinic visits. If the subject does not attend study visits, follow up will be attempted by telephone or email to obtain information regarding study outcomes and adverse events. </w:t>
      </w:r>
      <w:r w:rsidRPr="002700AC">
        <w:rPr>
          <w:rFonts w:ascii="Arial" w:hAnsi="Arial" w:cs="Arial"/>
          <w:color w:val="000000"/>
          <w:sz w:val="24"/>
          <w:szCs w:val="24"/>
          <w:shd w:val="clear" w:color="auto" w:fill="FFFFFF"/>
        </w:rPr>
        <w:t xml:space="preserve">Imputation of some missing data will be carried out subsequently for sensitivity analyses of ABPM values, height, weight and laboratory values using the multiple imputation technique. </w:t>
      </w:r>
    </w:p>
    <w:p w:rsidR="007E4F38" w:rsidRPr="002700AC" w:rsidRDefault="00BE4F88" w:rsidP="00207EFE">
      <w:pPr>
        <w:spacing w:line="480" w:lineRule="auto"/>
        <w:jc w:val="both"/>
        <w:rPr>
          <w:rFonts w:ascii="Arial" w:hAnsi="Arial" w:cs="Arial"/>
          <w:sz w:val="24"/>
          <w:szCs w:val="24"/>
        </w:rPr>
      </w:pPr>
      <w:r w:rsidRPr="002700AC">
        <w:rPr>
          <w:rFonts w:ascii="Arial" w:hAnsi="Arial" w:cs="Arial"/>
          <w:b/>
          <w:color w:val="000000"/>
          <w:sz w:val="24"/>
          <w:szCs w:val="24"/>
          <w:shd w:val="clear" w:color="auto" w:fill="FFFFFF"/>
        </w:rPr>
        <w:t xml:space="preserve">ETHICAL </w:t>
      </w:r>
      <w:r w:rsidRPr="002700AC">
        <w:rPr>
          <w:rFonts w:ascii="Arial" w:hAnsi="Arial" w:cs="Arial"/>
          <w:b/>
          <w:sz w:val="24"/>
          <w:szCs w:val="24"/>
        </w:rPr>
        <w:t>PRINCIPLES</w:t>
      </w:r>
    </w:p>
    <w:p w:rsidR="007E4F38" w:rsidRPr="002700AC" w:rsidRDefault="00D433D8" w:rsidP="00207EFE">
      <w:pPr>
        <w:spacing w:line="480" w:lineRule="auto"/>
        <w:jc w:val="both"/>
        <w:rPr>
          <w:rFonts w:ascii="Arial" w:hAnsi="Arial" w:cs="Arial"/>
          <w:sz w:val="24"/>
          <w:szCs w:val="24"/>
          <w:lang w:val="en-CA"/>
        </w:rPr>
      </w:pPr>
      <w:r w:rsidRPr="002700AC">
        <w:rPr>
          <w:rFonts w:ascii="Arial" w:hAnsi="Arial" w:cs="Arial"/>
          <w:sz w:val="24"/>
          <w:szCs w:val="24"/>
        </w:rPr>
        <w:t>The study is</w:t>
      </w:r>
      <w:r w:rsidR="007E4F38" w:rsidRPr="002700AC">
        <w:rPr>
          <w:rFonts w:ascii="Arial" w:hAnsi="Arial" w:cs="Arial"/>
          <w:sz w:val="24"/>
          <w:szCs w:val="24"/>
        </w:rPr>
        <w:t xml:space="preserve"> conducted in accordance with the guidelines laid down by the International Conference on Harmonisation for Good Clinical Practice. </w:t>
      </w:r>
      <w:r w:rsidRPr="002700AC">
        <w:rPr>
          <w:rFonts w:ascii="Arial" w:hAnsi="Arial" w:cs="Arial"/>
          <w:sz w:val="24"/>
          <w:szCs w:val="24"/>
          <w:lang w:val="en-CA"/>
        </w:rPr>
        <w:t xml:space="preserve">All investigators </w:t>
      </w:r>
      <w:r w:rsidR="007E4F38" w:rsidRPr="002700AC">
        <w:rPr>
          <w:rFonts w:ascii="Arial" w:hAnsi="Arial" w:cs="Arial"/>
          <w:sz w:val="24"/>
          <w:szCs w:val="24"/>
          <w:lang w:val="en-CA"/>
        </w:rPr>
        <w:t>obtain</w:t>
      </w:r>
      <w:r w:rsidR="00830B39">
        <w:rPr>
          <w:rFonts w:ascii="Arial" w:hAnsi="Arial" w:cs="Arial"/>
          <w:sz w:val="24"/>
          <w:szCs w:val="24"/>
          <w:lang w:val="en-CA"/>
        </w:rPr>
        <w:t>ed</w:t>
      </w:r>
      <w:r w:rsidR="007E4F38" w:rsidRPr="002700AC">
        <w:rPr>
          <w:rFonts w:ascii="Arial" w:hAnsi="Arial" w:cs="Arial"/>
          <w:sz w:val="24"/>
          <w:szCs w:val="24"/>
          <w:lang w:val="en-CA"/>
        </w:rPr>
        <w:t xml:space="preserve"> ethical approval from their local institutional review boards which are affiliates of their national review b</w:t>
      </w:r>
      <w:r w:rsidRPr="002700AC">
        <w:rPr>
          <w:rFonts w:ascii="Arial" w:hAnsi="Arial" w:cs="Arial"/>
          <w:sz w:val="24"/>
          <w:szCs w:val="24"/>
          <w:lang w:val="en-CA"/>
        </w:rPr>
        <w:t>oards. Eligible patients are</w:t>
      </w:r>
      <w:r w:rsidR="007E4F38" w:rsidRPr="002700AC">
        <w:rPr>
          <w:rFonts w:ascii="Arial" w:hAnsi="Arial" w:cs="Arial"/>
          <w:sz w:val="24"/>
          <w:szCs w:val="24"/>
          <w:lang w:val="en-CA"/>
        </w:rPr>
        <w:t xml:space="preserve"> approached regarding potential participation in the study, and the study purpose, procedures, risks</w:t>
      </w:r>
      <w:r w:rsidRPr="002700AC">
        <w:rPr>
          <w:rFonts w:ascii="Arial" w:hAnsi="Arial" w:cs="Arial"/>
          <w:sz w:val="24"/>
          <w:szCs w:val="24"/>
          <w:lang w:val="en-CA"/>
        </w:rPr>
        <w:t>, and potential benefits</w:t>
      </w:r>
      <w:r w:rsidR="007E4F38" w:rsidRPr="002700AC">
        <w:rPr>
          <w:rFonts w:ascii="Arial" w:hAnsi="Arial" w:cs="Arial"/>
          <w:sz w:val="24"/>
          <w:szCs w:val="24"/>
          <w:lang w:val="en-CA"/>
        </w:rPr>
        <w:t xml:space="preserve"> explained by the study coordinator and/or principal investigators. Potential patients </w:t>
      </w:r>
      <w:r w:rsidR="003E267F">
        <w:rPr>
          <w:rFonts w:ascii="Arial" w:hAnsi="Arial" w:cs="Arial"/>
          <w:sz w:val="24"/>
          <w:szCs w:val="24"/>
          <w:lang w:val="en-CA"/>
        </w:rPr>
        <w:t>are given</w:t>
      </w:r>
      <w:r w:rsidR="007E4F38" w:rsidRPr="002700AC">
        <w:rPr>
          <w:rFonts w:ascii="Arial" w:hAnsi="Arial" w:cs="Arial"/>
          <w:sz w:val="24"/>
          <w:szCs w:val="24"/>
          <w:lang w:val="en-CA"/>
        </w:rPr>
        <w:t xml:space="preserve"> the opportunity to ask questions. Patients who voluntarily agree to participate in the study </w:t>
      </w:r>
      <w:r w:rsidR="00706BD9">
        <w:rPr>
          <w:rFonts w:ascii="Arial" w:hAnsi="Arial" w:cs="Arial"/>
          <w:sz w:val="24"/>
          <w:szCs w:val="24"/>
          <w:lang w:val="en-CA"/>
        </w:rPr>
        <w:t xml:space="preserve">are </w:t>
      </w:r>
      <w:r w:rsidR="00706BD9" w:rsidRPr="002700AC">
        <w:rPr>
          <w:rFonts w:ascii="Arial" w:hAnsi="Arial" w:cs="Arial"/>
          <w:sz w:val="24"/>
          <w:szCs w:val="24"/>
          <w:lang w:val="en-CA"/>
        </w:rPr>
        <w:t>asked</w:t>
      </w:r>
      <w:r w:rsidR="007E4F38" w:rsidRPr="002700AC">
        <w:rPr>
          <w:rFonts w:ascii="Arial" w:hAnsi="Arial" w:cs="Arial"/>
          <w:sz w:val="24"/>
          <w:szCs w:val="24"/>
          <w:lang w:val="en-CA"/>
        </w:rPr>
        <w:t xml:space="preserve"> to document their informed consent.</w:t>
      </w:r>
    </w:p>
    <w:p w:rsidR="00706BD9" w:rsidRDefault="00BE4F88" w:rsidP="00207EFE">
      <w:pPr>
        <w:spacing w:after="120" w:line="480" w:lineRule="auto"/>
        <w:jc w:val="both"/>
        <w:rPr>
          <w:rFonts w:ascii="Arial" w:hAnsi="Arial" w:cs="Arial"/>
          <w:sz w:val="24"/>
          <w:szCs w:val="24"/>
          <w:lang w:val="en-CA"/>
        </w:rPr>
      </w:pPr>
      <w:r w:rsidRPr="002700AC">
        <w:rPr>
          <w:rFonts w:ascii="Arial" w:hAnsi="Arial" w:cs="Arial"/>
          <w:b/>
          <w:sz w:val="24"/>
          <w:szCs w:val="24"/>
        </w:rPr>
        <w:t>MANAGEMENT OF THE STUDY</w:t>
      </w:r>
      <w:r w:rsidRPr="002700AC">
        <w:rPr>
          <w:rFonts w:ascii="Arial" w:hAnsi="Arial" w:cs="Arial"/>
          <w:sz w:val="24"/>
          <w:szCs w:val="24"/>
          <w:lang w:val="en-CA"/>
        </w:rPr>
        <w:t xml:space="preserve"> </w:t>
      </w:r>
    </w:p>
    <w:p w:rsidR="007E4F38" w:rsidRPr="002700AC" w:rsidRDefault="007E4F38" w:rsidP="00207EFE">
      <w:pPr>
        <w:spacing w:line="480" w:lineRule="auto"/>
        <w:jc w:val="both"/>
        <w:rPr>
          <w:rFonts w:ascii="Arial" w:hAnsi="Arial" w:cs="Arial"/>
          <w:sz w:val="24"/>
          <w:szCs w:val="24"/>
          <w:lang w:val="en-CA"/>
        </w:rPr>
      </w:pPr>
      <w:r w:rsidRPr="002700AC">
        <w:rPr>
          <w:rFonts w:ascii="Arial" w:hAnsi="Arial" w:cs="Arial"/>
          <w:sz w:val="24"/>
          <w:szCs w:val="24"/>
          <w:lang w:val="en-CA"/>
        </w:rPr>
        <w:t>Study personne</w:t>
      </w:r>
      <w:r w:rsidR="00D433D8" w:rsidRPr="002700AC">
        <w:rPr>
          <w:rFonts w:ascii="Arial" w:hAnsi="Arial" w:cs="Arial"/>
          <w:sz w:val="24"/>
          <w:szCs w:val="24"/>
          <w:lang w:val="en-CA"/>
        </w:rPr>
        <w:t>l at the participating sites are</w:t>
      </w:r>
      <w:r w:rsidRPr="002700AC">
        <w:rPr>
          <w:rFonts w:ascii="Arial" w:hAnsi="Arial" w:cs="Arial"/>
          <w:sz w:val="24"/>
          <w:szCs w:val="24"/>
          <w:lang w:val="en-CA"/>
        </w:rPr>
        <w:t xml:space="preserve"> responsible for completing</w:t>
      </w:r>
      <w:r w:rsidR="0088580E">
        <w:rPr>
          <w:rFonts w:ascii="Arial" w:hAnsi="Arial" w:cs="Arial"/>
          <w:sz w:val="24"/>
          <w:szCs w:val="24"/>
          <w:lang w:val="en-CA"/>
        </w:rPr>
        <w:t xml:space="preserve"> case report forms</w:t>
      </w:r>
      <w:r w:rsidRPr="002700AC">
        <w:rPr>
          <w:rFonts w:ascii="Arial" w:hAnsi="Arial" w:cs="Arial"/>
          <w:sz w:val="24"/>
          <w:szCs w:val="24"/>
          <w:lang w:val="en-CA"/>
        </w:rPr>
        <w:t xml:space="preserve"> </w:t>
      </w:r>
      <w:r w:rsidR="0088580E">
        <w:rPr>
          <w:rFonts w:ascii="Arial" w:hAnsi="Arial" w:cs="Arial"/>
          <w:sz w:val="24"/>
          <w:szCs w:val="24"/>
          <w:lang w:val="en-CA"/>
        </w:rPr>
        <w:t>(</w:t>
      </w:r>
      <w:r w:rsidRPr="002700AC">
        <w:rPr>
          <w:rFonts w:ascii="Arial" w:hAnsi="Arial" w:cs="Arial"/>
          <w:sz w:val="24"/>
          <w:szCs w:val="24"/>
          <w:lang w:val="en-CA"/>
        </w:rPr>
        <w:t>CRFs</w:t>
      </w:r>
      <w:r w:rsidR="0088580E">
        <w:rPr>
          <w:rFonts w:ascii="Arial" w:hAnsi="Arial" w:cs="Arial"/>
          <w:sz w:val="24"/>
          <w:szCs w:val="24"/>
          <w:lang w:val="en-CA"/>
        </w:rPr>
        <w:t>)</w:t>
      </w:r>
      <w:r w:rsidRPr="002700AC">
        <w:rPr>
          <w:rFonts w:ascii="Arial" w:hAnsi="Arial" w:cs="Arial"/>
          <w:sz w:val="24"/>
          <w:szCs w:val="24"/>
          <w:lang w:val="en-CA"/>
        </w:rPr>
        <w:t xml:space="preserve"> through accessing a computerised programme (Electronic Clinical Data Management System) via the internet and entering the required trial information for electronic submission to the server located at the Data Management and Monitoring Ce</w:t>
      </w:r>
      <w:r w:rsidR="00D433D8" w:rsidRPr="002700AC">
        <w:rPr>
          <w:rFonts w:ascii="Arial" w:hAnsi="Arial" w:cs="Arial"/>
          <w:sz w:val="24"/>
          <w:szCs w:val="24"/>
          <w:lang w:val="en-CA"/>
        </w:rPr>
        <w:t xml:space="preserve">ntre at University of Cape Town. This </w:t>
      </w:r>
      <w:r w:rsidRPr="002700AC">
        <w:rPr>
          <w:rFonts w:ascii="Arial" w:hAnsi="Arial" w:cs="Arial"/>
          <w:sz w:val="24"/>
          <w:szCs w:val="24"/>
          <w:lang w:val="en-CA"/>
        </w:rPr>
        <w:t>include</w:t>
      </w:r>
      <w:r w:rsidR="00D433D8" w:rsidRPr="002700AC">
        <w:rPr>
          <w:rFonts w:ascii="Arial" w:hAnsi="Arial" w:cs="Arial"/>
          <w:sz w:val="24"/>
          <w:szCs w:val="24"/>
          <w:lang w:val="en-CA"/>
        </w:rPr>
        <w:t>s</w:t>
      </w:r>
      <w:r w:rsidRPr="002700AC">
        <w:rPr>
          <w:rFonts w:ascii="Arial" w:hAnsi="Arial" w:cs="Arial"/>
          <w:sz w:val="24"/>
          <w:szCs w:val="24"/>
          <w:lang w:val="en-CA"/>
        </w:rPr>
        <w:t xml:space="preserve"> all rele</w:t>
      </w:r>
      <w:r w:rsidR="00D433D8" w:rsidRPr="002700AC">
        <w:rPr>
          <w:rFonts w:ascii="Arial" w:hAnsi="Arial" w:cs="Arial"/>
          <w:sz w:val="24"/>
          <w:szCs w:val="24"/>
          <w:lang w:val="en-CA"/>
        </w:rPr>
        <w:t xml:space="preserve">vant BP variables </w:t>
      </w:r>
      <w:r w:rsidRPr="002700AC">
        <w:rPr>
          <w:rFonts w:ascii="Arial" w:hAnsi="Arial" w:cs="Arial"/>
          <w:sz w:val="24"/>
          <w:szCs w:val="24"/>
          <w:lang w:val="en-CA"/>
        </w:rPr>
        <w:t xml:space="preserve">uploaded directly from the </w:t>
      </w:r>
      <w:r w:rsidR="00440F2B" w:rsidRPr="002700AC">
        <w:rPr>
          <w:rFonts w:ascii="Arial" w:hAnsi="Arial" w:cs="Arial"/>
          <w:sz w:val="24"/>
          <w:szCs w:val="24"/>
          <w:lang w:val="en-CA"/>
        </w:rPr>
        <w:t xml:space="preserve">MEDITECH </w:t>
      </w:r>
      <w:r w:rsidRPr="002700AC">
        <w:rPr>
          <w:rFonts w:ascii="Arial" w:hAnsi="Arial" w:cs="Arial"/>
          <w:sz w:val="24"/>
          <w:szCs w:val="24"/>
          <w:lang w:val="en-CA"/>
        </w:rPr>
        <w:t xml:space="preserve">machines into the Electronic Clinical Data Management System database. </w:t>
      </w:r>
    </w:p>
    <w:p w:rsidR="007E4F38" w:rsidRPr="002700AC" w:rsidRDefault="00591874" w:rsidP="00207EFE">
      <w:pPr>
        <w:spacing w:line="480" w:lineRule="auto"/>
        <w:jc w:val="both"/>
        <w:rPr>
          <w:rFonts w:ascii="Arial" w:hAnsi="Arial" w:cs="Arial"/>
          <w:sz w:val="24"/>
          <w:szCs w:val="24"/>
          <w:lang w:val="en-CA"/>
        </w:rPr>
      </w:pPr>
      <w:r w:rsidRPr="002700AC">
        <w:rPr>
          <w:rFonts w:ascii="Arial" w:hAnsi="Arial" w:cs="Arial"/>
          <w:sz w:val="24"/>
          <w:szCs w:val="24"/>
          <w:lang w:val="en-CA"/>
        </w:rPr>
        <w:t>The University of Abuja serves</w:t>
      </w:r>
      <w:r w:rsidR="007E4F38" w:rsidRPr="002700AC">
        <w:rPr>
          <w:rFonts w:ascii="Arial" w:hAnsi="Arial" w:cs="Arial"/>
          <w:sz w:val="24"/>
          <w:szCs w:val="24"/>
          <w:lang w:val="en-CA"/>
        </w:rPr>
        <w:t xml:space="preserve"> as the Project Coordinating Centre. Both the Universit</w:t>
      </w:r>
      <w:r w:rsidRPr="002700AC">
        <w:rPr>
          <w:rFonts w:ascii="Arial" w:hAnsi="Arial" w:cs="Arial"/>
          <w:sz w:val="24"/>
          <w:szCs w:val="24"/>
          <w:lang w:val="en-CA"/>
        </w:rPr>
        <w:t xml:space="preserve">ies of Abuja and Cape Town </w:t>
      </w:r>
      <w:r w:rsidR="007E4F38" w:rsidRPr="002700AC">
        <w:rPr>
          <w:rFonts w:ascii="Arial" w:hAnsi="Arial" w:cs="Arial"/>
          <w:sz w:val="24"/>
          <w:szCs w:val="24"/>
          <w:lang w:val="en-CA"/>
        </w:rPr>
        <w:t>have access to all the study data. Individual sites will have access to the</w:t>
      </w:r>
      <w:r w:rsidRPr="002700AC">
        <w:rPr>
          <w:rFonts w:ascii="Arial" w:hAnsi="Arial" w:cs="Arial"/>
          <w:sz w:val="24"/>
          <w:szCs w:val="24"/>
          <w:lang w:val="en-CA"/>
        </w:rPr>
        <w:t xml:space="preserve">ir own centres’ data </w:t>
      </w:r>
      <w:r w:rsidR="00980249">
        <w:rPr>
          <w:rFonts w:ascii="Arial" w:hAnsi="Arial" w:cs="Arial"/>
          <w:sz w:val="24"/>
          <w:szCs w:val="24"/>
          <w:lang w:val="en-CA"/>
        </w:rPr>
        <w:t>and</w:t>
      </w:r>
      <w:r w:rsidR="003E267F">
        <w:rPr>
          <w:rFonts w:ascii="Arial" w:hAnsi="Arial" w:cs="Arial"/>
          <w:sz w:val="24"/>
          <w:szCs w:val="24"/>
          <w:lang w:val="en-CA"/>
        </w:rPr>
        <w:t xml:space="preserve"> </w:t>
      </w:r>
      <w:r w:rsidRPr="002700AC">
        <w:rPr>
          <w:rFonts w:ascii="Arial" w:hAnsi="Arial" w:cs="Arial"/>
          <w:sz w:val="24"/>
          <w:szCs w:val="24"/>
          <w:lang w:val="en-CA"/>
        </w:rPr>
        <w:t>are</w:t>
      </w:r>
      <w:r w:rsidR="007E4F38" w:rsidRPr="002700AC">
        <w:rPr>
          <w:rFonts w:ascii="Arial" w:hAnsi="Arial" w:cs="Arial"/>
          <w:sz w:val="24"/>
          <w:szCs w:val="24"/>
          <w:lang w:val="en-CA"/>
        </w:rPr>
        <w:t xml:space="preserve"> provided site-specific data summaries periodically by the Data Management and Monitoring Centre in Cape Town. Source documentation supporti</w:t>
      </w:r>
      <w:r w:rsidRPr="002700AC">
        <w:rPr>
          <w:rFonts w:ascii="Arial" w:hAnsi="Arial" w:cs="Arial"/>
          <w:sz w:val="24"/>
          <w:szCs w:val="24"/>
          <w:lang w:val="en-CA"/>
        </w:rPr>
        <w:t>ng the trial information are</w:t>
      </w:r>
      <w:r w:rsidR="007E4F38" w:rsidRPr="002700AC">
        <w:rPr>
          <w:rFonts w:ascii="Arial" w:hAnsi="Arial" w:cs="Arial"/>
          <w:sz w:val="24"/>
          <w:szCs w:val="24"/>
          <w:lang w:val="en-CA"/>
        </w:rPr>
        <w:t xml:space="preserve"> stored at the investigator site and made available for trial related monitoring, audits, IRB/IEC review and regulatory inspections when </w:t>
      </w:r>
      <w:r w:rsidRPr="002700AC">
        <w:rPr>
          <w:rFonts w:ascii="Arial" w:hAnsi="Arial" w:cs="Arial"/>
          <w:sz w:val="24"/>
          <w:szCs w:val="24"/>
          <w:lang w:val="en-CA"/>
        </w:rPr>
        <w:t xml:space="preserve">required. The Investigator </w:t>
      </w:r>
      <w:r w:rsidR="007E4F38" w:rsidRPr="002700AC">
        <w:rPr>
          <w:rFonts w:ascii="Arial" w:hAnsi="Arial" w:cs="Arial"/>
          <w:sz w:val="24"/>
          <w:szCs w:val="24"/>
          <w:lang w:val="en-CA"/>
        </w:rPr>
        <w:t>retain</w:t>
      </w:r>
      <w:r w:rsidRPr="002700AC">
        <w:rPr>
          <w:rFonts w:ascii="Arial" w:hAnsi="Arial" w:cs="Arial"/>
          <w:sz w:val="24"/>
          <w:szCs w:val="24"/>
          <w:lang w:val="en-CA"/>
        </w:rPr>
        <w:t>s</w:t>
      </w:r>
      <w:r w:rsidR="007E4F38" w:rsidRPr="002700AC">
        <w:rPr>
          <w:rFonts w:ascii="Arial" w:hAnsi="Arial" w:cs="Arial"/>
          <w:sz w:val="24"/>
          <w:szCs w:val="24"/>
          <w:lang w:val="en-CA"/>
        </w:rPr>
        <w:t xml:space="preserve"> all study records files in accordance with applicable regulatory requirement</w:t>
      </w:r>
      <w:r w:rsidRPr="002700AC">
        <w:rPr>
          <w:rFonts w:ascii="Arial" w:hAnsi="Arial" w:cs="Arial"/>
          <w:sz w:val="24"/>
          <w:szCs w:val="24"/>
          <w:lang w:val="en-CA"/>
        </w:rPr>
        <w:t xml:space="preserve">s. The data management plan </w:t>
      </w:r>
      <w:r w:rsidR="007E4F38" w:rsidRPr="002700AC">
        <w:rPr>
          <w:rFonts w:ascii="Arial" w:hAnsi="Arial" w:cs="Arial"/>
          <w:sz w:val="24"/>
          <w:szCs w:val="24"/>
          <w:lang w:val="en-CA"/>
        </w:rPr>
        <w:t>outline</w:t>
      </w:r>
      <w:r w:rsidRPr="002700AC">
        <w:rPr>
          <w:rFonts w:ascii="Arial" w:hAnsi="Arial" w:cs="Arial"/>
          <w:sz w:val="24"/>
          <w:szCs w:val="24"/>
          <w:lang w:val="en-CA"/>
        </w:rPr>
        <w:t>s</w:t>
      </w:r>
      <w:r w:rsidR="007E4F38" w:rsidRPr="002700AC">
        <w:rPr>
          <w:rFonts w:ascii="Arial" w:hAnsi="Arial" w:cs="Arial"/>
          <w:sz w:val="24"/>
          <w:szCs w:val="24"/>
          <w:lang w:val="en-CA"/>
        </w:rPr>
        <w:t xml:space="preserve"> the procedures and guidelines to ensure data quality is adhered to. </w:t>
      </w:r>
    </w:p>
    <w:p w:rsidR="007E4F38" w:rsidRPr="002700AC" w:rsidRDefault="007E4F38" w:rsidP="00207EFE">
      <w:pPr>
        <w:spacing w:line="480" w:lineRule="auto"/>
        <w:jc w:val="both"/>
        <w:rPr>
          <w:rFonts w:ascii="Arial" w:hAnsi="Arial" w:cs="Arial"/>
          <w:sz w:val="24"/>
          <w:szCs w:val="24"/>
        </w:rPr>
      </w:pPr>
      <w:r w:rsidRPr="002700AC">
        <w:rPr>
          <w:rFonts w:ascii="Arial" w:hAnsi="Arial" w:cs="Arial"/>
          <w:sz w:val="24"/>
          <w:szCs w:val="24"/>
        </w:rPr>
        <w:t>Patient information will be stored in a high security computer system and kept strictly confidential. Subject confidentiality will further be ensured by utilizing a subject identification code number to correspond to treatment data on the computerized files. Only the Data Management and Monitoring Centre will be aware of the unblinded data until the trial is completed or a recommendation is made to terminate the trial.</w:t>
      </w:r>
    </w:p>
    <w:p w:rsidR="007E4F38" w:rsidRPr="002700AC" w:rsidRDefault="007E4F38" w:rsidP="00207EFE">
      <w:pPr>
        <w:framePr w:hSpace="180" w:wrap="around" w:vAnchor="text" w:hAnchor="margin" w:xAlign="center" w:y="116"/>
        <w:spacing w:line="480" w:lineRule="auto"/>
        <w:jc w:val="both"/>
        <w:rPr>
          <w:rFonts w:ascii="Arial" w:hAnsi="Arial" w:cs="Arial"/>
          <w:sz w:val="24"/>
          <w:szCs w:val="24"/>
          <w:lang w:val="en-CA"/>
        </w:rPr>
      </w:pPr>
      <w:r w:rsidRPr="002700AC">
        <w:rPr>
          <w:rFonts w:ascii="Arial" w:hAnsi="Arial" w:cs="Arial"/>
          <w:sz w:val="24"/>
          <w:szCs w:val="24"/>
          <w:lang w:val="en-CA"/>
        </w:rPr>
        <w:t>A Trial Operations Committee consisting of members of the Abuja and Cape Town Project Coor</w:t>
      </w:r>
      <w:r w:rsidR="00591874" w:rsidRPr="002700AC">
        <w:rPr>
          <w:rFonts w:ascii="Arial" w:hAnsi="Arial" w:cs="Arial"/>
          <w:sz w:val="24"/>
          <w:szCs w:val="24"/>
          <w:lang w:val="en-CA"/>
        </w:rPr>
        <w:t xml:space="preserve">dinating Offices </w:t>
      </w:r>
      <w:r w:rsidRPr="002700AC">
        <w:rPr>
          <w:rFonts w:ascii="Arial" w:hAnsi="Arial" w:cs="Arial"/>
          <w:sz w:val="24"/>
          <w:szCs w:val="24"/>
          <w:lang w:val="en-CA"/>
        </w:rPr>
        <w:t>meet</w:t>
      </w:r>
      <w:r w:rsidR="00591874" w:rsidRPr="002700AC">
        <w:rPr>
          <w:rFonts w:ascii="Arial" w:hAnsi="Arial" w:cs="Arial"/>
          <w:sz w:val="24"/>
          <w:szCs w:val="24"/>
          <w:lang w:val="en-CA"/>
        </w:rPr>
        <w:t>s via</w:t>
      </w:r>
      <w:r w:rsidRPr="002700AC">
        <w:rPr>
          <w:rFonts w:ascii="Arial" w:hAnsi="Arial" w:cs="Arial"/>
          <w:sz w:val="24"/>
          <w:szCs w:val="24"/>
          <w:lang w:val="en-CA"/>
        </w:rPr>
        <w:t xml:space="preserve"> telephone conference on a weekly basis to address the operational matters of the study, and to implement the decisions of the Trial Steering Committee. </w:t>
      </w:r>
    </w:p>
    <w:p w:rsidR="007E4F38" w:rsidRPr="002700AC" w:rsidRDefault="007E4F38"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Th</w:t>
      </w:r>
      <w:r w:rsidR="00591874" w:rsidRPr="002700AC">
        <w:rPr>
          <w:rFonts w:ascii="Arial" w:hAnsi="Arial" w:cs="Arial"/>
          <w:sz w:val="24"/>
          <w:szCs w:val="24"/>
          <w:lang w:val="en-CA"/>
        </w:rPr>
        <w:t xml:space="preserve">e Trial Steering Committee </w:t>
      </w:r>
      <w:r w:rsidRPr="002700AC">
        <w:rPr>
          <w:rFonts w:ascii="Arial" w:hAnsi="Arial" w:cs="Arial"/>
          <w:sz w:val="24"/>
          <w:szCs w:val="24"/>
          <w:lang w:val="en-CA"/>
        </w:rPr>
        <w:t>consist</w:t>
      </w:r>
      <w:r w:rsidR="00591874" w:rsidRPr="002700AC">
        <w:rPr>
          <w:rFonts w:ascii="Arial" w:hAnsi="Arial" w:cs="Arial"/>
          <w:sz w:val="24"/>
          <w:szCs w:val="24"/>
          <w:lang w:val="en-CA"/>
        </w:rPr>
        <w:t>s</w:t>
      </w:r>
      <w:r w:rsidRPr="002700AC">
        <w:rPr>
          <w:rFonts w:ascii="Arial" w:hAnsi="Arial" w:cs="Arial"/>
          <w:sz w:val="24"/>
          <w:szCs w:val="24"/>
          <w:lang w:val="en-CA"/>
        </w:rPr>
        <w:t xml:space="preserve"> of the Principal Investigator, the Co-Principal Investigators, </w:t>
      </w:r>
      <w:r w:rsidR="005A048E" w:rsidRPr="002700AC">
        <w:rPr>
          <w:rFonts w:ascii="Arial" w:hAnsi="Arial" w:cs="Arial"/>
          <w:sz w:val="24"/>
          <w:szCs w:val="24"/>
          <w:lang w:val="en-CA"/>
        </w:rPr>
        <w:t>and the</w:t>
      </w:r>
      <w:r w:rsidRPr="002700AC">
        <w:rPr>
          <w:rFonts w:ascii="Arial" w:hAnsi="Arial" w:cs="Arial"/>
          <w:sz w:val="24"/>
          <w:szCs w:val="24"/>
          <w:lang w:val="en-CA"/>
        </w:rPr>
        <w:t xml:space="preserve"> national co-ordinator for each country, the statistician, the study pharmacist and the trial monitor. </w:t>
      </w:r>
      <w:r w:rsidR="00591874" w:rsidRPr="002700AC">
        <w:rPr>
          <w:rFonts w:ascii="Arial" w:hAnsi="Arial" w:cs="Arial"/>
          <w:sz w:val="24"/>
          <w:szCs w:val="24"/>
          <w:lang w:val="en-CA"/>
        </w:rPr>
        <w:t>The Principal Investigator chairs this committee and</w:t>
      </w:r>
      <w:r w:rsidRPr="002700AC">
        <w:rPr>
          <w:rFonts w:ascii="Arial" w:hAnsi="Arial" w:cs="Arial"/>
          <w:sz w:val="24"/>
          <w:szCs w:val="24"/>
          <w:lang w:val="en-CA"/>
        </w:rPr>
        <w:t xml:space="preserve"> th</w:t>
      </w:r>
      <w:r w:rsidR="00591874" w:rsidRPr="002700AC">
        <w:rPr>
          <w:rFonts w:ascii="Arial" w:hAnsi="Arial" w:cs="Arial"/>
          <w:sz w:val="24"/>
          <w:szCs w:val="24"/>
          <w:lang w:val="en-CA"/>
        </w:rPr>
        <w:t xml:space="preserve">e trial steering committee </w:t>
      </w:r>
      <w:r w:rsidRPr="002700AC">
        <w:rPr>
          <w:rFonts w:ascii="Arial" w:hAnsi="Arial" w:cs="Arial"/>
          <w:sz w:val="24"/>
          <w:szCs w:val="24"/>
          <w:lang w:val="en-CA"/>
        </w:rPr>
        <w:t>meet</w:t>
      </w:r>
      <w:r w:rsidR="00591874" w:rsidRPr="002700AC">
        <w:rPr>
          <w:rFonts w:ascii="Arial" w:hAnsi="Arial" w:cs="Arial"/>
          <w:sz w:val="24"/>
          <w:szCs w:val="24"/>
          <w:lang w:val="en-CA"/>
        </w:rPr>
        <w:t>s</w:t>
      </w:r>
      <w:r w:rsidRPr="002700AC">
        <w:rPr>
          <w:rFonts w:ascii="Arial" w:hAnsi="Arial" w:cs="Arial"/>
          <w:sz w:val="24"/>
          <w:szCs w:val="24"/>
          <w:lang w:val="en-CA"/>
        </w:rPr>
        <w:t xml:space="preserve"> monthly.</w:t>
      </w:r>
    </w:p>
    <w:p w:rsidR="007E4F38" w:rsidRPr="002700AC" w:rsidRDefault="007E4F38" w:rsidP="00207EFE">
      <w:pPr>
        <w:tabs>
          <w:tab w:val="left" w:pos="-142"/>
        </w:tabs>
        <w:spacing w:line="480" w:lineRule="auto"/>
        <w:jc w:val="both"/>
        <w:rPr>
          <w:rFonts w:ascii="Arial" w:hAnsi="Arial" w:cs="Arial"/>
          <w:sz w:val="24"/>
          <w:szCs w:val="24"/>
          <w:lang w:val="en-CA"/>
        </w:rPr>
      </w:pPr>
      <w:r w:rsidRPr="002700AC">
        <w:rPr>
          <w:rFonts w:ascii="Arial" w:eastAsia="Calibri" w:hAnsi="Arial" w:cs="Arial"/>
          <w:sz w:val="24"/>
          <w:szCs w:val="24"/>
        </w:rPr>
        <w:t>An external and independent Data Safety and M</w:t>
      </w:r>
      <w:r w:rsidR="00591874" w:rsidRPr="002700AC">
        <w:rPr>
          <w:rFonts w:ascii="Arial" w:eastAsia="Calibri" w:hAnsi="Arial" w:cs="Arial"/>
          <w:sz w:val="24"/>
          <w:szCs w:val="24"/>
        </w:rPr>
        <w:t xml:space="preserve">onitoring Committee (DSMC) </w:t>
      </w:r>
      <w:r w:rsidRPr="002700AC">
        <w:rPr>
          <w:rFonts w:ascii="Arial" w:eastAsia="Calibri" w:hAnsi="Arial" w:cs="Arial"/>
          <w:sz w:val="24"/>
          <w:szCs w:val="24"/>
        </w:rPr>
        <w:t>monitor</w:t>
      </w:r>
      <w:r w:rsidR="00591874" w:rsidRPr="002700AC">
        <w:rPr>
          <w:rFonts w:ascii="Arial" w:eastAsia="Calibri" w:hAnsi="Arial" w:cs="Arial"/>
          <w:sz w:val="24"/>
          <w:szCs w:val="24"/>
        </w:rPr>
        <w:t>s</w:t>
      </w:r>
      <w:r w:rsidRPr="002700AC">
        <w:rPr>
          <w:rFonts w:ascii="Arial" w:eastAsia="Calibri" w:hAnsi="Arial" w:cs="Arial"/>
          <w:sz w:val="24"/>
          <w:szCs w:val="24"/>
        </w:rPr>
        <w:t xml:space="preserve"> the trial for saf</w:t>
      </w:r>
      <w:r w:rsidR="00591874" w:rsidRPr="002700AC">
        <w:rPr>
          <w:rFonts w:ascii="Arial" w:eastAsia="Calibri" w:hAnsi="Arial" w:cs="Arial"/>
          <w:sz w:val="24"/>
          <w:szCs w:val="24"/>
        </w:rPr>
        <w:t xml:space="preserve">ety and efficacy. The DSMC </w:t>
      </w:r>
      <w:r w:rsidRPr="002700AC">
        <w:rPr>
          <w:rFonts w:ascii="Arial" w:eastAsia="Calibri" w:hAnsi="Arial" w:cs="Arial"/>
          <w:sz w:val="24"/>
          <w:szCs w:val="24"/>
        </w:rPr>
        <w:t>review</w:t>
      </w:r>
      <w:r w:rsidR="00591874" w:rsidRPr="002700AC">
        <w:rPr>
          <w:rFonts w:ascii="Arial" w:eastAsia="Calibri" w:hAnsi="Arial" w:cs="Arial"/>
          <w:sz w:val="24"/>
          <w:szCs w:val="24"/>
        </w:rPr>
        <w:t>s</w:t>
      </w:r>
      <w:r w:rsidRPr="002700AC">
        <w:rPr>
          <w:rFonts w:ascii="Arial" w:eastAsia="Calibri" w:hAnsi="Arial" w:cs="Arial"/>
          <w:sz w:val="24"/>
          <w:szCs w:val="24"/>
        </w:rPr>
        <w:t xml:space="preserve"> the data for safety when all 2-month data, 4-month data and 6-month data are ready, and then as determined by the DSMC</w:t>
      </w:r>
      <w:r w:rsidR="00440F2B" w:rsidRPr="002700AC">
        <w:rPr>
          <w:rFonts w:ascii="Arial" w:eastAsia="Calibri" w:hAnsi="Arial" w:cs="Arial"/>
          <w:sz w:val="24"/>
          <w:szCs w:val="24"/>
        </w:rPr>
        <w:t>.</w:t>
      </w:r>
    </w:p>
    <w:p w:rsidR="00E720FA" w:rsidRPr="002700AC" w:rsidRDefault="00E720FA" w:rsidP="00E720FA">
      <w:pPr>
        <w:spacing w:after="200" w:line="480" w:lineRule="auto"/>
        <w:jc w:val="both"/>
        <w:rPr>
          <w:rFonts w:ascii="Arial" w:eastAsiaTheme="minorHAnsi" w:hAnsi="Arial" w:cs="Arial"/>
          <w:b/>
          <w:sz w:val="24"/>
          <w:szCs w:val="24"/>
          <w:lang w:val="en-US"/>
        </w:rPr>
      </w:pPr>
      <w:r>
        <w:rPr>
          <w:rFonts w:ascii="Arial" w:eastAsiaTheme="minorHAnsi" w:hAnsi="Arial" w:cs="Arial"/>
          <w:b/>
          <w:sz w:val="24"/>
          <w:szCs w:val="24"/>
          <w:lang w:val="en-US"/>
        </w:rPr>
        <w:t>SOURCES OF FUNDING</w:t>
      </w:r>
    </w:p>
    <w:p w:rsidR="00D071F0" w:rsidRDefault="00E720FA" w:rsidP="00E720FA">
      <w:pPr>
        <w:spacing w:after="200" w:line="480" w:lineRule="auto"/>
        <w:jc w:val="both"/>
        <w:rPr>
          <w:rFonts w:ascii="Arial" w:eastAsiaTheme="minorHAnsi" w:hAnsi="Arial" w:cs="Arial"/>
          <w:sz w:val="24"/>
          <w:szCs w:val="24"/>
          <w:lang w:val="en-US"/>
        </w:rPr>
      </w:pPr>
      <w:r w:rsidRPr="002700AC">
        <w:rPr>
          <w:rFonts w:ascii="Arial" w:eastAsiaTheme="minorHAnsi" w:hAnsi="Arial" w:cs="Arial"/>
          <w:sz w:val="24"/>
          <w:szCs w:val="24"/>
          <w:lang w:val="en-US"/>
        </w:rPr>
        <w:t>Funding for the trial was provided by the GlaxoSmithKline Africa Non-Communicable Disease Open Lab Grant (Project Number: 8264). The investigational medicinal products were donated by Aspen Pharmacare as part of their educational grant.</w:t>
      </w:r>
      <w:r>
        <w:rPr>
          <w:rFonts w:ascii="Arial" w:eastAsiaTheme="minorHAnsi" w:hAnsi="Arial" w:cs="Arial"/>
          <w:sz w:val="24"/>
          <w:szCs w:val="24"/>
          <w:lang w:val="en-US"/>
        </w:rPr>
        <w:t xml:space="preserve"> </w:t>
      </w:r>
    </w:p>
    <w:p w:rsidR="00266615" w:rsidRPr="00266615" w:rsidRDefault="00266615" w:rsidP="00E720FA">
      <w:pPr>
        <w:spacing w:after="200" w:line="480" w:lineRule="auto"/>
        <w:jc w:val="both"/>
        <w:rPr>
          <w:rFonts w:ascii="Arial" w:eastAsiaTheme="minorHAnsi" w:hAnsi="Arial" w:cs="Arial"/>
          <w:b/>
          <w:sz w:val="24"/>
          <w:szCs w:val="24"/>
          <w:lang w:val="en-US"/>
        </w:rPr>
      </w:pPr>
      <w:r w:rsidRPr="00266615">
        <w:rPr>
          <w:rFonts w:ascii="Arial" w:hAnsi="Arial" w:cs="Arial"/>
          <w:b/>
          <w:color w:val="222222"/>
          <w:sz w:val="24"/>
          <w:szCs w:val="24"/>
          <w:shd w:val="clear" w:color="auto" w:fill="FFFFFF"/>
        </w:rPr>
        <w:t xml:space="preserve">Although, the medications were donated by ASPEN pharmaceutical (since it is the only pharmaceutical company in sub-Saharan Africa found to manufacture all the three classes of generic medications used in this study), they are not in any way involved in sponsoring this study.  </w:t>
      </w:r>
      <w:r w:rsidRPr="00266615">
        <w:rPr>
          <w:rFonts w:ascii="Arial" w:eastAsia="Times New Roman" w:hAnsi="Arial" w:cs="Arial"/>
          <w:b/>
          <w:color w:val="000000" w:themeColor="text1"/>
          <w:sz w:val="24"/>
          <w:szCs w:val="24"/>
          <w:lang w:eastAsia="en-GB"/>
        </w:rPr>
        <w:t>Aspen is an approved manufacturer by the South African regulator, the Medicines Control Council (MCC), and have a licence to manufacture. They are audited and checked to regularly to ensure they comply with Good Manufacturing Practices in order to have this licence.  The MCC of South Africa is part of the Pharmaceutical Inspection Co-operation Scheme (PIC/S) which is an international agreement between regulatory authorities to harmonise inspection procedures worldwide by developing common standards in the field of GMP.</w:t>
      </w:r>
    </w:p>
    <w:p w:rsidR="00D071F0" w:rsidRDefault="00D071F0" w:rsidP="00E720FA">
      <w:pPr>
        <w:spacing w:after="200" w:line="480" w:lineRule="auto"/>
        <w:jc w:val="both"/>
        <w:rPr>
          <w:rFonts w:ascii="Arial" w:eastAsiaTheme="minorHAnsi" w:hAnsi="Arial" w:cs="Arial"/>
          <w:sz w:val="24"/>
          <w:szCs w:val="24"/>
          <w:lang w:val="en-US"/>
        </w:rPr>
      </w:pPr>
    </w:p>
    <w:p w:rsidR="00D071F0" w:rsidRDefault="00D071F0" w:rsidP="00E720FA">
      <w:pPr>
        <w:spacing w:after="200" w:line="480" w:lineRule="auto"/>
        <w:jc w:val="both"/>
        <w:rPr>
          <w:rFonts w:ascii="Arial" w:eastAsiaTheme="minorHAnsi" w:hAnsi="Arial" w:cs="Arial"/>
          <w:sz w:val="24"/>
          <w:szCs w:val="24"/>
          <w:lang w:val="en-US"/>
        </w:rPr>
      </w:pPr>
    </w:p>
    <w:p w:rsidR="00D071F0" w:rsidRPr="00D071F0" w:rsidRDefault="00D071F0" w:rsidP="00E720FA">
      <w:pPr>
        <w:spacing w:after="200" w:line="480" w:lineRule="auto"/>
        <w:jc w:val="both"/>
        <w:rPr>
          <w:rFonts w:ascii="Arial" w:eastAsiaTheme="minorHAnsi" w:hAnsi="Arial" w:cs="Arial"/>
          <w:b/>
          <w:sz w:val="24"/>
          <w:szCs w:val="24"/>
          <w:lang w:val="en-US"/>
        </w:rPr>
      </w:pPr>
      <w:r w:rsidRPr="00D071F0">
        <w:rPr>
          <w:rFonts w:ascii="Arial" w:eastAsiaTheme="minorHAnsi" w:hAnsi="Arial" w:cs="Arial"/>
          <w:b/>
          <w:sz w:val="24"/>
          <w:szCs w:val="24"/>
          <w:lang w:val="en-US"/>
        </w:rPr>
        <w:t xml:space="preserve">AUTHORS’ DISCLOSURE </w:t>
      </w:r>
    </w:p>
    <w:p w:rsidR="00E720FA" w:rsidRPr="00D071F0" w:rsidRDefault="00E720FA" w:rsidP="00E720FA">
      <w:pPr>
        <w:spacing w:after="200" w:line="480" w:lineRule="auto"/>
        <w:jc w:val="both"/>
        <w:rPr>
          <w:rFonts w:ascii="Arial" w:eastAsiaTheme="minorHAnsi" w:hAnsi="Arial" w:cs="Arial"/>
          <w:sz w:val="24"/>
          <w:szCs w:val="24"/>
          <w:lang w:val="en-US"/>
        </w:rPr>
      </w:pPr>
      <w:r w:rsidRPr="00D071F0">
        <w:rPr>
          <w:rFonts w:ascii="Arial" w:eastAsiaTheme="minorHAnsi" w:hAnsi="Arial" w:cs="Arial"/>
          <w:sz w:val="24"/>
          <w:szCs w:val="24"/>
          <w:lang w:val="en-US"/>
        </w:rPr>
        <w:t>DO and NP conceived the study and together with BMM who also gave conceptual advice, and edited the manuscript; DO, NP, BMM and VF wrote the protocol and designed the study.  NK and WS contributed to the pharmaceutical design of the study. All authors read and approved the final draft of the manuscript.</w:t>
      </w:r>
      <w:r w:rsidR="00D071F0" w:rsidRPr="00D071F0">
        <w:rPr>
          <w:rFonts w:ascii="Arial" w:eastAsiaTheme="minorHAnsi" w:hAnsi="Arial" w:cs="Arial"/>
          <w:sz w:val="24"/>
          <w:szCs w:val="24"/>
          <w:lang w:val="en-US"/>
        </w:rPr>
        <w:t xml:space="preserve"> </w:t>
      </w:r>
      <w:r w:rsidR="00D071F0" w:rsidRPr="00D071F0">
        <w:rPr>
          <w:rFonts w:ascii="Arial" w:hAnsi="Arial" w:cs="Arial"/>
          <w:color w:val="222222"/>
          <w:sz w:val="24"/>
          <w:szCs w:val="24"/>
          <w:shd w:val="clear" w:color="auto" w:fill="FFFFFF"/>
        </w:rPr>
        <w:t>The authors are solely responsible for the design and conduct of this study, all study analyses, the drafting and editing of the paper and its final contents</w:t>
      </w:r>
      <w:r w:rsidR="005B3641">
        <w:rPr>
          <w:rFonts w:ascii="Arial" w:hAnsi="Arial" w:cs="Arial"/>
          <w:color w:val="222222"/>
          <w:sz w:val="24"/>
          <w:szCs w:val="24"/>
          <w:shd w:val="clear" w:color="auto" w:fill="FFFFFF"/>
        </w:rPr>
        <w:t>. The authors declare no conflict of interest.</w:t>
      </w:r>
    </w:p>
    <w:p w:rsidR="005B3641" w:rsidRPr="002700AC" w:rsidRDefault="005B3641" w:rsidP="005B3641">
      <w:pPr>
        <w:spacing w:after="200" w:line="480" w:lineRule="auto"/>
        <w:jc w:val="both"/>
        <w:rPr>
          <w:rFonts w:ascii="Arial" w:eastAsiaTheme="minorHAnsi" w:hAnsi="Arial" w:cs="Arial"/>
          <w:b/>
          <w:sz w:val="24"/>
          <w:szCs w:val="24"/>
          <w:lang w:val="en-US"/>
        </w:rPr>
      </w:pPr>
      <w:r w:rsidRPr="002700AC">
        <w:rPr>
          <w:rFonts w:ascii="Arial" w:eastAsiaTheme="minorHAnsi" w:hAnsi="Arial" w:cs="Arial"/>
          <w:b/>
          <w:sz w:val="24"/>
          <w:szCs w:val="24"/>
          <w:lang w:val="en-US"/>
        </w:rPr>
        <w:t>ACKNOWLEDGEMENTS</w:t>
      </w:r>
    </w:p>
    <w:p w:rsidR="005B3641" w:rsidRPr="002700AC" w:rsidRDefault="00D75289" w:rsidP="005B3641">
      <w:pPr>
        <w:spacing w:after="200" w:line="480" w:lineRule="auto"/>
        <w:jc w:val="both"/>
        <w:rPr>
          <w:rFonts w:ascii="Arial" w:eastAsiaTheme="minorHAnsi" w:hAnsi="Arial" w:cs="Arial"/>
          <w:sz w:val="24"/>
          <w:szCs w:val="24"/>
          <w:lang w:val="en-US"/>
        </w:rPr>
      </w:pPr>
      <w:r>
        <w:rPr>
          <w:rFonts w:ascii="Arial" w:eastAsiaTheme="minorHAnsi" w:hAnsi="Arial" w:cs="Arial"/>
          <w:sz w:val="24"/>
          <w:szCs w:val="24"/>
          <w:lang w:val="en-US"/>
        </w:rPr>
        <w:t>Our sincere appreciation goes to</w:t>
      </w:r>
      <w:r w:rsidR="005B3641" w:rsidRPr="002700AC">
        <w:rPr>
          <w:rFonts w:ascii="Arial" w:eastAsiaTheme="minorHAnsi" w:hAnsi="Arial" w:cs="Arial"/>
          <w:sz w:val="24"/>
          <w:szCs w:val="24"/>
          <w:lang w:val="en-US"/>
        </w:rPr>
        <w:t xml:space="preserve"> GlaxoSmithKline Africa Non-Communicable Disease Open </w:t>
      </w:r>
      <w:r>
        <w:rPr>
          <w:rFonts w:ascii="Arial" w:eastAsiaTheme="minorHAnsi" w:hAnsi="Arial" w:cs="Arial"/>
          <w:sz w:val="24"/>
          <w:szCs w:val="24"/>
          <w:lang w:val="en-US"/>
        </w:rPr>
        <w:t xml:space="preserve">Lab Team. </w:t>
      </w:r>
    </w:p>
    <w:p w:rsidR="007E4F38" w:rsidRPr="002700AC" w:rsidRDefault="00BE4F88" w:rsidP="00207EFE">
      <w:pPr>
        <w:tabs>
          <w:tab w:val="left" w:pos="-142"/>
        </w:tabs>
        <w:spacing w:line="480" w:lineRule="auto"/>
        <w:jc w:val="both"/>
        <w:rPr>
          <w:rFonts w:ascii="Arial" w:hAnsi="Arial" w:cs="Arial"/>
          <w:b/>
          <w:sz w:val="24"/>
          <w:szCs w:val="24"/>
          <w:lang w:val="en-CA"/>
        </w:rPr>
      </w:pPr>
      <w:r w:rsidRPr="002700AC">
        <w:rPr>
          <w:rFonts w:ascii="Arial" w:hAnsi="Arial" w:cs="Arial"/>
          <w:b/>
          <w:sz w:val="24"/>
          <w:szCs w:val="24"/>
          <w:lang w:val="en-CA"/>
        </w:rPr>
        <w:t>DISCUSSION</w:t>
      </w:r>
    </w:p>
    <w:p w:rsidR="007E4F38" w:rsidRPr="002700AC" w:rsidRDefault="00591874" w:rsidP="00207EFE">
      <w:pPr>
        <w:spacing w:line="480" w:lineRule="auto"/>
        <w:jc w:val="both"/>
        <w:rPr>
          <w:rFonts w:ascii="Arial" w:hAnsi="Arial" w:cs="Arial"/>
          <w:sz w:val="24"/>
          <w:szCs w:val="24"/>
          <w:lang w:val="en-CA"/>
        </w:rPr>
      </w:pPr>
      <w:r w:rsidRPr="002700AC">
        <w:rPr>
          <w:rFonts w:ascii="Arial" w:hAnsi="Arial" w:cs="Arial"/>
          <w:sz w:val="24"/>
          <w:szCs w:val="24"/>
        </w:rPr>
        <w:t xml:space="preserve">The CREOLE trial is </w:t>
      </w:r>
      <w:r w:rsidR="007E4F38" w:rsidRPr="002700AC">
        <w:rPr>
          <w:rFonts w:ascii="Arial" w:hAnsi="Arial" w:cs="Arial"/>
          <w:sz w:val="24"/>
          <w:szCs w:val="24"/>
        </w:rPr>
        <w:t xml:space="preserve">the first randomized controlled trial to compare the efficacy of three front-line combination therapies in the treatment of hypertensive black patients living in sub-Saharan Africa. This study is timely as the most efficacious two-drug combination in hypertensive black patients living in sub-Saharan Africa is still a matter of debate as there are no large RCT data in this population group which has compared contemporary front-line combinations, despite  </w:t>
      </w:r>
      <w:r w:rsidR="007E4F38" w:rsidRPr="002700AC">
        <w:rPr>
          <w:rFonts w:ascii="Arial" w:hAnsi="Arial" w:cs="Arial"/>
          <w:sz w:val="24"/>
          <w:szCs w:val="24"/>
          <w:lang w:val="en-CA"/>
        </w:rPr>
        <w:t>the high burden of hypertension and its complications i</w:t>
      </w:r>
      <w:r w:rsidRPr="002700AC">
        <w:rPr>
          <w:rFonts w:ascii="Arial" w:hAnsi="Arial" w:cs="Arial"/>
          <w:sz w:val="24"/>
          <w:szCs w:val="24"/>
          <w:lang w:val="en-CA"/>
        </w:rPr>
        <w:t>n this group</w:t>
      </w:r>
      <w:r w:rsidR="0053294D">
        <w:rPr>
          <w:rFonts w:ascii="Arial" w:hAnsi="Arial" w:cs="Arial"/>
          <w:sz w:val="24"/>
          <w:szCs w:val="24"/>
          <w:lang w:val="en-CA"/>
        </w:rPr>
        <w:t>.</w:t>
      </w:r>
      <w:r w:rsidR="0053294D" w:rsidRPr="0053294D">
        <w:rPr>
          <w:rFonts w:ascii="Arial" w:hAnsi="Arial" w:cs="Arial"/>
          <w:sz w:val="24"/>
          <w:szCs w:val="24"/>
          <w:vertAlign w:val="superscript"/>
          <w:lang w:val="en-CA"/>
        </w:rPr>
        <w:t>25-27</w:t>
      </w:r>
      <w:r w:rsidRPr="002700AC">
        <w:rPr>
          <w:rFonts w:ascii="Arial" w:hAnsi="Arial" w:cs="Arial"/>
          <w:sz w:val="24"/>
          <w:szCs w:val="24"/>
          <w:lang w:val="en-CA"/>
        </w:rPr>
        <w:t xml:space="preserve"> </w:t>
      </w:r>
      <w:r w:rsidR="0053294D">
        <w:rPr>
          <w:rFonts w:ascii="Arial" w:hAnsi="Arial" w:cs="Arial"/>
          <w:sz w:val="24"/>
          <w:szCs w:val="24"/>
          <w:lang w:val="en-CA"/>
        </w:rPr>
        <w:t xml:space="preserve"> </w:t>
      </w:r>
      <w:r w:rsidRPr="002700AC">
        <w:rPr>
          <w:rFonts w:ascii="Arial" w:hAnsi="Arial" w:cs="Arial"/>
          <w:sz w:val="24"/>
          <w:szCs w:val="24"/>
          <w:lang w:val="en-CA"/>
        </w:rPr>
        <w:t>Although</w:t>
      </w:r>
      <w:r w:rsidR="003E267F">
        <w:rPr>
          <w:rFonts w:ascii="Arial" w:hAnsi="Arial" w:cs="Arial"/>
          <w:sz w:val="24"/>
          <w:szCs w:val="24"/>
          <w:lang w:val="en-CA"/>
        </w:rPr>
        <w:t xml:space="preserve"> it could be argued</w:t>
      </w:r>
      <w:r w:rsidRPr="002700AC">
        <w:rPr>
          <w:rFonts w:ascii="Arial" w:hAnsi="Arial" w:cs="Arial"/>
          <w:sz w:val="24"/>
          <w:szCs w:val="24"/>
          <w:lang w:val="en-CA"/>
        </w:rPr>
        <w:t xml:space="preserve"> </w:t>
      </w:r>
      <w:r w:rsidR="007E4F38" w:rsidRPr="002700AC">
        <w:rPr>
          <w:rFonts w:ascii="Arial" w:hAnsi="Arial" w:cs="Arial"/>
          <w:sz w:val="24"/>
          <w:szCs w:val="24"/>
          <w:lang w:val="en-CA"/>
        </w:rPr>
        <w:t>that f</w:t>
      </w:r>
      <w:r w:rsidRPr="002700AC">
        <w:rPr>
          <w:rFonts w:ascii="Arial" w:hAnsi="Arial" w:cs="Arial"/>
          <w:sz w:val="24"/>
          <w:szCs w:val="24"/>
          <w:lang w:val="en-CA"/>
        </w:rPr>
        <w:t>indings in African-Americans can be extrapolated to B</w:t>
      </w:r>
      <w:r w:rsidR="007E4F38" w:rsidRPr="002700AC">
        <w:rPr>
          <w:rFonts w:ascii="Arial" w:hAnsi="Arial" w:cs="Arial"/>
          <w:sz w:val="24"/>
          <w:szCs w:val="24"/>
          <w:lang w:val="en-CA"/>
        </w:rPr>
        <w:t>lack Africans since they have the same ancestral origin, the differences in selection in previous generations, ethnic admixture and differences in lifestyle between these two populations</w:t>
      </w:r>
      <w:r w:rsidR="007E4F38" w:rsidRPr="002700AC">
        <w:rPr>
          <w:rFonts w:ascii="Arial" w:hAnsi="Arial" w:cs="Arial"/>
          <w:b/>
          <w:sz w:val="24"/>
          <w:szCs w:val="24"/>
          <w:lang w:val="en-CA"/>
        </w:rPr>
        <w:t xml:space="preserve"> </w:t>
      </w:r>
      <w:r w:rsidR="007E4F38" w:rsidRPr="002700AC">
        <w:rPr>
          <w:rFonts w:ascii="Arial" w:hAnsi="Arial" w:cs="Arial"/>
          <w:sz w:val="24"/>
          <w:szCs w:val="24"/>
          <w:lang w:val="en-CA"/>
        </w:rPr>
        <w:t>suggest that such an extrapolation may be inappropriate</w:t>
      </w:r>
      <w:r w:rsidR="0053294D">
        <w:rPr>
          <w:rFonts w:ascii="Arial" w:hAnsi="Arial" w:cs="Arial"/>
          <w:sz w:val="24"/>
          <w:szCs w:val="24"/>
          <w:lang w:val="en-CA"/>
        </w:rPr>
        <w:t xml:space="preserve">. </w:t>
      </w:r>
      <w:r w:rsidR="0053294D" w:rsidRPr="0053294D">
        <w:rPr>
          <w:rFonts w:ascii="Arial" w:hAnsi="Arial" w:cs="Arial"/>
          <w:sz w:val="24"/>
          <w:szCs w:val="24"/>
          <w:vertAlign w:val="superscript"/>
          <w:lang w:val="en-CA"/>
        </w:rPr>
        <w:t>28-30</w:t>
      </w:r>
    </w:p>
    <w:p w:rsidR="007E4F38" w:rsidRPr="002700AC" w:rsidRDefault="007E4F38" w:rsidP="00207EFE">
      <w:pPr>
        <w:spacing w:line="480" w:lineRule="auto"/>
        <w:jc w:val="both"/>
        <w:rPr>
          <w:rFonts w:ascii="Arial" w:hAnsi="Arial" w:cs="Arial"/>
          <w:sz w:val="24"/>
          <w:szCs w:val="24"/>
          <w:lang w:val="en-CA"/>
        </w:rPr>
      </w:pPr>
      <w:r w:rsidRPr="002700AC">
        <w:rPr>
          <w:rFonts w:ascii="Arial" w:hAnsi="Arial" w:cs="Arial"/>
          <w:sz w:val="24"/>
          <w:szCs w:val="24"/>
          <w:lang w:val="en-CA"/>
        </w:rPr>
        <w:t>Calcium channel</w:t>
      </w:r>
      <w:r w:rsidR="00B549AB" w:rsidRPr="002700AC">
        <w:rPr>
          <w:rFonts w:ascii="Arial" w:hAnsi="Arial" w:cs="Arial"/>
          <w:sz w:val="24"/>
          <w:szCs w:val="24"/>
          <w:lang w:val="en-CA"/>
        </w:rPr>
        <w:t xml:space="preserve"> blockers</w:t>
      </w:r>
      <w:r w:rsidRPr="002700AC">
        <w:rPr>
          <w:rFonts w:ascii="Arial" w:hAnsi="Arial" w:cs="Arial"/>
          <w:sz w:val="24"/>
          <w:szCs w:val="24"/>
          <w:lang w:val="en-CA"/>
        </w:rPr>
        <w:t xml:space="preserve"> and diuretics have been found to more efficacious as monotherapy in the black Africans than Caucasians when compared with angiotensin converting enzyme inhibitors</w:t>
      </w:r>
      <w:r w:rsidR="0053294D">
        <w:rPr>
          <w:rFonts w:ascii="Arial" w:hAnsi="Arial" w:cs="Arial"/>
          <w:sz w:val="24"/>
          <w:szCs w:val="24"/>
          <w:lang w:val="en-CA"/>
        </w:rPr>
        <w:t>.</w:t>
      </w:r>
      <w:r w:rsidR="00DD5B8F">
        <w:rPr>
          <w:rFonts w:ascii="Arial" w:hAnsi="Arial" w:cs="Arial"/>
          <w:sz w:val="24"/>
          <w:szCs w:val="24"/>
          <w:vertAlign w:val="superscript"/>
          <w:lang w:val="en-CA"/>
        </w:rPr>
        <w:t>33,34</w:t>
      </w:r>
      <w:r w:rsidRPr="002700AC">
        <w:rPr>
          <w:rFonts w:ascii="Arial" w:hAnsi="Arial" w:cs="Arial"/>
          <w:sz w:val="24"/>
          <w:szCs w:val="24"/>
          <w:lang w:val="en-CA"/>
        </w:rPr>
        <w:t xml:space="preserve">  What is not known however is whether therapy with a combination of calcium channel blocker plus hydrochlorothiazide may be more efficacious than the combinations of calcium channel blocker plus ACE inhibitor or ACE inhibitor plus hydrochlorothiazide in reducing mean 24 hour ASBP levels in black Africans.</w:t>
      </w:r>
    </w:p>
    <w:p w:rsidR="007E4F38" w:rsidRPr="002700AC" w:rsidRDefault="007E4F38" w:rsidP="00207EFE">
      <w:pPr>
        <w:spacing w:line="480" w:lineRule="auto"/>
        <w:jc w:val="both"/>
        <w:rPr>
          <w:rFonts w:ascii="Arial" w:hAnsi="Arial" w:cs="Arial"/>
          <w:sz w:val="24"/>
          <w:szCs w:val="24"/>
          <w:lang w:val="en-CA"/>
        </w:rPr>
      </w:pPr>
      <w:r w:rsidRPr="002700AC">
        <w:rPr>
          <w:rFonts w:ascii="Arial" w:hAnsi="Arial" w:cs="Arial"/>
          <w:sz w:val="24"/>
          <w:szCs w:val="24"/>
          <w:lang w:val="en-CA"/>
        </w:rPr>
        <w:t>The three combination therapies will be force</w:t>
      </w:r>
      <w:r w:rsidR="007F44FD">
        <w:rPr>
          <w:rFonts w:ascii="Arial" w:hAnsi="Arial" w:cs="Arial"/>
          <w:sz w:val="24"/>
          <w:szCs w:val="24"/>
          <w:lang w:val="en-CA"/>
        </w:rPr>
        <w:t>-</w:t>
      </w:r>
      <w:r w:rsidRPr="002700AC">
        <w:rPr>
          <w:rFonts w:ascii="Arial" w:hAnsi="Arial" w:cs="Arial"/>
          <w:sz w:val="24"/>
          <w:szCs w:val="24"/>
          <w:lang w:val="en-CA"/>
        </w:rPr>
        <w:t xml:space="preserve">titrated to the highest doses after two months which will allow for proper comparison amongst the three study arms.  To ensure </w:t>
      </w:r>
      <w:r w:rsidR="007F44FD">
        <w:rPr>
          <w:rFonts w:ascii="Arial" w:hAnsi="Arial" w:cs="Arial"/>
          <w:sz w:val="24"/>
          <w:szCs w:val="24"/>
          <w:lang w:val="en-CA"/>
        </w:rPr>
        <w:t>optimal</w:t>
      </w:r>
      <w:r w:rsidR="007F44FD" w:rsidRPr="002700AC">
        <w:rPr>
          <w:rFonts w:ascii="Arial" w:hAnsi="Arial" w:cs="Arial"/>
          <w:sz w:val="24"/>
          <w:szCs w:val="24"/>
          <w:lang w:val="en-CA"/>
        </w:rPr>
        <w:t xml:space="preserve"> </w:t>
      </w:r>
      <w:r w:rsidRPr="002700AC">
        <w:rPr>
          <w:rFonts w:ascii="Arial" w:hAnsi="Arial" w:cs="Arial"/>
          <w:sz w:val="24"/>
          <w:szCs w:val="24"/>
          <w:lang w:val="en-CA"/>
        </w:rPr>
        <w:t>BP control, if at</w:t>
      </w:r>
      <w:r w:rsidRPr="002700AC">
        <w:rPr>
          <w:rFonts w:ascii="Arial" w:hAnsi="Arial" w:cs="Arial"/>
          <w:sz w:val="24"/>
          <w:szCs w:val="24"/>
        </w:rPr>
        <w:t xml:space="preserve"> the four-month visit,</w:t>
      </w:r>
      <w:r w:rsidR="00B549AB" w:rsidRPr="002700AC">
        <w:rPr>
          <w:rFonts w:ascii="Arial" w:hAnsi="Arial" w:cs="Arial"/>
          <w:sz w:val="24"/>
          <w:szCs w:val="24"/>
        </w:rPr>
        <w:t xml:space="preserve"> clinic SBP is greater than</w:t>
      </w:r>
      <w:r w:rsidRPr="002700AC">
        <w:rPr>
          <w:rFonts w:ascii="Arial" w:hAnsi="Arial" w:cs="Arial"/>
          <w:sz w:val="24"/>
          <w:szCs w:val="24"/>
        </w:rPr>
        <w:t>160 mmHg and/</w:t>
      </w:r>
      <w:r w:rsidR="00B549AB" w:rsidRPr="002700AC">
        <w:rPr>
          <w:rFonts w:ascii="Arial" w:hAnsi="Arial" w:cs="Arial"/>
          <w:sz w:val="24"/>
          <w:szCs w:val="24"/>
        </w:rPr>
        <w:t>or DBP is greater than</w:t>
      </w:r>
      <w:r w:rsidR="007F44FD">
        <w:rPr>
          <w:rFonts w:ascii="Arial" w:hAnsi="Arial" w:cs="Arial"/>
          <w:sz w:val="24"/>
          <w:szCs w:val="24"/>
        </w:rPr>
        <w:t xml:space="preserve"> </w:t>
      </w:r>
      <w:r w:rsidRPr="002700AC">
        <w:rPr>
          <w:rFonts w:ascii="Arial" w:hAnsi="Arial" w:cs="Arial"/>
          <w:sz w:val="24"/>
          <w:szCs w:val="24"/>
        </w:rPr>
        <w:t>100 mmHg, atenolol 50 mg once daily will be added to the trial therapy.  Atenolol is chosen because</w:t>
      </w:r>
      <w:r w:rsidR="00B549AB" w:rsidRPr="002700AC">
        <w:rPr>
          <w:rFonts w:ascii="Arial" w:hAnsi="Arial" w:cs="Arial"/>
          <w:sz w:val="24"/>
          <w:szCs w:val="24"/>
        </w:rPr>
        <w:t xml:space="preserve"> of</w:t>
      </w:r>
      <w:r w:rsidRPr="002700AC">
        <w:rPr>
          <w:rFonts w:ascii="Arial" w:hAnsi="Arial" w:cs="Arial"/>
          <w:sz w:val="24"/>
          <w:szCs w:val="24"/>
        </w:rPr>
        <w:t xml:space="preserve"> easy access to it at the various studies sites.  However, </w:t>
      </w:r>
      <w:r w:rsidR="007F44FD">
        <w:rPr>
          <w:rFonts w:ascii="Arial" w:hAnsi="Arial" w:cs="Arial"/>
          <w:sz w:val="24"/>
          <w:szCs w:val="24"/>
        </w:rPr>
        <w:t>i</w:t>
      </w:r>
      <w:r w:rsidRPr="002700AC">
        <w:rPr>
          <w:rFonts w:ascii="Arial" w:hAnsi="Arial" w:cs="Arial"/>
          <w:sz w:val="24"/>
          <w:szCs w:val="24"/>
        </w:rPr>
        <w:t>f atenolol is contraindicated</w:t>
      </w:r>
      <w:r w:rsidR="00B549AB" w:rsidRPr="002700AC">
        <w:rPr>
          <w:rFonts w:ascii="Arial" w:hAnsi="Arial" w:cs="Arial"/>
          <w:sz w:val="24"/>
          <w:szCs w:val="24"/>
        </w:rPr>
        <w:t>,</w:t>
      </w:r>
      <w:r w:rsidRPr="002700AC">
        <w:rPr>
          <w:rFonts w:ascii="Arial" w:hAnsi="Arial" w:cs="Arial"/>
          <w:sz w:val="24"/>
          <w:szCs w:val="24"/>
        </w:rPr>
        <w:t xml:space="preserve"> an alternative agent, which is not a thiazide diuretic, calcium channel blocker or ACE inhibitor such 12.5mg of spironolactone or 2mg of doxazosin</w:t>
      </w:r>
      <w:r w:rsidR="00B549AB" w:rsidRPr="002700AC">
        <w:rPr>
          <w:rFonts w:ascii="Arial" w:hAnsi="Arial" w:cs="Arial"/>
          <w:sz w:val="24"/>
          <w:szCs w:val="24"/>
        </w:rPr>
        <w:t xml:space="preserve"> will be added at the physicians’ or </w:t>
      </w:r>
      <w:r w:rsidRPr="002700AC">
        <w:rPr>
          <w:rFonts w:ascii="Arial" w:hAnsi="Arial" w:cs="Arial"/>
          <w:sz w:val="24"/>
          <w:szCs w:val="24"/>
        </w:rPr>
        <w:t>investigators</w:t>
      </w:r>
      <w:r w:rsidR="00B549AB" w:rsidRPr="002700AC">
        <w:rPr>
          <w:rFonts w:ascii="Arial" w:hAnsi="Arial" w:cs="Arial"/>
          <w:sz w:val="24"/>
          <w:szCs w:val="24"/>
        </w:rPr>
        <w:t>’</w:t>
      </w:r>
      <w:r w:rsidRPr="002700AC">
        <w:rPr>
          <w:rFonts w:ascii="Arial" w:hAnsi="Arial" w:cs="Arial"/>
          <w:sz w:val="24"/>
          <w:szCs w:val="24"/>
        </w:rPr>
        <w:t xml:space="preserve"> discretion.</w:t>
      </w:r>
    </w:p>
    <w:p w:rsidR="007E4F38" w:rsidRPr="002700AC" w:rsidRDefault="007E4F38" w:rsidP="00207EFE">
      <w:pPr>
        <w:spacing w:line="480" w:lineRule="auto"/>
        <w:jc w:val="both"/>
        <w:rPr>
          <w:rFonts w:ascii="Arial" w:hAnsi="Arial" w:cs="Arial"/>
          <w:sz w:val="24"/>
          <w:szCs w:val="24"/>
          <w:lang w:val="en-CA"/>
        </w:rPr>
      </w:pPr>
      <w:r w:rsidRPr="002700AC">
        <w:rPr>
          <w:rFonts w:ascii="Arial" w:hAnsi="Arial" w:cs="Arial"/>
          <w:sz w:val="24"/>
          <w:szCs w:val="24"/>
          <w:lang w:val="en-CA"/>
        </w:rPr>
        <w:t xml:space="preserve">In conclusion, even though current guidelines recommend the use of combination therapy as first-line treatment or early in the management of hypertensive patients, the best combination in blacks living in sub-Saharan Africa is still a matter of debate as there are no large RCTs comparing different combination therapies in this population.  The CREOLE trial will therefore provide unique information as to the most efficacious two-drug combination in black patients in sub-Saharan Africa and </w:t>
      </w:r>
      <w:r w:rsidR="007F44FD">
        <w:rPr>
          <w:rFonts w:ascii="Arial" w:hAnsi="Arial" w:cs="Arial"/>
          <w:sz w:val="24"/>
          <w:szCs w:val="24"/>
          <w:lang w:val="en-CA"/>
        </w:rPr>
        <w:t>ultimately</w:t>
      </w:r>
      <w:r w:rsidR="007F44FD" w:rsidRPr="002700AC">
        <w:rPr>
          <w:rFonts w:ascii="Arial" w:hAnsi="Arial" w:cs="Arial"/>
          <w:sz w:val="24"/>
          <w:szCs w:val="24"/>
          <w:lang w:val="en-CA"/>
        </w:rPr>
        <w:t xml:space="preserve"> </w:t>
      </w:r>
      <w:r w:rsidRPr="002700AC">
        <w:rPr>
          <w:rFonts w:ascii="Arial" w:hAnsi="Arial" w:cs="Arial"/>
          <w:sz w:val="24"/>
          <w:szCs w:val="24"/>
          <w:lang w:val="en-CA"/>
        </w:rPr>
        <w:t>inform the development of clinical guidelines for the treatment of hypertension for this region</w:t>
      </w:r>
      <w:r w:rsidR="0053294D">
        <w:rPr>
          <w:rFonts w:ascii="Arial" w:hAnsi="Arial" w:cs="Arial"/>
          <w:sz w:val="24"/>
          <w:szCs w:val="24"/>
          <w:lang w:val="en-CA"/>
        </w:rPr>
        <w:t>.</w:t>
      </w:r>
      <w:r w:rsidR="00DD5B8F">
        <w:rPr>
          <w:rFonts w:ascii="Arial" w:hAnsi="Arial" w:cs="Arial"/>
          <w:sz w:val="24"/>
          <w:szCs w:val="24"/>
          <w:vertAlign w:val="superscript"/>
          <w:lang w:val="en-CA"/>
        </w:rPr>
        <w:t>35</w:t>
      </w:r>
    </w:p>
    <w:p w:rsidR="00AE6632" w:rsidRPr="002700AC" w:rsidRDefault="00400768" w:rsidP="00207EFE">
      <w:pPr>
        <w:spacing w:line="480" w:lineRule="auto"/>
        <w:jc w:val="both"/>
        <w:rPr>
          <w:rFonts w:ascii="Arial" w:hAnsi="Arial" w:cs="Arial"/>
          <w:b/>
          <w:sz w:val="24"/>
          <w:szCs w:val="24"/>
          <w:lang w:val="en-CA"/>
        </w:rPr>
      </w:pPr>
      <w:r w:rsidRPr="002700AC">
        <w:rPr>
          <w:rFonts w:ascii="Arial" w:hAnsi="Arial" w:cs="Arial"/>
          <w:b/>
          <w:sz w:val="24"/>
          <w:szCs w:val="24"/>
          <w:lang w:val="en-CA"/>
        </w:rPr>
        <w:t>STUDY STATUS</w:t>
      </w:r>
    </w:p>
    <w:p w:rsidR="00AE6632" w:rsidRDefault="00AE6632" w:rsidP="00207EFE">
      <w:pPr>
        <w:spacing w:line="480" w:lineRule="auto"/>
        <w:jc w:val="both"/>
        <w:rPr>
          <w:rFonts w:ascii="Arial" w:hAnsi="Arial" w:cs="Arial"/>
          <w:b/>
          <w:color w:val="0070C0"/>
          <w:sz w:val="24"/>
          <w:szCs w:val="24"/>
          <w:lang w:val="en-CA"/>
        </w:rPr>
      </w:pPr>
      <w:r w:rsidRPr="00101630">
        <w:rPr>
          <w:rFonts w:ascii="Arial" w:hAnsi="Arial" w:cs="Arial"/>
          <w:sz w:val="24"/>
          <w:szCs w:val="24"/>
          <w:lang w:val="en-CA"/>
        </w:rPr>
        <w:t xml:space="preserve">The first patient was randomised </w:t>
      </w:r>
      <w:r w:rsidR="00591874" w:rsidRPr="00101630">
        <w:rPr>
          <w:rFonts w:ascii="Arial" w:hAnsi="Arial" w:cs="Arial"/>
          <w:sz w:val="24"/>
          <w:szCs w:val="24"/>
          <w:lang w:val="en-CA"/>
        </w:rPr>
        <w:t xml:space="preserve">in </w:t>
      </w:r>
      <w:r w:rsidRPr="00101630">
        <w:rPr>
          <w:rFonts w:ascii="Arial" w:hAnsi="Arial" w:cs="Arial"/>
          <w:sz w:val="24"/>
          <w:szCs w:val="24"/>
          <w:lang w:val="en-CA"/>
        </w:rPr>
        <w:t xml:space="preserve">June 2017. The total number of patients randomised as of the end of </w:t>
      </w:r>
      <w:r w:rsidR="00187994" w:rsidRPr="00101630">
        <w:rPr>
          <w:rFonts w:ascii="Arial" w:hAnsi="Arial" w:cs="Arial"/>
          <w:sz w:val="24"/>
          <w:szCs w:val="24"/>
          <w:lang w:val="en-CA"/>
        </w:rPr>
        <w:t>2 October</w:t>
      </w:r>
      <w:r w:rsidR="00101630" w:rsidRPr="00101630">
        <w:rPr>
          <w:rFonts w:ascii="Arial" w:hAnsi="Arial" w:cs="Arial"/>
          <w:sz w:val="24"/>
          <w:szCs w:val="24"/>
          <w:lang w:val="en-CA"/>
        </w:rPr>
        <w:t xml:space="preserve"> 2017 is</w:t>
      </w:r>
      <w:r w:rsidRPr="00101630">
        <w:rPr>
          <w:rFonts w:ascii="Arial" w:hAnsi="Arial" w:cs="Arial"/>
          <w:sz w:val="24"/>
          <w:szCs w:val="24"/>
          <w:lang w:val="en-CA"/>
        </w:rPr>
        <w:t xml:space="preserve"> </w:t>
      </w:r>
      <w:r w:rsidR="00B2627B" w:rsidRPr="00101630">
        <w:rPr>
          <w:rFonts w:ascii="Arial" w:hAnsi="Arial" w:cs="Arial"/>
          <w:sz w:val="24"/>
          <w:szCs w:val="24"/>
          <w:lang w:val="en-CA"/>
        </w:rPr>
        <w:t>404</w:t>
      </w:r>
      <w:r w:rsidRPr="00101630">
        <w:rPr>
          <w:rFonts w:ascii="Arial" w:hAnsi="Arial" w:cs="Arial"/>
          <w:sz w:val="24"/>
          <w:szCs w:val="24"/>
          <w:lang w:val="en-CA"/>
        </w:rPr>
        <w:t xml:space="preserve"> </w:t>
      </w:r>
      <w:r w:rsidR="00612DEF" w:rsidRPr="00101630">
        <w:rPr>
          <w:rFonts w:ascii="Arial" w:hAnsi="Arial" w:cs="Arial"/>
          <w:sz w:val="24"/>
          <w:szCs w:val="24"/>
          <w:lang w:val="en-CA"/>
        </w:rPr>
        <w:t>(Figure</w:t>
      </w:r>
      <w:r w:rsidR="00B2627B" w:rsidRPr="00101630">
        <w:rPr>
          <w:rFonts w:ascii="Arial" w:hAnsi="Arial" w:cs="Arial"/>
          <w:sz w:val="24"/>
          <w:szCs w:val="24"/>
          <w:lang w:val="en-CA"/>
        </w:rPr>
        <w:t>s</w:t>
      </w:r>
      <w:r w:rsidR="00612DEF" w:rsidRPr="00101630">
        <w:rPr>
          <w:rFonts w:ascii="Arial" w:hAnsi="Arial" w:cs="Arial"/>
          <w:sz w:val="24"/>
          <w:szCs w:val="24"/>
          <w:lang w:val="en-CA"/>
        </w:rPr>
        <w:t xml:space="preserve"> </w:t>
      </w:r>
      <w:r w:rsidR="005A048E" w:rsidRPr="00101630">
        <w:rPr>
          <w:rFonts w:ascii="Arial" w:hAnsi="Arial" w:cs="Arial"/>
          <w:sz w:val="24"/>
          <w:szCs w:val="24"/>
          <w:lang w:val="en-CA"/>
        </w:rPr>
        <w:t>4</w:t>
      </w:r>
      <w:r w:rsidR="00B2627B" w:rsidRPr="00101630">
        <w:rPr>
          <w:rFonts w:ascii="Arial" w:hAnsi="Arial" w:cs="Arial"/>
          <w:sz w:val="24"/>
          <w:szCs w:val="24"/>
          <w:lang w:val="en-CA"/>
        </w:rPr>
        <w:t xml:space="preserve"> &amp; </w:t>
      </w:r>
      <w:r w:rsidR="00187994" w:rsidRPr="00101630">
        <w:rPr>
          <w:rFonts w:ascii="Arial" w:hAnsi="Arial" w:cs="Arial"/>
          <w:sz w:val="24"/>
          <w:szCs w:val="24"/>
          <w:lang w:val="en-CA"/>
        </w:rPr>
        <w:t>5</w:t>
      </w:r>
      <w:r w:rsidR="00612DEF" w:rsidRPr="00101630">
        <w:rPr>
          <w:rFonts w:ascii="Arial" w:hAnsi="Arial" w:cs="Arial"/>
          <w:sz w:val="24"/>
          <w:szCs w:val="24"/>
          <w:lang w:val="en-CA"/>
        </w:rPr>
        <w:t>)</w:t>
      </w:r>
      <w:r w:rsidR="00101630">
        <w:rPr>
          <w:rFonts w:ascii="Arial" w:hAnsi="Arial" w:cs="Arial"/>
          <w:sz w:val="24"/>
          <w:szCs w:val="24"/>
          <w:lang w:val="en-CA"/>
        </w:rPr>
        <w:t>.</w:t>
      </w:r>
      <w:r w:rsidR="00612DEF" w:rsidRPr="00101630">
        <w:rPr>
          <w:rFonts w:ascii="Arial" w:hAnsi="Arial" w:cs="Arial"/>
          <w:b/>
          <w:color w:val="0070C0"/>
          <w:sz w:val="24"/>
          <w:szCs w:val="24"/>
          <w:lang w:val="en-CA"/>
        </w:rPr>
        <w:t xml:space="preserve"> </w:t>
      </w:r>
    </w:p>
    <w:p w:rsidR="00B2627B" w:rsidRDefault="00187994" w:rsidP="00187994">
      <w:pPr>
        <w:spacing w:line="480" w:lineRule="auto"/>
        <w:ind w:left="426"/>
        <w:jc w:val="center"/>
        <w:rPr>
          <w:rFonts w:ascii="Arial" w:hAnsi="Arial" w:cs="Arial"/>
          <w:i/>
          <w:color w:val="FF0000"/>
          <w:sz w:val="24"/>
          <w:szCs w:val="24"/>
          <w:lang w:val="en-CA"/>
        </w:rPr>
      </w:pPr>
      <w:r w:rsidRPr="00187994">
        <w:rPr>
          <w:rFonts w:ascii="Arial" w:hAnsi="Arial" w:cs="Arial"/>
          <w:noProof/>
          <w:sz w:val="24"/>
          <w:szCs w:val="24"/>
          <w:lang w:eastAsia="en-GB"/>
        </w:rPr>
        <mc:AlternateContent>
          <mc:Choice Requires="wps">
            <w:drawing>
              <wp:anchor distT="0" distB="0" distL="114300" distR="114300" simplePos="0" relativeHeight="251675648" behindDoc="0" locked="0" layoutInCell="1" allowOverlap="1" wp14:anchorId="4BB854FD" wp14:editId="58F891AD">
                <wp:simplePos x="0" y="0"/>
                <wp:positionH relativeFrom="column">
                  <wp:posOffset>1991032</wp:posOffset>
                </wp:positionH>
                <wp:positionV relativeFrom="paragraph">
                  <wp:posOffset>2628204</wp:posOffset>
                </wp:positionV>
                <wp:extent cx="2499852" cy="208547"/>
                <wp:effectExtent l="0" t="0" r="15240" b="20320"/>
                <wp:wrapNone/>
                <wp:docPr id="37" name="Rectangle 37"/>
                <wp:cNvGraphicFramePr/>
                <a:graphic xmlns:a="http://schemas.openxmlformats.org/drawingml/2006/main">
                  <a:graphicData uri="http://schemas.microsoft.com/office/word/2010/wordprocessingShape">
                    <wps:wsp>
                      <wps:cNvSpPr/>
                      <wps:spPr>
                        <a:xfrm>
                          <a:off x="0" y="0"/>
                          <a:ext cx="2499852" cy="208547"/>
                        </a:xfrm>
                        <a:prstGeom prst="rect">
                          <a:avLst/>
                        </a:prstGeom>
                        <a:solidFill>
                          <a:sysClr val="window" lastClr="FFFFFF"/>
                        </a:solidFill>
                        <a:ln w="3175" cap="flat" cmpd="sng" algn="ctr">
                          <a:solidFill>
                            <a:sysClr val="windowText" lastClr="000000"/>
                          </a:solidFill>
                          <a:prstDash val="solid"/>
                          <a:miter lim="800000"/>
                        </a:ln>
                        <a:effectLst/>
                      </wps:spPr>
                      <wps:txbx>
                        <w:txbxContent>
                          <w:p w:rsidR="00187994" w:rsidRPr="005103D5" w:rsidRDefault="00187994" w:rsidP="00187994">
                            <w:pPr>
                              <w:ind w:left="-284"/>
                              <w:rPr>
                                <w:sz w:val="16"/>
                                <w:szCs w:val="16"/>
                              </w:rPr>
                            </w:pPr>
                            <w:r>
                              <w:rPr>
                                <w:rFonts w:ascii="Arial" w:hAnsi="Arial" w:cs="Arial"/>
                                <w:sz w:val="16"/>
                                <w:szCs w:val="16"/>
                              </w:rPr>
                              <w:t xml:space="preserve">     </w:t>
                            </w:r>
                            <w:r w:rsidRPr="005103D5">
                              <w:rPr>
                                <w:rFonts w:ascii="Arial" w:hAnsi="Arial" w:cs="Arial"/>
                                <w:sz w:val="16"/>
                                <w:szCs w:val="16"/>
                              </w:rPr>
                              <w:t xml:space="preserve">Figure </w:t>
                            </w:r>
                            <w:r>
                              <w:rPr>
                                <w:rFonts w:ascii="Arial" w:hAnsi="Arial" w:cs="Arial"/>
                                <w:sz w:val="16"/>
                                <w:szCs w:val="16"/>
                              </w:rPr>
                              <w:t>4</w:t>
                            </w:r>
                            <w:r w:rsidRPr="005103D5">
                              <w:rPr>
                                <w:rFonts w:ascii="Arial" w:hAnsi="Arial" w:cs="Arial"/>
                                <w:sz w:val="16"/>
                                <w:szCs w:val="16"/>
                              </w:rPr>
                              <w:t xml:space="preserve">: Study </w:t>
                            </w:r>
                            <w:r>
                              <w:rPr>
                                <w:rFonts w:ascii="Arial" w:hAnsi="Arial" w:cs="Arial"/>
                                <w:sz w:val="16"/>
                                <w:szCs w:val="16"/>
                              </w:rPr>
                              <w:t>s</w:t>
                            </w:r>
                            <w:r w:rsidRPr="005103D5">
                              <w:rPr>
                                <w:rFonts w:ascii="Arial" w:hAnsi="Arial" w:cs="Arial"/>
                                <w:sz w:val="16"/>
                                <w:szCs w:val="16"/>
                              </w:rPr>
                              <w:t xml:space="preserve">ites </w:t>
                            </w:r>
                            <w:r>
                              <w:rPr>
                                <w:rFonts w:ascii="Arial" w:hAnsi="Arial" w:cs="Arial"/>
                                <w:sz w:val="16"/>
                                <w:szCs w:val="16"/>
                              </w:rPr>
                              <w:t>recruitment progress per site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rect w14:anchorId="4BB854FD" id="Rectangle 37" o:spid="_x0000_s1028" style="position:absolute;left:0;text-align:left;margin-left:156.75pt;margin-top:206.95pt;width:196.85pt;height:16.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" fillcolor="window" strokecolor="windowText" strokeweight=".25pt">
                <v:textbox>
                  <w:txbxContent>
                    <w:p w:rsidR="00187994" w:rsidRPr="005103D5" w:rsidRDefault="00187994" w:rsidP="00187994">
                      <w:pPr>
                        <w:ind w:left="-284"/>
                        <w:rPr>
                          <w:sz w:val="16"/>
                          <w:szCs w:val="16"/>
                        </w:rPr>
                      </w:pPr>
                      <w:r>
                        <w:rPr>
                          <w:rFonts w:ascii="Arial" w:hAnsi="Arial" w:cs="Arial"/>
                          <w:sz w:val="16"/>
                          <w:szCs w:val="16"/>
                        </w:rPr>
                        <w:t xml:space="preserve">     </w:t>
                      </w:r>
                      <w:r w:rsidRPr="005103D5">
                        <w:rPr>
                          <w:rFonts w:ascii="Arial" w:hAnsi="Arial" w:cs="Arial"/>
                          <w:sz w:val="16"/>
                          <w:szCs w:val="16"/>
                        </w:rPr>
                        <w:t xml:space="preserve">Figure </w:t>
                      </w:r>
                      <w:r>
                        <w:rPr>
                          <w:rFonts w:ascii="Arial" w:hAnsi="Arial" w:cs="Arial"/>
                          <w:sz w:val="16"/>
                          <w:szCs w:val="16"/>
                        </w:rPr>
                        <w:t>4</w:t>
                      </w:r>
                      <w:r w:rsidRPr="005103D5">
                        <w:rPr>
                          <w:rFonts w:ascii="Arial" w:hAnsi="Arial" w:cs="Arial"/>
                          <w:sz w:val="16"/>
                          <w:szCs w:val="16"/>
                        </w:rPr>
                        <w:t xml:space="preserve">: Study </w:t>
                      </w:r>
                      <w:r>
                        <w:rPr>
                          <w:rFonts w:ascii="Arial" w:hAnsi="Arial" w:cs="Arial"/>
                          <w:sz w:val="16"/>
                          <w:szCs w:val="16"/>
                        </w:rPr>
                        <w:t>s</w:t>
                      </w:r>
                      <w:r w:rsidRPr="005103D5">
                        <w:rPr>
                          <w:rFonts w:ascii="Arial" w:hAnsi="Arial" w:cs="Arial"/>
                          <w:sz w:val="16"/>
                          <w:szCs w:val="16"/>
                        </w:rPr>
                        <w:t xml:space="preserve">ites </w:t>
                      </w:r>
                      <w:r>
                        <w:rPr>
                          <w:rFonts w:ascii="Arial" w:hAnsi="Arial" w:cs="Arial"/>
                          <w:sz w:val="16"/>
                          <w:szCs w:val="16"/>
                        </w:rPr>
                        <w:t>recruitment progress per site</w:t>
                      </w:r>
                    </w:p>
                  </w:txbxContent>
                </v:textbox>
              </v:rect>
            </w:pict>
          </mc:Fallback>
        </mc:AlternateContent>
      </w:r>
      <w:r w:rsidR="00B2627B" w:rsidRPr="003476F0">
        <w:rPr>
          <w:noProof/>
          <w:lang w:eastAsia="en-GB"/>
        </w:rPr>
        <w:drawing>
          <wp:inline distT="0" distB="0" distL="0" distR="0" wp14:anchorId="2F78F04F" wp14:editId="24ABFECD">
            <wp:extent cx="5243051" cy="2629535"/>
            <wp:effectExtent l="0" t="0" r="15240" b="18415"/>
            <wp:docPr id="3" name="Chart 3">
              <a:extLst xmlns:a="http://schemas.openxmlformats.org/drawingml/2006/main">
                <a:ext uri="{FF2B5EF4-FFF2-40B4-BE49-F238E27FC236}">
                  <a16:creationId xmlns:a16="http://schemas.microsoft.com/office/drawing/2014/main" id="{CC52D07E-F0AE-4124-BDF7-11F4BA4220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75289" w:rsidRDefault="00D75289" w:rsidP="00187994">
      <w:pPr>
        <w:spacing w:line="480" w:lineRule="auto"/>
        <w:ind w:left="426"/>
        <w:jc w:val="center"/>
        <w:rPr>
          <w:rFonts w:ascii="Arial" w:hAnsi="Arial" w:cs="Arial"/>
          <w:i/>
          <w:color w:val="FF0000"/>
          <w:sz w:val="24"/>
          <w:szCs w:val="24"/>
          <w:lang w:val="en-CA"/>
        </w:rPr>
      </w:pPr>
      <w:r>
        <w:rPr>
          <w:noProof/>
          <w:lang w:eastAsia="en-GB"/>
        </w:rPr>
        <mc:AlternateContent>
          <mc:Choice Requires="wps">
            <w:drawing>
              <wp:anchor distT="0" distB="0" distL="114300" distR="114300" simplePos="0" relativeHeight="251672576" behindDoc="0" locked="0" layoutInCell="1" allowOverlap="1" wp14:anchorId="7CBE8D6D" wp14:editId="35449A31">
                <wp:simplePos x="0" y="0"/>
                <wp:positionH relativeFrom="column">
                  <wp:posOffset>342900</wp:posOffset>
                </wp:positionH>
                <wp:positionV relativeFrom="paragraph">
                  <wp:posOffset>17780</wp:posOffset>
                </wp:positionV>
                <wp:extent cx="5718810" cy="473075"/>
                <wp:effectExtent l="0" t="0" r="15240" b="22225"/>
                <wp:wrapNone/>
                <wp:docPr id="12" name="Rectangle 12"/>
                <wp:cNvGraphicFramePr/>
                <a:graphic xmlns:a="http://schemas.openxmlformats.org/drawingml/2006/main">
                  <a:graphicData uri="http://schemas.microsoft.com/office/word/2010/wordprocessingShape">
                    <wps:wsp>
                      <wps:cNvSpPr/>
                      <wps:spPr>
                        <a:xfrm>
                          <a:off x="0" y="0"/>
                          <a:ext cx="5718810" cy="473075"/>
                        </a:xfrm>
                        <a:prstGeom prst="rect">
                          <a:avLst/>
                        </a:prstGeom>
                      </wps:spPr>
                      <wps:style>
                        <a:lnRef idx="2">
                          <a:schemeClr val="dk1"/>
                        </a:lnRef>
                        <a:fillRef idx="1">
                          <a:schemeClr val="lt1"/>
                        </a:fillRef>
                        <a:effectRef idx="0">
                          <a:schemeClr val="dk1"/>
                        </a:effectRef>
                        <a:fontRef idx="minor">
                          <a:schemeClr val="dk1"/>
                        </a:fontRef>
                      </wps:style>
                      <wps:txbx>
                        <w:txbxContent>
                          <w:p w:rsidR="002E6D34" w:rsidRPr="005103D5" w:rsidRDefault="002E6D34" w:rsidP="005103D5">
                            <w:pPr>
                              <w:spacing w:after="0" w:line="240" w:lineRule="auto"/>
                              <w:jc w:val="center"/>
                              <w:rPr>
                                <w:rFonts w:ascii="Calibri" w:eastAsia="Times New Roman" w:hAnsi="Calibri" w:cs="Times New Roman"/>
                                <w:color w:val="000000"/>
                                <w:lang w:val="en-ZA" w:eastAsia="en-ZA"/>
                              </w:rPr>
                            </w:pPr>
                            <w:r>
                              <w:rPr>
                                <w:rFonts w:ascii="Calibri" w:eastAsia="Times New Roman" w:hAnsi="Calibri" w:cs="Times New Roman"/>
                                <w:color w:val="000000"/>
                                <w:lang w:val="en-ZA" w:eastAsia="en-ZA"/>
                              </w:rPr>
                              <w:t xml:space="preserve">Figure 4 </w:t>
                            </w:r>
                            <w:r w:rsidRPr="005103D5">
                              <w:rPr>
                                <w:rFonts w:ascii="Calibri" w:eastAsia="Times New Roman" w:hAnsi="Calibri" w:cs="Times New Roman"/>
                                <w:color w:val="000000"/>
                                <w:lang w:val="en-ZA" w:eastAsia="en-ZA"/>
                              </w:rPr>
                              <w:t>The graph</w:t>
                            </w:r>
                            <w:r>
                              <w:rPr>
                                <w:rFonts w:ascii="Calibri" w:eastAsia="Times New Roman" w:hAnsi="Calibri" w:cs="Times New Roman"/>
                                <w:color w:val="000000"/>
                                <w:lang w:val="en-ZA" w:eastAsia="en-ZA"/>
                              </w:rPr>
                              <w:t>s</w:t>
                            </w:r>
                            <w:r w:rsidRPr="005103D5">
                              <w:rPr>
                                <w:rFonts w:ascii="Calibri" w:eastAsia="Times New Roman" w:hAnsi="Calibri" w:cs="Times New Roman"/>
                                <w:color w:val="000000"/>
                                <w:lang w:val="en-ZA" w:eastAsia="en-ZA"/>
                              </w:rPr>
                              <w:t xml:space="preserve"> compares the number of patients enrolled to the number of patients screened (as at </w:t>
                            </w:r>
                            <w:r w:rsidRPr="005103D5">
                              <w:rPr>
                                <w:rFonts w:ascii="Calibri" w:eastAsia="Times New Roman" w:hAnsi="Calibri" w:cs="Times New Roman"/>
                                <w:b/>
                                <w:bCs/>
                                <w:i/>
                                <w:iCs/>
                                <w:color w:val="000000"/>
                                <w:lang w:val="en-ZA" w:eastAsia="en-ZA"/>
                              </w:rPr>
                              <w:t>13 September 2017</w:t>
                            </w:r>
                            <w:r w:rsidRPr="005103D5">
                              <w:rPr>
                                <w:rFonts w:ascii="Calibri" w:eastAsia="Times New Roman" w:hAnsi="Calibri" w:cs="Times New Roman"/>
                                <w:color w:val="000000"/>
                                <w:lang w:val="en-ZA" w:eastAsia="en-ZA"/>
                              </w:rPr>
                              <w:t>) to projected recruitment expected for the individual site.</w:t>
                            </w:r>
                          </w:p>
                          <w:p w:rsidR="002E6D34" w:rsidRDefault="002E6D34" w:rsidP="005103D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rect w14:anchorId="7CBE8D6D" id="Rectangle 12" o:spid="_x0000_s1029" style="position:absolute;left:0;text-align:left;margin-left:27pt;margin-top:1.4pt;width:450.3pt;height:37.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" fillcolor="white [3201]" strokecolor="black [3200]" strokeweight="1pt">
                <v:textbox>
                  <w:txbxContent>
                    <w:p w:rsidR="002E6D34" w:rsidRPr="005103D5" w:rsidRDefault="002E6D34" w:rsidP="005103D5">
                      <w:pPr>
                        <w:spacing w:after="0" w:line="240" w:lineRule="auto"/>
                        <w:jc w:val="center"/>
                        <w:rPr>
                          <w:rFonts w:ascii="Calibri" w:eastAsia="Times New Roman" w:hAnsi="Calibri" w:cs="Times New Roman"/>
                          <w:color w:val="000000"/>
                          <w:lang w:val="en-ZA" w:eastAsia="en-ZA"/>
                        </w:rPr>
                      </w:pPr>
                      <w:r>
                        <w:rPr>
                          <w:rFonts w:ascii="Calibri" w:eastAsia="Times New Roman" w:hAnsi="Calibri" w:cs="Times New Roman"/>
                          <w:color w:val="000000"/>
                          <w:lang w:val="en-ZA" w:eastAsia="en-ZA"/>
                        </w:rPr>
                        <w:t xml:space="preserve">Figure 4 </w:t>
                      </w:r>
                      <w:r w:rsidRPr="005103D5">
                        <w:rPr>
                          <w:rFonts w:ascii="Calibri" w:eastAsia="Times New Roman" w:hAnsi="Calibri" w:cs="Times New Roman"/>
                          <w:color w:val="000000"/>
                          <w:lang w:val="en-ZA" w:eastAsia="en-ZA"/>
                        </w:rPr>
                        <w:t>The graph</w:t>
                      </w:r>
                      <w:r>
                        <w:rPr>
                          <w:rFonts w:ascii="Calibri" w:eastAsia="Times New Roman" w:hAnsi="Calibri" w:cs="Times New Roman"/>
                          <w:color w:val="000000"/>
                          <w:lang w:val="en-ZA" w:eastAsia="en-ZA"/>
                        </w:rPr>
                        <w:t>s</w:t>
                      </w:r>
                      <w:r w:rsidRPr="005103D5">
                        <w:rPr>
                          <w:rFonts w:ascii="Calibri" w:eastAsia="Times New Roman" w:hAnsi="Calibri" w:cs="Times New Roman"/>
                          <w:color w:val="000000"/>
                          <w:lang w:val="en-ZA" w:eastAsia="en-ZA"/>
                        </w:rPr>
                        <w:t xml:space="preserve"> compares the number of patients enrolled to the number of patients screened (as at </w:t>
                      </w:r>
                      <w:r w:rsidRPr="005103D5">
                        <w:rPr>
                          <w:rFonts w:ascii="Calibri" w:eastAsia="Times New Roman" w:hAnsi="Calibri" w:cs="Times New Roman"/>
                          <w:b/>
                          <w:bCs/>
                          <w:i/>
                          <w:iCs/>
                          <w:color w:val="000000"/>
                          <w:lang w:val="en-ZA" w:eastAsia="en-ZA"/>
                        </w:rPr>
                        <w:t>13 September 2017</w:t>
                      </w:r>
                      <w:r w:rsidRPr="005103D5">
                        <w:rPr>
                          <w:rFonts w:ascii="Calibri" w:eastAsia="Times New Roman" w:hAnsi="Calibri" w:cs="Times New Roman"/>
                          <w:color w:val="000000"/>
                          <w:lang w:val="en-ZA" w:eastAsia="en-ZA"/>
                        </w:rPr>
                        <w:t>) to projected recruitment expected for the individual site.</w:t>
                      </w:r>
                    </w:p>
                    <w:p w:rsidR="002E6D34" w:rsidRDefault="002E6D34" w:rsidP="005103D5">
                      <w:pPr>
                        <w:jc w:val="center"/>
                      </w:pPr>
                    </w:p>
                  </w:txbxContent>
                </v:textbox>
              </v:rect>
            </w:pict>
          </mc:Fallback>
        </mc:AlternateContent>
      </w:r>
    </w:p>
    <w:p w:rsidR="00B2627B" w:rsidRPr="00276E7E" w:rsidRDefault="00B2627B" w:rsidP="00207EFE">
      <w:pPr>
        <w:spacing w:line="480" w:lineRule="auto"/>
        <w:jc w:val="both"/>
        <w:rPr>
          <w:rFonts w:ascii="Arial" w:hAnsi="Arial" w:cs="Arial"/>
          <w:i/>
          <w:color w:val="FF0000"/>
          <w:sz w:val="18"/>
          <w:szCs w:val="18"/>
          <w:lang w:val="en-CA"/>
        </w:rPr>
      </w:pPr>
    </w:p>
    <w:p w:rsidR="00B2627B" w:rsidRPr="005103D5" w:rsidRDefault="00187994" w:rsidP="00187994">
      <w:pPr>
        <w:spacing w:line="480" w:lineRule="auto"/>
        <w:ind w:left="426"/>
        <w:jc w:val="center"/>
        <w:rPr>
          <w:rFonts w:ascii="Arial" w:hAnsi="Arial" w:cs="Arial"/>
          <w:i/>
          <w:color w:val="FF0000"/>
          <w:sz w:val="24"/>
          <w:szCs w:val="24"/>
          <w:lang w:val="en-CA"/>
        </w:rPr>
      </w:pPr>
      <w:r w:rsidRPr="00187994">
        <w:rPr>
          <w:rFonts w:ascii="Arial" w:hAnsi="Arial" w:cs="Arial"/>
          <w:noProof/>
          <w:sz w:val="24"/>
          <w:szCs w:val="24"/>
          <w:lang w:eastAsia="en-GB"/>
        </w:rPr>
        <mc:AlternateContent>
          <mc:Choice Requires="wps">
            <w:drawing>
              <wp:anchor distT="0" distB="0" distL="114300" distR="114300" simplePos="0" relativeHeight="251677696" behindDoc="0" locked="0" layoutInCell="1" allowOverlap="1" wp14:anchorId="62F6828E" wp14:editId="4C46FA83">
                <wp:simplePos x="0" y="0"/>
                <wp:positionH relativeFrom="column">
                  <wp:posOffset>1533648</wp:posOffset>
                </wp:positionH>
                <wp:positionV relativeFrom="paragraph">
                  <wp:posOffset>3059676</wp:posOffset>
                </wp:positionV>
                <wp:extent cx="3605817" cy="250722"/>
                <wp:effectExtent l="0" t="0" r="13970" b="16510"/>
                <wp:wrapNone/>
                <wp:docPr id="38" name="Rectangle 38"/>
                <wp:cNvGraphicFramePr/>
                <a:graphic xmlns:a="http://schemas.openxmlformats.org/drawingml/2006/main">
                  <a:graphicData uri="http://schemas.microsoft.com/office/word/2010/wordprocessingShape">
                    <wps:wsp>
                      <wps:cNvSpPr/>
                      <wps:spPr>
                        <a:xfrm>
                          <a:off x="0" y="0"/>
                          <a:ext cx="3605817" cy="250722"/>
                        </a:xfrm>
                        <a:prstGeom prst="rect">
                          <a:avLst/>
                        </a:prstGeom>
                        <a:solidFill>
                          <a:sysClr val="window" lastClr="FFFFFF"/>
                        </a:solidFill>
                        <a:ln w="3175" cap="flat" cmpd="sng" algn="ctr">
                          <a:solidFill>
                            <a:sysClr val="windowText" lastClr="000000"/>
                          </a:solidFill>
                          <a:prstDash val="solid"/>
                          <a:miter lim="800000"/>
                        </a:ln>
                        <a:effectLst/>
                      </wps:spPr>
                      <wps:txbx>
                        <w:txbxContent>
                          <w:p w:rsidR="00187994" w:rsidRPr="005103D5" w:rsidRDefault="00187994" w:rsidP="00187994">
                            <w:pPr>
                              <w:ind w:left="-284"/>
                              <w:rPr>
                                <w:sz w:val="16"/>
                                <w:szCs w:val="16"/>
                              </w:rPr>
                            </w:pPr>
                            <w:r>
                              <w:rPr>
                                <w:rFonts w:ascii="Arial" w:hAnsi="Arial" w:cs="Arial"/>
                                <w:sz w:val="16"/>
                                <w:szCs w:val="16"/>
                              </w:rPr>
                              <w:t xml:space="preserve">     </w:t>
                            </w:r>
                            <w:r w:rsidRPr="005103D5">
                              <w:rPr>
                                <w:rFonts w:ascii="Arial" w:hAnsi="Arial" w:cs="Arial"/>
                                <w:sz w:val="16"/>
                                <w:szCs w:val="16"/>
                              </w:rPr>
                              <w:t xml:space="preserve">Figure </w:t>
                            </w:r>
                            <w:r w:rsidR="00F46E82">
                              <w:rPr>
                                <w:rFonts w:ascii="Arial" w:hAnsi="Arial" w:cs="Arial"/>
                                <w:sz w:val="16"/>
                                <w:szCs w:val="16"/>
                              </w:rPr>
                              <w:t>5</w:t>
                            </w:r>
                            <w:r w:rsidRPr="005103D5">
                              <w:rPr>
                                <w:rFonts w:ascii="Arial" w:hAnsi="Arial" w:cs="Arial"/>
                                <w:sz w:val="16"/>
                                <w:szCs w:val="16"/>
                              </w:rPr>
                              <w:t xml:space="preserve">: </w:t>
                            </w:r>
                            <w:r>
                              <w:rPr>
                                <w:rFonts w:ascii="Arial" w:hAnsi="Arial" w:cs="Arial"/>
                                <w:sz w:val="16"/>
                                <w:szCs w:val="16"/>
                              </w:rPr>
                              <w:t xml:space="preserve">CREOLE Recruitment weekly Projections and study status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w:pict>
              <v:rect w14:anchorId="62F6828E" id="Rectangle 38" o:spid="_x0000_s1030" style="position:absolute;left:0;text-align:left;margin-left:120.75pt;margin-top:240.9pt;width:283.9pt;height:1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" fillcolor="window" strokecolor="windowText" strokeweight=".25pt">
                <v:textbox>
                  <w:txbxContent>
                    <w:p w:rsidR="00187994" w:rsidRPr="005103D5" w:rsidRDefault="00187994" w:rsidP="00187994">
                      <w:pPr>
                        <w:ind w:left="-284"/>
                        <w:rPr>
                          <w:sz w:val="16"/>
                          <w:szCs w:val="16"/>
                        </w:rPr>
                      </w:pPr>
                      <w:r>
                        <w:rPr>
                          <w:rFonts w:ascii="Arial" w:hAnsi="Arial" w:cs="Arial"/>
                          <w:sz w:val="16"/>
                          <w:szCs w:val="16"/>
                        </w:rPr>
                        <w:t xml:space="preserve">     </w:t>
                      </w:r>
                      <w:r w:rsidRPr="005103D5">
                        <w:rPr>
                          <w:rFonts w:ascii="Arial" w:hAnsi="Arial" w:cs="Arial"/>
                          <w:sz w:val="16"/>
                          <w:szCs w:val="16"/>
                        </w:rPr>
                        <w:t xml:space="preserve">Figure </w:t>
                      </w:r>
                      <w:r w:rsidR="00F46E82">
                        <w:rPr>
                          <w:rFonts w:ascii="Arial" w:hAnsi="Arial" w:cs="Arial"/>
                          <w:sz w:val="16"/>
                          <w:szCs w:val="16"/>
                        </w:rPr>
                        <w:t>5</w:t>
                      </w:r>
                      <w:r w:rsidRPr="005103D5">
                        <w:rPr>
                          <w:rFonts w:ascii="Arial" w:hAnsi="Arial" w:cs="Arial"/>
                          <w:sz w:val="16"/>
                          <w:szCs w:val="16"/>
                        </w:rPr>
                        <w:t xml:space="preserve">: </w:t>
                      </w:r>
                      <w:r>
                        <w:rPr>
                          <w:rFonts w:ascii="Arial" w:hAnsi="Arial" w:cs="Arial"/>
                          <w:sz w:val="16"/>
                          <w:szCs w:val="16"/>
                        </w:rPr>
                        <w:t xml:space="preserve">CREOLE Recruitment weekly Projections and study status </w:t>
                      </w:r>
                    </w:p>
                  </w:txbxContent>
                </v:textbox>
              </v:rect>
            </w:pict>
          </mc:Fallback>
        </mc:AlternateContent>
      </w:r>
      <w:r w:rsidR="00AE7BC5" w:rsidRPr="00AE12FA">
        <w:rPr>
          <w:noProof/>
          <w:sz w:val="16"/>
          <w:szCs w:val="16"/>
          <w:lang w:eastAsia="en-GB"/>
        </w:rPr>
        <w:drawing>
          <wp:inline distT="0" distB="0" distL="0" distR="0" wp14:anchorId="5F6CF344" wp14:editId="4FA439B6">
            <wp:extent cx="5176520" cy="3045460"/>
            <wp:effectExtent l="0" t="0" r="5080" b="2540"/>
            <wp:docPr id="35" name="Chart 35">
              <a:extLst xmlns:a="http://schemas.openxmlformats.org/drawingml/2006/main">
                <a:ext uri="{FF2B5EF4-FFF2-40B4-BE49-F238E27FC236}">
                  <a16:creationId xmlns:a16="http://schemas.microsoft.com/office/drawing/2014/main" id="{633EC25C-CD31-474E-A46D-135EF82F01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10B03" w:rsidRDefault="00410B03" w:rsidP="00207EFE">
      <w:pPr>
        <w:spacing w:line="480" w:lineRule="auto"/>
        <w:jc w:val="both"/>
        <w:rPr>
          <w:noProof/>
          <w:lang w:val="en-ZA" w:eastAsia="en-ZA"/>
        </w:rPr>
      </w:pPr>
    </w:p>
    <w:p w:rsidR="00410B03" w:rsidRDefault="00410B03" w:rsidP="00207EFE">
      <w:pPr>
        <w:spacing w:line="480" w:lineRule="auto"/>
        <w:jc w:val="both"/>
        <w:rPr>
          <w:noProof/>
          <w:lang w:val="en-ZA" w:eastAsia="en-ZA"/>
        </w:rPr>
      </w:pPr>
    </w:p>
    <w:p w:rsidR="00AE6632" w:rsidRPr="002700AC" w:rsidRDefault="005103D5" w:rsidP="00D75289">
      <w:pPr>
        <w:spacing w:line="480" w:lineRule="auto"/>
        <w:jc w:val="both"/>
        <w:rPr>
          <w:rFonts w:ascii="Arial" w:eastAsiaTheme="minorHAnsi" w:hAnsi="Arial" w:cs="Arial"/>
          <w:b/>
          <w:sz w:val="24"/>
          <w:szCs w:val="24"/>
          <w:lang w:val="en-US"/>
        </w:rPr>
      </w:pPr>
      <w:r w:rsidRPr="005103D5">
        <w:rPr>
          <w:noProof/>
          <w:lang w:val="en-ZA" w:eastAsia="en-ZA"/>
        </w:rPr>
        <w:t xml:space="preserve"> </w:t>
      </w:r>
      <w:r w:rsidR="00400768" w:rsidRPr="002700AC">
        <w:rPr>
          <w:rFonts w:ascii="Arial" w:eastAsiaTheme="minorHAnsi" w:hAnsi="Arial" w:cs="Arial"/>
          <w:b/>
          <w:sz w:val="24"/>
          <w:szCs w:val="24"/>
          <w:lang w:val="en-US"/>
        </w:rPr>
        <w:t>SUMMARY</w:t>
      </w:r>
    </w:p>
    <w:p w:rsidR="00757125" w:rsidRPr="002700AC" w:rsidRDefault="00757125" w:rsidP="00207EFE">
      <w:pPr>
        <w:spacing w:after="200" w:line="480" w:lineRule="auto"/>
        <w:jc w:val="both"/>
        <w:rPr>
          <w:rFonts w:ascii="Arial" w:hAnsi="Arial" w:cs="Arial"/>
          <w:sz w:val="24"/>
          <w:szCs w:val="24"/>
        </w:rPr>
      </w:pPr>
      <w:r w:rsidRPr="002700AC">
        <w:rPr>
          <w:rFonts w:ascii="Arial" w:hAnsi="Arial" w:cs="Arial"/>
          <w:sz w:val="24"/>
          <w:szCs w:val="24"/>
          <w:lang w:val="en-CA"/>
        </w:rPr>
        <w:t>The CREOLE study when completed will</w:t>
      </w:r>
      <w:r w:rsidR="0034654E" w:rsidRPr="002700AC">
        <w:rPr>
          <w:rFonts w:ascii="Arial" w:hAnsi="Arial" w:cs="Arial"/>
          <w:sz w:val="24"/>
          <w:szCs w:val="24"/>
          <w:lang w:val="en-CA"/>
        </w:rPr>
        <w:t xml:space="preserve"> be</w:t>
      </w:r>
      <w:r w:rsidRPr="002700AC">
        <w:rPr>
          <w:rFonts w:ascii="Arial" w:hAnsi="Arial" w:cs="Arial"/>
          <w:sz w:val="24"/>
          <w:szCs w:val="24"/>
          <w:lang w:val="en-CA"/>
        </w:rPr>
        <w:t xml:space="preserve"> the</w:t>
      </w:r>
      <w:r w:rsidR="0034654E" w:rsidRPr="002700AC">
        <w:rPr>
          <w:rFonts w:ascii="Arial" w:hAnsi="Arial" w:cs="Arial"/>
          <w:sz w:val="24"/>
          <w:szCs w:val="24"/>
          <w:lang w:val="en-CA"/>
        </w:rPr>
        <w:t xml:space="preserve"> </w:t>
      </w:r>
      <w:r w:rsidRPr="002700AC">
        <w:rPr>
          <w:rFonts w:ascii="Arial" w:hAnsi="Arial" w:cs="Arial"/>
          <w:sz w:val="24"/>
          <w:szCs w:val="24"/>
        </w:rPr>
        <w:t>first RCT to prospectively compare the efficacy of three front-line anti- hypertensive combinations therapy in blacks residing in sub Saharan Africa. The results of this trial will provide unique data for evidence-based treatment of hypertension in the sub region.</w:t>
      </w:r>
    </w:p>
    <w:p w:rsidR="00757125" w:rsidRPr="002700AC" w:rsidRDefault="00400768" w:rsidP="00207EFE">
      <w:pPr>
        <w:spacing w:after="200" w:line="480" w:lineRule="auto"/>
        <w:jc w:val="both"/>
        <w:rPr>
          <w:rFonts w:ascii="Arial" w:eastAsiaTheme="minorHAnsi" w:hAnsi="Arial" w:cs="Arial"/>
          <w:b/>
          <w:sz w:val="24"/>
          <w:szCs w:val="24"/>
          <w:lang w:val="en-US"/>
        </w:rPr>
      </w:pPr>
      <w:r w:rsidRPr="002700AC">
        <w:rPr>
          <w:rFonts w:ascii="Arial" w:eastAsiaTheme="minorHAnsi" w:hAnsi="Arial" w:cs="Arial"/>
          <w:b/>
          <w:sz w:val="24"/>
          <w:szCs w:val="24"/>
          <w:lang w:val="en-US"/>
        </w:rPr>
        <w:t xml:space="preserve"> DISCLOSURE</w:t>
      </w:r>
    </w:p>
    <w:p w:rsidR="00757125" w:rsidRPr="002700AC" w:rsidRDefault="00FE1019" w:rsidP="00207EFE">
      <w:pPr>
        <w:spacing w:after="200" w:line="480" w:lineRule="auto"/>
        <w:jc w:val="both"/>
        <w:rPr>
          <w:rFonts w:ascii="Arial" w:eastAsiaTheme="minorHAnsi" w:hAnsi="Arial" w:cs="Arial"/>
          <w:sz w:val="24"/>
          <w:szCs w:val="24"/>
          <w:lang w:val="en-US"/>
        </w:rPr>
      </w:pPr>
      <w:r w:rsidRPr="002700AC">
        <w:rPr>
          <w:rFonts w:ascii="Arial" w:eastAsiaTheme="minorHAnsi" w:hAnsi="Arial" w:cs="Arial"/>
          <w:sz w:val="24"/>
          <w:szCs w:val="24"/>
          <w:lang w:val="en-US"/>
        </w:rPr>
        <w:t>CREOLE study is registered with ClinicalTrials.gov (NCT02742467). The authors are solely responsible for the design and conduct of the study. They are also responsible for all the study analysis</w:t>
      </w:r>
      <w:r w:rsidR="002C6561" w:rsidRPr="002700AC">
        <w:rPr>
          <w:rFonts w:ascii="Arial" w:eastAsiaTheme="minorHAnsi" w:hAnsi="Arial" w:cs="Arial"/>
          <w:sz w:val="24"/>
          <w:szCs w:val="24"/>
          <w:lang w:val="en-US"/>
        </w:rPr>
        <w:t>, the drafting and editing of manuscript and its final content. The authors have no conflicts of interest.</w:t>
      </w:r>
      <w:r w:rsidR="00E22077" w:rsidRPr="002700AC">
        <w:rPr>
          <w:rFonts w:ascii="Arial" w:eastAsiaTheme="minorHAnsi" w:hAnsi="Arial" w:cs="Arial"/>
          <w:sz w:val="24"/>
          <w:szCs w:val="24"/>
          <w:lang w:val="en-US"/>
        </w:rPr>
        <w:t xml:space="preserve"> NP has however received speaker and advisory board honoraria from several companies producing blood pressure lowering agents.</w:t>
      </w:r>
    </w:p>
    <w:p w:rsidR="000F0FD9" w:rsidRPr="002700AC" w:rsidRDefault="00265237" w:rsidP="00207EFE">
      <w:pPr>
        <w:spacing w:after="200" w:line="480" w:lineRule="auto"/>
        <w:jc w:val="both"/>
        <w:rPr>
          <w:rFonts w:ascii="Arial" w:eastAsiaTheme="minorHAnsi" w:hAnsi="Arial" w:cs="Arial"/>
          <w:b/>
          <w:sz w:val="24"/>
          <w:szCs w:val="24"/>
          <w:lang w:val="en-US"/>
        </w:rPr>
      </w:pPr>
      <w:r>
        <w:rPr>
          <w:rFonts w:ascii="Arial" w:eastAsiaTheme="minorHAnsi" w:hAnsi="Arial" w:cs="Arial"/>
          <w:b/>
          <w:sz w:val="24"/>
          <w:szCs w:val="24"/>
          <w:lang w:val="en-US"/>
        </w:rPr>
        <w:t xml:space="preserve">FUNDING/ </w:t>
      </w:r>
      <w:r w:rsidR="00421A5B" w:rsidRPr="002700AC">
        <w:rPr>
          <w:rFonts w:ascii="Arial" w:eastAsiaTheme="minorHAnsi" w:hAnsi="Arial" w:cs="Arial"/>
          <w:b/>
          <w:sz w:val="24"/>
          <w:szCs w:val="24"/>
          <w:lang w:val="en-US"/>
        </w:rPr>
        <w:t>CONTRIBUTIONS / ACKNOWLEDGEMENTS</w:t>
      </w:r>
    </w:p>
    <w:p w:rsidR="000F0FD9" w:rsidRPr="002700AC" w:rsidRDefault="00265237" w:rsidP="00207EFE">
      <w:pPr>
        <w:spacing w:after="200" w:line="480" w:lineRule="auto"/>
        <w:jc w:val="both"/>
        <w:rPr>
          <w:rFonts w:ascii="Arial" w:eastAsiaTheme="minorHAnsi" w:hAnsi="Arial" w:cs="Arial"/>
          <w:sz w:val="24"/>
          <w:szCs w:val="24"/>
          <w:lang w:val="en-US"/>
        </w:rPr>
      </w:pPr>
      <w:r w:rsidRPr="002700AC">
        <w:rPr>
          <w:rFonts w:ascii="Arial" w:eastAsiaTheme="minorHAnsi" w:hAnsi="Arial" w:cs="Arial"/>
          <w:sz w:val="24"/>
          <w:szCs w:val="24"/>
          <w:lang w:val="en-US"/>
        </w:rPr>
        <w:t>Funding for the trial was provided by the GlaxoSmithKline Africa Non-Communicable Disease Open Lab Grant (Project Number: 8264). The investigational medicinal products were donated by Aspen Pharmacare as part of their educational grant.</w:t>
      </w:r>
      <w:r>
        <w:rPr>
          <w:rFonts w:ascii="Arial" w:eastAsiaTheme="minorHAnsi" w:hAnsi="Arial" w:cs="Arial"/>
          <w:sz w:val="24"/>
          <w:szCs w:val="24"/>
          <w:lang w:val="en-US"/>
        </w:rPr>
        <w:t xml:space="preserve"> </w:t>
      </w:r>
      <w:r w:rsidR="000F0FD9" w:rsidRPr="002700AC">
        <w:rPr>
          <w:rFonts w:ascii="Arial" w:eastAsiaTheme="minorHAnsi" w:hAnsi="Arial" w:cs="Arial"/>
          <w:sz w:val="24"/>
          <w:szCs w:val="24"/>
          <w:lang w:val="en-US"/>
        </w:rPr>
        <w:t>DO</w:t>
      </w:r>
      <w:r w:rsidR="00DB0111" w:rsidRPr="002700AC">
        <w:rPr>
          <w:rFonts w:ascii="Arial" w:eastAsiaTheme="minorHAnsi" w:hAnsi="Arial" w:cs="Arial"/>
          <w:sz w:val="24"/>
          <w:szCs w:val="24"/>
          <w:lang w:val="en-US"/>
        </w:rPr>
        <w:t xml:space="preserve"> and NP</w:t>
      </w:r>
      <w:r w:rsidR="000F0FD9" w:rsidRPr="002700AC">
        <w:rPr>
          <w:rFonts w:ascii="Arial" w:eastAsiaTheme="minorHAnsi" w:hAnsi="Arial" w:cs="Arial"/>
          <w:sz w:val="24"/>
          <w:szCs w:val="24"/>
          <w:lang w:val="en-US"/>
        </w:rPr>
        <w:t xml:space="preserve"> conceived the study and together with </w:t>
      </w:r>
      <w:r w:rsidR="00DB0111" w:rsidRPr="002700AC">
        <w:rPr>
          <w:rFonts w:ascii="Arial" w:eastAsiaTheme="minorHAnsi" w:hAnsi="Arial" w:cs="Arial"/>
          <w:sz w:val="24"/>
          <w:szCs w:val="24"/>
          <w:lang w:val="en-US"/>
        </w:rPr>
        <w:t xml:space="preserve">BMM </w:t>
      </w:r>
      <w:r w:rsidR="000F0FD9" w:rsidRPr="002700AC">
        <w:rPr>
          <w:rFonts w:ascii="Arial" w:eastAsiaTheme="minorHAnsi" w:hAnsi="Arial" w:cs="Arial"/>
          <w:sz w:val="24"/>
          <w:szCs w:val="24"/>
          <w:lang w:val="en-US"/>
        </w:rPr>
        <w:t xml:space="preserve">who also gave conceptual advice, and edited the manuscript; </w:t>
      </w:r>
      <w:r w:rsidR="009F03AE" w:rsidRPr="002700AC">
        <w:rPr>
          <w:rFonts w:ascii="Arial" w:eastAsiaTheme="minorHAnsi" w:hAnsi="Arial" w:cs="Arial"/>
          <w:sz w:val="24"/>
          <w:szCs w:val="24"/>
          <w:lang w:val="en-US"/>
        </w:rPr>
        <w:t>DO, NP, BMM and VF</w:t>
      </w:r>
      <w:r w:rsidR="000F0FD9" w:rsidRPr="002700AC">
        <w:rPr>
          <w:rFonts w:ascii="Arial" w:eastAsiaTheme="minorHAnsi" w:hAnsi="Arial" w:cs="Arial"/>
          <w:sz w:val="24"/>
          <w:szCs w:val="24"/>
          <w:lang w:val="en-US"/>
        </w:rPr>
        <w:t xml:space="preserve"> wrote the protocol and</w:t>
      </w:r>
      <w:r w:rsidR="009F03AE" w:rsidRPr="002700AC">
        <w:rPr>
          <w:rFonts w:ascii="Arial" w:eastAsiaTheme="minorHAnsi" w:hAnsi="Arial" w:cs="Arial"/>
          <w:sz w:val="24"/>
          <w:szCs w:val="24"/>
          <w:lang w:val="en-US"/>
        </w:rPr>
        <w:t xml:space="preserve"> designed the study.  NK and WS</w:t>
      </w:r>
      <w:r w:rsidR="000F0FD9" w:rsidRPr="002700AC">
        <w:rPr>
          <w:rFonts w:ascii="Arial" w:eastAsiaTheme="minorHAnsi" w:hAnsi="Arial" w:cs="Arial"/>
          <w:sz w:val="24"/>
          <w:szCs w:val="24"/>
          <w:lang w:val="en-US"/>
        </w:rPr>
        <w:t xml:space="preserve"> contributed to the </w:t>
      </w:r>
      <w:r w:rsidR="009F03AE" w:rsidRPr="002700AC">
        <w:rPr>
          <w:rFonts w:ascii="Arial" w:eastAsiaTheme="minorHAnsi" w:hAnsi="Arial" w:cs="Arial"/>
          <w:sz w:val="24"/>
          <w:szCs w:val="24"/>
          <w:lang w:val="en-US"/>
        </w:rPr>
        <w:t xml:space="preserve">pharmaceutical </w:t>
      </w:r>
      <w:r w:rsidR="000F0FD9" w:rsidRPr="002700AC">
        <w:rPr>
          <w:rFonts w:ascii="Arial" w:eastAsiaTheme="minorHAnsi" w:hAnsi="Arial" w:cs="Arial"/>
          <w:sz w:val="24"/>
          <w:szCs w:val="24"/>
          <w:lang w:val="en-US"/>
        </w:rPr>
        <w:t>design of the study</w:t>
      </w:r>
      <w:r w:rsidR="009F03AE" w:rsidRPr="002700AC">
        <w:rPr>
          <w:rFonts w:ascii="Arial" w:eastAsiaTheme="minorHAnsi" w:hAnsi="Arial" w:cs="Arial"/>
          <w:sz w:val="24"/>
          <w:szCs w:val="24"/>
          <w:lang w:val="en-US"/>
        </w:rPr>
        <w:t xml:space="preserve">. </w:t>
      </w:r>
      <w:r w:rsidR="000F0FD9" w:rsidRPr="002700AC">
        <w:rPr>
          <w:rFonts w:ascii="Arial" w:eastAsiaTheme="minorHAnsi" w:hAnsi="Arial" w:cs="Arial"/>
          <w:sz w:val="24"/>
          <w:szCs w:val="24"/>
          <w:lang w:val="en-US"/>
        </w:rPr>
        <w:t>All authors read and approved the final draft of the manuscript.</w:t>
      </w:r>
    </w:p>
    <w:p w:rsidR="000F0FD9" w:rsidRDefault="000F0FD9" w:rsidP="00207EFE">
      <w:pPr>
        <w:spacing w:after="200" w:line="480" w:lineRule="auto"/>
        <w:jc w:val="both"/>
        <w:rPr>
          <w:rFonts w:ascii="Arial" w:eastAsiaTheme="minorHAnsi" w:hAnsi="Arial" w:cs="Arial"/>
          <w:b/>
          <w:sz w:val="24"/>
          <w:szCs w:val="24"/>
          <w:lang w:val="en-US"/>
        </w:rPr>
      </w:pPr>
    </w:p>
    <w:p w:rsidR="00602B20" w:rsidRDefault="00602B20" w:rsidP="00207EFE">
      <w:pPr>
        <w:spacing w:after="200" w:line="480" w:lineRule="auto"/>
        <w:jc w:val="both"/>
        <w:rPr>
          <w:rFonts w:ascii="Arial" w:eastAsiaTheme="minorHAnsi" w:hAnsi="Arial" w:cs="Arial"/>
          <w:b/>
          <w:sz w:val="24"/>
          <w:szCs w:val="24"/>
          <w:lang w:val="en-US"/>
        </w:rPr>
      </w:pPr>
    </w:p>
    <w:p w:rsidR="00602B20" w:rsidRPr="002700AC" w:rsidRDefault="00602B20" w:rsidP="00207EFE">
      <w:pPr>
        <w:spacing w:after="200" w:line="480" w:lineRule="auto"/>
        <w:jc w:val="both"/>
        <w:rPr>
          <w:rFonts w:ascii="Arial" w:eastAsiaTheme="minorHAnsi" w:hAnsi="Arial" w:cs="Arial"/>
          <w:b/>
          <w:sz w:val="24"/>
          <w:szCs w:val="24"/>
          <w:lang w:val="en-US"/>
        </w:rPr>
      </w:pPr>
    </w:p>
    <w:p w:rsidR="007E4F38" w:rsidRPr="002700AC" w:rsidRDefault="00400768" w:rsidP="00207EFE">
      <w:pPr>
        <w:spacing w:after="200" w:line="480" w:lineRule="auto"/>
        <w:jc w:val="both"/>
        <w:rPr>
          <w:rFonts w:ascii="Arial" w:eastAsiaTheme="minorHAnsi" w:hAnsi="Arial" w:cs="Arial"/>
          <w:b/>
          <w:sz w:val="24"/>
          <w:szCs w:val="24"/>
          <w:lang w:val="en-US"/>
        </w:rPr>
      </w:pPr>
      <w:r w:rsidRPr="002700AC">
        <w:rPr>
          <w:rFonts w:ascii="Arial" w:eastAsiaTheme="minorHAnsi" w:hAnsi="Arial" w:cs="Arial"/>
          <w:b/>
          <w:sz w:val="24"/>
          <w:szCs w:val="24"/>
          <w:lang w:val="en-US"/>
        </w:rPr>
        <w:t>REFERENCES</w:t>
      </w:r>
    </w:p>
    <w:p w:rsidR="007E4F38" w:rsidRPr="002700AC" w:rsidRDefault="007E4F38" w:rsidP="00207EFE">
      <w:pPr>
        <w:numPr>
          <w:ilvl w:val="0"/>
          <w:numId w:val="14"/>
        </w:numPr>
        <w:spacing w:after="200" w:line="480" w:lineRule="auto"/>
        <w:ind w:left="567" w:hanging="425"/>
        <w:jc w:val="both"/>
        <w:rPr>
          <w:rFonts w:ascii="Arial" w:hAnsi="Arial" w:cs="Arial"/>
          <w:noProof/>
          <w:sz w:val="24"/>
          <w:szCs w:val="24"/>
          <w:lang w:val="en-US"/>
        </w:rPr>
      </w:pPr>
      <w:r w:rsidRPr="002700AC">
        <w:rPr>
          <w:rFonts w:ascii="Arial" w:hAnsi="Arial" w:cs="Arial"/>
          <w:noProof/>
          <w:sz w:val="24"/>
          <w:szCs w:val="24"/>
          <w:lang w:val="en-US"/>
        </w:rPr>
        <w:t xml:space="preserve">Poulter NR, Prabhakaran D, Caulfield M. Hypertension. Lancet. </w:t>
      </w:r>
      <w:r w:rsidR="00C3277F" w:rsidRPr="002700AC">
        <w:rPr>
          <w:rFonts w:ascii="Arial" w:hAnsi="Arial" w:cs="Arial"/>
          <w:noProof/>
          <w:sz w:val="24"/>
          <w:szCs w:val="24"/>
          <w:lang w:val="en-US"/>
        </w:rPr>
        <w:t xml:space="preserve">   </w:t>
      </w:r>
      <w:r w:rsidRPr="002700AC">
        <w:rPr>
          <w:rFonts w:ascii="Arial" w:hAnsi="Arial" w:cs="Arial"/>
          <w:noProof/>
          <w:sz w:val="24"/>
          <w:szCs w:val="24"/>
          <w:lang w:val="en-US"/>
        </w:rPr>
        <w:t>2015;386(9995):801-12.</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Lim SS, Vos T, Flaxman AD, Danaei G, Shibuya K, Adair-Rohani H, et al. A comparative risk assessment of burden of disease and injury attributable to 67 risk factors and risk factor clusters in 21 regions, 1990-2010: a systematic analysis for the Global Burden of Disease Study 2010. Lancet. 2012;380(9859):2224-60.</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Law MR, Morris JK, Wald NJ. Use of blood pressure lowering drugs in the prevention of cardiovascular disease: meta-analysis of 147 randomised trials in the context of expectations from prospective epidemiological studies. BMJ. 2009;338:b1665.</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Collins R, Peto R, MacMahon S, Hebert P, Fiebach NH, Eberlein KA, et al. Blood pressure, stroke, and coronary heart disease. Part 2, Short-term reductions in blood pressure: overview of randomised drug trials in their epidemiological context. Lancet. 1990;335(8693):827-38.</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Lewington S, Clarke R, Qizilbah N, Peto R, Collins R; Prospective Collaboration. Age-specific relevance of usual blood pressure to vascular mortality: a meta-analysis of individual data for one million adults in 61 prospective studies. Lancet 2002; 360:1903-1913</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Cushman WC, Ford CE, Cutler JA, Margolis KL, Davis BR, Grimm RH, et al. Success and predictors of blood pressure control in diverse North American settings: the antihypertensive and lipid-lowering treatment to prevent heart attack trial (ALLHAT). Journal of clinical hypertension. 2002;4(6):393-404.</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Collins R, Peto R. Antihypertensive drug therapy: Effects of Stroke and Coronary Heart     Disease. In: Textbook of Hypertension. UK: Blackwell Scientific Publications; 1994.</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 xml:space="preserve">Law MR, Morris JK, Wald NJ. Use of blood pressure lowering drugs in the prevention of cardiovascular disease: meta-analysis of 147 randomised trials in the context of expectations from prospective epidemiological studies. BMJ 2009; 19:338:b1665      </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 xml:space="preserve">  Turnbull F, Blood Pressure Lowering Treatment Tialists’ Collaboration. Effects of different blood-pressure-lowering regimens on major cardiovascular events: results of prospectively-designed overviews of randomised trials. Lancet 2003; 362:1527-1535</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 xml:space="preserve"> Jamerson K, Weber MA, Bakris GL, Dahlof B, Pitt B, Shi V, et al. Benazepril plus amlodipine or hydrochlorothiazide for hypertension in high-risk patients. The New England Journal of Medicine. 2008;359(23):2417-28.</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 xml:space="preserve"> Appel LJ, Wright JT, Jr., Greene T, Agodoa LY, Astor BC, Bakris GL, et al. Intensive blood-pressure control in hypertensive chronic kidney disease. The New England Journal of Medicine. 2010;363(10):918-29.</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 xml:space="preserve"> Schrier RW, Estacio RO, Jeffers B. Appropriate Blood Pressure Control in NIDDM (ABCD) Trial. Diabetologia. 1996;39(12):1646-54.</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 xml:space="preserve"> Ostergren J, Poulter NR, Sever PS, Dahlof B, Wedel H, Beevers G, et al. The Anglo-Scandinavian Cardiac Outcomes Trial: blood pressure-lowering limb: effects in patients with type II diabetes. Journal of Hypertension. 2008;26(11):2103-11.</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Hansson L, Zanchetti A, Carruthers SG, Dahlof B, Elmfeldt D, Julius S, et al. Effects of intensive blood-pressure lowering and low-dose aspirin in patients with hypertension: principal results of the Hypertension Optimal Treatment (HOT) randomised trial. HOT Study Group. Lancet. 1998;351(9118):1755-62.</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Hebert LA, Kusek JW, Greene T, Agodoa LY, Jones CA, Levey AS, et al. Effects of blood pressure control on progressive renal disease in blacks and whites. Modification of Diet in Renal Disease Study Group. Hypertension. 1997;30(3 Pt 1):428-35.</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Brenner BM, Cooper ME, de Zeeuw D, Keane WF, Mitch WE, Parving HH, et al. Effects of losartan on renal and cardiovascular outcomes in patients with type 2 diabetes and nephropathy. New England Journal of Medicine. 2001;345(12):861-9</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Blacher J, Halimi JM, Hanon O, Mourad JJ, Pathak A, Schnebert B, et al. Management of hypertension in adults: the 2013 French Society of Hypertension guidelines. Fundamental &amp; clinical pharmacology. 2014;28(1):1-9.</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Chiang CE, Wang TD, Li YH, Lin TH, Chien KL, Yeh HI, et al. 2010 guidelines of the Taiwan Society of Cardiology for the management of hypertension. Journal of the Formosan Medical Association, Taiwan yi zhi. 2010;109(10):740-73.</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 xml:space="preserve"> Mancia G, Fagard R, Narkiewicz K, Redon J, Zanchetti A, Bohm M, et al. 2013 ESH/ESC guidelines for the management of arterial hypertension: the Task Force for the Management of Arterial Hypertension of the European Society of Hypertension (ESH) and of the European Society of Cardiology (ESC). European heart journal. 2013;34(28):2159-219.</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 xml:space="preserve"> James PA, Oparil S, Carter BL, Cushman WC, Dennison-Himmelfarb C, Handler J, et al. 2014 evidence-based guideline for the management of high blood pressure in adults: report from the panel members appointed to the Eig</w:t>
      </w:r>
      <w:r w:rsidR="00410B03">
        <w:rPr>
          <w:rFonts w:ascii="Arial" w:hAnsi="Arial" w:cs="Arial"/>
          <w:noProof/>
          <w:sz w:val="24"/>
          <w:szCs w:val="24"/>
          <w:lang w:val="en-US"/>
        </w:rPr>
        <w:t>h</w:t>
      </w:r>
      <w:r w:rsidRPr="002700AC">
        <w:rPr>
          <w:rFonts w:ascii="Arial" w:hAnsi="Arial" w:cs="Arial"/>
          <w:noProof/>
          <w:sz w:val="24"/>
          <w:szCs w:val="24"/>
          <w:lang w:val="en-US"/>
        </w:rPr>
        <w:t>th Joint National Committee (JNC 8). Jama. 2014;311(5):507-20.</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 xml:space="preserve"> Weber MA, Schiffrin EL, White WB, Mann S, Lindholm LH, Kenerson JG, et al. Clinical practice guidelines for the management of hypertension in the community a statement by the American Society of Hypertension and the International Society of Hypertension. Journal of hypertension. 2014;32(1):3-15.</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 xml:space="preserve"> National Institute for Health and Clinical Excellence. Hypertension in adults: diagnosis and management. NICE guidelines [CG127]2011. Available from: </w:t>
      </w:r>
      <w:hyperlink r:id="rId13" w:history="1">
        <w:r w:rsidRPr="002700AC">
          <w:rPr>
            <w:rFonts w:ascii="Arial" w:hAnsi="Arial" w:cs="Arial"/>
            <w:noProof/>
            <w:color w:val="0033CC"/>
            <w:sz w:val="24"/>
            <w:szCs w:val="24"/>
            <w:u w:val="single"/>
          </w:rPr>
          <w:t>http://www.nice.org.uk/guidance/cg127</w:t>
        </w:r>
      </w:hyperlink>
      <w:r w:rsidRPr="002700AC">
        <w:rPr>
          <w:rFonts w:ascii="Arial" w:hAnsi="Arial" w:cs="Arial"/>
          <w:noProof/>
          <w:sz w:val="24"/>
          <w:szCs w:val="24"/>
          <w:lang w:val="en-US"/>
        </w:rPr>
        <w:t>.</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 xml:space="preserve"> Flack JM, Sica DA, Bakris G, Brown AL, Ferdinand KC, Grimm RH, Jr., et al. Management of high blood pressure in Blacks: an update of the International Society on Hypertension in Blacks consensus statement. Hypertension. 2010;56(5):780-800.</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Park IU, Taylor AL. Race and ethnicity in trials of antihypertensive therapy to prevent cardiovascular outcomes: a systematic review. Annals of family medicine. 2007;5(5):444-52.</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Joint National Committee on Prevention, Detection, Evaluation and Treatment of High Blood Pressure. The sixth report of the Joint National Committee on Prevention, Detection, Evaluation, and Treatment of High Blood Pressure.  NIH Publication No. 98-4080. US Department of Health and Human Services, Bethesda, Maryland, 1997.</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Stewart S, Wilkinson D, Hansen C, Vaghela V, Mvungi R, McMurray J, et al. Predominance of heart failure in the Heart of Soweto Study cohort: emerging challenges for urban African communities. Circulation. 2008;118(23):2360-7.</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Ojji D, Stewart S, Ajayi S, Manmak M, Sliwa K. A predominance of hypertensive heart failure in the Abuja Heart Study cohort of urban Nigerians: a prospective clinical registry of 1515 de novo cases. European journal of heart failure. 2013;15(8):835-42.</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Young JH, Chang YP, Kim JD, Chretien JP, Klag MJ, Levine MA, et al. Differential susceptibility to hypertension is due to selection during the out-of-Africa expansion. PLoS genetics. 2005;1(6):e82.</w:t>
      </w:r>
    </w:p>
    <w:p w:rsidR="007E4F38"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 xml:space="preserve"> Zhu X, Luke A, Cooper RS, Quertermous T, Hanis C, Mosley T, et al. Admixture mapping for hypertension loci with genome-scan markers. Nature genetics. 2005;37(2):177-81.</w:t>
      </w:r>
      <w:r w:rsidRPr="002700AC">
        <w:rPr>
          <w:rFonts w:ascii="Arial" w:hAnsi="Arial" w:cs="Arial"/>
          <w:noProof/>
          <w:sz w:val="24"/>
          <w:szCs w:val="24"/>
          <w:lang w:val="en-US"/>
        </w:rPr>
        <w:tab/>
      </w:r>
    </w:p>
    <w:p w:rsidR="00DD5B8F" w:rsidRPr="00E133C5" w:rsidRDefault="00E133C5" w:rsidP="00207EFE">
      <w:pPr>
        <w:numPr>
          <w:ilvl w:val="0"/>
          <w:numId w:val="14"/>
        </w:numPr>
        <w:spacing w:after="200" w:line="480" w:lineRule="auto"/>
        <w:ind w:left="567" w:hanging="426"/>
        <w:jc w:val="both"/>
        <w:rPr>
          <w:rFonts w:ascii="Arial" w:hAnsi="Arial" w:cs="Arial"/>
          <w:noProof/>
          <w:sz w:val="24"/>
          <w:szCs w:val="24"/>
          <w:lang w:val="en-US"/>
        </w:rPr>
      </w:pPr>
      <w:r>
        <w:rPr>
          <w:rFonts w:ascii="Arial" w:hAnsi="Arial" w:cs="Arial"/>
          <w:noProof/>
          <w:sz w:val="24"/>
          <w:szCs w:val="24"/>
          <w:lang w:val="en-US"/>
        </w:rPr>
        <w:t xml:space="preserve"> </w:t>
      </w:r>
      <w:r w:rsidRPr="00E133C5">
        <w:rPr>
          <w:rFonts w:ascii="Arial" w:hAnsi="Arial" w:cs="Arial"/>
          <w:noProof/>
          <w:sz w:val="24"/>
          <w:szCs w:val="24"/>
        </w:rPr>
        <w:t>O'Brien E, Parati G, Stergiou G, Asmar R, Beilin L, Bilo G, et al. European Society of Hypertension position paper on ambulatory blood pressure monitoring. Journal of hypertension. 2013;31(9):1731-68.</w:t>
      </w:r>
    </w:p>
    <w:p w:rsidR="00DD5B8F" w:rsidRPr="00C27FA5" w:rsidRDefault="00C27FA5" w:rsidP="00207EFE">
      <w:pPr>
        <w:numPr>
          <w:ilvl w:val="0"/>
          <w:numId w:val="14"/>
        </w:numPr>
        <w:spacing w:after="200" w:line="480" w:lineRule="auto"/>
        <w:ind w:left="567" w:hanging="426"/>
        <w:jc w:val="both"/>
        <w:rPr>
          <w:rFonts w:ascii="Arial" w:hAnsi="Arial" w:cs="Arial"/>
          <w:noProof/>
          <w:sz w:val="24"/>
          <w:szCs w:val="24"/>
          <w:lang w:val="en-US"/>
        </w:rPr>
      </w:pPr>
      <w:r>
        <w:rPr>
          <w:rFonts w:ascii="Arial" w:hAnsi="Arial" w:cs="Arial"/>
          <w:noProof/>
          <w:sz w:val="24"/>
          <w:szCs w:val="24"/>
          <w:lang w:val="en-US"/>
        </w:rPr>
        <w:t xml:space="preserve"> </w:t>
      </w:r>
      <w:r w:rsidRPr="00C27FA5">
        <w:rPr>
          <w:rFonts w:ascii="Arial" w:hAnsi="Arial" w:cs="Arial"/>
          <w:noProof/>
          <w:sz w:val="24"/>
          <w:szCs w:val="24"/>
        </w:rPr>
        <w:t>Owens PE, Lyons SP, Rodriguez SA, O'Brien ET. Is elevation of clinic blood pressure in patients with white coat hypertension who have normal ambulatory blood pressure associated with target organ changes? Journal of human hypertension. 1998;12(11):743-8.</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Kaufman JS, Owoaje EE, James SA, Rotimi CN, Cooper RS. Determinants of hypertension in West Africa: contribution of anthropometric and dietary factors to urban-rural and socioeconomic gradients. American journal of epidemiology. 1996;143(12):1203-18.</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Sareli P, Radevski IV, Valtchanova ZP, Libhaber E, Candy GP, Den Hond E, et al. Efficacy of different drug classes used to initiate antihypertensive treatment in black subjects: results of a randomized trial in Johannesburg, South Africa. Archives of internal medicine. 2001;161(7):965-71.</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Adigun AQ, Ishola DA, Akintomide AO, Ajayi AA. Shifting trends in the pharmacologic treatment of hypertension in a Nigerian tertiary hospital: a real-world evaluation of the efficacy, safety, rationality and pharmaco-economics of old and newer antihypertensive drugs. Journal of human hypertension. 2003;17(4):277-85</w:t>
      </w:r>
    </w:p>
    <w:p w:rsidR="007E4F38" w:rsidRPr="002700AC" w:rsidRDefault="007E4F38" w:rsidP="00207EFE">
      <w:pPr>
        <w:numPr>
          <w:ilvl w:val="0"/>
          <w:numId w:val="14"/>
        </w:numPr>
        <w:spacing w:after="200" w:line="480" w:lineRule="auto"/>
        <w:ind w:left="567" w:hanging="426"/>
        <w:jc w:val="both"/>
        <w:rPr>
          <w:rFonts w:ascii="Arial" w:hAnsi="Arial" w:cs="Arial"/>
          <w:noProof/>
          <w:sz w:val="24"/>
          <w:szCs w:val="24"/>
          <w:lang w:val="en-US"/>
        </w:rPr>
      </w:pPr>
      <w:r w:rsidRPr="002700AC">
        <w:rPr>
          <w:rFonts w:ascii="Arial" w:hAnsi="Arial" w:cs="Arial"/>
          <w:noProof/>
          <w:sz w:val="24"/>
          <w:szCs w:val="24"/>
          <w:lang w:val="en-US"/>
        </w:rPr>
        <w:t>Dzudie A, Ojji D, Anisiuba BC, Abdou BA, Cornick R, Damasceno A, et al. Development of the roadmap and guidelines for the prevention and management of high blood pressure in Africa: Proceedings of the PASCAR Hypertension Task Force meeting: Nairobi, Kenya, 27 October 2014. Cardiovascular journal of Africa. 2015;26(2):82-5</w:t>
      </w:r>
    </w:p>
    <w:p w:rsidR="00A6424A" w:rsidRDefault="00A6424A" w:rsidP="00207EFE">
      <w:pPr>
        <w:spacing w:after="200" w:line="480" w:lineRule="auto"/>
        <w:jc w:val="both"/>
        <w:rPr>
          <w:rFonts w:ascii="Arial" w:eastAsiaTheme="minorHAnsi" w:hAnsi="Arial" w:cs="Arial"/>
          <w:b/>
          <w:sz w:val="24"/>
          <w:szCs w:val="24"/>
          <w:lang w:val="en-US"/>
        </w:rPr>
      </w:pPr>
    </w:p>
    <w:p w:rsidR="0034654E" w:rsidRPr="002700AC" w:rsidRDefault="009F03AE" w:rsidP="00207EFE">
      <w:pPr>
        <w:spacing w:after="200" w:line="480" w:lineRule="auto"/>
        <w:jc w:val="both"/>
        <w:rPr>
          <w:rFonts w:ascii="Arial" w:eastAsiaTheme="minorHAnsi" w:hAnsi="Arial" w:cs="Arial"/>
          <w:b/>
          <w:sz w:val="24"/>
          <w:szCs w:val="24"/>
          <w:lang w:val="en-US"/>
        </w:rPr>
      </w:pPr>
      <w:r w:rsidRPr="002700AC">
        <w:rPr>
          <w:rFonts w:ascii="Arial" w:eastAsiaTheme="minorHAnsi" w:hAnsi="Arial" w:cs="Arial"/>
          <w:b/>
          <w:sz w:val="24"/>
          <w:szCs w:val="24"/>
          <w:lang w:val="en-US"/>
        </w:rPr>
        <w:t>APPENDIX</w:t>
      </w:r>
    </w:p>
    <w:p w:rsidR="0034654E" w:rsidRPr="002700AC" w:rsidRDefault="0034654E" w:rsidP="00207EFE">
      <w:pPr>
        <w:spacing w:after="200" w:line="480" w:lineRule="auto"/>
        <w:jc w:val="both"/>
        <w:rPr>
          <w:rFonts w:ascii="Arial" w:eastAsiaTheme="minorHAnsi" w:hAnsi="Arial" w:cs="Arial"/>
          <w:b/>
          <w:sz w:val="24"/>
          <w:szCs w:val="24"/>
          <w:lang w:val="en-US"/>
        </w:rPr>
      </w:pPr>
      <w:r w:rsidRPr="002700AC">
        <w:rPr>
          <w:rFonts w:ascii="Arial" w:eastAsiaTheme="minorHAnsi" w:hAnsi="Arial" w:cs="Arial"/>
          <w:b/>
          <w:sz w:val="24"/>
          <w:szCs w:val="24"/>
          <w:lang w:val="en-US"/>
        </w:rPr>
        <w:t>Steering Committee Members</w:t>
      </w:r>
    </w:p>
    <w:p w:rsidR="0034654E" w:rsidRPr="002700AC" w:rsidRDefault="0034654E"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Dike Ojji, Chair, University of Abuja, Abuja/University of Abuja Teaching Hospital, Nigeria,</w:t>
      </w:r>
    </w:p>
    <w:p w:rsidR="0034654E" w:rsidRPr="002700AC" w:rsidRDefault="0034654E"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Neil Poulter, Imperial College, London</w:t>
      </w:r>
    </w:p>
    <w:p w:rsidR="0034654E" w:rsidRPr="002700AC" w:rsidRDefault="0034654E"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Bongani Mayosi, University of Cape Town, South Africa</w:t>
      </w:r>
    </w:p>
    <w:p w:rsidR="0034654E" w:rsidRPr="002700AC" w:rsidRDefault="0034654E"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Karen Sliwa, University of Cape Town, South Africa</w:t>
      </w:r>
    </w:p>
    <w:p w:rsidR="0034654E" w:rsidRPr="002700AC" w:rsidRDefault="0034654E"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 xml:space="preserve">Motasim Badri, University of Cape Town, South Africa </w:t>
      </w:r>
    </w:p>
    <w:p w:rsidR="0034654E" w:rsidRPr="002700AC" w:rsidRDefault="0034654E"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 xml:space="preserve">Albertino Damasceno, </w:t>
      </w:r>
      <w:r w:rsidRPr="002700AC">
        <w:rPr>
          <w:rFonts w:ascii="Arial" w:eastAsia="Calibri" w:hAnsi="Arial" w:cs="Arial"/>
          <w:sz w:val="24"/>
          <w:szCs w:val="24"/>
          <w:lang w:val="en-CA"/>
        </w:rPr>
        <w:t>Eduardo Mondlane University, Maputo, Mozambique</w:t>
      </w:r>
    </w:p>
    <w:p w:rsidR="0034654E" w:rsidRPr="002700AC" w:rsidRDefault="0034654E"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Anastase Dzudie, Douala General Hospital/Faculty of Health Sciences, Cameroon</w:t>
      </w:r>
    </w:p>
    <w:p w:rsidR="0034654E" w:rsidRPr="002700AC" w:rsidRDefault="0034654E"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 xml:space="preserve">Elijah Ogola, </w:t>
      </w:r>
      <w:r w:rsidRPr="002700AC">
        <w:rPr>
          <w:rFonts w:ascii="Arial" w:hAnsi="Arial" w:cs="Arial"/>
          <w:sz w:val="24"/>
          <w:szCs w:val="24"/>
        </w:rPr>
        <w:t>University of Nairobi</w:t>
      </w:r>
      <w:r w:rsidRPr="002700AC">
        <w:rPr>
          <w:rFonts w:ascii="Arial" w:hAnsi="Arial" w:cs="Arial"/>
          <w:sz w:val="24"/>
          <w:szCs w:val="24"/>
          <w:lang w:val="en-CA"/>
        </w:rPr>
        <w:t>/</w:t>
      </w:r>
      <w:r w:rsidRPr="002700AC">
        <w:rPr>
          <w:rFonts w:ascii="Arial" w:hAnsi="Arial" w:cs="Arial"/>
          <w:sz w:val="24"/>
          <w:szCs w:val="24"/>
        </w:rPr>
        <w:t>Kenyatta National Hospital, Nairobi, Kenya</w:t>
      </w:r>
    </w:p>
    <w:p w:rsidR="0034654E" w:rsidRPr="002700AC" w:rsidRDefault="0034654E"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Charles Mondo, St Francis Hospital, Nsambya, Kampala, Uganda</w:t>
      </w:r>
    </w:p>
    <w:p w:rsidR="0034654E" w:rsidRPr="002700AC" w:rsidRDefault="0034654E"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Okechukwu Ogah, University College Hospital, Ibadan, Nigeria</w:t>
      </w:r>
    </w:p>
    <w:p w:rsidR="0034654E" w:rsidRPr="002700AC" w:rsidRDefault="0034654E"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Veronica Francis, University of Cape Town, South Africa</w:t>
      </w:r>
    </w:p>
    <w:p w:rsidR="0034654E" w:rsidRPr="002700AC" w:rsidRDefault="0034654E"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Nicky Kramer, University of Cape Town, South Africa</w:t>
      </w:r>
    </w:p>
    <w:p w:rsidR="0034654E" w:rsidRPr="002700AC" w:rsidRDefault="0034654E"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Wynand Smythe, University of Cape Town, South Africa</w:t>
      </w:r>
    </w:p>
    <w:p w:rsidR="0034654E" w:rsidRPr="002700AC" w:rsidRDefault="0034654E" w:rsidP="00207EFE">
      <w:pPr>
        <w:spacing w:after="200" w:line="480" w:lineRule="auto"/>
        <w:jc w:val="both"/>
        <w:rPr>
          <w:rFonts w:ascii="Arial" w:eastAsiaTheme="minorHAnsi" w:hAnsi="Arial" w:cs="Arial"/>
          <w:b/>
          <w:sz w:val="24"/>
          <w:szCs w:val="24"/>
          <w:lang w:val="en-US"/>
        </w:rPr>
      </w:pPr>
      <w:r w:rsidRPr="002700AC">
        <w:rPr>
          <w:rFonts w:ascii="Arial" w:eastAsiaTheme="minorHAnsi" w:hAnsi="Arial" w:cs="Arial"/>
          <w:b/>
          <w:sz w:val="24"/>
          <w:szCs w:val="24"/>
          <w:lang w:val="en-US"/>
        </w:rPr>
        <w:t>Site Principal Investigators</w:t>
      </w:r>
    </w:p>
    <w:p w:rsidR="009F03AE" w:rsidRPr="002700AC" w:rsidRDefault="0034654E"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Anastase Dzudie, Douala General Hospital/Faculty of Health Sciences, Douala, Cameroon</w:t>
      </w:r>
    </w:p>
    <w:p w:rsidR="0034654E" w:rsidRPr="002700AC" w:rsidRDefault="0034654E"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 xml:space="preserve">Elijah Ogola, </w:t>
      </w:r>
      <w:r w:rsidRPr="002700AC">
        <w:rPr>
          <w:rFonts w:ascii="Arial" w:hAnsi="Arial" w:cs="Arial"/>
          <w:sz w:val="24"/>
          <w:szCs w:val="24"/>
        </w:rPr>
        <w:t>University of Nairobi</w:t>
      </w:r>
      <w:r w:rsidRPr="002700AC">
        <w:rPr>
          <w:rFonts w:ascii="Arial" w:hAnsi="Arial" w:cs="Arial"/>
          <w:sz w:val="24"/>
          <w:szCs w:val="24"/>
          <w:lang w:val="en-CA"/>
        </w:rPr>
        <w:t>/</w:t>
      </w:r>
      <w:r w:rsidRPr="002700AC">
        <w:rPr>
          <w:rFonts w:ascii="Arial" w:hAnsi="Arial" w:cs="Arial"/>
          <w:sz w:val="24"/>
          <w:szCs w:val="24"/>
        </w:rPr>
        <w:t>Kenyatta National Hospital, Nairobi, Kenya</w:t>
      </w:r>
    </w:p>
    <w:p w:rsidR="0034654E" w:rsidRPr="002700AC" w:rsidRDefault="0034654E" w:rsidP="00207EFE">
      <w:pPr>
        <w:tabs>
          <w:tab w:val="left" w:pos="-142"/>
        </w:tabs>
        <w:spacing w:line="480" w:lineRule="auto"/>
        <w:jc w:val="both"/>
        <w:rPr>
          <w:rFonts w:ascii="Arial" w:eastAsia="Calibri" w:hAnsi="Arial" w:cs="Arial"/>
          <w:sz w:val="24"/>
          <w:szCs w:val="24"/>
          <w:lang w:val="en-CA"/>
        </w:rPr>
      </w:pPr>
      <w:r w:rsidRPr="002700AC">
        <w:rPr>
          <w:rFonts w:ascii="Arial" w:hAnsi="Arial" w:cs="Arial"/>
          <w:sz w:val="24"/>
          <w:szCs w:val="24"/>
          <w:lang w:val="en-CA"/>
        </w:rPr>
        <w:t xml:space="preserve">Felix Barasa, </w:t>
      </w:r>
      <w:r w:rsidR="00207EFE" w:rsidRPr="002700AC">
        <w:rPr>
          <w:rFonts w:ascii="Arial" w:eastAsia="Calibri" w:hAnsi="Arial" w:cs="Arial"/>
          <w:sz w:val="24"/>
          <w:szCs w:val="24"/>
          <w:lang w:val="en-CA"/>
        </w:rPr>
        <w:t>MOI</w:t>
      </w:r>
      <w:r w:rsidRPr="002700AC">
        <w:rPr>
          <w:rFonts w:ascii="Arial" w:eastAsia="Calibri" w:hAnsi="Arial" w:cs="Arial"/>
          <w:sz w:val="24"/>
          <w:szCs w:val="24"/>
          <w:lang w:val="en-CA"/>
        </w:rPr>
        <w:t xml:space="preserve"> University Teaching Hospital, Eldoret, Kenya</w:t>
      </w:r>
    </w:p>
    <w:p w:rsidR="0034654E" w:rsidRPr="002700AC" w:rsidRDefault="0034654E"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 xml:space="preserve">Albertino Damasceno, </w:t>
      </w:r>
      <w:r w:rsidRPr="002700AC">
        <w:rPr>
          <w:rFonts w:ascii="Arial" w:eastAsia="Calibri" w:hAnsi="Arial" w:cs="Arial"/>
          <w:sz w:val="24"/>
          <w:szCs w:val="24"/>
          <w:lang w:val="en-CA"/>
        </w:rPr>
        <w:t>Eduardo Mondlane University, Maputo, Mozambique</w:t>
      </w:r>
    </w:p>
    <w:p w:rsidR="0034654E" w:rsidRPr="002700AC" w:rsidRDefault="0034654E" w:rsidP="00207EFE">
      <w:pPr>
        <w:spacing w:after="200" w:line="480" w:lineRule="auto"/>
        <w:jc w:val="both"/>
        <w:rPr>
          <w:rFonts w:ascii="Arial" w:eastAsiaTheme="minorHAnsi" w:hAnsi="Arial" w:cs="Arial"/>
          <w:sz w:val="24"/>
          <w:szCs w:val="24"/>
          <w:lang w:val="en-US"/>
        </w:rPr>
      </w:pPr>
      <w:r w:rsidRPr="002700AC">
        <w:rPr>
          <w:rFonts w:ascii="Arial" w:eastAsiaTheme="minorHAnsi" w:hAnsi="Arial" w:cs="Arial"/>
          <w:sz w:val="24"/>
          <w:szCs w:val="24"/>
          <w:lang w:val="en-US"/>
        </w:rPr>
        <w:t xml:space="preserve">Gabriel Shedul, University of Abuja Teaching Hospital, Gwagwalada, Abuja, Nigeria, </w:t>
      </w:r>
    </w:p>
    <w:p w:rsidR="0034654E" w:rsidRPr="002700AC" w:rsidRDefault="0034654E" w:rsidP="00207EFE">
      <w:pPr>
        <w:spacing w:after="200" w:line="480" w:lineRule="auto"/>
        <w:jc w:val="both"/>
        <w:rPr>
          <w:rFonts w:ascii="Arial" w:eastAsiaTheme="minorHAnsi" w:hAnsi="Arial" w:cs="Arial"/>
          <w:sz w:val="24"/>
          <w:szCs w:val="24"/>
          <w:lang w:val="en-US"/>
        </w:rPr>
      </w:pPr>
      <w:r w:rsidRPr="002700AC">
        <w:rPr>
          <w:rFonts w:ascii="Arial" w:eastAsiaTheme="minorHAnsi" w:hAnsi="Arial" w:cs="Arial"/>
          <w:sz w:val="24"/>
          <w:szCs w:val="24"/>
          <w:lang w:val="en-US"/>
        </w:rPr>
        <w:t>Sani Mahmoud, Aminu Kano Teaching Hospital, Kano, Nigeria</w:t>
      </w:r>
    </w:p>
    <w:p w:rsidR="0023056A" w:rsidRPr="002700AC" w:rsidRDefault="0023056A" w:rsidP="00207EFE">
      <w:pPr>
        <w:spacing w:after="200" w:line="480" w:lineRule="auto"/>
        <w:jc w:val="both"/>
        <w:rPr>
          <w:rFonts w:ascii="Arial" w:eastAsiaTheme="minorHAnsi" w:hAnsi="Arial" w:cs="Arial"/>
          <w:sz w:val="24"/>
          <w:szCs w:val="24"/>
          <w:lang w:val="en-US"/>
        </w:rPr>
      </w:pPr>
      <w:r w:rsidRPr="002700AC">
        <w:rPr>
          <w:rFonts w:ascii="Arial" w:eastAsiaTheme="minorHAnsi" w:hAnsi="Arial" w:cs="Arial"/>
          <w:sz w:val="24"/>
          <w:szCs w:val="24"/>
          <w:lang w:val="en-US"/>
        </w:rPr>
        <w:t>Dr Okechukwu Ogah</w:t>
      </w:r>
      <w:r w:rsidR="00C57562" w:rsidRPr="002700AC">
        <w:rPr>
          <w:rFonts w:ascii="Arial" w:eastAsiaTheme="minorHAnsi" w:hAnsi="Arial" w:cs="Arial"/>
          <w:sz w:val="24"/>
          <w:szCs w:val="24"/>
          <w:lang w:val="en-US"/>
        </w:rPr>
        <w:t xml:space="preserve"> University College Hospital, Ibadan </w:t>
      </w:r>
      <w:r w:rsidR="00207EFE" w:rsidRPr="002700AC">
        <w:rPr>
          <w:rFonts w:ascii="Arial" w:eastAsiaTheme="minorHAnsi" w:hAnsi="Arial" w:cs="Arial"/>
          <w:sz w:val="24"/>
          <w:szCs w:val="24"/>
          <w:lang w:val="en-US"/>
        </w:rPr>
        <w:t>Nigeria</w:t>
      </w:r>
    </w:p>
    <w:p w:rsidR="0034654E" w:rsidRPr="002700AC" w:rsidRDefault="0034654E" w:rsidP="00207EFE">
      <w:pPr>
        <w:spacing w:after="200" w:line="480" w:lineRule="auto"/>
        <w:jc w:val="both"/>
        <w:rPr>
          <w:rFonts w:ascii="Arial" w:eastAsiaTheme="minorHAnsi" w:hAnsi="Arial" w:cs="Arial"/>
          <w:sz w:val="24"/>
          <w:szCs w:val="24"/>
          <w:lang w:val="en-US"/>
        </w:rPr>
      </w:pPr>
      <w:r w:rsidRPr="002700AC">
        <w:rPr>
          <w:rFonts w:ascii="Arial" w:eastAsiaTheme="minorHAnsi" w:hAnsi="Arial" w:cs="Arial"/>
          <w:sz w:val="24"/>
          <w:szCs w:val="24"/>
          <w:lang w:val="en-US"/>
        </w:rPr>
        <w:t xml:space="preserve">Ikechi Okpechi, University of Cape Town, South Africa, </w:t>
      </w:r>
    </w:p>
    <w:p w:rsidR="0034654E" w:rsidRPr="002700AC" w:rsidRDefault="0034654E" w:rsidP="00207EFE">
      <w:pPr>
        <w:tabs>
          <w:tab w:val="left" w:pos="-142"/>
        </w:tabs>
        <w:spacing w:line="480" w:lineRule="auto"/>
        <w:jc w:val="both"/>
        <w:rPr>
          <w:rFonts w:ascii="Arial" w:hAnsi="Arial" w:cs="Arial"/>
          <w:sz w:val="24"/>
          <w:szCs w:val="24"/>
          <w:lang w:val="en-CA"/>
        </w:rPr>
      </w:pPr>
      <w:r w:rsidRPr="002700AC">
        <w:rPr>
          <w:rFonts w:ascii="Arial" w:eastAsiaTheme="minorHAnsi" w:hAnsi="Arial" w:cs="Arial"/>
          <w:sz w:val="24"/>
          <w:szCs w:val="24"/>
          <w:lang w:val="en-US"/>
        </w:rPr>
        <w:t>E</w:t>
      </w:r>
      <w:r w:rsidRPr="002700AC">
        <w:rPr>
          <w:rFonts w:ascii="Arial" w:hAnsi="Arial" w:cs="Arial"/>
          <w:sz w:val="24"/>
          <w:szCs w:val="24"/>
          <w:lang w:val="en-CA"/>
        </w:rPr>
        <w:t xml:space="preserve">rika Jones, University of Cape Town, </w:t>
      </w:r>
      <w:r w:rsidR="00C57562" w:rsidRPr="002700AC">
        <w:rPr>
          <w:rFonts w:ascii="Arial" w:hAnsi="Arial" w:cs="Arial"/>
          <w:sz w:val="24"/>
          <w:szCs w:val="24"/>
          <w:lang w:val="en-CA"/>
        </w:rPr>
        <w:t>South Africa</w:t>
      </w:r>
    </w:p>
    <w:p w:rsidR="0034654E" w:rsidRPr="002700AC" w:rsidRDefault="0034654E" w:rsidP="00207EFE">
      <w:pPr>
        <w:tabs>
          <w:tab w:val="left" w:pos="-142"/>
        </w:tabs>
        <w:spacing w:line="480" w:lineRule="auto"/>
        <w:jc w:val="both"/>
        <w:rPr>
          <w:rFonts w:ascii="Arial" w:hAnsi="Arial" w:cs="Arial"/>
          <w:sz w:val="24"/>
          <w:szCs w:val="24"/>
          <w:lang w:val="en-CA"/>
        </w:rPr>
      </w:pPr>
      <w:r w:rsidRPr="002700AC">
        <w:rPr>
          <w:rFonts w:ascii="Arial" w:hAnsi="Arial" w:cs="Arial"/>
          <w:sz w:val="24"/>
          <w:szCs w:val="24"/>
          <w:lang w:val="en-CA"/>
        </w:rPr>
        <w:t>Charles Mondo, St Francis Hospital, Nsambya, Kampala, Uganda</w:t>
      </w:r>
    </w:p>
    <w:p w:rsidR="00C57562" w:rsidRPr="002700AC" w:rsidRDefault="00C57562" w:rsidP="00207EFE">
      <w:pPr>
        <w:tabs>
          <w:tab w:val="left" w:pos="-142"/>
        </w:tabs>
        <w:spacing w:line="480" w:lineRule="auto"/>
        <w:jc w:val="both"/>
        <w:rPr>
          <w:rFonts w:ascii="Arial" w:eastAsia="Calibri" w:hAnsi="Arial" w:cs="Arial"/>
          <w:sz w:val="24"/>
          <w:szCs w:val="24"/>
          <w:lang w:val="en-CA"/>
        </w:rPr>
      </w:pPr>
      <w:r w:rsidRPr="002700AC">
        <w:rPr>
          <w:rFonts w:ascii="Arial" w:hAnsi="Arial" w:cs="Arial"/>
          <w:sz w:val="24"/>
          <w:szCs w:val="24"/>
          <w:lang w:val="en-CA"/>
        </w:rPr>
        <w:t xml:space="preserve">Prof Pindile Mntla Sefako Makgatho Health Sciences </w:t>
      </w:r>
      <w:r w:rsidRPr="002700AC">
        <w:rPr>
          <w:rFonts w:ascii="Arial" w:hAnsi="Arial" w:cs="Arial"/>
          <w:snapToGrid w:val="0"/>
          <w:sz w:val="24"/>
          <w:szCs w:val="24"/>
        </w:rPr>
        <w:t>University (Medunsa    Campus), Pretoria, South Africa</w:t>
      </w:r>
    </w:p>
    <w:p w:rsidR="00C57562" w:rsidRPr="002700AC" w:rsidRDefault="00C57562" w:rsidP="00207EFE">
      <w:pPr>
        <w:widowControl w:val="0"/>
        <w:tabs>
          <w:tab w:val="left" w:pos="284"/>
        </w:tabs>
        <w:spacing w:line="480" w:lineRule="auto"/>
        <w:jc w:val="both"/>
        <w:rPr>
          <w:rFonts w:ascii="Arial" w:hAnsi="Arial" w:cs="Arial"/>
          <w:snapToGrid w:val="0"/>
          <w:sz w:val="24"/>
          <w:szCs w:val="24"/>
        </w:rPr>
      </w:pPr>
      <w:r w:rsidRPr="002700AC">
        <w:rPr>
          <w:rFonts w:ascii="Arial" w:hAnsi="Arial" w:cs="Arial"/>
          <w:sz w:val="24"/>
          <w:szCs w:val="24"/>
          <w:lang w:val="en-CA"/>
        </w:rPr>
        <w:t xml:space="preserve">Prof Gboyega Ogunbanjo </w:t>
      </w:r>
      <w:r w:rsidRPr="002700AC">
        <w:rPr>
          <w:rFonts w:ascii="Arial" w:eastAsia="Calibri" w:hAnsi="Arial" w:cs="Arial"/>
          <w:sz w:val="24"/>
          <w:szCs w:val="24"/>
          <w:lang w:val="en-CA"/>
        </w:rPr>
        <w:t>Department</w:t>
      </w:r>
      <w:r w:rsidRPr="002700AC">
        <w:rPr>
          <w:rFonts w:ascii="Arial" w:hAnsi="Arial" w:cs="Arial"/>
          <w:snapToGrid w:val="0"/>
          <w:sz w:val="24"/>
          <w:szCs w:val="24"/>
        </w:rPr>
        <w:t xml:space="preserve"> of Family Medicine &amp; Primary Health Care, Sefako Makgatho Health Sciences University (Medunsa Campus) South Africa</w:t>
      </w:r>
    </w:p>
    <w:p w:rsidR="0034654E" w:rsidRPr="002700AC" w:rsidRDefault="0034654E" w:rsidP="00207EFE">
      <w:pPr>
        <w:spacing w:after="200" w:line="480" w:lineRule="auto"/>
        <w:jc w:val="both"/>
        <w:rPr>
          <w:rFonts w:ascii="Arial" w:eastAsiaTheme="minorHAnsi" w:hAnsi="Arial" w:cs="Arial"/>
          <w:b/>
          <w:sz w:val="24"/>
          <w:szCs w:val="24"/>
        </w:rPr>
      </w:pPr>
      <w:r w:rsidRPr="002700AC">
        <w:rPr>
          <w:rFonts w:ascii="Arial" w:eastAsiaTheme="minorHAnsi" w:hAnsi="Arial" w:cs="Arial"/>
          <w:b/>
          <w:sz w:val="24"/>
          <w:szCs w:val="24"/>
          <w:lang w:val="en-US"/>
        </w:rPr>
        <w:t>Data Safety Monitoring Committee</w:t>
      </w:r>
    </w:p>
    <w:p w:rsidR="0034654E" w:rsidRPr="002700AC" w:rsidRDefault="0034654E" w:rsidP="00207EFE">
      <w:pPr>
        <w:spacing w:after="200" w:line="480" w:lineRule="auto"/>
        <w:jc w:val="both"/>
        <w:rPr>
          <w:rFonts w:ascii="Arial" w:hAnsi="Arial" w:cs="Arial"/>
          <w:sz w:val="24"/>
          <w:szCs w:val="24"/>
          <w:lang w:val="en-CA"/>
        </w:rPr>
      </w:pPr>
      <w:r w:rsidRPr="002700AC">
        <w:rPr>
          <w:rFonts w:ascii="Arial" w:hAnsi="Arial" w:cs="Arial"/>
          <w:sz w:val="24"/>
          <w:szCs w:val="24"/>
          <w:lang w:val="en-CA"/>
        </w:rPr>
        <w:t>Ayodele Falase, University of Ibadan/University College Hospital, Ibadan, Nigeria</w:t>
      </w:r>
    </w:p>
    <w:p w:rsidR="0034654E" w:rsidRPr="002700AC" w:rsidRDefault="0034654E" w:rsidP="00207EFE">
      <w:pPr>
        <w:spacing w:after="200" w:line="480" w:lineRule="auto"/>
        <w:jc w:val="both"/>
        <w:rPr>
          <w:rFonts w:ascii="Arial" w:hAnsi="Arial" w:cs="Arial"/>
          <w:sz w:val="24"/>
          <w:szCs w:val="24"/>
          <w:lang w:val="en-CA"/>
        </w:rPr>
      </w:pPr>
      <w:r w:rsidRPr="002700AC">
        <w:rPr>
          <w:rFonts w:ascii="Arial" w:hAnsi="Arial" w:cs="Arial"/>
          <w:sz w:val="24"/>
          <w:szCs w:val="24"/>
          <w:lang w:val="en-CA"/>
        </w:rPr>
        <w:t>Davies Adeloye, Covenant University, Otta, Ogun State, Nigeria</w:t>
      </w:r>
    </w:p>
    <w:p w:rsidR="0034654E" w:rsidRPr="002700AC" w:rsidRDefault="0034654E" w:rsidP="00207EFE">
      <w:pPr>
        <w:spacing w:after="200" w:line="480" w:lineRule="auto"/>
        <w:jc w:val="both"/>
        <w:rPr>
          <w:rFonts w:ascii="Arial" w:hAnsi="Arial" w:cs="Arial"/>
          <w:sz w:val="24"/>
          <w:szCs w:val="24"/>
          <w:lang w:val="en-CA"/>
        </w:rPr>
      </w:pPr>
      <w:r w:rsidRPr="002700AC">
        <w:rPr>
          <w:rFonts w:ascii="Arial" w:hAnsi="Arial" w:cs="Arial"/>
          <w:sz w:val="24"/>
          <w:szCs w:val="24"/>
          <w:lang w:val="en-CA"/>
        </w:rPr>
        <w:t>Michael Adikwu, University of Abuja, Abuja, Nigeria</w:t>
      </w:r>
    </w:p>
    <w:p w:rsidR="0034654E" w:rsidRPr="002700AC" w:rsidRDefault="0034654E" w:rsidP="00207EFE">
      <w:pPr>
        <w:spacing w:after="200" w:line="480" w:lineRule="auto"/>
        <w:jc w:val="both"/>
        <w:rPr>
          <w:rFonts w:ascii="Arial" w:hAnsi="Arial" w:cs="Arial"/>
          <w:sz w:val="24"/>
          <w:szCs w:val="24"/>
          <w:lang w:val="en-CA"/>
        </w:rPr>
      </w:pPr>
      <w:r w:rsidRPr="002700AC">
        <w:rPr>
          <w:rFonts w:ascii="Arial" w:hAnsi="Arial" w:cs="Arial"/>
          <w:sz w:val="24"/>
          <w:szCs w:val="24"/>
          <w:lang w:val="en-CA"/>
        </w:rPr>
        <w:t>Felicia Anumah, University of Abuja, Abuja, Nigeria</w:t>
      </w:r>
    </w:p>
    <w:p w:rsidR="0034654E" w:rsidRPr="002700AC" w:rsidRDefault="0034654E" w:rsidP="00207EFE">
      <w:pPr>
        <w:spacing w:after="200" w:line="480" w:lineRule="auto"/>
        <w:jc w:val="both"/>
        <w:rPr>
          <w:rFonts w:ascii="Arial" w:eastAsiaTheme="minorHAnsi" w:hAnsi="Arial" w:cs="Arial"/>
          <w:sz w:val="24"/>
          <w:szCs w:val="24"/>
        </w:rPr>
      </w:pPr>
      <w:r w:rsidRPr="002700AC">
        <w:rPr>
          <w:rFonts w:ascii="Arial" w:hAnsi="Arial" w:cs="Arial"/>
          <w:sz w:val="24"/>
          <w:szCs w:val="24"/>
          <w:lang w:val="en-CA"/>
        </w:rPr>
        <w:t>Brian Rayne</w:t>
      </w:r>
      <w:r w:rsidR="00602B20">
        <w:rPr>
          <w:rFonts w:ascii="Arial" w:hAnsi="Arial" w:cs="Arial"/>
          <w:sz w:val="24"/>
          <w:szCs w:val="24"/>
          <w:lang w:val="en-CA"/>
        </w:rPr>
        <w:t>r</w:t>
      </w:r>
      <w:r w:rsidRPr="002700AC">
        <w:rPr>
          <w:rFonts w:ascii="Arial" w:hAnsi="Arial" w:cs="Arial"/>
          <w:sz w:val="24"/>
          <w:szCs w:val="24"/>
          <w:lang w:val="en-CA"/>
        </w:rPr>
        <w:t>, University of Cape, Cape Town, South Africa</w:t>
      </w:r>
    </w:p>
    <w:sectPr w:rsidR="0034654E" w:rsidRPr="002700AC" w:rsidSect="004047B1">
      <w:headerReference w:type="default" r:id="rId14"/>
      <w:footerReference w:type="default" r:id="rId15"/>
      <w:pgSz w:w="12240" w:h="15840"/>
      <w:pgMar w:top="426" w:right="1440" w:bottom="426" w:left="1440" w:header="720" w:footer="4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4A2F" w:rsidRDefault="00B74A2F">
      <w:r>
        <w:separator/>
      </w:r>
    </w:p>
  </w:endnote>
  <w:endnote w:type="continuationSeparator" w:id="0">
    <w:p w:rsidR="00B74A2F" w:rsidRDefault="00B74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9476445"/>
      <w:docPartObj>
        <w:docPartGallery w:val="Page Numbers (Bottom of Page)"/>
        <w:docPartUnique/>
      </w:docPartObj>
    </w:sdtPr>
    <w:sdtEndPr>
      <w:rPr>
        <w:noProof/>
      </w:rPr>
    </w:sdtEndPr>
    <w:sdtContent>
      <w:p w:rsidR="002E6D34" w:rsidRDefault="002E6D34">
        <w:pPr>
          <w:pStyle w:val="Footer"/>
          <w:jc w:val="right"/>
        </w:pPr>
        <w:r>
          <w:fldChar w:fldCharType="begin"/>
        </w:r>
        <w:r>
          <w:instrText xml:space="preserve"> PAGE   \* MERGEFORMAT </w:instrText>
        </w:r>
        <w:r>
          <w:fldChar w:fldCharType="separate"/>
        </w:r>
        <w:r w:rsidR="00A2479B">
          <w:rPr>
            <w:noProof/>
          </w:rPr>
          <w:t>1</w:t>
        </w:r>
        <w:r>
          <w:rPr>
            <w:noProof/>
          </w:rPr>
          <w:fldChar w:fldCharType="end"/>
        </w:r>
      </w:p>
    </w:sdtContent>
  </w:sdt>
  <w:p w:rsidR="002E6D34" w:rsidRDefault="002E6D34" w:rsidP="00612DEF">
    <w:pPr>
      <w:pStyle w:val="Footer"/>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4A2F" w:rsidRDefault="00B74A2F">
      <w:r>
        <w:separator/>
      </w:r>
    </w:p>
  </w:footnote>
  <w:footnote w:type="continuationSeparator" w:id="0">
    <w:p w:rsidR="00B74A2F" w:rsidRDefault="00B74A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6D34" w:rsidRDefault="002E6D34" w:rsidP="00D910A0">
    <w:pPr>
      <w:pStyle w:val="Header"/>
      <w:tabs>
        <w:tab w:val="clear" w:pos="4680"/>
        <w:tab w:val="clear" w:pos="9360"/>
        <w:tab w:val="left" w:pos="453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807DF"/>
    <w:multiLevelType w:val="hybridMultilevel"/>
    <w:tmpl w:val="5DC025AC"/>
    <w:lvl w:ilvl="0" w:tplc="E28251BE">
      <w:start w:val="2"/>
      <w:numFmt w:val="bullet"/>
      <w:lvlText w:val="-"/>
      <w:lvlJc w:val="left"/>
      <w:pPr>
        <w:ind w:left="2628" w:hanging="360"/>
      </w:pPr>
      <w:rPr>
        <w:rFonts w:ascii="Arial" w:eastAsia="Times New Roman" w:hAnsi="Arial" w:cs="Arial" w:hint="default"/>
      </w:rPr>
    </w:lvl>
    <w:lvl w:ilvl="1" w:tplc="1C090003" w:tentative="1">
      <w:start w:val="1"/>
      <w:numFmt w:val="bullet"/>
      <w:lvlText w:val="o"/>
      <w:lvlJc w:val="left"/>
      <w:pPr>
        <w:ind w:left="3348" w:hanging="360"/>
      </w:pPr>
      <w:rPr>
        <w:rFonts w:ascii="Courier New" w:hAnsi="Courier New" w:cs="Courier New" w:hint="default"/>
      </w:rPr>
    </w:lvl>
    <w:lvl w:ilvl="2" w:tplc="1C090005" w:tentative="1">
      <w:start w:val="1"/>
      <w:numFmt w:val="bullet"/>
      <w:lvlText w:val=""/>
      <w:lvlJc w:val="left"/>
      <w:pPr>
        <w:ind w:left="4068" w:hanging="360"/>
      </w:pPr>
      <w:rPr>
        <w:rFonts w:ascii="Wingdings" w:hAnsi="Wingdings" w:hint="default"/>
      </w:rPr>
    </w:lvl>
    <w:lvl w:ilvl="3" w:tplc="1C090001" w:tentative="1">
      <w:start w:val="1"/>
      <w:numFmt w:val="bullet"/>
      <w:lvlText w:val=""/>
      <w:lvlJc w:val="left"/>
      <w:pPr>
        <w:ind w:left="4788" w:hanging="360"/>
      </w:pPr>
      <w:rPr>
        <w:rFonts w:ascii="Symbol" w:hAnsi="Symbol" w:hint="default"/>
      </w:rPr>
    </w:lvl>
    <w:lvl w:ilvl="4" w:tplc="1C090003" w:tentative="1">
      <w:start w:val="1"/>
      <w:numFmt w:val="bullet"/>
      <w:lvlText w:val="o"/>
      <w:lvlJc w:val="left"/>
      <w:pPr>
        <w:ind w:left="5508" w:hanging="360"/>
      </w:pPr>
      <w:rPr>
        <w:rFonts w:ascii="Courier New" w:hAnsi="Courier New" w:cs="Courier New" w:hint="default"/>
      </w:rPr>
    </w:lvl>
    <w:lvl w:ilvl="5" w:tplc="1C090005" w:tentative="1">
      <w:start w:val="1"/>
      <w:numFmt w:val="bullet"/>
      <w:lvlText w:val=""/>
      <w:lvlJc w:val="left"/>
      <w:pPr>
        <w:ind w:left="6228" w:hanging="360"/>
      </w:pPr>
      <w:rPr>
        <w:rFonts w:ascii="Wingdings" w:hAnsi="Wingdings" w:hint="default"/>
      </w:rPr>
    </w:lvl>
    <w:lvl w:ilvl="6" w:tplc="1C090001" w:tentative="1">
      <w:start w:val="1"/>
      <w:numFmt w:val="bullet"/>
      <w:lvlText w:val=""/>
      <w:lvlJc w:val="left"/>
      <w:pPr>
        <w:ind w:left="6948" w:hanging="360"/>
      </w:pPr>
      <w:rPr>
        <w:rFonts w:ascii="Symbol" w:hAnsi="Symbol" w:hint="default"/>
      </w:rPr>
    </w:lvl>
    <w:lvl w:ilvl="7" w:tplc="1C090003" w:tentative="1">
      <w:start w:val="1"/>
      <w:numFmt w:val="bullet"/>
      <w:lvlText w:val="o"/>
      <w:lvlJc w:val="left"/>
      <w:pPr>
        <w:ind w:left="7668" w:hanging="360"/>
      </w:pPr>
      <w:rPr>
        <w:rFonts w:ascii="Courier New" w:hAnsi="Courier New" w:cs="Courier New" w:hint="default"/>
      </w:rPr>
    </w:lvl>
    <w:lvl w:ilvl="8" w:tplc="1C090005" w:tentative="1">
      <w:start w:val="1"/>
      <w:numFmt w:val="bullet"/>
      <w:lvlText w:val=""/>
      <w:lvlJc w:val="left"/>
      <w:pPr>
        <w:ind w:left="8388" w:hanging="360"/>
      </w:pPr>
      <w:rPr>
        <w:rFonts w:ascii="Wingdings" w:hAnsi="Wingdings" w:hint="default"/>
      </w:rPr>
    </w:lvl>
  </w:abstractNum>
  <w:abstractNum w:abstractNumId="1" w15:restartNumberingAfterBreak="0">
    <w:nsid w:val="0F195CF3"/>
    <w:multiLevelType w:val="hybridMultilevel"/>
    <w:tmpl w:val="863657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934BBE"/>
    <w:multiLevelType w:val="hybridMultilevel"/>
    <w:tmpl w:val="CDE442CA"/>
    <w:lvl w:ilvl="0" w:tplc="ACF01716">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2CE7CEC"/>
    <w:multiLevelType w:val="hybridMultilevel"/>
    <w:tmpl w:val="324A9F28"/>
    <w:lvl w:ilvl="0" w:tplc="1C090011">
      <w:start w:val="1"/>
      <w:numFmt w:val="decimal"/>
      <w:lvlText w:val="%1)"/>
      <w:lvlJc w:val="left"/>
      <w:pPr>
        <w:ind w:left="720" w:hanging="360"/>
      </w:pPr>
      <w:rPr>
        <w:rFonts w:hint="default"/>
      </w:rPr>
    </w:lvl>
    <w:lvl w:ilvl="1" w:tplc="49DCD52C">
      <w:start w:val="1"/>
      <w:numFmt w:val="decimal"/>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67025F9"/>
    <w:multiLevelType w:val="hybridMultilevel"/>
    <w:tmpl w:val="89BA450E"/>
    <w:lvl w:ilvl="0" w:tplc="9B30E598">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5" w15:restartNumberingAfterBreak="0">
    <w:nsid w:val="45075FE4"/>
    <w:multiLevelType w:val="hybridMultilevel"/>
    <w:tmpl w:val="DE74C162"/>
    <w:lvl w:ilvl="0" w:tplc="75E41796">
      <w:start w:val="5"/>
      <w:numFmt w:val="lowerLetter"/>
      <w:lvlText w:val="%1."/>
      <w:lvlJc w:val="left"/>
      <w:pPr>
        <w:ind w:left="360" w:hanging="360"/>
      </w:pPr>
      <w:rPr>
        <w:rFonts w:hint="default"/>
        <w:b w:val="0"/>
        <w:vertAlign w:val="baseline"/>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454F32A4"/>
    <w:multiLevelType w:val="hybridMultilevel"/>
    <w:tmpl w:val="C0BECA66"/>
    <w:lvl w:ilvl="0" w:tplc="1009000F">
      <w:start w:val="1"/>
      <w:numFmt w:val="decimal"/>
      <w:lvlText w:val="%1."/>
      <w:lvlJc w:val="left"/>
      <w:pPr>
        <w:ind w:left="720" w:hanging="360"/>
      </w:pPr>
    </w:lvl>
    <w:lvl w:ilvl="1" w:tplc="10090019">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7" w15:restartNumberingAfterBreak="0">
    <w:nsid w:val="557A5E3E"/>
    <w:multiLevelType w:val="hybridMultilevel"/>
    <w:tmpl w:val="F650E5C2"/>
    <w:lvl w:ilvl="0" w:tplc="FA844D82">
      <w:start w:val="1"/>
      <w:numFmt w:val="lowerLetter"/>
      <w:lvlText w:val="%1."/>
      <w:lvlJc w:val="left"/>
      <w:pPr>
        <w:ind w:left="720" w:hanging="360"/>
      </w:pPr>
      <w:rPr>
        <w:b w:val="0"/>
        <w:vertAlign w:val="baseline"/>
      </w:rPr>
    </w:lvl>
    <w:lvl w:ilvl="1" w:tplc="50C0493A">
      <w:numFmt w:val="bullet"/>
      <w:lvlText w:val=""/>
      <w:lvlJc w:val="left"/>
      <w:pPr>
        <w:ind w:left="1440" w:hanging="360"/>
      </w:pPr>
      <w:rPr>
        <w:rFonts w:ascii="Symbol" w:eastAsia="Calibri" w:hAnsi="Symbol" w:cs="Arial"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571B7991"/>
    <w:multiLevelType w:val="hybridMultilevel"/>
    <w:tmpl w:val="CEA4E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AE56A2"/>
    <w:multiLevelType w:val="hybridMultilevel"/>
    <w:tmpl w:val="94D0952E"/>
    <w:lvl w:ilvl="0" w:tplc="1C090011">
      <w:start w:val="1"/>
      <w:numFmt w:val="decimal"/>
      <w:lvlText w:val="%1)"/>
      <w:lvlJc w:val="left"/>
      <w:pPr>
        <w:ind w:left="1146" w:hanging="360"/>
      </w:p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0" w15:restartNumberingAfterBreak="0">
    <w:nsid w:val="694C4E98"/>
    <w:multiLevelType w:val="hybridMultilevel"/>
    <w:tmpl w:val="3C3293C8"/>
    <w:lvl w:ilvl="0" w:tplc="1009000F">
      <w:start w:val="1"/>
      <w:numFmt w:val="decimal"/>
      <w:lvlText w:val="%1."/>
      <w:lvlJc w:val="left"/>
      <w:pPr>
        <w:ind w:left="720" w:hanging="360"/>
      </w:pPr>
    </w:lvl>
    <w:lvl w:ilvl="1" w:tplc="10090019">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11" w15:restartNumberingAfterBreak="0">
    <w:nsid w:val="6C746897"/>
    <w:multiLevelType w:val="hybridMultilevel"/>
    <w:tmpl w:val="38D0EF4C"/>
    <w:lvl w:ilvl="0" w:tplc="1C090019">
      <w:start w:val="5"/>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9186C2C"/>
    <w:multiLevelType w:val="hybridMultilevel"/>
    <w:tmpl w:val="23968DF6"/>
    <w:lvl w:ilvl="0" w:tplc="1C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DC6CCA"/>
    <w:multiLevelType w:val="hybridMultilevel"/>
    <w:tmpl w:val="F6A825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E3F1202"/>
    <w:multiLevelType w:val="hybridMultilevel"/>
    <w:tmpl w:val="657CA4FE"/>
    <w:lvl w:ilvl="0" w:tplc="ACF01716">
      <w:start w:val="1"/>
      <w:numFmt w:val="decimal"/>
      <w:lvlText w:val="%1."/>
      <w:lvlJc w:val="left"/>
      <w:pPr>
        <w:ind w:left="108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0"/>
  </w:num>
  <w:num w:numId="3">
    <w:abstractNumId w:val="9"/>
  </w:num>
  <w:num w:numId="4">
    <w:abstractNumId w:val="6"/>
  </w:num>
  <w:num w:numId="5">
    <w:abstractNumId w:val="3"/>
  </w:num>
  <w:num w:numId="6">
    <w:abstractNumId w:val="1"/>
  </w:num>
  <w:num w:numId="7">
    <w:abstractNumId w:val="2"/>
  </w:num>
  <w:num w:numId="8">
    <w:abstractNumId w:val="14"/>
  </w:num>
  <w:num w:numId="9">
    <w:abstractNumId w:val="8"/>
  </w:num>
  <w:num w:numId="10">
    <w:abstractNumId w:val="4"/>
  </w:num>
  <w:num w:numId="11">
    <w:abstractNumId w:val="7"/>
  </w:num>
  <w:num w:numId="12">
    <w:abstractNumId w:val="11"/>
  </w:num>
  <w:num w:numId="13">
    <w:abstractNumId w:val="5"/>
  </w:num>
  <w:num w:numId="14">
    <w:abstractNumId w:val="12"/>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FC7"/>
    <w:rsid w:val="00013B1F"/>
    <w:rsid w:val="00025B88"/>
    <w:rsid w:val="00030D56"/>
    <w:rsid w:val="00033FD9"/>
    <w:rsid w:val="00080B7F"/>
    <w:rsid w:val="00086678"/>
    <w:rsid w:val="00096198"/>
    <w:rsid w:val="00096581"/>
    <w:rsid w:val="000B58EF"/>
    <w:rsid w:val="000C2BA9"/>
    <w:rsid w:val="000D1C08"/>
    <w:rsid w:val="000E07EA"/>
    <w:rsid w:val="000E52A3"/>
    <w:rsid w:val="000F0FD9"/>
    <w:rsid w:val="000F106E"/>
    <w:rsid w:val="00101630"/>
    <w:rsid w:val="00143770"/>
    <w:rsid w:val="001439AA"/>
    <w:rsid w:val="001602A9"/>
    <w:rsid w:val="001856E8"/>
    <w:rsid w:val="00187994"/>
    <w:rsid w:val="0019361A"/>
    <w:rsid w:val="001A7BA0"/>
    <w:rsid w:val="001B7C9A"/>
    <w:rsid w:val="001E0334"/>
    <w:rsid w:val="001F77EC"/>
    <w:rsid w:val="00203AF4"/>
    <w:rsid w:val="00207EFE"/>
    <w:rsid w:val="00222DE3"/>
    <w:rsid w:val="0023056A"/>
    <w:rsid w:val="00234980"/>
    <w:rsid w:val="00244A26"/>
    <w:rsid w:val="002468DC"/>
    <w:rsid w:val="00253666"/>
    <w:rsid w:val="00265237"/>
    <w:rsid w:val="00266615"/>
    <w:rsid w:val="002700AC"/>
    <w:rsid w:val="00276613"/>
    <w:rsid w:val="00276E7E"/>
    <w:rsid w:val="00297A56"/>
    <w:rsid w:val="002A0106"/>
    <w:rsid w:val="002B1585"/>
    <w:rsid w:val="002C155A"/>
    <w:rsid w:val="002C6561"/>
    <w:rsid w:val="002E6D34"/>
    <w:rsid w:val="002F156C"/>
    <w:rsid w:val="00300A44"/>
    <w:rsid w:val="00305F45"/>
    <w:rsid w:val="00314E06"/>
    <w:rsid w:val="00332F68"/>
    <w:rsid w:val="00341648"/>
    <w:rsid w:val="0034654E"/>
    <w:rsid w:val="0039050F"/>
    <w:rsid w:val="0039506E"/>
    <w:rsid w:val="003960F2"/>
    <w:rsid w:val="003C155B"/>
    <w:rsid w:val="003E267F"/>
    <w:rsid w:val="00400768"/>
    <w:rsid w:val="00402BCF"/>
    <w:rsid w:val="004047B1"/>
    <w:rsid w:val="00410B03"/>
    <w:rsid w:val="00421A5B"/>
    <w:rsid w:val="00432174"/>
    <w:rsid w:val="00434848"/>
    <w:rsid w:val="0043514F"/>
    <w:rsid w:val="00440F2B"/>
    <w:rsid w:val="00442B32"/>
    <w:rsid w:val="004540A2"/>
    <w:rsid w:val="004606B2"/>
    <w:rsid w:val="004846F0"/>
    <w:rsid w:val="0049028D"/>
    <w:rsid w:val="004A3250"/>
    <w:rsid w:val="004B6E9E"/>
    <w:rsid w:val="004C192F"/>
    <w:rsid w:val="004E7B8F"/>
    <w:rsid w:val="004F7719"/>
    <w:rsid w:val="005103D5"/>
    <w:rsid w:val="00527C80"/>
    <w:rsid w:val="00527EB6"/>
    <w:rsid w:val="0053294D"/>
    <w:rsid w:val="0056271A"/>
    <w:rsid w:val="00572A34"/>
    <w:rsid w:val="00585424"/>
    <w:rsid w:val="00591874"/>
    <w:rsid w:val="005920E0"/>
    <w:rsid w:val="005A048E"/>
    <w:rsid w:val="005B3641"/>
    <w:rsid w:val="005B624D"/>
    <w:rsid w:val="005B6359"/>
    <w:rsid w:val="005D1A98"/>
    <w:rsid w:val="005D2DAE"/>
    <w:rsid w:val="005E0535"/>
    <w:rsid w:val="005E442B"/>
    <w:rsid w:val="005F322A"/>
    <w:rsid w:val="00602B20"/>
    <w:rsid w:val="0060651D"/>
    <w:rsid w:val="00612DEF"/>
    <w:rsid w:val="00624D20"/>
    <w:rsid w:val="00662BF1"/>
    <w:rsid w:val="006660EC"/>
    <w:rsid w:val="0067249E"/>
    <w:rsid w:val="006A0497"/>
    <w:rsid w:val="006B3CA0"/>
    <w:rsid w:val="006B4F29"/>
    <w:rsid w:val="006D3488"/>
    <w:rsid w:val="006E5F30"/>
    <w:rsid w:val="006F374B"/>
    <w:rsid w:val="00705CE9"/>
    <w:rsid w:val="00706BD9"/>
    <w:rsid w:val="00711476"/>
    <w:rsid w:val="00757125"/>
    <w:rsid w:val="007932A4"/>
    <w:rsid w:val="007B242E"/>
    <w:rsid w:val="007B434B"/>
    <w:rsid w:val="007D2476"/>
    <w:rsid w:val="007E4F38"/>
    <w:rsid w:val="007F4376"/>
    <w:rsid w:val="007F44FD"/>
    <w:rsid w:val="00817F02"/>
    <w:rsid w:val="00830B39"/>
    <w:rsid w:val="008364DF"/>
    <w:rsid w:val="00836AE2"/>
    <w:rsid w:val="00875B65"/>
    <w:rsid w:val="00882EE9"/>
    <w:rsid w:val="0088580E"/>
    <w:rsid w:val="00896133"/>
    <w:rsid w:val="008A352D"/>
    <w:rsid w:val="008A68C5"/>
    <w:rsid w:val="00907039"/>
    <w:rsid w:val="009173C5"/>
    <w:rsid w:val="00933D04"/>
    <w:rsid w:val="009352BE"/>
    <w:rsid w:val="00941232"/>
    <w:rsid w:val="00972B8A"/>
    <w:rsid w:val="00980249"/>
    <w:rsid w:val="00984851"/>
    <w:rsid w:val="00984E5A"/>
    <w:rsid w:val="009A2B92"/>
    <w:rsid w:val="009C4C9D"/>
    <w:rsid w:val="009E1C3E"/>
    <w:rsid w:val="009F03AE"/>
    <w:rsid w:val="00A0593E"/>
    <w:rsid w:val="00A2479B"/>
    <w:rsid w:val="00A40041"/>
    <w:rsid w:val="00A41B99"/>
    <w:rsid w:val="00A4457B"/>
    <w:rsid w:val="00A50D54"/>
    <w:rsid w:val="00A548F4"/>
    <w:rsid w:val="00A6424A"/>
    <w:rsid w:val="00A67BA2"/>
    <w:rsid w:val="00A7009F"/>
    <w:rsid w:val="00A73410"/>
    <w:rsid w:val="00AB6F1B"/>
    <w:rsid w:val="00AD73EE"/>
    <w:rsid w:val="00AE1CEC"/>
    <w:rsid w:val="00AE6632"/>
    <w:rsid w:val="00AE7BC5"/>
    <w:rsid w:val="00AF2C10"/>
    <w:rsid w:val="00AF52D6"/>
    <w:rsid w:val="00B02DC7"/>
    <w:rsid w:val="00B15AAA"/>
    <w:rsid w:val="00B2093A"/>
    <w:rsid w:val="00B20E0D"/>
    <w:rsid w:val="00B2627B"/>
    <w:rsid w:val="00B33158"/>
    <w:rsid w:val="00B41308"/>
    <w:rsid w:val="00B549AB"/>
    <w:rsid w:val="00B56B16"/>
    <w:rsid w:val="00B61C0E"/>
    <w:rsid w:val="00B74A2F"/>
    <w:rsid w:val="00B84341"/>
    <w:rsid w:val="00B96FC0"/>
    <w:rsid w:val="00BC2526"/>
    <w:rsid w:val="00BC5E74"/>
    <w:rsid w:val="00BD13B4"/>
    <w:rsid w:val="00BE2316"/>
    <w:rsid w:val="00BE4F88"/>
    <w:rsid w:val="00BF56CB"/>
    <w:rsid w:val="00BF5D6D"/>
    <w:rsid w:val="00C11CAB"/>
    <w:rsid w:val="00C11D22"/>
    <w:rsid w:val="00C140EB"/>
    <w:rsid w:val="00C2259D"/>
    <w:rsid w:val="00C27FA5"/>
    <w:rsid w:val="00C3277F"/>
    <w:rsid w:val="00C47C67"/>
    <w:rsid w:val="00C5124A"/>
    <w:rsid w:val="00C51D46"/>
    <w:rsid w:val="00C54267"/>
    <w:rsid w:val="00C56D18"/>
    <w:rsid w:val="00C57562"/>
    <w:rsid w:val="00C64AD8"/>
    <w:rsid w:val="00C75F3B"/>
    <w:rsid w:val="00C87E77"/>
    <w:rsid w:val="00C97A65"/>
    <w:rsid w:val="00CC07D9"/>
    <w:rsid w:val="00CC4D44"/>
    <w:rsid w:val="00CC56D8"/>
    <w:rsid w:val="00CC7CBC"/>
    <w:rsid w:val="00D071F0"/>
    <w:rsid w:val="00D07734"/>
    <w:rsid w:val="00D27361"/>
    <w:rsid w:val="00D27BFB"/>
    <w:rsid w:val="00D433D8"/>
    <w:rsid w:val="00D52BB4"/>
    <w:rsid w:val="00D52F46"/>
    <w:rsid w:val="00D55C74"/>
    <w:rsid w:val="00D75289"/>
    <w:rsid w:val="00D825A6"/>
    <w:rsid w:val="00D84BB8"/>
    <w:rsid w:val="00D910A0"/>
    <w:rsid w:val="00DB0111"/>
    <w:rsid w:val="00DB2AD3"/>
    <w:rsid w:val="00DC28D5"/>
    <w:rsid w:val="00DC7D20"/>
    <w:rsid w:val="00DD537C"/>
    <w:rsid w:val="00DD5B8F"/>
    <w:rsid w:val="00E133C5"/>
    <w:rsid w:val="00E22077"/>
    <w:rsid w:val="00E315C3"/>
    <w:rsid w:val="00E46396"/>
    <w:rsid w:val="00E55F68"/>
    <w:rsid w:val="00E57D16"/>
    <w:rsid w:val="00E63EAA"/>
    <w:rsid w:val="00E6562D"/>
    <w:rsid w:val="00E714A7"/>
    <w:rsid w:val="00E720FA"/>
    <w:rsid w:val="00EA0FE5"/>
    <w:rsid w:val="00ED53A8"/>
    <w:rsid w:val="00EF622D"/>
    <w:rsid w:val="00EF7FC7"/>
    <w:rsid w:val="00F05905"/>
    <w:rsid w:val="00F130AA"/>
    <w:rsid w:val="00F255DC"/>
    <w:rsid w:val="00F32E36"/>
    <w:rsid w:val="00F36A6D"/>
    <w:rsid w:val="00F43641"/>
    <w:rsid w:val="00F4694C"/>
    <w:rsid w:val="00F46E82"/>
    <w:rsid w:val="00F551D5"/>
    <w:rsid w:val="00F65081"/>
    <w:rsid w:val="00F72072"/>
    <w:rsid w:val="00F77908"/>
    <w:rsid w:val="00F868E1"/>
    <w:rsid w:val="00F971EA"/>
    <w:rsid w:val="00FA6A81"/>
    <w:rsid w:val="00FB228D"/>
    <w:rsid w:val="00FE10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3EE49522-51FA-47BE-B298-48C431C2F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77F"/>
  </w:style>
  <w:style w:type="paragraph" w:styleId="Heading1">
    <w:name w:val="heading 1"/>
    <w:basedOn w:val="Normal"/>
    <w:next w:val="Normal"/>
    <w:link w:val="Heading1Char"/>
    <w:uiPriority w:val="9"/>
    <w:qFormat/>
    <w:rsid w:val="00C3277F"/>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C3277F"/>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3277F"/>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3277F"/>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C3277F"/>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C3277F"/>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C3277F"/>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C3277F"/>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C3277F"/>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CE9"/>
    <w:pPr>
      <w:ind w:left="720"/>
      <w:contextualSpacing/>
    </w:pPr>
  </w:style>
  <w:style w:type="character" w:styleId="Hyperlink">
    <w:name w:val="Hyperlink"/>
    <w:basedOn w:val="DefaultParagraphFont"/>
    <w:uiPriority w:val="99"/>
    <w:unhideWhenUsed/>
    <w:rsid w:val="007E4F38"/>
    <w:rPr>
      <w:color w:val="0000FF"/>
      <w:u w:val="single"/>
    </w:rPr>
  </w:style>
  <w:style w:type="character" w:customStyle="1" w:styleId="apple-converted-space">
    <w:name w:val="apple-converted-space"/>
    <w:basedOn w:val="DefaultParagraphFont"/>
    <w:rsid w:val="007E4F38"/>
  </w:style>
  <w:style w:type="paragraph" w:customStyle="1" w:styleId="Protocol-maintext">
    <w:name w:val="Protocol - main text"/>
    <w:basedOn w:val="Normal"/>
    <w:rsid w:val="007E4F38"/>
    <w:pPr>
      <w:tabs>
        <w:tab w:val="left" w:pos="-142"/>
      </w:tabs>
      <w:jc w:val="both"/>
    </w:pPr>
    <w:rPr>
      <w:rFonts w:ascii="Times New Roman" w:hAnsi="Times New Roman"/>
      <w:szCs w:val="24"/>
    </w:rPr>
  </w:style>
  <w:style w:type="table" w:customStyle="1" w:styleId="TableGrid41">
    <w:name w:val="Table Grid41"/>
    <w:basedOn w:val="TableNormal"/>
    <w:next w:val="TableGrid"/>
    <w:uiPriority w:val="59"/>
    <w:rsid w:val="007E4F38"/>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7E4F38"/>
    <w:pPr>
      <w:spacing w:after="0" w:line="240" w:lineRule="auto"/>
    </w:pPr>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4F38"/>
    <w:pPr>
      <w:tabs>
        <w:tab w:val="center" w:pos="4680"/>
        <w:tab w:val="right" w:pos="9360"/>
      </w:tabs>
    </w:pPr>
  </w:style>
  <w:style w:type="character" w:customStyle="1" w:styleId="HeaderChar">
    <w:name w:val="Header Char"/>
    <w:basedOn w:val="DefaultParagraphFont"/>
    <w:link w:val="Header"/>
    <w:uiPriority w:val="99"/>
    <w:rsid w:val="007E4F38"/>
    <w:rPr>
      <w:rFonts w:ascii="Arial" w:eastAsia="Times New Roman" w:hAnsi="Arial" w:cs="Times New Roman"/>
      <w:sz w:val="24"/>
      <w:szCs w:val="20"/>
    </w:rPr>
  </w:style>
  <w:style w:type="paragraph" w:styleId="Footer">
    <w:name w:val="footer"/>
    <w:basedOn w:val="Normal"/>
    <w:link w:val="FooterChar"/>
    <w:uiPriority w:val="99"/>
    <w:unhideWhenUsed/>
    <w:rsid w:val="007E4F38"/>
    <w:pPr>
      <w:tabs>
        <w:tab w:val="center" w:pos="4680"/>
        <w:tab w:val="right" w:pos="9360"/>
      </w:tabs>
    </w:pPr>
  </w:style>
  <w:style w:type="character" w:customStyle="1" w:styleId="FooterChar">
    <w:name w:val="Footer Char"/>
    <w:basedOn w:val="DefaultParagraphFont"/>
    <w:link w:val="Footer"/>
    <w:uiPriority w:val="99"/>
    <w:rsid w:val="007E4F38"/>
    <w:rPr>
      <w:rFonts w:ascii="Arial" w:eastAsia="Times New Roman" w:hAnsi="Arial" w:cs="Times New Roman"/>
      <w:sz w:val="24"/>
      <w:szCs w:val="20"/>
    </w:rPr>
  </w:style>
  <w:style w:type="paragraph" w:styleId="CommentText">
    <w:name w:val="annotation text"/>
    <w:basedOn w:val="Normal"/>
    <w:link w:val="CommentTextChar"/>
    <w:uiPriority w:val="99"/>
    <w:semiHidden/>
    <w:unhideWhenUsed/>
    <w:rsid w:val="007E4F38"/>
    <w:rPr>
      <w:sz w:val="20"/>
    </w:rPr>
  </w:style>
  <w:style w:type="character" w:customStyle="1" w:styleId="CommentTextChar">
    <w:name w:val="Comment Text Char"/>
    <w:basedOn w:val="DefaultParagraphFont"/>
    <w:link w:val="CommentText"/>
    <w:uiPriority w:val="99"/>
    <w:semiHidden/>
    <w:rsid w:val="007E4F38"/>
    <w:rPr>
      <w:rFonts w:ascii="Arial" w:eastAsia="Times New Roman" w:hAnsi="Arial" w:cs="Times New Roman"/>
      <w:sz w:val="20"/>
      <w:szCs w:val="20"/>
    </w:rPr>
  </w:style>
  <w:style w:type="character" w:customStyle="1" w:styleId="CommentSubjectChar">
    <w:name w:val="Comment Subject Char"/>
    <w:basedOn w:val="CommentTextChar"/>
    <w:link w:val="CommentSubject"/>
    <w:uiPriority w:val="99"/>
    <w:semiHidden/>
    <w:rsid w:val="007E4F38"/>
    <w:rPr>
      <w:rFonts w:ascii="Arial" w:eastAsia="Times New Roman" w:hAnsi="Arial" w:cs="Times New Roman"/>
      <w:b/>
      <w:bCs/>
      <w:sz w:val="20"/>
      <w:szCs w:val="20"/>
    </w:rPr>
  </w:style>
  <w:style w:type="paragraph" w:styleId="CommentSubject">
    <w:name w:val="annotation subject"/>
    <w:basedOn w:val="CommentText"/>
    <w:next w:val="CommentText"/>
    <w:link w:val="CommentSubjectChar"/>
    <w:uiPriority w:val="99"/>
    <w:semiHidden/>
    <w:unhideWhenUsed/>
    <w:rsid w:val="007E4F38"/>
    <w:rPr>
      <w:b/>
      <w:bCs/>
    </w:rPr>
  </w:style>
  <w:style w:type="character" w:customStyle="1" w:styleId="BalloonTextChar">
    <w:name w:val="Balloon Text Char"/>
    <w:basedOn w:val="DefaultParagraphFont"/>
    <w:link w:val="BalloonText"/>
    <w:uiPriority w:val="99"/>
    <w:semiHidden/>
    <w:rsid w:val="007E4F38"/>
    <w:rPr>
      <w:rFonts w:ascii="Segoe UI" w:eastAsia="Times New Roman" w:hAnsi="Segoe UI" w:cs="Segoe UI"/>
      <w:sz w:val="18"/>
      <w:szCs w:val="18"/>
    </w:rPr>
  </w:style>
  <w:style w:type="paragraph" w:styleId="BalloonText">
    <w:name w:val="Balloon Text"/>
    <w:basedOn w:val="Normal"/>
    <w:link w:val="BalloonTextChar"/>
    <w:uiPriority w:val="99"/>
    <w:semiHidden/>
    <w:unhideWhenUsed/>
    <w:rsid w:val="007E4F38"/>
    <w:rPr>
      <w:rFonts w:ascii="Segoe UI" w:hAnsi="Segoe UI" w:cs="Segoe UI"/>
      <w:sz w:val="18"/>
      <w:szCs w:val="18"/>
    </w:rPr>
  </w:style>
  <w:style w:type="character" w:customStyle="1" w:styleId="jrnl">
    <w:name w:val="jrnl"/>
    <w:basedOn w:val="DefaultParagraphFont"/>
    <w:rsid w:val="009C4C9D"/>
  </w:style>
  <w:style w:type="paragraph" w:styleId="NormalWeb">
    <w:name w:val="Normal (Web)"/>
    <w:basedOn w:val="Normal"/>
    <w:uiPriority w:val="99"/>
    <w:semiHidden/>
    <w:unhideWhenUsed/>
    <w:rsid w:val="009C4C9D"/>
    <w:pPr>
      <w:spacing w:before="100" w:beforeAutospacing="1" w:after="100" w:afterAutospacing="1"/>
    </w:pPr>
    <w:rPr>
      <w:rFonts w:ascii="Times New Roman" w:hAnsi="Times New Roman"/>
      <w:szCs w:val="24"/>
      <w:lang w:eastAsia="en-GB"/>
    </w:rPr>
  </w:style>
  <w:style w:type="character" w:customStyle="1" w:styleId="Heading1Char">
    <w:name w:val="Heading 1 Char"/>
    <w:basedOn w:val="DefaultParagraphFont"/>
    <w:link w:val="Heading1"/>
    <w:uiPriority w:val="9"/>
    <w:rsid w:val="00C3277F"/>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C3277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3277F"/>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3277F"/>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C3277F"/>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C3277F"/>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C3277F"/>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C3277F"/>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C3277F"/>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C3277F"/>
    <w:pPr>
      <w:spacing w:line="240" w:lineRule="auto"/>
    </w:pPr>
    <w:rPr>
      <w:b/>
      <w:bCs/>
      <w:smallCaps/>
      <w:color w:val="44546A" w:themeColor="text2"/>
    </w:rPr>
  </w:style>
  <w:style w:type="paragraph" w:styleId="Title">
    <w:name w:val="Title"/>
    <w:basedOn w:val="Normal"/>
    <w:next w:val="Normal"/>
    <w:link w:val="TitleChar"/>
    <w:qFormat/>
    <w:rsid w:val="00C3277F"/>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rsid w:val="00C3277F"/>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C3277F"/>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C3277F"/>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C3277F"/>
    <w:rPr>
      <w:b/>
      <w:bCs/>
    </w:rPr>
  </w:style>
  <w:style w:type="character" w:styleId="Emphasis">
    <w:name w:val="Emphasis"/>
    <w:basedOn w:val="DefaultParagraphFont"/>
    <w:uiPriority w:val="20"/>
    <w:qFormat/>
    <w:rsid w:val="00C3277F"/>
    <w:rPr>
      <w:i/>
      <w:iCs/>
    </w:rPr>
  </w:style>
  <w:style w:type="paragraph" w:styleId="NoSpacing">
    <w:name w:val="No Spacing"/>
    <w:uiPriority w:val="1"/>
    <w:qFormat/>
    <w:rsid w:val="00C3277F"/>
    <w:pPr>
      <w:spacing w:after="0" w:line="240" w:lineRule="auto"/>
    </w:pPr>
  </w:style>
  <w:style w:type="paragraph" w:styleId="Quote">
    <w:name w:val="Quote"/>
    <w:basedOn w:val="Normal"/>
    <w:next w:val="Normal"/>
    <w:link w:val="QuoteChar"/>
    <w:uiPriority w:val="29"/>
    <w:qFormat/>
    <w:rsid w:val="00C3277F"/>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C3277F"/>
    <w:rPr>
      <w:color w:val="44546A" w:themeColor="text2"/>
      <w:sz w:val="24"/>
      <w:szCs w:val="24"/>
    </w:rPr>
  </w:style>
  <w:style w:type="paragraph" w:styleId="IntenseQuote">
    <w:name w:val="Intense Quote"/>
    <w:basedOn w:val="Normal"/>
    <w:next w:val="Normal"/>
    <w:link w:val="IntenseQuoteChar"/>
    <w:uiPriority w:val="30"/>
    <w:qFormat/>
    <w:rsid w:val="00C3277F"/>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C3277F"/>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C3277F"/>
    <w:rPr>
      <w:i/>
      <w:iCs/>
      <w:color w:val="595959" w:themeColor="text1" w:themeTint="A6"/>
    </w:rPr>
  </w:style>
  <w:style w:type="character" w:styleId="IntenseEmphasis">
    <w:name w:val="Intense Emphasis"/>
    <w:basedOn w:val="DefaultParagraphFont"/>
    <w:uiPriority w:val="21"/>
    <w:qFormat/>
    <w:rsid w:val="00C3277F"/>
    <w:rPr>
      <w:b/>
      <w:bCs/>
      <w:i/>
      <w:iCs/>
    </w:rPr>
  </w:style>
  <w:style w:type="character" w:styleId="SubtleReference">
    <w:name w:val="Subtle Reference"/>
    <w:basedOn w:val="DefaultParagraphFont"/>
    <w:uiPriority w:val="31"/>
    <w:qFormat/>
    <w:rsid w:val="00C3277F"/>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C3277F"/>
    <w:rPr>
      <w:b/>
      <w:bCs/>
      <w:smallCaps/>
      <w:color w:val="44546A" w:themeColor="text2"/>
      <w:u w:val="single"/>
    </w:rPr>
  </w:style>
  <w:style w:type="character" w:styleId="BookTitle">
    <w:name w:val="Book Title"/>
    <w:basedOn w:val="DefaultParagraphFont"/>
    <w:uiPriority w:val="33"/>
    <w:qFormat/>
    <w:rsid w:val="00C3277F"/>
    <w:rPr>
      <w:b/>
      <w:bCs/>
      <w:smallCaps/>
      <w:spacing w:val="10"/>
    </w:rPr>
  </w:style>
  <w:style w:type="paragraph" w:styleId="TOCHeading">
    <w:name w:val="TOC Heading"/>
    <w:basedOn w:val="Heading1"/>
    <w:next w:val="Normal"/>
    <w:uiPriority w:val="39"/>
    <w:semiHidden/>
    <w:unhideWhenUsed/>
    <w:qFormat/>
    <w:rsid w:val="00C3277F"/>
    <w:pPr>
      <w:outlineLvl w:val="9"/>
    </w:pPr>
  </w:style>
  <w:style w:type="character" w:styleId="CommentReference">
    <w:name w:val="annotation reference"/>
    <w:basedOn w:val="DefaultParagraphFont"/>
    <w:uiPriority w:val="99"/>
    <w:semiHidden/>
    <w:unhideWhenUsed/>
    <w:rsid w:val="00C11D2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715813">
      <w:bodyDiv w:val="1"/>
      <w:marLeft w:val="0"/>
      <w:marRight w:val="0"/>
      <w:marTop w:val="0"/>
      <w:marBottom w:val="0"/>
      <w:divBdr>
        <w:top w:val="none" w:sz="0" w:space="0" w:color="auto"/>
        <w:left w:val="none" w:sz="0" w:space="0" w:color="auto"/>
        <w:bottom w:val="none" w:sz="0" w:space="0" w:color="auto"/>
        <w:right w:val="none" w:sz="0" w:space="0" w:color="auto"/>
      </w:divBdr>
    </w:div>
    <w:div w:id="565343345">
      <w:bodyDiv w:val="1"/>
      <w:marLeft w:val="0"/>
      <w:marRight w:val="0"/>
      <w:marTop w:val="0"/>
      <w:marBottom w:val="0"/>
      <w:divBdr>
        <w:top w:val="none" w:sz="0" w:space="0" w:color="auto"/>
        <w:left w:val="none" w:sz="0" w:space="0" w:color="auto"/>
        <w:bottom w:val="none" w:sz="0" w:space="0" w:color="auto"/>
        <w:right w:val="none" w:sz="0" w:space="0" w:color="auto"/>
      </w:divBdr>
    </w:div>
    <w:div w:id="1403795337">
      <w:bodyDiv w:val="1"/>
      <w:marLeft w:val="0"/>
      <w:marRight w:val="0"/>
      <w:marTop w:val="0"/>
      <w:marBottom w:val="0"/>
      <w:divBdr>
        <w:top w:val="none" w:sz="0" w:space="0" w:color="auto"/>
        <w:left w:val="none" w:sz="0" w:space="0" w:color="auto"/>
        <w:bottom w:val="none" w:sz="0" w:space="0" w:color="auto"/>
        <w:right w:val="none" w:sz="0" w:space="0" w:color="auto"/>
      </w:divBdr>
    </w:div>
    <w:div w:id="1748066631">
      <w:bodyDiv w:val="1"/>
      <w:marLeft w:val="0"/>
      <w:marRight w:val="0"/>
      <w:marTop w:val="0"/>
      <w:marBottom w:val="0"/>
      <w:divBdr>
        <w:top w:val="none" w:sz="0" w:space="0" w:color="auto"/>
        <w:left w:val="none" w:sz="0" w:space="0" w:color="auto"/>
        <w:bottom w:val="none" w:sz="0" w:space="0" w:color="auto"/>
        <w:right w:val="none" w:sz="0" w:space="0" w:color="auto"/>
      </w:divBdr>
    </w:div>
    <w:div w:id="176240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ngani.mayosi@uct.ac.za" TargetMode="External"/><Relationship Id="rId13" Type="http://schemas.openxmlformats.org/officeDocument/2006/relationships/hyperlink" Target="http://www.nice.org.uk/guidance/cg12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r>
              <a:rPr lang="en-US" sz="900" b="1" dirty="0">
                <a:solidFill>
                  <a:schemeClr val="dk1"/>
                </a:solidFill>
                <a:latin typeface="+mn-lt"/>
                <a:ea typeface="+mn-ea"/>
                <a:cs typeface="+mn-cs"/>
              </a:rPr>
              <a:t>Creole: Recruitment at Week 17 </a:t>
            </a:r>
          </a:p>
          <a:p>
            <a:pPr>
              <a:defRPr>
                <a:solidFill>
                  <a:schemeClr val="dk1"/>
                </a:solidFill>
              </a:defRPr>
            </a:pPr>
            <a:r>
              <a:rPr lang="en-US" sz="900" b="1" baseline="0" dirty="0">
                <a:solidFill>
                  <a:schemeClr val="dk1"/>
                </a:solidFill>
                <a:latin typeface="+mn-lt"/>
                <a:ea typeface="+mn-ea"/>
                <a:cs typeface="+mn-cs"/>
              </a:rPr>
              <a:t>Projected vs Screened vs Enrolled 02 October 2017</a:t>
            </a:r>
            <a:endParaRPr lang="en-US" sz="900" b="1" dirty="0"/>
          </a:p>
        </c:rich>
      </c:tx>
      <c:layout>
        <c:manualLayout>
          <c:xMode val="edge"/>
          <c:yMode val="edge"/>
          <c:x val="0.30384525880485869"/>
          <c:y val="3.3867584953233179E-2"/>
        </c:manualLayout>
      </c:layout>
      <c:overlay val="0"/>
      <c:spPr>
        <a:solidFill>
          <a:schemeClr val="lt1"/>
        </a:solidFill>
        <a:ln w="12700" cap="flat" cmpd="sng" algn="ctr">
          <a:solidFill>
            <a:schemeClr val="dk1"/>
          </a:solidFill>
          <a:prstDash val="solid"/>
          <a:miter lim="800000"/>
        </a:ln>
        <a:effectLst/>
      </c:spPr>
      <c:txPr>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endParaRPr lang="en-US"/>
        </a:p>
      </c:txPr>
    </c:title>
    <c:autoTitleDeleted val="0"/>
    <c:plotArea>
      <c:layout>
        <c:manualLayout>
          <c:layoutTarget val="inner"/>
          <c:xMode val="edge"/>
          <c:yMode val="edge"/>
          <c:x val="9.9550103020303773E-2"/>
          <c:y val="0.16168256038058937"/>
          <c:w val="0.85231981074910046"/>
          <c:h val="0.66168006703647531"/>
        </c:manualLayout>
      </c:layout>
      <c:barChart>
        <c:barDir val="col"/>
        <c:grouping val="clustered"/>
        <c:varyColors val="0"/>
        <c:ser>
          <c:idx val="0"/>
          <c:order val="0"/>
          <c:tx>
            <c:strRef>
              <c:f>'Projected vs screenedvs Enrolle'!$B$1:$B$2</c:f>
              <c:strCache>
                <c:ptCount val="2"/>
                <c:pt idx="0">
                  <c:v>Week 17 (02 October 2017)</c:v>
                </c:pt>
                <c:pt idx="1">
                  <c:v>Projected Recruitment (Cumulative)</c:v>
                </c:pt>
              </c:strCache>
            </c:strRef>
          </c:tx>
          <c:spPr>
            <a:solidFill>
              <a:schemeClr val="accent1"/>
            </a:solidFill>
            <a:ln>
              <a:noFill/>
            </a:ln>
            <a:effectLst/>
          </c:spPr>
          <c:invertIfNegative val="0"/>
          <c:dLbls>
            <c:dLbl>
              <c:idx val="0"/>
              <c:layout>
                <c:manualLayout>
                  <c:x val="2.8743891922966237E-3"/>
                  <c:y val="1.93190050712388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DC5-43C6-BDDD-7E0138408374}"/>
                </c:ext>
              </c:extLst>
            </c:dLbl>
            <c:dLbl>
              <c:idx val="1"/>
              <c:layout>
                <c:manualLayout>
                  <c:x val="-9.2376531404399394E-3"/>
                  <c:y val="2.28447234967399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2F4-4E54-BBA6-1E39F3582CAF}"/>
                </c:ext>
              </c:extLst>
            </c:dLbl>
            <c:dLbl>
              <c:idx val="2"/>
              <c:layout>
                <c:manualLayout>
                  <c:x val="0"/>
                  <c:y val="2.89785076068583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DC5-43C6-BDDD-7E0138408374}"/>
                </c:ext>
              </c:extLst>
            </c:dLbl>
            <c:dLbl>
              <c:idx val="3"/>
              <c:layout>
                <c:manualLayout>
                  <c:x val="-5.2696526437334837E-17"/>
                  <c:y val="2.89785076068583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DC5-43C6-BDDD-7E0138408374}"/>
                </c:ext>
              </c:extLst>
            </c:dLbl>
            <c:dLbl>
              <c:idx val="4"/>
              <c:layout>
                <c:manualLayout>
                  <c:x val="0"/>
                  <c:y val="9.65950253561950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DC5-43C6-BDDD-7E0138408374}"/>
                </c:ext>
              </c:extLst>
            </c:dLbl>
            <c:dLbl>
              <c:idx val="8"/>
              <c:layout>
                <c:manualLayout>
                  <c:x val="-2.8743891922967425E-3"/>
                  <c:y val="9.65950253561932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DC5-43C6-BDDD-7E0138408374}"/>
                </c:ext>
              </c:extLst>
            </c:dLbl>
            <c:spPr>
              <a:noFill/>
              <a:ln>
                <a:noFill/>
              </a:ln>
              <a:effectLst/>
            </c:spPr>
            <c:txPr>
              <a:bodyPr rot="0" spcFirstLastPara="1" vertOverflow="ellipsis" vert="horz" wrap="square" lIns="38100" tIns="19050" rIns="38100" bIns="19050" anchor="ctr" anchorCtr="1">
                <a:spAutoFit/>
              </a:bodyPr>
              <a:lstStyle/>
              <a:p>
                <a:pPr>
                  <a:defRPr sz="75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'Projected vs screenedvs Enrolle'!$A$3:$A$13</c:f>
              <c:strCache>
                <c:ptCount val="11"/>
                <c:pt idx="0">
                  <c:v>Total</c:v>
                </c:pt>
                <c:pt idx="1">
                  <c:v>Abuja</c:v>
                </c:pt>
                <c:pt idx="2">
                  <c:v>Kano</c:v>
                </c:pt>
                <c:pt idx="3">
                  <c:v>Ibadan</c:v>
                </c:pt>
                <c:pt idx="4">
                  <c:v>Douala</c:v>
                </c:pt>
                <c:pt idx="5">
                  <c:v>Cape Town</c:v>
                </c:pt>
                <c:pt idx="6">
                  <c:v>Kampala</c:v>
                </c:pt>
                <c:pt idx="7">
                  <c:v>Maputo</c:v>
                </c:pt>
                <c:pt idx="8">
                  <c:v>Eldoret</c:v>
                </c:pt>
                <c:pt idx="9">
                  <c:v>Nairobi</c:v>
                </c:pt>
                <c:pt idx="10">
                  <c:v>Pretoria</c:v>
                </c:pt>
              </c:strCache>
            </c:strRef>
          </c:cat>
          <c:val>
            <c:numRef>
              <c:f>'Projected vs screenedvs Enrolle'!$B$3:$B$13</c:f>
              <c:numCache>
                <c:formatCode>0</c:formatCode>
                <c:ptCount val="11"/>
                <c:pt idx="0">
                  <c:v>741</c:v>
                </c:pt>
                <c:pt idx="1">
                  <c:v>114</c:v>
                </c:pt>
                <c:pt idx="2" formatCode="General">
                  <c:v>78</c:v>
                </c:pt>
                <c:pt idx="3" formatCode="General">
                  <c:v>78</c:v>
                </c:pt>
                <c:pt idx="4" formatCode="General">
                  <c:v>78</c:v>
                </c:pt>
                <c:pt idx="5" formatCode="General">
                  <c:v>78</c:v>
                </c:pt>
                <c:pt idx="6">
                  <c:v>78</c:v>
                </c:pt>
                <c:pt idx="7">
                  <c:v>78</c:v>
                </c:pt>
                <c:pt idx="8">
                  <c:v>77.800000000000011</c:v>
                </c:pt>
                <c:pt idx="9">
                  <c:v>77.800000000000011</c:v>
                </c:pt>
                <c:pt idx="10">
                  <c:v>78</c:v>
                </c:pt>
              </c:numCache>
            </c:numRef>
          </c:val>
          <c:extLst>
            <c:ext xmlns:c16="http://schemas.microsoft.com/office/drawing/2014/chart" uri="{C3380CC4-5D6E-409C-BE32-E72D297353CC}">
              <c16:uniqueId val="{00000001-22F4-4E54-BBA6-1E39F3582CAF}"/>
            </c:ext>
          </c:extLst>
        </c:ser>
        <c:ser>
          <c:idx val="1"/>
          <c:order val="1"/>
          <c:tx>
            <c:strRef>
              <c:f>'Projected vs screenedvs Enrolle'!$C$1:$C$2</c:f>
              <c:strCache>
                <c:ptCount val="2"/>
                <c:pt idx="0">
                  <c:v>Week 17 (02 October 2017)</c:v>
                </c:pt>
                <c:pt idx="1">
                  <c:v>Screened (Cumulative)</c:v>
                </c:pt>
              </c:strCache>
            </c:strRef>
          </c:tx>
          <c:spPr>
            <a:solidFill>
              <a:schemeClr val="accent2"/>
            </a:solidFill>
            <a:ln>
              <a:noFill/>
            </a:ln>
            <a:effectLst/>
          </c:spPr>
          <c:invertIfNegative val="0"/>
          <c:dLbls>
            <c:dLbl>
              <c:idx val="3"/>
              <c:layout>
                <c:manualLayout>
                  <c:x val="0"/>
                  <c:y val="9.65950253561932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DC5-43C6-BDDD-7E0138408374}"/>
                </c:ext>
              </c:extLst>
            </c:dLbl>
            <c:dLbl>
              <c:idx val="4"/>
              <c:layout>
                <c:manualLayout>
                  <c:x val="2.8743891922965842E-3"/>
                  <c:y val="1.44892538034291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DC5-43C6-BDDD-7E0138408374}"/>
                </c:ext>
              </c:extLst>
            </c:dLbl>
            <c:dLbl>
              <c:idx val="9"/>
              <c:layout>
                <c:manualLayout>
                  <c:x val="-1.0539305287466967E-16"/>
                  <c:y val="1.931900507123874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DC5-43C6-BDDD-7E0138408374}"/>
                </c:ext>
              </c:extLst>
            </c:dLbl>
            <c:spPr>
              <a:noFill/>
              <a:ln>
                <a:noFill/>
              </a:ln>
              <a:effectLst/>
            </c:spPr>
            <c:txPr>
              <a:bodyPr rot="0" spcFirstLastPara="1" vertOverflow="ellipsis" vert="horz" wrap="square" lIns="38100" tIns="19050" rIns="38100" bIns="19050" anchor="ctr" anchorCtr="1">
                <a:spAutoFit/>
              </a:bodyPr>
              <a:lstStyle/>
              <a:p>
                <a:pPr>
                  <a:defRPr sz="75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'Projected vs screenedvs Enrolle'!$A$3:$A$13</c:f>
              <c:strCache>
                <c:ptCount val="11"/>
                <c:pt idx="0">
                  <c:v>Total</c:v>
                </c:pt>
                <c:pt idx="1">
                  <c:v>Abuja</c:v>
                </c:pt>
                <c:pt idx="2">
                  <c:v>Kano</c:v>
                </c:pt>
                <c:pt idx="3">
                  <c:v>Ibadan</c:v>
                </c:pt>
                <c:pt idx="4">
                  <c:v>Douala</c:v>
                </c:pt>
                <c:pt idx="5">
                  <c:v>Cape Town</c:v>
                </c:pt>
                <c:pt idx="6">
                  <c:v>Kampala</c:v>
                </c:pt>
                <c:pt idx="7">
                  <c:v>Maputo</c:v>
                </c:pt>
                <c:pt idx="8">
                  <c:v>Eldoret</c:v>
                </c:pt>
                <c:pt idx="9">
                  <c:v>Nairobi</c:v>
                </c:pt>
                <c:pt idx="10">
                  <c:v>Pretoria</c:v>
                </c:pt>
              </c:strCache>
            </c:strRef>
          </c:cat>
          <c:val>
            <c:numRef>
              <c:f>'Projected vs screenedvs Enrolle'!$C$3:$C$13</c:f>
              <c:numCache>
                <c:formatCode>General</c:formatCode>
                <c:ptCount val="11"/>
                <c:pt idx="0">
                  <c:v>551</c:v>
                </c:pt>
                <c:pt idx="1">
                  <c:v>140</c:v>
                </c:pt>
                <c:pt idx="2">
                  <c:v>101</c:v>
                </c:pt>
                <c:pt idx="3">
                  <c:v>109</c:v>
                </c:pt>
                <c:pt idx="4">
                  <c:v>44</c:v>
                </c:pt>
                <c:pt idx="5">
                  <c:v>41</c:v>
                </c:pt>
                <c:pt idx="6">
                  <c:v>39</c:v>
                </c:pt>
                <c:pt idx="7">
                  <c:v>47</c:v>
                </c:pt>
                <c:pt idx="8">
                  <c:v>24</c:v>
                </c:pt>
                <c:pt idx="9">
                  <c:v>6</c:v>
                </c:pt>
                <c:pt idx="10">
                  <c:v>0</c:v>
                </c:pt>
              </c:numCache>
            </c:numRef>
          </c:val>
          <c:extLst>
            <c:ext xmlns:c16="http://schemas.microsoft.com/office/drawing/2014/chart" uri="{C3380CC4-5D6E-409C-BE32-E72D297353CC}">
              <c16:uniqueId val="{00000002-22F4-4E54-BBA6-1E39F3582CAF}"/>
            </c:ext>
          </c:extLst>
        </c:ser>
        <c:ser>
          <c:idx val="2"/>
          <c:order val="2"/>
          <c:tx>
            <c:strRef>
              <c:f>'Projected vs screenedvs Enrolle'!$D$1:$D$2</c:f>
              <c:strCache>
                <c:ptCount val="2"/>
                <c:pt idx="0">
                  <c:v>Week 17 (02 October 2017)</c:v>
                </c:pt>
                <c:pt idx="1">
                  <c:v>Enrolled (Cumulative)</c:v>
                </c:pt>
              </c:strCache>
            </c:strRef>
          </c:tx>
          <c:spPr>
            <a:solidFill>
              <a:schemeClr val="accent3"/>
            </a:solidFill>
            <a:ln>
              <a:noFill/>
            </a:ln>
            <a:effectLst/>
          </c:spPr>
          <c:invertIfNegative val="0"/>
          <c:dLbls>
            <c:dLbl>
              <c:idx val="0"/>
              <c:layout>
                <c:manualLayout>
                  <c:x val="0"/>
                  <c:y val="1.93190050712388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DC5-43C6-BDDD-7E0138408374}"/>
                </c:ext>
              </c:extLst>
            </c:dLbl>
            <c:dLbl>
              <c:idx val="1"/>
              <c:layout>
                <c:manualLayout>
                  <c:x val="5.7487783845932474E-3"/>
                  <c:y val="2.89785076068582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DC5-43C6-BDDD-7E0138408374}"/>
                </c:ext>
              </c:extLst>
            </c:dLbl>
            <c:dLbl>
              <c:idx val="2"/>
              <c:layout>
                <c:manualLayout>
                  <c:x val="0"/>
                  <c:y val="2.41487563390484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DC5-43C6-BDDD-7E0138408374}"/>
                </c:ext>
              </c:extLst>
            </c:dLbl>
            <c:dLbl>
              <c:idx val="3"/>
              <c:layout>
                <c:manualLayout>
                  <c:x val="5.7487783845932743E-3"/>
                  <c:y val="1.93190050712388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DC5-43C6-BDDD-7E0138408374}"/>
                </c:ext>
              </c:extLst>
            </c:dLbl>
            <c:dLbl>
              <c:idx val="4"/>
              <c:layout>
                <c:manualLayout>
                  <c:x val="2.8743891922965842E-3"/>
                  <c:y val="3.38082588746679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DC5-43C6-BDDD-7E0138408374}"/>
                </c:ext>
              </c:extLst>
            </c:dLbl>
            <c:dLbl>
              <c:idx val="5"/>
              <c:layout>
                <c:manualLayout>
                  <c:x val="5.7487783845932743E-3"/>
                  <c:y val="2.897850760685833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DC5-43C6-BDDD-7E0138408374}"/>
                </c:ext>
              </c:extLst>
            </c:dLbl>
            <c:dLbl>
              <c:idx val="6"/>
              <c:layout>
                <c:manualLayout>
                  <c:x val="0"/>
                  <c:y val="2.89785076068582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DC5-43C6-BDDD-7E0138408374}"/>
                </c:ext>
              </c:extLst>
            </c:dLbl>
            <c:dLbl>
              <c:idx val="7"/>
              <c:layout>
                <c:manualLayout>
                  <c:x val="-2.8743891922966371E-3"/>
                  <c:y val="2.4148756339048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DC5-43C6-BDDD-7E0138408374}"/>
                </c:ext>
              </c:extLst>
            </c:dLbl>
            <c:dLbl>
              <c:idx val="8"/>
              <c:layout>
                <c:manualLayout>
                  <c:x val="0"/>
                  <c:y val="2.89785076068582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1DC5-43C6-BDDD-7E0138408374}"/>
                </c:ext>
              </c:extLst>
            </c:dLbl>
            <c:dLbl>
              <c:idx val="9"/>
              <c:layout>
                <c:manualLayout>
                  <c:x val="2.8743891922965318E-3"/>
                  <c:y val="2.4148756339048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1DC5-43C6-BDDD-7E0138408374}"/>
                </c:ext>
              </c:extLst>
            </c:dLbl>
            <c:spPr>
              <a:noFill/>
              <a:ln>
                <a:noFill/>
              </a:ln>
              <a:effectLst/>
            </c:spPr>
            <c:txPr>
              <a:bodyPr rot="0" spcFirstLastPara="1" vertOverflow="ellipsis" vert="horz" wrap="square" lIns="38100" tIns="19050" rIns="38100" bIns="19050" anchor="ctr" anchorCtr="1">
                <a:spAutoFit/>
              </a:bodyPr>
              <a:lstStyle/>
              <a:p>
                <a:pPr>
                  <a:defRPr sz="75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'Projected vs screenedvs Enrolle'!$A$3:$A$13</c:f>
              <c:strCache>
                <c:ptCount val="11"/>
                <c:pt idx="0">
                  <c:v>Total</c:v>
                </c:pt>
                <c:pt idx="1">
                  <c:v>Abuja</c:v>
                </c:pt>
                <c:pt idx="2">
                  <c:v>Kano</c:v>
                </c:pt>
                <c:pt idx="3">
                  <c:v>Ibadan</c:v>
                </c:pt>
                <c:pt idx="4">
                  <c:v>Douala</c:v>
                </c:pt>
                <c:pt idx="5">
                  <c:v>Cape Town</c:v>
                </c:pt>
                <c:pt idx="6">
                  <c:v>Kampala</c:v>
                </c:pt>
                <c:pt idx="7">
                  <c:v>Maputo</c:v>
                </c:pt>
                <c:pt idx="8">
                  <c:v>Eldoret</c:v>
                </c:pt>
                <c:pt idx="9">
                  <c:v>Nairobi</c:v>
                </c:pt>
                <c:pt idx="10">
                  <c:v>Pretoria</c:v>
                </c:pt>
              </c:strCache>
            </c:strRef>
          </c:cat>
          <c:val>
            <c:numRef>
              <c:f>'Projected vs screenedvs Enrolle'!$D$3:$D$13</c:f>
              <c:numCache>
                <c:formatCode>General</c:formatCode>
                <c:ptCount val="11"/>
                <c:pt idx="0">
                  <c:v>404</c:v>
                </c:pt>
                <c:pt idx="1">
                  <c:v>116</c:v>
                </c:pt>
                <c:pt idx="2">
                  <c:v>70</c:v>
                </c:pt>
                <c:pt idx="3">
                  <c:v>52</c:v>
                </c:pt>
                <c:pt idx="4">
                  <c:v>40</c:v>
                </c:pt>
                <c:pt idx="5">
                  <c:v>36</c:v>
                </c:pt>
                <c:pt idx="6">
                  <c:v>33</c:v>
                </c:pt>
                <c:pt idx="7">
                  <c:v>31</c:v>
                </c:pt>
                <c:pt idx="8">
                  <c:v>21</c:v>
                </c:pt>
                <c:pt idx="9">
                  <c:v>5</c:v>
                </c:pt>
                <c:pt idx="10">
                  <c:v>0</c:v>
                </c:pt>
              </c:numCache>
            </c:numRef>
          </c:val>
          <c:extLst>
            <c:ext xmlns:c16="http://schemas.microsoft.com/office/drawing/2014/chart" uri="{C3380CC4-5D6E-409C-BE32-E72D297353CC}">
              <c16:uniqueId val="{00000003-22F4-4E54-BBA6-1E39F3582CAF}"/>
            </c:ext>
          </c:extLst>
        </c:ser>
        <c:dLbls>
          <c:showLegendKey val="0"/>
          <c:showVal val="0"/>
          <c:showCatName val="0"/>
          <c:showSerName val="0"/>
          <c:showPercent val="0"/>
          <c:showBubbleSize val="0"/>
        </c:dLbls>
        <c:gapWidth val="219"/>
        <c:overlap val="-27"/>
        <c:axId val="1506964528"/>
        <c:axId val="1506965072"/>
      </c:barChart>
      <c:catAx>
        <c:axId val="1506964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en-US"/>
          </a:p>
        </c:txPr>
        <c:crossAx val="1506965072"/>
        <c:crosses val="autoZero"/>
        <c:auto val="1"/>
        <c:lblAlgn val="ctr"/>
        <c:lblOffset val="100"/>
        <c:noMultiLvlLbl val="0"/>
      </c:catAx>
      <c:valAx>
        <c:axId val="1506965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r>
                  <a:rPr lang="en-ZA" sz="1200" b="1"/>
                  <a:t>Recruits</a:t>
                </a:r>
              </a:p>
            </c:rich>
          </c:tx>
          <c:layout>
            <c:manualLayout>
              <c:xMode val="edge"/>
              <c:yMode val="edge"/>
              <c:x val="0.89680942799655061"/>
              <c:y val="0.41950877246357243"/>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06964528"/>
        <c:crosses val="autoZero"/>
        <c:crossBetween val="between"/>
      </c:valAx>
      <c:spPr>
        <a:noFill/>
        <a:ln>
          <a:solidFill>
            <a:srgbClr val="002060"/>
          </a:solidFill>
        </a:ln>
        <a:effectLst/>
      </c:spPr>
    </c:plotArea>
    <c:legend>
      <c:legendPos val="b"/>
      <c:layout>
        <c:manualLayout>
          <c:xMode val="edge"/>
          <c:yMode val="edge"/>
          <c:x val="0.23272981138985535"/>
          <c:y val="0.16386775608615212"/>
          <c:w val="0.65257370997639386"/>
          <c:h val="0.25724434168018301"/>
        </c:manualLayout>
      </c:layout>
      <c:overlay val="0"/>
      <c:spPr>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2700000" scaled="1"/>
          <a:tileRect/>
        </a:gradFill>
        <a:ln>
          <a:noFill/>
        </a:ln>
        <a:effectLst/>
        <a:scene3d>
          <a:camera prst="orthographicFront"/>
          <a:lightRig rig="threePt" dir="t"/>
        </a:scene3d>
        <a:sp3d prstMaterial="matte">
          <a:bevelT w="63500" h="63500" prst="artDeco"/>
          <a:contourClr>
            <a:srgbClr val="000000"/>
          </a:contourClr>
        </a:sp3d>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r>
              <a:rPr lang="en-ZA" sz="900" b="1">
                <a:solidFill>
                  <a:schemeClr val="dk1"/>
                </a:solidFill>
                <a:latin typeface="+mn-lt"/>
                <a:ea typeface="+mn-ea"/>
                <a:cs typeface="+mn-cs"/>
              </a:rPr>
              <a:t>Creole Recruitment Week 17</a:t>
            </a:r>
          </a:p>
          <a:p>
            <a:pPr>
              <a:defRPr>
                <a:solidFill>
                  <a:schemeClr val="dk1"/>
                </a:solidFill>
              </a:defRPr>
            </a:pPr>
            <a:r>
              <a:rPr lang="en-ZA" sz="900" b="1">
                <a:solidFill>
                  <a:schemeClr val="dk1"/>
                </a:solidFill>
                <a:latin typeface="+mn-lt"/>
                <a:ea typeface="+mn-ea"/>
                <a:cs typeface="+mn-cs"/>
              </a:rPr>
              <a:t>Actual Weekly Recruitment vs Projected Weekly Recruitment</a:t>
            </a:r>
          </a:p>
          <a:p>
            <a:pPr>
              <a:defRPr>
                <a:solidFill>
                  <a:schemeClr val="dk1"/>
                </a:solidFill>
              </a:defRPr>
            </a:pPr>
            <a:r>
              <a:rPr lang="en-ZA" sz="900" b="1">
                <a:solidFill>
                  <a:schemeClr val="dk1"/>
                </a:solidFill>
                <a:latin typeface="+mn-lt"/>
                <a:ea typeface="+mn-ea"/>
                <a:cs typeface="+mn-cs"/>
              </a:rPr>
              <a:t>02 October 2017</a:t>
            </a:r>
            <a:endParaRPr lang="en-ZA" sz="900" b="1"/>
          </a:p>
        </c:rich>
      </c:tx>
      <c:layout>
        <c:manualLayout>
          <c:xMode val="edge"/>
          <c:yMode val="edge"/>
          <c:x val="0.26384617465015109"/>
          <c:y val="2.7198518450414717E-2"/>
        </c:manualLayout>
      </c:layout>
      <c:overlay val="0"/>
      <c:spPr>
        <a:solidFill>
          <a:schemeClr val="lt1"/>
        </a:solidFill>
        <a:ln w="12700" cap="flat" cmpd="sng" algn="ctr">
          <a:solidFill>
            <a:schemeClr val="dk1"/>
          </a:solidFill>
          <a:prstDash val="solid"/>
          <a:miter lim="800000"/>
        </a:ln>
        <a:effectLst/>
      </c:spPr>
      <c:txPr>
        <a:bodyPr rot="0" spcFirstLastPara="1" vertOverflow="ellipsis" vert="horz" wrap="square" anchor="ctr" anchorCtr="1"/>
        <a:lstStyle/>
        <a:p>
          <a:pPr>
            <a:defRPr sz="1400" b="0" i="0" u="none" strike="noStrike" kern="1200" spc="0" baseline="0">
              <a:solidFill>
                <a:schemeClr val="dk1"/>
              </a:solidFill>
              <a:latin typeface="+mn-lt"/>
              <a:ea typeface="+mn-ea"/>
              <a:cs typeface="+mn-cs"/>
            </a:defRPr>
          </a:pPr>
          <a:endParaRPr lang="en-US"/>
        </a:p>
      </c:txPr>
    </c:title>
    <c:autoTitleDeleted val="0"/>
    <c:plotArea>
      <c:layout>
        <c:manualLayout>
          <c:layoutTarget val="inner"/>
          <c:xMode val="edge"/>
          <c:yMode val="edge"/>
          <c:x val="0.12141623853792695"/>
          <c:y val="0.23482331076421953"/>
          <c:w val="0.8627096524301624"/>
          <c:h val="0.40072810057449659"/>
        </c:manualLayout>
      </c:layout>
      <c:lineChart>
        <c:grouping val="standard"/>
        <c:varyColors val="0"/>
        <c:ser>
          <c:idx val="0"/>
          <c:order val="0"/>
          <c:tx>
            <c:strRef>
              <c:f>'ActvsProj Data'!$A$3</c:f>
              <c:strCache>
                <c:ptCount val="1"/>
                <c:pt idx="0">
                  <c:v> Actual Weekly Recruitment (cumulative)</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'ActvsProj Data'!$B$1:$R$2</c:f>
              <c:multiLvlStrCache>
                <c:ptCount val="17"/>
                <c:lvl>
                  <c:pt idx="0">
                    <c:v>Week 1</c:v>
                  </c:pt>
                  <c:pt idx="1">
                    <c:v>Week 2 </c:v>
                  </c:pt>
                  <c:pt idx="2">
                    <c:v>Week 3 </c:v>
                  </c:pt>
                  <c:pt idx="3">
                    <c:v>Week4</c:v>
                  </c:pt>
                  <c:pt idx="4">
                    <c:v>Week 5</c:v>
                  </c:pt>
                  <c:pt idx="5">
                    <c:v>Week 6</c:v>
                  </c:pt>
                  <c:pt idx="6">
                    <c:v>Week 7</c:v>
                  </c:pt>
                  <c:pt idx="7">
                    <c:v>Week 8</c:v>
                  </c:pt>
                  <c:pt idx="8">
                    <c:v>Week 9 </c:v>
                  </c:pt>
                  <c:pt idx="9">
                    <c:v>Week 10</c:v>
                  </c:pt>
                  <c:pt idx="10">
                    <c:v>Week 11</c:v>
                  </c:pt>
                  <c:pt idx="11">
                    <c:v>Week 12</c:v>
                  </c:pt>
                  <c:pt idx="12">
                    <c:v>Week 13</c:v>
                  </c:pt>
                  <c:pt idx="13">
                    <c:v>Week 14</c:v>
                  </c:pt>
                  <c:pt idx="14">
                    <c:v>Week 15</c:v>
                  </c:pt>
                  <c:pt idx="15">
                    <c:v>Week 16</c:v>
                  </c:pt>
                  <c:pt idx="16">
                    <c:v>Week 17</c:v>
                  </c:pt>
                </c:lvl>
                <c:lvl>
                  <c:pt idx="0">
                    <c:v>June </c:v>
                  </c:pt>
                  <c:pt idx="4">
                    <c:v>July </c:v>
                  </c:pt>
                  <c:pt idx="8">
                    <c:v>August</c:v>
                  </c:pt>
                  <c:pt idx="12">
                    <c:v>September</c:v>
                  </c:pt>
                  <c:pt idx="16">
                    <c:v>October </c:v>
                  </c:pt>
                </c:lvl>
              </c:multiLvlStrCache>
            </c:multiLvlStrRef>
          </c:cat>
          <c:val>
            <c:numRef>
              <c:f>'ActvsProj Data'!$B$3:$R$3</c:f>
              <c:numCache>
                <c:formatCode>General</c:formatCode>
                <c:ptCount val="17"/>
                <c:pt idx="0">
                  <c:v>4</c:v>
                </c:pt>
                <c:pt idx="1">
                  <c:v>12</c:v>
                </c:pt>
                <c:pt idx="2">
                  <c:v>24</c:v>
                </c:pt>
                <c:pt idx="3">
                  <c:v>31</c:v>
                </c:pt>
                <c:pt idx="4">
                  <c:v>37</c:v>
                </c:pt>
                <c:pt idx="5">
                  <c:v>54</c:v>
                </c:pt>
                <c:pt idx="6">
                  <c:v>68</c:v>
                </c:pt>
                <c:pt idx="7">
                  <c:v>88</c:v>
                </c:pt>
                <c:pt idx="8">
                  <c:v>122</c:v>
                </c:pt>
                <c:pt idx="9">
                  <c:v>155</c:v>
                </c:pt>
                <c:pt idx="10">
                  <c:v>179</c:v>
                </c:pt>
                <c:pt idx="11">
                  <c:v>219</c:v>
                </c:pt>
                <c:pt idx="12">
                  <c:v>245</c:v>
                </c:pt>
                <c:pt idx="13">
                  <c:v>277</c:v>
                </c:pt>
                <c:pt idx="14">
                  <c:v>314</c:v>
                </c:pt>
                <c:pt idx="15">
                  <c:v>362</c:v>
                </c:pt>
                <c:pt idx="16">
                  <c:v>404</c:v>
                </c:pt>
              </c:numCache>
            </c:numRef>
          </c:val>
          <c:smooth val="0"/>
          <c:extLst>
            <c:ext xmlns:c16="http://schemas.microsoft.com/office/drawing/2014/chart" uri="{C3380CC4-5D6E-409C-BE32-E72D297353CC}">
              <c16:uniqueId val="{00000000-EEF1-4A4D-905A-17B30A2D72E6}"/>
            </c:ext>
          </c:extLst>
        </c:ser>
        <c:ser>
          <c:idx val="1"/>
          <c:order val="1"/>
          <c:tx>
            <c:strRef>
              <c:f>'ActvsProj Data'!$A$4</c:f>
              <c:strCache>
                <c:ptCount val="1"/>
                <c:pt idx="0">
                  <c:v>Projected Weekly Recruitment (cumulative)</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'ActvsProj Data'!$B$1:$R$2</c:f>
              <c:multiLvlStrCache>
                <c:ptCount val="17"/>
                <c:lvl>
                  <c:pt idx="0">
                    <c:v>Week 1</c:v>
                  </c:pt>
                  <c:pt idx="1">
                    <c:v>Week 2 </c:v>
                  </c:pt>
                  <c:pt idx="2">
                    <c:v>Week 3 </c:v>
                  </c:pt>
                  <c:pt idx="3">
                    <c:v>Week4</c:v>
                  </c:pt>
                  <c:pt idx="4">
                    <c:v>Week 5</c:v>
                  </c:pt>
                  <c:pt idx="5">
                    <c:v>Week 6</c:v>
                  </c:pt>
                  <c:pt idx="6">
                    <c:v>Week 7</c:v>
                  </c:pt>
                  <c:pt idx="7">
                    <c:v>Week 8</c:v>
                  </c:pt>
                  <c:pt idx="8">
                    <c:v>Week 9 </c:v>
                  </c:pt>
                  <c:pt idx="9">
                    <c:v>Week 10</c:v>
                  </c:pt>
                  <c:pt idx="10">
                    <c:v>Week 11</c:v>
                  </c:pt>
                  <c:pt idx="11">
                    <c:v>Week 12</c:v>
                  </c:pt>
                  <c:pt idx="12">
                    <c:v>Week 13</c:v>
                  </c:pt>
                  <c:pt idx="13">
                    <c:v>Week 14</c:v>
                  </c:pt>
                  <c:pt idx="14">
                    <c:v>Week 15</c:v>
                  </c:pt>
                  <c:pt idx="15">
                    <c:v>Week 16</c:v>
                  </c:pt>
                  <c:pt idx="16">
                    <c:v>Week 17</c:v>
                  </c:pt>
                </c:lvl>
                <c:lvl>
                  <c:pt idx="0">
                    <c:v>June </c:v>
                  </c:pt>
                  <c:pt idx="4">
                    <c:v>July </c:v>
                  </c:pt>
                  <c:pt idx="8">
                    <c:v>August</c:v>
                  </c:pt>
                  <c:pt idx="12">
                    <c:v>September</c:v>
                  </c:pt>
                  <c:pt idx="16">
                    <c:v>October </c:v>
                  </c:pt>
                </c:lvl>
              </c:multiLvlStrCache>
            </c:multiLvlStrRef>
          </c:cat>
          <c:val>
            <c:numRef>
              <c:f>'ActvsProj Data'!$B$4:$R$4</c:f>
              <c:numCache>
                <c:formatCode>General</c:formatCode>
                <c:ptCount val="17"/>
                <c:pt idx="0">
                  <c:v>40</c:v>
                </c:pt>
                <c:pt idx="1">
                  <c:v>80</c:v>
                </c:pt>
                <c:pt idx="2">
                  <c:v>120</c:v>
                </c:pt>
                <c:pt idx="3">
                  <c:v>160</c:v>
                </c:pt>
                <c:pt idx="4">
                  <c:v>200</c:v>
                </c:pt>
                <c:pt idx="5">
                  <c:v>240</c:v>
                </c:pt>
                <c:pt idx="6">
                  <c:v>280</c:v>
                </c:pt>
                <c:pt idx="7">
                  <c:v>320</c:v>
                </c:pt>
                <c:pt idx="8">
                  <c:v>360</c:v>
                </c:pt>
                <c:pt idx="9">
                  <c:v>400</c:v>
                </c:pt>
                <c:pt idx="10">
                  <c:v>440</c:v>
                </c:pt>
                <c:pt idx="11">
                  <c:v>480</c:v>
                </c:pt>
                <c:pt idx="12">
                  <c:v>520</c:v>
                </c:pt>
                <c:pt idx="13">
                  <c:v>560</c:v>
                </c:pt>
                <c:pt idx="14">
                  <c:v>600</c:v>
                </c:pt>
                <c:pt idx="15">
                  <c:v>640</c:v>
                </c:pt>
                <c:pt idx="16">
                  <c:v>680</c:v>
                </c:pt>
              </c:numCache>
            </c:numRef>
          </c:val>
          <c:smooth val="0"/>
          <c:extLst>
            <c:ext xmlns:c16="http://schemas.microsoft.com/office/drawing/2014/chart" uri="{C3380CC4-5D6E-409C-BE32-E72D297353CC}">
              <c16:uniqueId val="{00000001-EEF1-4A4D-905A-17B30A2D72E6}"/>
            </c:ext>
          </c:extLst>
        </c:ser>
        <c:ser>
          <c:idx val="2"/>
          <c:order val="2"/>
          <c:tx>
            <c:strRef>
              <c:f>'ActvsProj Data'!$A$5</c:f>
              <c:strCache>
                <c:ptCount val="1"/>
                <c:pt idx="0">
                  <c:v>Total Projected Recruitment</c:v>
                </c:pt>
              </c:strCache>
            </c:strRef>
          </c:tx>
          <c:spPr>
            <a:ln w="28575" cap="rnd">
              <a:solidFill>
                <a:schemeClr val="accent3"/>
              </a:solidFill>
              <a:round/>
            </a:ln>
            <a:effectLst/>
          </c:spPr>
          <c:marker>
            <c:symbol val="none"/>
          </c:marker>
          <c:dLbls>
            <c:dLbl>
              <c:idx val="16"/>
              <c:layout>
                <c:manualLayout>
                  <c:x val="-1.039408918813727E-2"/>
                  <c:y val="-4.75116721724993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EF1-4A4D-905A-17B30A2D72E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'ActvsProj Data'!$B$1:$R$2</c:f>
              <c:multiLvlStrCache>
                <c:ptCount val="17"/>
                <c:lvl>
                  <c:pt idx="0">
                    <c:v>Week 1</c:v>
                  </c:pt>
                  <c:pt idx="1">
                    <c:v>Week 2 </c:v>
                  </c:pt>
                  <c:pt idx="2">
                    <c:v>Week 3 </c:v>
                  </c:pt>
                  <c:pt idx="3">
                    <c:v>Week4</c:v>
                  </c:pt>
                  <c:pt idx="4">
                    <c:v>Week 5</c:v>
                  </c:pt>
                  <c:pt idx="5">
                    <c:v>Week 6</c:v>
                  </c:pt>
                  <c:pt idx="6">
                    <c:v>Week 7</c:v>
                  </c:pt>
                  <c:pt idx="7">
                    <c:v>Week 8</c:v>
                  </c:pt>
                  <c:pt idx="8">
                    <c:v>Week 9 </c:v>
                  </c:pt>
                  <c:pt idx="9">
                    <c:v>Week 10</c:v>
                  </c:pt>
                  <c:pt idx="10">
                    <c:v>Week 11</c:v>
                  </c:pt>
                  <c:pt idx="11">
                    <c:v>Week 12</c:v>
                  </c:pt>
                  <c:pt idx="12">
                    <c:v>Week 13</c:v>
                  </c:pt>
                  <c:pt idx="13">
                    <c:v>Week 14</c:v>
                  </c:pt>
                  <c:pt idx="14">
                    <c:v>Week 15</c:v>
                  </c:pt>
                  <c:pt idx="15">
                    <c:v>Week 16</c:v>
                  </c:pt>
                  <c:pt idx="16">
                    <c:v>Week 17</c:v>
                  </c:pt>
                </c:lvl>
                <c:lvl>
                  <c:pt idx="0">
                    <c:v>June </c:v>
                  </c:pt>
                  <c:pt idx="4">
                    <c:v>July </c:v>
                  </c:pt>
                  <c:pt idx="8">
                    <c:v>August</c:v>
                  </c:pt>
                  <c:pt idx="12">
                    <c:v>September</c:v>
                  </c:pt>
                  <c:pt idx="16">
                    <c:v>October </c:v>
                  </c:pt>
                </c:lvl>
              </c:multiLvlStrCache>
            </c:multiLvlStrRef>
          </c:cat>
          <c:val>
            <c:numRef>
              <c:f>'ActvsProj Data'!$B$5:$R$5</c:f>
              <c:numCache>
                <c:formatCode>General</c:formatCode>
                <c:ptCount val="17"/>
                <c:pt idx="0">
                  <c:v>741</c:v>
                </c:pt>
                <c:pt idx="1">
                  <c:v>741</c:v>
                </c:pt>
                <c:pt idx="2">
                  <c:v>741</c:v>
                </c:pt>
                <c:pt idx="3">
                  <c:v>741</c:v>
                </c:pt>
                <c:pt idx="4">
                  <c:v>741</c:v>
                </c:pt>
                <c:pt idx="5">
                  <c:v>741</c:v>
                </c:pt>
                <c:pt idx="6">
                  <c:v>741</c:v>
                </c:pt>
                <c:pt idx="7">
                  <c:v>741</c:v>
                </c:pt>
                <c:pt idx="8">
                  <c:v>741</c:v>
                </c:pt>
                <c:pt idx="9">
                  <c:v>741</c:v>
                </c:pt>
                <c:pt idx="10">
                  <c:v>741</c:v>
                </c:pt>
                <c:pt idx="11">
                  <c:v>741</c:v>
                </c:pt>
                <c:pt idx="12">
                  <c:v>741</c:v>
                </c:pt>
                <c:pt idx="13">
                  <c:v>741</c:v>
                </c:pt>
                <c:pt idx="14">
                  <c:v>741</c:v>
                </c:pt>
                <c:pt idx="15">
                  <c:v>741</c:v>
                </c:pt>
                <c:pt idx="16">
                  <c:v>741</c:v>
                </c:pt>
              </c:numCache>
            </c:numRef>
          </c:val>
          <c:smooth val="0"/>
          <c:extLst>
            <c:ext xmlns:c16="http://schemas.microsoft.com/office/drawing/2014/chart" uri="{C3380CC4-5D6E-409C-BE32-E72D297353CC}">
              <c16:uniqueId val="{00000003-EEF1-4A4D-905A-17B30A2D72E6}"/>
            </c:ext>
          </c:extLst>
        </c:ser>
        <c:dLbls>
          <c:showLegendKey val="0"/>
          <c:showVal val="0"/>
          <c:showCatName val="0"/>
          <c:showSerName val="0"/>
          <c:showPercent val="0"/>
          <c:showBubbleSize val="0"/>
        </c:dLbls>
        <c:smooth val="0"/>
        <c:axId val="1506952016"/>
        <c:axId val="1506951472"/>
      </c:lineChart>
      <c:catAx>
        <c:axId val="1506952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06951472"/>
        <c:crosses val="autoZero"/>
        <c:auto val="1"/>
        <c:lblAlgn val="ctr"/>
        <c:lblOffset val="100"/>
        <c:noMultiLvlLbl val="0"/>
      </c:catAx>
      <c:valAx>
        <c:axId val="15069514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Recruits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06952016"/>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Entry>
      <c:legendEntry>
        <c:idx val="1"/>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Entry>
      <c:legendEntry>
        <c:idx val="2"/>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Entry>
      <c:layout>
        <c:manualLayout>
          <c:xMode val="edge"/>
          <c:yMode val="edge"/>
          <c:x val="0"/>
          <c:y val="0.87156823552087725"/>
          <c:w val="0.98532318803768038"/>
          <c:h val="0.12739575832696995"/>
        </c:manualLayout>
      </c:layout>
      <c:overlay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6350" cap="flat" cmpd="sng" algn="ctr">
          <a:solidFill>
            <a:schemeClr val="accent1"/>
          </a:solidFill>
          <a:prstDash val="solid"/>
          <a:miter lim="800000"/>
        </a:ln>
        <a:effectLst/>
        <a:scene3d>
          <a:camera prst="orthographicFront"/>
          <a:lightRig rig="threePt" dir="t"/>
        </a:scene3d>
        <a:sp3d>
          <a:bevelT w="190500" h="38100"/>
        </a:sp3d>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C73A1-080A-4904-ADA0-AA5F49326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5923</Words>
  <Characters>33764</Characters>
  <Application>Microsoft Office Word</Application>
  <DocSecurity>4</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DIKE OJJI</dc:creator>
  <cp:keywords/>
  <dc:description/>
  <cp:lastModifiedBy>Rayat, Ranjit K</cp:lastModifiedBy>
  <cp:revision>2</cp:revision>
  <dcterms:created xsi:type="dcterms:W3CDTF">2018-07-30T09:24:00Z</dcterms:created>
  <dcterms:modified xsi:type="dcterms:W3CDTF">2018-07-30T09:24:00Z</dcterms:modified>
</cp:coreProperties>
</file>