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B9E7329" w14:textId="6FF89491" w:rsidR="00551C49" w:rsidRPr="009E7120" w:rsidRDefault="008C0B14" w:rsidP="009E7120">
      <w:pPr>
        <w:spacing w:line="480" w:lineRule="auto"/>
        <w:jc w:val="both"/>
        <w:rPr>
          <w:rFonts w:ascii="Times New Roman" w:hAnsi="Times New Roman" w:cs="Times New Roman"/>
          <w:b/>
          <w:sz w:val="22"/>
          <w:szCs w:val="22"/>
        </w:rPr>
      </w:pPr>
      <w:r w:rsidRPr="009E7120">
        <w:rPr>
          <w:rFonts w:ascii="Times New Roman" w:hAnsi="Times New Roman" w:cs="Times New Roman"/>
          <w:b/>
          <w:sz w:val="22"/>
          <w:szCs w:val="22"/>
        </w:rPr>
        <w:t xml:space="preserve">Title: </w:t>
      </w:r>
      <w:r w:rsidR="00551C49" w:rsidRPr="009E7120">
        <w:rPr>
          <w:rFonts w:ascii="Times New Roman" w:hAnsi="Times New Roman" w:cs="Times New Roman"/>
          <w:b/>
          <w:sz w:val="22"/>
          <w:szCs w:val="22"/>
        </w:rPr>
        <w:t xml:space="preserve">Letter to the Editor of </w:t>
      </w:r>
      <w:r w:rsidR="00EA7A7F" w:rsidRPr="009E7120">
        <w:rPr>
          <w:rFonts w:ascii="Times New Roman" w:hAnsi="Times New Roman" w:cs="Times New Roman"/>
          <w:b/>
          <w:sz w:val="22"/>
          <w:szCs w:val="22"/>
        </w:rPr>
        <w:t>Clinical</w:t>
      </w:r>
      <w:r w:rsidR="00551C49" w:rsidRPr="009E7120">
        <w:rPr>
          <w:rFonts w:ascii="Times New Roman" w:hAnsi="Times New Roman" w:cs="Times New Roman"/>
          <w:b/>
          <w:sz w:val="22"/>
          <w:szCs w:val="22"/>
        </w:rPr>
        <w:t xml:space="preserve"> Endocrinology</w:t>
      </w:r>
      <w:r w:rsidR="00771C16" w:rsidRPr="009E7120">
        <w:rPr>
          <w:rFonts w:ascii="Times New Roman" w:hAnsi="Times New Roman" w:cs="Times New Roman"/>
          <w:b/>
          <w:sz w:val="22"/>
          <w:szCs w:val="22"/>
        </w:rPr>
        <w:t xml:space="preserve">: </w:t>
      </w:r>
      <w:r w:rsidR="009E7120">
        <w:rPr>
          <w:rFonts w:ascii="Times New Roman" w:hAnsi="Times New Roman" w:cs="Times New Roman"/>
          <w:b/>
          <w:sz w:val="22"/>
          <w:szCs w:val="22"/>
        </w:rPr>
        <w:t>A</w:t>
      </w:r>
      <w:r w:rsidR="00771C16" w:rsidRPr="009E7120">
        <w:rPr>
          <w:rFonts w:ascii="Times New Roman" w:hAnsi="Times New Roman" w:cs="Times New Roman"/>
          <w:b/>
          <w:sz w:val="22"/>
          <w:szCs w:val="22"/>
        </w:rPr>
        <w:t>ssessment of adrenal function in patients who survive COVID-19</w:t>
      </w:r>
    </w:p>
    <w:p w14:paraId="533462C9" w14:textId="77777777" w:rsidR="00551C49" w:rsidRPr="009E7120" w:rsidRDefault="00551C49" w:rsidP="009E7120">
      <w:pPr>
        <w:spacing w:line="480" w:lineRule="auto"/>
        <w:jc w:val="both"/>
        <w:rPr>
          <w:rFonts w:ascii="Times New Roman" w:hAnsi="Times New Roman" w:cs="Times New Roman"/>
          <w:sz w:val="22"/>
          <w:szCs w:val="22"/>
          <w:vertAlign w:val="superscript"/>
        </w:rPr>
      </w:pPr>
      <w:r w:rsidRPr="009E7120">
        <w:rPr>
          <w:rFonts w:ascii="Times New Roman" w:hAnsi="Times New Roman" w:cs="Times New Roman"/>
          <w:sz w:val="22"/>
          <w:szCs w:val="22"/>
        </w:rPr>
        <w:t>Sophie A Clarke</w:t>
      </w:r>
      <w:r w:rsidRPr="009E7120">
        <w:rPr>
          <w:rFonts w:ascii="Times New Roman" w:hAnsi="Times New Roman" w:cs="Times New Roman"/>
          <w:sz w:val="22"/>
          <w:szCs w:val="22"/>
          <w:vertAlign w:val="superscript"/>
        </w:rPr>
        <w:t>1</w:t>
      </w:r>
      <w:proofErr w:type="gramStart"/>
      <w:r w:rsidRPr="009E7120">
        <w:rPr>
          <w:rFonts w:ascii="Times New Roman" w:hAnsi="Times New Roman" w:cs="Times New Roman"/>
          <w:sz w:val="22"/>
          <w:szCs w:val="22"/>
          <w:vertAlign w:val="superscript"/>
        </w:rPr>
        <w:t>,2</w:t>
      </w:r>
      <w:proofErr w:type="gramEnd"/>
      <w:r w:rsidRPr="009E7120">
        <w:rPr>
          <w:rFonts w:ascii="Times New Roman" w:hAnsi="Times New Roman" w:cs="Times New Roman"/>
          <w:sz w:val="22"/>
          <w:szCs w:val="22"/>
        </w:rPr>
        <w:t>, Maria Phylactou</w:t>
      </w:r>
      <w:r w:rsidRPr="009E7120">
        <w:rPr>
          <w:rFonts w:ascii="Times New Roman" w:hAnsi="Times New Roman" w:cs="Times New Roman"/>
          <w:sz w:val="22"/>
          <w:szCs w:val="22"/>
          <w:vertAlign w:val="superscript"/>
        </w:rPr>
        <w:t>1,2</w:t>
      </w:r>
      <w:r w:rsidRPr="009E7120">
        <w:rPr>
          <w:rFonts w:ascii="Times New Roman" w:hAnsi="Times New Roman" w:cs="Times New Roman"/>
          <w:sz w:val="22"/>
          <w:szCs w:val="22"/>
        </w:rPr>
        <w:t xml:space="preserve">, </w:t>
      </w:r>
      <w:proofErr w:type="spellStart"/>
      <w:r w:rsidRPr="009E7120">
        <w:rPr>
          <w:rFonts w:ascii="Times New Roman" w:hAnsi="Times New Roman" w:cs="Times New Roman"/>
          <w:sz w:val="22"/>
          <w:szCs w:val="22"/>
        </w:rPr>
        <w:t>Bijal</w:t>
      </w:r>
      <w:proofErr w:type="spellEnd"/>
      <w:r w:rsidRPr="009E7120">
        <w:rPr>
          <w:rFonts w:ascii="Times New Roman" w:hAnsi="Times New Roman" w:cs="Times New Roman"/>
          <w:sz w:val="22"/>
          <w:szCs w:val="22"/>
        </w:rPr>
        <w:t xml:space="preserve"> Patel</w:t>
      </w:r>
      <w:r w:rsidRPr="009E7120">
        <w:rPr>
          <w:rFonts w:ascii="Times New Roman" w:hAnsi="Times New Roman" w:cs="Times New Roman"/>
          <w:sz w:val="22"/>
          <w:szCs w:val="22"/>
          <w:vertAlign w:val="superscript"/>
        </w:rPr>
        <w:t>1</w:t>
      </w:r>
      <w:r w:rsidRPr="009E7120">
        <w:rPr>
          <w:rFonts w:ascii="Times New Roman" w:hAnsi="Times New Roman" w:cs="Times New Roman"/>
          <w:sz w:val="22"/>
          <w:szCs w:val="22"/>
        </w:rPr>
        <w:t>, Edouard G Mills</w:t>
      </w:r>
      <w:r w:rsidRPr="009E7120">
        <w:rPr>
          <w:rFonts w:ascii="Times New Roman" w:hAnsi="Times New Roman" w:cs="Times New Roman"/>
          <w:sz w:val="22"/>
          <w:szCs w:val="22"/>
          <w:vertAlign w:val="superscript"/>
        </w:rPr>
        <w:t>1</w:t>
      </w:r>
      <w:r w:rsidRPr="009E7120">
        <w:rPr>
          <w:rFonts w:ascii="Times New Roman" w:hAnsi="Times New Roman" w:cs="Times New Roman"/>
          <w:sz w:val="22"/>
          <w:szCs w:val="22"/>
        </w:rPr>
        <w:t>, Beatrice Muzi</w:t>
      </w:r>
      <w:r w:rsidRPr="009E7120">
        <w:rPr>
          <w:rFonts w:ascii="Times New Roman" w:hAnsi="Times New Roman" w:cs="Times New Roman"/>
          <w:sz w:val="22"/>
          <w:szCs w:val="22"/>
          <w:vertAlign w:val="superscript"/>
        </w:rPr>
        <w:t>1</w:t>
      </w:r>
      <w:r w:rsidRPr="009E7120">
        <w:rPr>
          <w:rFonts w:ascii="Times New Roman" w:hAnsi="Times New Roman" w:cs="Times New Roman"/>
          <w:sz w:val="22"/>
          <w:szCs w:val="22"/>
        </w:rPr>
        <w:t>, Chioma-Izzi-Engbeaya</w:t>
      </w:r>
      <w:r w:rsidRPr="009E7120">
        <w:rPr>
          <w:rFonts w:ascii="Times New Roman" w:hAnsi="Times New Roman" w:cs="Times New Roman"/>
          <w:sz w:val="22"/>
          <w:szCs w:val="22"/>
          <w:vertAlign w:val="superscript"/>
        </w:rPr>
        <w:t>1,2</w:t>
      </w:r>
      <w:r w:rsidRPr="009E7120">
        <w:rPr>
          <w:rFonts w:ascii="Times New Roman" w:hAnsi="Times New Roman" w:cs="Times New Roman"/>
          <w:sz w:val="22"/>
          <w:szCs w:val="22"/>
        </w:rPr>
        <w:t xml:space="preserve">, </w:t>
      </w:r>
      <w:proofErr w:type="spellStart"/>
      <w:r w:rsidRPr="009E7120">
        <w:rPr>
          <w:rFonts w:ascii="Times New Roman" w:hAnsi="Times New Roman" w:cs="Times New Roman"/>
          <w:sz w:val="22"/>
          <w:szCs w:val="22"/>
        </w:rPr>
        <w:t>Sirazum</w:t>
      </w:r>
      <w:proofErr w:type="spellEnd"/>
      <w:r w:rsidRPr="009E7120">
        <w:rPr>
          <w:rFonts w:ascii="Times New Roman" w:hAnsi="Times New Roman" w:cs="Times New Roman"/>
          <w:sz w:val="22"/>
          <w:szCs w:val="22"/>
        </w:rPr>
        <w:t xml:space="preserve"> Choudhury</w:t>
      </w:r>
      <w:r w:rsidRPr="009E7120">
        <w:rPr>
          <w:rFonts w:ascii="Times New Roman" w:hAnsi="Times New Roman" w:cs="Times New Roman"/>
          <w:sz w:val="22"/>
          <w:szCs w:val="22"/>
          <w:vertAlign w:val="superscript"/>
        </w:rPr>
        <w:t>1,3</w:t>
      </w:r>
      <w:r w:rsidRPr="009E7120">
        <w:rPr>
          <w:rFonts w:ascii="Times New Roman" w:hAnsi="Times New Roman" w:cs="Times New Roman"/>
          <w:sz w:val="22"/>
          <w:szCs w:val="22"/>
        </w:rPr>
        <w:t>, Bernard Khoo</w:t>
      </w:r>
      <w:r w:rsidRPr="009E7120">
        <w:rPr>
          <w:rFonts w:ascii="Times New Roman" w:hAnsi="Times New Roman" w:cs="Times New Roman"/>
          <w:sz w:val="22"/>
          <w:szCs w:val="22"/>
          <w:vertAlign w:val="superscript"/>
        </w:rPr>
        <w:t>4</w:t>
      </w:r>
      <w:r w:rsidRPr="009E7120">
        <w:rPr>
          <w:rFonts w:ascii="Times New Roman" w:hAnsi="Times New Roman" w:cs="Times New Roman"/>
          <w:sz w:val="22"/>
          <w:szCs w:val="22"/>
        </w:rPr>
        <w:t>, Karim Meeran</w:t>
      </w:r>
      <w:r w:rsidRPr="009E7120">
        <w:rPr>
          <w:rFonts w:ascii="Times New Roman" w:hAnsi="Times New Roman" w:cs="Times New Roman"/>
          <w:sz w:val="22"/>
          <w:szCs w:val="22"/>
          <w:vertAlign w:val="superscript"/>
        </w:rPr>
        <w:t>1,2</w:t>
      </w:r>
      <w:r w:rsidRPr="009E7120">
        <w:rPr>
          <w:rFonts w:ascii="Times New Roman" w:hAnsi="Times New Roman" w:cs="Times New Roman"/>
          <w:sz w:val="22"/>
          <w:szCs w:val="22"/>
        </w:rPr>
        <w:t>, Alexander N Comninos</w:t>
      </w:r>
      <w:r w:rsidRPr="009E7120">
        <w:rPr>
          <w:rFonts w:ascii="Times New Roman" w:hAnsi="Times New Roman" w:cs="Times New Roman"/>
          <w:sz w:val="22"/>
          <w:szCs w:val="22"/>
          <w:vertAlign w:val="superscript"/>
        </w:rPr>
        <w:t>1,2</w:t>
      </w:r>
      <w:r w:rsidRPr="009E7120">
        <w:rPr>
          <w:rFonts w:ascii="Times New Roman" w:hAnsi="Times New Roman" w:cs="Times New Roman"/>
          <w:sz w:val="22"/>
          <w:szCs w:val="22"/>
        </w:rPr>
        <w:t>, Ali Abbara</w:t>
      </w:r>
      <w:r w:rsidRPr="009E7120">
        <w:rPr>
          <w:rFonts w:ascii="Times New Roman" w:hAnsi="Times New Roman" w:cs="Times New Roman"/>
          <w:sz w:val="22"/>
          <w:szCs w:val="22"/>
          <w:vertAlign w:val="superscript"/>
        </w:rPr>
        <w:t>1,2</w:t>
      </w:r>
      <w:r w:rsidRPr="009E7120">
        <w:rPr>
          <w:rFonts w:ascii="Times New Roman" w:hAnsi="Times New Roman" w:cs="Times New Roman"/>
          <w:sz w:val="22"/>
          <w:szCs w:val="22"/>
        </w:rPr>
        <w:t>, Tricia Tan</w:t>
      </w:r>
      <w:r w:rsidRPr="009E7120">
        <w:rPr>
          <w:rFonts w:ascii="Times New Roman" w:hAnsi="Times New Roman" w:cs="Times New Roman"/>
          <w:sz w:val="22"/>
          <w:szCs w:val="22"/>
          <w:vertAlign w:val="superscript"/>
        </w:rPr>
        <w:t>1,2</w:t>
      </w:r>
      <w:r w:rsidRPr="009E7120">
        <w:rPr>
          <w:rFonts w:ascii="Times New Roman" w:hAnsi="Times New Roman" w:cs="Times New Roman"/>
          <w:sz w:val="22"/>
          <w:szCs w:val="22"/>
        </w:rPr>
        <w:t>, Waljit S Dhillo</w:t>
      </w:r>
      <w:r w:rsidRPr="009E7120">
        <w:rPr>
          <w:rFonts w:ascii="Times New Roman" w:hAnsi="Times New Roman" w:cs="Times New Roman"/>
          <w:sz w:val="22"/>
          <w:szCs w:val="22"/>
          <w:vertAlign w:val="superscript"/>
        </w:rPr>
        <w:t>1,2</w:t>
      </w:r>
    </w:p>
    <w:p w14:paraId="63D7FA1E" w14:textId="77777777" w:rsidR="00551C49" w:rsidRPr="009E7120" w:rsidRDefault="00551C49" w:rsidP="009E7120">
      <w:pPr>
        <w:spacing w:line="480" w:lineRule="auto"/>
        <w:jc w:val="both"/>
        <w:rPr>
          <w:rFonts w:ascii="Times New Roman" w:hAnsi="Times New Roman" w:cs="Times New Roman"/>
          <w:sz w:val="22"/>
          <w:szCs w:val="22"/>
        </w:rPr>
      </w:pPr>
      <w:r w:rsidRPr="009E7120">
        <w:rPr>
          <w:rFonts w:ascii="Times New Roman" w:hAnsi="Times New Roman" w:cs="Times New Roman"/>
          <w:sz w:val="22"/>
          <w:szCs w:val="22"/>
        </w:rPr>
        <w:t>1. Division of Diabetes, Endocrinology and Metabolism,</w:t>
      </w:r>
      <w:r w:rsidRPr="009E7120">
        <w:rPr>
          <w:rFonts w:ascii="Times New Roman" w:hAnsi="Times New Roman" w:cs="Times New Roman"/>
          <w:sz w:val="22"/>
          <w:szCs w:val="22"/>
          <w:vertAlign w:val="superscript"/>
        </w:rPr>
        <w:t xml:space="preserve"> </w:t>
      </w:r>
      <w:r w:rsidRPr="009E7120">
        <w:rPr>
          <w:rFonts w:ascii="Times New Roman" w:hAnsi="Times New Roman" w:cs="Times New Roman"/>
          <w:sz w:val="22"/>
          <w:szCs w:val="22"/>
        </w:rPr>
        <w:t>Department of Metabolism, Digestion and Reproduction, Imperial College London, London, UK</w:t>
      </w:r>
    </w:p>
    <w:p w14:paraId="6FA33BD2" w14:textId="77777777" w:rsidR="00551C49" w:rsidRPr="009E7120" w:rsidRDefault="00551C49" w:rsidP="009E7120">
      <w:pPr>
        <w:spacing w:line="480" w:lineRule="auto"/>
        <w:jc w:val="both"/>
        <w:rPr>
          <w:rFonts w:ascii="Times New Roman" w:hAnsi="Times New Roman" w:cs="Times New Roman"/>
          <w:sz w:val="22"/>
          <w:szCs w:val="22"/>
        </w:rPr>
      </w:pPr>
      <w:r w:rsidRPr="009E7120">
        <w:rPr>
          <w:rFonts w:ascii="Times New Roman" w:hAnsi="Times New Roman" w:cs="Times New Roman"/>
          <w:sz w:val="22"/>
          <w:szCs w:val="22"/>
        </w:rPr>
        <w:t>2. Department of Endocrinology, Imperial College Healthcare NHS Trust, London, UK</w:t>
      </w:r>
    </w:p>
    <w:p w14:paraId="643AC8D8" w14:textId="77777777" w:rsidR="00551C49" w:rsidRPr="009E7120" w:rsidRDefault="00551C49" w:rsidP="009E7120">
      <w:pPr>
        <w:spacing w:line="480" w:lineRule="auto"/>
        <w:jc w:val="both"/>
        <w:rPr>
          <w:rFonts w:ascii="Times New Roman" w:eastAsia="Times New Roman" w:hAnsi="Times New Roman" w:cs="Times New Roman"/>
          <w:sz w:val="22"/>
          <w:szCs w:val="22"/>
        </w:rPr>
      </w:pPr>
      <w:r w:rsidRPr="009E7120">
        <w:rPr>
          <w:rFonts w:ascii="Times New Roman" w:hAnsi="Times New Roman" w:cs="Times New Roman"/>
          <w:sz w:val="22"/>
          <w:szCs w:val="22"/>
        </w:rPr>
        <w:t>3. Department of Clinical Biochemistry, Imperial College Healthcare NHS Trust, London, UK</w:t>
      </w:r>
    </w:p>
    <w:p w14:paraId="7A5A84B2" w14:textId="77777777" w:rsidR="008C0B14" w:rsidRPr="009E7120" w:rsidRDefault="00551C49" w:rsidP="009E7120">
      <w:pPr>
        <w:spacing w:line="480" w:lineRule="auto"/>
        <w:jc w:val="both"/>
        <w:rPr>
          <w:rFonts w:ascii="Times New Roman" w:hAnsi="Times New Roman" w:cs="Times New Roman"/>
          <w:sz w:val="22"/>
          <w:szCs w:val="22"/>
        </w:rPr>
      </w:pPr>
      <w:r w:rsidRPr="009E7120">
        <w:rPr>
          <w:rFonts w:ascii="Times New Roman" w:hAnsi="Times New Roman" w:cs="Times New Roman"/>
          <w:sz w:val="22"/>
          <w:szCs w:val="22"/>
        </w:rPr>
        <w:t>4. Department of Endocrinology, Division of Medicine, Faculty of Medical Sciences, Royal Free Campus, University College London, London, UK</w:t>
      </w:r>
    </w:p>
    <w:p w14:paraId="48B4BC98" w14:textId="06AB9ABA" w:rsidR="00551C49" w:rsidRPr="009E7120" w:rsidRDefault="008C0B14" w:rsidP="009E7120">
      <w:pPr>
        <w:spacing w:line="480" w:lineRule="auto"/>
        <w:jc w:val="both"/>
        <w:rPr>
          <w:rFonts w:ascii="Times New Roman" w:hAnsi="Times New Roman" w:cs="Times New Roman"/>
          <w:sz w:val="22"/>
          <w:szCs w:val="22"/>
        </w:rPr>
      </w:pPr>
      <w:r w:rsidRPr="009E7120">
        <w:rPr>
          <w:rFonts w:ascii="Times New Roman" w:hAnsi="Times New Roman" w:cs="Times New Roman"/>
          <w:b/>
          <w:sz w:val="22"/>
          <w:szCs w:val="22"/>
        </w:rPr>
        <w:t>Key words:</w:t>
      </w:r>
      <w:r w:rsidRPr="009E7120">
        <w:rPr>
          <w:rFonts w:ascii="Times New Roman" w:hAnsi="Times New Roman" w:cs="Times New Roman"/>
          <w:sz w:val="22"/>
          <w:szCs w:val="22"/>
        </w:rPr>
        <w:t xml:space="preserve"> Adrenal cortex hormones, adrenal insufficiency, mineralocorticoids, COVID-19</w:t>
      </w:r>
      <w:r w:rsidR="00F10DAF" w:rsidRPr="009E7120">
        <w:rPr>
          <w:rFonts w:ascii="Times New Roman" w:hAnsi="Times New Roman" w:cs="Times New Roman"/>
          <w:sz w:val="22"/>
          <w:szCs w:val="22"/>
        </w:rPr>
        <w:t xml:space="preserve">, </w:t>
      </w:r>
    </w:p>
    <w:p w14:paraId="7D4619B2" w14:textId="46A11975" w:rsidR="008C0B14" w:rsidRPr="009E7120" w:rsidRDefault="008C0B14" w:rsidP="009E7120">
      <w:pPr>
        <w:spacing w:line="480" w:lineRule="auto"/>
        <w:jc w:val="both"/>
        <w:rPr>
          <w:rFonts w:ascii="Times New Roman" w:hAnsi="Times New Roman" w:cs="Times New Roman"/>
          <w:b/>
          <w:sz w:val="22"/>
          <w:szCs w:val="22"/>
        </w:rPr>
      </w:pPr>
      <w:r w:rsidRPr="009E7120">
        <w:rPr>
          <w:rFonts w:ascii="Times New Roman" w:hAnsi="Times New Roman" w:cs="Times New Roman"/>
          <w:b/>
          <w:sz w:val="22"/>
          <w:szCs w:val="22"/>
        </w:rPr>
        <w:t xml:space="preserve">Word count: </w:t>
      </w:r>
      <w:r w:rsidR="00D647E0">
        <w:rPr>
          <w:rFonts w:ascii="Times New Roman" w:hAnsi="Times New Roman" w:cs="Times New Roman"/>
          <w:b/>
          <w:sz w:val="22"/>
          <w:szCs w:val="22"/>
        </w:rPr>
        <w:t>1036</w:t>
      </w:r>
    </w:p>
    <w:p w14:paraId="3DA07AF8" w14:textId="4B34766C" w:rsidR="007443F8" w:rsidRDefault="005649B0" w:rsidP="00D062BD">
      <w:pPr>
        <w:spacing w:line="480" w:lineRule="auto"/>
        <w:jc w:val="both"/>
        <w:rPr>
          <w:rFonts w:ascii="Times New Roman" w:hAnsi="Times New Roman" w:cs="Times New Roman"/>
          <w:sz w:val="22"/>
          <w:szCs w:val="22"/>
        </w:rPr>
      </w:pPr>
      <w:r w:rsidRPr="009E7120">
        <w:rPr>
          <w:rFonts w:ascii="Times New Roman" w:hAnsi="Times New Roman" w:cs="Times New Roman"/>
          <w:sz w:val="22"/>
          <w:szCs w:val="22"/>
        </w:rPr>
        <w:br w:type="page"/>
      </w:r>
      <w:r w:rsidR="0012473A" w:rsidRPr="009E7120">
        <w:rPr>
          <w:rFonts w:ascii="Times New Roman" w:hAnsi="Times New Roman" w:cs="Times New Roman"/>
          <w:sz w:val="22"/>
          <w:szCs w:val="22"/>
        </w:rPr>
        <w:lastRenderedPageBreak/>
        <w:t>It is w</w:t>
      </w:r>
      <w:r w:rsidR="0062586D" w:rsidRPr="009E7120">
        <w:rPr>
          <w:rFonts w:ascii="Times New Roman" w:hAnsi="Times New Roman" w:cs="Times New Roman"/>
          <w:sz w:val="22"/>
          <w:szCs w:val="22"/>
        </w:rPr>
        <w:t xml:space="preserve">idely </w:t>
      </w:r>
      <w:r w:rsidR="0012473A" w:rsidRPr="009E7120">
        <w:rPr>
          <w:rFonts w:ascii="Times New Roman" w:hAnsi="Times New Roman" w:cs="Times New Roman"/>
          <w:sz w:val="22"/>
          <w:szCs w:val="22"/>
        </w:rPr>
        <w:t>recognised that the effec</w:t>
      </w:r>
      <w:r w:rsidR="00CC20EF" w:rsidRPr="009E7120">
        <w:rPr>
          <w:rFonts w:ascii="Times New Roman" w:hAnsi="Times New Roman" w:cs="Times New Roman"/>
          <w:sz w:val="22"/>
          <w:szCs w:val="22"/>
        </w:rPr>
        <w:t>ts of COVID-19</w:t>
      </w:r>
      <w:r w:rsidR="0012473A" w:rsidRPr="009E7120">
        <w:rPr>
          <w:rFonts w:ascii="Times New Roman" w:hAnsi="Times New Roman" w:cs="Times New Roman"/>
          <w:sz w:val="22"/>
          <w:szCs w:val="22"/>
        </w:rPr>
        <w:t xml:space="preserve"> extend beyond the respiratory system</w:t>
      </w:r>
      <w:r w:rsidR="00CC20EF" w:rsidRPr="009E7120">
        <w:rPr>
          <w:rFonts w:ascii="Times New Roman" w:hAnsi="Times New Roman" w:cs="Times New Roman"/>
          <w:sz w:val="22"/>
          <w:szCs w:val="22"/>
        </w:rPr>
        <w:t xml:space="preserve">. </w:t>
      </w:r>
      <w:r w:rsidR="00E029E4" w:rsidRPr="009E7120">
        <w:rPr>
          <w:rFonts w:ascii="Times New Roman" w:hAnsi="Times New Roman" w:cs="Times New Roman"/>
          <w:sz w:val="22"/>
          <w:szCs w:val="22"/>
        </w:rPr>
        <w:t>Moreover</w:t>
      </w:r>
      <w:r w:rsidR="0012473A" w:rsidRPr="009E7120">
        <w:rPr>
          <w:rFonts w:ascii="Times New Roman" w:hAnsi="Times New Roman" w:cs="Times New Roman"/>
          <w:sz w:val="22"/>
          <w:szCs w:val="22"/>
        </w:rPr>
        <w:t>,</w:t>
      </w:r>
      <w:r w:rsidR="00E029E4" w:rsidRPr="009E7120">
        <w:rPr>
          <w:rFonts w:ascii="Times New Roman" w:hAnsi="Times New Roman" w:cs="Times New Roman"/>
          <w:sz w:val="22"/>
          <w:szCs w:val="22"/>
        </w:rPr>
        <w:t xml:space="preserve"> </w:t>
      </w:r>
      <w:r w:rsidR="000F57B5" w:rsidRPr="009E7120">
        <w:rPr>
          <w:rFonts w:ascii="Times New Roman" w:hAnsi="Times New Roman" w:cs="Times New Roman"/>
          <w:sz w:val="22"/>
          <w:szCs w:val="22"/>
        </w:rPr>
        <w:t>there are</w:t>
      </w:r>
      <w:r w:rsidR="00E029E4" w:rsidRPr="009E7120">
        <w:rPr>
          <w:rFonts w:ascii="Times New Roman" w:hAnsi="Times New Roman" w:cs="Times New Roman"/>
          <w:sz w:val="22"/>
          <w:szCs w:val="22"/>
        </w:rPr>
        <w:t xml:space="preserve"> </w:t>
      </w:r>
      <w:r w:rsidR="00B47912" w:rsidRPr="009E7120">
        <w:rPr>
          <w:rFonts w:ascii="Times New Roman" w:hAnsi="Times New Roman" w:cs="Times New Roman"/>
          <w:sz w:val="22"/>
          <w:szCs w:val="22"/>
        </w:rPr>
        <w:t xml:space="preserve">an estimated </w:t>
      </w:r>
      <w:r w:rsidR="00C76485" w:rsidRPr="009E7120">
        <w:rPr>
          <w:rFonts w:ascii="Times New Roman" w:hAnsi="Times New Roman" w:cs="Times New Roman"/>
          <w:sz w:val="22"/>
          <w:szCs w:val="22"/>
        </w:rPr>
        <w:t>1.3 million people</w:t>
      </w:r>
      <w:r w:rsidR="00E029E4" w:rsidRPr="009E7120">
        <w:rPr>
          <w:rFonts w:ascii="Times New Roman" w:hAnsi="Times New Roman" w:cs="Times New Roman"/>
          <w:sz w:val="22"/>
          <w:szCs w:val="22"/>
        </w:rPr>
        <w:t xml:space="preserve"> l</w:t>
      </w:r>
      <w:r w:rsidR="0012473A" w:rsidRPr="009E7120">
        <w:rPr>
          <w:rFonts w:ascii="Times New Roman" w:hAnsi="Times New Roman" w:cs="Times New Roman"/>
          <w:sz w:val="22"/>
          <w:szCs w:val="22"/>
        </w:rPr>
        <w:t>i</w:t>
      </w:r>
      <w:r w:rsidR="00E029E4" w:rsidRPr="009E7120">
        <w:rPr>
          <w:rFonts w:ascii="Times New Roman" w:hAnsi="Times New Roman" w:cs="Times New Roman"/>
          <w:sz w:val="22"/>
          <w:szCs w:val="22"/>
        </w:rPr>
        <w:t>ving with</w:t>
      </w:r>
      <w:r w:rsidR="00E23D54" w:rsidRPr="009E7120">
        <w:rPr>
          <w:rFonts w:ascii="Times New Roman" w:hAnsi="Times New Roman" w:cs="Times New Roman"/>
          <w:sz w:val="22"/>
          <w:szCs w:val="22"/>
        </w:rPr>
        <w:t xml:space="preserve"> Long </w:t>
      </w:r>
      <w:r w:rsidR="00CC20EF" w:rsidRPr="009E7120">
        <w:rPr>
          <w:rFonts w:ascii="Times New Roman" w:hAnsi="Times New Roman" w:cs="Times New Roman"/>
          <w:sz w:val="22"/>
          <w:szCs w:val="22"/>
        </w:rPr>
        <w:t>COVID (symptoms persisting b</w:t>
      </w:r>
      <w:r w:rsidR="0062586D" w:rsidRPr="009E7120">
        <w:rPr>
          <w:rFonts w:ascii="Times New Roman" w:hAnsi="Times New Roman" w:cs="Times New Roman"/>
          <w:sz w:val="22"/>
          <w:szCs w:val="22"/>
        </w:rPr>
        <w:t>eyond 12 weeks after infection)</w:t>
      </w:r>
      <w:r w:rsidR="00B47912" w:rsidRPr="009E7120">
        <w:rPr>
          <w:rFonts w:ascii="Times New Roman" w:hAnsi="Times New Roman" w:cs="Times New Roman"/>
          <w:sz w:val="22"/>
          <w:szCs w:val="22"/>
        </w:rPr>
        <w:t xml:space="preserve"> in the UK alone</w:t>
      </w:r>
      <w:r w:rsidR="00B47912" w:rsidRPr="009E7120">
        <w:rPr>
          <w:rFonts w:ascii="Times New Roman" w:hAnsi="Times New Roman" w:cs="Times New Roman"/>
          <w:sz w:val="22"/>
          <w:szCs w:val="22"/>
        </w:rPr>
        <w:fldChar w:fldCharType="begin" w:fldLock="1"/>
      </w:r>
      <w:r w:rsidR="00F27428" w:rsidRPr="009E7120">
        <w:rPr>
          <w:rFonts w:ascii="Times New Roman" w:hAnsi="Times New Roman" w:cs="Times New Roman"/>
          <w:sz w:val="22"/>
          <w:szCs w:val="22"/>
        </w:rPr>
        <w:instrText>ADDIN CSL_CITATION {"citationItems":[{"id":"ITEM-1","itemData":{"abstract":"Estimates of the prevalence of self-reported \"long COVID\", and the duration of ongoing symptoms following confirmed coronavirus infection, using UK Coronavirus (COVID-19) Infection Survey data to 6 March 2021.","author":[{"dropping-particle":"","family":"Ayoubkhani","given":"Daniel","non-dropping-particle":"","parse-names":false,"suffix":""}],"container-title":"Office for National Statistics","id":"ITEM-1","issue":"January","issued":{"date-parts":[["2022"]]},"page":"1-16","title":"Prevalence of ongoing symptoms following coronavirus ( COVID-19 ) infection in the UK : 6 January 2022","type":"article-journal"},"uris":["http://www.mendeley.com/documents/?uuid=ee11b328-7420-420e-b92c-664ad37435ed"]}],"mendeley":{"formattedCitation":"&lt;sup&gt;1&lt;/sup&gt;","plainTextFormattedCitation":"1","previouslyFormattedCitation":"&lt;sup&gt;1&lt;/sup&gt;"},"properties":{"noteIndex":0},"schema":"https://github.com/citation-style-language/schema/raw/master/csl-citation.json"}</w:instrText>
      </w:r>
      <w:r w:rsidR="00B47912" w:rsidRPr="009E7120">
        <w:rPr>
          <w:rFonts w:ascii="Times New Roman" w:hAnsi="Times New Roman" w:cs="Times New Roman"/>
          <w:sz w:val="22"/>
          <w:szCs w:val="22"/>
        </w:rPr>
        <w:fldChar w:fldCharType="separate"/>
      </w:r>
      <w:r w:rsidR="0013096B" w:rsidRPr="009E7120">
        <w:rPr>
          <w:rFonts w:ascii="Times New Roman" w:hAnsi="Times New Roman" w:cs="Times New Roman"/>
          <w:noProof/>
          <w:sz w:val="22"/>
          <w:szCs w:val="22"/>
          <w:vertAlign w:val="superscript"/>
        </w:rPr>
        <w:t>1</w:t>
      </w:r>
      <w:r w:rsidR="00B47912" w:rsidRPr="009E7120">
        <w:rPr>
          <w:rFonts w:ascii="Times New Roman" w:hAnsi="Times New Roman" w:cs="Times New Roman"/>
          <w:sz w:val="22"/>
          <w:szCs w:val="22"/>
        </w:rPr>
        <w:fldChar w:fldCharType="end"/>
      </w:r>
      <w:r w:rsidR="0062586D" w:rsidRPr="009E7120">
        <w:rPr>
          <w:rFonts w:ascii="Times New Roman" w:hAnsi="Times New Roman" w:cs="Times New Roman"/>
          <w:sz w:val="22"/>
          <w:szCs w:val="22"/>
        </w:rPr>
        <w:t xml:space="preserve">, </w:t>
      </w:r>
      <w:r w:rsidR="000F57B5" w:rsidRPr="009E7120">
        <w:rPr>
          <w:rFonts w:ascii="Times New Roman" w:hAnsi="Times New Roman" w:cs="Times New Roman"/>
          <w:sz w:val="22"/>
          <w:szCs w:val="22"/>
        </w:rPr>
        <w:t>with</w:t>
      </w:r>
      <w:r w:rsidR="002D1F1B" w:rsidRPr="009E7120">
        <w:rPr>
          <w:rFonts w:ascii="Times New Roman" w:hAnsi="Times New Roman" w:cs="Times New Roman"/>
          <w:sz w:val="22"/>
          <w:szCs w:val="22"/>
        </w:rPr>
        <w:t xml:space="preserve"> one study </w:t>
      </w:r>
      <w:r w:rsidR="000B022E" w:rsidRPr="009E7120">
        <w:rPr>
          <w:rFonts w:ascii="Times New Roman" w:hAnsi="Times New Roman" w:cs="Times New Roman"/>
          <w:sz w:val="22"/>
          <w:szCs w:val="22"/>
        </w:rPr>
        <w:t xml:space="preserve">finding that </w:t>
      </w:r>
      <w:r w:rsidR="002D1F1B" w:rsidRPr="009E7120">
        <w:rPr>
          <w:rFonts w:ascii="Times New Roman" w:hAnsi="Times New Roman" w:cs="Times New Roman"/>
          <w:sz w:val="22"/>
          <w:szCs w:val="22"/>
        </w:rPr>
        <w:t>5</w:t>
      </w:r>
      <w:r w:rsidR="000F57B5" w:rsidRPr="009E7120">
        <w:rPr>
          <w:rFonts w:ascii="Times New Roman" w:hAnsi="Times New Roman" w:cs="Times New Roman"/>
          <w:sz w:val="22"/>
          <w:szCs w:val="22"/>
        </w:rPr>
        <w:t>7% of patients with COVID-19 experienced</w:t>
      </w:r>
      <w:r w:rsidR="002D1F1B" w:rsidRPr="009E7120">
        <w:rPr>
          <w:rFonts w:ascii="Times New Roman" w:hAnsi="Times New Roman" w:cs="Times New Roman"/>
          <w:sz w:val="22"/>
          <w:szCs w:val="22"/>
        </w:rPr>
        <w:t xml:space="preserve"> at least one symptom of </w:t>
      </w:r>
      <w:r w:rsidR="00E23D54" w:rsidRPr="009E7120">
        <w:rPr>
          <w:rFonts w:ascii="Times New Roman" w:hAnsi="Times New Roman" w:cs="Times New Roman"/>
          <w:sz w:val="22"/>
          <w:szCs w:val="22"/>
        </w:rPr>
        <w:t>Long COVID</w:t>
      </w:r>
      <w:r w:rsidR="002D1F1B" w:rsidRPr="009E7120">
        <w:rPr>
          <w:rFonts w:ascii="Times New Roman" w:hAnsi="Times New Roman" w:cs="Times New Roman"/>
          <w:sz w:val="22"/>
          <w:szCs w:val="22"/>
        </w:rPr>
        <w:t xml:space="preserve"> in the 6 months following infection</w:t>
      </w:r>
      <w:r w:rsidR="002D1F1B" w:rsidRPr="009E7120">
        <w:rPr>
          <w:rFonts w:ascii="Times New Roman" w:hAnsi="Times New Roman" w:cs="Times New Roman"/>
          <w:sz w:val="22"/>
          <w:szCs w:val="22"/>
        </w:rPr>
        <w:fldChar w:fldCharType="begin" w:fldLock="1"/>
      </w:r>
      <w:r w:rsidR="00F27428" w:rsidRPr="009E7120">
        <w:rPr>
          <w:rFonts w:ascii="Times New Roman" w:hAnsi="Times New Roman" w:cs="Times New Roman"/>
          <w:sz w:val="22"/>
          <w:szCs w:val="22"/>
        </w:rPr>
        <w:instrText>ADDIN CSL_CITATION {"citationItems":[{"id":"ITEM-1","itemData":{"DOI":"10.1371/journal.pmed.1003773","ISBN":"1111111111","ISSN":"15491676","PMID":"34582441","abstract":"Background Long-COVID refers to a variety of symptoms affecting different organs reported by people following Coronavirus Disease 2019 (COVID-19) infection. To date, there have been no robust estimates of the incidence and co-occurrence of long-COVID features, their relationship to age, sex, or severity of infection, and the extent to which they are specific to COVID-19. The aim of this study is to address these issues. Methods and findings We conducted a retrospective cohort study based on linked electronic health records (EHRs) data from 81 million patients including 273,618 COVID-19 survivors. The incidence and co-occurrence within 6 months and in the 3 to 6 months after COVID-19 diagnosis were calculated for 9 core features of long-COVID (breathing difficulties/breathlessness, fatigue/ malaise, chest/throat pain, headache, abdominal symptoms, myalgia, other pain, cognitive symptoms, and anxiety/depression). Their co-occurrence network was also analyzed. Comparison with a propensity score–matched cohort of patients diagnosed with influenza during the same time period was achieved using Kaplan–Meier analysis and the Cox proportional hazard model. The incidence of atopic dermatitis was used as a negative control. Among COVID-19 survivors (mean [SD] age: 46.3 [19.8], 55.6% female), 57.00% had one or more long-COVID feature recorded during the whole 6-month period (i.e., including the acute phase), and 36.55% between 3 and 6 months. The incidence of each feature was: abnormal breathing (18.71% in the 1- to 180-day period; 7.94% in the 90- to180-day period), fatigue/malaise (12.82%; 5.87%), chest/throat pain (12.60%; 5.71%), headache (8.67%; 4.63%), other pain (11.60%; 7.19%), abdominal symptoms (15.58%; 8.29%), myalgia (3.24%; 1.54%), cognitive symptoms (7.88%; 3.95%), and anxiety/depression (22.82%; 15.49%). All 9 features were more frequently reported after COVID-19 than after influenza (with an overall excess incidence of 16.60% and hazard ratios between 1.44 and 2.04, all p &lt; 0.001), co-occurred more commonly, and formed a more interconnected network. Significant differences in incidence and co-occurrence were associated with sex, age, and illness severity. Besides the limitations inherent to EHR data, limitations of this study include that (i) the findings do not generalize to patients who have had COVID-19 but were not diagnosed, nor to patients who do not seek or receive medical attention when experiencing symptoms of long-COVID; (ii) the findings…","author":[{"dropping-particle":"","family":"Taquet","given":"Maxime","non-dropping-particle":"","parse-names":false,"suffix":""},{"dropping-particle":"","family":"Dercon","given":"Quentin","non-dropping-particle":"","parse-names":false,"suffix":""},{"dropping-particle":"","family":"Luciano","given":"Sierra","non-dropping-particle":"","parse-names":false,"suffix":""},{"dropping-particle":"","family":"Geddes","given":"John R.","non-dropping-particle":"","parse-names":false,"suffix":""},{"dropping-particle":"","family":"Husain","given":"Masud","non-dropping-particle":"","parse-names":false,"suffix":""},{"dropping-particle":"","family":"Harrison","given":"Paul J.","non-dropping-particle":"","parse-names":false,"suffix":""}],"container-title":"PLoS Medicine","id":"ITEM-1","issue":"9","issued":{"date-parts":[["2021"]]},"page":"1-22","title":"Incidence, co-occurrence, and evolution of long-COVID features: A 6-month retrospective cohort study of 273,618 survivors of COVID-19","type":"article-journal","volume":"18"},"uris":["http://www.mendeley.com/documents/?uuid=96e8497d-8084-47b7-81b1-26638cde60b0"]}],"mendeley":{"formattedCitation":"&lt;sup&gt;2&lt;/sup&gt;","plainTextFormattedCitation":"2","previouslyFormattedCitation":"&lt;sup&gt;2&lt;/sup&gt;"},"properties":{"noteIndex":0},"schema":"https://github.com/citation-style-language/schema/raw/master/csl-citation.json"}</w:instrText>
      </w:r>
      <w:r w:rsidR="002D1F1B" w:rsidRPr="009E7120">
        <w:rPr>
          <w:rFonts w:ascii="Times New Roman" w:hAnsi="Times New Roman" w:cs="Times New Roman"/>
          <w:sz w:val="22"/>
          <w:szCs w:val="22"/>
        </w:rPr>
        <w:fldChar w:fldCharType="separate"/>
      </w:r>
      <w:r w:rsidR="0013096B" w:rsidRPr="009E7120">
        <w:rPr>
          <w:rFonts w:ascii="Times New Roman" w:hAnsi="Times New Roman" w:cs="Times New Roman"/>
          <w:noProof/>
          <w:sz w:val="22"/>
          <w:szCs w:val="22"/>
          <w:vertAlign w:val="superscript"/>
        </w:rPr>
        <w:t>2</w:t>
      </w:r>
      <w:r w:rsidR="002D1F1B" w:rsidRPr="009E7120">
        <w:rPr>
          <w:rFonts w:ascii="Times New Roman" w:hAnsi="Times New Roman" w:cs="Times New Roman"/>
          <w:sz w:val="22"/>
          <w:szCs w:val="22"/>
        </w:rPr>
        <w:fldChar w:fldCharType="end"/>
      </w:r>
      <w:r w:rsidR="000F57B5" w:rsidRPr="009E7120">
        <w:rPr>
          <w:rFonts w:ascii="Times New Roman" w:hAnsi="Times New Roman" w:cs="Times New Roman"/>
          <w:sz w:val="22"/>
          <w:szCs w:val="22"/>
        </w:rPr>
        <w:t>.</w:t>
      </w:r>
      <w:r w:rsidR="002D1F1B" w:rsidRPr="009E7120">
        <w:rPr>
          <w:rFonts w:ascii="Times New Roman" w:hAnsi="Times New Roman" w:cs="Times New Roman"/>
          <w:sz w:val="22"/>
          <w:szCs w:val="22"/>
        </w:rPr>
        <w:t xml:space="preserve"> </w:t>
      </w:r>
      <w:r w:rsidR="000F57B5" w:rsidRPr="009E7120">
        <w:rPr>
          <w:rFonts w:ascii="Times New Roman" w:hAnsi="Times New Roman" w:cs="Times New Roman"/>
          <w:sz w:val="22"/>
          <w:szCs w:val="22"/>
        </w:rPr>
        <w:t>Current e</w:t>
      </w:r>
      <w:r w:rsidR="0062586D" w:rsidRPr="009E7120">
        <w:rPr>
          <w:rFonts w:ascii="Times New Roman" w:hAnsi="Times New Roman" w:cs="Times New Roman"/>
          <w:sz w:val="22"/>
          <w:szCs w:val="22"/>
        </w:rPr>
        <w:t>ndeavours are</w:t>
      </w:r>
      <w:r w:rsidR="000F57B5" w:rsidRPr="009E7120">
        <w:rPr>
          <w:rFonts w:ascii="Times New Roman" w:hAnsi="Times New Roman" w:cs="Times New Roman"/>
          <w:sz w:val="22"/>
          <w:szCs w:val="22"/>
        </w:rPr>
        <w:t xml:space="preserve"> therefore </w:t>
      </w:r>
      <w:r w:rsidR="0062586D" w:rsidRPr="009E7120">
        <w:rPr>
          <w:rFonts w:ascii="Times New Roman" w:hAnsi="Times New Roman" w:cs="Times New Roman"/>
          <w:sz w:val="22"/>
          <w:szCs w:val="22"/>
        </w:rPr>
        <w:t>focused on</w:t>
      </w:r>
      <w:r w:rsidR="0012473A" w:rsidRPr="009E7120">
        <w:rPr>
          <w:rFonts w:ascii="Times New Roman" w:hAnsi="Times New Roman" w:cs="Times New Roman"/>
          <w:sz w:val="22"/>
          <w:szCs w:val="22"/>
        </w:rPr>
        <w:t xml:space="preserve"> understand</w:t>
      </w:r>
      <w:r w:rsidR="0062586D" w:rsidRPr="009E7120">
        <w:rPr>
          <w:rFonts w:ascii="Times New Roman" w:hAnsi="Times New Roman" w:cs="Times New Roman"/>
          <w:sz w:val="22"/>
          <w:szCs w:val="22"/>
        </w:rPr>
        <w:t xml:space="preserve">ing </w:t>
      </w:r>
      <w:r w:rsidR="000F57B5" w:rsidRPr="009E7120">
        <w:rPr>
          <w:rFonts w:ascii="Times New Roman" w:hAnsi="Times New Roman" w:cs="Times New Roman"/>
          <w:sz w:val="22"/>
          <w:szCs w:val="22"/>
        </w:rPr>
        <w:t>the</w:t>
      </w:r>
      <w:r w:rsidR="0062586D" w:rsidRPr="009E7120">
        <w:rPr>
          <w:rFonts w:ascii="Times New Roman" w:hAnsi="Times New Roman" w:cs="Times New Roman"/>
          <w:sz w:val="22"/>
          <w:szCs w:val="22"/>
        </w:rPr>
        <w:t xml:space="preserve"> </w:t>
      </w:r>
      <w:r w:rsidR="0012473A" w:rsidRPr="009E7120">
        <w:rPr>
          <w:rFonts w:ascii="Times New Roman" w:hAnsi="Times New Roman" w:cs="Times New Roman"/>
          <w:sz w:val="22"/>
          <w:szCs w:val="22"/>
        </w:rPr>
        <w:t>pathophysiology</w:t>
      </w:r>
      <w:r w:rsidR="000F57B5" w:rsidRPr="009E7120">
        <w:rPr>
          <w:rFonts w:ascii="Times New Roman" w:hAnsi="Times New Roman" w:cs="Times New Roman"/>
          <w:sz w:val="22"/>
          <w:szCs w:val="22"/>
        </w:rPr>
        <w:t xml:space="preserve"> of persistent symptoms after acute COVID-19,</w:t>
      </w:r>
      <w:r w:rsidR="00B47912" w:rsidRPr="009E7120">
        <w:rPr>
          <w:rFonts w:ascii="Times New Roman" w:hAnsi="Times New Roman" w:cs="Times New Roman"/>
          <w:sz w:val="22"/>
          <w:szCs w:val="22"/>
        </w:rPr>
        <w:t xml:space="preserve"> </w:t>
      </w:r>
      <w:r w:rsidR="008B053E" w:rsidRPr="009E7120">
        <w:rPr>
          <w:rFonts w:ascii="Times New Roman" w:hAnsi="Times New Roman" w:cs="Times New Roman"/>
          <w:sz w:val="22"/>
          <w:szCs w:val="22"/>
        </w:rPr>
        <w:t xml:space="preserve">with a view to informing </w:t>
      </w:r>
      <w:r w:rsidR="00B47912" w:rsidRPr="009E7120">
        <w:rPr>
          <w:rFonts w:ascii="Times New Roman" w:hAnsi="Times New Roman" w:cs="Times New Roman"/>
          <w:sz w:val="22"/>
          <w:szCs w:val="22"/>
        </w:rPr>
        <w:t>the development of novel therapeutics</w:t>
      </w:r>
      <w:r w:rsidR="00CC20EF" w:rsidRPr="009E7120">
        <w:rPr>
          <w:rFonts w:ascii="Times New Roman" w:hAnsi="Times New Roman" w:cs="Times New Roman"/>
          <w:sz w:val="22"/>
          <w:szCs w:val="22"/>
        </w:rPr>
        <w:t xml:space="preserve">. </w:t>
      </w:r>
    </w:p>
    <w:p w14:paraId="4B2D5F9F" w14:textId="77777777" w:rsidR="00EF122C" w:rsidRPr="009E7120" w:rsidRDefault="00EF122C" w:rsidP="009E7120">
      <w:pPr>
        <w:spacing w:line="480" w:lineRule="auto"/>
        <w:jc w:val="both"/>
        <w:rPr>
          <w:rFonts w:ascii="Times New Roman" w:hAnsi="Times New Roman" w:cs="Times New Roman"/>
          <w:sz w:val="22"/>
          <w:szCs w:val="22"/>
        </w:rPr>
      </w:pPr>
    </w:p>
    <w:p w14:paraId="391DA00B" w14:textId="3798F8AC" w:rsidR="002E0771" w:rsidRPr="009E7120" w:rsidRDefault="0012473A" w:rsidP="009E7120">
      <w:pPr>
        <w:spacing w:line="480" w:lineRule="auto"/>
        <w:jc w:val="both"/>
        <w:rPr>
          <w:rFonts w:ascii="Times New Roman" w:hAnsi="Times New Roman" w:cs="Times New Roman"/>
          <w:sz w:val="22"/>
          <w:szCs w:val="22"/>
        </w:rPr>
      </w:pPr>
      <w:r w:rsidRPr="009E7120">
        <w:rPr>
          <w:rFonts w:ascii="Times New Roman" w:hAnsi="Times New Roman" w:cs="Times New Roman"/>
          <w:sz w:val="22"/>
          <w:szCs w:val="22"/>
        </w:rPr>
        <w:t>A recent a</w:t>
      </w:r>
      <w:r w:rsidR="004437CF" w:rsidRPr="009E7120">
        <w:rPr>
          <w:rFonts w:ascii="Times New Roman" w:hAnsi="Times New Roman" w:cs="Times New Roman"/>
          <w:sz w:val="22"/>
          <w:szCs w:val="22"/>
        </w:rPr>
        <w:t xml:space="preserve">rticle by </w:t>
      </w:r>
      <w:proofErr w:type="spellStart"/>
      <w:r w:rsidR="004437CF" w:rsidRPr="009E7120">
        <w:rPr>
          <w:rFonts w:ascii="Times New Roman" w:hAnsi="Times New Roman" w:cs="Times New Roman"/>
          <w:sz w:val="22"/>
          <w:szCs w:val="22"/>
        </w:rPr>
        <w:t>Kanczkowski</w:t>
      </w:r>
      <w:proofErr w:type="spellEnd"/>
      <w:r w:rsidR="004437CF" w:rsidRPr="009E7120">
        <w:rPr>
          <w:rFonts w:ascii="Times New Roman" w:hAnsi="Times New Roman" w:cs="Times New Roman"/>
          <w:sz w:val="22"/>
          <w:szCs w:val="22"/>
        </w:rPr>
        <w:t xml:space="preserve"> and colleagues</w:t>
      </w:r>
      <w:r w:rsidR="002F3A8E" w:rsidRPr="009E7120">
        <w:rPr>
          <w:rFonts w:ascii="Times New Roman" w:hAnsi="Times New Roman" w:cs="Times New Roman"/>
          <w:sz w:val="22"/>
          <w:szCs w:val="22"/>
        </w:rPr>
        <w:fldChar w:fldCharType="begin" w:fldLock="1"/>
      </w:r>
      <w:r w:rsidR="00D062BD">
        <w:rPr>
          <w:rFonts w:ascii="Times New Roman" w:hAnsi="Times New Roman" w:cs="Times New Roman"/>
          <w:sz w:val="22"/>
          <w:szCs w:val="22"/>
        </w:rPr>
        <w:instrText>ADDIN CSL_CITATION {"citationItems":[{"id":"ITEM-1","itemData":{"DOI":"10.1016/s2213-8587(21)00291-6","ISSN":"22138587","author":[{"dropping-particle":"","family":"Kanczkowski","given":"Waldemar","non-dropping-particle":"","parse-names":false,"suffix":""},{"dropping-particle":"","family":"Evert","given":"Katja","non-dropping-particle":"","parse-names":false,"suffix":""},{"dropping-particle":"","family":"Stadtmüller","given":"Marlena","non-dropping-particle":"","parse-names":false,"suffix":""},{"dropping-particle":"","family":"Haberecker","given":"Martina","non-dropping-particle":"","parse-names":false,"suffix":""},{"dropping-particle":"","family":"Laks","given":"Laura","non-dropping-particle":"","parse-names":false,"suffix":""},{"dropping-particle":"","family":"Chen","given":"Lan-Sun","non-dropping-particle":"","parse-names":false,"suffix":""},{"dropping-particle":"","family":"Frontzek","given":"Karl","non-dropping-particle":"","parse-names":false,"suffix":""},{"dropping-particle":"","family":"Pablik","given":"Jessica","non-dropping-particle":"","parse-names":false,"suffix":""},{"dropping-particle":"","family":"Hantel","given":"Constanze","non-dropping-particle":"","parse-names":false,"suffix":""},{"dropping-particle":"","family":"Beuschlein","given":"Felix","non-dropping-particle":"","parse-names":false,"suffix":""},{"dropping-particle":"","family":"Kurth","given":"Thomas","non-dropping-particle":"","parse-names":false,"suffix":""},{"dropping-particle":"","family":"Gruber","given":"Sven","non-dropping-particle":"","parse-names":false,"suffix":""},{"dropping-particle":"","family":"Aguzzi","given":"Adriano","non-dropping-particle":"","parse-names":false,"suffix":""},{"dropping-particle":"","family":"Varga","given":"Zsuzsanna","non-dropping-particle":"","parse-names":false,"suffix":""},{"dropping-particle":"","family":"Bornstein","given":"Stefan R","non-dropping-particle":"","parse-names":false,"suffix":""}],"container-title":"The Lancet Diabetes &amp; Endocrinology","id":"ITEM-1","issue":"21","issued":{"date-parts":[["2021"]]},"page":"19-21","title":"COVID-19 targets human adrenal glands","type":"article-journal","volume":"8587"},"uris":["http://www.mendeley.com/documents/?uuid=eeb8b2ae-4513-4023-b26b-b66437bd1cfe"]}],"mendeley":{"formattedCitation":"&lt;sup&gt;3&lt;/sup&gt;","plainTextFormattedCitation":"3","previouslyFormattedCitation":"&lt;sup&gt;9&lt;/sup&gt;"},"properties":{"noteIndex":0},"schema":"https://github.com/citation-style-language/schema/raw/master/csl-citation.json"}</w:instrText>
      </w:r>
      <w:r w:rsidR="002F3A8E" w:rsidRPr="009E7120">
        <w:rPr>
          <w:rFonts w:ascii="Times New Roman" w:hAnsi="Times New Roman" w:cs="Times New Roman"/>
          <w:sz w:val="22"/>
          <w:szCs w:val="22"/>
        </w:rPr>
        <w:fldChar w:fldCharType="separate"/>
      </w:r>
      <w:r w:rsidR="00D062BD" w:rsidRPr="00D062BD">
        <w:rPr>
          <w:rFonts w:ascii="Times New Roman" w:hAnsi="Times New Roman" w:cs="Times New Roman"/>
          <w:noProof/>
          <w:sz w:val="22"/>
          <w:szCs w:val="22"/>
          <w:vertAlign w:val="superscript"/>
        </w:rPr>
        <w:t>3</w:t>
      </w:r>
      <w:r w:rsidR="002F3A8E" w:rsidRPr="009E7120">
        <w:rPr>
          <w:rFonts w:ascii="Times New Roman" w:hAnsi="Times New Roman" w:cs="Times New Roman"/>
          <w:sz w:val="22"/>
          <w:szCs w:val="22"/>
        </w:rPr>
        <w:fldChar w:fldCharType="end"/>
      </w:r>
      <w:r w:rsidR="004437CF" w:rsidRPr="009E7120">
        <w:rPr>
          <w:rFonts w:ascii="Times New Roman" w:hAnsi="Times New Roman" w:cs="Times New Roman"/>
          <w:sz w:val="22"/>
          <w:szCs w:val="22"/>
        </w:rPr>
        <w:t xml:space="preserve"> </w:t>
      </w:r>
      <w:r w:rsidR="007A0F61" w:rsidRPr="009E7120">
        <w:rPr>
          <w:rFonts w:ascii="Times New Roman" w:hAnsi="Times New Roman" w:cs="Times New Roman"/>
          <w:sz w:val="22"/>
          <w:szCs w:val="22"/>
        </w:rPr>
        <w:t>sought</w:t>
      </w:r>
      <w:r w:rsidR="00570855" w:rsidRPr="009E7120">
        <w:rPr>
          <w:rFonts w:ascii="Times New Roman" w:hAnsi="Times New Roman" w:cs="Times New Roman"/>
          <w:sz w:val="22"/>
          <w:szCs w:val="22"/>
        </w:rPr>
        <w:t xml:space="preserve"> to </w:t>
      </w:r>
      <w:r w:rsidR="005D2271" w:rsidRPr="009E7120">
        <w:rPr>
          <w:rFonts w:ascii="Times New Roman" w:hAnsi="Times New Roman" w:cs="Times New Roman"/>
          <w:sz w:val="22"/>
          <w:szCs w:val="22"/>
        </w:rPr>
        <w:t>determine whether</w:t>
      </w:r>
      <w:r w:rsidR="007C3664" w:rsidRPr="009E7120">
        <w:rPr>
          <w:rFonts w:ascii="Times New Roman" w:hAnsi="Times New Roman" w:cs="Times New Roman"/>
          <w:sz w:val="22"/>
          <w:szCs w:val="22"/>
        </w:rPr>
        <w:t xml:space="preserve"> there was</w:t>
      </w:r>
      <w:r w:rsidR="005D2271" w:rsidRPr="009E7120">
        <w:rPr>
          <w:rFonts w:ascii="Times New Roman" w:hAnsi="Times New Roman" w:cs="Times New Roman"/>
          <w:sz w:val="22"/>
          <w:szCs w:val="22"/>
        </w:rPr>
        <w:t xml:space="preserve"> any histological evidence of adrenal damage </w:t>
      </w:r>
      <w:r w:rsidR="000E5BC2" w:rsidRPr="009E7120">
        <w:rPr>
          <w:rFonts w:ascii="Times New Roman" w:hAnsi="Times New Roman" w:cs="Times New Roman"/>
          <w:sz w:val="22"/>
          <w:szCs w:val="22"/>
        </w:rPr>
        <w:t xml:space="preserve">present </w:t>
      </w:r>
      <w:r w:rsidR="005D2271" w:rsidRPr="009E7120">
        <w:rPr>
          <w:rFonts w:ascii="Times New Roman" w:hAnsi="Times New Roman" w:cs="Times New Roman"/>
          <w:sz w:val="22"/>
          <w:szCs w:val="22"/>
        </w:rPr>
        <w:t xml:space="preserve">in patients with COVID-19. </w:t>
      </w:r>
      <w:r w:rsidR="00F076C3" w:rsidRPr="009E7120">
        <w:rPr>
          <w:rFonts w:ascii="Times New Roman" w:hAnsi="Times New Roman" w:cs="Times New Roman"/>
          <w:sz w:val="22"/>
          <w:szCs w:val="22"/>
        </w:rPr>
        <w:t xml:space="preserve">This is particularly </w:t>
      </w:r>
      <w:r w:rsidR="00570855" w:rsidRPr="009E7120">
        <w:rPr>
          <w:rFonts w:ascii="Times New Roman" w:hAnsi="Times New Roman" w:cs="Times New Roman"/>
          <w:sz w:val="22"/>
          <w:szCs w:val="22"/>
        </w:rPr>
        <w:t>pertinent</w:t>
      </w:r>
      <w:r w:rsidR="00F076C3" w:rsidRPr="009E7120">
        <w:rPr>
          <w:rFonts w:ascii="Times New Roman" w:hAnsi="Times New Roman" w:cs="Times New Roman"/>
          <w:sz w:val="22"/>
          <w:szCs w:val="22"/>
        </w:rPr>
        <w:t xml:space="preserve"> given that both ACE2 receptors and </w:t>
      </w:r>
      <w:r w:rsidR="000E5BC2" w:rsidRPr="009E7120">
        <w:rPr>
          <w:rFonts w:ascii="Times New Roman" w:hAnsi="Times New Roman" w:cs="Times New Roman"/>
          <w:sz w:val="22"/>
          <w:szCs w:val="22"/>
        </w:rPr>
        <w:t xml:space="preserve">transmembrane serine protease 2 (TMPRSS; </w:t>
      </w:r>
      <w:r w:rsidR="00F076C3" w:rsidRPr="009E7120">
        <w:rPr>
          <w:rFonts w:ascii="Times New Roman" w:hAnsi="Times New Roman" w:cs="Times New Roman"/>
          <w:sz w:val="22"/>
          <w:szCs w:val="22"/>
        </w:rPr>
        <w:t>the permissive protein for cellular entry</w:t>
      </w:r>
      <w:r w:rsidR="000E5BC2" w:rsidRPr="009E7120">
        <w:rPr>
          <w:rFonts w:ascii="Times New Roman" w:hAnsi="Times New Roman" w:cs="Times New Roman"/>
          <w:sz w:val="22"/>
          <w:szCs w:val="22"/>
        </w:rPr>
        <w:t>)</w:t>
      </w:r>
      <w:r w:rsidR="00A954C1" w:rsidRPr="009E7120">
        <w:rPr>
          <w:rFonts w:ascii="Times New Roman" w:hAnsi="Times New Roman" w:cs="Times New Roman"/>
          <w:sz w:val="22"/>
          <w:szCs w:val="22"/>
        </w:rPr>
        <w:t xml:space="preserve"> </w:t>
      </w:r>
      <w:r w:rsidR="00F50E39" w:rsidRPr="009E7120">
        <w:rPr>
          <w:rFonts w:ascii="Times New Roman" w:hAnsi="Times New Roman" w:cs="Times New Roman"/>
          <w:sz w:val="22"/>
          <w:szCs w:val="22"/>
        </w:rPr>
        <w:t xml:space="preserve">have been identified </w:t>
      </w:r>
      <w:r w:rsidR="00A954C1" w:rsidRPr="009E7120">
        <w:rPr>
          <w:rFonts w:ascii="Times New Roman" w:hAnsi="Times New Roman" w:cs="Times New Roman"/>
          <w:sz w:val="22"/>
          <w:szCs w:val="22"/>
        </w:rPr>
        <w:t xml:space="preserve">in </w:t>
      </w:r>
      <w:r w:rsidR="00F50E39" w:rsidRPr="009E7120">
        <w:rPr>
          <w:rFonts w:ascii="Times New Roman" w:hAnsi="Times New Roman" w:cs="Times New Roman"/>
          <w:sz w:val="22"/>
          <w:szCs w:val="22"/>
        </w:rPr>
        <w:t xml:space="preserve">the </w:t>
      </w:r>
      <w:r w:rsidR="00A954C1" w:rsidRPr="009E7120">
        <w:rPr>
          <w:rFonts w:ascii="Times New Roman" w:hAnsi="Times New Roman" w:cs="Times New Roman"/>
          <w:sz w:val="22"/>
          <w:szCs w:val="22"/>
        </w:rPr>
        <w:t>adrenal microvasculature</w:t>
      </w:r>
      <w:r w:rsidR="00A300D1" w:rsidRPr="009E7120">
        <w:rPr>
          <w:rFonts w:ascii="Times New Roman" w:hAnsi="Times New Roman" w:cs="Times New Roman"/>
          <w:sz w:val="22"/>
          <w:szCs w:val="22"/>
        </w:rPr>
        <w:t xml:space="preserve"> and the adrenal cortex itself</w:t>
      </w:r>
      <w:r w:rsidR="00A954C1" w:rsidRPr="009E7120">
        <w:rPr>
          <w:rFonts w:ascii="Times New Roman" w:hAnsi="Times New Roman" w:cs="Times New Roman"/>
          <w:sz w:val="22"/>
          <w:szCs w:val="22"/>
        </w:rPr>
        <w:t xml:space="preserve"> </w:t>
      </w:r>
      <w:r w:rsidR="00A300D1" w:rsidRPr="009E7120">
        <w:rPr>
          <w:rFonts w:ascii="Times New Roman" w:hAnsi="Times New Roman" w:cs="Times New Roman"/>
          <w:sz w:val="22"/>
          <w:szCs w:val="22"/>
        </w:rPr>
        <w:fldChar w:fldCharType="begin" w:fldLock="1"/>
      </w:r>
      <w:r w:rsidR="00D062BD">
        <w:rPr>
          <w:rFonts w:ascii="Times New Roman" w:hAnsi="Times New Roman" w:cs="Times New Roman"/>
          <w:sz w:val="22"/>
          <w:szCs w:val="22"/>
        </w:rPr>
        <w:instrText>ADDIN CSL_CITATION {"citationItems":[{"id":"ITEM-1","itemData":{"DOI":"10.3389/fendo.2020.593179","author":[{"dropping-particle":"","family":"Mao","given":"Yanfei","non-dropping-particle":"","parse-names":false,"suffix":""},{"dropping-particle":"","family":"Xu","given":"Bo","non-dropping-particle":"","parse-names":false,"suffix":""},{"dropping-particle":"","family":"Guan","given":"Wenbin","non-dropping-particle":"","parse-names":false,"suffix":""},{"dropping-particle":"","family":"Xu","given":"Dunfeng","non-dropping-particle":"","parse-names":false,"suffix":""},{"dropping-particle":"","family":"Li","given":"Feng","non-dropping-particle":"","parse-names":false,"suffix":""},{"dropping-particle":"","family":"Ren","given":"Rongrong","non-dropping-particle":"","parse-names":false,"suffix":""}],"id":"ITEM-1","issue":"January","issued":{"date-parts":[["2021"]]},"page":"1-10","title":"The Adrenal Cortex , an Underestimated Site of SARS-CoV-2 Infection","type":"article-journal","volume":"11"},"uris":["http://www.mendeley.com/documents/?uuid=53e4d4a3-740f-4fb9-8713-459cbb32b5d7"]}],"mendeley":{"formattedCitation":"&lt;sup&gt;4&lt;/sup&gt;","plainTextFormattedCitation":"4","previouslyFormattedCitation":"&lt;sup&gt;3&lt;/sup&gt;"},"properties":{"noteIndex":0},"schema":"https://github.com/citation-style-language/schema/raw/master/csl-citation.json"}</w:instrText>
      </w:r>
      <w:r w:rsidR="00A300D1" w:rsidRPr="009E7120">
        <w:rPr>
          <w:rFonts w:ascii="Times New Roman" w:hAnsi="Times New Roman" w:cs="Times New Roman"/>
          <w:sz w:val="22"/>
          <w:szCs w:val="22"/>
        </w:rPr>
        <w:fldChar w:fldCharType="separate"/>
      </w:r>
      <w:r w:rsidR="00D062BD" w:rsidRPr="00D062BD">
        <w:rPr>
          <w:rFonts w:ascii="Times New Roman" w:hAnsi="Times New Roman" w:cs="Times New Roman"/>
          <w:noProof/>
          <w:sz w:val="22"/>
          <w:szCs w:val="22"/>
          <w:vertAlign w:val="superscript"/>
        </w:rPr>
        <w:t>4</w:t>
      </w:r>
      <w:r w:rsidR="00A300D1" w:rsidRPr="009E7120">
        <w:rPr>
          <w:rFonts w:ascii="Times New Roman" w:hAnsi="Times New Roman" w:cs="Times New Roman"/>
          <w:sz w:val="22"/>
          <w:szCs w:val="22"/>
        </w:rPr>
        <w:fldChar w:fldCharType="end"/>
      </w:r>
      <w:r w:rsidR="00F50E39" w:rsidRPr="009E7120">
        <w:rPr>
          <w:rFonts w:ascii="Times New Roman" w:hAnsi="Times New Roman" w:cs="Times New Roman"/>
          <w:sz w:val="22"/>
          <w:szCs w:val="22"/>
        </w:rPr>
        <w:t>,</w:t>
      </w:r>
      <w:r w:rsidR="00A300D1" w:rsidRPr="009E7120">
        <w:rPr>
          <w:rFonts w:ascii="Times New Roman" w:hAnsi="Times New Roman" w:cs="Times New Roman"/>
          <w:sz w:val="22"/>
          <w:szCs w:val="22"/>
        </w:rPr>
        <w:t xml:space="preserve"> </w:t>
      </w:r>
      <w:r w:rsidR="00F50E39" w:rsidRPr="009E7120">
        <w:rPr>
          <w:rFonts w:ascii="Times New Roman" w:hAnsi="Times New Roman" w:cs="Times New Roman"/>
          <w:sz w:val="22"/>
          <w:szCs w:val="22"/>
        </w:rPr>
        <w:t>providing</w:t>
      </w:r>
      <w:r w:rsidR="00F076C3" w:rsidRPr="009E7120">
        <w:rPr>
          <w:rFonts w:ascii="Times New Roman" w:hAnsi="Times New Roman" w:cs="Times New Roman"/>
          <w:sz w:val="22"/>
          <w:szCs w:val="22"/>
        </w:rPr>
        <w:t xml:space="preserve"> biologic</w:t>
      </w:r>
      <w:r w:rsidR="00F50E39" w:rsidRPr="009E7120">
        <w:rPr>
          <w:rFonts w:ascii="Times New Roman" w:hAnsi="Times New Roman" w:cs="Times New Roman"/>
          <w:sz w:val="22"/>
          <w:szCs w:val="22"/>
        </w:rPr>
        <w:t xml:space="preserve">al </w:t>
      </w:r>
      <w:r w:rsidR="00F076C3" w:rsidRPr="009E7120">
        <w:rPr>
          <w:rFonts w:ascii="Times New Roman" w:hAnsi="Times New Roman" w:cs="Times New Roman"/>
          <w:sz w:val="22"/>
          <w:szCs w:val="22"/>
        </w:rPr>
        <w:t xml:space="preserve">plausibility for </w:t>
      </w:r>
      <w:r w:rsidR="004C6649" w:rsidRPr="009E7120">
        <w:rPr>
          <w:rFonts w:ascii="Times New Roman" w:hAnsi="Times New Roman" w:cs="Times New Roman"/>
          <w:sz w:val="22"/>
          <w:szCs w:val="22"/>
        </w:rPr>
        <w:t xml:space="preserve">the ability of </w:t>
      </w:r>
      <w:r w:rsidR="00F076C3" w:rsidRPr="009E7120">
        <w:rPr>
          <w:rFonts w:ascii="Times New Roman" w:hAnsi="Times New Roman" w:cs="Times New Roman"/>
          <w:sz w:val="22"/>
          <w:szCs w:val="22"/>
        </w:rPr>
        <w:t xml:space="preserve">SARS-CoV-2 to both gain cellular access and </w:t>
      </w:r>
      <w:r w:rsidR="007D6A77" w:rsidRPr="009E7120">
        <w:rPr>
          <w:rFonts w:ascii="Times New Roman" w:hAnsi="Times New Roman" w:cs="Times New Roman"/>
          <w:sz w:val="22"/>
          <w:szCs w:val="22"/>
        </w:rPr>
        <w:t xml:space="preserve">cause </w:t>
      </w:r>
      <w:r w:rsidR="00526701" w:rsidRPr="009E7120">
        <w:rPr>
          <w:rFonts w:ascii="Times New Roman" w:hAnsi="Times New Roman" w:cs="Times New Roman"/>
          <w:sz w:val="22"/>
          <w:szCs w:val="22"/>
        </w:rPr>
        <w:t>adrenocortical dysfunction</w:t>
      </w:r>
      <w:r w:rsidR="002F3A8E" w:rsidRPr="009E7120">
        <w:rPr>
          <w:rFonts w:ascii="Times New Roman" w:hAnsi="Times New Roman" w:cs="Times New Roman"/>
          <w:sz w:val="22"/>
          <w:szCs w:val="22"/>
        </w:rPr>
        <w:t>.</w:t>
      </w:r>
    </w:p>
    <w:p w14:paraId="3B14F87F" w14:textId="77777777" w:rsidR="0013096B" w:rsidRPr="009E7120" w:rsidRDefault="0013096B" w:rsidP="009E7120">
      <w:pPr>
        <w:spacing w:line="480" w:lineRule="auto"/>
        <w:jc w:val="both"/>
        <w:rPr>
          <w:rFonts w:ascii="Times New Roman" w:hAnsi="Times New Roman" w:cs="Times New Roman"/>
          <w:sz w:val="22"/>
          <w:szCs w:val="22"/>
        </w:rPr>
      </w:pPr>
    </w:p>
    <w:p w14:paraId="25494079" w14:textId="1D1A7002" w:rsidR="002E0771" w:rsidRPr="009E7120" w:rsidRDefault="00F076C3" w:rsidP="009E7120">
      <w:pPr>
        <w:spacing w:line="480" w:lineRule="auto"/>
        <w:jc w:val="both"/>
        <w:rPr>
          <w:rFonts w:ascii="Times New Roman" w:hAnsi="Times New Roman" w:cs="Times New Roman"/>
          <w:sz w:val="22"/>
          <w:szCs w:val="22"/>
        </w:rPr>
      </w:pPr>
      <w:r w:rsidRPr="009E7120">
        <w:rPr>
          <w:rFonts w:ascii="Times New Roman" w:hAnsi="Times New Roman" w:cs="Times New Roman"/>
          <w:sz w:val="22"/>
          <w:szCs w:val="22"/>
        </w:rPr>
        <w:t xml:space="preserve">Using </w:t>
      </w:r>
      <w:r w:rsidR="00A954C1" w:rsidRPr="009E7120">
        <w:rPr>
          <w:rFonts w:ascii="Times New Roman" w:hAnsi="Times New Roman" w:cs="Times New Roman"/>
          <w:sz w:val="22"/>
          <w:szCs w:val="22"/>
        </w:rPr>
        <w:t xml:space="preserve">autopsy samples from 40 patients who had died from COVID-19, the authors observed small vessel vasculitis </w:t>
      </w:r>
      <w:r w:rsidR="00BF34EE" w:rsidRPr="009E7120">
        <w:rPr>
          <w:rFonts w:ascii="Times New Roman" w:hAnsi="Times New Roman" w:cs="Times New Roman"/>
          <w:sz w:val="22"/>
          <w:szCs w:val="22"/>
        </w:rPr>
        <w:t xml:space="preserve">and perivascular </w:t>
      </w:r>
      <w:proofErr w:type="spellStart"/>
      <w:r w:rsidR="00BF34EE" w:rsidRPr="009E7120">
        <w:rPr>
          <w:rFonts w:ascii="Times New Roman" w:hAnsi="Times New Roman" w:cs="Times New Roman"/>
          <w:sz w:val="22"/>
          <w:szCs w:val="22"/>
        </w:rPr>
        <w:t>lymphoplasmacellular</w:t>
      </w:r>
      <w:proofErr w:type="spellEnd"/>
      <w:r w:rsidR="00BF34EE" w:rsidRPr="009E7120">
        <w:rPr>
          <w:rFonts w:ascii="Times New Roman" w:hAnsi="Times New Roman" w:cs="Times New Roman"/>
          <w:sz w:val="22"/>
          <w:szCs w:val="22"/>
        </w:rPr>
        <w:t xml:space="preserve"> infiltration </w:t>
      </w:r>
      <w:r w:rsidR="00A954C1" w:rsidRPr="009E7120">
        <w:rPr>
          <w:rFonts w:ascii="Times New Roman" w:hAnsi="Times New Roman" w:cs="Times New Roman"/>
          <w:sz w:val="22"/>
          <w:szCs w:val="22"/>
        </w:rPr>
        <w:t xml:space="preserve">within </w:t>
      </w:r>
      <w:r w:rsidR="00BF34EE" w:rsidRPr="009E7120">
        <w:rPr>
          <w:rFonts w:ascii="Times New Roman" w:hAnsi="Times New Roman" w:cs="Times New Roman"/>
          <w:sz w:val="22"/>
          <w:szCs w:val="22"/>
        </w:rPr>
        <w:t xml:space="preserve">the </w:t>
      </w:r>
      <w:r w:rsidR="00A954C1" w:rsidRPr="009E7120">
        <w:rPr>
          <w:rFonts w:ascii="Times New Roman" w:hAnsi="Times New Roman" w:cs="Times New Roman"/>
          <w:sz w:val="22"/>
          <w:szCs w:val="22"/>
        </w:rPr>
        <w:t xml:space="preserve">periadrenal fat tissue and adrenal parenchyma, </w:t>
      </w:r>
      <w:r w:rsidR="00FB4629" w:rsidRPr="009E7120">
        <w:rPr>
          <w:rFonts w:ascii="Times New Roman" w:hAnsi="Times New Roman" w:cs="Times New Roman"/>
          <w:sz w:val="22"/>
          <w:szCs w:val="22"/>
        </w:rPr>
        <w:t>but</w:t>
      </w:r>
      <w:r w:rsidR="00A954C1" w:rsidRPr="009E7120">
        <w:rPr>
          <w:rFonts w:ascii="Times New Roman" w:hAnsi="Times New Roman" w:cs="Times New Roman"/>
          <w:sz w:val="22"/>
          <w:szCs w:val="22"/>
        </w:rPr>
        <w:t xml:space="preserve"> did not observe extensive degradation of adrenocortical cells. </w:t>
      </w:r>
      <w:r w:rsidR="00FB4629" w:rsidRPr="009E7120">
        <w:rPr>
          <w:rFonts w:ascii="Times New Roman" w:hAnsi="Times New Roman" w:cs="Times New Roman"/>
          <w:sz w:val="22"/>
          <w:szCs w:val="22"/>
        </w:rPr>
        <w:t xml:space="preserve">Additionally, </w:t>
      </w:r>
      <w:r w:rsidR="00BA3F4F" w:rsidRPr="009E7120">
        <w:rPr>
          <w:rFonts w:ascii="Times New Roman" w:hAnsi="Times New Roman" w:cs="Times New Roman"/>
          <w:sz w:val="22"/>
          <w:szCs w:val="22"/>
        </w:rPr>
        <w:t xml:space="preserve">using a monoclonal antibody, </w:t>
      </w:r>
      <w:r w:rsidR="00FB4629" w:rsidRPr="009E7120">
        <w:rPr>
          <w:rFonts w:ascii="Times New Roman" w:hAnsi="Times New Roman" w:cs="Times New Roman"/>
          <w:sz w:val="22"/>
          <w:szCs w:val="22"/>
        </w:rPr>
        <w:t>they</w:t>
      </w:r>
      <w:r w:rsidR="006610FD" w:rsidRPr="009E7120">
        <w:rPr>
          <w:rFonts w:ascii="Times New Roman" w:hAnsi="Times New Roman" w:cs="Times New Roman"/>
          <w:sz w:val="22"/>
          <w:szCs w:val="22"/>
        </w:rPr>
        <w:t xml:space="preserve"> identified the SARS-CoV-2 spike protein in adrenocortical cells of 45% of adrenal gland tissues</w:t>
      </w:r>
      <w:r w:rsidR="00BA3F4F" w:rsidRPr="009E7120">
        <w:rPr>
          <w:rFonts w:ascii="Times New Roman" w:hAnsi="Times New Roman" w:cs="Times New Roman"/>
          <w:sz w:val="22"/>
          <w:szCs w:val="22"/>
        </w:rPr>
        <w:t>,</w:t>
      </w:r>
      <w:r w:rsidR="006610FD" w:rsidRPr="009E7120">
        <w:rPr>
          <w:rFonts w:ascii="Times New Roman" w:hAnsi="Times New Roman" w:cs="Times New Roman"/>
          <w:sz w:val="22"/>
          <w:szCs w:val="22"/>
        </w:rPr>
        <w:t xml:space="preserve"> and using multiplex RT-qPCR confirmed SARS-CoV-2 expression in 15 out of 30 adrenal gland tissues of patients with COVID-19.</w:t>
      </w:r>
    </w:p>
    <w:p w14:paraId="355F13C2" w14:textId="7D8AA792" w:rsidR="007A0F61" w:rsidRPr="009E7120" w:rsidRDefault="007A0F61" w:rsidP="009E7120">
      <w:pPr>
        <w:spacing w:line="480" w:lineRule="auto"/>
        <w:jc w:val="both"/>
        <w:rPr>
          <w:rFonts w:ascii="Times New Roman" w:hAnsi="Times New Roman" w:cs="Times New Roman"/>
          <w:sz w:val="22"/>
          <w:szCs w:val="22"/>
        </w:rPr>
      </w:pPr>
      <w:r w:rsidRPr="009E7120">
        <w:rPr>
          <w:rFonts w:ascii="Times New Roman" w:hAnsi="Times New Roman" w:cs="Times New Roman"/>
          <w:sz w:val="22"/>
          <w:szCs w:val="22"/>
        </w:rPr>
        <w:t xml:space="preserve">These data </w:t>
      </w:r>
      <w:r w:rsidR="00B004E5" w:rsidRPr="009E7120">
        <w:rPr>
          <w:rFonts w:ascii="Times New Roman" w:hAnsi="Times New Roman" w:cs="Times New Roman"/>
          <w:sz w:val="22"/>
          <w:szCs w:val="22"/>
        </w:rPr>
        <w:t xml:space="preserve">confirm the presence of SARS-CoV-2 within the </w:t>
      </w:r>
      <w:r w:rsidR="00570855" w:rsidRPr="009E7120">
        <w:rPr>
          <w:rFonts w:ascii="Times New Roman" w:hAnsi="Times New Roman" w:cs="Times New Roman"/>
          <w:sz w:val="22"/>
          <w:szCs w:val="22"/>
        </w:rPr>
        <w:t>a</w:t>
      </w:r>
      <w:r w:rsidR="00C53B84" w:rsidRPr="009E7120">
        <w:rPr>
          <w:rFonts w:ascii="Times New Roman" w:hAnsi="Times New Roman" w:cs="Times New Roman"/>
          <w:sz w:val="22"/>
          <w:szCs w:val="22"/>
        </w:rPr>
        <w:t>drenal g</w:t>
      </w:r>
      <w:r w:rsidR="00570855" w:rsidRPr="009E7120">
        <w:rPr>
          <w:rFonts w:ascii="Times New Roman" w:hAnsi="Times New Roman" w:cs="Times New Roman"/>
          <w:sz w:val="22"/>
          <w:szCs w:val="22"/>
        </w:rPr>
        <w:t>l</w:t>
      </w:r>
      <w:r w:rsidR="00C53B84" w:rsidRPr="009E7120">
        <w:rPr>
          <w:rFonts w:ascii="Times New Roman" w:hAnsi="Times New Roman" w:cs="Times New Roman"/>
          <w:sz w:val="22"/>
          <w:szCs w:val="22"/>
        </w:rPr>
        <w:t>ands</w:t>
      </w:r>
      <w:r w:rsidR="00570855" w:rsidRPr="009E7120">
        <w:rPr>
          <w:rFonts w:ascii="Times New Roman" w:hAnsi="Times New Roman" w:cs="Times New Roman"/>
          <w:sz w:val="22"/>
          <w:szCs w:val="22"/>
        </w:rPr>
        <w:t xml:space="preserve"> </w:t>
      </w:r>
      <w:r w:rsidRPr="009E7120">
        <w:rPr>
          <w:rFonts w:ascii="Times New Roman" w:hAnsi="Times New Roman" w:cs="Times New Roman"/>
          <w:sz w:val="22"/>
          <w:szCs w:val="22"/>
        </w:rPr>
        <w:t>and</w:t>
      </w:r>
      <w:r w:rsidR="00B47912" w:rsidRPr="009E7120">
        <w:rPr>
          <w:rFonts w:ascii="Times New Roman" w:hAnsi="Times New Roman" w:cs="Times New Roman"/>
          <w:sz w:val="22"/>
          <w:szCs w:val="22"/>
        </w:rPr>
        <w:t xml:space="preserve"> hence raise the question of </w:t>
      </w:r>
      <w:r w:rsidR="00C53B84" w:rsidRPr="009E7120">
        <w:rPr>
          <w:rFonts w:ascii="Times New Roman" w:hAnsi="Times New Roman" w:cs="Times New Roman"/>
          <w:sz w:val="22"/>
          <w:szCs w:val="22"/>
        </w:rPr>
        <w:t>hypoadrenalism</w:t>
      </w:r>
      <w:r w:rsidRPr="009E7120">
        <w:rPr>
          <w:rFonts w:ascii="Times New Roman" w:hAnsi="Times New Roman" w:cs="Times New Roman"/>
          <w:sz w:val="22"/>
          <w:szCs w:val="22"/>
        </w:rPr>
        <w:t xml:space="preserve"> in patients with COVID-19. </w:t>
      </w:r>
    </w:p>
    <w:p w14:paraId="52F238D9" w14:textId="77777777" w:rsidR="00D062BD" w:rsidRPr="009E7120" w:rsidRDefault="00D062BD" w:rsidP="00D062BD">
      <w:pPr>
        <w:spacing w:line="480" w:lineRule="auto"/>
        <w:jc w:val="both"/>
        <w:rPr>
          <w:rFonts w:ascii="Times New Roman" w:hAnsi="Times New Roman" w:cs="Times New Roman"/>
          <w:sz w:val="22"/>
          <w:szCs w:val="22"/>
        </w:rPr>
      </w:pPr>
    </w:p>
    <w:p w14:paraId="317BCA01" w14:textId="630ABB51" w:rsidR="00D062BD" w:rsidRDefault="00D062BD" w:rsidP="00D062BD">
      <w:pPr>
        <w:spacing w:line="480" w:lineRule="auto"/>
        <w:jc w:val="both"/>
        <w:rPr>
          <w:rFonts w:ascii="Times New Roman" w:hAnsi="Times New Roman" w:cs="Times New Roman"/>
          <w:sz w:val="22"/>
          <w:szCs w:val="22"/>
        </w:rPr>
      </w:pPr>
      <w:r>
        <w:rPr>
          <w:rFonts w:ascii="Times New Roman" w:hAnsi="Times New Roman" w:cs="Times New Roman"/>
          <w:sz w:val="22"/>
          <w:szCs w:val="22"/>
        </w:rPr>
        <w:t xml:space="preserve">Indeed, several case reports exist of adrenal insufficiency in patients diagnosed with acute COVID-19. Typically, adrenal haemorrhage was observed in patients with no known underlying adrenal lesions </w:t>
      </w:r>
      <w:r>
        <w:rPr>
          <w:rFonts w:ascii="Times New Roman" w:hAnsi="Times New Roman" w:cs="Times New Roman"/>
          <w:sz w:val="22"/>
          <w:szCs w:val="22"/>
        </w:rPr>
        <w:fldChar w:fldCharType="begin" w:fldLock="1"/>
      </w:r>
      <w:r>
        <w:rPr>
          <w:rFonts w:ascii="Times New Roman" w:hAnsi="Times New Roman" w:cs="Times New Roman"/>
          <w:sz w:val="22"/>
          <w:szCs w:val="22"/>
        </w:rPr>
        <w:instrText>ADDIN CSL_CITATION {"citationItems":[{"id":"ITEM-1","itemData":{"DOI":"10.1016/j.radcr.2021.03.032","ISSN":"1930-0433","author":[{"dropping-particle":"","family":"Elkhouly","given":"Mohamed M N","non-dropping-particle":"","parse-names":false,"suffix":""},{"dropping-particle":"","family":"Elazzab","given":"Ahmed A","non-dropping-particle":"","parse-names":false,"suffix":""},{"dropping-particle":"","family":"Moghul","given":"Sakib S","non-dropping-particle":"","parse-names":false,"suffix":""}],"container-title":"Radiology Case Reports","id":"ITEM-1","issue":"6","issued":{"date-parts":[["2021"]]},"page":"1438-1442","publisher":"Elsevier Inc.","title":"Bilateral adrenal hemorrhage in a man with severe COVID-19 pneumonia","type":"article-journal","volume":"16"},"uris":["http://www.mendeley.com/documents/?uuid=1e5b9628-07c4-4f17-9aa1-414c2052b6b9"]},{"id":"ITEM-2","itemData":{"DOI":"10.1136/bcr-2020-239643","author":[{"dropping-particle":"","family":"Sharrack","given":"Noor","non-dropping-particle":"","parse-names":false,"suffix":""},{"dropping-particle":"","family":"Baxter","given":"Conal Thomas","non-dropping-particle":"","parse-names":false,"suffix":""},{"dropping-particle":"","family":"Paddock","given":"Michael","non-dropping-particle":"","parse-names":false,"suffix":""},{"dropping-particle":"","family":"Uchegbu","given":"Elizabeth","non-dropping-particle":"","parse-names":false,"suffix":""}],"id":"ITEM-2","issued":{"date-parts":[["0"]]},"page":"5-8","title":"Adrenal haemorrhage as a complication of COVID-19 infection","type":"article-journal"},"uris":["http://www.mendeley.com/documents/?uuid=5a0e7b57-0d50-45fe-8c72-1baedb6d3e29"]},{"id":"ITEM-3","itemData":{"DOI":"10.4269/ajtmh.20-0722","author":[{"dropping-particle":"","family":"Alvarez-Troncoso","given":"Jorge","non-dropping-particle":"","parse-names":false,"suffix":""},{"dropping-particle":"","family":"Larrauri","given":"Miriam Zapatero","non-dropping-particle":"","parse-names":false,"suffix":""},{"dropping-particle":"","family":"Vega","given":"M Dolores Montero","non-dropping-particle":"","parse-names":false,"suffix":""},{"dropping-particle":"","family":"Vallano","given":"Rebeca Gil","non-dropping-particle":"","parse-names":false,"suffix":""},{"dropping-particle":"","family":"Palmier","given":"Esmeralda","non-dropping-particle":"","parse-names":false,"suffix":""},{"dropping-particle":"","family":"Mart","given":"Patricia","non-dropping-particle":"","parse-names":false,"suffix":""},{"dropping-particle":"","family":"Paula","given":"L","non-dropping-particle":"","parse-names":false,"suffix":""},{"dropping-particle":"","family":"Rosario","given":"Carmen","non-dropping-particle":"","parse-names":false,"suffix":""},{"dropping-particle":"","family":"Gil","given":"Herrero","non-dropping-particle":"","parse-names":false,"suffix":""},{"dropping-particle":"","family":"Esteban","given":"Elena Trigo","non-dropping-particle":"","parse-names":false,"suffix":""}],"id":"ITEM-3","issue":"3","issued":{"date-parts":[["2020"]]},"page":"1156-1157","title":"Case Report : COVID-19 with Bilateral Adrenal Hemorrhage","type":"article-journal","volume":"103"},"uris":["http://www.mendeley.com/documents/?uuid=220587ae-d9eb-4c3e-a10c-b05081236122"]}],"mendeley":{"formattedCitation":"&lt;sup&gt;5–7&lt;/sup&gt;","plainTextFormattedCitation":"5–7","previouslyFormattedCitation":"&lt;sup&gt;4–6&lt;/sup&gt;"},"properties":{"noteIndex":0},"schema":"https://github.com/citation-style-language/schema/raw/master/csl-citation.json"}</w:instrText>
      </w:r>
      <w:r>
        <w:rPr>
          <w:rFonts w:ascii="Times New Roman" w:hAnsi="Times New Roman" w:cs="Times New Roman"/>
          <w:sz w:val="22"/>
          <w:szCs w:val="22"/>
        </w:rPr>
        <w:fldChar w:fldCharType="separate"/>
      </w:r>
      <w:r w:rsidRPr="00D062BD">
        <w:rPr>
          <w:rFonts w:ascii="Times New Roman" w:hAnsi="Times New Roman" w:cs="Times New Roman"/>
          <w:noProof/>
          <w:sz w:val="22"/>
          <w:szCs w:val="22"/>
          <w:vertAlign w:val="superscript"/>
        </w:rPr>
        <w:t>5–7</w:t>
      </w:r>
      <w:r>
        <w:rPr>
          <w:rFonts w:ascii="Times New Roman" w:hAnsi="Times New Roman" w:cs="Times New Roman"/>
          <w:sz w:val="22"/>
          <w:szCs w:val="22"/>
        </w:rPr>
        <w:fldChar w:fldCharType="end"/>
      </w:r>
      <w:r>
        <w:rPr>
          <w:rFonts w:ascii="Times New Roman" w:hAnsi="Times New Roman" w:cs="Times New Roman"/>
          <w:sz w:val="22"/>
          <w:szCs w:val="22"/>
        </w:rPr>
        <w:t xml:space="preserve">. Adrenal insufficiency secondary to adrenal infarct has also </w:t>
      </w:r>
      <w:r>
        <w:rPr>
          <w:rFonts w:ascii="Times New Roman" w:hAnsi="Times New Roman" w:cs="Times New Roman"/>
          <w:sz w:val="22"/>
          <w:szCs w:val="22"/>
        </w:rPr>
        <w:lastRenderedPageBreak/>
        <w:t xml:space="preserve">been reported, although this </w:t>
      </w:r>
      <w:r w:rsidR="00E2084E">
        <w:rPr>
          <w:rFonts w:ascii="Times New Roman" w:hAnsi="Times New Roman" w:cs="Times New Roman"/>
          <w:sz w:val="22"/>
          <w:szCs w:val="22"/>
        </w:rPr>
        <w:t>predominantly</w:t>
      </w:r>
      <w:r>
        <w:rPr>
          <w:rFonts w:ascii="Times New Roman" w:hAnsi="Times New Roman" w:cs="Times New Roman"/>
          <w:sz w:val="22"/>
          <w:szCs w:val="22"/>
        </w:rPr>
        <w:t xml:space="preserve"> occurred in patients with underlying </w:t>
      </w:r>
      <w:proofErr w:type="spellStart"/>
      <w:r>
        <w:rPr>
          <w:rFonts w:ascii="Times New Roman" w:hAnsi="Times New Roman" w:cs="Times New Roman"/>
          <w:sz w:val="22"/>
          <w:szCs w:val="22"/>
        </w:rPr>
        <w:t>antiphospholipid</w:t>
      </w:r>
      <w:proofErr w:type="spellEnd"/>
      <w:r>
        <w:rPr>
          <w:rFonts w:ascii="Times New Roman" w:hAnsi="Times New Roman" w:cs="Times New Roman"/>
          <w:sz w:val="22"/>
          <w:szCs w:val="22"/>
        </w:rPr>
        <w:t xml:space="preserve"> syndrome, predisposing patients to thrombotic events </w:t>
      </w:r>
      <w:r>
        <w:rPr>
          <w:rFonts w:ascii="Times New Roman" w:hAnsi="Times New Roman" w:cs="Times New Roman"/>
          <w:sz w:val="22"/>
          <w:szCs w:val="22"/>
        </w:rPr>
        <w:fldChar w:fldCharType="begin" w:fldLock="1"/>
      </w:r>
      <w:r>
        <w:rPr>
          <w:rFonts w:ascii="Times New Roman" w:hAnsi="Times New Roman" w:cs="Times New Roman"/>
          <w:sz w:val="22"/>
          <w:szCs w:val="22"/>
        </w:rPr>
        <w:instrText>ADDIN CSL_CITATION {"citationItems":[{"id":"ITEM-1","itemData":{"DOI":"10.1259/bjrcr.20200075","ISSN":"2055-7159","abstract":"This case report highlights an unusual presentation of acute adrenal infarction in a Covid-19 patient who presented with abdominal symptoms and hyponatraemia. We discuss the recent literature reviewing how Covid-19 creates a hypercoaguable state, with acute adrenal infarction as a possible prothrombotic complication.","author":[{"dropping-particle":"","family":"Kumar","given":"Raekha","non-dropping-particle":"","parse-names":false,"suffix":""},{"dropping-particle":"","family":"Guruparan","given":"Thushyanthan","non-dropping-particle":"","parse-names":false,"suffix":""},{"dropping-particle":"","family":"Siddiqi","given":"Safa","non-dropping-particle":"","parse-names":false,"suffix":""},{"dropping-particle":"","family":"Sheth","given":"Roosey","non-dropping-particle":"","parse-names":false,"suffix":""},{"dropping-particle":"","family":"Jacyna","given":"Meron","non-dropping-particle":"","parse-names":false,"suffix":""},{"dropping-particle":"","family":"Naghibi","given":"Mani","non-dropping-particle":"","parse-names":false,"suffix":""},{"dropping-particle":"","family":"Vrentzou","given":"Eirini","non-dropping-particle":"","parse-names":false,"suffix":""}],"container-title":"BJR|case reports","id":"ITEM-1","issue":"3","issued":{"date-parts":[["2020"]]},"page":"20200075","title":"A case of adrenal infarction in a patient with COVID 19 infection","type":"article-journal","volume":"6"},"uris":["http://www.mendeley.com/documents/?uuid=21b4df05-988e-4e09-bde1-dc868d4431e7"]},{"id":"ITEM-2","itemData":{"DOI":"10.1210/clinem/dgab557","ISSN":"0021-972X","PMID":"34324679","abstract":"Context: Coronavirus disease 2019 (COVID-19) is a proinflammatory and prothrombotic condition, but its impact on adrenal function has not been adequately evaluated. Case report: A 46-year-old woman presented with abdominal pain, hypotension, and skin hyperpigmentation after COVID-19 infection. The patient had hyponatremia, serum cortisol &lt;1.0 μg/dL, adrenocorticotropin (ACTH) of 807 pg/mL, and aldosterone &lt;3 ng/dL. Computed tomography (CT) findings of adrenal enlargement with no parenchymal and minimal peripheral capsular enhancement after contrast were consistent with bilateral adrenal infarction. The patient had autoimmune hepatitis and positive antiphospholipid antibodies, but no previous thrombotic events. The patient was treated with intravenous hydrocortisone, followed by oral hydrocortisone and fludrocortisone. Discussion: We identified 9 articles, including case reports, of new-onset adrenal insufficiency and/or adrenal hemorrhage/infarction on CT in COVID-19. Adrenal insufficiency was hormonally diagnosed in 5 cases, but ACTH levels were measured in only 3 cases (high in 1 case and normal/low in other 2 cases). Bilateral adrenal nonhemorrhagic or hemorrhagic infarction was identified in 5 reports (2 had adrenal insufficiency, 2 had normal cortisol levels, and 1 case had no data). Interestingly, the only case with well-characterized new-onset acute primary adrenal insufficiency after COVID-19 had a previous diagnosis of antiphospholipid syndrome. In our case, antiphospholipid syndrome diagnosis was established only after the adrenal infarction triggered by COVID-19. Conclusion: Our findings support the association between bilateral adrenal infarction and antiphospholipid syndrome triggered by COVID-19. Therefore, patients with positive antiphospholipid antibodies should be closely monitored for symptoms or signs of acute adrenal insufficiency during COVID-19.","author":[{"dropping-particle":"","family":"Machado","given":"Iza F R","non-dropping-particle":"","parse-names":false,"suffix":""},{"dropping-particle":"","family":"Menezes","given":"Isabel Q","non-dropping-particle":"","parse-names":false,"suffix":""},{"dropping-particle":"","family":"Figueiredo","given":"Sabrina R","non-dropping-particle":"","parse-names":false,"suffix":""},{"dropping-particle":"","family":"Coelho","given":"Fernando M A","non-dropping-particle":"","parse-names":false,"suffix":""},{"dropping-particle":"","family":"Terrabuio","given":"Debora R B","non-dropping-particle":"","parse-names":false,"suffix":""},{"dropping-particle":"V","family":"Ramos","given":"Davi","non-dropping-particle":"","parse-names":false,"suffix":""},{"dropping-particle":"","family":"Fagundes","given":"Gustavo F C","non-dropping-particle":"","parse-names":false,"suffix":""},{"dropping-particle":"","family":"Maciel","given":"Ana Alice W","non-dropping-particle":"","parse-names":false,"suffix":""},{"dropping-particle":"","family":"Claudia Latronico","given":"Ana","non-dropping-particle":"","parse-names":false,"suffix":""},{"dropping-particle":"V","family":"Fragoso","given":"Maria Candida B","non-dropping-particle":"","parse-names":false,"suffix":""},{"dropping-particle":"","family":"Cancado","given":"Eduardo L R","non-dropping-particle":"","parse-names":false,"suffix":""},{"dropping-particle":"","family":"Mendonca","given":"Berenice B","non-dropping-particle":"","parse-names":false,"suffix":""},{"dropping-particle":"","family":"Almeida","given":"Madson Q","non-dropping-particle":"","parse-names":false,"suffix":""}],"container-title":"The Journal of Clinical Endocrinology &amp; Metabolism","id":"ITEM-2","issue":"1","issued":{"date-parts":[["2022"]]},"page":"e394-e400","title":"Primary Adrenal Insufficiency Due to Bilateral Adrenal Infarction in COVID-19","type":"article-journal","volume":"107"},"uris":["http://www.mendeley.com/documents/?uuid=dc0aadc0-4009-4700-abc8-41cd285cf1ef"]}],"mendeley":{"formattedCitation":"&lt;sup&gt;8,9&lt;/sup&gt;","plainTextFormattedCitation":"8,9","previouslyFormattedCitation":"&lt;sup&gt;7,8&lt;/sup&gt;"},"properties":{"noteIndex":0},"schema":"https://github.com/citation-style-language/schema/raw/master/csl-citation.json"}</w:instrText>
      </w:r>
      <w:r>
        <w:rPr>
          <w:rFonts w:ascii="Times New Roman" w:hAnsi="Times New Roman" w:cs="Times New Roman"/>
          <w:sz w:val="22"/>
          <w:szCs w:val="22"/>
        </w:rPr>
        <w:fldChar w:fldCharType="separate"/>
      </w:r>
      <w:r w:rsidRPr="00D062BD">
        <w:rPr>
          <w:rFonts w:ascii="Times New Roman" w:hAnsi="Times New Roman" w:cs="Times New Roman"/>
          <w:noProof/>
          <w:sz w:val="22"/>
          <w:szCs w:val="22"/>
          <w:vertAlign w:val="superscript"/>
        </w:rPr>
        <w:t>8,9</w:t>
      </w:r>
      <w:r>
        <w:rPr>
          <w:rFonts w:ascii="Times New Roman" w:hAnsi="Times New Roman" w:cs="Times New Roman"/>
          <w:sz w:val="22"/>
          <w:szCs w:val="22"/>
        </w:rPr>
        <w:fldChar w:fldCharType="end"/>
      </w:r>
      <w:r>
        <w:rPr>
          <w:rFonts w:ascii="Times New Roman" w:hAnsi="Times New Roman" w:cs="Times New Roman"/>
          <w:sz w:val="22"/>
          <w:szCs w:val="22"/>
        </w:rPr>
        <w:t>.</w:t>
      </w:r>
    </w:p>
    <w:p w14:paraId="50B7C99F" w14:textId="77777777" w:rsidR="00D062BD" w:rsidRDefault="00D062BD" w:rsidP="009E7120">
      <w:pPr>
        <w:spacing w:line="480" w:lineRule="auto"/>
        <w:jc w:val="both"/>
        <w:rPr>
          <w:rFonts w:ascii="Times New Roman" w:hAnsi="Times New Roman" w:cs="Times New Roman"/>
          <w:sz w:val="22"/>
          <w:szCs w:val="22"/>
        </w:rPr>
      </w:pPr>
    </w:p>
    <w:p w14:paraId="4E325991" w14:textId="775272A5" w:rsidR="00D062BD" w:rsidRDefault="00D062BD" w:rsidP="009E7120">
      <w:pPr>
        <w:spacing w:line="480" w:lineRule="auto"/>
        <w:jc w:val="both"/>
        <w:rPr>
          <w:rFonts w:ascii="Times New Roman" w:hAnsi="Times New Roman" w:cs="Times New Roman"/>
          <w:sz w:val="22"/>
          <w:szCs w:val="22"/>
        </w:rPr>
      </w:pPr>
      <w:r>
        <w:rPr>
          <w:rFonts w:ascii="Times New Roman" w:hAnsi="Times New Roman" w:cs="Times New Roman"/>
          <w:sz w:val="22"/>
          <w:szCs w:val="22"/>
        </w:rPr>
        <w:t>However</w:t>
      </w:r>
      <w:r w:rsidRPr="009E7120">
        <w:rPr>
          <w:rFonts w:ascii="Times New Roman" w:hAnsi="Times New Roman" w:cs="Times New Roman"/>
          <w:sz w:val="22"/>
          <w:szCs w:val="22"/>
        </w:rPr>
        <w:t xml:space="preserve">, as the authors suggest, </w:t>
      </w:r>
      <w:r>
        <w:rPr>
          <w:rFonts w:ascii="Times New Roman" w:hAnsi="Times New Roman" w:cs="Times New Roman"/>
          <w:sz w:val="22"/>
          <w:szCs w:val="22"/>
        </w:rPr>
        <w:t xml:space="preserve">although these findings confirm </w:t>
      </w:r>
      <w:proofErr w:type="spellStart"/>
      <w:r>
        <w:rPr>
          <w:rFonts w:ascii="Times New Roman" w:hAnsi="Times New Roman" w:cs="Times New Roman"/>
          <w:sz w:val="22"/>
          <w:szCs w:val="22"/>
        </w:rPr>
        <w:t>histopathological</w:t>
      </w:r>
      <w:proofErr w:type="spellEnd"/>
      <w:r>
        <w:rPr>
          <w:rFonts w:ascii="Times New Roman" w:hAnsi="Times New Roman" w:cs="Times New Roman"/>
          <w:sz w:val="22"/>
          <w:szCs w:val="22"/>
        </w:rPr>
        <w:t xml:space="preserve"> evidence of the presence of the SARS-CoV-2 virus within the adrenal cortex in patients who died of COVID-19, the question remains regarding </w:t>
      </w:r>
      <w:r w:rsidRPr="009E7120">
        <w:rPr>
          <w:rFonts w:ascii="Times New Roman" w:hAnsi="Times New Roman" w:cs="Times New Roman"/>
          <w:sz w:val="22"/>
          <w:szCs w:val="22"/>
        </w:rPr>
        <w:t>whether or not adrenocortical dysfunction contributes to the symptoms of Long COVID</w:t>
      </w:r>
      <w:r>
        <w:rPr>
          <w:rFonts w:ascii="Times New Roman" w:hAnsi="Times New Roman" w:cs="Times New Roman"/>
          <w:sz w:val="22"/>
          <w:szCs w:val="22"/>
        </w:rPr>
        <w:t xml:space="preserve"> in patients who survive the disease. </w:t>
      </w:r>
    </w:p>
    <w:p w14:paraId="2E2FB57E" w14:textId="77777777" w:rsidR="00D062BD" w:rsidRPr="009E7120" w:rsidRDefault="00D062BD" w:rsidP="009E7120">
      <w:pPr>
        <w:spacing w:line="480" w:lineRule="auto"/>
        <w:jc w:val="both"/>
        <w:rPr>
          <w:rFonts w:ascii="Times New Roman" w:hAnsi="Times New Roman" w:cs="Times New Roman"/>
          <w:sz w:val="22"/>
          <w:szCs w:val="22"/>
        </w:rPr>
      </w:pPr>
    </w:p>
    <w:p w14:paraId="4124F9B1" w14:textId="4F1C9F78" w:rsidR="005C1444" w:rsidRDefault="007A0F61" w:rsidP="009E7120">
      <w:pPr>
        <w:spacing w:line="480" w:lineRule="auto"/>
        <w:jc w:val="both"/>
        <w:rPr>
          <w:rFonts w:ascii="Times New Roman" w:hAnsi="Times New Roman" w:cs="Times New Roman"/>
          <w:sz w:val="22"/>
          <w:szCs w:val="22"/>
        </w:rPr>
      </w:pPr>
      <w:r w:rsidRPr="009E7120">
        <w:rPr>
          <w:rFonts w:ascii="Times New Roman" w:hAnsi="Times New Roman" w:cs="Times New Roman"/>
          <w:sz w:val="22"/>
          <w:szCs w:val="22"/>
        </w:rPr>
        <w:t>W</w:t>
      </w:r>
      <w:r w:rsidR="00570855" w:rsidRPr="009E7120">
        <w:rPr>
          <w:rFonts w:ascii="Times New Roman" w:hAnsi="Times New Roman" w:cs="Times New Roman"/>
          <w:sz w:val="22"/>
          <w:szCs w:val="22"/>
        </w:rPr>
        <w:t>e have recently published data from 70 survivors of COVID-19, whereby adrenal function was comprehensively assessed</w:t>
      </w:r>
      <w:r w:rsidR="007D6A77" w:rsidRPr="009E7120">
        <w:rPr>
          <w:rFonts w:ascii="Times New Roman" w:hAnsi="Times New Roman" w:cs="Times New Roman"/>
          <w:sz w:val="22"/>
          <w:szCs w:val="22"/>
        </w:rPr>
        <w:t xml:space="preserve"> </w:t>
      </w:r>
      <w:r w:rsidR="00570855" w:rsidRPr="009E7120">
        <w:rPr>
          <w:rFonts w:ascii="Times New Roman" w:hAnsi="Times New Roman" w:cs="Times New Roman"/>
          <w:sz w:val="22"/>
          <w:szCs w:val="22"/>
        </w:rPr>
        <w:t>using the gold-standard ‘Short Synacthen test’</w:t>
      </w:r>
      <w:r w:rsidR="002F3A8E" w:rsidRPr="009E7120">
        <w:rPr>
          <w:rFonts w:ascii="Times New Roman" w:hAnsi="Times New Roman" w:cs="Times New Roman"/>
          <w:sz w:val="22"/>
          <w:szCs w:val="22"/>
        </w:rPr>
        <w:t xml:space="preserve"> </w:t>
      </w:r>
      <w:r w:rsidR="002F3A8E" w:rsidRPr="009E7120">
        <w:rPr>
          <w:rFonts w:ascii="Times New Roman" w:hAnsi="Times New Roman" w:cs="Times New Roman"/>
          <w:sz w:val="22"/>
          <w:szCs w:val="22"/>
        </w:rPr>
        <w:fldChar w:fldCharType="begin" w:fldLock="1"/>
      </w:r>
      <w:r w:rsidR="00296FD8">
        <w:rPr>
          <w:rFonts w:ascii="Times New Roman" w:hAnsi="Times New Roman" w:cs="Times New Roman"/>
          <w:sz w:val="22"/>
          <w:szCs w:val="22"/>
        </w:rPr>
        <w:instrText>ADDIN CSL_CITATION {"citationItems":[{"id":"ITEM-1","itemData":{"DOI":"10.1210/clinem/dgab349","author":[{"dropping-particle":"","family":"Clarke","given":"Sophie A","non-dropping-particle":"","parse-names":false,"suffix":""},{"dropping-particle":"","family":"Phylactou","given":"Maria","non-dropping-particle":"","parse-names":false,"suffix":""},{"dropping-particle":"","family":"Patel","given":"Bijal","non-dropping-particle":"","parse-names":false,"suffix":""},{"dropping-particle":"","family":"Mills","given":"Edouard G.","non-dropping-particle":"","parse-names":false,"suffix":""},{"dropping-particle":"","family":"Muzi","given":"Beatrice","non-dropping-particle":"","parse-names":false,"suffix":""},{"dropping-particle":"","family":"Izzi-Engbeaya","given":"Chioma","non-dropping-particle":"","parse-names":false,"suffix":""},{"dropping-particle":"","family":"Choudhury","given":"Sirazum","non-dropping-particle":"","parse-names":false,"suffix":""},{"dropping-particle":"","family":"Khoo","given":"Bernard","non-dropping-particle":"","parse-names":false,"suffix":""},{"dropping-particle":"","family":"Meeran","given":"Karim","non-dropping-particle":"","parse-names":false,"suffix":""},{"dropping-particle":"","family":"Comninos","given":"Alexander N.","non-dropping-particle":"","parse-names":false,"suffix":""},{"dropping-particle":"","family":"Abbara","given":"Ali","non-dropping-particle":"","parse-names":false,"suffix":""},{"dropping-particle":"","family":"Tan","given":"Tricia","non-dropping-particle":"","parse-names":false,"suffix":""},{"dropping-particle":"","family":"Dhillo","given":"Waljit S.","non-dropping-particle":"","parse-names":false,"suffix":""}],"container-title":"JCEM","id":"ITEM-1","issued":{"date-parts":[["2021"]]},"title":"Normal adrenal and thyroid function in patients who survive COVID-19 infection","type":"article-journal"},"uris":["http://www.mendeley.com/documents/?uuid=635f11a2-ff86-4d76-9af9-df6e877dee24"]}],"mendeley":{"formattedCitation":"&lt;sup&gt;10&lt;/sup&gt;","plainTextFormattedCitation":"10","previouslyFormattedCitation":"&lt;sup&gt;10&lt;/sup&gt;"},"properties":{"noteIndex":0},"schema":"https://github.com/citation-style-language/schema/raw/master/csl-citation.json"}</w:instrText>
      </w:r>
      <w:r w:rsidR="002F3A8E" w:rsidRPr="009E7120">
        <w:rPr>
          <w:rFonts w:ascii="Times New Roman" w:hAnsi="Times New Roman" w:cs="Times New Roman"/>
          <w:sz w:val="22"/>
          <w:szCs w:val="22"/>
        </w:rPr>
        <w:fldChar w:fldCharType="separate"/>
      </w:r>
      <w:r w:rsidR="00296FD8" w:rsidRPr="00296FD8">
        <w:rPr>
          <w:rFonts w:ascii="Times New Roman" w:hAnsi="Times New Roman" w:cs="Times New Roman"/>
          <w:noProof/>
          <w:sz w:val="22"/>
          <w:szCs w:val="22"/>
          <w:vertAlign w:val="superscript"/>
        </w:rPr>
        <w:t>10</w:t>
      </w:r>
      <w:r w:rsidR="002F3A8E" w:rsidRPr="009E7120">
        <w:rPr>
          <w:rFonts w:ascii="Times New Roman" w:hAnsi="Times New Roman" w:cs="Times New Roman"/>
          <w:sz w:val="22"/>
          <w:szCs w:val="22"/>
        </w:rPr>
        <w:fldChar w:fldCharType="end"/>
      </w:r>
      <w:r w:rsidR="00570855" w:rsidRPr="009E7120">
        <w:rPr>
          <w:rFonts w:ascii="Times New Roman" w:hAnsi="Times New Roman" w:cs="Times New Roman"/>
          <w:sz w:val="22"/>
          <w:szCs w:val="22"/>
        </w:rPr>
        <w:t xml:space="preserve">. </w:t>
      </w:r>
      <w:r w:rsidR="00F27428" w:rsidRPr="009E7120">
        <w:rPr>
          <w:rFonts w:ascii="Times New Roman" w:hAnsi="Times New Roman" w:cs="Times New Roman"/>
          <w:sz w:val="22"/>
          <w:szCs w:val="22"/>
        </w:rPr>
        <w:t xml:space="preserve">Briefly, patients </w:t>
      </w:r>
      <w:r w:rsidR="002224B1" w:rsidRPr="009E7120">
        <w:rPr>
          <w:rFonts w:ascii="Times New Roman" w:hAnsi="Times New Roman" w:cs="Times New Roman"/>
          <w:sz w:val="22"/>
          <w:szCs w:val="22"/>
        </w:rPr>
        <w:t xml:space="preserve">aged ≥18yrs with a diagnosis of COVID-19, confirmed using either real-time RT-PCR testing of nasopharyngeal swab, confirmatory imaging (chest radiograph or computed tomography scan) or positive serum SARS-CoV-2 IgG antibody test taken after symptom onset were eligible for inclusion. </w:t>
      </w:r>
      <w:r w:rsidR="002224B1" w:rsidRPr="009E7120">
        <w:rPr>
          <w:rFonts w:ascii="Times New Roman" w:eastAsia="Times New Roman" w:hAnsi="Times New Roman" w:cs="Times New Roman"/>
          <w:color w:val="2A2A2A"/>
          <w:sz w:val="22"/>
          <w:szCs w:val="22"/>
          <w:shd w:val="clear" w:color="auto" w:fill="FFFFFF"/>
        </w:rPr>
        <w:t xml:space="preserve">Participants were invited to attend for </w:t>
      </w:r>
      <w:r w:rsidR="005C1444" w:rsidRPr="009E7120">
        <w:rPr>
          <w:rFonts w:ascii="Times New Roman" w:eastAsia="Times New Roman" w:hAnsi="Times New Roman" w:cs="Times New Roman"/>
          <w:color w:val="2A2A2A"/>
          <w:sz w:val="22"/>
          <w:szCs w:val="22"/>
          <w:shd w:val="clear" w:color="auto" w:fill="FFFFFF"/>
        </w:rPr>
        <w:t>a research study visit</w:t>
      </w:r>
      <w:r w:rsidR="002224B1" w:rsidRPr="009E7120">
        <w:rPr>
          <w:rFonts w:ascii="Times New Roman" w:eastAsia="Times New Roman" w:hAnsi="Times New Roman" w:cs="Times New Roman"/>
          <w:color w:val="2A2A2A"/>
          <w:sz w:val="22"/>
          <w:szCs w:val="22"/>
          <w:shd w:val="clear" w:color="auto" w:fill="FFFFFF"/>
        </w:rPr>
        <w:t xml:space="preserve"> at </w:t>
      </w:r>
      <w:r w:rsidR="002224B1" w:rsidRPr="009E7120">
        <w:rPr>
          <w:rFonts w:ascii="Times New Roman" w:eastAsia="MS Gothic" w:hAnsi="Times New Roman" w:cs="Times New Roman"/>
          <w:color w:val="2A2A2A"/>
          <w:sz w:val="22"/>
          <w:szCs w:val="22"/>
          <w:shd w:val="clear" w:color="auto" w:fill="FFFFFF"/>
        </w:rPr>
        <w:t>≥</w:t>
      </w:r>
      <w:r w:rsidR="002224B1" w:rsidRPr="009E7120">
        <w:rPr>
          <w:rFonts w:ascii="Times New Roman" w:eastAsia="Times New Roman" w:hAnsi="Times New Roman" w:cs="Times New Roman"/>
          <w:color w:val="2A2A2A"/>
          <w:sz w:val="22"/>
          <w:szCs w:val="22"/>
          <w:shd w:val="clear" w:color="auto" w:fill="FFFFFF"/>
        </w:rPr>
        <w:t>3 months following initial presentation</w:t>
      </w:r>
      <w:r w:rsidR="005C1444" w:rsidRPr="009E7120">
        <w:rPr>
          <w:rFonts w:ascii="Times New Roman" w:hAnsi="Times New Roman" w:cs="Times New Roman"/>
          <w:sz w:val="22"/>
          <w:szCs w:val="22"/>
        </w:rPr>
        <w:t xml:space="preserve"> and underwent clinical </w:t>
      </w:r>
      <w:r w:rsidR="007A0185" w:rsidRPr="009E7120">
        <w:rPr>
          <w:rFonts w:ascii="Times New Roman" w:hAnsi="Times New Roman" w:cs="Times New Roman"/>
          <w:sz w:val="22"/>
          <w:szCs w:val="22"/>
        </w:rPr>
        <w:t>assessment</w:t>
      </w:r>
      <w:r w:rsidR="00055B27" w:rsidRPr="009E7120">
        <w:rPr>
          <w:rFonts w:ascii="Times New Roman" w:hAnsi="Times New Roman" w:cs="Times New Roman"/>
          <w:sz w:val="22"/>
          <w:szCs w:val="22"/>
        </w:rPr>
        <w:t>, including screening for persistent symptoms and a physical examination</w:t>
      </w:r>
      <w:r w:rsidR="007A0185" w:rsidRPr="009E7120">
        <w:rPr>
          <w:rFonts w:ascii="Times New Roman" w:hAnsi="Times New Roman" w:cs="Times New Roman"/>
          <w:sz w:val="22"/>
          <w:szCs w:val="22"/>
        </w:rPr>
        <w:t>. A cannula was subsequently inserted, and</w:t>
      </w:r>
      <w:r w:rsidR="005C1444" w:rsidRPr="009E7120">
        <w:rPr>
          <w:rFonts w:ascii="Times New Roman" w:hAnsi="Times New Roman" w:cs="Times New Roman"/>
          <w:sz w:val="22"/>
          <w:szCs w:val="22"/>
        </w:rPr>
        <w:t xml:space="preserve"> serum </w:t>
      </w:r>
      <w:r w:rsidR="007A0185" w:rsidRPr="009E7120">
        <w:rPr>
          <w:rFonts w:ascii="Times New Roman" w:hAnsi="Times New Roman" w:cs="Times New Roman"/>
          <w:sz w:val="22"/>
          <w:szCs w:val="22"/>
        </w:rPr>
        <w:t xml:space="preserve">samples were </w:t>
      </w:r>
      <w:r w:rsidR="005C1444" w:rsidRPr="009E7120">
        <w:rPr>
          <w:rFonts w:ascii="Times New Roman" w:hAnsi="Times New Roman" w:cs="Times New Roman"/>
          <w:sz w:val="22"/>
          <w:szCs w:val="22"/>
        </w:rPr>
        <w:t xml:space="preserve">taken </w:t>
      </w:r>
      <w:r w:rsidR="00D35846" w:rsidRPr="009E7120">
        <w:rPr>
          <w:rFonts w:ascii="Times New Roman" w:hAnsi="Times New Roman" w:cs="Times New Roman"/>
          <w:sz w:val="22"/>
          <w:szCs w:val="22"/>
        </w:rPr>
        <w:t>including for</w:t>
      </w:r>
      <w:r w:rsidR="005C1444" w:rsidRPr="009E7120">
        <w:rPr>
          <w:rFonts w:ascii="Times New Roman" w:hAnsi="Times New Roman" w:cs="Times New Roman"/>
          <w:sz w:val="22"/>
          <w:szCs w:val="22"/>
        </w:rPr>
        <w:t xml:space="preserve"> cortisol, renin, aldosterone and </w:t>
      </w:r>
      <w:proofErr w:type="spellStart"/>
      <w:r w:rsidR="005C1444" w:rsidRPr="009E7120">
        <w:rPr>
          <w:rFonts w:ascii="Times New Roman" w:hAnsi="Times New Roman" w:cs="Times New Roman"/>
          <w:sz w:val="22"/>
          <w:szCs w:val="22"/>
        </w:rPr>
        <w:t>dihydroepiandrosterone</w:t>
      </w:r>
      <w:proofErr w:type="spellEnd"/>
      <w:r w:rsidR="005C1444" w:rsidRPr="009E7120">
        <w:rPr>
          <w:rFonts w:ascii="Times New Roman" w:hAnsi="Times New Roman" w:cs="Times New Roman"/>
          <w:sz w:val="22"/>
          <w:szCs w:val="22"/>
        </w:rPr>
        <w:t xml:space="preserve"> </w:t>
      </w:r>
      <w:r w:rsidR="00594197" w:rsidRPr="009E7120">
        <w:rPr>
          <w:rFonts w:ascii="Times New Roman" w:hAnsi="Times New Roman" w:cs="Times New Roman"/>
          <w:sz w:val="22"/>
          <w:szCs w:val="22"/>
        </w:rPr>
        <w:t>(DHEAS). Following this, 250μg t</w:t>
      </w:r>
      <w:r w:rsidR="005C1444" w:rsidRPr="009E7120">
        <w:rPr>
          <w:rFonts w:ascii="Times New Roman" w:hAnsi="Times New Roman" w:cs="Times New Roman"/>
          <w:sz w:val="22"/>
          <w:szCs w:val="22"/>
        </w:rPr>
        <w:t>etracosactide (Syna</w:t>
      </w:r>
      <w:r w:rsidR="00594197" w:rsidRPr="009E7120">
        <w:rPr>
          <w:rFonts w:ascii="Times New Roman" w:hAnsi="Times New Roman" w:cs="Times New Roman"/>
          <w:sz w:val="22"/>
          <w:szCs w:val="22"/>
        </w:rPr>
        <w:t>c</w:t>
      </w:r>
      <w:r w:rsidR="005C1444" w:rsidRPr="009E7120">
        <w:rPr>
          <w:rFonts w:ascii="Times New Roman" w:hAnsi="Times New Roman" w:cs="Times New Roman"/>
          <w:sz w:val="22"/>
          <w:szCs w:val="22"/>
        </w:rPr>
        <w:t>then) was administered</w:t>
      </w:r>
      <w:r w:rsidR="00773FEB">
        <w:rPr>
          <w:rFonts w:ascii="Times New Roman" w:hAnsi="Times New Roman" w:cs="Times New Roman"/>
          <w:sz w:val="22"/>
          <w:szCs w:val="22"/>
        </w:rPr>
        <w:t xml:space="preserve"> intravenously</w:t>
      </w:r>
      <w:r w:rsidR="005C1444" w:rsidRPr="009E7120">
        <w:rPr>
          <w:rFonts w:ascii="Times New Roman" w:hAnsi="Times New Roman" w:cs="Times New Roman"/>
          <w:sz w:val="22"/>
          <w:szCs w:val="22"/>
        </w:rPr>
        <w:t>, and further s</w:t>
      </w:r>
      <w:r w:rsidR="00D35846" w:rsidRPr="009E7120">
        <w:rPr>
          <w:rFonts w:ascii="Times New Roman" w:hAnsi="Times New Roman" w:cs="Times New Roman"/>
          <w:sz w:val="22"/>
          <w:szCs w:val="22"/>
        </w:rPr>
        <w:t>erum s</w:t>
      </w:r>
      <w:r w:rsidR="005C1444" w:rsidRPr="009E7120">
        <w:rPr>
          <w:rFonts w:ascii="Times New Roman" w:hAnsi="Times New Roman" w:cs="Times New Roman"/>
          <w:sz w:val="22"/>
          <w:szCs w:val="22"/>
        </w:rPr>
        <w:t xml:space="preserve">amples were </w:t>
      </w:r>
      <w:r w:rsidR="00D35846" w:rsidRPr="009E7120">
        <w:rPr>
          <w:rFonts w:ascii="Times New Roman" w:hAnsi="Times New Roman" w:cs="Times New Roman"/>
          <w:sz w:val="22"/>
          <w:szCs w:val="22"/>
        </w:rPr>
        <w:t>taken at 30 and 60 minutes for measurement of c</w:t>
      </w:r>
      <w:r w:rsidR="005C1444" w:rsidRPr="009E7120">
        <w:rPr>
          <w:rFonts w:ascii="Times New Roman" w:hAnsi="Times New Roman" w:cs="Times New Roman"/>
          <w:sz w:val="22"/>
          <w:szCs w:val="22"/>
        </w:rPr>
        <w:t>ortisol.</w:t>
      </w:r>
      <w:r w:rsidR="00773FEB">
        <w:rPr>
          <w:rFonts w:ascii="Times New Roman" w:hAnsi="Times New Roman" w:cs="Times New Roman"/>
          <w:sz w:val="22"/>
          <w:szCs w:val="22"/>
        </w:rPr>
        <w:t xml:space="preserve"> </w:t>
      </w:r>
    </w:p>
    <w:p w14:paraId="225A1643" w14:textId="0B7963DB" w:rsidR="00773FEB" w:rsidRPr="009E7120" w:rsidRDefault="00773FEB" w:rsidP="009E7120">
      <w:pPr>
        <w:spacing w:line="480" w:lineRule="auto"/>
        <w:jc w:val="both"/>
        <w:rPr>
          <w:rFonts w:ascii="Times New Roman" w:hAnsi="Times New Roman" w:cs="Times New Roman"/>
          <w:sz w:val="22"/>
          <w:szCs w:val="22"/>
        </w:rPr>
      </w:pPr>
      <w:r>
        <w:rPr>
          <w:rFonts w:ascii="Merriweather" w:eastAsia="Times New Roman" w:hAnsi="Merriweather" w:cs="Times New Roman"/>
          <w:color w:val="2A2A2A"/>
          <w:sz w:val="23"/>
          <w:szCs w:val="23"/>
          <w:shd w:val="clear" w:color="auto" w:fill="FFFFFF"/>
        </w:rPr>
        <w:t xml:space="preserve">Adequate response to Synacthen was determined by </w:t>
      </w:r>
      <w:r w:rsidR="006A7838">
        <w:rPr>
          <w:rFonts w:ascii="Merriweather" w:eastAsia="Times New Roman" w:hAnsi="Merriweather" w:cs="Times New Roman"/>
          <w:color w:val="2A2A2A"/>
          <w:sz w:val="23"/>
          <w:szCs w:val="23"/>
          <w:shd w:val="clear" w:color="auto" w:fill="FFFFFF"/>
        </w:rPr>
        <w:t>either reaching</w:t>
      </w:r>
      <w:r w:rsidRPr="00250D9E">
        <w:rPr>
          <w:rFonts w:ascii="Merriweather" w:eastAsia="Times New Roman" w:hAnsi="Merriweather" w:cs="Times New Roman"/>
          <w:color w:val="2A2A2A"/>
          <w:sz w:val="23"/>
          <w:szCs w:val="23"/>
          <w:shd w:val="clear" w:color="auto" w:fill="FFFFFF"/>
        </w:rPr>
        <w:t xml:space="preserve"> a peak cortisol value of ≥ 450 nmol/L and increment by ≥150 nmol/L from baseline, either at 30 or 60 minutes after Synacthen</w:t>
      </w:r>
      <w:r w:rsidR="006A7838">
        <w:rPr>
          <w:rFonts w:ascii="Merriweather" w:eastAsia="Times New Roman" w:hAnsi="Merriweather" w:cs="Times New Roman"/>
          <w:color w:val="2A2A2A"/>
          <w:sz w:val="23"/>
          <w:szCs w:val="23"/>
          <w:shd w:val="clear" w:color="auto" w:fill="FFFFFF"/>
        </w:rPr>
        <w:t xml:space="preserve"> </w:t>
      </w:r>
      <w:r w:rsidR="006A7838">
        <w:rPr>
          <w:rFonts w:ascii="Merriweather" w:eastAsia="Times New Roman" w:hAnsi="Merriweather" w:cs="Times New Roman"/>
          <w:color w:val="2A2A2A"/>
          <w:sz w:val="23"/>
          <w:szCs w:val="23"/>
          <w:shd w:val="clear" w:color="auto" w:fill="FFFFFF"/>
        </w:rPr>
        <w:fldChar w:fldCharType="begin" w:fldLock="1"/>
      </w:r>
      <w:r w:rsidR="00296FD8">
        <w:rPr>
          <w:rFonts w:ascii="Merriweather" w:eastAsia="Times New Roman" w:hAnsi="Merriweather" w:cs="Times New Roman"/>
          <w:color w:val="2A2A2A"/>
          <w:sz w:val="23"/>
          <w:szCs w:val="23"/>
          <w:shd w:val="clear" w:color="auto" w:fill="FFFFFF"/>
        </w:rPr>
        <w:instrText>ADDIN CSL_CITATION {"citationItems":[{"id":"ITEM-1","itemData":{"DOI":"10.1210/jc.2015-1710","ISSN":"19457197","PMID":"26760044","abstract":"Objective: This clinical practice guideline addresses the diagnosis and treatment of primary adrenal insufficiency. Participants: The Task Force included a chair, selected by The Clinical Guidelines Subcommittee of the Endocrine Society, eight additional clinicians experienced with the disease, a methodologist, and a medical writer. The co-sponsoring associations (European Society of Endocrinology and the American Association for Clinical Chemistry) had participating members. The Task Force received no corporate funDing or remuneration in connection with this review. Evidence: This evidence-based guideline was developed using the GraDing of Recommendations, Assessment, Development, and Evaluation (GRADE) system to determine the strength of recommendations and the quality of evidence. Consensus Process: The evidence used to formulate recommendations was derived from two commissioned systematic reviews as well as other published systematic reviews and studies identified by the Task Force. The guideline was reviewed and approved sequentially by the Endocrine Society's Clinical Guidelines Subcommittee and Clinical Affairs Core Committee, members responDing to awebposting, and the Endocrine Society Council. At each stage, the Task Force incorporated changes in response to written comments. Conclusions: We recommend diagnostic tests for the exclusion of primary adrenal insufficiency in all patients with indicative clinical symptoms or signs. In particular, we suggest a low diagnostic (and therapeutic) threshold in acutely ill patients, as well as in patients with predisposing factors. This is also recommended for pregnant women with unexplained persistent nausea, fatigue, and hypotension. We recommend a short corticotropin test (250g) as the \"gold standard\" diagnostic tool to establish the diagnosis. If a short corticotropin test is not possible in the first instance, we recommend an initial screening procedure comprising the measurement of morning plasma ACTH and cortisol levels. Diagnosis of the underlying cause should include a validated assay of autoantibodies against 21-hydroxylase. In autoantibody-negative individuals, other causes should be sought. We recommend once-daily fludrocortisone (median, 0.1 mg) and hydrocortisone (15-25 mg/d) or cortisone acetate replacement (20-35 mg/d) applied in two to three daily doses in adults. In children, hydrocortisone (8 mg/m2/d) is recommended. Patients should be educated about stress dosing and equipped with a ste…","author":[{"dropping-particle":"","family":"Bornstein","given":"Stefan R.","non-dropping-particle":"","parse-names":false,"suffix":""},{"dropping-particle":"","family":"Allolio","given":"Bruno","non-dropping-particle":"","parse-names":false,"suffix":""},{"dropping-particle":"","family":"Arlt","given":"Wiebke","non-dropping-particle":"","parse-names":false,"suffix":""},{"dropping-particle":"","family":"Barthel","given":"Andreas","non-dropping-particle":"","parse-names":false,"suffix":""},{"dropping-particle":"","family":"Don-Wauchope","given":"Andrew","non-dropping-particle":"","parse-names":false,"suffix":""},{"dropping-particle":"","family":"Hammer","given":"Gary D.","non-dropping-particle":"","parse-names":false,"suffix":""},{"dropping-particle":"","family":"Husebye","given":"Eystein S.","non-dropping-particle":"","parse-names":false,"suffix":""},{"dropping-particle":"","family":"Merke","given":"Deborah P.","non-dropping-particle":"","parse-names":false,"suffix":""},{"dropping-particle":"","family":"Murad","given":"M. Hassan","non-dropping-particle":"","parse-names":false,"suffix":""},{"dropping-particle":"","family":"Stratakis","given":"Constantine A.","non-dropping-particle":"","parse-names":false,"suffix":""},{"dropping-particle":"","family":"Torpy","given":"David J.","non-dropping-particle":"","parse-names":false,"suffix":""}],"container-title":"Journal of Clinical Endocrinology and Metabolism","id":"ITEM-1","issue":"2","issued":{"date-parts":[["2016"]]},"page":"364-389","title":"Diagnosis and treatment of primary adrenal insufficiency: An endocrine society clinical practice guideline","type":"article-journal","volume":"101"},"uris":["http://www.mendeley.com/documents/?uuid=3a94cd20-c1cf-49ba-a238-38ecab1bd504"]},{"id":"ITEM-2","itemData":{"author":[{"dropping-particle":"","family":"El</w:instrText>
      </w:r>
      <w:r w:rsidR="00296FD8">
        <w:rPr>
          <w:rFonts w:ascii="Noteworthy Bold" w:eastAsia="Times New Roman" w:hAnsi="Noteworthy Bold" w:cs="Noteworthy Bold"/>
          <w:color w:val="2A2A2A"/>
          <w:sz w:val="23"/>
          <w:szCs w:val="23"/>
          <w:shd w:val="clear" w:color="auto" w:fill="FFFFFF"/>
        </w:rPr>
        <w:instrText>‐</w:instrText>
      </w:r>
      <w:r w:rsidR="00296FD8">
        <w:rPr>
          <w:rFonts w:ascii="Merriweather" w:eastAsia="Times New Roman" w:hAnsi="Merriweather" w:cs="Times New Roman"/>
          <w:color w:val="2A2A2A"/>
          <w:sz w:val="23"/>
          <w:szCs w:val="23"/>
          <w:shd w:val="clear" w:color="auto" w:fill="FFFFFF"/>
        </w:rPr>
        <w:instrText>Farhan","given":"Nadia","non-dropping-particle":"","parse-names":false,"suffix":""},{"dropping-particle":"","family":"Pickett","given":"Alan","non-dropping-particle":"","parse-names":false,"suffix":""},{"dropping-particle":"","family":"Ducroq","given":"David","non-dropping-particle":"","parse-names":false,"suffix":""},{"dropping-particle":"","family":"Bailey","given":"Catherine","non-dropping-particle":"","parse-names":false,"suffix":""},{"dropping-particle":"","family":"Mitchem","given":"Kelly","non-dropping-particle":"","parse-names":false,"suffix":""},{"dropping-particle":"","family":"Morgan","given":"Nicola","non-dropping-particle":"","parse-names":false,"suffix":""},{"dropping-particle":"","family":"Armston","given":"Annie","non-dropping-particle":"","parse-names":false,"suffix":""},{"dropping-particle":"","family":"Jones","given":"Laila","non-dropping-particle":"","parse-names":false,"suffix":""},{"dropping-particle":"","family":"Evans","given":"Carol","non-dropping-particle":"","parse-names":false,"suffix":""},{"dropping-particle":"","family":"Rees","given":"D. Aled","non-dropping-particle":"","parse-names":false,"suffix":""}],"container-title":"Clinical Endocrinology","id":"ITEM-2","issue":"5","issued":{"date-parts":[["2013"]]},"page":"673-680","title":"Method</w:instrText>
      </w:r>
      <w:r w:rsidR="00296FD8">
        <w:rPr>
          <w:rFonts w:ascii="Noteworthy Bold" w:eastAsia="Times New Roman" w:hAnsi="Noteworthy Bold" w:cs="Noteworthy Bold"/>
          <w:color w:val="2A2A2A"/>
          <w:sz w:val="23"/>
          <w:szCs w:val="23"/>
          <w:shd w:val="clear" w:color="auto" w:fill="FFFFFF"/>
        </w:rPr>
        <w:instrText>‐</w:instrText>
      </w:r>
      <w:r w:rsidR="00296FD8">
        <w:rPr>
          <w:rFonts w:ascii="Merriweather" w:eastAsia="Times New Roman" w:hAnsi="Merriweather" w:cs="Times New Roman"/>
          <w:color w:val="2A2A2A"/>
          <w:sz w:val="23"/>
          <w:szCs w:val="23"/>
          <w:shd w:val="clear" w:color="auto" w:fill="FFFFFF"/>
        </w:rPr>
        <w:instrText>specific serum cortisol responses to the adrenocorticotrophin test: comparison of gas chromatography</w:instrText>
      </w:r>
      <w:r w:rsidR="00296FD8">
        <w:rPr>
          <w:rFonts w:ascii="Noteworthy Bold" w:eastAsia="Times New Roman" w:hAnsi="Noteworthy Bold" w:cs="Noteworthy Bold"/>
          <w:color w:val="2A2A2A"/>
          <w:sz w:val="23"/>
          <w:szCs w:val="23"/>
          <w:shd w:val="clear" w:color="auto" w:fill="FFFFFF"/>
        </w:rPr>
        <w:instrText>‐</w:instrText>
      </w:r>
      <w:r w:rsidR="00296FD8">
        <w:rPr>
          <w:rFonts w:ascii="Merriweather" w:eastAsia="Times New Roman" w:hAnsi="Merriweather" w:cs="Times New Roman"/>
          <w:color w:val="2A2A2A"/>
          <w:sz w:val="23"/>
          <w:szCs w:val="23"/>
          <w:shd w:val="clear" w:color="auto" w:fill="FFFFFF"/>
        </w:rPr>
        <w:instrText>mass spectrometry and five automated immunoassays","type":"article-journal","volume":"78"},"uris":["http://www.mendeley.com/documents/?uuid=b7e678fc-0946-4edc-b86a-14d2d68f318c"]}],"mendeley":{"formattedCitation":"&lt;sup&gt;11,12&lt;/sup&gt;","plainTextFormattedCitation":"11,12","previouslyFormattedCitation":"&lt;sup&gt;11,12&lt;/sup&gt;"},"properties":{"noteIndex":0},"schema":"https://github.com/citation-style-language/schema/raw/master/csl-citation.json"}</w:instrText>
      </w:r>
      <w:r w:rsidR="006A7838">
        <w:rPr>
          <w:rFonts w:ascii="Merriweather" w:eastAsia="Times New Roman" w:hAnsi="Merriweather" w:cs="Times New Roman"/>
          <w:color w:val="2A2A2A"/>
          <w:sz w:val="23"/>
          <w:szCs w:val="23"/>
          <w:shd w:val="clear" w:color="auto" w:fill="FFFFFF"/>
        </w:rPr>
        <w:fldChar w:fldCharType="separate"/>
      </w:r>
      <w:r w:rsidR="00296FD8" w:rsidRPr="00296FD8">
        <w:rPr>
          <w:rFonts w:ascii="Merriweather" w:eastAsia="Times New Roman" w:hAnsi="Merriweather" w:cs="Times New Roman"/>
          <w:noProof/>
          <w:color w:val="2A2A2A"/>
          <w:sz w:val="23"/>
          <w:szCs w:val="23"/>
          <w:shd w:val="clear" w:color="auto" w:fill="FFFFFF"/>
          <w:vertAlign w:val="superscript"/>
        </w:rPr>
        <w:t>11,12</w:t>
      </w:r>
      <w:r w:rsidR="006A7838">
        <w:rPr>
          <w:rFonts w:ascii="Merriweather" w:eastAsia="Times New Roman" w:hAnsi="Merriweather" w:cs="Times New Roman"/>
          <w:color w:val="2A2A2A"/>
          <w:sz w:val="23"/>
          <w:szCs w:val="23"/>
          <w:shd w:val="clear" w:color="auto" w:fill="FFFFFF"/>
        </w:rPr>
        <w:fldChar w:fldCharType="end"/>
      </w:r>
      <w:r w:rsidR="006A7838">
        <w:rPr>
          <w:rFonts w:ascii="Merriweather" w:eastAsia="Times New Roman" w:hAnsi="Merriweather" w:cs="Times New Roman"/>
          <w:color w:val="2A2A2A"/>
          <w:sz w:val="23"/>
          <w:szCs w:val="23"/>
          <w:shd w:val="clear" w:color="auto" w:fill="FFFFFF"/>
        </w:rPr>
        <w:t xml:space="preserve">. </w:t>
      </w:r>
    </w:p>
    <w:p w14:paraId="1F997532" w14:textId="77777777" w:rsidR="00371511" w:rsidRPr="009E7120" w:rsidRDefault="00371511" w:rsidP="009E7120">
      <w:pPr>
        <w:spacing w:line="480" w:lineRule="auto"/>
        <w:jc w:val="both"/>
        <w:rPr>
          <w:rFonts w:ascii="Times New Roman" w:hAnsi="Times New Roman" w:cs="Times New Roman"/>
          <w:sz w:val="22"/>
          <w:szCs w:val="22"/>
        </w:rPr>
      </w:pPr>
    </w:p>
    <w:p w14:paraId="0D1BAB50" w14:textId="338ED55E" w:rsidR="0058009F" w:rsidRPr="009E7120" w:rsidRDefault="0058009F" w:rsidP="009E7120">
      <w:pPr>
        <w:spacing w:line="480" w:lineRule="auto"/>
        <w:jc w:val="both"/>
        <w:rPr>
          <w:rFonts w:ascii="Times New Roman" w:hAnsi="Times New Roman" w:cs="Times New Roman"/>
          <w:sz w:val="22"/>
          <w:szCs w:val="22"/>
        </w:rPr>
      </w:pPr>
      <w:r w:rsidRPr="009E7120">
        <w:rPr>
          <w:rFonts w:ascii="Times New Roman" w:hAnsi="Times New Roman" w:cs="Times New Roman"/>
          <w:sz w:val="22"/>
          <w:szCs w:val="22"/>
        </w:rPr>
        <w:t xml:space="preserve">Serum renin, aldosterone and DHEAS were measured using high performance liquid chromatograph mass spectrometry (HPLC-MS/MS). </w:t>
      </w:r>
      <w:r w:rsidR="006E2542" w:rsidRPr="009E7120">
        <w:rPr>
          <w:rFonts w:ascii="Times New Roman" w:hAnsi="Times New Roman" w:cs="Times New Roman"/>
          <w:sz w:val="22"/>
          <w:szCs w:val="22"/>
        </w:rPr>
        <w:t xml:space="preserve">Lower limits of quantification were as </w:t>
      </w:r>
      <w:r w:rsidR="006E2542" w:rsidRPr="009E7120">
        <w:rPr>
          <w:rFonts w:ascii="Times New Roman" w:hAnsi="Times New Roman" w:cs="Times New Roman"/>
          <w:sz w:val="22"/>
          <w:szCs w:val="22"/>
        </w:rPr>
        <w:lastRenderedPageBreak/>
        <w:t>follows: renin 0.6</w:t>
      </w:r>
      <w:r w:rsidR="007D5723" w:rsidRPr="009E7120">
        <w:rPr>
          <w:rFonts w:ascii="Times New Roman" w:hAnsi="Times New Roman" w:cs="Times New Roman"/>
          <w:sz w:val="22"/>
          <w:szCs w:val="22"/>
        </w:rPr>
        <w:t xml:space="preserve"> </w:t>
      </w:r>
      <w:r w:rsidR="006E2542" w:rsidRPr="009E7120">
        <w:rPr>
          <w:rFonts w:ascii="Times New Roman" w:hAnsi="Times New Roman" w:cs="Times New Roman"/>
          <w:sz w:val="22"/>
          <w:szCs w:val="22"/>
        </w:rPr>
        <w:t>nmol/L, aldosterone 60</w:t>
      </w:r>
      <w:r w:rsidR="007D5723" w:rsidRPr="009E7120">
        <w:rPr>
          <w:rFonts w:ascii="Times New Roman" w:hAnsi="Times New Roman" w:cs="Times New Roman"/>
          <w:sz w:val="22"/>
          <w:szCs w:val="22"/>
        </w:rPr>
        <w:t xml:space="preserve"> </w:t>
      </w:r>
      <w:r w:rsidR="006E2542" w:rsidRPr="009E7120">
        <w:rPr>
          <w:rFonts w:ascii="Times New Roman" w:hAnsi="Times New Roman" w:cs="Times New Roman"/>
          <w:sz w:val="22"/>
          <w:szCs w:val="22"/>
        </w:rPr>
        <w:t>pmol/L, DHEAS 0.41</w:t>
      </w:r>
      <w:r w:rsidR="007D5723" w:rsidRPr="009E7120">
        <w:rPr>
          <w:rFonts w:ascii="Times New Roman" w:hAnsi="Times New Roman" w:cs="Times New Roman"/>
          <w:sz w:val="22"/>
          <w:szCs w:val="22"/>
        </w:rPr>
        <w:t xml:space="preserve"> </w:t>
      </w:r>
      <w:proofErr w:type="spellStart"/>
      <w:r w:rsidR="006E2542" w:rsidRPr="009E7120">
        <w:rPr>
          <w:rFonts w:ascii="Times New Roman" w:hAnsi="Times New Roman" w:cs="Times New Roman"/>
          <w:sz w:val="22"/>
          <w:szCs w:val="22"/>
        </w:rPr>
        <w:t>μmol</w:t>
      </w:r>
      <w:proofErr w:type="spellEnd"/>
      <w:r w:rsidR="006E2542" w:rsidRPr="009E7120">
        <w:rPr>
          <w:rFonts w:ascii="Times New Roman" w:hAnsi="Times New Roman" w:cs="Times New Roman"/>
          <w:sz w:val="22"/>
          <w:szCs w:val="22"/>
        </w:rPr>
        <w:t xml:space="preserve">/L. Interassay coefficients of variation were as follows: renin &lt;10%, aldosterone &lt;15%, DHEAS &lt;10%. </w:t>
      </w:r>
    </w:p>
    <w:p w14:paraId="7987DF7F" w14:textId="6E85FF00" w:rsidR="0058009F" w:rsidRPr="009E7120" w:rsidRDefault="004B10DD" w:rsidP="009E7120">
      <w:pPr>
        <w:spacing w:line="480" w:lineRule="auto"/>
        <w:jc w:val="both"/>
        <w:rPr>
          <w:rFonts w:ascii="Times New Roman" w:eastAsia="Times New Roman" w:hAnsi="Times New Roman" w:cs="Times New Roman"/>
          <w:sz w:val="22"/>
          <w:szCs w:val="22"/>
        </w:rPr>
      </w:pPr>
      <w:r w:rsidRPr="009E7120">
        <w:rPr>
          <w:rFonts w:ascii="Times New Roman" w:hAnsi="Times New Roman" w:cs="Times New Roman"/>
          <w:sz w:val="22"/>
          <w:szCs w:val="22"/>
        </w:rPr>
        <w:t>Age-</w:t>
      </w:r>
      <w:r w:rsidR="00B85FE5" w:rsidRPr="009E7120">
        <w:rPr>
          <w:rFonts w:ascii="Times New Roman" w:hAnsi="Times New Roman" w:cs="Times New Roman"/>
          <w:sz w:val="22"/>
          <w:szCs w:val="22"/>
        </w:rPr>
        <w:t>specific reference r</w:t>
      </w:r>
      <w:r w:rsidRPr="009E7120">
        <w:rPr>
          <w:rFonts w:ascii="Times New Roman" w:hAnsi="Times New Roman" w:cs="Times New Roman"/>
          <w:sz w:val="22"/>
          <w:szCs w:val="22"/>
        </w:rPr>
        <w:t>anges for DHEAS were as follows: age 20-39</w:t>
      </w:r>
      <w:r w:rsidR="008860A0" w:rsidRPr="009E7120">
        <w:rPr>
          <w:rFonts w:ascii="Times New Roman" w:hAnsi="Times New Roman" w:cs="Times New Roman"/>
          <w:sz w:val="22"/>
          <w:szCs w:val="22"/>
        </w:rPr>
        <w:t xml:space="preserve"> </w:t>
      </w:r>
      <w:r w:rsidRPr="009E7120">
        <w:rPr>
          <w:rFonts w:ascii="Times New Roman" w:hAnsi="Times New Roman" w:cs="Times New Roman"/>
          <w:sz w:val="22"/>
          <w:szCs w:val="22"/>
        </w:rPr>
        <w:t>y</w:t>
      </w:r>
      <w:r w:rsidR="00345822" w:rsidRPr="009E7120">
        <w:rPr>
          <w:rFonts w:ascii="Times New Roman" w:hAnsi="Times New Roman" w:cs="Times New Roman"/>
          <w:sz w:val="22"/>
          <w:szCs w:val="22"/>
        </w:rPr>
        <w:t>ea</w:t>
      </w:r>
      <w:r w:rsidRPr="009E7120">
        <w:rPr>
          <w:rFonts w:ascii="Times New Roman" w:hAnsi="Times New Roman" w:cs="Times New Roman"/>
          <w:sz w:val="22"/>
          <w:szCs w:val="22"/>
        </w:rPr>
        <w:t xml:space="preserve">rs </w:t>
      </w:r>
      <w:r w:rsidR="00345822" w:rsidRPr="009E7120">
        <w:rPr>
          <w:rFonts w:ascii="Times New Roman" w:hAnsi="Times New Roman" w:cs="Times New Roman"/>
          <w:sz w:val="22"/>
          <w:szCs w:val="22"/>
        </w:rPr>
        <w:t>0.7-11.5</w:t>
      </w:r>
      <w:r w:rsidR="008860A0" w:rsidRPr="009E7120">
        <w:rPr>
          <w:rFonts w:ascii="Times New Roman" w:hAnsi="Times New Roman" w:cs="Times New Roman"/>
          <w:sz w:val="22"/>
          <w:szCs w:val="22"/>
        </w:rPr>
        <w:t xml:space="preserve"> </w:t>
      </w:r>
      <w:proofErr w:type="spellStart"/>
      <w:r w:rsidR="00345822" w:rsidRPr="009E7120">
        <w:rPr>
          <w:rFonts w:ascii="Times New Roman" w:hAnsi="Times New Roman" w:cs="Times New Roman"/>
          <w:sz w:val="22"/>
          <w:szCs w:val="22"/>
        </w:rPr>
        <w:t>μmol</w:t>
      </w:r>
      <w:proofErr w:type="spellEnd"/>
      <w:r w:rsidR="00345822" w:rsidRPr="009E7120">
        <w:rPr>
          <w:rFonts w:ascii="Times New Roman" w:hAnsi="Times New Roman" w:cs="Times New Roman"/>
          <w:sz w:val="22"/>
          <w:szCs w:val="22"/>
        </w:rPr>
        <w:t>/L, 40-59 years 0.8-6.9</w:t>
      </w:r>
      <w:r w:rsidR="008860A0" w:rsidRPr="009E7120">
        <w:rPr>
          <w:rFonts w:ascii="Times New Roman" w:hAnsi="Times New Roman" w:cs="Times New Roman"/>
          <w:sz w:val="22"/>
          <w:szCs w:val="22"/>
        </w:rPr>
        <w:t xml:space="preserve"> </w:t>
      </w:r>
      <w:proofErr w:type="spellStart"/>
      <w:r w:rsidR="00345822" w:rsidRPr="009E7120">
        <w:rPr>
          <w:rFonts w:ascii="Times New Roman" w:hAnsi="Times New Roman" w:cs="Times New Roman"/>
          <w:sz w:val="22"/>
          <w:szCs w:val="22"/>
        </w:rPr>
        <w:t>μmol</w:t>
      </w:r>
      <w:proofErr w:type="spellEnd"/>
      <w:r w:rsidR="00345822" w:rsidRPr="009E7120">
        <w:rPr>
          <w:rFonts w:ascii="Times New Roman" w:hAnsi="Times New Roman" w:cs="Times New Roman"/>
          <w:sz w:val="22"/>
          <w:szCs w:val="22"/>
        </w:rPr>
        <w:t>/L</w:t>
      </w:r>
      <w:r w:rsidR="006E2542" w:rsidRPr="009E7120">
        <w:rPr>
          <w:rFonts w:ascii="Times New Roman" w:hAnsi="Times New Roman" w:cs="Times New Roman"/>
          <w:sz w:val="22"/>
          <w:szCs w:val="22"/>
        </w:rPr>
        <w:t>, over 60 years 0.4-4.7</w:t>
      </w:r>
      <w:r w:rsidR="008860A0" w:rsidRPr="009E7120">
        <w:rPr>
          <w:rFonts w:ascii="Times New Roman" w:hAnsi="Times New Roman" w:cs="Times New Roman"/>
          <w:sz w:val="22"/>
          <w:szCs w:val="22"/>
        </w:rPr>
        <w:t xml:space="preserve"> </w:t>
      </w:r>
      <w:proofErr w:type="spellStart"/>
      <w:r w:rsidR="00345822" w:rsidRPr="009E7120">
        <w:rPr>
          <w:rFonts w:ascii="Times New Roman" w:hAnsi="Times New Roman" w:cs="Times New Roman"/>
          <w:sz w:val="22"/>
          <w:szCs w:val="22"/>
        </w:rPr>
        <w:t>μmol</w:t>
      </w:r>
      <w:proofErr w:type="spellEnd"/>
      <w:r w:rsidR="00345822" w:rsidRPr="009E7120">
        <w:rPr>
          <w:rFonts w:ascii="Times New Roman" w:hAnsi="Times New Roman" w:cs="Times New Roman"/>
          <w:sz w:val="22"/>
          <w:szCs w:val="22"/>
        </w:rPr>
        <w:t xml:space="preserve">/L. </w:t>
      </w:r>
      <w:r w:rsidR="0058009F" w:rsidRPr="009E7120">
        <w:rPr>
          <w:rFonts w:ascii="Times New Roman" w:hAnsi="Times New Roman" w:cs="Times New Roman"/>
          <w:sz w:val="22"/>
          <w:szCs w:val="22"/>
        </w:rPr>
        <w:t xml:space="preserve">Serum cortisol was measured using Abbott </w:t>
      </w:r>
      <w:proofErr w:type="spellStart"/>
      <w:r w:rsidR="0058009F" w:rsidRPr="009E7120">
        <w:rPr>
          <w:rFonts w:ascii="Times New Roman" w:hAnsi="Times New Roman" w:cs="Times New Roman"/>
          <w:sz w:val="22"/>
          <w:szCs w:val="22"/>
        </w:rPr>
        <w:t>Alinity</w:t>
      </w:r>
      <w:proofErr w:type="spellEnd"/>
      <w:r w:rsidR="0058009F" w:rsidRPr="009E7120">
        <w:rPr>
          <w:rFonts w:ascii="Times New Roman" w:hAnsi="Times New Roman" w:cs="Times New Roman"/>
          <w:sz w:val="22"/>
          <w:szCs w:val="22"/>
        </w:rPr>
        <w:t xml:space="preserve"> ci-series analyser, using chemiluminescent </w:t>
      </w:r>
      <w:proofErr w:type="spellStart"/>
      <w:r w:rsidR="0058009F" w:rsidRPr="009E7120">
        <w:rPr>
          <w:rFonts w:ascii="Times New Roman" w:hAnsi="Times New Roman" w:cs="Times New Roman"/>
          <w:sz w:val="22"/>
          <w:szCs w:val="22"/>
        </w:rPr>
        <w:t>mircoparticle</w:t>
      </w:r>
      <w:proofErr w:type="spellEnd"/>
      <w:r w:rsidR="0058009F" w:rsidRPr="009E7120">
        <w:rPr>
          <w:rFonts w:ascii="Times New Roman" w:hAnsi="Times New Roman" w:cs="Times New Roman"/>
          <w:sz w:val="22"/>
          <w:szCs w:val="22"/>
        </w:rPr>
        <w:t xml:space="preserve"> immunoassays. The lower limit of detection was 19.3nmol/L, interassay coefficient of variation was ≤5.1%, </w:t>
      </w:r>
      <w:proofErr w:type="gramStart"/>
      <w:r w:rsidR="0058009F" w:rsidRPr="009E7120">
        <w:rPr>
          <w:rFonts w:ascii="Times New Roman" w:hAnsi="Times New Roman" w:cs="Times New Roman"/>
          <w:sz w:val="22"/>
          <w:szCs w:val="22"/>
        </w:rPr>
        <w:t>intra</w:t>
      </w:r>
      <w:proofErr w:type="gramEnd"/>
      <w:r w:rsidR="0058009F" w:rsidRPr="009E7120">
        <w:rPr>
          <w:rFonts w:ascii="Times New Roman" w:hAnsi="Times New Roman" w:cs="Times New Roman"/>
          <w:sz w:val="22"/>
          <w:szCs w:val="22"/>
        </w:rPr>
        <w:t xml:space="preserve">-assay coefficient of variation was ≤4.3%. </w:t>
      </w:r>
    </w:p>
    <w:p w14:paraId="37F983D8" w14:textId="77777777" w:rsidR="005C1444" w:rsidRPr="009E7120" w:rsidRDefault="005C1444" w:rsidP="009E7120">
      <w:pPr>
        <w:spacing w:line="480" w:lineRule="auto"/>
        <w:jc w:val="both"/>
        <w:rPr>
          <w:rFonts w:ascii="Times New Roman" w:hAnsi="Times New Roman" w:cs="Times New Roman"/>
          <w:sz w:val="22"/>
          <w:szCs w:val="22"/>
        </w:rPr>
      </w:pPr>
    </w:p>
    <w:p w14:paraId="5B88F907" w14:textId="5C43292F" w:rsidR="00C7544D" w:rsidRPr="009E7120" w:rsidRDefault="00651A1D" w:rsidP="009E7120">
      <w:pPr>
        <w:spacing w:line="480" w:lineRule="auto"/>
        <w:jc w:val="both"/>
        <w:rPr>
          <w:rFonts w:ascii="Times New Roman" w:hAnsi="Times New Roman" w:cs="Times New Roman"/>
          <w:sz w:val="22"/>
          <w:szCs w:val="22"/>
        </w:rPr>
      </w:pPr>
      <w:r w:rsidRPr="009E7120">
        <w:rPr>
          <w:rFonts w:ascii="Times New Roman" w:hAnsi="Times New Roman" w:cs="Times New Roman"/>
          <w:sz w:val="22"/>
          <w:szCs w:val="22"/>
        </w:rPr>
        <w:t>R</w:t>
      </w:r>
      <w:r w:rsidR="007D6A77" w:rsidRPr="009E7120">
        <w:rPr>
          <w:rFonts w:ascii="Times New Roman" w:hAnsi="Times New Roman" w:cs="Times New Roman"/>
          <w:sz w:val="22"/>
          <w:szCs w:val="22"/>
        </w:rPr>
        <w:t>egardless of disease severity or treatment received,</w:t>
      </w:r>
      <w:r w:rsidR="00570855" w:rsidRPr="009E7120">
        <w:rPr>
          <w:rFonts w:ascii="Times New Roman" w:hAnsi="Times New Roman" w:cs="Times New Roman"/>
          <w:sz w:val="22"/>
          <w:szCs w:val="22"/>
        </w:rPr>
        <w:t xml:space="preserve"> </w:t>
      </w:r>
      <w:r w:rsidRPr="009E7120">
        <w:rPr>
          <w:rFonts w:ascii="Times New Roman" w:hAnsi="Times New Roman" w:cs="Times New Roman"/>
          <w:sz w:val="22"/>
          <w:szCs w:val="22"/>
        </w:rPr>
        <w:t xml:space="preserve">all participants had </w:t>
      </w:r>
      <w:r w:rsidR="00570855" w:rsidRPr="009E7120">
        <w:rPr>
          <w:rFonts w:ascii="Times New Roman" w:hAnsi="Times New Roman" w:cs="Times New Roman"/>
          <w:sz w:val="22"/>
          <w:szCs w:val="22"/>
        </w:rPr>
        <w:t>an appropriate response to 250</w:t>
      </w:r>
      <w:r w:rsidR="00D40F84" w:rsidRPr="009E7120">
        <w:rPr>
          <w:rFonts w:ascii="Times New Roman" w:hAnsi="Times New Roman" w:cs="Times New Roman"/>
          <w:sz w:val="22"/>
          <w:szCs w:val="22"/>
        </w:rPr>
        <w:t xml:space="preserve"> </w:t>
      </w:r>
      <w:r w:rsidR="00570855" w:rsidRPr="009E7120">
        <w:rPr>
          <w:rFonts w:ascii="Times New Roman" w:hAnsi="Times New Roman" w:cs="Times New Roman"/>
          <w:sz w:val="22"/>
          <w:szCs w:val="22"/>
        </w:rPr>
        <w:t xml:space="preserve">mcg Tetracosactide, consistent with adequate adrenal reserve. Furthermore, </w:t>
      </w:r>
      <w:r w:rsidRPr="009E7120">
        <w:rPr>
          <w:rFonts w:ascii="Times New Roman" w:hAnsi="Times New Roman" w:cs="Times New Roman"/>
          <w:sz w:val="22"/>
          <w:szCs w:val="22"/>
        </w:rPr>
        <w:t xml:space="preserve">although </w:t>
      </w:r>
      <w:r w:rsidR="005113A5" w:rsidRPr="009E7120">
        <w:rPr>
          <w:rFonts w:ascii="Times New Roman" w:hAnsi="Times New Roman" w:cs="Times New Roman"/>
          <w:sz w:val="22"/>
          <w:szCs w:val="22"/>
        </w:rPr>
        <w:t>44 patients (62.8%)</w:t>
      </w:r>
      <w:r w:rsidR="00570855" w:rsidRPr="009E7120">
        <w:rPr>
          <w:rFonts w:ascii="Times New Roman" w:hAnsi="Times New Roman" w:cs="Times New Roman"/>
          <w:sz w:val="22"/>
          <w:szCs w:val="22"/>
        </w:rPr>
        <w:t xml:space="preserve"> had persistent fatigue at ≥ 3 months’ post presentation, neither peak cortisol achieved following stimulation, nor baseline cortisol </w:t>
      </w:r>
      <w:r w:rsidR="005113A5" w:rsidRPr="009E7120">
        <w:rPr>
          <w:rFonts w:ascii="Times New Roman" w:hAnsi="Times New Roman" w:cs="Times New Roman"/>
          <w:sz w:val="22"/>
          <w:szCs w:val="22"/>
        </w:rPr>
        <w:t>differed between survivors</w:t>
      </w:r>
      <w:r w:rsidR="00570855" w:rsidRPr="009E7120">
        <w:rPr>
          <w:rFonts w:ascii="Times New Roman" w:hAnsi="Times New Roman" w:cs="Times New Roman"/>
          <w:sz w:val="22"/>
          <w:szCs w:val="22"/>
        </w:rPr>
        <w:t xml:space="preserve"> with fatigue</w:t>
      </w:r>
      <w:r w:rsidR="005113A5" w:rsidRPr="009E7120">
        <w:rPr>
          <w:rFonts w:ascii="Times New Roman" w:hAnsi="Times New Roman" w:cs="Times New Roman"/>
          <w:sz w:val="22"/>
          <w:szCs w:val="22"/>
        </w:rPr>
        <w:t xml:space="preserve"> compared to those without </w:t>
      </w:r>
      <w:r w:rsidR="005113A5" w:rsidRPr="009E7120">
        <w:rPr>
          <w:rFonts w:ascii="Times New Roman" w:hAnsi="Times New Roman" w:cs="Times New Roman"/>
          <w:sz w:val="22"/>
          <w:szCs w:val="22"/>
        </w:rPr>
        <w:fldChar w:fldCharType="begin" w:fldLock="1"/>
      </w:r>
      <w:r w:rsidR="00296FD8">
        <w:rPr>
          <w:rFonts w:ascii="Times New Roman" w:hAnsi="Times New Roman" w:cs="Times New Roman"/>
          <w:sz w:val="22"/>
          <w:szCs w:val="22"/>
        </w:rPr>
        <w:instrText>ADDIN CSL_CITATION {"citationItems":[{"id":"ITEM-1","itemData":{"DOI":"10.1210/clinem/dgab349","author":[{"dropping-particle":"","family":"Clarke","given":"Sophie A","non-dropping-particle":"","parse-names":false,"suffix":""},{"dropping-particle":"","family":"Phylactou","given":"Maria","non-dropping-particle":"","parse-names":false,"suffix":""},{"dropping-particle":"","family":"Patel","given":"Bijal","non-dropping-particle":"","parse-names":false,"suffix":""},{"dropping-particle":"","family":"Mills","given":"Edouard G.","non-dropping-particle":"","parse-names":false,"suffix":""},{"dropping-particle":"","family":"Muzi","given":"Beatrice","non-dropping-particle":"","parse-names":false,"suffix":""},{"dropping-particle":"","family":"Izzi-Engbeaya","given":"Chioma","non-dropping-particle":"","parse-names":false,"suffix":""},{"dropping-particle":"","family":"Choudhury","given":"Sirazum","non-dropping-particle":"","parse-names":false,"suffix":""},{"dropping-particle":"","family":"Khoo","given":"Bernard","non-dropping-particle":"","parse-names":false,"suffix":""},{"dropping-particle":"","family":"Meeran","given":"Karim","non-dropping-particle":"","parse-names":false,"suffix":""},{"dropping-particle":"","family":"Comninos","given":"Alexander N.","non-dropping-particle":"","parse-names":false,"suffix":""},{"dropping-particle":"","family":"Abbara","given":"Ali","non-dropping-particle":"","parse-names":false,"suffix":""},{"dropping-particle":"","family":"Tan","given":"Tricia","non-dropping-particle":"","parse-names":false,"suffix":""},{"dropping-particle":"","family":"Dhillo","given":"Waljit S.","non-dropping-particle":"","parse-names":false,"suffix":""}],"container-title":"JCEM","id":"ITEM-1","issued":{"date-parts":[["2021"]]},"title":"Normal adrenal and thyroid function in patients who survive COVID-19 infection","type":"article-journal"},"uris":["http://www.mendeley.com/documents/?uuid=635f11a2-ff86-4d76-9af9-df6e877dee24"]}],"mendeley":{"formattedCitation":"&lt;sup&gt;10&lt;/sup&gt;","plainTextFormattedCitation":"10","previouslyFormattedCitation":"&lt;sup&gt;10&lt;/sup&gt;"},"properties":{"noteIndex":0},"schema":"https://github.com/citation-style-language/schema/raw/master/csl-citation.json"}</w:instrText>
      </w:r>
      <w:r w:rsidR="005113A5" w:rsidRPr="009E7120">
        <w:rPr>
          <w:rFonts w:ascii="Times New Roman" w:hAnsi="Times New Roman" w:cs="Times New Roman"/>
          <w:sz w:val="22"/>
          <w:szCs w:val="22"/>
        </w:rPr>
        <w:fldChar w:fldCharType="separate"/>
      </w:r>
      <w:r w:rsidR="00296FD8" w:rsidRPr="00296FD8">
        <w:rPr>
          <w:rFonts w:ascii="Times New Roman" w:hAnsi="Times New Roman" w:cs="Times New Roman"/>
          <w:noProof/>
          <w:sz w:val="22"/>
          <w:szCs w:val="22"/>
          <w:vertAlign w:val="superscript"/>
        </w:rPr>
        <w:t>10</w:t>
      </w:r>
      <w:r w:rsidR="005113A5" w:rsidRPr="009E7120">
        <w:rPr>
          <w:rFonts w:ascii="Times New Roman" w:hAnsi="Times New Roman" w:cs="Times New Roman"/>
          <w:sz w:val="22"/>
          <w:szCs w:val="22"/>
        </w:rPr>
        <w:fldChar w:fldCharType="end"/>
      </w:r>
      <w:r w:rsidR="00570855" w:rsidRPr="009E7120">
        <w:rPr>
          <w:rFonts w:ascii="Times New Roman" w:hAnsi="Times New Roman" w:cs="Times New Roman"/>
          <w:sz w:val="22"/>
          <w:szCs w:val="22"/>
        </w:rPr>
        <w:t>.</w:t>
      </w:r>
      <w:r w:rsidR="00B85FE5" w:rsidRPr="009E7120">
        <w:rPr>
          <w:rFonts w:ascii="Times New Roman" w:hAnsi="Times New Roman" w:cs="Times New Roman"/>
          <w:sz w:val="22"/>
          <w:szCs w:val="22"/>
        </w:rPr>
        <w:t xml:space="preserve"> </w:t>
      </w:r>
      <w:r w:rsidR="005870A7" w:rsidRPr="009E7120">
        <w:rPr>
          <w:rFonts w:ascii="Times New Roman" w:hAnsi="Times New Roman" w:cs="Times New Roman"/>
          <w:sz w:val="22"/>
          <w:szCs w:val="22"/>
        </w:rPr>
        <w:t>Additional</w:t>
      </w:r>
      <w:r w:rsidR="007070F1" w:rsidRPr="009E7120">
        <w:rPr>
          <w:rFonts w:ascii="Times New Roman" w:hAnsi="Times New Roman" w:cs="Times New Roman"/>
          <w:sz w:val="22"/>
          <w:szCs w:val="22"/>
        </w:rPr>
        <w:t xml:space="preserve">ly, unpublished data from </w:t>
      </w:r>
      <w:r w:rsidR="00371511" w:rsidRPr="009E7120">
        <w:rPr>
          <w:rFonts w:ascii="Times New Roman" w:hAnsi="Times New Roman" w:cs="Times New Roman"/>
          <w:sz w:val="22"/>
          <w:szCs w:val="22"/>
        </w:rPr>
        <w:t xml:space="preserve">this </w:t>
      </w:r>
      <w:r w:rsidR="005870A7" w:rsidRPr="009E7120">
        <w:rPr>
          <w:rFonts w:ascii="Times New Roman" w:hAnsi="Times New Roman" w:cs="Times New Roman"/>
          <w:sz w:val="22"/>
          <w:szCs w:val="22"/>
        </w:rPr>
        <w:t xml:space="preserve">cohort </w:t>
      </w:r>
      <w:r w:rsidR="007070F1" w:rsidRPr="009E7120">
        <w:rPr>
          <w:rFonts w:ascii="Times New Roman" w:hAnsi="Times New Roman" w:cs="Times New Roman"/>
          <w:sz w:val="22"/>
          <w:szCs w:val="22"/>
        </w:rPr>
        <w:t>o</w:t>
      </w:r>
      <w:r w:rsidR="009A082D" w:rsidRPr="009E7120">
        <w:rPr>
          <w:rFonts w:ascii="Times New Roman" w:hAnsi="Times New Roman" w:cs="Times New Roman"/>
          <w:sz w:val="22"/>
          <w:szCs w:val="22"/>
        </w:rPr>
        <w:t xml:space="preserve">f the 69 patients with measurement of postural blood pressure </w:t>
      </w:r>
      <w:r w:rsidR="005A1C32" w:rsidRPr="009E7120">
        <w:rPr>
          <w:rFonts w:ascii="Times New Roman" w:hAnsi="Times New Roman" w:cs="Times New Roman"/>
          <w:sz w:val="22"/>
          <w:szCs w:val="22"/>
        </w:rPr>
        <w:t xml:space="preserve">revealed that only </w:t>
      </w:r>
      <w:r w:rsidR="009A082D" w:rsidRPr="009E7120">
        <w:rPr>
          <w:rFonts w:ascii="Times New Roman" w:hAnsi="Times New Roman" w:cs="Times New Roman"/>
          <w:sz w:val="22"/>
          <w:szCs w:val="22"/>
        </w:rPr>
        <w:t>2 patients (2.9%) had a</w:t>
      </w:r>
      <w:r w:rsidR="005A1C32" w:rsidRPr="009E7120">
        <w:rPr>
          <w:rFonts w:ascii="Times New Roman" w:hAnsi="Times New Roman" w:cs="Times New Roman"/>
          <w:sz w:val="22"/>
          <w:szCs w:val="22"/>
        </w:rPr>
        <w:t>n asymptomatic</w:t>
      </w:r>
      <w:r w:rsidR="009A082D" w:rsidRPr="009E7120">
        <w:rPr>
          <w:rFonts w:ascii="Times New Roman" w:hAnsi="Times New Roman" w:cs="Times New Roman"/>
          <w:sz w:val="22"/>
          <w:szCs w:val="22"/>
        </w:rPr>
        <w:t xml:space="preserve"> postural drop of ≥20</w:t>
      </w:r>
      <w:r w:rsidR="007F3316" w:rsidRPr="009E7120">
        <w:rPr>
          <w:rFonts w:ascii="Times New Roman" w:hAnsi="Times New Roman" w:cs="Times New Roman"/>
          <w:sz w:val="22"/>
          <w:szCs w:val="22"/>
        </w:rPr>
        <w:t xml:space="preserve"> </w:t>
      </w:r>
      <w:r w:rsidR="009A082D" w:rsidRPr="009E7120">
        <w:rPr>
          <w:rFonts w:ascii="Times New Roman" w:hAnsi="Times New Roman" w:cs="Times New Roman"/>
          <w:sz w:val="22"/>
          <w:szCs w:val="22"/>
        </w:rPr>
        <w:t>mmHg</w:t>
      </w:r>
      <w:r w:rsidR="00855AAB" w:rsidRPr="009E7120">
        <w:rPr>
          <w:rFonts w:ascii="Times New Roman" w:hAnsi="Times New Roman" w:cs="Times New Roman"/>
          <w:sz w:val="22"/>
          <w:szCs w:val="22"/>
        </w:rPr>
        <w:t>,</w:t>
      </w:r>
      <w:r w:rsidR="009A082D" w:rsidRPr="009E7120">
        <w:rPr>
          <w:rFonts w:ascii="Times New Roman" w:hAnsi="Times New Roman" w:cs="Times New Roman"/>
          <w:sz w:val="22"/>
          <w:szCs w:val="22"/>
        </w:rPr>
        <w:t xml:space="preserve"> </w:t>
      </w:r>
      <w:r w:rsidR="00855AAB" w:rsidRPr="009E7120">
        <w:rPr>
          <w:rFonts w:ascii="Times New Roman" w:hAnsi="Times New Roman" w:cs="Times New Roman"/>
          <w:sz w:val="22"/>
          <w:szCs w:val="22"/>
        </w:rPr>
        <w:t xml:space="preserve">with </w:t>
      </w:r>
      <w:r w:rsidR="005A1C32" w:rsidRPr="009E7120">
        <w:rPr>
          <w:rFonts w:ascii="Times New Roman" w:hAnsi="Times New Roman" w:cs="Times New Roman"/>
          <w:sz w:val="22"/>
          <w:szCs w:val="22"/>
        </w:rPr>
        <w:t xml:space="preserve">normal </w:t>
      </w:r>
      <w:r w:rsidR="00FE50AB" w:rsidRPr="009E7120">
        <w:rPr>
          <w:rFonts w:ascii="Times New Roman" w:hAnsi="Times New Roman" w:cs="Times New Roman"/>
          <w:sz w:val="22"/>
          <w:szCs w:val="22"/>
        </w:rPr>
        <w:t>peak cortisol values of</w:t>
      </w:r>
      <w:r w:rsidR="009A082D" w:rsidRPr="009E7120">
        <w:rPr>
          <w:rFonts w:ascii="Times New Roman" w:hAnsi="Times New Roman" w:cs="Times New Roman"/>
          <w:sz w:val="22"/>
          <w:szCs w:val="22"/>
        </w:rPr>
        <w:t xml:space="preserve"> 593 nmol/L and 608 nmol/L after Synacthen 250mcg. </w:t>
      </w:r>
    </w:p>
    <w:p w14:paraId="1D7DA035" w14:textId="77777777" w:rsidR="007A4B90" w:rsidRPr="009E7120" w:rsidRDefault="007A4B90" w:rsidP="009E7120">
      <w:pPr>
        <w:spacing w:line="480" w:lineRule="auto"/>
        <w:jc w:val="both"/>
        <w:rPr>
          <w:rFonts w:ascii="Times New Roman" w:hAnsi="Times New Roman" w:cs="Times New Roman"/>
          <w:sz w:val="22"/>
          <w:szCs w:val="22"/>
        </w:rPr>
      </w:pPr>
    </w:p>
    <w:p w14:paraId="30C66CB1" w14:textId="51260375" w:rsidR="00C7544D" w:rsidRPr="009E7120" w:rsidRDefault="00936FE7" w:rsidP="009E7120">
      <w:pPr>
        <w:spacing w:line="480" w:lineRule="auto"/>
        <w:jc w:val="both"/>
        <w:rPr>
          <w:rFonts w:ascii="Times New Roman" w:hAnsi="Times New Roman" w:cs="Times New Roman"/>
          <w:sz w:val="22"/>
          <w:szCs w:val="22"/>
        </w:rPr>
      </w:pPr>
      <w:r w:rsidRPr="009E7120">
        <w:rPr>
          <w:rFonts w:ascii="Times New Roman" w:hAnsi="Times New Roman" w:cs="Times New Roman"/>
          <w:sz w:val="22"/>
          <w:szCs w:val="22"/>
        </w:rPr>
        <w:t xml:space="preserve">For those who had DHEAS measured (n=68), </w:t>
      </w:r>
      <w:r w:rsidR="0002667F" w:rsidRPr="009E7120">
        <w:rPr>
          <w:rFonts w:ascii="Times New Roman" w:hAnsi="Times New Roman" w:cs="Times New Roman"/>
          <w:sz w:val="22"/>
          <w:szCs w:val="22"/>
        </w:rPr>
        <w:t xml:space="preserve">4.4% (n=3) had values below the age-specific </w:t>
      </w:r>
      <w:r w:rsidRPr="009E7120">
        <w:rPr>
          <w:rFonts w:ascii="Times New Roman" w:hAnsi="Times New Roman" w:cs="Times New Roman"/>
          <w:sz w:val="22"/>
          <w:szCs w:val="22"/>
        </w:rPr>
        <w:t>reference range. All patients had a satisfactory cortisol respo</w:t>
      </w:r>
      <w:r w:rsidR="007F5B42" w:rsidRPr="009E7120">
        <w:rPr>
          <w:rFonts w:ascii="Times New Roman" w:hAnsi="Times New Roman" w:cs="Times New Roman"/>
          <w:sz w:val="22"/>
          <w:szCs w:val="22"/>
        </w:rPr>
        <w:t xml:space="preserve">nse to Synacthen, </w:t>
      </w:r>
      <w:r w:rsidR="00B456FB" w:rsidRPr="009E7120">
        <w:rPr>
          <w:rFonts w:ascii="Times New Roman" w:hAnsi="Times New Roman" w:cs="Times New Roman"/>
          <w:sz w:val="22"/>
          <w:szCs w:val="22"/>
        </w:rPr>
        <w:t>with</w:t>
      </w:r>
      <w:r w:rsidR="00DE4C9F" w:rsidRPr="009E7120">
        <w:rPr>
          <w:rFonts w:ascii="Times New Roman" w:hAnsi="Times New Roman" w:cs="Times New Roman"/>
          <w:sz w:val="22"/>
          <w:szCs w:val="22"/>
        </w:rPr>
        <w:t xml:space="preserve"> a mean</w:t>
      </w:r>
      <w:r w:rsidR="007F5B42" w:rsidRPr="009E7120">
        <w:rPr>
          <w:rFonts w:ascii="Times New Roman" w:hAnsi="Times New Roman" w:cs="Times New Roman"/>
          <w:sz w:val="22"/>
          <w:szCs w:val="22"/>
        </w:rPr>
        <w:t xml:space="preserve"> </w:t>
      </w:r>
      <w:r w:rsidRPr="009E7120">
        <w:rPr>
          <w:rFonts w:ascii="Times New Roman" w:hAnsi="Times New Roman" w:cs="Times New Roman"/>
          <w:sz w:val="22"/>
          <w:szCs w:val="22"/>
        </w:rPr>
        <w:t xml:space="preserve">baseline cortisol of </w:t>
      </w:r>
      <w:r w:rsidR="007F5B42" w:rsidRPr="009E7120">
        <w:rPr>
          <w:rFonts w:ascii="Times New Roman" w:hAnsi="Times New Roman" w:cs="Times New Roman"/>
          <w:sz w:val="22"/>
          <w:szCs w:val="22"/>
        </w:rPr>
        <w:t>94, 288 and 304</w:t>
      </w:r>
      <w:r w:rsidR="00DE4C9F" w:rsidRPr="009E7120">
        <w:rPr>
          <w:rFonts w:ascii="Times New Roman" w:hAnsi="Times New Roman" w:cs="Times New Roman"/>
          <w:sz w:val="22"/>
          <w:szCs w:val="22"/>
        </w:rPr>
        <w:t xml:space="preserve"> </w:t>
      </w:r>
      <w:r w:rsidR="0041073A" w:rsidRPr="009E7120">
        <w:rPr>
          <w:rFonts w:ascii="Times New Roman" w:hAnsi="Times New Roman" w:cs="Times New Roman"/>
          <w:sz w:val="22"/>
          <w:szCs w:val="22"/>
        </w:rPr>
        <w:t>nmol/L</w:t>
      </w:r>
      <w:r w:rsidRPr="009E7120">
        <w:rPr>
          <w:rFonts w:ascii="Times New Roman" w:hAnsi="Times New Roman" w:cs="Times New Roman"/>
          <w:sz w:val="22"/>
          <w:szCs w:val="22"/>
        </w:rPr>
        <w:t xml:space="preserve"> and </w:t>
      </w:r>
      <w:r w:rsidR="00DE4C9F" w:rsidRPr="009E7120">
        <w:rPr>
          <w:rFonts w:ascii="Times New Roman" w:hAnsi="Times New Roman" w:cs="Times New Roman"/>
          <w:sz w:val="22"/>
          <w:szCs w:val="22"/>
        </w:rPr>
        <w:t xml:space="preserve">a </w:t>
      </w:r>
      <w:r w:rsidR="00E408A9" w:rsidRPr="009E7120">
        <w:rPr>
          <w:rFonts w:ascii="Times New Roman" w:hAnsi="Times New Roman" w:cs="Times New Roman"/>
          <w:sz w:val="22"/>
          <w:szCs w:val="22"/>
        </w:rPr>
        <w:t>peak cortisol of</w:t>
      </w:r>
      <w:r w:rsidR="005D2431" w:rsidRPr="009E7120">
        <w:rPr>
          <w:rFonts w:ascii="Times New Roman" w:hAnsi="Times New Roman" w:cs="Times New Roman"/>
          <w:sz w:val="22"/>
          <w:szCs w:val="22"/>
        </w:rPr>
        <w:t xml:space="preserve"> </w:t>
      </w:r>
      <w:r w:rsidR="007F5B42" w:rsidRPr="009E7120">
        <w:rPr>
          <w:rFonts w:ascii="Times New Roman" w:hAnsi="Times New Roman" w:cs="Times New Roman"/>
          <w:sz w:val="22"/>
          <w:szCs w:val="22"/>
        </w:rPr>
        <w:t xml:space="preserve">507, 572 and 608 </w:t>
      </w:r>
      <w:r w:rsidR="005D2431" w:rsidRPr="009E7120">
        <w:rPr>
          <w:rFonts w:ascii="Times New Roman" w:hAnsi="Times New Roman" w:cs="Times New Roman"/>
          <w:sz w:val="22"/>
          <w:szCs w:val="22"/>
        </w:rPr>
        <w:t>nmol/L</w:t>
      </w:r>
      <w:r w:rsidR="00E408A9" w:rsidRPr="009E7120">
        <w:rPr>
          <w:rFonts w:ascii="Times New Roman" w:hAnsi="Times New Roman" w:cs="Times New Roman"/>
          <w:sz w:val="22"/>
          <w:szCs w:val="22"/>
        </w:rPr>
        <w:t>. Peak c</w:t>
      </w:r>
      <w:r w:rsidRPr="009E7120">
        <w:rPr>
          <w:rFonts w:ascii="Times New Roman" w:hAnsi="Times New Roman" w:cs="Times New Roman"/>
          <w:sz w:val="22"/>
          <w:szCs w:val="22"/>
        </w:rPr>
        <w:t>ortisol response following Synacthen was no</w:t>
      </w:r>
      <w:r w:rsidR="00651A1D" w:rsidRPr="009E7120">
        <w:rPr>
          <w:rFonts w:ascii="Times New Roman" w:hAnsi="Times New Roman" w:cs="Times New Roman"/>
          <w:sz w:val="22"/>
          <w:szCs w:val="22"/>
        </w:rPr>
        <w:t>t significantly</w:t>
      </w:r>
      <w:r w:rsidRPr="009E7120">
        <w:rPr>
          <w:rFonts w:ascii="Times New Roman" w:hAnsi="Times New Roman" w:cs="Times New Roman"/>
          <w:sz w:val="22"/>
          <w:szCs w:val="22"/>
        </w:rPr>
        <w:t xml:space="preserve"> different in those with DHEAS values </w:t>
      </w:r>
      <w:r w:rsidR="005E6503" w:rsidRPr="009E7120">
        <w:rPr>
          <w:rFonts w:ascii="Times New Roman" w:hAnsi="Times New Roman" w:cs="Times New Roman"/>
          <w:sz w:val="22"/>
          <w:szCs w:val="22"/>
        </w:rPr>
        <w:t>with</w:t>
      </w:r>
      <w:r w:rsidRPr="009E7120">
        <w:rPr>
          <w:rFonts w:ascii="Times New Roman" w:hAnsi="Times New Roman" w:cs="Times New Roman"/>
          <w:sz w:val="22"/>
          <w:szCs w:val="22"/>
        </w:rPr>
        <w:t>in the age- and sex-</w:t>
      </w:r>
      <w:r w:rsidR="00DE4C9F" w:rsidRPr="009E7120">
        <w:rPr>
          <w:rFonts w:ascii="Times New Roman" w:hAnsi="Times New Roman" w:cs="Times New Roman"/>
          <w:sz w:val="22"/>
          <w:szCs w:val="22"/>
        </w:rPr>
        <w:t xml:space="preserve"> </w:t>
      </w:r>
      <w:r w:rsidRPr="009E7120">
        <w:rPr>
          <w:rFonts w:ascii="Times New Roman" w:hAnsi="Times New Roman" w:cs="Times New Roman"/>
          <w:sz w:val="22"/>
          <w:szCs w:val="22"/>
        </w:rPr>
        <w:t xml:space="preserve">specific reference range </w:t>
      </w:r>
      <w:r w:rsidR="000824D2" w:rsidRPr="009E7120">
        <w:rPr>
          <w:rFonts w:ascii="Times New Roman" w:hAnsi="Times New Roman" w:cs="Times New Roman"/>
          <w:sz w:val="22"/>
          <w:szCs w:val="22"/>
        </w:rPr>
        <w:t xml:space="preserve">nor </w:t>
      </w:r>
      <w:r w:rsidRPr="009E7120">
        <w:rPr>
          <w:rFonts w:ascii="Times New Roman" w:hAnsi="Times New Roman" w:cs="Times New Roman"/>
          <w:sz w:val="22"/>
          <w:szCs w:val="22"/>
        </w:rPr>
        <w:t>those with DHEAS values below the age- and sex-</w:t>
      </w:r>
      <w:r w:rsidR="000824D2" w:rsidRPr="009E7120">
        <w:rPr>
          <w:rFonts w:ascii="Times New Roman" w:hAnsi="Times New Roman" w:cs="Times New Roman"/>
          <w:sz w:val="22"/>
          <w:szCs w:val="22"/>
        </w:rPr>
        <w:t xml:space="preserve"> </w:t>
      </w:r>
      <w:r w:rsidRPr="009E7120">
        <w:rPr>
          <w:rFonts w:ascii="Times New Roman" w:hAnsi="Times New Roman" w:cs="Times New Roman"/>
          <w:sz w:val="22"/>
          <w:szCs w:val="22"/>
        </w:rPr>
        <w:t>specific reference range</w:t>
      </w:r>
      <w:r w:rsidR="007F5B42" w:rsidRPr="009E7120">
        <w:rPr>
          <w:rFonts w:ascii="Times New Roman" w:hAnsi="Times New Roman" w:cs="Times New Roman"/>
          <w:sz w:val="22"/>
          <w:szCs w:val="22"/>
        </w:rPr>
        <w:t xml:space="preserve"> (P=0.12</w:t>
      </w:r>
      <w:r w:rsidR="00E408A9" w:rsidRPr="009E7120">
        <w:rPr>
          <w:rFonts w:ascii="Times New Roman" w:hAnsi="Times New Roman" w:cs="Times New Roman"/>
          <w:sz w:val="22"/>
          <w:szCs w:val="22"/>
        </w:rPr>
        <w:t>)</w:t>
      </w:r>
      <w:r w:rsidR="00651A1D" w:rsidRPr="009E7120">
        <w:rPr>
          <w:rFonts w:ascii="Times New Roman" w:hAnsi="Times New Roman" w:cs="Times New Roman"/>
          <w:sz w:val="22"/>
          <w:szCs w:val="22"/>
        </w:rPr>
        <w:t xml:space="preserve">. Additionally, peak cortisol level was not related to basal DHEAS values (P=0.79) </w:t>
      </w:r>
      <w:r w:rsidR="005E6503" w:rsidRPr="009E7120">
        <w:rPr>
          <w:rFonts w:ascii="Times New Roman" w:hAnsi="Times New Roman" w:cs="Times New Roman"/>
          <w:sz w:val="22"/>
          <w:szCs w:val="22"/>
        </w:rPr>
        <w:t>(Figure 1A)</w:t>
      </w:r>
      <w:r w:rsidRPr="009E7120">
        <w:rPr>
          <w:rFonts w:ascii="Times New Roman" w:hAnsi="Times New Roman" w:cs="Times New Roman"/>
          <w:sz w:val="22"/>
          <w:szCs w:val="22"/>
        </w:rPr>
        <w:t xml:space="preserve">. DHEAS was not </w:t>
      </w:r>
      <w:r w:rsidR="0064597D" w:rsidRPr="009E7120">
        <w:rPr>
          <w:rFonts w:ascii="Times New Roman" w:hAnsi="Times New Roman" w:cs="Times New Roman"/>
          <w:sz w:val="22"/>
          <w:szCs w:val="22"/>
        </w:rPr>
        <w:t xml:space="preserve">significantly </w:t>
      </w:r>
      <w:r w:rsidRPr="009E7120">
        <w:rPr>
          <w:rFonts w:ascii="Times New Roman" w:hAnsi="Times New Roman" w:cs="Times New Roman"/>
          <w:sz w:val="22"/>
          <w:szCs w:val="22"/>
        </w:rPr>
        <w:t>different between those patients who were fully recovered, and t</w:t>
      </w:r>
      <w:r w:rsidR="00D12594">
        <w:rPr>
          <w:rFonts w:ascii="Times New Roman" w:hAnsi="Times New Roman" w:cs="Times New Roman"/>
          <w:sz w:val="22"/>
          <w:szCs w:val="22"/>
        </w:rPr>
        <w:t>hose with persistent fatigue</w:t>
      </w:r>
      <w:r w:rsidR="009223F8" w:rsidRPr="009E7120">
        <w:rPr>
          <w:rFonts w:ascii="Times New Roman" w:hAnsi="Times New Roman" w:cs="Times New Roman"/>
          <w:sz w:val="22"/>
          <w:szCs w:val="22"/>
        </w:rPr>
        <w:t xml:space="preserve"> </w:t>
      </w:r>
      <w:r w:rsidR="00D12594">
        <w:rPr>
          <w:rFonts w:ascii="Times New Roman" w:hAnsi="Times New Roman" w:cs="Times New Roman"/>
          <w:sz w:val="22"/>
          <w:szCs w:val="22"/>
        </w:rPr>
        <w:t>(</w:t>
      </w:r>
      <w:r w:rsidR="009223F8" w:rsidRPr="009E7120">
        <w:rPr>
          <w:rFonts w:ascii="Times New Roman" w:hAnsi="Times New Roman" w:cs="Times New Roman"/>
          <w:sz w:val="22"/>
          <w:szCs w:val="22"/>
        </w:rPr>
        <w:t>P=0.25</w:t>
      </w:r>
      <w:r w:rsidR="00791FF3" w:rsidRPr="009E7120">
        <w:rPr>
          <w:rFonts w:ascii="Times New Roman" w:hAnsi="Times New Roman" w:cs="Times New Roman"/>
          <w:sz w:val="22"/>
          <w:szCs w:val="22"/>
        </w:rPr>
        <w:t>)</w:t>
      </w:r>
      <w:r w:rsidR="005D2431" w:rsidRPr="009E7120">
        <w:rPr>
          <w:rFonts w:ascii="Times New Roman" w:hAnsi="Times New Roman" w:cs="Times New Roman"/>
          <w:sz w:val="22"/>
          <w:szCs w:val="22"/>
        </w:rPr>
        <w:t xml:space="preserve"> (Figure 1</w:t>
      </w:r>
      <w:r w:rsidR="005E6503" w:rsidRPr="009E7120">
        <w:rPr>
          <w:rFonts w:ascii="Times New Roman" w:hAnsi="Times New Roman" w:cs="Times New Roman"/>
          <w:sz w:val="22"/>
          <w:szCs w:val="22"/>
        </w:rPr>
        <w:t>B</w:t>
      </w:r>
      <w:r w:rsidR="005D2431" w:rsidRPr="009E7120">
        <w:rPr>
          <w:rFonts w:ascii="Times New Roman" w:hAnsi="Times New Roman" w:cs="Times New Roman"/>
          <w:sz w:val="22"/>
          <w:szCs w:val="22"/>
        </w:rPr>
        <w:t>)</w:t>
      </w:r>
      <w:r w:rsidR="009223F8" w:rsidRPr="009E7120">
        <w:rPr>
          <w:rFonts w:ascii="Times New Roman" w:hAnsi="Times New Roman" w:cs="Times New Roman"/>
          <w:sz w:val="22"/>
          <w:szCs w:val="22"/>
        </w:rPr>
        <w:t xml:space="preserve">. </w:t>
      </w:r>
      <w:r w:rsidRPr="009E7120">
        <w:rPr>
          <w:rFonts w:ascii="Times New Roman" w:hAnsi="Times New Roman" w:cs="Times New Roman"/>
          <w:sz w:val="22"/>
          <w:szCs w:val="22"/>
        </w:rPr>
        <w:t xml:space="preserve"> </w:t>
      </w:r>
      <w:r w:rsidR="00A328C5" w:rsidRPr="009E7120">
        <w:rPr>
          <w:rFonts w:ascii="Times New Roman" w:hAnsi="Times New Roman" w:cs="Times New Roman"/>
          <w:sz w:val="22"/>
          <w:szCs w:val="22"/>
        </w:rPr>
        <w:t>In our cohort, 13 (21.7%)</w:t>
      </w:r>
      <w:r w:rsidR="00257701" w:rsidRPr="009E7120">
        <w:rPr>
          <w:rFonts w:ascii="Times New Roman" w:hAnsi="Times New Roman" w:cs="Times New Roman"/>
          <w:sz w:val="22"/>
          <w:szCs w:val="22"/>
        </w:rPr>
        <w:t xml:space="preserve"> of 60 patients</w:t>
      </w:r>
      <w:r w:rsidR="003226F5" w:rsidRPr="009E7120">
        <w:rPr>
          <w:rFonts w:ascii="Times New Roman" w:hAnsi="Times New Roman" w:cs="Times New Roman"/>
          <w:sz w:val="22"/>
          <w:szCs w:val="22"/>
        </w:rPr>
        <w:t xml:space="preserve"> who had</w:t>
      </w:r>
      <w:r w:rsidR="00257701" w:rsidRPr="009E7120">
        <w:rPr>
          <w:rFonts w:ascii="Times New Roman" w:hAnsi="Times New Roman" w:cs="Times New Roman"/>
          <w:sz w:val="22"/>
          <w:szCs w:val="22"/>
        </w:rPr>
        <w:t xml:space="preserve"> aldosterone measured,</w:t>
      </w:r>
      <w:r w:rsidR="00A328C5" w:rsidRPr="009E7120">
        <w:rPr>
          <w:rFonts w:ascii="Times New Roman" w:hAnsi="Times New Roman" w:cs="Times New Roman"/>
          <w:sz w:val="22"/>
          <w:szCs w:val="22"/>
        </w:rPr>
        <w:t xml:space="preserve"> had aldosterone </w:t>
      </w:r>
      <w:r w:rsidR="003226F5" w:rsidRPr="009E7120">
        <w:rPr>
          <w:rFonts w:ascii="Times New Roman" w:hAnsi="Times New Roman" w:cs="Times New Roman"/>
          <w:sz w:val="22"/>
          <w:szCs w:val="22"/>
        </w:rPr>
        <w:t xml:space="preserve">levels </w:t>
      </w:r>
      <w:r w:rsidR="00A328C5" w:rsidRPr="009E7120">
        <w:rPr>
          <w:rFonts w:ascii="Times New Roman" w:hAnsi="Times New Roman" w:cs="Times New Roman"/>
          <w:sz w:val="22"/>
          <w:szCs w:val="22"/>
        </w:rPr>
        <w:t xml:space="preserve">below the lower limit of the reference range, </w:t>
      </w:r>
      <w:r w:rsidR="003226F5" w:rsidRPr="009E7120">
        <w:rPr>
          <w:rFonts w:ascii="Times New Roman" w:hAnsi="Times New Roman" w:cs="Times New Roman"/>
          <w:sz w:val="22"/>
          <w:szCs w:val="22"/>
        </w:rPr>
        <w:t xml:space="preserve">albeit </w:t>
      </w:r>
      <w:r w:rsidR="00A328C5" w:rsidRPr="009E7120">
        <w:rPr>
          <w:rFonts w:ascii="Times New Roman" w:hAnsi="Times New Roman" w:cs="Times New Roman"/>
          <w:sz w:val="22"/>
          <w:szCs w:val="22"/>
        </w:rPr>
        <w:t xml:space="preserve">none had elevated renin values. </w:t>
      </w:r>
    </w:p>
    <w:p w14:paraId="5CAC06E8" w14:textId="22851EA4" w:rsidR="009A3A79" w:rsidRPr="009E7120" w:rsidRDefault="00570855" w:rsidP="009E7120">
      <w:pPr>
        <w:spacing w:line="480" w:lineRule="auto"/>
        <w:jc w:val="both"/>
        <w:rPr>
          <w:rFonts w:ascii="Times New Roman" w:hAnsi="Times New Roman" w:cs="Times New Roman"/>
          <w:sz w:val="22"/>
          <w:szCs w:val="22"/>
        </w:rPr>
      </w:pPr>
      <w:r w:rsidRPr="009E7120">
        <w:rPr>
          <w:rFonts w:ascii="Times New Roman" w:hAnsi="Times New Roman" w:cs="Times New Roman"/>
          <w:sz w:val="22"/>
          <w:szCs w:val="22"/>
        </w:rPr>
        <w:lastRenderedPageBreak/>
        <w:t xml:space="preserve">Our findings are </w:t>
      </w:r>
      <w:r w:rsidR="005113A5" w:rsidRPr="009E7120">
        <w:rPr>
          <w:rFonts w:ascii="Times New Roman" w:hAnsi="Times New Roman" w:cs="Times New Roman"/>
          <w:sz w:val="22"/>
          <w:szCs w:val="22"/>
        </w:rPr>
        <w:t>similar</w:t>
      </w:r>
      <w:r w:rsidRPr="009E7120">
        <w:rPr>
          <w:rFonts w:ascii="Times New Roman" w:hAnsi="Times New Roman" w:cs="Times New Roman"/>
          <w:sz w:val="22"/>
          <w:szCs w:val="22"/>
        </w:rPr>
        <w:t xml:space="preserve"> </w:t>
      </w:r>
      <w:r w:rsidR="005113A5" w:rsidRPr="009E7120">
        <w:rPr>
          <w:rFonts w:ascii="Times New Roman" w:hAnsi="Times New Roman" w:cs="Times New Roman"/>
          <w:sz w:val="22"/>
          <w:szCs w:val="22"/>
        </w:rPr>
        <w:t>to</w:t>
      </w:r>
      <w:r w:rsidRPr="009E7120">
        <w:rPr>
          <w:rFonts w:ascii="Times New Roman" w:hAnsi="Times New Roman" w:cs="Times New Roman"/>
          <w:sz w:val="22"/>
          <w:szCs w:val="22"/>
        </w:rPr>
        <w:t xml:space="preserve"> those from other groups. In data presented at the British Endocrine Society meeting</w:t>
      </w:r>
      <w:r w:rsidR="00797DF7" w:rsidRPr="009E7120">
        <w:rPr>
          <w:rFonts w:ascii="Times New Roman" w:hAnsi="Times New Roman" w:cs="Times New Roman"/>
          <w:sz w:val="22"/>
          <w:szCs w:val="22"/>
        </w:rPr>
        <w:t xml:space="preserve"> in 2021</w:t>
      </w:r>
      <w:r w:rsidRPr="009E7120">
        <w:rPr>
          <w:rFonts w:ascii="Times New Roman" w:hAnsi="Times New Roman" w:cs="Times New Roman"/>
          <w:sz w:val="22"/>
          <w:szCs w:val="22"/>
        </w:rPr>
        <w:t xml:space="preserve">, </w:t>
      </w:r>
      <w:proofErr w:type="spellStart"/>
      <w:r w:rsidRPr="009E7120">
        <w:rPr>
          <w:rFonts w:ascii="Times New Roman" w:hAnsi="Times New Roman" w:cs="Times New Roman"/>
          <w:sz w:val="22"/>
          <w:szCs w:val="22"/>
        </w:rPr>
        <w:t>Eltayeb</w:t>
      </w:r>
      <w:proofErr w:type="spellEnd"/>
      <w:r w:rsidRPr="009E7120">
        <w:rPr>
          <w:rFonts w:ascii="Times New Roman" w:hAnsi="Times New Roman" w:cs="Times New Roman"/>
          <w:sz w:val="22"/>
          <w:szCs w:val="22"/>
        </w:rPr>
        <w:t xml:space="preserve"> and colleagues observed that </w:t>
      </w:r>
      <w:r w:rsidR="00F55904" w:rsidRPr="009E7120">
        <w:rPr>
          <w:rFonts w:ascii="Times New Roman" w:hAnsi="Times New Roman" w:cs="Times New Roman"/>
          <w:sz w:val="22"/>
          <w:szCs w:val="22"/>
        </w:rPr>
        <w:t xml:space="preserve">although </w:t>
      </w:r>
      <w:r w:rsidR="0043560B" w:rsidRPr="009E7120">
        <w:rPr>
          <w:rFonts w:ascii="Times New Roman" w:hAnsi="Times New Roman" w:cs="Times New Roman"/>
          <w:sz w:val="22"/>
          <w:szCs w:val="22"/>
        </w:rPr>
        <w:t>30% (18/60) of patients treated dexamethasone for acute Covid-19 had evidence of adrenal insufficiency after initially stopping dexamethasone,</w:t>
      </w:r>
      <w:r w:rsidR="00F55904" w:rsidRPr="009E7120">
        <w:rPr>
          <w:rFonts w:ascii="Times New Roman" w:hAnsi="Times New Roman" w:cs="Times New Roman"/>
          <w:sz w:val="22"/>
          <w:szCs w:val="22"/>
        </w:rPr>
        <w:t xml:space="preserve"> </w:t>
      </w:r>
      <w:r w:rsidR="009A3A79" w:rsidRPr="009E7120">
        <w:rPr>
          <w:rFonts w:ascii="Times New Roman" w:hAnsi="Times New Roman" w:cs="Times New Roman"/>
          <w:sz w:val="22"/>
          <w:szCs w:val="22"/>
        </w:rPr>
        <w:t xml:space="preserve">the majority of patients had </w:t>
      </w:r>
      <w:r w:rsidR="007D6A77" w:rsidRPr="009E7120">
        <w:rPr>
          <w:rFonts w:ascii="Times New Roman" w:hAnsi="Times New Roman" w:cs="Times New Roman"/>
          <w:sz w:val="22"/>
          <w:szCs w:val="22"/>
        </w:rPr>
        <w:t>recovered</w:t>
      </w:r>
      <w:r w:rsidR="009A3A79" w:rsidRPr="009E7120">
        <w:rPr>
          <w:rFonts w:ascii="Times New Roman" w:hAnsi="Times New Roman" w:cs="Times New Roman"/>
          <w:sz w:val="22"/>
          <w:szCs w:val="22"/>
        </w:rPr>
        <w:t xml:space="preserve"> by 4 weeks, suggesting that any early adrenal insufficiency observed was likely related to steroid treatment, rather than COVID-19 per se</w:t>
      </w:r>
      <w:r w:rsidR="000C59C3" w:rsidRPr="009E7120">
        <w:rPr>
          <w:rFonts w:ascii="Times New Roman" w:hAnsi="Times New Roman" w:cs="Times New Roman"/>
          <w:sz w:val="22"/>
          <w:szCs w:val="22"/>
        </w:rPr>
        <w:fldChar w:fldCharType="begin" w:fldLock="1"/>
      </w:r>
      <w:r w:rsidR="00296FD8">
        <w:rPr>
          <w:rFonts w:ascii="Times New Roman" w:hAnsi="Times New Roman" w:cs="Times New Roman"/>
          <w:sz w:val="22"/>
          <w:szCs w:val="22"/>
        </w:rPr>
        <w:instrText>ADDIN CSL_CITATION {"citationItems":[{"id":"ITEM-1","itemData":{"DOI":"10.1530/endoabs.77.P9","abstract":"Introduction: The RECOVERY trial2 reported patients with Covid-19 receiving requiring invasive mechanical ventilation or oxygen that the use of dexamethasone (6 mg for 10 days) resulted in lower 28-day mortality. Adrenal insufficiency (AI) from hypothalamic-pituitary-adrenal (HPA) axis suppression3 is a serious, potentially life-threatening side effect of glucocorticoids treatment. Objective: We aimed to investigate the effects of Covid dexamethasone protocols on adrenal function. Methodology: We collected data from patients admitted with a diagnosis of Covid-19 treated with dexamethasone or hydrocortisone by searching electronic patient records from November 2020 to March 2021 at our institution. Adrenal function was screened by 09:00 am cortisol, at least 48 hours off of steroids. Cortisol levels&gt;300 nmol/l excluded adrenal insufficiency. Levels between 100-300 nmol/l underwent further assessment. Concentration &lt;100 nmol started on hydrocortisones replacement. Results: 79 patients were alive at the time of initial data collection. 51/79 patients had 7-10 days 6 mg dexamethasone whilst 28/79 had additional ARDS regimen of dexamethasone. 8 of this group died, and data available for 60 patients. 18/60 had suboptimal cortisol level (&lt;300nmol/l) and 5/60 had cortisol &lt;100 nmol 48 hours after stopping dexamethasone, 4 of these having had ARDS regimen of prolonged dexamethasone. 10 patients recovered their axis prior to confirmatory testing within 1-4 weeks. Confirmatory testing undertaken SST (Short Synacthen test) on 6/18 patients. 5 had satisfactory results, 1 of them unable to attend yet. Summary: These data demonstrate minimal risk of adrenal insufficiency after treating with Recovery doses of dexamethasone 6 mg. Almost 50% of patients on ARDS regimen on ICU had early evidence adrenal insufficiency- rate of recovery unclear because of deaths in this cohort. This cohort may need steroid cover for invasive procures such as tracheostomy, but this currently remains unclear. These data also suggest that Covid-19 itself does not cause adrenal insufficiency which is reassuring.","author":[{"dropping-particle":"","family":"Eltayeb","given":"Randa","non-dropping-particle":"","parse-names":false,"suffix":""},{"dropping-particle":"","family":"Marwood","given":"Oliver","non-dropping-particle":"","parse-names":false,"suffix":""},{"dropping-particle":"","family":"Kellam","given":"Shaun","non-dropping-particle":"","parse-names":false,"suffix":""},{"dropping-particle":"","family":"Simpson","given":"Helen","non-dropping-particle":"","parse-names":false,"suffix":""}],"container-title":"Society for Endocrinology Annual Meeting","id":"ITEM-1","issued":{"date-parts":[["2021"]]},"title":"Cortisol measurement post steroids (Dexamethasone) treatment for COVID-19","type":"paper-conference"},"uris":["http://www.mendeley.com/documents/?uuid=c18e4de3-f338-4ad6-9ee1-23f3e0c34532"]}],"mendeley":{"formattedCitation":"&lt;sup&gt;13&lt;/sup&gt;","plainTextFormattedCitation":"13","previouslyFormattedCitation":"&lt;sup&gt;13&lt;/sup&gt;"},"properties":{"noteIndex":0},"schema":"https://github.com/citation-style-language/schema/raw/master/csl-citation.json"}</w:instrText>
      </w:r>
      <w:r w:rsidR="000C59C3" w:rsidRPr="009E7120">
        <w:rPr>
          <w:rFonts w:ascii="Times New Roman" w:hAnsi="Times New Roman" w:cs="Times New Roman"/>
          <w:sz w:val="22"/>
          <w:szCs w:val="22"/>
        </w:rPr>
        <w:fldChar w:fldCharType="separate"/>
      </w:r>
      <w:r w:rsidR="00296FD8" w:rsidRPr="00296FD8">
        <w:rPr>
          <w:rFonts w:ascii="Times New Roman" w:hAnsi="Times New Roman" w:cs="Times New Roman"/>
          <w:noProof/>
          <w:sz w:val="22"/>
          <w:szCs w:val="22"/>
          <w:vertAlign w:val="superscript"/>
        </w:rPr>
        <w:t>13</w:t>
      </w:r>
      <w:r w:rsidR="000C59C3" w:rsidRPr="009E7120">
        <w:rPr>
          <w:rFonts w:ascii="Times New Roman" w:hAnsi="Times New Roman" w:cs="Times New Roman"/>
          <w:sz w:val="22"/>
          <w:szCs w:val="22"/>
        </w:rPr>
        <w:fldChar w:fldCharType="end"/>
      </w:r>
      <w:r w:rsidR="009A3A79" w:rsidRPr="009E7120">
        <w:rPr>
          <w:rFonts w:ascii="Times New Roman" w:hAnsi="Times New Roman" w:cs="Times New Roman"/>
          <w:sz w:val="22"/>
          <w:szCs w:val="22"/>
        </w:rPr>
        <w:t xml:space="preserve">. </w:t>
      </w:r>
    </w:p>
    <w:p w14:paraId="5126E4FD" w14:textId="77777777" w:rsidR="00581E2E" w:rsidRPr="009E7120" w:rsidRDefault="00581E2E" w:rsidP="009E7120">
      <w:pPr>
        <w:spacing w:line="480" w:lineRule="auto"/>
        <w:jc w:val="both"/>
        <w:rPr>
          <w:rFonts w:ascii="Times New Roman" w:hAnsi="Times New Roman" w:cs="Times New Roman"/>
          <w:sz w:val="22"/>
          <w:szCs w:val="22"/>
        </w:rPr>
      </w:pPr>
    </w:p>
    <w:p w14:paraId="4E91CD9E" w14:textId="3CAB2CB2" w:rsidR="009A3A79" w:rsidRPr="009E7120" w:rsidRDefault="009A3A79" w:rsidP="009E7120">
      <w:pPr>
        <w:spacing w:line="480" w:lineRule="auto"/>
        <w:jc w:val="both"/>
        <w:rPr>
          <w:rFonts w:ascii="Times New Roman" w:hAnsi="Times New Roman" w:cs="Times New Roman"/>
          <w:sz w:val="22"/>
          <w:szCs w:val="22"/>
        </w:rPr>
      </w:pPr>
      <w:r w:rsidRPr="009E7120">
        <w:rPr>
          <w:rFonts w:ascii="Times New Roman" w:hAnsi="Times New Roman" w:cs="Times New Roman"/>
          <w:sz w:val="22"/>
          <w:szCs w:val="22"/>
        </w:rPr>
        <w:t xml:space="preserve">In summary, </w:t>
      </w:r>
      <w:r w:rsidR="005D2271" w:rsidRPr="009E7120">
        <w:rPr>
          <w:rFonts w:ascii="Times New Roman" w:hAnsi="Times New Roman" w:cs="Times New Roman"/>
          <w:sz w:val="22"/>
          <w:szCs w:val="22"/>
        </w:rPr>
        <w:t>despite</w:t>
      </w:r>
      <w:r w:rsidR="006C704B" w:rsidRPr="009E7120">
        <w:rPr>
          <w:rFonts w:ascii="Times New Roman" w:hAnsi="Times New Roman" w:cs="Times New Roman"/>
          <w:sz w:val="22"/>
          <w:szCs w:val="22"/>
        </w:rPr>
        <w:t xml:space="preserve"> </w:t>
      </w:r>
      <w:r w:rsidR="005870A7" w:rsidRPr="009E7120">
        <w:rPr>
          <w:rFonts w:ascii="Times New Roman" w:hAnsi="Times New Roman" w:cs="Times New Roman"/>
          <w:sz w:val="22"/>
          <w:szCs w:val="22"/>
        </w:rPr>
        <w:t xml:space="preserve">recent histopathological evidence of the presence of SARS-CoV-2 within the adrenal glands, </w:t>
      </w:r>
      <w:r w:rsidR="005D2271" w:rsidRPr="009E7120">
        <w:rPr>
          <w:rFonts w:ascii="Times New Roman" w:hAnsi="Times New Roman" w:cs="Times New Roman"/>
          <w:sz w:val="22"/>
          <w:szCs w:val="22"/>
        </w:rPr>
        <w:t xml:space="preserve">there is no evidence </w:t>
      </w:r>
      <w:r w:rsidR="00A2574E" w:rsidRPr="009E7120">
        <w:rPr>
          <w:rFonts w:ascii="Times New Roman" w:hAnsi="Times New Roman" w:cs="Times New Roman"/>
          <w:sz w:val="22"/>
          <w:szCs w:val="22"/>
        </w:rPr>
        <w:t xml:space="preserve">to date </w:t>
      </w:r>
      <w:r w:rsidR="005D2271" w:rsidRPr="009E7120">
        <w:rPr>
          <w:rFonts w:ascii="Times New Roman" w:hAnsi="Times New Roman" w:cs="Times New Roman"/>
          <w:sz w:val="22"/>
          <w:szCs w:val="22"/>
        </w:rPr>
        <w:t>that, in patients who survive COVID-19, adrenocortical</w:t>
      </w:r>
      <w:r w:rsidR="005870A7" w:rsidRPr="009E7120">
        <w:rPr>
          <w:rFonts w:ascii="Times New Roman" w:hAnsi="Times New Roman" w:cs="Times New Roman"/>
          <w:sz w:val="22"/>
          <w:szCs w:val="22"/>
        </w:rPr>
        <w:t xml:space="preserve"> or mineralocorticoid</w:t>
      </w:r>
      <w:r w:rsidR="005D2271" w:rsidRPr="009E7120">
        <w:rPr>
          <w:rFonts w:ascii="Times New Roman" w:hAnsi="Times New Roman" w:cs="Times New Roman"/>
          <w:sz w:val="22"/>
          <w:szCs w:val="22"/>
        </w:rPr>
        <w:t xml:space="preserve"> function is persistently affected</w:t>
      </w:r>
      <w:r w:rsidR="00A2574E" w:rsidRPr="009E7120">
        <w:rPr>
          <w:rFonts w:ascii="Times New Roman" w:hAnsi="Times New Roman" w:cs="Times New Roman"/>
          <w:sz w:val="22"/>
          <w:szCs w:val="22"/>
        </w:rPr>
        <w:t>, even in those patients with ongoing fatigue</w:t>
      </w:r>
      <w:r w:rsidR="00D31625" w:rsidRPr="009E7120">
        <w:rPr>
          <w:rFonts w:ascii="Times New Roman" w:hAnsi="Times New Roman" w:cs="Times New Roman"/>
          <w:sz w:val="22"/>
          <w:szCs w:val="22"/>
        </w:rPr>
        <w:t xml:space="preserve"> at ≥3 months after presentation</w:t>
      </w:r>
      <w:r w:rsidR="005D2271" w:rsidRPr="009E7120">
        <w:rPr>
          <w:rFonts w:ascii="Times New Roman" w:hAnsi="Times New Roman" w:cs="Times New Roman"/>
          <w:sz w:val="22"/>
          <w:szCs w:val="22"/>
        </w:rPr>
        <w:t xml:space="preserve">. </w:t>
      </w:r>
      <w:r w:rsidR="00581E2E">
        <w:rPr>
          <w:rFonts w:ascii="Times New Roman" w:hAnsi="Times New Roman" w:cs="Times New Roman"/>
          <w:sz w:val="22"/>
          <w:szCs w:val="22"/>
        </w:rPr>
        <w:t>Given that Long COVID is a complex, multi-system disorder,</w:t>
      </w:r>
      <w:r w:rsidR="00E406C7">
        <w:rPr>
          <w:rFonts w:ascii="Times New Roman" w:hAnsi="Times New Roman" w:cs="Times New Roman"/>
          <w:sz w:val="22"/>
          <w:szCs w:val="22"/>
        </w:rPr>
        <w:t xml:space="preserve"> that remains little understoo</w:t>
      </w:r>
      <w:r w:rsidR="00697702">
        <w:rPr>
          <w:rFonts w:ascii="Times New Roman" w:hAnsi="Times New Roman" w:cs="Times New Roman"/>
          <w:sz w:val="22"/>
          <w:szCs w:val="22"/>
        </w:rPr>
        <w:t>d</w:t>
      </w:r>
      <w:r w:rsidR="00581E2E">
        <w:rPr>
          <w:rFonts w:ascii="Times New Roman" w:hAnsi="Times New Roman" w:cs="Times New Roman"/>
          <w:sz w:val="22"/>
          <w:szCs w:val="22"/>
        </w:rPr>
        <w:t xml:space="preserve">, larger long-term studies comparing patients diagnosed with COVID-19 and persistent symptoms, to those without, as well as healthy controls, might provide interesting insights into the prevalence of subtle perturbations in adrenal function. </w:t>
      </w:r>
    </w:p>
    <w:p w14:paraId="5A1EE098" w14:textId="77777777" w:rsidR="007F02FF" w:rsidRPr="009E7120" w:rsidRDefault="007F02FF" w:rsidP="009E7120">
      <w:pPr>
        <w:tabs>
          <w:tab w:val="left" w:pos="527"/>
        </w:tabs>
        <w:spacing w:line="480" w:lineRule="auto"/>
        <w:jc w:val="both"/>
        <w:rPr>
          <w:rFonts w:ascii="Times New Roman" w:hAnsi="Times New Roman" w:cs="Times New Roman"/>
          <w:sz w:val="22"/>
          <w:szCs w:val="22"/>
        </w:rPr>
      </w:pPr>
    </w:p>
    <w:p w14:paraId="0286B6EE" w14:textId="26CB6B8B" w:rsidR="00B004E5" w:rsidRPr="009E7120" w:rsidRDefault="00B004E5" w:rsidP="009E7120">
      <w:pPr>
        <w:tabs>
          <w:tab w:val="left" w:pos="527"/>
        </w:tabs>
        <w:spacing w:line="480" w:lineRule="auto"/>
        <w:jc w:val="both"/>
        <w:rPr>
          <w:rFonts w:ascii="Times New Roman" w:hAnsi="Times New Roman" w:cs="Times New Roman"/>
          <w:sz w:val="22"/>
          <w:szCs w:val="22"/>
        </w:rPr>
      </w:pPr>
      <w:bookmarkStart w:id="0" w:name="_GoBack"/>
      <w:bookmarkEnd w:id="0"/>
    </w:p>
    <w:p w14:paraId="7981D83C" w14:textId="21DDC7AD" w:rsidR="0002667F" w:rsidRPr="009E7120" w:rsidRDefault="0002667F" w:rsidP="009E7120">
      <w:pPr>
        <w:spacing w:line="480" w:lineRule="auto"/>
        <w:jc w:val="both"/>
        <w:rPr>
          <w:rFonts w:ascii="Times New Roman" w:hAnsi="Times New Roman" w:cs="Times New Roman"/>
          <w:b/>
          <w:sz w:val="22"/>
          <w:szCs w:val="22"/>
        </w:rPr>
      </w:pPr>
      <w:r w:rsidRPr="009E7120">
        <w:rPr>
          <w:rFonts w:ascii="Times New Roman" w:hAnsi="Times New Roman" w:cs="Times New Roman"/>
          <w:b/>
          <w:sz w:val="22"/>
          <w:szCs w:val="22"/>
        </w:rPr>
        <w:t>Figure Legend</w:t>
      </w:r>
    </w:p>
    <w:p w14:paraId="32C7051D" w14:textId="19AF3FA5" w:rsidR="00164CE6" w:rsidRPr="009E7120" w:rsidRDefault="00164CE6" w:rsidP="009E7120">
      <w:pPr>
        <w:spacing w:line="480" w:lineRule="auto"/>
        <w:jc w:val="both"/>
        <w:rPr>
          <w:rFonts w:ascii="Times New Roman" w:hAnsi="Times New Roman" w:cs="Times New Roman"/>
          <w:b/>
          <w:sz w:val="22"/>
          <w:szCs w:val="22"/>
        </w:rPr>
      </w:pPr>
      <w:r w:rsidRPr="009E7120">
        <w:rPr>
          <w:rFonts w:ascii="Times New Roman" w:hAnsi="Times New Roman" w:cs="Times New Roman"/>
          <w:b/>
          <w:sz w:val="22"/>
          <w:szCs w:val="22"/>
        </w:rPr>
        <w:t xml:space="preserve">Figure 1 </w:t>
      </w:r>
      <w:proofErr w:type="spellStart"/>
      <w:r w:rsidRPr="009E7120">
        <w:rPr>
          <w:rFonts w:ascii="Times New Roman" w:hAnsi="Times New Roman" w:cs="Times New Roman"/>
          <w:b/>
          <w:sz w:val="22"/>
          <w:szCs w:val="22"/>
        </w:rPr>
        <w:t>Dihydroepiandrosterone</w:t>
      </w:r>
      <w:proofErr w:type="spellEnd"/>
      <w:r w:rsidRPr="009E7120">
        <w:rPr>
          <w:rFonts w:ascii="Times New Roman" w:hAnsi="Times New Roman" w:cs="Times New Roman"/>
          <w:b/>
          <w:sz w:val="22"/>
          <w:szCs w:val="22"/>
        </w:rPr>
        <w:t xml:space="preserve"> (DHEAS) and peak cortisol levels following administration of Synacthen (Tetracosactide) 250</w:t>
      </w:r>
      <w:r w:rsidR="00F61916" w:rsidRPr="009E7120">
        <w:rPr>
          <w:rFonts w:ascii="Times New Roman" w:hAnsi="Times New Roman" w:cs="Times New Roman"/>
          <w:b/>
          <w:sz w:val="22"/>
          <w:szCs w:val="22"/>
        </w:rPr>
        <w:t>μg in survivors of COVID-19 ≥3 months after initial presentation.</w:t>
      </w:r>
      <w:r w:rsidR="00F61916" w:rsidRPr="009E7120">
        <w:rPr>
          <w:rFonts w:ascii="Times New Roman" w:hAnsi="Times New Roman" w:cs="Times New Roman"/>
          <w:sz w:val="22"/>
          <w:szCs w:val="22"/>
        </w:rPr>
        <w:t xml:space="preserve"> </w:t>
      </w:r>
    </w:p>
    <w:p w14:paraId="05517AB9" w14:textId="396A720E" w:rsidR="0002667F" w:rsidRPr="009E7120" w:rsidRDefault="00164CE6" w:rsidP="009E7120">
      <w:pPr>
        <w:spacing w:line="480" w:lineRule="auto"/>
        <w:jc w:val="both"/>
        <w:rPr>
          <w:rFonts w:ascii="Times New Roman" w:hAnsi="Times New Roman" w:cs="Times New Roman"/>
          <w:sz w:val="22"/>
          <w:szCs w:val="22"/>
        </w:rPr>
      </w:pPr>
      <w:r w:rsidRPr="009E7120">
        <w:rPr>
          <w:rFonts w:ascii="Times New Roman" w:hAnsi="Times New Roman" w:cs="Times New Roman"/>
          <w:b/>
          <w:sz w:val="22"/>
          <w:szCs w:val="22"/>
        </w:rPr>
        <w:t xml:space="preserve">Figure 1A: </w:t>
      </w:r>
      <w:r w:rsidR="00F61916" w:rsidRPr="009E7120">
        <w:rPr>
          <w:rFonts w:ascii="Times New Roman" w:hAnsi="Times New Roman" w:cs="Times New Roman"/>
          <w:sz w:val="22"/>
          <w:szCs w:val="22"/>
        </w:rPr>
        <w:t xml:space="preserve">Individual </w:t>
      </w:r>
      <w:r w:rsidRPr="009E7120">
        <w:rPr>
          <w:rFonts w:ascii="Times New Roman" w:hAnsi="Times New Roman" w:cs="Times New Roman"/>
          <w:sz w:val="22"/>
          <w:szCs w:val="22"/>
        </w:rPr>
        <w:t>peak cortisol (nmol/L) levels</w:t>
      </w:r>
      <w:r w:rsidR="00651A1D" w:rsidRPr="009E7120">
        <w:rPr>
          <w:rFonts w:ascii="Times New Roman" w:hAnsi="Times New Roman" w:cs="Times New Roman"/>
          <w:sz w:val="22"/>
          <w:szCs w:val="22"/>
        </w:rPr>
        <w:t xml:space="preserve"> and baseline DHEAS values (</w:t>
      </w:r>
      <w:proofErr w:type="spellStart"/>
      <w:r w:rsidR="00651A1D" w:rsidRPr="009E7120">
        <w:rPr>
          <w:rFonts w:ascii="Times New Roman" w:hAnsi="Times New Roman" w:cs="Times New Roman"/>
          <w:sz w:val="22"/>
          <w:szCs w:val="22"/>
        </w:rPr>
        <w:t>μmol</w:t>
      </w:r>
      <w:proofErr w:type="spellEnd"/>
      <w:r w:rsidR="00651A1D" w:rsidRPr="009E7120">
        <w:rPr>
          <w:rFonts w:ascii="Times New Roman" w:hAnsi="Times New Roman" w:cs="Times New Roman"/>
          <w:sz w:val="22"/>
          <w:szCs w:val="22"/>
        </w:rPr>
        <w:t xml:space="preserve">/L) </w:t>
      </w:r>
      <w:r w:rsidRPr="009E7120">
        <w:rPr>
          <w:rFonts w:ascii="Times New Roman" w:hAnsi="Times New Roman" w:cs="Times New Roman"/>
          <w:sz w:val="22"/>
          <w:szCs w:val="22"/>
        </w:rPr>
        <w:t>following administration of Synacthen (tetracosactide) 250μg</w:t>
      </w:r>
      <w:r w:rsidR="00F61916" w:rsidRPr="009E7120">
        <w:rPr>
          <w:rFonts w:ascii="Times New Roman" w:hAnsi="Times New Roman" w:cs="Times New Roman"/>
          <w:sz w:val="22"/>
          <w:szCs w:val="22"/>
        </w:rPr>
        <w:t xml:space="preserve"> are presented for </w:t>
      </w:r>
      <w:r w:rsidR="0064597D" w:rsidRPr="009E7120">
        <w:rPr>
          <w:rFonts w:ascii="Times New Roman" w:hAnsi="Times New Roman" w:cs="Times New Roman"/>
          <w:sz w:val="22"/>
          <w:szCs w:val="22"/>
        </w:rPr>
        <w:t xml:space="preserve">patients for whom data is available </w:t>
      </w:r>
      <w:r w:rsidR="00F61916" w:rsidRPr="009E7120">
        <w:rPr>
          <w:rFonts w:ascii="Times New Roman" w:hAnsi="Times New Roman" w:cs="Times New Roman"/>
          <w:sz w:val="22"/>
          <w:szCs w:val="22"/>
        </w:rPr>
        <w:t>(n=6</w:t>
      </w:r>
      <w:r w:rsidR="0064597D" w:rsidRPr="009E7120">
        <w:rPr>
          <w:rFonts w:ascii="Times New Roman" w:hAnsi="Times New Roman" w:cs="Times New Roman"/>
          <w:sz w:val="22"/>
          <w:szCs w:val="22"/>
        </w:rPr>
        <w:t>8</w:t>
      </w:r>
      <w:r w:rsidR="00F61916" w:rsidRPr="009E7120">
        <w:rPr>
          <w:rFonts w:ascii="Times New Roman" w:hAnsi="Times New Roman" w:cs="Times New Roman"/>
          <w:sz w:val="22"/>
          <w:szCs w:val="22"/>
        </w:rPr>
        <w:t xml:space="preserve">). </w:t>
      </w:r>
    </w:p>
    <w:p w14:paraId="529FAD93" w14:textId="4C7065F0" w:rsidR="00164CE6" w:rsidRPr="009E7120" w:rsidRDefault="00F61916" w:rsidP="009E7120">
      <w:pPr>
        <w:spacing w:line="480" w:lineRule="auto"/>
        <w:jc w:val="both"/>
        <w:rPr>
          <w:rFonts w:ascii="Times New Roman" w:hAnsi="Times New Roman" w:cs="Times New Roman"/>
          <w:bCs/>
          <w:sz w:val="22"/>
          <w:szCs w:val="22"/>
        </w:rPr>
      </w:pPr>
      <w:r w:rsidRPr="009E7120">
        <w:rPr>
          <w:rFonts w:ascii="Times New Roman" w:hAnsi="Times New Roman" w:cs="Times New Roman"/>
          <w:b/>
          <w:sz w:val="22"/>
          <w:szCs w:val="22"/>
        </w:rPr>
        <w:t>Figure 1B</w:t>
      </w:r>
      <w:r w:rsidR="00164CE6" w:rsidRPr="009E7120">
        <w:rPr>
          <w:rFonts w:ascii="Times New Roman" w:hAnsi="Times New Roman" w:cs="Times New Roman"/>
          <w:b/>
          <w:sz w:val="22"/>
          <w:szCs w:val="22"/>
        </w:rPr>
        <w:t>:</w:t>
      </w:r>
      <w:r w:rsidR="00164CE6" w:rsidRPr="009E7120">
        <w:rPr>
          <w:rFonts w:ascii="Times New Roman" w:hAnsi="Times New Roman" w:cs="Times New Roman"/>
          <w:sz w:val="22"/>
          <w:szCs w:val="22"/>
        </w:rPr>
        <w:t xml:space="preserve"> </w:t>
      </w:r>
      <w:r w:rsidR="008D2295" w:rsidRPr="009E7120">
        <w:rPr>
          <w:rFonts w:ascii="Times New Roman" w:hAnsi="Times New Roman" w:cs="Times New Roman"/>
          <w:sz w:val="22"/>
          <w:szCs w:val="22"/>
        </w:rPr>
        <w:t xml:space="preserve">Individual DHEAS values are presented for those patients with persistent fatigue ≥3 months after initial presentation with COVID-19 (n=42) and those without persistent fatigue (n=26). </w:t>
      </w:r>
    </w:p>
    <w:p w14:paraId="5177BBF3" w14:textId="77777777" w:rsidR="009102E9" w:rsidRPr="009E7120" w:rsidRDefault="009102E9" w:rsidP="009E7120">
      <w:pPr>
        <w:spacing w:line="480" w:lineRule="auto"/>
        <w:jc w:val="both"/>
        <w:rPr>
          <w:rFonts w:ascii="Times New Roman" w:hAnsi="Times New Roman" w:cs="Times New Roman"/>
          <w:b/>
          <w:sz w:val="22"/>
          <w:szCs w:val="22"/>
        </w:rPr>
      </w:pPr>
    </w:p>
    <w:p w14:paraId="770D9001" w14:textId="6122C67B" w:rsidR="00113F0C" w:rsidRPr="009E7120" w:rsidRDefault="00113F0C" w:rsidP="009E7120">
      <w:pPr>
        <w:spacing w:line="480" w:lineRule="auto"/>
        <w:jc w:val="both"/>
        <w:rPr>
          <w:rFonts w:ascii="Times New Roman" w:hAnsi="Times New Roman" w:cs="Times New Roman"/>
          <w:b/>
          <w:sz w:val="22"/>
          <w:szCs w:val="22"/>
        </w:rPr>
      </w:pPr>
      <w:r w:rsidRPr="009E7120">
        <w:rPr>
          <w:rFonts w:ascii="Times New Roman" w:hAnsi="Times New Roman" w:cs="Times New Roman"/>
          <w:b/>
          <w:sz w:val="22"/>
          <w:szCs w:val="22"/>
        </w:rPr>
        <w:lastRenderedPageBreak/>
        <w:t xml:space="preserve">Data </w:t>
      </w:r>
      <w:r w:rsidR="004C219E" w:rsidRPr="009E7120">
        <w:rPr>
          <w:rFonts w:ascii="Times New Roman" w:hAnsi="Times New Roman" w:cs="Times New Roman"/>
          <w:b/>
          <w:sz w:val="22"/>
          <w:szCs w:val="22"/>
        </w:rPr>
        <w:t>A</w:t>
      </w:r>
      <w:r w:rsidRPr="009E7120">
        <w:rPr>
          <w:rFonts w:ascii="Times New Roman" w:hAnsi="Times New Roman" w:cs="Times New Roman"/>
          <w:b/>
          <w:sz w:val="22"/>
          <w:szCs w:val="22"/>
        </w:rPr>
        <w:t>vailability Statement</w:t>
      </w:r>
    </w:p>
    <w:p w14:paraId="5E5A77B0" w14:textId="6E1B5B41" w:rsidR="00113F0C" w:rsidRPr="009E7120" w:rsidRDefault="00113F0C" w:rsidP="009E7120">
      <w:pPr>
        <w:spacing w:line="480" w:lineRule="auto"/>
        <w:jc w:val="both"/>
        <w:rPr>
          <w:rFonts w:ascii="Times New Roman" w:hAnsi="Times New Roman" w:cs="Times New Roman"/>
          <w:sz w:val="22"/>
          <w:szCs w:val="22"/>
        </w:rPr>
      </w:pPr>
      <w:r w:rsidRPr="009E7120">
        <w:rPr>
          <w:rFonts w:ascii="Times New Roman" w:hAnsi="Times New Roman" w:cs="Times New Roman"/>
          <w:sz w:val="22"/>
          <w:szCs w:val="22"/>
        </w:rPr>
        <w:t>The data that support the findings of this study are available from the corresponding author upon reasonable request.</w:t>
      </w:r>
    </w:p>
    <w:p w14:paraId="6537383E" w14:textId="12759ED5" w:rsidR="00651A1D" w:rsidRPr="009E7120" w:rsidRDefault="007F02FF" w:rsidP="009E7120">
      <w:pPr>
        <w:spacing w:line="480" w:lineRule="auto"/>
        <w:rPr>
          <w:rFonts w:ascii="Times New Roman" w:hAnsi="Times New Roman" w:cs="Times New Roman"/>
          <w:sz w:val="22"/>
          <w:szCs w:val="22"/>
        </w:rPr>
      </w:pPr>
      <w:r w:rsidRPr="009E7120">
        <w:rPr>
          <w:rFonts w:ascii="Times New Roman" w:hAnsi="Times New Roman" w:cs="Times New Roman"/>
          <w:sz w:val="22"/>
          <w:szCs w:val="22"/>
        </w:rPr>
        <w:br w:type="page"/>
      </w:r>
    </w:p>
    <w:p w14:paraId="44F6D11C" w14:textId="44434397" w:rsidR="007D6A77" w:rsidRPr="009E7120" w:rsidRDefault="007D6A77" w:rsidP="009E7120">
      <w:pPr>
        <w:spacing w:line="480" w:lineRule="auto"/>
        <w:jc w:val="both"/>
        <w:rPr>
          <w:rFonts w:ascii="Times New Roman" w:hAnsi="Times New Roman" w:cs="Times New Roman"/>
          <w:b/>
          <w:sz w:val="22"/>
          <w:szCs w:val="22"/>
        </w:rPr>
      </w:pPr>
      <w:r w:rsidRPr="009E7120">
        <w:rPr>
          <w:rFonts w:ascii="Times New Roman" w:hAnsi="Times New Roman" w:cs="Times New Roman"/>
          <w:b/>
          <w:sz w:val="22"/>
          <w:szCs w:val="22"/>
        </w:rPr>
        <w:lastRenderedPageBreak/>
        <w:t>References:</w:t>
      </w:r>
    </w:p>
    <w:p w14:paraId="3247E86C" w14:textId="6436C9DA" w:rsidR="00D062BD" w:rsidRPr="00D062BD" w:rsidRDefault="00B81EA5" w:rsidP="00D062BD">
      <w:pPr>
        <w:widowControl w:val="0"/>
        <w:autoSpaceDE w:val="0"/>
        <w:autoSpaceDN w:val="0"/>
        <w:adjustRightInd w:val="0"/>
        <w:spacing w:line="480" w:lineRule="auto"/>
        <w:ind w:left="640" w:hanging="640"/>
        <w:rPr>
          <w:rFonts w:ascii="Times New Roman" w:hAnsi="Times New Roman" w:cs="Times New Roman"/>
          <w:noProof/>
          <w:sz w:val="22"/>
          <w:lang w:val="en-US"/>
        </w:rPr>
      </w:pPr>
      <w:r w:rsidRPr="009E7120">
        <w:rPr>
          <w:rFonts w:ascii="Times New Roman" w:hAnsi="Times New Roman" w:cs="Times New Roman"/>
          <w:sz w:val="22"/>
          <w:szCs w:val="22"/>
        </w:rPr>
        <w:fldChar w:fldCharType="begin" w:fldLock="1"/>
      </w:r>
      <w:r w:rsidRPr="009E7120">
        <w:rPr>
          <w:rFonts w:ascii="Times New Roman" w:hAnsi="Times New Roman" w:cs="Times New Roman"/>
          <w:sz w:val="22"/>
          <w:szCs w:val="22"/>
        </w:rPr>
        <w:instrText xml:space="preserve">ADDIN Mendeley Bibliography CSL_BIBLIOGRAPHY </w:instrText>
      </w:r>
      <w:r w:rsidRPr="009E7120">
        <w:rPr>
          <w:rFonts w:ascii="Times New Roman" w:hAnsi="Times New Roman" w:cs="Times New Roman"/>
          <w:sz w:val="22"/>
          <w:szCs w:val="22"/>
        </w:rPr>
        <w:fldChar w:fldCharType="separate"/>
      </w:r>
      <w:r w:rsidR="00D062BD" w:rsidRPr="00D062BD">
        <w:rPr>
          <w:rFonts w:ascii="Times New Roman" w:hAnsi="Times New Roman" w:cs="Times New Roman"/>
          <w:noProof/>
          <w:sz w:val="22"/>
          <w:lang w:val="en-US"/>
        </w:rPr>
        <w:t xml:space="preserve">1. </w:t>
      </w:r>
      <w:r w:rsidR="00D062BD" w:rsidRPr="00D062BD">
        <w:rPr>
          <w:rFonts w:ascii="Times New Roman" w:hAnsi="Times New Roman" w:cs="Times New Roman"/>
          <w:noProof/>
          <w:sz w:val="22"/>
          <w:lang w:val="en-US"/>
        </w:rPr>
        <w:tab/>
        <w:t xml:space="preserve">Ayoubkhani D. Prevalence of ongoing symptoms following coronavirus ( COVID-19 ) infection in the UK : 6 January 2022. </w:t>
      </w:r>
      <w:r w:rsidR="00D062BD" w:rsidRPr="00D062BD">
        <w:rPr>
          <w:rFonts w:ascii="Times New Roman" w:hAnsi="Times New Roman" w:cs="Times New Roman"/>
          <w:i/>
          <w:iCs/>
          <w:noProof/>
          <w:sz w:val="22"/>
          <w:lang w:val="en-US"/>
        </w:rPr>
        <w:t>Off Natl Stat</w:t>
      </w:r>
      <w:r w:rsidR="00D062BD" w:rsidRPr="00D062BD">
        <w:rPr>
          <w:rFonts w:ascii="Times New Roman" w:hAnsi="Times New Roman" w:cs="Times New Roman"/>
          <w:noProof/>
          <w:sz w:val="22"/>
          <w:lang w:val="en-US"/>
        </w:rPr>
        <w:t>. 2022;(January):1-16. https://www.ons.gov.uk/peoplepopulationandcommunity/healthandsocialcare/conditionsanddiseases/bulletins/prevalenceofongoingsymptomsfollowingcoronaviruscovid19infectionintheuk/7october2021.</w:t>
      </w:r>
    </w:p>
    <w:p w14:paraId="0BAC4071" w14:textId="77777777" w:rsidR="00D062BD" w:rsidRPr="00D062BD" w:rsidRDefault="00D062BD" w:rsidP="00D062BD">
      <w:pPr>
        <w:widowControl w:val="0"/>
        <w:autoSpaceDE w:val="0"/>
        <w:autoSpaceDN w:val="0"/>
        <w:adjustRightInd w:val="0"/>
        <w:spacing w:line="480" w:lineRule="auto"/>
        <w:ind w:left="640" w:hanging="640"/>
        <w:rPr>
          <w:rFonts w:ascii="Times New Roman" w:hAnsi="Times New Roman" w:cs="Times New Roman"/>
          <w:noProof/>
          <w:sz w:val="22"/>
          <w:lang w:val="en-US"/>
        </w:rPr>
      </w:pPr>
      <w:r w:rsidRPr="00D062BD">
        <w:rPr>
          <w:rFonts w:ascii="Times New Roman" w:hAnsi="Times New Roman" w:cs="Times New Roman"/>
          <w:noProof/>
          <w:sz w:val="22"/>
          <w:lang w:val="en-US"/>
        </w:rPr>
        <w:t xml:space="preserve">2. </w:t>
      </w:r>
      <w:r w:rsidRPr="00D062BD">
        <w:rPr>
          <w:rFonts w:ascii="Times New Roman" w:hAnsi="Times New Roman" w:cs="Times New Roman"/>
          <w:noProof/>
          <w:sz w:val="22"/>
          <w:lang w:val="en-US"/>
        </w:rPr>
        <w:tab/>
        <w:t xml:space="preserve">Taquet M, Dercon Q, Luciano S, Geddes JR, Husain M, Harrison PJ. Incidence, co-occurrence, and evolution of long-COVID features: A 6-month retrospective cohort study of 273,618 survivors of COVID-19. </w:t>
      </w:r>
      <w:r w:rsidRPr="00D062BD">
        <w:rPr>
          <w:rFonts w:ascii="Times New Roman" w:hAnsi="Times New Roman" w:cs="Times New Roman"/>
          <w:i/>
          <w:iCs/>
          <w:noProof/>
          <w:sz w:val="22"/>
          <w:lang w:val="en-US"/>
        </w:rPr>
        <w:t>PLoS Med</w:t>
      </w:r>
      <w:r w:rsidRPr="00D062BD">
        <w:rPr>
          <w:rFonts w:ascii="Times New Roman" w:hAnsi="Times New Roman" w:cs="Times New Roman"/>
          <w:noProof/>
          <w:sz w:val="22"/>
          <w:lang w:val="en-US"/>
        </w:rPr>
        <w:t>. 2021;18(9):1-22. doi:10.1371/journal.pmed.1003773</w:t>
      </w:r>
    </w:p>
    <w:p w14:paraId="6A30F448" w14:textId="77777777" w:rsidR="00D062BD" w:rsidRPr="00D062BD" w:rsidRDefault="00D062BD" w:rsidP="00D062BD">
      <w:pPr>
        <w:widowControl w:val="0"/>
        <w:autoSpaceDE w:val="0"/>
        <w:autoSpaceDN w:val="0"/>
        <w:adjustRightInd w:val="0"/>
        <w:spacing w:line="480" w:lineRule="auto"/>
        <w:ind w:left="640" w:hanging="640"/>
        <w:rPr>
          <w:rFonts w:ascii="Times New Roman" w:hAnsi="Times New Roman" w:cs="Times New Roman"/>
          <w:noProof/>
          <w:sz w:val="22"/>
          <w:lang w:val="en-US"/>
        </w:rPr>
      </w:pPr>
      <w:r w:rsidRPr="00D062BD">
        <w:rPr>
          <w:rFonts w:ascii="Times New Roman" w:hAnsi="Times New Roman" w:cs="Times New Roman"/>
          <w:noProof/>
          <w:sz w:val="22"/>
          <w:lang w:val="en-US"/>
        </w:rPr>
        <w:t xml:space="preserve">3. </w:t>
      </w:r>
      <w:r w:rsidRPr="00D062BD">
        <w:rPr>
          <w:rFonts w:ascii="Times New Roman" w:hAnsi="Times New Roman" w:cs="Times New Roman"/>
          <w:noProof/>
          <w:sz w:val="22"/>
          <w:lang w:val="en-US"/>
        </w:rPr>
        <w:tab/>
        <w:t xml:space="preserve">Kanczkowski W, Evert K, Stadtmüller M, et al. COVID-19 targets human adrenal glands. </w:t>
      </w:r>
      <w:r w:rsidRPr="00D062BD">
        <w:rPr>
          <w:rFonts w:ascii="Times New Roman" w:hAnsi="Times New Roman" w:cs="Times New Roman"/>
          <w:i/>
          <w:iCs/>
          <w:noProof/>
          <w:sz w:val="22"/>
          <w:lang w:val="en-US"/>
        </w:rPr>
        <w:t>Lancet Diabetes Endocrinol</w:t>
      </w:r>
      <w:r w:rsidRPr="00D062BD">
        <w:rPr>
          <w:rFonts w:ascii="Times New Roman" w:hAnsi="Times New Roman" w:cs="Times New Roman"/>
          <w:noProof/>
          <w:sz w:val="22"/>
          <w:lang w:val="en-US"/>
        </w:rPr>
        <w:t>. 2021;8587(21):19-21. doi:10.1016/s2213-8587(21)00291-6</w:t>
      </w:r>
    </w:p>
    <w:p w14:paraId="73186810" w14:textId="77777777" w:rsidR="00D062BD" w:rsidRPr="00D062BD" w:rsidRDefault="00D062BD" w:rsidP="00D062BD">
      <w:pPr>
        <w:widowControl w:val="0"/>
        <w:autoSpaceDE w:val="0"/>
        <w:autoSpaceDN w:val="0"/>
        <w:adjustRightInd w:val="0"/>
        <w:spacing w:line="480" w:lineRule="auto"/>
        <w:ind w:left="640" w:hanging="640"/>
        <w:rPr>
          <w:rFonts w:ascii="Times New Roman" w:hAnsi="Times New Roman" w:cs="Times New Roman"/>
          <w:noProof/>
          <w:sz w:val="22"/>
          <w:lang w:val="en-US"/>
        </w:rPr>
      </w:pPr>
      <w:r w:rsidRPr="00D062BD">
        <w:rPr>
          <w:rFonts w:ascii="Times New Roman" w:hAnsi="Times New Roman" w:cs="Times New Roman"/>
          <w:noProof/>
          <w:sz w:val="22"/>
          <w:lang w:val="en-US"/>
        </w:rPr>
        <w:t xml:space="preserve">4. </w:t>
      </w:r>
      <w:r w:rsidRPr="00D062BD">
        <w:rPr>
          <w:rFonts w:ascii="Times New Roman" w:hAnsi="Times New Roman" w:cs="Times New Roman"/>
          <w:noProof/>
          <w:sz w:val="22"/>
          <w:lang w:val="en-US"/>
        </w:rPr>
        <w:tab/>
        <w:t>Mao Y, Xu B, Guan W, Xu D, Li F, Ren R. The Adrenal Cortex , an Underestimated Site of SARS-CoV-2 Infection. 2021;11(January):1-10. doi:10.3389/fendo.2020.593179</w:t>
      </w:r>
    </w:p>
    <w:p w14:paraId="0A5D1BF6" w14:textId="77777777" w:rsidR="00D062BD" w:rsidRPr="00D062BD" w:rsidRDefault="00D062BD" w:rsidP="00D062BD">
      <w:pPr>
        <w:widowControl w:val="0"/>
        <w:autoSpaceDE w:val="0"/>
        <w:autoSpaceDN w:val="0"/>
        <w:adjustRightInd w:val="0"/>
        <w:spacing w:line="480" w:lineRule="auto"/>
        <w:ind w:left="640" w:hanging="640"/>
        <w:rPr>
          <w:rFonts w:ascii="Times New Roman" w:hAnsi="Times New Roman" w:cs="Times New Roman"/>
          <w:noProof/>
          <w:sz w:val="22"/>
          <w:lang w:val="en-US"/>
        </w:rPr>
      </w:pPr>
      <w:r w:rsidRPr="00D062BD">
        <w:rPr>
          <w:rFonts w:ascii="Times New Roman" w:hAnsi="Times New Roman" w:cs="Times New Roman"/>
          <w:noProof/>
          <w:sz w:val="22"/>
          <w:lang w:val="en-US"/>
        </w:rPr>
        <w:t xml:space="preserve">5. </w:t>
      </w:r>
      <w:r w:rsidRPr="00D062BD">
        <w:rPr>
          <w:rFonts w:ascii="Times New Roman" w:hAnsi="Times New Roman" w:cs="Times New Roman"/>
          <w:noProof/>
          <w:sz w:val="22"/>
          <w:lang w:val="en-US"/>
        </w:rPr>
        <w:tab/>
        <w:t xml:space="preserve">Elkhouly MMN, Elazzab AA, Moghul SS. Bilateral adrenal hemorrhage in a man with severe COVID-19 pneumonia. </w:t>
      </w:r>
      <w:r w:rsidRPr="00D062BD">
        <w:rPr>
          <w:rFonts w:ascii="Times New Roman" w:hAnsi="Times New Roman" w:cs="Times New Roman"/>
          <w:i/>
          <w:iCs/>
          <w:noProof/>
          <w:sz w:val="22"/>
          <w:lang w:val="en-US"/>
        </w:rPr>
        <w:t>Radiol Case Reports</w:t>
      </w:r>
      <w:r w:rsidRPr="00D062BD">
        <w:rPr>
          <w:rFonts w:ascii="Times New Roman" w:hAnsi="Times New Roman" w:cs="Times New Roman"/>
          <w:noProof/>
          <w:sz w:val="22"/>
          <w:lang w:val="en-US"/>
        </w:rPr>
        <w:t>. 2021;16(6):1438-1442. doi:10.1016/j.radcr.2021.03.032</w:t>
      </w:r>
    </w:p>
    <w:p w14:paraId="31066072" w14:textId="77777777" w:rsidR="00D062BD" w:rsidRPr="00D062BD" w:rsidRDefault="00D062BD" w:rsidP="00D062BD">
      <w:pPr>
        <w:widowControl w:val="0"/>
        <w:autoSpaceDE w:val="0"/>
        <w:autoSpaceDN w:val="0"/>
        <w:adjustRightInd w:val="0"/>
        <w:spacing w:line="480" w:lineRule="auto"/>
        <w:ind w:left="640" w:hanging="640"/>
        <w:rPr>
          <w:rFonts w:ascii="Times New Roman" w:hAnsi="Times New Roman" w:cs="Times New Roman"/>
          <w:noProof/>
          <w:sz w:val="22"/>
          <w:lang w:val="en-US"/>
        </w:rPr>
      </w:pPr>
      <w:r w:rsidRPr="00D062BD">
        <w:rPr>
          <w:rFonts w:ascii="Times New Roman" w:hAnsi="Times New Roman" w:cs="Times New Roman"/>
          <w:noProof/>
          <w:sz w:val="22"/>
          <w:lang w:val="en-US"/>
        </w:rPr>
        <w:t xml:space="preserve">6. </w:t>
      </w:r>
      <w:r w:rsidRPr="00D062BD">
        <w:rPr>
          <w:rFonts w:ascii="Times New Roman" w:hAnsi="Times New Roman" w:cs="Times New Roman"/>
          <w:noProof/>
          <w:sz w:val="22"/>
          <w:lang w:val="en-US"/>
        </w:rPr>
        <w:tab/>
        <w:t>Sharrack N, Baxter CT, Paddock M, Uchegbu E. Adrenal haemorrhage as a complication of COVID-19 infection. :5-8. doi:10.1136/bcr-2020-239643</w:t>
      </w:r>
    </w:p>
    <w:p w14:paraId="5CAEB21B" w14:textId="77777777" w:rsidR="00D062BD" w:rsidRPr="00D062BD" w:rsidRDefault="00D062BD" w:rsidP="00D062BD">
      <w:pPr>
        <w:widowControl w:val="0"/>
        <w:autoSpaceDE w:val="0"/>
        <w:autoSpaceDN w:val="0"/>
        <w:adjustRightInd w:val="0"/>
        <w:spacing w:line="480" w:lineRule="auto"/>
        <w:ind w:left="640" w:hanging="640"/>
        <w:rPr>
          <w:rFonts w:ascii="Times New Roman" w:hAnsi="Times New Roman" w:cs="Times New Roman"/>
          <w:noProof/>
          <w:sz w:val="22"/>
          <w:lang w:val="en-US"/>
        </w:rPr>
      </w:pPr>
      <w:r w:rsidRPr="00D062BD">
        <w:rPr>
          <w:rFonts w:ascii="Times New Roman" w:hAnsi="Times New Roman" w:cs="Times New Roman"/>
          <w:noProof/>
          <w:sz w:val="22"/>
          <w:lang w:val="en-US"/>
        </w:rPr>
        <w:t xml:space="preserve">7. </w:t>
      </w:r>
      <w:r w:rsidRPr="00D062BD">
        <w:rPr>
          <w:rFonts w:ascii="Times New Roman" w:hAnsi="Times New Roman" w:cs="Times New Roman"/>
          <w:noProof/>
          <w:sz w:val="22"/>
          <w:lang w:val="en-US"/>
        </w:rPr>
        <w:tab/>
        <w:t>Alvarez-Troncoso J, Larrauri MZ, Vega MDM, et al. Case Report : COVID-19 with Bilateral Adrenal Hemorrhage. 2020;103(3):1156-1157. doi:10.4269/ajtmh.20-0722</w:t>
      </w:r>
    </w:p>
    <w:p w14:paraId="34F39498" w14:textId="77777777" w:rsidR="00D062BD" w:rsidRPr="00D062BD" w:rsidRDefault="00D062BD" w:rsidP="00D062BD">
      <w:pPr>
        <w:widowControl w:val="0"/>
        <w:autoSpaceDE w:val="0"/>
        <w:autoSpaceDN w:val="0"/>
        <w:adjustRightInd w:val="0"/>
        <w:spacing w:line="480" w:lineRule="auto"/>
        <w:ind w:left="640" w:hanging="640"/>
        <w:rPr>
          <w:rFonts w:ascii="Times New Roman" w:hAnsi="Times New Roman" w:cs="Times New Roman"/>
          <w:noProof/>
          <w:sz w:val="22"/>
          <w:lang w:val="en-US"/>
        </w:rPr>
      </w:pPr>
      <w:r w:rsidRPr="00D062BD">
        <w:rPr>
          <w:rFonts w:ascii="Times New Roman" w:hAnsi="Times New Roman" w:cs="Times New Roman"/>
          <w:noProof/>
          <w:sz w:val="22"/>
          <w:lang w:val="en-US"/>
        </w:rPr>
        <w:t xml:space="preserve">8. </w:t>
      </w:r>
      <w:r w:rsidRPr="00D062BD">
        <w:rPr>
          <w:rFonts w:ascii="Times New Roman" w:hAnsi="Times New Roman" w:cs="Times New Roman"/>
          <w:noProof/>
          <w:sz w:val="22"/>
          <w:lang w:val="en-US"/>
        </w:rPr>
        <w:tab/>
        <w:t xml:space="preserve">Kumar R, Guruparan T, Siddiqi S, et al. A case of adrenal infarction in a patient with COVID 19 infection. </w:t>
      </w:r>
      <w:r w:rsidRPr="00D062BD">
        <w:rPr>
          <w:rFonts w:ascii="Times New Roman" w:hAnsi="Times New Roman" w:cs="Times New Roman"/>
          <w:i/>
          <w:iCs/>
          <w:noProof/>
          <w:sz w:val="22"/>
          <w:lang w:val="en-US"/>
        </w:rPr>
        <w:t>BJR|case reports</w:t>
      </w:r>
      <w:r w:rsidRPr="00D062BD">
        <w:rPr>
          <w:rFonts w:ascii="Times New Roman" w:hAnsi="Times New Roman" w:cs="Times New Roman"/>
          <w:noProof/>
          <w:sz w:val="22"/>
          <w:lang w:val="en-US"/>
        </w:rPr>
        <w:t>. 2020;6(3):20200075. doi:10.1259/bjrcr.20200075</w:t>
      </w:r>
    </w:p>
    <w:p w14:paraId="7F985C70" w14:textId="77777777" w:rsidR="00D062BD" w:rsidRPr="00D062BD" w:rsidRDefault="00D062BD" w:rsidP="00D062BD">
      <w:pPr>
        <w:widowControl w:val="0"/>
        <w:autoSpaceDE w:val="0"/>
        <w:autoSpaceDN w:val="0"/>
        <w:adjustRightInd w:val="0"/>
        <w:spacing w:line="480" w:lineRule="auto"/>
        <w:ind w:left="640" w:hanging="640"/>
        <w:rPr>
          <w:rFonts w:ascii="Times New Roman" w:hAnsi="Times New Roman" w:cs="Times New Roman"/>
          <w:noProof/>
          <w:sz w:val="22"/>
          <w:lang w:val="en-US"/>
        </w:rPr>
      </w:pPr>
      <w:r w:rsidRPr="00D062BD">
        <w:rPr>
          <w:rFonts w:ascii="Times New Roman" w:hAnsi="Times New Roman" w:cs="Times New Roman"/>
          <w:noProof/>
          <w:sz w:val="22"/>
          <w:lang w:val="en-US"/>
        </w:rPr>
        <w:t xml:space="preserve">9. </w:t>
      </w:r>
      <w:r w:rsidRPr="00D062BD">
        <w:rPr>
          <w:rFonts w:ascii="Times New Roman" w:hAnsi="Times New Roman" w:cs="Times New Roman"/>
          <w:noProof/>
          <w:sz w:val="22"/>
          <w:lang w:val="en-US"/>
        </w:rPr>
        <w:tab/>
        <w:t xml:space="preserve">Machado IFR, Menezes IQ, Figueiredo SR, et al. Primary Adrenal Insufficiency Due to Bilateral Adrenal Infarction in COVID-19. </w:t>
      </w:r>
      <w:r w:rsidRPr="00D062BD">
        <w:rPr>
          <w:rFonts w:ascii="Times New Roman" w:hAnsi="Times New Roman" w:cs="Times New Roman"/>
          <w:i/>
          <w:iCs/>
          <w:noProof/>
          <w:sz w:val="22"/>
          <w:lang w:val="en-US"/>
        </w:rPr>
        <w:t>J Clin Endocrinol Metab</w:t>
      </w:r>
      <w:r w:rsidRPr="00D062BD">
        <w:rPr>
          <w:rFonts w:ascii="Times New Roman" w:hAnsi="Times New Roman" w:cs="Times New Roman"/>
          <w:noProof/>
          <w:sz w:val="22"/>
          <w:lang w:val="en-US"/>
        </w:rPr>
        <w:t xml:space="preserve">. </w:t>
      </w:r>
      <w:r w:rsidRPr="00D062BD">
        <w:rPr>
          <w:rFonts w:ascii="Times New Roman" w:hAnsi="Times New Roman" w:cs="Times New Roman"/>
          <w:noProof/>
          <w:sz w:val="22"/>
          <w:lang w:val="en-US"/>
        </w:rPr>
        <w:lastRenderedPageBreak/>
        <w:t>2022;107(1):e394-e400. doi:10.1210/clinem/dgab557</w:t>
      </w:r>
    </w:p>
    <w:p w14:paraId="131F30FF" w14:textId="77777777" w:rsidR="00D062BD" w:rsidRPr="00D062BD" w:rsidRDefault="00D062BD" w:rsidP="00D062BD">
      <w:pPr>
        <w:widowControl w:val="0"/>
        <w:autoSpaceDE w:val="0"/>
        <w:autoSpaceDN w:val="0"/>
        <w:adjustRightInd w:val="0"/>
        <w:spacing w:line="480" w:lineRule="auto"/>
        <w:ind w:left="640" w:hanging="640"/>
        <w:rPr>
          <w:rFonts w:ascii="Times New Roman" w:hAnsi="Times New Roman" w:cs="Times New Roman"/>
          <w:noProof/>
          <w:sz w:val="22"/>
          <w:lang w:val="en-US"/>
        </w:rPr>
      </w:pPr>
      <w:r w:rsidRPr="00D062BD">
        <w:rPr>
          <w:rFonts w:ascii="Times New Roman" w:hAnsi="Times New Roman" w:cs="Times New Roman"/>
          <w:noProof/>
          <w:sz w:val="22"/>
          <w:lang w:val="en-US"/>
        </w:rPr>
        <w:t xml:space="preserve">10. </w:t>
      </w:r>
      <w:r w:rsidRPr="00D062BD">
        <w:rPr>
          <w:rFonts w:ascii="Times New Roman" w:hAnsi="Times New Roman" w:cs="Times New Roman"/>
          <w:noProof/>
          <w:sz w:val="22"/>
          <w:lang w:val="en-US"/>
        </w:rPr>
        <w:tab/>
        <w:t xml:space="preserve">Clarke SA, Phylactou M, Patel B, et al. Normal adrenal and thyroid function in patients who survive COVID-19 infection. </w:t>
      </w:r>
      <w:r w:rsidRPr="00D062BD">
        <w:rPr>
          <w:rFonts w:ascii="Times New Roman" w:hAnsi="Times New Roman" w:cs="Times New Roman"/>
          <w:i/>
          <w:iCs/>
          <w:noProof/>
          <w:sz w:val="22"/>
          <w:lang w:val="en-US"/>
        </w:rPr>
        <w:t>JCEM</w:t>
      </w:r>
      <w:r w:rsidRPr="00D062BD">
        <w:rPr>
          <w:rFonts w:ascii="Times New Roman" w:hAnsi="Times New Roman" w:cs="Times New Roman"/>
          <w:noProof/>
          <w:sz w:val="22"/>
          <w:lang w:val="en-US"/>
        </w:rPr>
        <w:t>. 2021. doi:10.1210/clinem/dgab349</w:t>
      </w:r>
    </w:p>
    <w:p w14:paraId="2EA7674D" w14:textId="77777777" w:rsidR="00D062BD" w:rsidRPr="00D062BD" w:rsidRDefault="00D062BD" w:rsidP="00D062BD">
      <w:pPr>
        <w:widowControl w:val="0"/>
        <w:autoSpaceDE w:val="0"/>
        <w:autoSpaceDN w:val="0"/>
        <w:adjustRightInd w:val="0"/>
        <w:spacing w:line="480" w:lineRule="auto"/>
        <w:ind w:left="640" w:hanging="640"/>
        <w:rPr>
          <w:rFonts w:ascii="Times New Roman" w:hAnsi="Times New Roman" w:cs="Times New Roman"/>
          <w:noProof/>
          <w:sz w:val="22"/>
          <w:lang w:val="en-US"/>
        </w:rPr>
      </w:pPr>
      <w:r w:rsidRPr="00D062BD">
        <w:rPr>
          <w:rFonts w:ascii="Times New Roman" w:hAnsi="Times New Roman" w:cs="Times New Roman"/>
          <w:noProof/>
          <w:sz w:val="22"/>
          <w:lang w:val="en-US"/>
        </w:rPr>
        <w:t xml:space="preserve">11. </w:t>
      </w:r>
      <w:r w:rsidRPr="00D062BD">
        <w:rPr>
          <w:rFonts w:ascii="Times New Roman" w:hAnsi="Times New Roman" w:cs="Times New Roman"/>
          <w:noProof/>
          <w:sz w:val="22"/>
          <w:lang w:val="en-US"/>
        </w:rPr>
        <w:tab/>
        <w:t xml:space="preserve">Bornstein SR, Allolio B, Arlt W, et al. Diagnosis and treatment of primary adrenal insufficiency: An endocrine society clinical practice guideline. </w:t>
      </w:r>
      <w:r w:rsidRPr="00D062BD">
        <w:rPr>
          <w:rFonts w:ascii="Times New Roman" w:hAnsi="Times New Roman" w:cs="Times New Roman"/>
          <w:i/>
          <w:iCs/>
          <w:noProof/>
          <w:sz w:val="22"/>
          <w:lang w:val="en-US"/>
        </w:rPr>
        <w:t>J Clin Endocrinol Metab</w:t>
      </w:r>
      <w:r w:rsidRPr="00D062BD">
        <w:rPr>
          <w:rFonts w:ascii="Times New Roman" w:hAnsi="Times New Roman" w:cs="Times New Roman"/>
          <w:noProof/>
          <w:sz w:val="22"/>
          <w:lang w:val="en-US"/>
        </w:rPr>
        <w:t>. 2016;101(2):364-389. doi:10.1210/jc.2015-1710</w:t>
      </w:r>
    </w:p>
    <w:p w14:paraId="6732C572" w14:textId="77777777" w:rsidR="00D062BD" w:rsidRPr="00D062BD" w:rsidRDefault="00D062BD" w:rsidP="00D062BD">
      <w:pPr>
        <w:widowControl w:val="0"/>
        <w:autoSpaceDE w:val="0"/>
        <w:autoSpaceDN w:val="0"/>
        <w:adjustRightInd w:val="0"/>
        <w:spacing w:line="480" w:lineRule="auto"/>
        <w:ind w:left="640" w:hanging="640"/>
        <w:rPr>
          <w:rFonts w:ascii="Times New Roman" w:hAnsi="Times New Roman" w:cs="Times New Roman"/>
          <w:noProof/>
          <w:sz w:val="22"/>
          <w:lang w:val="en-US"/>
        </w:rPr>
      </w:pPr>
      <w:r w:rsidRPr="00D062BD">
        <w:rPr>
          <w:rFonts w:ascii="Times New Roman" w:hAnsi="Times New Roman" w:cs="Times New Roman"/>
          <w:noProof/>
          <w:sz w:val="22"/>
          <w:lang w:val="en-US"/>
        </w:rPr>
        <w:t xml:space="preserve">12. </w:t>
      </w:r>
      <w:r w:rsidRPr="00D062BD">
        <w:rPr>
          <w:rFonts w:ascii="Times New Roman" w:hAnsi="Times New Roman" w:cs="Times New Roman"/>
          <w:noProof/>
          <w:sz w:val="22"/>
          <w:lang w:val="en-US"/>
        </w:rPr>
        <w:tab/>
        <w:t>El</w:t>
      </w:r>
      <w:r w:rsidRPr="00D062BD">
        <w:rPr>
          <w:rFonts w:ascii="Noteworthy Bold" w:hAnsi="Noteworthy Bold" w:cs="Noteworthy Bold"/>
          <w:noProof/>
          <w:sz w:val="22"/>
          <w:lang w:val="en-US"/>
        </w:rPr>
        <w:t>‐</w:t>
      </w:r>
      <w:r w:rsidRPr="00D062BD">
        <w:rPr>
          <w:rFonts w:ascii="Times New Roman" w:hAnsi="Times New Roman" w:cs="Times New Roman"/>
          <w:noProof/>
          <w:sz w:val="22"/>
          <w:lang w:val="en-US"/>
        </w:rPr>
        <w:t>Farhan N, Pickett A, Ducroq D, et al. Method</w:t>
      </w:r>
      <w:r w:rsidRPr="00D062BD">
        <w:rPr>
          <w:rFonts w:ascii="Noteworthy Bold" w:hAnsi="Noteworthy Bold" w:cs="Noteworthy Bold"/>
          <w:noProof/>
          <w:sz w:val="22"/>
          <w:lang w:val="en-US"/>
        </w:rPr>
        <w:t>‐</w:t>
      </w:r>
      <w:r w:rsidRPr="00D062BD">
        <w:rPr>
          <w:rFonts w:ascii="Times New Roman" w:hAnsi="Times New Roman" w:cs="Times New Roman"/>
          <w:noProof/>
          <w:sz w:val="22"/>
          <w:lang w:val="en-US"/>
        </w:rPr>
        <w:t>specific serum cortisol responses to the adrenocorticotrophin test: comparison of gas chromatography</w:t>
      </w:r>
      <w:r w:rsidRPr="00D062BD">
        <w:rPr>
          <w:rFonts w:ascii="Noteworthy Bold" w:hAnsi="Noteworthy Bold" w:cs="Noteworthy Bold"/>
          <w:noProof/>
          <w:sz w:val="22"/>
          <w:lang w:val="en-US"/>
        </w:rPr>
        <w:t>‐</w:t>
      </w:r>
      <w:r w:rsidRPr="00D062BD">
        <w:rPr>
          <w:rFonts w:ascii="Times New Roman" w:hAnsi="Times New Roman" w:cs="Times New Roman"/>
          <w:noProof/>
          <w:sz w:val="22"/>
          <w:lang w:val="en-US"/>
        </w:rPr>
        <w:t xml:space="preserve">mass spectrometry and five automated immunoassays. </w:t>
      </w:r>
      <w:r w:rsidRPr="00D062BD">
        <w:rPr>
          <w:rFonts w:ascii="Times New Roman" w:hAnsi="Times New Roman" w:cs="Times New Roman"/>
          <w:i/>
          <w:iCs/>
          <w:noProof/>
          <w:sz w:val="22"/>
          <w:lang w:val="en-US"/>
        </w:rPr>
        <w:t>Clin Endocrinol (Oxf)</w:t>
      </w:r>
      <w:r w:rsidRPr="00D062BD">
        <w:rPr>
          <w:rFonts w:ascii="Times New Roman" w:hAnsi="Times New Roman" w:cs="Times New Roman"/>
          <w:noProof/>
          <w:sz w:val="22"/>
          <w:lang w:val="en-US"/>
        </w:rPr>
        <w:t>. 2013;78(5):673-680.</w:t>
      </w:r>
    </w:p>
    <w:p w14:paraId="21CD8367" w14:textId="77777777" w:rsidR="00D062BD" w:rsidRPr="00D062BD" w:rsidRDefault="00D062BD" w:rsidP="00D062BD">
      <w:pPr>
        <w:widowControl w:val="0"/>
        <w:autoSpaceDE w:val="0"/>
        <w:autoSpaceDN w:val="0"/>
        <w:adjustRightInd w:val="0"/>
        <w:spacing w:line="480" w:lineRule="auto"/>
        <w:ind w:left="640" w:hanging="640"/>
        <w:rPr>
          <w:rFonts w:ascii="Times New Roman" w:hAnsi="Times New Roman" w:cs="Times New Roman"/>
          <w:noProof/>
          <w:sz w:val="22"/>
        </w:rPr>
      </w:pPr>
      <w:r w:rsidRPr="00D062BD">
        <w:rPr>
          <w:rFonts w:ascii="Times New Roman" w:hAnsi="Times New Roman" w:cs="Times New Roman"/>
          <w:noProof/>
          <w:sz w:val="22"/>
          <w:lang w:val="en-US"/>
        </w:rPr>
        <w:t xml:space="preserve">13. </w:t>
      </w:r>
      <w:r w:rsidRPr="00D062BD">
        <w:rPr>
          <w:rFonts w:ascii="Times New Roman" w:hAnsi="Times New Roman" w:cs="Times New Roman"/>
          <w:noProof/>
          <w:sz w:val="22"/>
          <w:lang w:val="en-US"/>
        </w:rPr>
        <w:tab/>
        <w:t xml:space="preserve">Eltayeb R, Marwood O, Kellam S, Simpson H. Cortisol measurement post steroids (Dexamethasone) treatment for COVID-19. In: </w:t>
      </w:r>
      <w:r w:rsidRPr="00D062BD">
        <w:rPr>
          <w:rFonts w:ascii="Times New Roman" w:hAnsi="Times New Roman" w:cs="Times New Roman"/>
          <w:i/>
          <w:iCs/>
          <w:noProof/>
          <w:sz w:val="22"/>
          <w:lang w:val="en-US"/>
        </w:rPr>
        <w:t>Society for Endocrinology Annual Meeting</w:t>
      </w:r>
      <w:r w:rsidRPr="00D062BD">
        <w:rPr>
          <w:rFonts w:ascii="Times New Roman" w:hAnsi="Times New Roman" w:cs="Times New Roman"/>
          <w:noProof/>
          <w:sz w:val="22"/>
          <w:lang w:val="en-US"/>
        </w:rPr>
        <w:t>. ; 2021. doi:10.1530/endoabs.77.P9</w:t>
      </w:r>
    </w:p>
    <w:p w14:paraId="539BB23F" w14:textId="760B1DC7" w:rsidR="00B81EA5" w:rsidRPr="009E7120" w:rsidRDefault="00B81EA5" w:rsidP="00D062BD">
      <w:pPr>
        <w:widowControl w:val="0"/>
        <w:autoSpaceDE w:val="0"/>
        <w:autoSpaceDN w:val="0"/>
        <w:adjustRightInd w:val="0"/>
        <w:spacing w:line="480" w:lineRule="auto"/>
        <w:ind w:left="640" w:hanging="640"/>
        <w:rPr>
          <w:rFonts w:ascii="Times New Roman" w:hAnsi="Times New Roman" w:cs="Times New Roman"/>
          <w:sz w:val="22"/>
          <w:szCs w:val="22"/>
        </w:rPr>
      </w:pPr>
      <w:r w:rsidRPr="009E7120">
        <w:rPr>
          <w:rFonts w:ascii="Times New Roman" w:hAnsi="Times New Roman" w:cs="Times New Roman"/>
          <w:sz w:val="22"/>
          <w:szCs w:val="22"/>
        </w:rPr>
        <w:fldChar w:fldCharType="end"/>
      </w:r>
    </w:p>
    <w:p w14:paraId="4BC0F351" w14:textId="77777777" w:rsidR="007D6A77" w:rsidRPr="009E7120" w:rsidRDefault="007D6A77" w:rsidP="009E7120">
      <w:pPr>
        <w:spacing w:line="480" w:lineRule="auto"/>
        <w:jc w:val="both"/>
        <w:rPr>
          <w:rFonts w:ascii="Times New Roman" w:hAnsi="Times New Roman" w:cs="Times New Roman"/>
          <w:sz w:val="22"/>
          <w:szCs w:val="22"/>
        </w:rPr>
      </w:pPr>
    </w:p>
    <w:p w14:paraId="4CB352D4" w14:textId="6B2745C2" w:rsidR="004437CF" w:rsidRPr="009E7120" w:rsidRDefault="004437CF" w:rsidP="009E7120">
      <w:pPr>
        <w:spacing w:line="480" w:lineRule="auto"/>
        <w:jc w:val="both"/>
        <w:rPr>
          <w:rFonts w:ascii="Times New Roman" w:hAnsi="Times New Roman" w:cs="Times New Roman"/>
          <w:sz w:val="22"/>
          <w:szCs w:val="22"/>
        </w:rPr>
      </w:pPr>
    </w:p>
    <w:sectPr w:rsidR="004437CF" w:rsidRPr="009E7120" w:rsidSect="00D647E0">
      <w:pgSz w:w="11900" w:h="16840"/>
      <w:pgMar w:top="1440" w:right="1800" w:bottom="1440" w:left="1800" w:header="708" w:footer="708" w:gutter="0"/>
      <w:lnNumType w:countBy="1" w:restart="continuous"/>
      <w:cols w:space="708"/>
      <w:docGrid w:linePitch="36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115E4C0B" w15:done="0"/>
  <w15:commentEx w15:paraId="50F65118"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5C1FB2A" w16cex:dateUtc="2022-02-24T12:40:00Z"/>
  <w16cex:commentExtensible w16cex:durableId="25C1FCC0" w16cex:dateUtc="2022-02-24T12:46: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115E4C0B" w16cid:durableId="25C1FB2A"/>
  <w16cid:commentId w16cid:paraId="50F65118" w16cid:durableId="25C1FCC0"/>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EF" w:usb1="C0007841"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 w:name="Lucida Grande">
    <w:panose1 w:val="020B0600040502020204"/>
    <w:charset w:val="00"/>
    <w:family w:val="auto"/>
    <w:pitch w:val="variable"/>
    <w:sig w:usb0="E1000AEF" w:usb1="5000A1FF" w:usb2="00000000" w:usb3="00000000" w:csb0="000001BF" w:csb1="00000000"/>
  </w:font>
  <w:font w:name="MS Gothic">
    <w:altName w:val="ＭＳ ゴシック"/>
    <w:charset w:val="80"/>
    <w:family w:val="modern"/>
    <w:pitch w:val="fixed"/>
    <w:sig w:usb0="E00002FF" w:usb1="6AC7FDFB" w:usb2="08000012" w:usb3="00000000" w:csb0="0002009F" w:csb1="00000000"/>
  </w:font>
  <w:font w:name="Merriweather">
    <w:altName w:val="Times New Roman"/>
    <w:charset w:val="00"/>
    <w:family w:val="auto"/>
    <w:pitch w:val="variable"/>
    <w:sig w:usb0="20000207" w:usb1="00000002" w:usb2="00000000" w:usb3="00000000" w:csb0="00000197" w:csb1="00000000"/>
  </w:font>
  <w:font w:name="Noteworthy Bold">
    <w:panose1 w:val="02000400000000000000"/>
    <w:charset w:val="00"/>
    <w:family w:val="auto"/>
    <w:pitch w:val="variable"/>
    <w:sig w:usb0="8000006F" w:usb1="08000048" w:usb2="14600000" w:usb3="00000000" w:csb0="00000111" w:csb1="00000000"/>
  </w:font>
  <w:font w:name="Arial">
    <w:panose1 w:val="020B0604020202020204"/>
    <w:charset w:val="00"/>
    <w:family w:val="auto"/>
    <w:pitch w:val="variable"/>
    <w:sig w:usb0="E0002AFF" w:usb1="C0007843" w:usb2="00000009" w:usb3="00000000" w:csb0="000001FF" w:csb1="00000000"/>
  </w:font>
</w:fonts>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Abbara, Ali">
    <w15:presenceInfo w15:providerId="AD" w15:userId="S::aabbara@ic.ac.uk::cccb9c7c-e9c3-4b82-a886-47277fa0a3b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6"/>
  <w:proofState w:spelling="clean" w:grammar="clean"/>
  <w:trackRevisions/>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437CF"/>
    <w:rsid w:val="0002667F"/>
    <w:rsid w:val="00055B27"/>
    <w:rsid w:val="000824D2"/>
    <w:rsid w:val="00086828"/>
    <w:rsid w:val="000B022E"/>
    <w:rsid w:val="000C59C3"/>
    <w:rsid w:val="000E3A1C"/>
    <w:rsid w:val="000E5BC2"/>
    <w:rsid w:val="000F57B5"/>
    <w:rsid w:val="00113F0C"/>
    <w:rsid w:val="0012473A"/>
    <w:rsid w:val="0013096B"/>
    <w:rsid w:val="00164CE6"/>
    <w:rsid w:val="0020763A"/>
    <w:rsid w:val="002224B1"/>
    <w:rsid w:val="00257701"/>
    <w:rsid w:val="00296FD8"/>
    <w:rsid w:val="002B1406"/>
    <w:rsid w:val="002D1F1B"/>
    <w:rsid w:val="002E0771"/>
    <w:rsid w:val="002F3A8E"/>
    <w:rsid w:val="0030395F"/>
    <w:rsid w:val="00307292"/>
    <w:rsid w:val="003226F5"/>
    <w:rsid w:val="00345822"/>
    <w:rsid w:val="00371511"/>
    <w:rsid w:val="003B1127"/>
    <w:rsid w:val="0041073A"/>
    <w:rsid w:val="004244B2"/>
    <w:rsid w:val="0043560B"/>
    <w:rsid w:val="004437CF"/>
    <w:rsid w:val="00444ED4"/>
    <w:rsid w:val="00455660"/>
    <w:rsid w:val="004720EA"/>
    <w:rsid w:val="00480368"/>
    <w:rsid w:val="00496820"/>
    <w:rsid w:val="004B10DD"/>
    <w:rsid w:val="004C219E"/>
    <w:rsid w:val="004C6649"/>
    <w:rsid w:val="004E262F"/>
    <w:rsid w:val="00507375"/>
    <w:rsid w:val="005113A5"/>
    <w:rsid w:val="00526701"/>
    <w:rsid w:val="00551C49"/>
    <w:rsid w:val="005522F2"/>
    <w:rsid w:val="005649B0"/>
    <w:rsid w:val="00570855"/>
    <w:rsid w:val="0058009F"/>
    <w:rsid w:val="00581E2E"/>
    <w:rsid w:val="005870A7"/>
    <w:rsid w:val="00594197"/>
    <w:rsid w:val="005A1C32"/>
    <w:rsid w:val="005C1444"/>
    <w:rsid w:val="005D2271"/>
    <w:rsid w:val="005D2431"/>
    <w:rsid w:val="005E6503"/>
    <w:rsid w:val="00605CB5"/>
    <w:rsid w:val="0062586D"/>
    <w:rsid w:val="0064597D"/>
    <w:rsid w:val="00647F68"/>
    <w:rsid w:val="00651A1D"/>
    <w:rsid w:val="006610FD"/>
    <w:rsid w:val="0067526A"/>
    <w:rsid w:val="0069742A"/>
    <w:rsid w:val="00697702"/>
    <w:rsid w:val="006A7838"/>
    <w:rsid w:val="006C38D1"/>
    <w:rsid w:val="006C704B"/>
    <w:rsid w:val="006E2542"/>
    <w:rsid w:val="006F5A43"/>
    <w:rsid w:val="007070F1"/>
    <w:rsid w:val="007443F8"/>
    <w:rsid w:val="00771C16"/>
    <w:rsid w:val="00773FEB"/>
    <w:rsid w:val="00791FF3"/>
    <w:rsid w:val="00797DF7"/>
    <w:rsid w:val="007A0185"/>
    <w:rsid w:val="007A0F61"/>
    <w:rsid w:val="007A4B90"/>
    <w:rsid w:val="007C07D9"/>
    <w:rsid w:val="007C3664"/>
    <w:rsid w:val="007D5723"/>
    <w:rsid w:val="007D6A77"/>
    <w:rsid w:val="007F02FF"/>
    <w:rsid w:val="007F3316"/>
    <w:rsid w:val="007F5B42"/>
    <w:rsid w:val="00846398"/>
    <w:rsid w:val="00855AAB"/>
    <w:rsid w:val="008860A0"/>
    <w:rsid w:val="008900F7"/>
    <w:rsid w:val="008B053E"/>
    <w:rsid w:val="008C0B14"/>
    <w:rsid w:val="008D2295"/>
    <w:rsid w:val="008E5DB6"/>
    <w:rsid w:val="009102E9"/>
    <w:rsid w:val="009223F8"/>
    <w:rsid w:val="00936FE7"/>
    <w:rsid w:val="009A082D"/>
    <w:rsid w:val="009A3A79"/>
    <w:rsid w:val="009D10EC"/>
    <w:rsid w:val="009E7120"/>
    <w:rsid w:val="00A2574E"/>
    <w:rsid w:val="00A26CA4"/>
    <w:rsid w:val="00A300D1"/>
    <w:rsid w:val="00A328C5"/>
    <w:rsid w:val="00A40A0F"/>
    <w:rsid w:val="00A954C1"/>
    <w:rsid w:val="00AB6E64"/>
    <w:rsid w:val="00B004E5"/>
    <w:rsid w:val="00B456FB"/>
    <w:rsid w:val="00B47912"/>
    <w:rsid w:val="00B51DFB"/>
    <w:rsid w:val="00B81EA5"/>
    <w:rsid w:val="00B85FE5"/>
    <w:rsid w:val="00BA3F4F"/>
    <w:rsid w:val="00BA414C"/>
    <w:rsid w:val="00BF34EE"/>
    <w:rsid w:val="00C05E39"/>
    <w:rsid w:val="00C53B84"/>
    <w:rsid w:val="00C72778"/>
    <w:rsid w:val="00C7544D"/>
    <w:rsid w:val="00C76485"/>
    <w:rsid w:val="00CC20EF"/>
    <w:rsid w:val="00D062BD"/>
    <w:rsid w:val="00D12594"/>
    <w:rsid w:val="00D31625"/>
    <w:rsid w:val="00D35846"/>
    <w:rsid w:val="00D40F84"/>
    <w:rsid w:val="00D63854"/>
    <w:rsid w:val="00D647E0"/>
    <w:rsid w:val="00D73FD2"/>
    <w:rsid w:val="00DB1868"/>
    <w:rsid w:val="00DE4C9F"/>
    <w:rsid w:val="00E029E4"/>
    <w:rsid w:val="00E2084E"/>
    <w:rsid w:val="00E22A92"/>
    <w:rsid w:val="00E23D54"/>
    <w:rsid w:val="00E406C7"/>
    <w:rsid w:val="00E408A9"/>
    <w:rsid w:val="00EA7A7F"/>
    <w:rsid w:val="00EC6D16"/>
    <w:rsid w:val="00EF122C"/>
    <w:rsid w:val="00F076C3"/>
    <w:rsid w:val="00F10DAF"/>
    <w:rsid w:val="00F27428"/>
    <w:rsid w:val="00F47E26"/>
    <w:rsid w:val="00F50E39"/>
    <w:rsid w:val="00F55904"/>
    <w:rsid w:val="00F61916"/>
    <w:rsid w:val="00F640E7"/>
    <w:rsid w:val="00F75269"/>
    <w:rsid w:val="00FB4629"/>
    <w:rsid w:val="00FD05AD"/>
    <w:rsid w:val="00FE50AB"/>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6690AFAF"/>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GB"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4720EA"/>
    <w:pPr>
      <w:keepNext/>
      <w:keepLines/>
      <w:spacing w:before="480"/>
      <w:outlineLvl w:val="0"/>
    </w:pPr>
    <w:rPr>
      <w:rFonts w:ascii="Cambria" w:eastAsiaTheme="majorEastAsia" w:hAnsi="Cambria" w:cstheme="majorBidi"/>
      <w:b/>
      <w:bCs/>
      <w:sz w:val="28"/>
      <w:szCs w:val="32"/>
    </w:rPr>
  </w:style>
  <w:style w:type="paragraph" w:styleId="Heading2">
    <w:name w:val="heading 2"/>
    <w:basedOn w:val="Normal"/>
    <w:next w:val="Normal"/>
    <w:link w:val="Heading2Char"/>
    <w:uiPriority w:val="9"/>
    <w:unhideWhenUsed/>
    <w:qFormat/>
    <w:rsid w:val="004720EA"/>
    <w:pPr>
      <w:keepNext/>
      <w:keepLines/>
      <w:spacing w:before="200"/>
      <w:outlineLvl w:val="1"/>
    </w:pPr>
    <w:rPr>
      <w:rFonts w:asciiTheme="majorHAnsi" w:eastAsiaTheme="majorEastAsia" w:hAnsiTheme="majorHAnsi" w:cstheme="majorBidi"/>
      <w:b/>
      <w:bCs/>
      <w:sz w:val="26"/>
      <w:szCs w:val="26"/>
    </w:rPr>
  </w:style>
  <w:style w:type="paragraph" w:styleId="Heading3">
    <w:name w:val="heading 3"/>
    <w:basedOn w:val="Normal"/>
    <w:next w:val="Normal"/>
    <w:link w:val="Heading3Char"/>
    <w:uiPriority w:val="9"/>
    <w:unhideWhenUsed/>
    <w:qFormat/>
    <w:rsid w:val="004720EA"/>
    <w:pPr>
      <w:keepNext/>
      <w:keepLines/>
      <w:spacing w:before="200"/>
      <w:outlineLvl w:val="2"/>
    </w:pPr>
    <w:rPr>
      <w:rFonts w:asciiTheme="majorHAnsi" w:eastAsiaTheme="majorEastAsia" w:hAnsiTheme="majorHAnsi" w:cstheme="majorBidi"/>
      <w:b/>
      <w:bCs/>
    </w:rPr>
  </w:style>
  <w:style w:type="paragraph" w:styleId="Heading5">
    <w:name w:val="heading 5"/>
    <w:basedOn w:val="Normal"/>
    <w:next w:val="Normal"/>
    <w:link w:val="Heading5Char"/>
    <w:uiPriority w:val="9"/>
    <w:semiHidden/>
    <w:unhideWhenUsed/>
    <w:qFormat/>
    <w:rsid w:val="004720EA"/>
    <w:pPr>
      <w:keepNext/>
      <w:keepLines/>
      <w:spacing w:before="200"/>
      <w:outlineLvl w:val="4"/>
    </w:pPr>
    <w:rPr>
      <w:rFonts w:asciiTheme="majorHAnsi" w:eastAsiaTheme="majorEastAsia" w:hAnsiTheme="majorHAnsi" w:cstheme="majorBidi"/>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720EA"/>
    <w:rPr>
      <w:rFonts w:ascii="Cambria" w:eastAsiaTheme="majorEastAsia" w:hAnsi="Cambria" w:cstheme="majorBidi"/>
      <w:b/>
      <w:bCs/>
      <w:sz w:val="28"/>
      <w:szCs w:val="32"/>
    </w:rPr>
  </w:style>
  <w:style w:type="character" w:customStyle="1" w:styleId="Heading2Char">
    <w:name w:val="Heading 2 Char"/>
    <w:basedOn w:val="DefaultParagraphFont"/>
    <w:link w:val="Heading2"/>
    <w:uiPriority w:val="9"/>
    <w:rsid w:val="004720EA"/>
    <w:rPr>
      <w:rFonts w:asciiTheme="majorHAnsi" w:eastAsiaTheme="majorEastAsia" w:hAnsiTheme="majorHAnsi" w:cstheme="majorBidi"/>
      <w:b/>
      <w:bCs/>
      <w:sz w:val="26"/>
      <w:szCs w:val="26"/>
    </w:rPr>
  </w:style>
  <w:style w:type="character" w:customStyle="1" w:styleId="Heading3Char">
    <w:name w:val="Heading 3 Char"/>
    <w:basedOn w:val="DefaultParagraphFont"/>
    <w:link w:val="Heading3"/>
    <w:uiPriority w:val="9"/>
    <w:rsid w:val="004720EA"/>
    <w:rPr>
      <w:rFonts w:asciiTheme="majorHAnsi" w:eastAsiaTheme="majorEastAsia" w:hAnsiTheme="majorHAnsi" w:cstheme="majorBidi"/>
      <w:b/>
      <w:bCs/>
    </w:rPr>
  </w:style>
  <w:style w:type="character" w:customStyle="1" w:styleId="Heading5Char">
    <w:name w:val="Heading 5 Char"/>
    <w:basedOn w:val="DefaultParagraphFont"/>
    <w:link w:val="Heading5"/>
    <w:uiPriority w:val="9"/>
    <w:semiHidden/>
    <w:rsid w:val="004720EA"/>
    <w:rPr>
      <w:rFonts w:asciiTheme="majorHAnsi" w:eastAsiaTheme="majorEastAsia" w:hAnsiTheme="majorHAnsi" w:cstheme="majorBidi"/>
      <w:sz w:val="22"/>
    </w:rPr>
  </w:style>
  <w:style w:type="character" w:styleId="Hyperlink">
    <w:name w:val="Hyperlink"/>
    <w:basedOn w:val="DefaultParagraphFont"/>
    <w:uiPriority w:val="99"/>
    <w:semiHidden/>
    <w:unhideWhenUsed/>
    <w:rsid w:val="00A954C1"/>
    <w:rPr>
      <w:color w:val="0000FF"/>
      <w:u w:val="single"/>
    </w:rPr>
  </w:style>
  <w:style w:type="character" w:customStyle="1" w:styleId="markedcontent">
    <w:name w:val="markedcontent"/>
    <w:basedOn w:val="DefaultParagraphFont"/>
    <w:rsid w:val="00A300D1"/>
  </w:style>
  <w:style w:type="character" w:customStyle="1" w:styleId="apple-converted-space">
    <w:name w:val="apple-converted-space"/>
    <w:basedOn w:val="DefaultParagraphFont"/>
    <w:rsid w:val="002224B1"/>
  </w:style>
  <w:style w:type="paragraph" w:styleId="BalloonText">
    <w:name w:val="Balloon Text"/>
    <w:basedOn w:val="Normal"/>
    <w:link w:val="BalloonTextChar"/>
    <w:uiPriority w:val="99"/>
    <w:semiHidden/>
    <w:unhideWhenUsed/>
    <w:rsid w:val="00651A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651A1D"/>
    <w:rPr>
      <w:rFonts w:ascii="Lucida Grande" w:hAnsi="Lucida Grande" w:cs="Lucida Grande"/>
      <w:sz w:val="18"/>
      <w:szCs w:val="18"/>
    </w:rPr>
  </w:style>
  <w:style w:type="paragraph" w:styleId="Revision">
    <w:name w:val="Revision"/>
    <w:hidden/>
    <w:uiPriority w:val="99"/>
    <w:semiHidden/>
    <w:rsid w:val="00507375"/>
  </w:style>
  <w:style w:type="character" w:styleId="CommentReference">
    <w:name w:val="annotation reference"/>
    <w:basedOn w:val="DefaultParagraphFont"/>
    <w:uiPriority w:val="99"/>
    <w:semiHidden/>
    <w:unhideWhenUsed/>
    <w:rsid w:val="00496820"/>
    <w:rPr>
      <w:sz w:val="16"/>
      <w:szCs w:val="16"/>
    </w:rPr>
  </w:style>
  <w:style w:type="paragraph" w:styleId="CommentText">
    <w:name w:val="annotation text"/>
    <w:basedOn w:val="Normal"/>
    <w:link w:val="CommentTextChar"/>
    <w:uiPriority w:val="99"/>
    <w:semiHidden/>
    <w:unhideWhenUsed/>
    <w:rsid w:val="00496820"/>
    <w:rPr>
      <w:sz w:val="20"/>
      <w:szCs w:val="20"/>
    </w:rPr>
  </w:style>
  <w:style w:type="character" w:customStyle="1" w:styleId="CommentTextChar">
    <w:name w:val="Comment Text Char"/>
    <w:basedOn w:val="DefaultParagraphFont"/>
    <w:link w:val="CommentText"/>
    <w:uiPriority w:val="99"/>
    <w:semiHidden/>
    <w:rsid w:val="00496820"/>
    <w:rPr>
      <w:sz w:val="20"/>
      <w:szCs w:val="20"/>
    </w:rPr>
  </w:style>
  <w:style w:type="paragraph" w:styleId="CommentSubject">
    <w:name w:val="annotation subject"/>
    <w:basedOn w:val="CommentText"/>
    <w:next w:val="CommentText"/>
    <w:link w:val="CommentSubjectChar"/>
    <w:uiPriority w:val="99"/>
    <w:semiHidden/>
    <w:unhideWhenUsed/>
    <w:rsid w:val="00496820"/>
    <w:rPr>
      <w:b/>
      <w:bCs/>
    </w:rPr>
  </w:style>
  <w:style w:type="character" w:customStyle="1" w:styleId="CommentSubjectChar">
    <w:name w:val="Comment Subject Char"/>
    <w:basedOn w:val="CommentTextChar"/>
    <w:link w:val="CommentSubject"/>
    <w:uiPriority w:val="99"/>
    <w:semiHidden/>
    <w:rsid w:val="00496820"/>
    <w:rPr>
      <w:b/>
      <w:bCs/>
      <w:sz w:val="20"/>
      <w:szCs w:val="20"/>
    </w:rPr>
  </w:style>
  <w:style w:type="character" w:styleId="LineNumber">
    <w:name w:val="line number"/>
    <w:basedOn w:val="DefaultParagraphFont"/>
    <w:uiPriority w:val="99"/>
    <w:semiHidden/>
    <w:unhideWhenUsed/>
    <w:rsid w:val="00773FEB"/>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GB"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4720EA"/>
    <w:pPr>
      <w:keepNext/>
      <w:keepLines/>
      <w:spacing w:before="480"/>
      <w:outlineLvl w:val="0"/>
    </w:pPr>
    <w:rPr>
      <w:rFonts w:ascii="Cambria" w:eastAsiaTheme="majorEastAsia" w:hAnsi="Cambria" w:cstheme="majorBidi"/>
      <w:b/>
      <w:bCs/>
      <w:sz w:val="28"/>
      <w:szCs w:val="32"/>
    </w:rPr>
  </w:style>
  <w:style w:type="paragraph" w:styleId="Heading2">
    <w:name w:val="heading 2"/>
    <w:basedOn w:val="Normal"/>
    <w:next w:val="Normal"/>
    <w:link w:val="Heading2Char"/>
    <w:uiPriority w:val="9"/>
    <w:unhideWhenUsed/>
    <w:qFormat/>
    <w:rsid w:val="004720EA"/>
    <w:pPr>
      <w:keepNext/>
      <w:keepLines/>
      <w:spacing w:before="200"/>
      <w:outlineLvl w:val="1"/>
    </w:pPr>
    <w:rPr>
      <w:rFonts w:asciiTheme="majorHAnsi" w:eastAsiaTheme="majorEastAsia" w:hAnsiTheme="majorHAnsi" w:cstheme="majorBidi"/>
      <w:b/>
      <w:bCs/>
      <w:sz w:val="26"/>
      <w:szCs w:val="26"/>
    </w:rPr>
  </w:style>
  <w:style w:type="paragraph" w:styleId="Heading3">
    <w:name w:val="heading 3"/>
    <w:basedOn w:val="Normal"/>
    <w:next w:val="Normal"/>
    <w:link w:val="Heading3Char"/>
    <w:uiPriority w:val="9"/>
    <w:unhideWhenUsed/>
    <w:qFormat/>
    <w:rsid w:val="004720EA"/>
    <w:pPr>
      <w:keepNext/>
      <w:keepLines/>
      <w:spacing w:before="200"/>
      <w:outlineLvl w:val="2"/>
    </w:pPr>
    <w:rPr>
      <w:rFonts w:asciiTheme="majorHAnsi" w:eastAsiaTheme="majorEastAsia" w:hAnsiTheme="majorHAnsi" w:cstheme="majorBidi"/>
      <w:b/>
      <w:bCs/>
    </w:rPr>
  </w:style>
  <w:style w:type="paragraph" w:styleId="Heading5">
    <w:name w:val="heading 5"/>
    <w:basedOn w:val="Normal"/>
    <w:next w:val="Normal"/>
    <w:link w:val="Heading5Char"/>
    <w:uiPriority w:val="9"/>
    <w:semiHidden/>
    <w:unhideWhenUsed/>
    <w:qFormat/>
    <w:rsid w:val="004720EA"/>
    <w:pPr>
      <w:keepNext/>
      <w:keepLines/>
      <w:spacing w:before="200"/>
      <w:outlineLvl w:val="4"/>
    </w:pPr>
    <w:rPr>
      <w:rFonts w:asciiTheme="majorHAnsi" w:eastAsiaTheme="majorEastAsia" w:hAnsiTheme="majorHAnsi" w:cstheme="majorBidi"/>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720EA"/>
    <w:rPr>
      <w:rFonts w:ascii="Cambria" w:eastAsiaTheme="majorEastAsia" w:hAnsi="Cambria" w:cstheme="majorBidi"/>
      <w:b/>
      <w:bCs/>
      <w:sz w:val="28"/>
      <w:szCs w:val="32"/>
    </w:rPr>
  </w:style>
  <w:style w:type="character" w:customStyle="1" w:styleId="Heading2Char">
    <w:name w:val="Heading 2 Char"/>
    <w:basedOn w:val="DefaultParagraphFont"/>
    <w:link w:val="Heading2"/>
    <w:uiPriority w:val="9"/>
    <w:rsid w:val="004720EA"/>
    <w:rPr>
      <w:rFonts w:asciiTheme="majorHAnsi" w:eastAsiaTheme="majorEastAsia" w:hAnsiTheme="majorHAnsi" w:cstheme="majorBidi"/>
      <w:b/>
      <w:bCs/>
      <w:sz w:val="26"/>
      <w:szCs w:val="26"/>
    </w:rPr>
  </w:style>
  <w:style w:type="character" w:customStyle="1" w:styleId="Heading3Char">
    <w:name w:val="Heading 3 Char"/>
    <w:basedOn w:val="DefaultParagraphFont"/>
    <w:link w:val="Heading3"/>
    <w:uiPriority w:val="9"/>
    <w:rsid w:val="004720EA"/>
    <w:rPr>
      <w:rFonts w:asciiTheme="majorHAnsi" w:eastAsiaTheme="majorEastAsia" w:hAnsiTheme="majorHAnsi" w:cstheme="majorBidi"/>
      <w:b/>
      <w:bCs/>
    </w:rPr>
  </w:style>
  <w:style w:type="character" w:customStyle="1" w:styleId="Heading5Char">
    <w:name w:val="Heading 5 Char"/>
    <w:basedOn w:val="DefaultParagraphFont"/>
    <w:link w:val="Heading5"/>
    <w:uiPriority w:val="9"/>
    <w:semiHidden/>
    <w:rsid w:val="004720EA"/>
    <w:rPr>
      <w:rFonts w:asciiTheme="majorHAnsi" w:eastAsiaTheme="majorEastAsia" w:hAnsiTheme="majorHAnsi" w:cstheme="majorBidi"/>
      <w:sz w:val="22"/>
    </w:rPr>
  </w:style>
  <w:style w:type="character" w:styleId="Hyperlink">
    <w:name w:val="Hyperlink"/>
    <w:basedOn w:val="DefaultParagraphFont"/>
    <w:uiPriority w:val="99"/>
    <w:semiHidden/>
    <w:unhideWhenUsed/>
    <w:rsid w:val="00A954C1"/>
    <w:rPr>
      <w:color w:val="0000FF"/>
      <w:u w:val="single"/>
    </w:rPr>
  </w:style>
  <w:style w:type="character" w:customStyle="1" w:styleId="markedcontent">
    <w:name w:val="markedcontent"/>
    <w:basedOn w:val="DefaultParagraphFont"/>
    <w:rsid w:val="00A300D1"/>
  </w:style>
  <w:style w:type="character" w:customStyle="1" w:styleId="apple-converted-space">
    <w:name w:val="apple-converted-space"/>
    <w:basedOn w:val="DefaultParagraphFont"/>
    <w:rsid w:val="002224B1"/>
  </w:style>
  <w:style w:type="paragraph" w:styleId="BalloonText">
    <w:name w:val="Balloon Text"/>
    <w:basedOn w:val="Normal"/>
    <w:link w:val="BalloonTextChar"/>
    <w:uiPriority w:val="99"/>
    <w:semiHidden/>
    <w:unhideWhenUsed/>
    <w:rsid w:val="00651A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651A1D"/>
    <w:rPr>
      <w:rFonts w:ascii="Lucida Grande" w:hAnsi="Lucida Grande" w:cs="Lucida Grande"/>
      <w:sz w:val="18"/>
      <w:szCs w:val="18"/>
    </w:rPr>
  </w:style>
  <w:style w:type="paragraph" w:styleId="Revision">
    <w:name w:val="Revision"/>
    <w:hidden/>
    <w:uiPriority w:val="99"/>
    <w:semiHidden/>
    <w:rsid w:val="00507375"/>
  </w:style>
  <w:style w:type="character" w:styleId="CommentReference">
    <w:name w:val="annotation reference"/>
    <w:basedOn w:val="DefaultParagraphFont"/>
    <w:uiPriority w:val="99"/>
    <w:semiHidden/>
    <w:unhideWhenUsed/>
    <w:rsid w:val="00496820"/>
    <w:rPr>
      <w:sz w:val="16"/>
      <w:szCs w:val="16"/>
    </w:rPr>
  </w:style>
  <w:style w:type="paragraph" w:styleId="CommentText">
    <w:name w:val="annotation text"/>
    <w:basedOn w:val="Normal"/>
    <w:link w:val="CommentTextChar"/>
    <w:uiPriority w:val="99"/>
    <w:semiHidden/>
    <w:unhideWhenUsed/>
    <w:rsid w:val="00496820"/>
    <w:rPr>
      <w:sz w:val="20"/>
      <w:szCs w:val="20"/>
    </w:rPr>
  </w:style>
  <w:style w:type="character" w:customStyle="1" w:styleId="CommentTextChar">
    <w:name w:val="Comment Text Char"/>
    <w:basedOn w:val="DefaultParagraphFont"/>
    <w:link w:val="CommentText"/>
    <w:uiPriority w:val="99"/>
    <w:semiHidden/>
    <w:rsid w:val="00496820"/>
    <w:rPr>
      <w:sz w:val="20"/>
      <w:szCs w:val="20"/>
    </w:rPr>
  </w:style>
  <w:style w:type="paragraph" w:styleId="CommentSubject">
    <w:name w:val="annotation subject"/>
    <w:basedOn w:val="CommentText"/>
    <w:next w:val="CommentText"/>
    <w:link w:val="CommentSubjectChar"/>
    <w:uiPriority w:val="99"/>
    <w:semiHidden/>
    <w:unhideWhenUsed/>
    <w:rsid w:val="00496820"/>
    <w:rPr>
      <w:b/>
      <w:bCs/>
    </w:rPr>
  </w:style>
  <w:style w:type="character" w:customStyle="1" w:styleId="CommentSubjectChar">
    <w:name w:val="Comment Subject Char"/>
    <w:basedOn w:val="CommentTextChar"/>
    <w:link w:val="CommentSubject"/>
    <w:uiPriority w:val="99"/>
    <w:semiHidden/>
    <w:rsid w:val="00496820"/>
    <w:rPr>
      <w:b/>
      <w:bCs/>
      <w:sz w:val="20"/>
      <w:szCs w:val="20"/>
    </w:rPr>
  </w:style>
  <w:style w:type="character" w:styleId="LineNumber">
    <w:name w:val="line number"/>
    <w:basedOn w:val="DefaultParagraphFont"/>
    <w:uiPriority w:val="99"/>
    <w:semiHidden/>
    <w:unhideWhenUsed/>
    <w:rsid w:val="00773FE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56478971">
      <w:bodyDiv w:val="1"/>
      <w:marLeft w:val="0"/>
      <w:marRight w:val="0"/>
      <w:marTop w:val="0"/>
      <w:marBottom w:val="0"/>
      <w:divBdr>
        <w:top w:val="none" w:sz="0" w:space="0" w:color="auto"/>
        <w:left w:val="none" w:sz="0" w:space="0" w:color="auto"/>
        <w:bottom w:val="none" w:sz="0" w:space="0" w:color="auto"/>
        <w:right w:val="none" w:sz="0" w:space="0" w:color="auto"/>
      </w:divBdr>
    </w:div>
    <w:div w:id="1057777448">
      <w:bodyDiv w:val="1"/>
      <w:marLeft w:val="0"/>
      <w:marRight w:val="0"/>
      <w:marTop w:val="0"/>
      <w:marBottom w:val="0"/>
      <w:divBdr>
        <w:top w:val="none" w:sz="0" w:space="0" w:color="auto"/>
        <w:left w:val="none" w:sz="0" w:space="0" w:color="auto"/>
        <w:bottom w:val="none" w:sz="0" w:space="0" w:color="auto"/>
        <w:right w:val="none" w:sz="0" w:space="0" w:color="auto"/>
      </w:divBdr>
      <w:divsChild>
        <w:div w:id="1767581674">
          <w:marLeft w:val="0"/>
          <w:marRight w:val="0"/>
          <w:marTop w:val="0"/>
          <w:marBottom w:val="0"/>
          <w:divBdr>
            <w:top w:val="none" w:sz="0" w:space="0" w:color="auto"/>
            <w:left w:val="none" w:sz="0" w:space="0" w:color="auto"/>
            <w:bottom w:val="none" w:sz="0" w:space="0" w:color="auto"/>
            <w:right w:val="none" w:sz="0" w:space="0" w:color="auto"/>
          </w:divBdr>
        </w:div>
        <w:div w:id="1104695417">
          <w:marLeft w:val="0"/>
          <w:marRight w:val="0"/>
          <w:marTop w:val="0"/>
          <w:marBottom w:val="0"/>
          <w:divBdr>
            <w:top w:val="none" w:sz="0" w:space="0" w:color="auto"/>
            <w:left w:val="none" w:sz="0" w:space="0" w:color="auto"/>
            <w:bottom w:val="none" w:sz="0" w:space="0" w:color="auto"/>
            <w:right w:val="none" w:sz="0" w:space="0" w:color="auto"/>
          </w:divBdr>
        </w:div>
      </w:divsChild>
    </w:div>
    <w:div w:id="1258905311">
      <w:bodyDiv w:val="1"/>
      <w:marLeft w:val="0"/>
      <w:marRight w:val="0"/>
      <w:marTop w:val="0"/>
      <w:marBottom w:val="0"/>
      <w:divBdr>
        <w:top w:val="none" w:sz="0" w:space="0" w:color="auto"/>
        <w:left w:val="none" w:sz="0" w:space="0" w:color="auto"/>
        <w:bottom w:val="none" w:sz="0" w:space="0" w:color="auto"/>
        <w:right w:val="none" w:sz="0" w:space="0" w:color="auto"/>
      </w:divBdr>
    </w:div>
    <w:div w:id="1426146902">
      <w:bodyDiv w:val="1"/>
      <w:marLeft w:val="0"/>
      <w:marRight w:val="0"/>
      <w:marTop w:val="0"/>
      <w:marBottom w:val="0"/>
      <w:divBdr>
        <w:top w:val="none" w:sz="0" w:space="0" w:color="auto"/>
        <w:left w:val="none" w:sz="0" w:space="0" w:color="auto"/>
        <w:bottom w:val="none" w:sz="0" w:space="0" w:color="auto"/>
        <w:right w:val="none" w:sz="0" w:space="0" w:color="auto"/>
      </w:divBdr>
      <w:divsChild>
        <w:div w:id="86405732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5974226">
              <w:marLeft w:val="0"/>
              <w:marRight w:val="0"/>
              <w:marTop w:val="0"/>
              <w:marBottom w:val="0"/>
              <w:divBdr>
                <w:top w:val="none" w:sz="0" w:space="0" w:color="auto"/>
                <w:left w:val="none" w:sz="0" w:space="0" w:color="auto"/>
                <w:bottom w:val="none" w:sz="0" w:space="0" w:color="auto"/>
                <w:right w:val="none" w:sz="0" w:space="0" w:color="auto"/>
              </w:divBdr>
              <w:divsChild>
                <w:div w:id="1821531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1232678">
      <w:bodyDiv w:val="1"/>
      <w:marLeft w:val="0"/>
      <w:marRight w:val="0"/>
      <w:marTop w:val="0"/>
      <w:marBottom w:val="0"/>
      <w:divBdr>
        <w:top w:val="none" w:sz="0" w:space="0" w:color="auto"/>
        <w:left w:val="none" w:sz="0" w:space="0" w:color="auto"/>
        <w:bottom w:val="none" w:sz="0" w:space="0" w:color="auto"/>
        <w:right w:val="none" w:sz="0" w:space="0" w:color="auto"/>
      </w:divBdr>
    </w:div>
    <w:div w:id="1615283815">
      <w:bodyDiv w:val="1"/>
      <w:marLeft w:val="0"/>
      <w:marRight w:val="0"/>
      <w:marTop w:val="0"/>
      <w:marBottom w:val="0"/>
      <w:divBdr>
        <w:top w:val="none" w:sz="0" w:space="0" w:color="auto"/>
        <w:left w:val="none" w:sz="0" w:space="0" w:color="auto"/>
        <w:bottom w:val="none" w:sz="0" w:space="0" w:color="auto"/>
        <w:right w:val="none" w:sz="0" w:space="0" w:color="auto"/>
      </w:divBdr>
    </w:div>
    <w:div w:id="1942176281">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7" Type="http://schemas.microsoft.com/office/2011/relationships/commentsExtended" Target="commentsExtended.xml"/><Relationship Id="rId8" Type="http://schemas.microsoft.com/office/2016/09/relationships/commentsIds" Target="commentsIds.xml"/><Relationship Id="rId9" Type="http://schemas.microsoft.com/office/2018/08/relationships/commentsExtensible" Target="commentsExtensible.xml"/><Relationship Id="rId10" Type="http://schemas.microsoft.com/office/2011/relationships/people" Target="people.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8</Pages>
  <Words>6555</Words>
  <Characters>37369</Characters>
  <Application>Microsoft Macintosh Word</Application>
  <DocSecurity>0</DocSecurity>
  <Lines>311</Lines>
  <Paragraphs>87</Paragraphs>
  <ScaleCrop>false</ScaleCrop>
  <Company/>
  <LinksUpToDate>false</LinksUpToDate>
  <CharactersWithSpaces>43837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Sophie Clarke</dc:creator>
  <cp:keywords/>
  <dc:description/>
  <cp:lastModifiedBy>Sophie Clarke</cp:lastModifiedBy>
  <cp:revision>3</cp:revision>
  <dcterms:created xsi:type="dcterms:W3CDTF">2022-03-27T22:51:00Z</dcterms:created>
  <dcterms:modified xsi:type="dcterms:W3CDTF">2022-03-27T22:52:00Z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b059d828-5471-35f5-8ef0-168b77e23179</vt:lpwstr>
  </property>
  <property fmtid="{D5CDD505-2E9C-101B-9397-08002B2CF9AE}" pid="4" name="Mendeley Citation Style_1">
    <vt:lpwstr>http://www.zotero.org/styles/american-medical-association</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vt:lpwstr>
  </property>
  <property fmtid="{D5CDD505-2E9C-101B-9397-08002B2CF9AE}" pid="7" name="Mendeley Recent Style Id 1_1">
    <vt:lpwstr>http://www.zotero.org/styles/diabetologia</vt:lpwstr>
  </property>
  <property fmtid="{D5CDD505-2E9C-101B-9397-08002B2CF9AE}" pid="8" name="Mendeley Recent Style Name 1_1">
    <vt:lpwstr>Diabetologia</vt:lpwstr>
  </property>
  <property fmtid="{D5CDD505-2E9C-101B-9397-08002B2CF9AE}" pid="9" name="Mendeley Recent Style Id 2_1">
    <vt:lpwstr>http://www.zotero.org/styles/ieee</vt:lpwstr>
  </property>
  <property fmtid="{D5CDD505-2E9C-101B-9397-08002B2CF9AE}" pid="10" name="Mendeley Recent Style Name 2_1">
    <vt:lpwstr>IEEE</vt:lpwstr>
  </property>
  <property fmtid="{D5CDD505-2E9C-101B-9397-08002B2CF9AE}" pid="11" name="Mendeley Recent Style Id 3_1">
    <vt:lpwstr>http://www.zotero.org/styles/modern-humanities-research-association</vt:lpwstr>
  </property>
  <property fmtid="{D5CDD505-2E9C-101B-9397-08002B2CF9AE}" pid="12" name="Mendeley Recent Style Name 3_1">
    <vt:lpwstr>Modern Humanities Research Association 3rd edition (note with bibliography)</vt:lpwstr>
  </property>
  <property fmtid="{D5CDD505-2E9C-101B-9397-08002B2CF9AE}" pid="13" name="Mendeley Recent Style Id 4_1">
    <vt:lpwstr>http://www.zotero.org/styles/modern-language-association</vt:lpwstr>
  </property>
  <property fmtid="{D5CDD505-2E9C-101B-9397-08002B2CF9AE}" pid="14" name="Mendeley Recent Style Name 4_1">
    <vt:lpwstr>Modern Language Association 8th edition</vt:lpwstr>
  </property>
  <property fmtid="{D5CDD505-2E9C-101B-9397-08002B2CF9AE}" pid="15" name="Mendeley Recent Style Id 5_1">
    <vt:lpwstr>http://www.zotero.org/styles/national-library-of-medicine</vt:lpwstr>
  </property>
  <property fmtid="{D5CDD505-2E9C-101B-9397-08002B2CF9AE}" pid="16" name="Mendeley Recent Style Name 5_1">
    <vt:lpwstr>National Library of Medicine</vt:lpwstr>
  </property>
  <property fmtid="{D5CDD505-2E9C-101B-9397-08002B2CF9AE}" pid="17" name="Mendeley Recent Style Id 6_1">
    <vt:lpwstr>http://www.zotero.org/styles/reproductive-biomedicine-online</vt:lpwstr>
  </property>
  <property fmtid="{D5CDD505-2E9C-101B-9397-08002B2CF9AE}" pid="18" name="Mendeley Recent Style Name 6_1">
    <vt:lpwstr>Reproductive BioMedicine Online</vt:lpwstr>
  </property>
  <property fmtid="{D5CDD505-2E9C-101B-9397-08002B2CF9AE}" pid="19" name="Mendeley Recent Style Id 7_1">
    <vt:lpwstr>http://www.zotero.org/styles/the-new-england-journal-of-medicine</vt:lpwstr>
  </property>
  <property fmtid="{D5CDD505-2E9C-101B-9397-08002B2CF9AE}" pid="20" name="Mendeley Recent Style Name 7_1">
    <vt:lpwstr>The New England Journal of Medicine</vt:lpwstr>
  </property>
  <property fmtid="{D5CDD505-2E9C-101B-9397-08002B2CF9AE}" pid="21" name="Mendeley Recent Style Id 8_1">
    <vt:lpwstr>http://www.zotero.org/styles/trends-in-molecular-medicine</vt:lpwstr>
  </property>
  <property fmtid="{D5CDD505-2E9C-101B-9397-08002B2CF9AE}" pid="22" name="Mendeley Recent Style Name 8_1">
    <vt:lpwstr>Trends in Molecular Medicine</vt:lpwstr>
  </property>
  <property fmtid="{D5CDD505-2E9C-101B-9397-08002B2CF9AE}" pid="23" name="Mendeley Recent Style Id 9_1">
    <vt:lpwstr>http://www.zotero.org/styles/vancouver</vt:lpwstr>
  </property>
  <property fmtid="{D5CDD505-2E9C-101B-9397-08002B2CF9AE}" pid="24" name="Mendeley Recent Style Name 9_1">
    <vt:lpwstr>Vancouver</vt:lpwstr>
  </property>
</Properties>
</file>