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28D68" w14:textId="15942951" w:rsidR="00BD43BC" w:rsidRPr="00364EF3" w:rsidRDefault="00BD43BC" w:rsidP="009C7054">
      <w:pPr>
        <w:spacing w:line="480" w:lineRule="auto"/>
        <w:jc w:val="both"/>
        <w:rPr>
          <w:rFonts w:cs="Times New Roman"/>
          <w:b/>
        </w:rPr>
      </w:pPr>
      <w:r w:rsidRPr="00364EF3">
        <w:rPr>
          <w:rFonts w:cs="Times New Roman"/>
          <w:b/>
        </w:rPr>
        <w:t xml:space="preserve">Does global drug innovation </w:t>
      </w:r>
      <w:r w:rsidR="008004F0">
        <w:rPr>
          <w:rFonts w:cs="Times New Roman"/>
          <w:b/>
        </w:rPr>
        <w:t>correspond to</w:t>
      </w:r>
      <w:r w:rsidR="008004F0" w:rsidRPr="00364EF3">
        <w:rPr>
          <w:rFonts w:cs="Times New Roman"/>
          <w:b/>
        </w:rPr>
        <w:t xml:space="preserve"> </w:t>
      </w:r>
      <w:r w:rsidRPr="00364EF3">
        <w:rPr>
          <w:rFonts w:cs="Times New Roman"/>
          <w:b/>
        </w:rPr>
        <w:t>burden of disease? The neglected diseases in developed and developing countries.</w:t>
      </w:r>
    </w:p>
    <w:p w14:paraId="23847E51" w14:textId="6F8C46C8" w:rsidR="007E239B" w:rsidRPr="00F14384" w:rsidRDefault="007E239B" w:rsidP="007E239B">
      <w:pPr>
        <w:spacing w:line="360" w:lineRule="auto"/>
        <w:jc w:val="right"/>
        <w:rPr>
          <w:rFonts w:cs="Times New Roman"/>
          <w:lang w:val="pt-PT"/>
        </w:rPr>
      </w:pPr>
      <w:r w:rsidRPr="00F14384">
        <w:rPr>
          <w:rFonts w:cs="Times New Roman"/>
          <w:lang w:val="pt-PT"/>
        </w:rPr>
        <w:t>Eliana Barrenho</w:t>
      </w:r>
      <w:r w:rsidRPr="00F14384">
        <w:rPr>
          <w:rFonts w:cs="Times New Roman"/>
          <w:vertAlign w:val="superscript"/>
          <w:lang w:val="pt-PT"/>
        </w:rPr>
        <w:t>1</w:t>
      </w:r>
      <w:r>
        <w:rPr>
          <w:rFonts w:cs="Times New Roman"/>
          <w:vertAlign w:val="superscript"/>
          <w:lang w:val="pt-PT"/>
        </w:rPr>
        <w:t>,2</w:t>
      </w:r>
      <w:r w:rsidRPr="00F14384">
        <w:rPr>
          <w:rFonts w:cs="Times New Roman"/>
          <w:vertAlign w:val="superscript"/>
          <w:lang w:val="pt-PT"/>
        </w:rPr>
        <w:t>*</w:t>
      </w:r>
      <w:r w:rsidRPr="00F14384">
        <w:rPr>
          <w:rFonts w:cs="Times New Roman"/>
          <w:lang w:val="pt-PT"/>
        </w:rPr>
        <w:t>, Marisa Miraldo</w:t>
      </w:r>
      <w:r w:rsidRPr="00F14384">
        <w:rPr>
          <w:rFonts w:cs="Times New Roman"/>
          <w:vertAlign w:val="superscript"/>
          <w:lang w:val="pt-PT"/>
        </w:rPr>
        <w:t>1</w:t>
      </w:r>
      <w:r>
        <w:rPr>
          <w:rFonts w:cs="Times New Roman"/>
          <w:vertAlign w:val="superscript"/>
          <w:lang w:val="pt-PT"/>
        </w:rPr>
        <w:t>,2</w:t>
      </w:r>
      <w:r w:rsidRPr="00F14384">
        <w:rPr>
          <w:rFonts w:cs="Times New Roman"/>
          <w:lang w:val="pt-PT"/>
        </w:rPr>
        <w:t>, Peter C. Smith</w:t>
      </w:r>
      <w:r w:rsidRPr="00F14384">
        <w:rPr>
          <w:rFonts w:cs="Times New Roman"/>
          <w:vertAlign w:val="superscript"/>
          <w:lang w:val="pt-PT"/>
        </w:rPr>
        <w:t>1</w:t>
      </w:r>
    </w:p>
    <w:p w14:paraId="2CEEAD77" w14:textId="77777777" w:rsidR="007E239B" w:rsidRPr="00F14384" w:rsidRDefault="007E239B" w:rsidP="007E239B">
      <w:pPr>
        <w:spacing w:line="360" w:lineRule="auto"/>
        <w:rPr>
          <w:rFonts w:cs="Times New Roman"/>
          <w:lang w:val="pt-PT"/>
        </w:rPr>
      </w:pPr>
    </w:p>
    <w:p w14:paraId="5B816A82" w14:textId="77777777" w:rsidR="007E239B" w:rsidRPr="00F14384" w:rsidRDefault="007E239B" w:rsidP="007E239B">
      <w:pPr>
        <w:spacing w:line="360" w:lineRule="auto"/>
        <w:jc w:val="right"/>
        <w:rPr>
          <w:rFonts w:cs="Times New Roman"/>
          <w:lang w:val="pt-PT"/>
        </w:rPr>
      </w:pPr>
    </w:p>
    <w:p w14:paraId="0EDFEF3C" w14:textId="49A169E5" w:rsidR="007E239B" w:rsidRDefault="007E239B" w:rsidP="007E239B">
      <w:pPr>
        <w:spacing w:line="360" w:lineRule="auto"/>
        <w:jc w:val="right"/>
        <w:rPr>
          <w:rFonts w:cs="Times New Roman"/>
        </w:rPr>
      </w:pPr>
      <w:r w:rsidRPr="00364EF3">
        <w:rPr>
          <w:rFonts w:cs="Times New Roman"/>
          <w:vertAlign w:val="superscript"/>
          <w:lang w:val="en-GB"/>
        </w:rPr>
        <w:t>1</w:t>
      </w:r>
      <w:r>
        <w:rPr>
          <w:rFonts w:cs="Times New Roman"/>
          <w:b/>
        </w:rPr>
        <w:t>Centre for Health Economics &amp;</w:t>
      </w:r>
      <w:r w:rsidRPr="007E239B">
        <w:rPr>
          <w:rFonts w:cs="Times New Roman"/>
          <w:b/>
        </w:rPr>
        <w:t>Policy Innovation</w:t>
      </w:r>
      <w:r w:rsidRPr="00364EF3">
        <w:rPr>
          <w:rFonts w:cs="Times New Roman"/>
          <w:b/>
        </w:rPr>
        <w:t>, Imperial College Business School</w:t>
      </w:r>
      <w:r w:rsidRPr="00364EF3">
        <w:rPr>
          <w:rFonts w:cs="Times New Roman"/>
        </w:rPr>
        <w:t xml:space="preserve">, Imperial College London, </w:t>
      </w:r>
      <w:r>
        <w:rPr>
          <w:rFonts w:cs="Times New Roman"/>
        </w:rPr>
        <w:t>UK</w:t>
      </w:r>
    </w:p>
    <w:p w14:paraId="7ED5F14C" w14:textId="2ACFAD2A" w:rsidR="007E239B" w:rsidRPr="00364EF3" w:rsidRDefault="007E239B" w:rsidP="007E239B">
      <w:pPr>
        <w:spacing w:line="360" w:lineRule="auto"/>
        <w:jc w:val="right"/>
        <w:rPr>
          <w:rFonts w:cs="Times New Roman"/>
        </w:rPr>
      </w:pPr>
      <w:r>
        <w:rPr>
          <w:rFonts w:cs="Times New Roman"/>
        </w:rPr>
        <w:t>Hospinnomics Chair, Paris School of Economics, France</w:t>
      </w:r>
    </w:p>
    <w:p w14:paraId="3FE97F1A" w14:textId="77777777" w:rsidR="007E239B" w:rsidRPr="00364EF3" w:rsidRDefault="007E239B" w:rsidP="007E239B">
      <w:pPr>
        <w:spacing w:line="360" w:lineRule="auto"/>
        <w:rPr>
          <w:rFonts w:cs="Times New Roman"/>
          <w:b/>
        </w:rPr>
      </w:pPr>
    </w:p>
    <w:p w14:paraId="7BBDEC06" w14:textId="77777777" w:rsidR="007E239B" w:rsidRPr="00364EF3" w:rsidRDefault="007E239B" w:rsidP="007E239B">
      <w:pPr>
        <w:spacing w:line="360" w:lineRule="auto"/>
        <w:jc w:val="center"/>
        <w:rPr>
          <w:rFonts w:cs="Times New Roman"/>
          <w:b/>
        </w:rPr>
      </w:pPr>
    </w:p>
    <w:p w14:paraId="40148B61" w14:textId="77777777" w:rsidR="007E239B" w:rsidRPr="00364EF3" w:rsidRDefault="007E239B" w:rsidP="007E239B">
      <w:pPr>
        <w:spacing w:line="360" w:lineRule="auto"/>
        <w:jc w:val="right"/>
        <w:rPr>
          <w:rFonts w:cs="Times New Roman"/>
          <w:lang w:val="en-GB"/>
        </w:rPr>
      </w:pPr>
      <w:r w:rsidRPr="00364EF3">
        <w:rPr>
          <w:rFonts w:cs="Times New Roman"/>
          <w:vertAlign w:val="superscript"/>
          <w:lang w:val="en-GB"/>
        </w:rPr>
        <w:t>*</w:t>
      </w:r>
      <w:r w:rsidRPr="00364EF3">
        <w:rPr>
          <w:rFonts w:cs="Times New Roman"/>
          <w:lang w:val="en-GB"/>
        </w:rPr>
        <w:t xml:space="preserve">Correspondence to: </w:t>
      </w:r>
    </w:p>
    <w:p w14:paraId="6F33E2F9" w14:textId="405B5A66" w:rsidR="007E239B" w:rsidRPr="00364EF3" w:rsidRDefault="007E239B" w:rsidP="007E239B">
      <w:pPr>
        <w:spacing w:line="360" w:lineRule="auto"/>
        <w:jc w:val="right"/>
        <w:rPr>
          <w:rFonts w:cs="Times New Roman"/>
          <w:color w:val="000000"/>
          <w:shd w:val="clear" w:color="auto" w:fill="FFFFFF"/>
          <w:lang w:val="en-GB"/>
        </w:rPr>
      </w:pPr>
      <w:r w:rsidRPr="00364EF3">
        <w:rPr>
          <w:rFonts w:cs="Times New Roman"/>
          <w:lang w:val="en-GB"/>
        </w:rPr>
        <w:t xml:space="preserve">Eliana Barrenho, </w:t>
      </w:r>
      <w:r w:rsidR="009F2C49">
        <w:rPr>
          <w:rFonts w:cs="Times New Roman"/>
        </w:rPr>
        <w:t>CHEPI</w:t>
      </w:r>
      <w:bookmarkStart w:id="0" w:name="_GoBack"/>
      <w:bookmarkEnd w:id="0"/>
      <w:r w:rsidRPr="00364EF3">
        <w:rPr>
          <w:rFonts w:cs="Times New Roman"/>
        </w:rPr>
        <w:t>, Imperial College Business School, Imperial College London, Tanaka Building, South Kensington Campus, London, SW7 2AZ, UK.</w:t>
      </w:r>
      <w:r w:rsidRPr="00364EF3">
        <w:rPr>
          <w:rFonts w:cs="Times New Roman"/>
          <w:color w:val="000000"/>
          <w:shd w:val="clear" w:color="auto" w:fill="FFFFFF"/>
          <w:lang w:val="en-GB"/>
        </w:rPr>
        <w:t xml:space="preserve"> </w:t>
      </w:r>
    </w:p>
    <w:p w14:paraId="34976963" w14:textId="77777777" w:rsidR="007E239B" w:rsidRPr="009962F7" w:rsidRDefault="007E239B" w:rsidP="007E239B">
      <w:pPr>
        <w:spacing w:line="360" w:lineRule="auto"/>
        <w:jc w:val="right"/>
        <w:rPr>
          <w:rFonts w:cs="Times New Roman"/>
          <w:lang w:val="pt-PT"/>
        </w:rPr>
      </w:pPr>
      <w:r w:rsidRPr="00B943EA">
        <w:rPr>
          <w:rFonts w:cs="Times New Roman"/>
          <w:lang w:val="pt-PT"/>
        </w:rPr>
        <w:t xml:space="preserve">E-mail: </w:t>
      </w:r>
      <w:r w:rsidRPr="007A6B9E">
        <w:rPr>
          <w:rFonts w:cs="Times New Roman"/>
          <w:lang w:val="pt-PT"/>
        </w:rPr>
        <w:t>eliana.barrenho@imperial.ac.uk</w:t>
      </w:r>
      <w:r w:rsidRPr="009962F7">
        <w:rPr>
          <w:rFonts w:cs="Times New Roman"/>
          <w:lang w:val="pt-PT"/>
        </w:rPr>
        <w:t>, tel: +44 (0)20 7594 1305</w:t>
      </w:r>
    </w:p>
    <w:p w14:paraId="66F86DC7" w14:textId="77777777" w:rsidR="00A0563F" w:rsidRPr="007E239B" w:rsidRDefault="00A0563F" w:rsidP="001011ED">
      <w:pPr>
        <w:spacing w:line="480" w:lineRule="auto"/>
        <w:jc w:val="both"/>
        <w:rPr>
          <w:lang w:val="pt-PT"/>
        </w:rPr>
      </w:pPr>
    </w:p>
    <w:p w14:paraId="2A909A10" w14:textId="77777777" w:rsidR="001011ED" w:rsidRPr="00430EB0" w:rsidRDefault="009C7054" w:rsidP="001011ED">
      <w:pPr>
        <w:spacing w:line="480" w:lineRule="auto"/>
        <w:jc w:val="both"/>
        <w:rPr>
          <w:rFonts w:cs="Times New Roman"/>
          <w:lang w:val="en-GB"/>
        </w:rPr>
      </w:pPr>
      <w:r w:rsidRPr="008B68E4">
        <w:t>Keywords:</w:t>
      </w:r>
      <w:r w:rsidRPr="00364EF3">
        <w:t xml:space="preserve"> Pharmaceutical Innovation, Inequalities, </w:t>
      </w:r>
      <w:r>
        <w:t>Burden of Disease, Market size, Concentration curves, Concentration indices</w:t>
      </w:r>
      <w:r w:rsidRPr="00364EF3">
        <w:t>.</w:t>
      </w:r>
      <w:r w:rsidR="001011ED">
        <w:t xml:space="preserve"> </w:t>
      </w:r>
      <w:r w:rsidR="001011ED" w:rsidRPr="00430EB0">
        <w:rPr>
          <w:lang w:val="en-GB"/>
        </w:rPr>
        <w:t>JEL codes: I140; I150; O32.</w:t>
      </w:r>
    </w:p>
    <w:p w14:paraId="39391EF8" w14:textId="77777777" w:rsidR="00430EB0" w:rsidRDefault="00430EB0" w:rsidP="001011ED">
      <w:pPr>
        <w:spacing w:line="480" w:lineRule="auto"/>
        <w:jc w:val="both"/>
        <w:rPr>
          <w:lang w:val="en-GB"/>
        </w:rPr>
      </w:pPr>
    </w:p>
    <w:p w14:paraId="0786A9B5" w14:textId="2EFB143C" w:rsidR="009C7054" w:rsidRPr="00237F91" w:rsidRDefault="00430EB0" w:rsidP="001011ED">
      <w:pPr>
        <w:spacing w:line="480" w:lineRule="auto"/>
        <w:jc w:val="both"/>
        <w:rPr>
          <w:lang w:val="en-GB"/>
        </w:rPr>
      </w:pPr>
      <w:r w:rsidRPr="00237F91">
        <w:rPr>
          <w:lang w:val="en-GB"/>
        </w:rPr>
        <w:t xml:space="preserve">Manuscript word count: </w:t>
      </w:r>
      <w:r w:rsidR="0039113C" w:rsidRPr="00237F91">
        <w:rPr>
          <w:lang w:val="en-GB"/>
        </w:rPr>
        <w:t>7,</w:t>
      </w:r>
      <w:r w:rsidR="0039113C">
        <w:rPr>
          <w:lang w:val="en-GB"/>
        </w:rPr>
        <w:t>0</w:t>
      </w:r>
      <w:r w:rsidR="0088013C">
        <w:rPr>
          <w:lang w:val="en-GB"/>
        </w:rPr>
        <w:t>3</w:t>
      </w:r>
      <w:r w:rsidR="00E24660">
        <w:rPr>
          <w:lang w:val="en-GB"/>
        </w:rPr>
        <w:t>8</w:t>
      </w:r>
      <w:r w:rsidR="0039113C">
        <w:rPr>
          <w:lang w:val="en-GB"/>
        </w:rPr>
        <w:t xml:space="preserve"> </w:t>
      </w:r>
      <w:r w:rsidRPr="00237F91">
        <w:rPr>
          <w:lang w:val="en-GB"/>
        </w:rPr>
        <w:t>words in main body (excluding references, tables and figures)</w:t>
      </w:r>
    </w:p>
    <w:p w14:paraId="270E6267" w14:textId="0C4FFD2B" w:rsidR="00430EB0" w:rsidRPr="00237F91" w:rsidRDefault="00430EB0" w:rsidP="001011ED">
      <w:pPr>
        <w:spacing w:line="480" w:lineRule="auto"/>
        <w:jc w:val="both"/>
        <w:rPr>
          <w:lang w:val="en-GB"/>
        </w:rPr>
      </w:pPr>
      <w:r w:rsidRPr="00237F91">
        <w:rPr>
          <w:lang w:val="en-GB"/>
        </w:rPr>
        <w:t>Manuscript table count: 7</w:t>
      </w:r>
    </w:p>
    <w:p w14:paraId="5B1D1AD2" w14:textId="1C9A496B" w:rsidR="00430EB0" w:rsidRPr="00430EB0" w:rsidRDefault="00430EB0" w:rsidP="001011ED">
      <w:pPr>
        <w:spacing w:line="480" w:lineRule="auto"/>
        <w:jc w:val="both"/>
        <w:rPr>
          <w:lang w:val="en-GB"/>
        </w:rPr>
      </w:pPr>
      <w:r w:rsidRPr="00237F91">
        <w:rPr>
          <w:lang w:val="en-GB"/>
        </w:rPr>
        <w:t>Manuscript figure count: 8</w:t>
      </w:r>
    </w:p>
    <w:p w14:paraId="542926FF" w14:textId="77777777" w:rsidR="009C7054" w:rsidRDefault="009C7054" w:rsidP="001011ED">
      <w:pPr>
        <w:spacing w:line="480" w:lineRule="auto"/>
        <w:jc w:val="both"/>
        <w:rPr>
          <w:rFonts w:cs="Times New Roman"/>
        </w:rPr>
      </w:pPr>
    </w:p>
    <w:p w14:paraId="49C9DEDA" w14:textId="77777777" w:rsidR="009C7054" w:rsidRDefault="009C7054" w:rsidP="009C7054">
      <w:pPr>
        <w:pStyle w:val="Caption"/>
        <w:spacing w:line="480" w:lineRule="auto"/>
        <w:jc w:val="both"/>
        <w:rPr>
          <w:rFonts w:cs="Times New Roman"/>
          <w:b w:val="0"/>
          <w:color w:val="auto"/>
          <w:sz w:val="24"/>
          <w:szCs w:val="24"/>
          <w:lang w:val="en-GB"/>
        </w:rPr>
      </w:pPr>
      <w:r>
        <w:rPr>
          <w:rFonts w:cs="Times New Roman"/>
          <w:b w:val="0"/>
          <w:color w:val="auto"/>
          <w:sz w:val="24"/>
          <w:szCs w:val="24"/>
          <w:lang w:val="en-GB"/>
        </w:rPr>
        <w:t>Conflicts of interest: Authors have nothing to declare.</w:t>
      </w:r>
    </w:p>
    <w:p w14:paraId="60771F58" w14:textId="76F9C3E9" w:rsidR="009C7054" w:rsidRPr="001011ED" w:rsidRDefault="001011ED" w:rsidP="009C7054">
      <w:pPr>
        <w:spacing w:line="480" w:lineRule="auto"/>
        <w:jc w:val="both"/>
        <w:rPr>
          <w:rFonts w:cs="Times New Roman"/>
          <w:lang w:val="pt-PT"/>
        </w:rPr>
      </w:pPr>
      <w:r>
        <w:rPr>
          <w:rFonts w:cs="Times New Roman"/>
          <w:lang w:val="pt-PT"/>
        </w:rPr>
        <w:t xml:space="preserve">Funding sources: </w:t>
      </w:r>
      <w:r w:rsidR="00A0563F">
        <w:rPr>
          <w:rFonts w:cs="Times New Roman"/>
          <w:lang w:val="pt-PT"/>
        </w:rPr>
        <w:t>The authors acknowledge</w:t>
      </w:r>
      <w:r w:rsidRPr="00F43DA5">
        <w:rPr>
          <w:rFonts w:cs="Times New Roman"/>
          <w:lang w:val="pt-PT"/>
        </w:rPr>
        <w:t xml:space="preserve"> financial support available from Fundação para a Ciência e a Tecnologia, Ministério para a Educação e Ciência</w:t>
      </w:r>
      <w:r w:rsidRPr="00624626">
        <w:rPr>
          <w:rFonts w:cs="Times New Roman"/>
          <w:lang w:val="pt-PT"/>
        </w:rPr>
        <w:t xml:space="preserve"> (FCT)</w:t>
      </w:r>
      <w:r w:rsidRPr="00F43DA5">
        <w:rPr>
          <w:rFonts w:cs="Times New Roman"/>
          <w:lang w:val="pt-PT"/>
        </w:rPr>
        <w:t>, Governo da República Portuguesa, Doctoral Fellowship POPH-QREN-SFRH-BD-69131-2010.</w:t>
      </w:r>
    </w:p>
    <w:p w14:paraId="54FA5E1E" w14:textId="77777777" w:rsidR="009C7054" w:rsidRPr="001011ED" w:rsidRDefault="009C7054" w:rsidP="009C7054">
      <w:pPr>
        <w:spacing w:line="480" w:lineRule="auto"/>
        <w:rPr>
          <w:lang w:val="pt-PT"/>
        </w:rPr>
      </w:pPr>
    </w:p>
    <w:p w14:paraId="63BC08B1" w14:textId="77777777" w:rsidR="00BD43BC" w:rsidRPr="009962F7" w:rsidRDefault="00BD43BC" w:rsidP="009C7054">
      <w:pPr>
        <w:spacing w:line="480" w:lineRule="auto"/>
        <w:rPr>
          <w:rFonts w:cs="Times New Roman"/>
          <w:b/>
          <w:lang w:val="pt-PT"/>
        </w:rPr>
      </w:pPr>
      <w:r w:rsidRPr="009962F7">
        <w:rPr>
          <w:rFonts w:cs="Times New Roman"/>
          <w:b/>
          <w:lang w:val="pt-PT"/>
        </w:rPr>
        <w:br w:type="page"/>
      </w:r>
    </w:p>
    <w:p w14:paraId="3FA64777" w14:textId="245D1C19" w:rsidR="002504D5" w:rsidRPr="00364EF3" w:rsidRDefault="002504D5" w:rsidP="009C7054">
      <w:pPr>
        <w:spacing w:line="480" w:lineRule="auto"/>
        <w:jc w:val="both"/>
        <w:rPr>
          <w:rFonts w:cs="Times New Roman"/>
          <w:b/>
        </w:rPr>
      </w:pPr>
      <w:r w:rsidRPr="00364EF3">
        <w:rPr>
          <w:rFonts w:cs="Times New Roman"/>
          <w:b/>
        </w:rPr>
        <w:lastRenderedPageBreak/>
        <w:t xml:space="preserve">Does global drug innovation </w:t>
      </w:r>
      <w:r w:rsidR="007D278A">
        <w:rPr>
          <w:rFonts w:cs="Times New Roman"/>
          <w:b/>
        </w:rPr>
        <w:t>correspond to</w:t>
      </w:r>
      <w:r w:rsidR="007D278A" w:rsidRPr="00364EF3">
        <w:rPr>
          <w:rFonts w:cs="Times New Roman"/>
          <w:b/>
        </w:rPr>
        <w:t xml:space="preserve"> </w:t>
      </w:r>
      <w:r w:rsidR="004F1CBD" w:rsidRPr="00364EF3">
        <w:rPr>
          <w:rFonts w:cs="Times New Roman"/>
          <w:b/>
        </w:rPr>
        <w:t>burden of disease</w:t>
      </w:r>
      <w:r w:rsidRPr="00364EF3">
        <w:rPr>
          <w:rFonts w:cs="Times New Roman"/>
          <w:b/>
        </w:rPr>
        <w:t>?</w:t>
      </w:r>
      <w:r w:rsidR="00422E85" w:rsidRPr="00364EF3">
        <w:rPr>
          <w:rFonts w:cs="Times New Roman"/>
          <w:b/>
        </w:rPr>
        <w:t xml:space="preserve"> The neglected diseases in developed and developing countries.</w:t>
      </w:r>
    </w:p>
    <w:p w14:paraId="39080C20" w14:textId="77777777" w:rsidR="00844FCE" w:rsidRPr="00364EF3" w:rsidRDefault="00844FCE" w:rsidP="009C7054">
      <w:pPr>
        <w:spacing w:line="480" w:lineRule="auto"/>
        <w:jc w:val="both"/>
        <w:rPr>
          <w:rFonts w:cs="Times New Roman"/>
          <w:b/>
          <w:lang w:val="en-GB"/>
        </w:rPr>
      </w:pPr>
    </w:p>
    <w:p w14:paraId="04C5F27B" w14:textId="77777777" w:rsidR="003468C2" w:rsidRPr="00364EF3" w:rsidRDefault="00825D7F" w:rsidP="009C7054">
      <w:pPr>
        <w:spacing w:line="480" w:lineRule="auto"/>
        <w:jc w:val="both"/>
        <w:rPr>
          <w:rFonts w:cs="Times New Roman"/>
          <w:b/>
        </w:rPr>
      </w:pPr>
      <w:r w:rsidRPr="00364EF3">
        <w:rPr>
          <w:rFonts w:cs="Times New Roman"/>
          <w:b/>
        </w:rPr>
        <w:t>Abstract</w:t>
      </w:r>
    </w:p>
    <w:p w14:paraId="6F87C559" w14:textId="2048562C" w:rsidR="00AF7222" w:rsidRPr="00364EF3" w:rsidRDefault="00AF7222" w:rsidP="009C7054">
      <w:pPr>
        <w:spacing w:line="480" w:lineRule="auto"/>
        <w:jc w:val="both"/>
        <w:rPr>
          <w:rFonts w:cs="Times New Roman"/>
        </w:rPr>
      </w:pPr>
      <w:r w:rsidRPr="00364EF3">
        <w:rPr>
          <w:rFonts w:cs="Times New Roman"/>
        </w:rPr>
        <w:t>While</w:t>
      </w:r>
      <w:r w:rsidR="000C63D7">
        <w:rPr>
          <w:rFonts w:cs="Times New Roman"/>
        </w:rPr>
        <w:t xml:space="preserve"> it is</w:t>
      </w:r>
      <w:r w:rsidRPr="00364EF3">
        <w:rPr>
          <w:rFonts w:cs="Times New Roman"/>
        </w:rPr>
        <w:t xml:space="preserve"> commonly argued that there is a mismatch between </w:t>
      </w:r>
      <w:r w:rsidR="00DA508E" w:rsidRPr="00364EF3">
        <w:rPr>
          <w:rFonts w:cs="Times New Roman"/>
        </w:rPr>
        <w:t xml:space="preserve">drug </w:t>
      </w:r>
      <w:r w:rsidR="0038417A" w:rsidRPr="00364EF3">
        <w:rPr>
          <w:rFonts w:cs="Times New Roman"/>
        </w:rPr>
        <w:t>innovation</w:t>
      </w:r>
      <w:r w:rsidR="00DA508E" w:rsidRPr="00364EF3">
        <w:rPr>
          <w:rFonts w:cs="Times New Roman"/>
        </w:rPr>
        <w:t xml:space="preserve"> </w:t>
      </w:r>
      <w:r w:rsidRPr="00364EF3">
        <w:rPr>
          <w:rFonts w:cs="Times New Roman"/>
        </w:rPr>
        <w:t>and</w:t>
      </w:r>
      <w:r w:rsidR="00F62B8D" w:rsidRPr="00364EF3">
        <w:rPr>
          <w:rFonts w:cs="Times New Roman"/>
        </w:rPr>
        <w:t xml:space="preserve"> </w:t>
      </w:r>
      <w:r w:rsidR="0028673E" w:rsidRPr="00364EF3">
        <w:rPr>
          <w:rFonts w:cs="Times New Roman"/>
        </w:rPr>
        <w:t>disease burden</w:t>
      </w:r>
      <w:r w:rsidRPr="00364EF3">
        <w:rPr>
          <w:rFonts w:cs="Times New Roman"/>
        </w:rPr>
        <w:t>,</w:t>
      </w:r>
      <w:r w:rsidR="000A79B0" w:rsidRPr="00364EF3">
        <w:rPr>
          <w:rFonts w:cs="Times New Roman"/>
        </w:rPr>
        <w:t xml:space="preserve"> </w:t>
      </w:r>
      <w:r w:rsidR="00D238D7" w:rsidRPr="00364EF3">
        <w:rPr>
          <w:rFonts w:cs="Times New Roman"/>
        </w:rPr>
        <w:t>there is</w:t>
      </w:r>
      <w:r w:rsidR="00366A23" w:rsidRPr="00364EF3">
        <w:rPr>
          <w:rFonts w:cs="Times New Roman"/>
        </w:rPr>
        <w:t xml:space="preserve"> </w:t>
      </w:r>
      <w:r w:rsidR="007D278A">
        <w:rPr>
          <w:rFonts w:cs="Times New Roman"/>
        </w:rPr>
        <w:t>little</w:t>
      </w:r>
      <w:r w:rsidR="007D278A" w:rsidRPr="00364EF3">
        <w:rPr>
          <w:rFonts w:cs="Times New Roman"/>
        </w:rPr>
        <w:t xml:space="preserve"> </w:t>
      </w:r>
      <w:r w:rsidR="0035674F" w:rsidRPr="00364EF3">
        <w:rPr>
          <w:rFonts w:cs="Times New Roman"/>
        </w:rPr>
        <w:t>evidence</w:t>
      </w:r>
      <w:r w:rsidR="00366A23" w:rsidRPr="00364EF3">
        <w:rPr>
          <w:rFonts w:cs="Times New Roman"/>
        </w:rPr>
        <w:t xml:space="preserve"> </w:t>
      </w:r>
      <w:r w:rsidR="00FC485E" w:rsidRPr="00364EF3">
        <w:rPr>
          <w:rFonts w:cs="Times New Roman"/>
        </w:rPr>
        <w:t xml:space="preserve">on the magnitude </w:t>
      </w:r>
      <w:r w:rsidR="00E5494F" w:rsidRPr="00364EF3">
        <w:rPr>
          <w:rFonts w:cs="Times New Roman"/>
        </w:rPr>
        <w:t xml:space="preserve">and direction </w:t>
      </w:r>
      <w:r w:rsidR="00FC485E" w:rsidRPr="00364EF3">
        <w:rPr>
          <w:rFonts w:cs="Times New Roman"/>
        </w:rPr>
        <w:t xml:space="preserve">of </w:t>
      </w:r>
      <w:r w:rsidR="00366A23" w:rsidRPr="00364EF3">
        <w:rPr>
          <w:rFonts w:cs="Times New Roman"/>
        </w:rPr>
        <w:t>such disparities</w:t>
      </w:r>
      <w:r w:rsidR="00DA508E" w:rsidRPr="00364EF3">
        <w:rPr>
          <w:rFonts w:cs="Times New Roman"/>
        </w:rPr>
        <w:t xml:space="preserve">. </w:t>
      </w:r>
      <w:r w:rsidRPr="00364EF3">
        <w:rPr>
          <w:rFonts w:cs="Times New Roman"/>
        </w:rPr>
        <w:t>In this paper we measure</w:t>
      </w:r>
      <w:r w:rsidR="00DA508E" w:rsidRPr="00364EF3">
        <w:rPr>
          <w:rFonts w:cs="Times New Roman"/>
        </w:rPr>
        <w:t xml:space="preserve"> inequality in </w:t>
      </w:r>
      <w:r w:rsidR="0038417A" w:rsidRPr="00364EF3">
        <w:rPr>
          <w:rFonts w:cs="Times New Roman"/>
        </w:rPr>
        <w:t>innovation</w:t>
      </w:r>
      <w:r w:rsidRPr="00364EF3">
        <w:rPr>
          <w:rFonts w:cs="Times New Roman"/>
        </w:rPr>
        <w:t>, by comparing</w:t>
      </w:r>
      <w:r w:rsidR="00255267" w:rsidRPr="00364EF3">
        <w:rPr>
          <w:rFonts w:cs="Times New Roman"/>
        </w:rPr>
        <w:t xml:space="preserve"> </w:t>
      </w:r>
      <w:r w:rsidR="00385EEB" w:rsidRPr="00364EF3">
        <w:rPr>
          <w:rFonts w:cs="Times New Roman"/>
        </w:rPr>
        <w:t>R&amp;D</w:t>
      </w:r>
      <w:r w:rsidR="009D7C83" w:rsidRPr="00364EF3">
        <w:rPr>
          <w:rFonts w:cs="Times New Roman"/>
        </w:rPr>
        <w:t xml:space="preserve"> activity with population health and GDP </w:t>
      </w:r>
      <w:r w:rsidR="000C426D" w:rsidRPr="00364EF3">
        <w:rPr>
          <w:rFonts w:cs="Times New Roman"/>
        </w:rPr>
        <w:t>data across</w:t>
      </w:r>
      <w:r w:rsidR="009D7C83" w:rsidRPr="00364EF3">
        <w:rPr>
          <w:rFonts w:cs="Times New Roman"/>
        </w:rPr>
        <w:t xml:space="preserve"> 493 therapeutic indications</w:t>
      </w:r>
      <w:r w:rsidR="00870429" w:rsidRPr="00364EF3">
        <w:rPr>
          <w:rFonts w:cs="Times New Roman"/>
        </w:rPr>
        <w:t xml:space="preserve"> to </w:t>
      </w:r>
      <w:r w:rsidR="00ED1ABD" w:rsidRPr="00364EF3">
        <w:rPr>
          <w:rFonts w:cs="Times New Roman"/>
        </w:rPr>
        <w:t xml:space="preserve">globally </w:t>
      </w:r>
      <w:r w:rsidR="009D7C83" w:rsidRPr="00364EF3">
        <w:rPr>
          <w:rFonts w:cs="Times New Roman"/>
        </w:rPr>
        <w:t xml:space="preserve">measure: (i) drug innovation, (ii) </w:t>
      </w:r>
      <w:r w:rsidR="001F0770" w:rsidRPr="00364EF3">
        <w:rPr>
          <w:rFonts w:cs="Times New Roman"/>
        </w:rPr>
        <w:t>disease</w:t>
      </w:r>
      <w:r w:rsidR="00114F0F">
        <w:rPr>
          <w:rFonts w:cs="Times New Roman"/>
        </w:rPr>
        <w:t xml:space="preserve"> burden</w:t>
      </w:r>
      <w:r w:rsidR="009D7C83" w:rsidRPr="00364EF3">
        <w:rPr>
          <w:rFonts w:cs="Times New Roman"/>
        </w:rPr>
        <w:t>, and (iii) market size.</w:t>
      </w:r>
      <w:r w:rsidRPr="00364EF3">
        <w:rPr>
          <w:rFonts w:cs="Times New Roman"/>
        </w:rPr>
        <w:t xml:space="preserve"> </w:t>
      </w:r>
    </w:p>
    <w:p w14:paraId="54A6925F" w14:textId="3AA6081A" w:rsidR="009D7C83" w:rsidRPr="00364EF3" w:rsidRDefault="00114F0F" w:rsidP="009C7054">
      <w:pPr>
        <w:spacing w:line="480" w:lineRule="auto"/>
        <w:jc w:val="both"/>
        <w:rPr>
          <w:rFonts w:cs="Times New Roman"/>
        </w:rPr>
      </w:pPr>
      <w:r>
        <w:rPr>
          <w:rFonts w:cs="Times New Roman"/>
        </w:rPr>
        <w:t>We use c</w:t>
      </w:r>
      <w:r w:rsidR="009D7C83" w:rsidRPr="00364EF3">
        <w:rPr>
          <w:rFonts w:cs="Times New Roman"/>
        </w:rPr>
        <w:t>oncentration curves</w:t>
      </w:r>
      <w:r w:rsidR="00172BC8" w:rsidRPr="00364EF3">
        <w:rPr>
          <w:rFonts w:cs="Times New Roman"/>
        </w:rPr>
        <w:t xml:space="preserve"> and</w:t>
      </w:r>
      <w:r w:rsidR="00927BB9" w:rsidRPr="00364EF3">
        <w:rPr>
          <w:rFonts w:cs="Times New Roman"/>
        </w:rPr>
        <w:t xml:space="preserve"> </w:t>
      </w:r>
      <w:r w:rsidR="009D7C83" w:rsidRPr="00364EF3">
        <w:rPr>
          <w:rFonts w:cs="Times New Roman"/>
        </w:rPr>
        <w:t>indices</w:t>
      </w:r>
      <w:r w:rsidR="00FF13A3" w:rsidRPr="00364EF3">
        <w:rPr>
          <w:rFonts w:cs="Times New Roman"/>
        </w:rPr>
        <w:t xml:space="preserve"> </w:t>
      </w:r>
      <w:r w:rsidR="009D7C83" w:rsidRPr="00364EF3">
        <w:rPr>
          <w:rFonts w:cs="Times New Roman"/>
        </w:rPr>
        <w:t xml:space="preserve">to assess inequality at two levels: (i) broad disease groups; </w:t>
      </w:r>
      <w:r w:rsidR="00457627" w:rsidRPr="00364EF3">
        <w:rPr>
          <w:rFonts w:cs="Times New Roman"/>
        </w:rPr>
        <w:t xml:space="preserve">and </w:t>
      </w:r>
      <w:r w:rsidR="009D7C83" w:rsidRPr="00364EF3">
        <w:rPr>
          <w:rFonts w:cs="Times New Roman"/>
        </w:rPr>
        <w:t>(ii) disease subcategories</w:t>
      </w:r>
      <w:r w:rsidR="00464C3C" w:rsidRPr="00364EF3">
        <w:rPr>
          <w:rFonts w:cs="Times New Roman"/>
        </w:rPr>
        <w:t xml:space="preserve"> for both</w:t>
      </w:r>
      <w:r w:rsidR="009D7C83" w:rsidRPr="00364EF3">
        <w:rPr>
          <w:rFonts w:cs="Times New Roman"/>
        </w:rPr>
        <w:t xml:space="preserve"> 1990 and 2010. </w:t>
      </w:r>
    </w:p>
    <w:p w14:paraId="154A200E" w14:textId="67E4B35F" w:rsidR="0028673E" w:rsidRPr="00364EF3" w:rsidRDefault="008214D1" w:rsidP="009C7054">
      <w:pPr>
        <w:spacing w:line="480" w:lineRule="auto"/>
        <w:jc w:val="both"/>
        <w:rPr>
          <w:rFonts w:cs="Times New Roman"/>
        </w:rPr>
      </w:pPr>
      <w:r w:rsidRPr="00364EF3">
        <w:rPr>
          <w:rFonts w:cs="Times New Roman"/>
        </w:rPr>
        <w:t>For some</w:t>
      </w:r>
      <w:r w:rsidR="0028673E" w:rsidRPr="00364EF3">
        <w:rPr>
          <w:rFonts w:cs="Times New Roman"/>
        </w:rPr>
        <w:t xml:space="preserve"> of t</w:t>
      </w:r>
      <w:r w:rsidR="00114F0F">
        <w:rPr>
          <w:rFonts w:cs="Times New Roman"/>
        </w:rPr>
        <w:t xml:space="preserve">op burden disease </w:t>
      </w:r>
      <w:r w:rsidR="00F758F3">
        <w:rPr>
          <w:rFonts w:cs="Times New Roman"/>
        </w:rPr>
        <w:t>subcategories</w:t>
      </w:r>
      <w:r w:rsidR="00F758F3" w:rsidRPr="00364EF3">
        <w:rPr>
          <w:rFonts w:cs="Times New Roman"/>
        </w:rPr>
        <w:t xml:space="preserve"> </w:t>
      </w:r>
      <w:r w:rsidRPr="00364EF3">
        <w:rPr>
          <w:rFonts w:cs="Times New Roman"/>
        </w:rPr>
        <w:t>(i.e. cardiovascular and circulatory diseases, neoplasms</w:t>
      </w:r>
      <w:r w:rsidR="003443C1" w:rsidRPr="00364EF3">
        <w:rPr>
          <w:rFonts w:cs="Times New Roman"/>
        </w:rPr>
        <w:t>,</w:t>
      </w:r>
      <w:r w:rsidRPr="00364EF3">
        <w:rPr>
          <w:rFonts w:cs="Times New Roman"/>
        </w:rPr>
        <w:t xml:space="preserve"> and musculoskeletal disorders) innovation is </w:t>
      </w:r>
      <w:r w:rsidR="00756B7F" w:rsidRPr="00364EF3">
        <w:rPr>
          <w:rFonts w:cs="Times New Roman"/>
        </w:rPr>
        <w:t xml:space="preserve">disproportionately </w:t>
      </w:r>
      <w:r w:rsidR="0028673E" w:rsidRPr="00364EF3">
        <w:rPr>
          <w:rFonts w:cs="Times New Roman"/>
        </w:rPr>
        <w:t>concentrated in disease</w:t>
      </w:r>
      <w:r w:rsidR="00DE0C20" w:rsidRPr="00364EF3">
        <w:rPr>
          <w:rFonts w:cs="Times New Roman"/>
        </w:rPr>
        <w:t>s</w:t>
      </w:r>
      <w:r w:rsidR="0028673E" w:rsidRPr="00364EF3">
        <w:rPr>
          <w:rFonts w:cs="Times New Roman"/>
        </w:rPr>
        <w:t xml:space="preserve"> with </w:t>
      </w:r>
      <w:r w:rsidR="002D6199" w:rsidRPr="00364EF3">
        <w:rPr>
          <w:rFonts w:cs="Times New Roman"/>
        </w:rPr>
        <w:t xml:space="preserve">high burden and </w:t>
      </w:r>
      <w:r w:rsidR="0028673E" w:rsidRPr="00364EF3">
        <w:rPr>
          <w:rFonts w:cs="Times New Roman"/>
        </w:rPr>
        <w:t>larger market size,</w:t>
      </w:r>
      <w:r w:rsidR="001D3B76" w:rsidRPr="00364EF3">
        <w:rPr>
          <w:rFonts w:cs="Times New Roman"/>
        </w:rPr>
        <w:t xml:space="preserve"> </w:t>
      </w:r>
      <w:r w:rsidRPr="00364EF3">
        <w:rPr>
          <w:rFonts w:cs="Times New Roman"/>
        </w:rPr>
        <w:t>whereas for others (i.e. mental and behavioural disorders</w:t>
      </w:r>
      <w:r w:rsidR="009A7E18" w:rsidRPr="00364EF3">
        <w:rPr>
          <w:rFonts w:cs="Times New Roman"/>
        </w:rPr>
        <w:t>,</w:t>
      </w:r>
      <w:r w:rsidRPr="00364EF3">
        <w:rPr>
          <w:rFonts w:cs="Times New Roman"/>
        </w:rPr>
        <w:t xml:space="preserve"> ne</w:t>
      </w:r>
      <w:r w:rsidR="001D3B76" w:rsidRPr="00364EF3">
        <w:rPr>
          <w:rFonts w:cs="Times New Roman"/>
        </w:rPr>
        <w:t>ona</w:t>
      </w:r>
      <w:r w:rsidRPr="00364EF3">
        <w:rPr>
          <w:rFonts w:cs="Times New Roman"/>
        </w:rPr>
        <w:t>tal disorders</w:t>
      </w:r>
      <w:r w:rsidR="003443C1" w:rsidRPr="00364EF3">
        <w:rPr>
          <w:rFonts w:cs="Times New Roman"/>
        </w:rPr>
        <w:t>,</w:t>
      </w:r>
      <w:r w:rsidR="009A7E18" w:rsidRPr="00364EF3">
        <w:rPr>
          <w:rFonts w:cs="Times New Roman"/>
        </w:rPr>
        <w:t xml:space="preserve"> and neglected tropical diseases</w:t>
      </w:r>
      <w:r w:rsidRPr="00364EF3">
        <w:rPr>
          <w:rFonts w:cs="Times New Roman"/>
        </w:rPr>
        <w:t xml:space="preserve">) innovation is </w:t>
      </w:r>
      <w:r w:rsidR="004F1CBD" w:rsidRPr="00364EF3">
        <w:rPr>
          <w:rFonts w:cs="Times New Roman"/>
        </w:rPr>
        <w:t xml:space="preserve">disproportionately </w:t>
      </w:r>
      <w:r w:rsidRPr="00364EF3">
        <w:rPr>
          <w:rFonts w:cs="Times New Roman"/>
        </w:rPr>
        <w:t xml:space="preserve">concentrated in </w:t>
      </w:r>
      <w:r w:rsidR="00114F0F">
        <w:rPr>
          <w:rFonts w:cs="Times New Roman"/>
        </w:rPr>
        <w:t xml:space="preserve">low burden </w:t>
      </w:r>
      <w:r w:rsidR="00DE0C20" w:rsidRPr="00364EF3">
        <w:rPr>
          <w:rFonts w:cs="Times New Roman"/>
        </w:rPr>
        <w:t>diseases.</w:t>
      </w:r>
      <w:r w:rsidRPr="00364EF3">
        <w:rPr>
          <w:rFonts w:cs="Times New Roman"/>
        </w:rPr>
        <w:t xml:space="preserve"> </w:t>
      </w:r>
    </w:p>
    <w:p w14:paraId="57BC6EE2" w14:textId="06507CAB" w:rsidR="00EA1BD6" w:rsidRPr="00364EF3" w:rsidRDefault="004F1CBD" w:rsidP="009C7054">
      <w:pPr>
        <w:spacing w:line="480" w:lineRule="auto"/>
        <w:jc w:val="both"/>
        <w:rPr>
          <w:rFonts w:cs="Times New Roman"/>
        </w:rPr>
      </w:pPr>
      <w:r w:rsidRPr="00364EF3">
        <w:rPr>
          <w:rFonts w:cs="Times New Roman"/>
        </w:rPr>
        <w:t>The</w:t>
      </w:r>
      <w:r w:rsidR="00EB256C" w:rsidRPr="00364EF3">
        <w:rPr>
          <w:rFonts w:cs="Times New Roman"/>
        </w:rPr>
        <w:t>se</w:t>
      </w:r>
      <w:r w:rsidRPr="00364EF3">
        <w:rPr>
          <w:rFonts w:cs="Times New Roman"/>
        </w:rPr>
        <w:t xml:space="preserve"> inequalities persisted over time</w:t>
      </w:r>
      <w:r w:rsidR="00EB256C" w:rsidRPr="00364EF3">
        <w:rPr>
          <w:rFonts w:cs="Times New Roman"/>
        </w:rPr>
        <w:t>,</w:t>
      </w:r>
      <w:r w:rsidR="008214D1" w:rsidRPr="00364EF3">
        <w:rPr>
          <w:rFonts w:cs="Times New Roman"/>
        </w:rPr>
        <w:t xml:space="preserve"> suggesting inertia </w:t>
      </w:r>
      <w:r w:rsidR="00C32BCA" w:rsidRPr="00364EF3">
        <w:rPr>
          <w:rFonts w:cs="Times New Roman"/>
        </w:rPr>
        <w:t xml:space="preserve">in </w:t>
      </w:r>
      <w:r w:rsidR="008214D1" w:rsidRPr="00364EF3">
        <w:rPr>
          <w:rFonts w:cs="Times New Roman"/>
        </w:rPr>
        <w:t xml:space="preserve">pharmaceutical </w:t>
      </w:r>
      <w:r w:rsidR="00C32BCA" w:rsidRPr="00364EF3">
        <w:rPr>
          <w:rFonts w:cs="Times New Roman"/>
        </w:rPr>
        <w:t xml:space="preserve">R&amp;D </w:t>
      </w:r>
      <w:r w:rsidR="008214D1" w:rsidRPr="00364EF3">
        <w:rPr>
          <w:rFonts w:cs="Times New Roman"/>
        </w:rPr>
        <w:t>in tackling the global health challenges</w:t>
      </w:r>
      <w:r w:rsidR="0092022E" w:rsidRPr="00364EF3">
        <w:rPr>
          <w:rFonts w:cs="Times New Roman"/>
        </w:rPr>
        <w:t>.</w:t>
      </w:r>
      <w:r w:rsidR="009E355A" w:rsidRPr="00364EF3">
        <w:rPr>
          <w:rFonts w:cs="Times New Roman"/>
        </w:rPr>
        <w:t xml:space="preserve"> </w:t>
      </w:r>
    </w:p>
    <w:p w14:paraId="4CB6FACD" w14:textId="5DB6E472" w:rsidR="00B05B77" w:rsidRDefault="00AF7222" w:rsidP="009C7054">
      <w:pPr>
        <w:spacing w:line="480" w:lineRule="auto"/>
        <w:jc w:val="both"/>
        <w:rPr>
          <w:rFonts w:cs="Times New Roman"/>
        </w:rPr>
      </w:pPr>
      <w:r w:rsidRPr="00364EF3">
        <w:rPr>
          <w:rFonts w:cs="Times New Roman"/>
        </w:rPr>
        <w:t>Our results</w:t>
      </w:r>
      <w:r w:rsidR="00B05B77" w:rsidRPr="00B05B77">
        <w:rPr>
          <w:rFonts w:cs="Times New Roman"/>
        </w:rPr>
        <w:t xml:space="preserve"> </w:t>
      </w:r>
      <w:r w:rsidR="00B05B77" w:rsidRPr="00364EF3">
        <w:rPr>
          <w:rFonts w:cs="Times New Roman"/>
        </w:rPr>
        <w:t>confirm quantitatively assertions about the mismatch between disease burden and pharmaceutical innovation</w:t>
      </w:r>
      <w:r w:rsidRPr="00364EF3">
        <w:rPr>
          <w:rFonts w:cs="Times New Roman"/>
        </w:rPr>
        <w:t xml:space="preserve"> </w:t>
      </w:r>
      <w:r w:rsidR="00B05B77" w:rsidRPr="00364EF3">
        <w:rPr>
          <w:rFonts w:cs="Times New Roman"/>
        </w:rPr>
        <w:t>in both developed and developing countries</w:t>
      </w:r>
      <w:r w:rsidR="00B05B77">
        <w:rPr>
          <w:rFonts w:cs="Times New Roman"/>
        </w:rPr>
        <w:t xml:space="preserve"> and </w:t>
      </w:r>
      <w:r w:rsidRPr="00364EF3">
        <w:rPr>
          <w:rFonts w:cs="Times New Roman"/>
        </w:rPr>
        <w:t xml:space="preserve">highlight the disease areas </w:t>
      </w:r>
      <w:r w:rsidR="00F16C84">
        <w:rPr>
          <w:rFonts w:cs="Times New Roman"/>
        </w:rPr>
        <w:t>f</w:t>
      </w:r>
      <w:r w:rsidR="00B05B77">
        <w:rPr>
          <w:rFonts w:cs="Times New Roman"/>
        </w:rPr>
        <w:t>or which</w:t>
      </w:r>
      <w:r w:rsidR="00B05B77" w:rsidRPr="00364EF3">
        <w:rPr>
          <w:rFonts w:cs="Times New Roman"/>
        </w:rPr>
        <w:t xml:space="preserve"> morbidity and mortality remain unad</w:t>
      </w:r>
      <w:r w:rsidR="000C63D7">
        <w:rPr>
          <w:rFonts w:cs="Times New Roman"/>
        </w:rPr>
        <w:t>d</w:t>
      </w:r>
      <w:r w:rsidR="00B05B77" w:rsidRPr="00364EF3">
        <w:rPr>
          <w:rFonts w:cs="Times New Roman"/>
        </w:rPr>
        <w:t xml:space="preserve">ressed. </w:t>
      </w:r>
    </w:p>
    <w:p w14:paraId="536ADA3A" w14:textId="36A9FF44" w:rsidR="00505D59" w:rsidRPr="00886162" w:rsidRDefault="00E544E1" w:rsidP="009C7054">
      <w:pPr>
        <w:spacing w:line="480" w:lineRule="auto"/>
        <w:rPr>
          <w:rFonts w:eastAsia="MS Mincho" w:cs="Times New Roman"/>
          <w:lang w:val="en-GB"/>
        </w:rPr>
      </w:pPr>
      <w:r w:rsidRPr="00886162">
        <w:rPr>
          <w:lang w:val="en-GB"/>
        </w:rPr>
        <w:br w:type="page"/>
      </w:r>
    </w:p>
    <w:p w14:paraId="7D02119E" w14:textId="04536A95" w:rsidR="00505D59" w:rsidRPr="00364EF3" w:rsidRDefault="00505D59" w:rsidP="009C7054">
      <w:pPr>
        <w:pStyle w:val="Heading1"/>
        <w:spacing w:line="480" w:lineRule="auto"/>
        <w:rPr>
          <w:rFonts w:eastAsia="MS Mincho" w:cs="Times New Roman"/>
          <w:szCs w:val="24"/>
        </w:rPr>
      </w:pPr>
      <w:r>
        <w:rPr>
          <w:rFonts w:eastAsia="MS Mincho" w:cs="Times New Roman"/>
          <w:szCs w:val="24"/>
        </w:rPr>
        <w:lastRenderedPageBreak/>
        <w:t>Introduction</w:t>
      </w:r>
    </w:p>
    <w:p w14:paraId="2417C60A" w14:textId="1E37DC75" w:rsidR="00A75C1F" w:rsidRPr="00364EF3" w:rsidRDefault="00C24EB4" w:rsidP="009C7054">
      <w:pPr>
        <w:spacing w:line="480" w:lineRule="auto"/>
        <w:jc w:val="both"/>
        <w:rPr>
          <w:rFonts w:cs="Times New Roman"/>
        </w:rPr>
      </w:pPr>
      <w:r w:rsidRPr="00364EF3">
        <w:rPr>
          <w:rFonts w:cs="Times New Roman"/>
        </w:rPr>
        <w:t>It is commonly argued that there is a misalignment between pharmaceutical innovation and global health needs</w:t>
      </w:r>
      <w:r w:rsidR="00013350">
        <w:rPr>
          <w:rFonts w:cs="Times New Roman"/>
        </w:rPr>
        <w:t xml:space="preserve"> </w:t>
      </w:r>
      <w:r w:rsidR="003A3118">
        <w:rPr>
          <w:rFonts w:cs="Times New Roman"/>
        </w:rPr>
        <w:fldChar w:fldCharType="begin">
          <w:fldData xml:space="preserve">PEVuZE5vdGU+PENpdGU+PEF1dGhvcj5LcmVtZXI8L0F1dGhvcj48WWVhcj4yMDA0PC9ZZWFyPjxS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</w:fldData>
        </w:fldChar>
      </w:r>
      <w:r w:rsidR="004B1BF5">
        <w:rPr>
          <w:rFonts w:cs="Times New Roman"/>
        </w:rPr>
        <w:instrText xml:space="preserve"> ADDIN EN.CITE </w:instrText>
      </w:r>
      <w:r w:rsidR="004B1BF5">
        <w:rPr>
          <w:rFonts w:cs="Times New Roman"/>
        </w:rPr>
        <w:fldChar w:fldCharType="begin">
          <w:fldData xml:space="preserve">PEVuZE5vdGU+PENpdGU+PEF1dGhvcj5LcmVtZXI8L0F1dGhvcj48WWVhcj4yMDA0PC9ZZWFyPjxS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</w:fldData>
        </w:fldChar>
      </w:r>
      <w:r w:rsidR="004B1BF5">
        <w:rPr>
          <w:rFonts w:cs="Times New Roman"/>
        </w:rPr>
        <w:instrText xml:space="preserve"> ADDIN EN.CITE.DATA </w:instrText>
      </w:r>
      <w:r w:rsidR="004B1BF5">
        <w:rPr>
          <w:rFonts w:cs="Times New Roman"/>
        </w:rPr>
      </w:r>
      <w:r w:rsidR="004B1BF5">
        <w:rPr>
          <w:rFonts w:cs="Times New Roman"/>
        </w:rPr>
        <w:fldChar w:fldCharType="end"/>
      </w:r>
      <w:r w:rsidR="003A3118">
        <w:rPr>
          <w:rFonts w:cs="Times New Roman"/>
        </w:rPr>
      </w:r>
      <w:r w:rsidR="003A3118">
        <w:rPr>
          <w:rFonts w:cs="Times New Roman"/>
        </w:rPr>
        <w:fldChar w:fldCharType="separate"/>
      </w:r>
      <w:r w:rsidR="003A3118">
        <w:rPr>
          <w:rFonts w:cs="Times New Roman"/>
          <w:noProof/>
        </w:rPr>
        <w:t>(M. Kremer, 2002; M. G. Kremer, R., 2004; Lanjouw &amp; Cockburn, 2001)</w:t>
      </w:r>
      <w:r w:rsidR="003A3118">
        <w:rPr>
          <w:rFonts w:cs="Times New Roman"/>
        </w:rPr>
        <w:fldChar w:fldCharType="end"/>
      </w:r>
      <w:r w:rsidR="003A3118">
        <w:rPr>
          <w:rFonts w:cs="Times New Roman"/>
        </w:rPr>
        <w:t xml:space="preserve"> </w:t>
      </w:r>
      <w:r w:rsidR="007558AA" w:rsidRPr="00364EF3">
        <w:rPr>
          <w:rFonts w:cs="Times New Roman"/>
        </w:rPr>
        <w:t xml:space="preserve">as indicated by </w:t>
      </w:r>
      <w:r w:rsidRPr="00364EF3">
        <w:rPr>
          <w:rFonts w:cs="Times New Roman"/>
        </w:rPr>
        <w:t>the latest figures on global pharmaceutical research and development (R&amp;D)</w:t>
      </w:r>
      <w:r w:rsidR="001C06B2" w:rsidRPr="00364EF3">
        <w:rPr>
          <w:rFonts w:cs="Times New Roman"/>
        </w:rPr>
        <w:t xml:space="preserve"> investments</w:t>
      </w:r>
      <w:r w:rsidRPr="00364EF3">
        <w:rPr>
          <w:rFonts w:cs="Times New Roman"/>
        </w:rPr>
        <w:t xml:space="preserve"> and </w:t>
      </w:r>
      <w:r w:rsidR="007558AA" w:rsidRPr="00364EF3">
        <w:rPr>
          <w:rFonts w:cs="Times New Roman"/>
        </w:rPr>
        <w:t xml:space="preserve">the </w:t>
      </w:r>
      <w:r w:rsidRPr="00364EF3">
        <w:rPr>
          <w:rFonts w:cs="Times New Roman"/>
        </w:rPr>
        <w:t xml:space="preserve">global burden of disease. </w:t>
      </w:r>
      <w:r w:rsidR="007558AA" w:rsidRPr="00364EF3">
        <w:rPr>
          <w:rFonts w:cs="Times New Roman"/>
        </w:rPr>
        <w:t xml:space="preserve">Whether measured using the number of new </w:t>
      </w:r>
      <w:r w:rsidR="00EB256C" w:rsidRPr="00364EF3">
        <w:rPr>
          <w:rFonts w:cs="Times New Roman"/>
        </w:rPr>
        <w:t xml:space="preserve">chemical </w:t>
      </w:r>
      <w:r w:rsidR="007558AA" w:rsidRPr="00364EF3">
        <w:rPr>
          <w:rFonts w:cs="Times New Roman"/>
        </w:rPr>
        <w:t>entities</w:t>
      </w:r>
      <w:r w:rsidR="00DD274B" w:rsidRPr="00364EF3">
        <w:rPr>
          <w:rFonts w:cs="Times New Roman"/>
        </w:rPr>
        <w:t xml:space="preserve"> (NCEs)</w:t>
      </w:r>
      <w:r w:rsidR="007558AA" w:rsidRPr="00364EF3">
        <w:rPr>
          <w:rFonts w:cs="Times New Roman"/>
        </w:rPr>
        <w:t xml:space="preserve"> or the average sales per therapeutic area, </w:t>
      </w:r>
      <w:r w:rsidRPr="00364EF3">
        <w:rPr>
          <w:rFonts w:cs="Times New Roman"/>
        </w:rPr>
        <w:t xml:space="preserve">R&amp;D </w:t>
      </w:r>
      <w:r w:rsidR="001C4C33" w:rsidRPr="00364EF3">
        <w:rPr>
          <w:rFonts w:cs="Times New Roman"/>
        </w:rPr>
        <w:t>investment has m</w:t>
      </w:r>
      <w:r w:rsidR="00BF7BB3" w:rsidRPr="00364EF3">
        <w:rPr>
          <w:rFonts w:cs="Times New Roman"/>
        </w:rPr>
        <w:t xml:space="preserve">ainly targeted five </w:t>
      </w:r>
      <w:r w:rsidR="000500CE" w:rsidRPr="00364EF3">
        <w:rPr>
          <w:rFonts w:cs="Times New Roman"/>
        </w:rPr>
        <w:t xml:space="preserve">therapeutic </w:t>
      </w:r>
      <w:r w:rsidR="001C4C33" w:rsidRPr="00364EF3">
        <w:rPr>
          <w:rFonts w:cs="Times New Roman"/>
        </w:rPr>
        <w:t>areas</w:t>
      </w:r>
      <w:r w:rsidR="00480B5E" w:rsidRPr="00364EF3">
        <w:rPr>
          <w:rFonts w:cs="Times New Roman"/>
        </w:rPr>
        <w:t xml:space="preserve"> since </w:t>
      </w:r>
      <w:r w:rsidR="004B1C47" w:rsidRPr="00364EF3">
        <w:rPr>
          <w:rFonts w:cs="Times New Roman"/>
        </w:rPr>
        <w:t>1990</w:t>
      </w:r>
      <w:r w:rsidR="008C22D1">
        <w:rPr>
          <w:rFonts w:cs="Times New Roman"/>
        </w:rPr>
        <w:t xml:space="preserve"> </w:t>
      </w:r>
      <w:r w:rsidR="004B1C47" w:rsidRPr="00364EF3">
        <w:rPr>
          <w:rFonts w:cs="Times New Roman"/>
        </w:rPr>
        <w:fldChar w:fldCharType="begin"/>
      </w:r>
      <w:r w:rsidR="003D5732">
        <w:rPr>
          <w:rFonts w:cs="Times New Roman"/>
        </w:rPr>
        <w:instrText xml:space="preserve"> ADDIN EN.CITE &lt;EndNote&gt;&lt;Cite&gt;&lt;Author&gt;Pammolli&lt;/Author&gt;&lt;Year&gt;2011&lt;/Year&gt;&lt;RecNum&gt;1&lt;/RecNum&gt;&lt;DisplayText&gt;(Pammolli et al., 2011)&lt;/DisplayText&gt;&lt;record&gt;&lt;rec-number&gt;1&lt;/rec-number&gt;&lt;foreign-keys&gt;&lt;key app="EN" db-id="tv2fspxf809vs5efaz7xrz91atd02zw9ss22" timestamp="0"&gt;1&lt;/key&gt;&lt;/foreign-keys&gt;&lt;ref-type name="Journal Article"&gt;17&lt;/ref-type&gt;&lt;contributors&gt;&lt;authors&gt;&lt;author&gt;Pammolli, Fabio&lt;/author&gt;&lt;author&gt;Magazzini, Laura&lt;/author&gt;&lt;author&gt;Riccaboni, Massimo&lt;/author&gt;&lt;/authors&gt;&lt;/contributors&gt;&lt;titles&gt;&lt;title&gt;The productivity crisis in pharmaceutical R&amp;amp;D&lt;/title&gt;&lt;secondary-title&gt;Nature Reviews Drug Discovery&lt;/secondary-title&gt;&lt;/titles&gt;&lt;pages&gt;428-438&lt;/pages&gt;&lt;volume&gt;10&lt;/volume&gt;&lt;number&gt;6&lt;/number&gt;&lt;dates&gt;&lt;year&gt;2011&lt;/year&gt;&lt;/dates&gt;&lt;isbn&gt;1474-1776&lt;/isbn&gt;&lt;urls&gt;&lt;/urls&gt;&lt;/record&gt;&lt;/Cite&gt;&lt;/EndNote&gt;</w:instrText>
      </w:r>
      <w:r w:rsidR="004B1C47" w:rsidRPr="00364EF3">
        <w:rPr>
          <w:rFonts w:cs="Times New Roman"/>
        </w:rPr>
        <w:fldChar w:fldCharType="separate"/>
      </w:r>
      <w:r w:rsidR="003D5732">
        <w:rPr>
          <w:rFonts w:cs="Times New Roman"/>
          <w:noProof/>
        </w:rPr>
        <w:t>(Pammolli et al., 2011)</w:t>
      </w:r>
      <w:r w:rsidR="004B1C47" w:rsidRPr="00364EF3">
        <w:rPr>
          <w:rFonts w:cs="Times New Roman"/>
        </w:rPr>
        <w:fldChar w:fldCharType="end"/>
      </w:r>
      <w:r w:rsidR="00D140BD" w:rsidRPr="00364EF3">
        <w:rPr>
          <w:rFonts w:cs="Times New Roman"/>
        </w:rPr>
        <w:t xml:space="preserve">, namely </w:t>
      </w:r>
      <w:r w:rsidR="001C4C33" w:rsidRPr="00364EF3">
        <w:rPr>
          <w:rFonts w:cs="Times New Roman"/>
        </w:rPr>
        <w:t xml:space="preserve">(i) </w:t>
      </w:r>
      <w:r w:rsidR="007D1521" w:rsidRPr="00364EF3">
        <w:rPr>
          <w:rFonts w:cs="Times New Roman"/>
        </w:rPr>
        <w:t>antineoplastics</w:t>
      </w:r>
      <w:r w:rsidR="001C4C33" w:rsidRPr="00364EF3">
        <w:rPr>
          <w:rFonts w:cs="Times New Roman"/>
        </w:rPr>
        <w:t xml:space="preserve"> (53.2%</w:t>
      </w:r>
      <w:r w:rsidR="000F1647" w:rsidRPr="00364EF3">
        <w:rPr>
          <w:rFonts w:cs="Times New Roman"/>
        </w:rPr>
        <w:t xml:space="preserve"> of total R&amp;D investment</w:t>
      </w:r>
      <w:r w:rsidR="001C4C33" w:rsidRPr="00364EF3">
        <w:rPr>
          <w:rFonts w:cs="Times New Roman"/>
        </w:rPr>
        <w:t>), (ii) antibacterials and antimycotics (18.4%), (iii) treatments targeting the central nervous system (</w:t>
      </w:r>
      <w:r w:rsidR="00BF7BB3" w:rsidRPr="00364EF3">
        <w:rPr>
          <w:rFonts w:cs="Times New Roman"/>
        </w:rPr>
        <w:t>15.5%), (iv) therapies for</w:t>
      </w:r>
      <w:r w:rsidR="001C4C33" w:rsidRPr="00364EF3">
        <w:rPr>
          <w:rFonts w:cs="Times New Roman"/>
        </w:rPr>
        <w:t xml:space="preserve"> metabolism</w:t>
      </w:r>
      <w:r w:rsidR="00BF7BB3" w:rsidRPr="00364EF3">
        <w:rPr>
          <w:rFonts w:cs="Times New Roman"/>
        </w:rPr>
        <w:t xml:space="preserve"> conditions (8.8%)</w:t>
      </w:r>
      <w:r w:rsidR="00364FDC" w:rsidRPr="00364EF3">
        <w:rPr>
          <w:rFonts w:cs="Times New Roman"/>
        </w:rPr>
        <w:t>,</w:t>
      </w:r>
      <w:r w:rsidR="00BF7BB3" w:rsidRPr="00364EF3">
        <w:rPr>
          <w:rFonts w:cs="Times New Roman"/>
        </w:rPr>
        <w:t xml:space="preserve"> and</w:t>
      </w:r>
      <w:r w:rsidR="001C4C33" w:rsidRPr="00364EF3">
        <w:rPr>
          <w:rFonts w:cs="Times New Roman"/>
        </w:rPr>
        <w:t xml:space="preserve"> (v) </w:t>
      </w:r>
      <w:r w:rsidR="00D140BD" w:rsidRPr="00364EF3">
        <w:rPr>
          <w:rFonts w:cs="Times New Roman"/>
        </w:rPr>
        <w:t xml:space="preserve">therapies </w:t>
      </w:r>
      <w:r w:rsidR="001C4C33" w:rsidRPr="00364EF3">
        <w:rPr>
          <w:rFonts w:cs="Times New Roman"/>
        </w:rPr>
        <w:t>to treat</w:t>
      </w:r>
      <w:r w:rsidR="004640E1" w:rsidRPr="00364EF3">
        <w:rPr>
          <w:rFonts w:cs="Times New Roman"/>
        </w:rPr>
        <w:t xml:space="preserve"> cardiovascular diseases (6.2%)</w:t>
      </w:r>
      <w:r w:rsidR="001C4C33" w:rsidRPr="00364EF3">
        <w:rPr>
          <w:rFonts w:cs="Times New Roman"/>
        </w:rPr>
        <w:t xml:space="preserve">. </w:t>
      </w:r>
    </w:p>
    <w:p w14:paraId="3F153617" w14:textId="0A6478C0" w:rsidR="00C24EB4" w:rsidRPr="00364EF3" w:rsidRDefault="00216331" w:rsidP="009C7054">
      <w:pPr>
        <w:spacing w:line="480" w:lineRule="auto"/>
        <w:jc w:val="both"/>
        <w:rPr>
          <w:rFonts w:cs="Times New Roman"/>
        </w:rPr>
      </w:pPr>
      <w:r w:rsidRPr="00364EF3">
        <w:rPr>
          <w:rFonts w:cs="Times New Roman"/>
        </w:rPr>
        <w:t>T</w:t>
      </w:r>
      <w:r w:rsidR="00B073C0" w:rsidRPr="00364EF3">
        <w:rPr>
          <w:rFonts w:cs="Times New Roman"/>
        </w:rPr>
        <w:t>hese</w:t>
      </w:r>
      <w:r w:rsidR="0025511D" w:rsidRPr="00364EF3">
        <w:rPr>
          <w:rFonts w:cs="Times New Roman"/>
        </w:rPr>
        <w:t xml:space="preserve"> </w:t>
      </w:r>
      <w:r w:rsidR="00D140BD" w:rsidRPr="00364EF3">
        <w:rPr>
          <w:rFonts w:cs="Times New Roman"/>
        </w:rPr>
        <w:t xml:space="preserve">proportions correspond closely to </w:t>
      </w:r>
      <w:r w:rsidR="002E4F2F" w:rsidRPr="00364EF3">
        <w:rPr>
          <w:rFonts w:cs="Times New Roman"/>
        </w:rPr>
        <w:t>pharmacological areas</w:t>
      </w:r>
      <w:r w:rsidR="000500CE" w:rsidRPr="00364EF3">
        <w:rPr>
          <w:rFonts w:cs="Times New Roman"/>
        </w:rPr>
        <w:t xml:space="preserve"> </w:t>
      </w:r>
      <w:r w:rsidR="00D140BD" w:rsidRPr="00364EF3">
        <w:rPr>
          <w:rFonts w:cs="Times New Roman"/>
        </w:rPr>
        <w:t xml:space="preserve">associated </w:t>
      </w:r>
      <w:r w:rsidR="000500CE" w:rsidRPr="00364EF3">
        <w:rPr>
          <w:rFonts w:cs="Times New Roman"/>
        </w:rPr>
        <w:t xml:space="preserve">with </w:t>
      </w:r>
      <w:r w:rsidR="002E4F2F" w:rsidRPr="00364EF3">
        <w:rPr>
          <w:rFonts w:cs="Times New Roman"/>
        </w:rPr>
        <w:t>disease</w:t>
      </w:r>
      <w:r w:rsidRPr="00364EF3">
        <w:rPr>
          <w:rFonts w:cs="Times New Roman"/>
        </w:rPr>
        <w:t xml:space="preserve"> prevalence </w:t>
      </w:r>
      <w:r w:rsidR="001C4C33" w:rsidRPr="00364EF3">
        <w:rPr>
          <w:rFonts w:cs="Times New Roman"/>
        </w:rPr>
        <w:t>in</w:t>
      </w:r>
      <w:r w:rsidR="00DE3BE4" w:rsidRPr="00364EF3">
        <w:rPr>
          <w:rFonts w:cs="Times New Roman"/>
        </w:rPr>
        <w:t xml:space="preserve"> </w:t>
      </w:r>
      <w:r w:rsidR="00857881" w:rsidRPr="00364EF3">
        <w:rPr>
          <w:rFonts w:cs="Times New Roman"/>
        </w:rPr>
        <w:t xml:space="preserve">Western </w:t>
      </w:r>
      <w:r w:rsidR="00B073C0" w:rsidRPr="00364EF3">
        <w:rPr>
          <w:rFonts w:cs="Times New Roman"/>
        </w:rPr>
        <w:t xml:space="preserve">Europe, North America and </w:t>
      </w:r>
      <w:r w:rsidR="00857881" w:rsidRPr="00364EF3">
        <w:rPr>
          <w:rFonts w:cs="Times New Roman"/>
        </w:rPr>
        <w:t>Australasia</w:t>
      </w:r>
      <w:r w:rsidR="008C22D1">
        <w:rPr>
          <w:rFonts w:cs="Times New Roman"/>
        </w:rPr>
        <w:t xml:space="preserve"> </w:t>
      </w:r>
      <w:r w:rsidR="000500CE" w:rsidRPr="00364EF3">
        <w:rPr>
          <w:rFonts w:cs="Times New Roman"/>
        </w:rPr>
        <w:t xml:space="preserve">(namely, </w:t>
      </w:r>
      <w:r w:rsidR="00EF23B8" w:rsidRPr="00364EF3">
        <w:rPr>
          <w:rFonts w:cs="Times New Roman"/>
        </w:rPr>
        <w:t>neoplasms</w:t>
      </w:r>
      <w:r w:rsidR="003443C1" w:rsidRPr="00364EF3">
        <w:rPr>
          <w:rFonts w:cs="Times New Roman"/>
        </w:rPr>
        <w:t>,</w:t>
      </w:r>
      <w:r w:rsidR="00EF23B8" w:rsidRPr="00364EF3">
        <w:rPr>
          <w:rFonts w:cs="Times New Roman"/>
        </w:rPr>
        <w:t xml:space="preserve"> and mental and behavioral disorders</w:t>
      </w:r>
      <w:r w:rsidR="000500CE" w:rsidRPr="00364EF3">
        <w:rPr>
          <w:rFonts w:cs="Times New Roman"/>
        </w:rPr>
        <w:t>)</w:t>
      </w:r>
      <w:r w:rsidR="00DD192D">
        <w:rPr>
          <w:rFonts w:cs="Times New Roman"/>
        </w:rPr>
        <w:t xml:space="preserve"> </w:t>
      </w:r>
      <w:r w:rsidR="00DD192D" w:rsidRPr="00364EF3">
        <w:rPr>
          <w:rFonts w:cs="Times New Roman"/>
        </w:rPr>
        <w:fldChar w:fldCharType="begin"/>
      </w:r>
      <w:r w:rsidR="00DD192D">
        <w:rPr>
          <w:rFonts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00DD192D" w:rsidRPr="00364EF3">
        <w:rPr>
          <w:rFonts w:cs="Times New Roman"/>
        </w:rPr>
        <w:fldChar w:fldCharType="separate"/>
      </w:r>
      <w:r w:rsidR="00DD192D" w:rsidRPr="00364EF3">
        <w:rPr>
          <w:rFonts w:cs="Times New Roman"/>
          <w:noProof/>
        </w:rPr>
        <w:t>(Murray et al., 2013)</w:t>
      </w:r>
      <w:r w:rsidR="00DD192D" w:rsidRPr="00364EF3">
        <w:rPr>
          <w:rFonts w:cs="Times New Roman"/>
        </w:rPr>
        <w:fldChar w:fldCharType="end"/>
      </w:r>
      <w:r w:rsidR="001C4C33" w:rsidRPr="00364EF3">
        <w:rPr>
          <w:rFonts w:cs="Times New Roman"/>
        </w:rPr>
        <w:t>.</w:t>
      </w:r>
      <w:r w:rsidR="009014CE" w:rsidRPr="00364EF3">
        <w:rPr>
          <w:rFonts w:cs="Times New Roman"/>
        </w:rPr>
        <w:t xml:space="preserve"> </w:t>
      </w:r>
      <w:r w:rsidR="001C4C33" w:rsidRPr="00364EF3">
        <w:rPr>
          <w:rFonts w:cs="Times New Roman"/>
        </w:rPr>
        <w:t xml:space="preserve">However, </w:t>
      </w:r>
      <w:r w:rsidR="00480B5E" w:rsidRPr="00364EF3">
        <w:rPr>
          <w:rFonts w:cs="Times New Roman"/>
        </w:rPr>
        <w:t>t</w:t>
      </w:r>
      <w:r w:rsidR="001C4C33" w:rsidRPr="00364EF3">
        <w:rPr>
          <w:rFonts w:cs="Times New Roman"/>
        </w:rPr>
        <w:t>he majority of the world</w:t>
      </w:r>
      <w:r w:rsidR="00F62B8D" w:rsidRPr="00364EF3">
        <w:rPr>
          <w:rFonts w:cs="Times New Roman"/>
        </w:rPr>
        <w:t>’s</w:t>
      </w:r>
      <w:r w:rsidR="001C4C33" w:rsidRPr="00364EF3">
        <w:rPr>
          <w:rFonts w:cs="Times New Roman"/>
        </w:rPr>
        <w:t xml:space="preserve"> population lives in </w:t>
      </w:r>
      <w:r w:rsidR="00627C17" w:rsidRPr="00364EF3">
        <w:rPr>
          <w:rFonts w:cs="Times New Roman"/>
        </w:rPr>
        <w:t>developing</w:t>
      </w:r>
      <w:r w:rsidR="00D32A53" w:rsidRPr="00364EF3">
        <w:rPr>
          <w:rFonts w:cs="Times New Roman"/>
        </w:rPr>
        <w:t xml:space="preserve"> countries</w:t>
      </w:r>
      <w:r w:rsidR="001C4C33" w:rsidRPr="00364EF3">
        <w:rPr>
          <w:rFonts w:cs="Times New Roman"/>
        </w:rPr>
        <w:t xml:space="preserve">, for whom </w:t>
      </w:r>
      <w:r w:rsidRPr="00364EF3">
        <w:rPr>
          <w:rFonts w:cs="Times New Roman"/>
        </w:rPr>
        <w:t xml:space="preserve">the </w:t>
      </w:r>
      <w:r w:rsidR="001C4C33" w:rsidRPr="00364EF3">
        <w:rPr>
          <w:rFonts w:cs="Times New Roman"/>
        </w:rPr>
        <w:t>diseas</w:t>
      </w:r>
      <w:r w:rsidR="00B073C0" w:rsidRPr="00364EF3">
        <w:rPr>
          <w:rFonts w:cs="Times New Roman"/>
        </w:rPr>
        <w:t xml:space="preserve">e burden is </w:t>
      </w:r>
      <w:r w:rsidR="00A60767" w:rsidRPr="00364EF3">
        <w:rPr>
          <w:rFonts w:cs="Times New Roman"/>
        </w:rPr>
        <w:t xml:space="preserve">still </w:t>
      </w:r>
      <w:r w:rsidR="00B073C0" w:rsidRPr="00364EF3">
        <w:rPr>
          <w:rFonts w:cs="Times New Roman"/>
        </w:rPr>
        <w:t>mostly caused</w:t>
      </w:r>
      <w:r w:rsidR="00AD45F8" w:rsidRPr="00364EF3">
        <w:rPr>
          <w:rFonts w:cs="Times New Roman"/>
        </w:rPr>
        <w:t xml:space="preserve"> by infectious diseases </w:t>
      </w:r>
      <w:r w:rsidR="001C4C33" w:rsidRPr="00364EF3">
        <w:rPr>
          <w:rFonts w:cs="Times New Roman"/>
        </w:rPr>
        <w:t>and neonatal conditions</w:t>
      </w:r>
      <w:r w:rsidR="008C22D1">
        <w:rPr>
          <w:rFonts w:cs="Times New Roman"/>
        </w:rPr>
        <w:t xml:space="preserve"> </w:t>
      </w:r>
      <w:r w:rsidR="00B073C0" w:rsidRPr="00364EF3">
        <w:rPr>
          <w:rFonts w:cs="Times New Roman"/>
        </w:rPr>
        <w:fldChar w:fldCharType="begin"/>
      </w:r>
      <w:r w:rsidR="00AE05D0">
        <w:rPr>
          <w:rFonts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00B073C0" w:rsidRPr="00364EF3">
        <w:rPr>
          <w:rFonts w:cs="Times New Roman"/>
        </w:rPr>
        <w:fldChar w:fldCharType="separate"/>
      </w:r>
      <w:r w:rsidR="00897999" w:rsidRPr="00364EF3">
        <w:rPr>
          <w:rFonts w:cs="Times New Roman"/>
          <w:noProof/>
        </w:rPr>
        <w:t>(Murray et al., 2013)</w:t>
      </w:r>
      <w:r w:rsidR="00B073C0" w:rsidRPr="00364EF3">
        <w:rPr>
          <w:rFonts w:cs="Times New Roman"/>
        </w:rPr>
        <w:fldChar w:fldCharType="end"/>
      </w:r>
      <w:r w:rsidR="00BF7BB3" w:rsidRPr="00364EF3">
        <w:rPr>
          <w:rFonts w:cs="Times New Roman"/>
        </w:rPr>
        <w:t>,</w:t>
      </w:r>
      <w:r w:rsidR="001C4C33" w:rsidRPr="00364EF3">
        <w:rPr>
          <w:rFonts w:cs="Times New Roman"/>
        </w:rPr>
        <w:t xml:space="preserve"> </w:t>
      </w:r>
      <w:r w:rsidR="00D140BD" w:rsidRPr="00364EF3">
        <w:rPr>
          <w:rFonts w:cs="Times New Roman"/>
        </w:rPr>
        <w:t>in stark contrast to the observed pattern of pharmaceutical</w:t>
      </w:r>
      <w:r w:rsidR="001C4C33" w:rsidRPr="00364EF3">
        <w:rPr>
          <w:rFonts w:cs="Times New Roman"/>
        </w:rPr>
        <w:t xml:space="preserve"> innovation</w:t>
      </w:r>
      <w:r w:rsidR="008C22D1">
        <w:rPr>
          <w:rFonts w:cs="Times New Roman"/>
        </w:rPr>
        <w:t xml:space="preserve"> </w:t>
      </w:r>
      <w:r w:rsidR="0008450A">
        <w:rPr>
          <w:rFonts w:cs="Times New Roman"/>
        </w:rPr>
        <w:fldChar w:fldCharType="begin"/>
      </w:r>
      <w:r w:rsidR="004B1BF5">
        <w:rPr>
          <w:rFonts w:cs="Times New Roman"/>
        </w:rPr>
        <w:instrText xml:space="preserve"> ADDIN EN.CITE &lt;EndNote&gt;&lt;Cite&gt;&lt;Author&gt;Trouiller&lt;/Author&gt;&lt;Year&gt;2002&lt;/Year&gt;&lt;RecNum&gt;3&lt;/RecNum&gt;&lt;DisplayText&gt;(Trouiller et al., 2002)&lt;/DisplayText&gt;&lt;record&gt;&lt;rec-number&gt;3&lt;/rec-number&gt;&lt;foreign-keys&gt;&lt;key app="EN" db-id="fete5e25iazx05es5p2vwse8vftw20pp9z9z" timestamp="0"&gt;3&lt;/key&gt;&lt;/foreign-keys&gt;&lt;ref-type name="Journal Article"&gt;17&lt;/ref-type&gt;&lt;contributors&gt;&lt;authors&gt;&lt;author&gt;Trouiller, Patrice&lt;/author&gt;&lt;author&gt;Olliaro, Piero&lt;/author&gt;&lt;author&gt;Torreele, Els&lt;/author&gt;&lt;author&gt;Orbinski, James&lt;/author&gt;&lt;author&gt;Laing, Richard&lt;/author&gt;&lt;author&gt;Ford, Nathan&lt;/author&gt;&lt;/authors&gt;&lt;/contributors&gt;&lt;titles&gt;&lt;title&gt;Drug development for neglected diseases: a deficient market and a public-health policy failure&lt;/title&gt;&lt;secondary-title&gt;The Lancet&lt;/secondary-title&gt;&lt;/titles&gt;&lt;pages&gt;2188-2194&lt;/pages&gt;&lt;volume&gt;359&lt;/volume&gt;&lt;number&gt;9324&lt;/number&gt;&lt;dates&gt;&lt;year&gt;2002&lt;/year&gt;&lt;pub-dates&gt;&lt;date&gt;2002/06/22/&lt;/date&gt;&lt;/pub-dates&gt;&lt;/dates&gt;&lt;isbn&gt;0140-6736&lt;/isbn&gt;&lt;urls&gt;&lt;related-urls&gt;&lt;url&gt;http://www.sciencedirect.com/science/article/pii/S0140673602090967&lt;/url&gt;&lt;/related-urls&gt;&lt;/urls&gt;&lt;electronic-resource-num&gt;https://doi.org/10.1016/S0140-6736(02)09096-7&lt;/electronic-resource-num&gt;&lt;/record&gt;&lt;/Cite&gt;&lt;/EndNote&gt;</w:instrText>
      </w:r>
      <w:r w:rsidR="0008450A">
        <w:rPr>
          <w:rFonts w:cs="Times New Roman"/>
        </w:rPr>
        <w:fldChar w:fldCharType="separate"/>
      </w:r>
      <w:r w:rsidR="0008450A">
        <w:rPr>
          <w:rFonts w:cs="Times New Roman"/>
          <w:noProof/>
        </w:rPr>
        <w:t>(Trouiller et al., 2002)</w:t>
      </w:r>
      <w:r w:rsidR="0008450A">
        <w:rPr>
          <w:rFonts w:cs="Times New Roman"/>
        </w:rPr>
        <w:fldChar w:fldCharType="end"/>
      </w:r>
      <w:r w:rsidR="002E4F2F" w:rsidRPr="00364EF3">
        <w:rPr>
          <w:rFonts w:cs="Times New Roman"/>
        </w:rPr>
        <w:t xml:space="preserve">. </w:t>
      </w:r>
    </w:p>
    <w:p w14:paraId="2BC8DCA2" w14:textId="4B790A8F" w:rsidR="00C24EB4" w:rsidRPr="00364EF3" w:rsidRDefault="00216331" w:rsidP="009C7054">
      <w:pPr>
        <w:spacing w:line="480" w:lineRule="auto"/>
        <w:jc w:val="both"/>
        <w:rPr>
          <w:rFonts w:cs="Times New Roman"/>
        </w:rPr>
      </w:pPr>
      <w:r w:rsidRPr="00364EF3">
        <w:rPr>
          <w:rFonts w:cs="Times New Roman"/>
        </w:rPr>
        <w:t>Although t</w:t>
      </w:r>
      <w:r w:rsidR="00ED63D2" w:rsidRPr="00364EF3">
        <w:rPr>
          <w:rFonts w:cs="Times New Roman"/>
        </w:rPr>
        <w:t>hese</w:t>
      </w:r>
      <w:r w:rsidR="001C06B2" w:rsidRPr="00364EF3">
        <w:rPr>
          <w:rFonts w:cs="Times New Roman"/>
        </w:rPr>
        <w:t xml:space="preserve"> </w:t>
      </w:r>
      <w:r w:rsidRPr="00364EF3">
        <w:rPr>
          <w:rFonts w:cs="Times New Roman"/>
        </w:rPr>
        <w:t xml:space="preserve">figures hint at the apparent </w:t>
      </w:r>
      <w:r w:rsidR="00ED63D2" w:rsidRPr="00364EF3">
        <w:rPr>
          <w:rFonts w:cs="Times New Roman"/>
        </w:rPr>
        <w:t>misalignment</w:t>
      </w:r>
      <w:r w:rsidR="001C06B2" w:rsidRPr="00364EF3">
        <w:rPr>
          <w:rFonts w:cs="Times New Roman"/>
        </w:rPr>
        <w:t xml:space="preserve"> </w:t>
      </w:r>
      <w:r w:rsidR="007B6EA6" w:rsidRPr="00364EF3">
        <w:rPr>
          <w:rFonts w:cs="Times New Roman"/>
        </w:rPr>
        <w:t xml:space="preserve">between </w:t>
      </w:r>
      <w:r w:rsidR="007D278A">
        <w:rPr>
          <w:rFonts w:cs="Times New Roman"/>
        </w:rPr>
        <w:t xml:space="preserve">global </w:t>
      </w:r>
      <w:r w:rsidR="007B6EA6" w:rsidRPr="00364EF3">
        <w:rPr>
          <w:rFonts w:cs="Times New Roman"/>
        </w:rPr>
        <w:t xml:space="preserve">drug innovation and </w:t>
      </w:r>
      <w:r w:rsidR="001F0770" w:rsidRPr="00364EF3">
        <w:rPr>
          <w:rFonts w:cs="Times New Roman"/>
        </w:rPr>
        <w:t>burden of disease</w:t>
      </w:r>
      <w:r w:rsidR="007B6EA6" w:rsidRPr="00364EF3">
        <w:rPr>
          <w:rFonts w:cs="Times New Roman"/>
        </w:rPr>
        <w:t xml:space="preserve"> </w:t>
      </w:r>
      <w:r w:rsidR="00ED63D2" w:rsidRPr="00364EF3">
        <w:rPr>
          <w:rFonts w:cs="Times New Roman"/>
        </w:rPr>
        <w:t>(</w:t>
      </w:r>
      <w:r w:rsidR="008C22D1">
        <w:rPr>
          <w:rFonts w:cs="Times New Roman"/>
        </w:rPr>
        <w:t>Table I</w:t>
      </w:r>
      <w:r w:rsidR="00ED63D2" w:rsidRPr="00364EF3">
        <w:rPr>
          <w:rFonts w:cs="Times New Roman"/>
        </w:rPr>
        <w:t>)</w:t>
      </w:r>
      <w:r w:rsidRPr="00364EF3">
        <w:rPr>
          <w:rFonts w:cs="Times New Roman"/>
        </w:rPr>
        <w:t>,</w:t>
      </w:r>
      <w:r w:rsidR="00ED63D2" w:rsidRPr="00364EF3">
        <w:rPr>
          <w:rFonts w:cs="Times New Roman"/>
        </w:rPr>
        <w:t xml:space="preserve"> they cannot provide us with a</w:t>
      </w:r>
      <w:r w:rsidRPr="00364EF3">
        <w:rPr>
          <w:rFonts w:cs="Times New Roman"/>
        </w:rPr>
        <w:t>n accurate</w:t>
      </w:r>
      <w:r w:rsidR="00ED63D2" w:rsidRPr="00364EF3">
        <w:rPr>
          <w:rFonts w:cs="Times New Roman"/>
        </w:rPr>
        <w:t xml:space="preserve"> assessment of the </w:t>
      </w:r>
      <w:r w:rsidRPr="00364EF3">
        <w:rPr>
          <w:rFonts w:cs="Times New Roman"/>
        </w:rPr>
        <w:t>nature and magnitude of that misalignment</w:t>
      </w:r>
      <w:r w:rsidR="00ED63D2" w:rsidRPr="00364EF3">
        <w:rPr>
          <w:rFonts w:cs="Times New Roman"/>
        </w:rPr>
        <w:t>.</w:t>
      </w:r>
      <w:r w:rsidR="0092022E" w:rsidRPr="00364EF3">
        <w:rPr>
          <w:rFonts w:cs="Times New Roman"/>
        </w:rPr>
        <w:t xml:space="preserve"> Such assessment requires a</w:t>
      </w:r>
      <w:r w:rsidR="00C32BCA" w:rsidRPr="00364EF3">
        <w:rPr>
          <w:rFonts w:cs="Times New Roman"/>
        </w:rPr>
        <w:t xml:space="preserve"> reconciliation of previously unrelated data sources</w:t>
      </w:r>
      <w:r w:rsidR="0092022E" w:rsidRPr="00364EF3">
        <w:rPr>
          <w:rFonts w:cs="Times New Roman"/>
        </w:rPr>
        <w:t xml:space="preserve"> </w:t>
      </w:r>
      <w:r w:rsidR="00C32BCA" w:rsidRPr="00364EF3">
        <w:rPr>
          <w:rFonts w:cs="Times New Roman"/>
        </w:rPr>
        <w:t>to compare</w:t>
      </w:r>
      <w:r w:rsidR="0092022E" w:rsidRPr="00364EF3">
        <w:rPr>
          <w:rFonts w:cs="Times New Roman"/>
        </w:rPr>
        <w:t xml:space="preserve"> the distributions of innovation and </w:t>
      </w:r>
      <w:r w:rsidR="001F0770" w:rsidRPr="00364EF3">
        <w:rPr>
          <w:rFonts w:cs="Times New Roman"/>
        </w:rPr>
        <w:t>burden of disease</w:t>
      </w:r>
      <w:r w:rsidR="00454375" w:rsidRPr="00364EF3">
        <w:rPr>
          <w:rFonts w:cs="Times New Roman"/>
        </w:rPr>
        <w:t>. T</w:t>
      </w:r>
      <w:r w:rsidR="007B6EA6" w:rsidRPr="00364EF3">
        <w:rPr>
          <w:rFonts w:cs="Times New Roman"/>
        </w:rPr>
        <w:t>his is the starting point of this study.</w:t>
      </w:r>
    </w:p>
    <w:p w14:paraId="53C5093E" w14:textId="70C7EB51" w:rsidR="007B6EA6" w:rsidRPr="00364EF3" w:rsidRDefault="00216331" w:rsidP="009C7054">
      <w:pPr>
        <w:spacing w:line="480" w:lineRule="auto"/>
        <w:jc w:val="center"/>
        <w:rPr>
          <w:rFonts w:cs="Times New Roman"/>
        </w:rPr>
      </w:pPr>
      <w:r w:rsidRPr="00364EF3">
        <w:rPr>
          <w:rFonts w:cs="Times New Roman"/>
        </w:rPr>
        <w:t>[</w:t>
      </w:r>
      <w:r w:rsidR="008C22D1">
        <w:rPr>
          <w:rFonts w:cs="Times New Roman"/>
        </w:rPr>
        <w:t>Table I</w:t>
      </w:r>
      <w:r w:rsidR="00ED3400" w:rsidRPr="00364EF3">
        <w:rPr>
          <w:rFonts w:cs="Times New Roman"/>
        </w:rPr>
        <w:t xml:space="preserve"> in here</w:t>
      </w:r>
      <w:r w:rsidRPr="00364EF3">
        <w:rPr>
          <w:rFonts w:cs="Times New Roman"/>
        </w:rPr>
        <w:t>]</w:t>
      </w:r>
    </w:p>
    <w:p w14:paraId="4B0D5600" w14:textId="35BC5F02" w:rsidR="00D23802" w:rsidRDefault="002454EC" w:rsidP="003A3118">
      <w:pPr>
        <w:spacing w:line="480" w:lineRule="auto"/>
        <w:jc w:val="both"/>
        <w:rPr>
          <w:rFonts w:cs="Times New Roman"/>
        </w:rPr>
      </w:pPr>
      <w:r w:rsidRPr="00364EF3">
        <w:rPr>
          <w:rFonts w:cs="Times New Roman"/>
        </w:rPr>
        <w:t xml:space="preserve">Two main </w:t>
      </w:r>
      <w:r w:rsidR="00023958" w:rsidRPr="00364EF3">
        <w:rPr>
          <w:rFonts w:cs="Times New Roman"/>
        </w:rPr>
        <w:t>reasons</w:t>
      </w:r>
      <w:r w:rsidRPr="00364EF3">
        <w:rPr>
          <w:rFonts w:cs="Times New Roman"/>
        </w:rPr>
        <w:t xml:space="preserve"> are </w:t>
      </w:r>
      <w:r w:rsidR="00023958" w:rsidRPr="00364EF3">
        <w:rPr>
          <w:rFonts w:cs="Times New Roman"/>
        </w:rPr>
        <w:t>generally put forward for the apparent mismatch</w:t>
      </w:r>
      <w:r w:rsidR="001C4C33" w:rsidRPr="00364EF3">
        <w:rPr>
          <w:rFonts w:cs="Times New Roman"/>
        </w:rPr>
        <w:t xml:space="preserve">. </w:t>
      </w:r>
      <w:r w:rsidR="00895EC9" w:rsidRPr="00364EF3">
        <w:rPr>
          <w:rFonts w:cs="Times New Roman"/>
        </w:rPr>
        <w:t>First,</w:t>
      </w:r>
      <w:r w:rsidR="001C4C33" w:rsidRPr="00364EF3">
        <w:rPr>
          <w:rFonts w:cs="Times New Roman"/>
        </w:rPr>
        <w:t xml:space="preserve"> the</w:t>
      </w:r>
      <w:r w:rsidR="00A80207" w:rsidRPr="00364EF3">
        <w:rPr>
          <w:rFonts w:cs="Times New Roman"/>
        </w:rPr>
        <w:t>re are disease areas</w:t>
      </w:r>
      <w:r w:rsidR="002C6B4B" w:rsidRPr="00364EF3">
        <w:rPr>
          <w:rFonts w:cs="Times New Roman"/>
        </w:rPr>
        <w:t xml:space="preserve"> </w:t>
      </w:r>
      <w:r w:rsidR="00DD28C2" w:rsidRPr="00364EF3">
        <w:rPr>
          <w:rFonts w:cs="Times New Roman"/>
        </w:rPr>
        <w:t xml:space="preserve">in which it is </w:t>
      </w:r>
      <w:r w:rsidR="00B543FE" w:rsidRPr="00364EF3">
        <w:rPr>
          <w:rFonts w:cs="Times New Roman"/>
        </w:rPr>
        <w:t xml:space="preserve">relatively </w:t>
      </w:r>
      <w:r w:rsidR="002C6B4B" w:rsidRPr="00364EF3">
        <w:rPr>
          <w:rFonts w:cs="Times New Roman"/>
        </w:rPr>
        <w:t>more difficult to</w:t>
      </w:r>
      <w:r w:rsidR="001C4C33" w:rsidRPr="00364EF3">
        <w:rPr>
          <w:rFonts w:cs="Times New Roman"/>
        </w:rPr>
        <w:t xml:space="preserve"> </w:t>
      </w:r>
      <w:r w:rsidR="002C6B4B" w:rsidRPr="00364EF3">
        <w:rPr>
          <w:rFonts w:cs="Times New Roman"/>
        </w:rPr>
        <w:t>innovate</w:t>
      </w:r>
      <w:r w:rsidR="001C4C33" w:rsidRPr="00364EF3">
        <w:rPr>
          <w:rFonts w:cs="Times New Roman"/>
        </w:rPr>
        <w:t>. Therapies targeting these diseases</w:t>
      </w:r>
      <w:r w:rsidR="00267845" w:rsidRPr="00364EF3">
        <w:rPr>
          <w:rFonts w:cs="Times New Roman"/>
        </w:rPr>
        <w:t xml:space="preserve"> are scientifically challenging</w:t>
      </w:r>
      <w:r w:rsidR="000C63D7">
        <w:rPr>
          <w:rFonts w:cs="Times New Roman"/>
        </w:rPr>
        <w:t xml:space="preserve"> </w:t>
      </w:r>
      <w:r w:rsidR="00267845" w:rsidRPr="00364EF3">
        <w:rPr>
          <w:rFonts w:cs="Times New Roman"/>
        </w:rPr>
        <w:t>and</w:t>
      </w:r>
      <w:r w:rsidR="000C63D7">
        <w:rPr>
          <w:rFonts w:cs="Times New Roman"/>
        </w:rPr>
        <w:t xml:space="preserve"> </w:t>
      </w:r>
      <w:r w:rsidR="001C4C33" w:rsidRPr="00364EF3">
        <w:rPr>
          <w:rFonts w:cs="Times New Roman"/>
        </w:rPr>
        <w:t xml:space="preserve">pose substantial </w:t>
      </w:r>
      <w:r w:rsidR="007E4030">
        <w:rPr>
          <w:rFonts w:cs="Times New Roman"/>
        </w:rPr>
        <w:t xml:space="preserve">health </w:t>
      </w:r>
      <w:r w:rsidR="001C4C33" w:rsidRPr="00364EF3">
        <w:rPr>
          <w:rFonts w:cs="Times New Roman"/>
        </w:rPr>
        <w:t>safety issues.</w:t>
      </w:r>
      <w:r w:rsidR="00B43D95">
        <w:rPr>
          <w:rFonts w:cs="Times New Roman"/>
        </w:rPr>
        <w:t xml:space="preserve"> For instance, </w:t>
      </w:r>
      <w:r w:rsidR="00E94551">
        <w:rPr>
          <w:rFonts w:cs="Times New Roman"/>
        </w:rPr>
        <w:t xml:space="preserve">limited </w:t>
      </w:r>
      <w:r w:rsidR="000C63D7" w:rsidRPr="000C63D7">
        <w:rPr>
          <w:rFonts w:cs="Times New Roman"/>
        </w:rPr>
        <w:lastRenderedPageBreak/>
        <w:t>understa</w:t>
      </w:r>
      <w:r w:rsidR="000C63D7">
        <w:rPr>
          <w:rFonts w:cs="Times New Roman"/>
        </w:rPr>
        <w:t>n</w:t>
      </w:r>
      <w:r w:rsidR="000C63D7" w:rsidRPr="000C63D7">
        <w:rPr>
          <w:rFonts w:cs="Times New Roman"/>
        </w:rPr>
        <w:t xml:space="preserve">ding of the basic science </w:t>
      </w:r>
      <w:r w:rsidR="00E94551" w:rsidRPr="00E94551">
        <w:rPr>
          <w:rFonts w:cs="Times New Roman"/>
        </w:rPr>
        <w:t>underlying</w:t>
      </w:r>
      <w:r w:rsidR="000C63D7" w:rsidRPr="000C63D7">
        <w:rPr>
          <w:rFonts w:cs="Times New Roman"/>
        </w:rPr>
        <w:t xml:space="preserve"> disease</w:t>
      </w:r>
      <w:r w:rsidR="000C63D7">
        <w:rPr>
          <w:rFonts w:cs="Times New Roman"/>
        </w:rPr>
        <w:t>s of</w:t>
      </w:r>
      <w:r w:rsidR="000C63D7" w:rsidRPr="000C63D7">
        <w:rPr>
          <w:rFonts w:cs="Times New Roman"/>
        </w:rPr>
        <w:t xml:space="preserve"> the central nervous system </w:t>
      </w:r>
      <w:r w:rsidR="00E94551">
        <w:rPr>
          <w:rFonts w:cs="Times New Roman"/>
        </w:rPr>
        <w:t>has meant that identification of feasible</w:t>
      </w:r>
      <w:r w:rsidR="000C63D7" w:rsidRPr="000C63D7">
        <w:rPr>
          <w:rFonts w:cs="Times New Roman"/>
        </w:rPr>
        <w:t xml:space="preserve"> </w:t>
      </w:r>
      <w:r w:rsidR="006F7B94">
        <w:rPr>
          <w:rFonts w:cs="Times New Roman"/>
        </w:rPr>
        <w:t xml:space="preserve">drug </w:t>
      </w:r>
      <w:r w:rsidR="000C63D7" w:rsidRPr="000C63D7">
        <w:rPr>
          <w:rFonts w:cs="Times New Roman"/>
        </w:rPr>
        <w:t>target</w:t>
      </w:r>
      <w:r w:rsidR="00E94551">
        <w:rPr>
          <w:rFonts w:cs="Times New Roman"/>
        </w:rPr>
        <w:t>s</w:t>
      </w:r>
      <w:r w:rsidR="000C63D7" w:rsidRPr="000C63D7">
        <w:rPr>
          <w:rFonts w:cs="Times New Roman"/>
        </w:rPr>
        <w:t xml:space="preserve"> </w:t>
      </w:r>
      <w:r w:rsidR="00E94551">
        <w:rPr>
          <w:rFonts w:cs="Times New Roman"/>
        </w:rPr>
        <w:t xml:space="preserve">for </w:t>
      </w:r>
      <w:r w:rsidR="00B43D95">
        <w:rPr>
          <w:rFonts w:cs="Times New Roman"/>
        </w:rPr>
        <w:t xml:space="preserve">Alzheimer, Parkinson and other degenerative neurological disorders </w:t>
      </w:r>
      <w:r w:rsidR="00E94551">
        <w:rPr>
          <w:rFonts w:cs="Times New Roman"/>
        </w:rPr>
        <w:t xml:space="preserve">is </w:t>
      </w:r>
      <w:r w:rsidR="00474F4C">
        <w:rPr>
          <w:rFonts w:cs="Times New Roman"/>
        </w:rPr>
        <w:t xml:space="preserve">challenging </w:t>
      </w:r>
      <w:r w:rsidR="00033AEB" w:rsidRPr="00033AEB">
        <w:rPr>
          <w:rFonts w:cs="Times New Roman"/>
        </w:rPr>
        <w:fldChar w:fldCharType="begin"/>
      </w:r>
      <w:r w:rsidR="004B1BF5">
        <w:rPr>
          <w:rFonts w:cs="Times New Roman"/>
        </w:rPr>
        <w:instrText xml:space="preserve"> ADDIN EN.CITE &lt;EndNote&gt;&lt;Cite&gt;&lt;Author&gt;Martino&lt;/Author&gt;&lt;Year&gt;2012&lt;/Year&gt;&lt;RecNum&gt;54&lt;/RecNum&gt;&lt;DisplayText&gt;(Martino et al., 2012; Mohs &amp;amp; Greig, 2017)&lt;/DisplayText&gt;&lt;record&gt;&lt;rec-number&gt;54&lt;/rec-number&gt;&lt;foreign-keys&gt;&lt;key app="EN" db-id="fete5e25iazx05es5p2vwse8vftw20pp9z9z" timestamp="0"&gt;54&lt;/key&gt;&lt;/foreign-keys&gt;&lt;ref-type name="Journal Article"&gt;17&lt;/ref-type&gt;&lt;contributors&gt;&lt;authors&gt;&lt;author&gt;Martino, Orsolina I&lt;/author&gt;&lt;author&gt;Ward, Derek J&lt;/author&gt;&lt;author&gt;Packer, Claire&lt;/author&gt;&lt;author&gt;Simpson, Sue&lt;/author&gt;&lt;author&gt;Stevens, Andrew&lt;/author&gt;&lt;/authors&gt;&lt;/contributors&gt;&lt;titles&gt;&lt;title&gt;Innovation and the burden of disease: retrospective observational study of new and emerging health technologies reported by the EuroScan network from 2000 to 2009&lt;/title&gt;&lt;secondary-title&gt;Value in Health&lt;/secondary-title&gt;&lt;/titles&gt;&lt;pages&gt;376-380&lt;/pages&gt;&lt;volume&gt;15&lt;/volume&gt;&lt;number&gt;2&lt;/number&gt;&lt;dates&gt;&lt;year&gt;2012&lt;/year&gt;&lt;/dates&gt;&lt;isbn&gt;1098-3015&lt;/isbn&gt;&lt;urls&gt;&lt;/urls&gt;&lt;/record&gt;&lt;/Cite&gt;&lt;Cite&gt;&lt;Author&gt;Mohs&lt;/Author&gt;&lt;Year&gt;2017&lt;/Year&gt;&lt;RecNum&gt;73&lt;/RecNum&gt;&lt;record&gt;&lt;rec-number&gt;73&lt;/rec-number&gt;&lt;foreign-keys&gt;&lt;key app="EN" db-id="fete5e25iazx05es5p2vwse8vftw20pp9z9z" timestamp="0"&gt;73&lt;/key&gt;&lt;/foreign-keys&gt;&lt;ref-type name="Journal Article"&gt;17&lt;/ref-type&gt;&lt;contributors&gt;&lt;authors&gt;&lt;author&gt;Mohs, Richard C&lt;/author&gt;&lt;author&gt;Greig, Nigel H&lt;/author&gt;&lt;/authors&gt;&lt;/contributors&gt;&lt;titles&gt;&lt;title&gt;Drug discovery and development: Role of basic biological research&lt;/title&gt;&lt;secondary-title&gt;Alzheimer&amp;apos;s &amp;amp; Dementia: Translational Research &amp;amp; Clinical Interventions&lt;/secondary-title&gt;&lt;/titles&gt;&lt;pages&gt;651-657&lt;/pages&gt;&lt;volume&gt;3&lt;/volume&gt;&lt;number&gt;4&lt;/number&gt;&lt;dates&gt;&lt;year&gt;2017&lt;/year&gt;&lt;/dates&gt;&lt;isbn&gt;2352-8737&lt;/isbn&gt;&lt;urls&gt;&lt;/urls&gt;&lt;/record&gt;&lt;/Cite&gt;&lt;/EndNote&gt;</w:instrText>
      </w:r>
      <w:r w:rsidR="00033AEB" w:rsidRPr="00033AEB">
        <w:rPr>
          <w:rFonts w:cs="Times New Roman"/>
        </w:rPr>
        <w:fldChar w:fldCharType="separate"/>
      </w:r>
      <w:r w:rsidR="00033AEB">
        <w:rPr>
          <w:rFonts w:cs="Times New Roman"/>
          <w:noProof/>
        </w:rPr>
        <w:t>(Martino et al., 2012; Mohs &amp; Greig, 2017)</w:t>
      </w:r>
      <w:r w:rsidR="00033AEB" w:rsidRPr="00033AEB">
        <w:rPr>
          <w:rFonts w:cs="Times New Roman"/>
        </w:rPr>
        <w:fldChar w:fldCharType="end"/>
      </w:r>
      <w:r w:rsidR="00B43D95">
        <w:rPr>
          <w:rFonts w:cs="Times New Roman"/>
        </w:rPr>
        <w:t>.</w:t>
      </w:r>
      <w:r w:rsidR="001C4C33" w:rsidRPr="00364EF3">
        <w:rPr>
          <w:rFonts w:cs="Times New Roman"/>
        </w:rPr>
        <w:t xml:space="preserve"> </w:t>
      </w:r>
      <w:r w:rsidR="002C6B4B" w:rsidRPr="00364EF3">
        <w:rPr>
          <w:rFonts w:cs="Times New Roman"/>
        </w:rPr>
        <w:t xml:space="preserve">Second, firms act strategically when </w:t>
      </w:r>
      <w:r w:rsidR="00D6718D" w:rsidRPr="00364EF3">
        <w:rPr>
          <w:rFonts w:cs="Times New Roman"/>
        </w:rPr>
        <w:t xml:space="preserve">determining </w:t>
      </w:r>
      <w:r w:rsidR="002C6B4B" w:rsidRPr="00364EF3">
        <w:rPr>
          <w:rFonts w:cs="Times New Roman"/>
        </w:rPr>
        <w:t>their R&amp;D investments</w:t>
      </w:r>
      <w:r w:rsidR="00C14053" w:rsidRPr="00364EF3">
        <w:rPr>
          <w:rFonts w:cs="Times New Roman"/>
        </w:rPr>
        <w:t xml:space="preserve"> </w:t>
      </w:r>
      <w:r w:rsidR="00121F09" w:rsidRPr="00364EF3">
        <w:rPr>
          <w:rFonts w:cs="Times New Roman"/>
        </w:rPr>
        <w:t xml:space="preserve">by considering </w:t>
      </w:r>
      <w:r w:rsidR="00C14053" w:rsidRPr="00364EF3">
        <w:rPr>
          <w:rFonts w:cs="Times New Roman"/>
        </w:rPr>
        <w:t>disease prevalence and incidence</w:t>
      </w:r>
      <w:r w:rsidR="00D6718D" w:rsidRPr="00364EF3">
        <w:rPr>
          <w:rFonts w:cs="Times New Roman"/>
        </w:rPr>
        <w:t>,</w:t>
      </w:r>
      <w:r w:rsidR="00121F09" w:rsidRPr="00364EF3">
        <w:rPr>
          <w:rFonts w:cs="Times New Roman"/>
        </w:rPr>
        <w:t xml:space="preserve"> </w:t>
      </w:r>
      <w:r w:rsidR="002C6B4B" w:rsidRPr="00364EF3">
        <w:rPr>
          <w:rFonts w:cs="Times New Roman"/>
        </w:rPr>
        <w:t xml:space="preserve">and tend to concentrate on </w:t>
      </w:r>
      <w:r w:rsidR="00DD28C2" w:rsidRPr="00364EF3">
        <w:rPr>
          <w:rFonts w:cs="Times New Roman"/>
        </w:rPr>
        <w:t xml:space="preserve">therapies </w:t>
      </w:r>
      <w:r w:rsidR="00933B89" w:rsidRPr="00364EF3">
        <w:rPr>
          <w:rFonts w:cs="Times New Roman"/>
        </w:rPr>
        <w:t xml:space="preserve">targeting </w:t>
      </w:r>
      <w:r w:rsidR="002C6B4B" w:rsidRPr="00364EF3">
        <w:rPr>
          <w:rFonts w:cs="Times New Roman"/>
        </w:rPr>
        <w:t>more profitable</w:t>
      </w:r>
      <w:r w:rsidR="00DD28C2" w:rsidRPr="00364EF3">
        <w:rPr>
          <w:rFonts w:cs="Times New Roman"/>
        </w:rPr>
        <w:t xml:space="preserve"> market</w:t>
      </w:r>
      <w:r w:rsidR="002F6920" w:rsidRPr="00364EF3">
        <w:rPr>
          <w:rFonts w:cs="Times New Roman"/>
        </w:rPr>
        <w:t>s.</w:t>
      </w:r>
      <w:r w:rsidR="00121F09" w:rsidRPr="00364EF3">
        <w:rPr>
          <w:rFonts w:cs="Times New Roman"/>
        </w:rPr>
        <w:t xml:space="preserve"> </w:t>
      </w:r>
      <w:r w:rsidR="00BD3346" w:rsidRPr="00364EF3">
        <w:rPr>
          <w:rFonts w:cs="Times New Roman"/>
        </w:rPr>
        <w:t>T</w:t>
      </w:r>
      <w:r w:rsidR="00933B89" w:rsidRPr="00364EF3">
        <w:rPr>
          <w:rFonts w:cs="Times New Roman"/>
        </w:rPr>
        <w:t>here is</w:t>
      </w:r>
      <w:r w:rsidR="00BF1250" w:rsidRPr="00364EF3">
        <w:rPr>
          <w:rFonts w:cs="Times New Roman"/>
        </w:rPr>
        <w:t xml:space="preserve"> </w:t>
      </w:r>
      <w:r w:rsidR="00BD3346" w:rsidRPr="00364EF3">
        <w:rPr>
          <w:rFonts w:cs="Times New Roman"/>
        </w:rPr>
        <w:t xml:space="preserve">therefore </w:t>
      </w:r>
      <w:r w:rsidR="001C4C33" w:rsidRPr="00364EF3">
        <w:rPr>
          <w:rFonts w:cs="Times New Roman"/>
        </w:rPr>
        <w:t xml:space="preserve">a lack of </w:t>
      </w:r>
      <w:r w:rsidR="00A80207" w:rsidRPr="00364EF3">
        <w:rPr>
          <w:rFonts w:cs="Times New Roman"/>
        </w:rPr>
        <w:t>R&amp;D</w:t>
      </w:r>
      <w:r w:rsidR="003F4027" w:rsidRPr="00364EF3">
        <w:rPr>
          <w:rFonts w:cs="Times New Roman"/>
        </w:rPr>
        <w:t xml:space="preserve"> activity</w:t>
      </w:r>
      <w:r w:rsidR="001C4C33" w:rsidRPr="00364EF3">
        <w:rPr>
          <w:rFonts w:cs="Times New Roman"/>
        </w:rPr>
        <w:t xml:space="preserve"> targeting </w:t>
      </w:r>
      <w:r w:rsidR="00A80207" w:rsidRPr="00364EF3">
        <w:rPr>
          <w:rFonts w:cs="Times New Roman"/>
        </w:rPr>
        <w:t xml:space="preserve">disease </w:t>
      </w:r>
      <w:r w:rsidR="00B543FE" w:rsidRPr="00364EF3">
        <w:rPr>
          <w:rFonts w:cs="Times New Roman"/>
        </w:rPr>
        <w:t xml:space="preserve">markets </w:t>
      </w:r>
      <w:r w:rsidR="00BD3346" w:rsidRPr="00364EF3">
        <w:rPr>
          <w:rFonts w:cs="Times New Roman"/>
        </w:rPr>
        <w:t xml:space="preserve">that are less attractive </w:t>
      </w:r>
      <w:r w:rsidR="001C4C33" w:rsidRPr="00364EF3">
        <w:rPr>
          <w:rFonts w:cs="Times New Roman"/>
        </w:rPr>
        <w:t xml:space="preserve">because of lower </w:t>
      </w:r>
      <w:r w:rsidR="00D6718D" w:rsidRPr="00364EF3">
        <w:rPr>
          <w:rFonts w:cs="Times New Roman"/>
        </w:rPr>
        <w:t xml:space="preserve">potential revenue from </w:t>
      </w:r>
      <w:r w:rsidR="001C4C33" w:rsidRPr="00364EF3">
        <w:rPr>
          <w:rFonts w:cs="Times New Roman"/>
        </w:rPr>
        <w:t>a new medicine</w:t>
      </w:r>
      <w:r w:rsidR="00D6718D" w:rsidRPr="00364EF3">
        <w:rPr>
          <w:rFonts w:cs="Times New Roman"/>
        </w:rPr>
        <w:t>, either because of low disease prevalence or low income levels</w:t>
      </w:r>
      <w:r w:rsidR="008C22D1">
        <w:rPr>
          <w:rFonts w:cs="Times New Roman"/>
        </w:rPr>
        <w:t xml:space="preserve"> </w:t>
      </w:r>
      <w:r w:rsidR="00DF69A4" w:rsidRPr="00364EF3">
        <w:rPr>
          <w:rFonts w:cs="Times New Roman"/>
        </w:rPr>
        <w:fldChar w:fldCharType="begin">
          <w:fldData xml:space="preserve">PEVuZE5vdGU+PENpdGU+PEF1dGhvcj5EdWtlczwvQXV0aG9yPjxZZWFyPjIwMDI8L1llYXI+PFJl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</w:fldData>
        </w:fldChar>
      </w:r>
      <w:r w:rsidR="003D5732">
        <w:rPr>
          <w:rFonts w:cs="Times New Roman"/>
        </w:rPr>
        <w:instrText xml:space="preserve"> ADDIN EN.CITE </w:instrText>
      </w:r>
      <w:r w:rsidR="003D5732">
        <w:rPr>
          <w:rFonts w:cs="Times New Roman"/>
        </w:rPr>
        <w:fldChar w:fldCharType="begin">
          <w:fldData xml:space="preserve">PEVuZE5vdGU+PENpdGU+PEF1dGhvcj5EdWtlczwvQXV0aG9yPjxZZWFyPjIwMDI8L1llYXI+PFJl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</w:fldData>
        </w:fldChar>
      </w:r>
      <w:r w:rsidR="003D5732">
        <w:rPr>
          <w:rFonts w:cs="Times New Roman"/>
        </w:rPr>
        <w:instrText xml:space="preserve"> ADDIN EN.CITE.DATA </w:instrText>
      </w:r>
      <w:r w:rsidR="003D5732">
        <w:rPr>
          <w:rFonts w:cs="Times New Roman"/>
        </w:rPr>
      </w:r>
      <w:r w:rsidR="003D5732">
        <w:rPr>
          <w:rFonts w:cs="Times New Roman"/>
        </w:rPr>
        <w:fldChar w:fldCharType="end"/>
      </w:r>
      <w:r w:rsidR="00DF69A4" w:rsidRPr="00364EF3">
        <w:rPr>
          <w:rFonts w:cs="Times New Roman"/>
        </w:rPr>
      </w:r>
      <w:r w:rsidR="00DF69A4" w:rsidRPr="00364EF3">
        <w:rPr>
          <w:rFonts w:cs="Times New Roman"/>
        </w:rPr>
        <w:fldChar w:fldCharType="separate"/>
      </w:r>
      <w:r w:rsidR="003D5732">
        <w:rPr>
          <w:rFonts w:cs="Times New Roman"/>
          <w:noProof/>
        </w:rPr>
        <w:t>(Drummond et al., 2007; Dukes, 2002; Pecoul et al., 1999)</w:t>
      </w:r>
      <w:r w:rsidR="00DF69A4" w:rsidRPr="00364EF3">
        <w:rPr>
          <w:rFonts w:cs="Times New Roman"/>
        </w:rPr>
        <w:fldChar w:fldCharType="end"/>
      </w:r>
      <w:r w:rsidR="00911FA4" w:rsidRPr="00364EF3">
        <w:rPr>
          <w:rFonts w:cs="Times New Roman"/>
        </w:rPr>
        <w:t>.</w:t>
      </w:r>
      <w:r w:rsidR="00F8595D" w:rsidRPr="00364EF3">
        <w:rPr>
          <w:rFonts w:cs="Times New Roman"/>
        </w:rPr>
        <w:t xml:space="preserve"> </w:t>
      </w:r>
      <w:r w:rsidR="00DD28C2" w:rsidRPr="00364EF3">
        <w:rPr>
          <w:rFonts w:cs="Times New Roman"/>
        </w:rPr>
        <w:t>T</w:t>
      </w:r>
      <w:r w:rsidR="001C4C33" w:rsidRPr="00364EF3">
        <w:rPr>
          <w:rFonts w:cs="Times New Roman"/>
        </w:rPr>
        <w:t xml:space="preserve">he absence of incentive mechanisms promoting </w:t>
      </w:r>
      <w:r w:rsidR="0069404C" w:rsidRPr="00364EF3">
        <w:rPr>
          <w:rFonts w:cs="Times New Roman"/>
        </w:rPr>
        <w:t xml:space="preserve">R&amp;D </w:t>
      </w:r>
      <w:r w:rsidR="001C4C33" w:rsidRPr="00364EF3">
        <w:rPr>
          <w:rFonts w:cs="Times New Roman"/>
        </w:rPr>
        <w:t>in riskier or less profitable disease areas</w:t>
      </w:r>
      <w:r w:rsidR="00DD28C2" w:rsidRPr="00364EF3">
        <w:rPr>
          <w:rFonts w:cs="Times New Roman"/>
        </w:rPr>
        <w:t xml:space="preserve"> </w:t>
      </w:r>
      <w:r w:rsidR="00BF1250" w:rsidRPr="00364EF3">
        <w:rPr>
          <w:rFonts w:cs="Times New Roman"/>
        </w:rPr>
        <w:t xml:space="preserve">may have contributed to </w:t>
      </w:r>
      <w:r w:rsidR="00DD28C2" w:rsidRPr="00364EF3">
        <w:rPr>
          <w:rFonts w:cs="Times New Roman"/>
        </w:rPr>
        <w:t xml:space="preserve">a failure to </w:t>
      </w:r>
      <w:r w:rsidR="001C4C33" w:rsidRPr="00364EF3">
        <w:rPr>
          <w:rFonts w:cs="Times New Roman"/>
        </w:rPr>
        <w:t>deliver innovations in therapeutic areas with potentially large economic</w:t>
      </w:r>
      <w:r w:rsidR="00D243D4" w:rsidRPr="00364EF3">
        <w:rPr>
          <w:rFonts w:cs="Times New Roman"/>
        </w:rPr>
        <w:t xml:space="preserve"> and health</w:t>
      </w:r>
      <w:r w:rsidR="00911FA4" w:rsidRPr="00364EF3">
        <w:rPr>
          <w:rFonts w:cs="Times New Roman"/>
        </w:rPr>
        <w:t xml:space="preserve"> impact</w:t>
      </w:r>
      <w:r w:rsidR="00D6718D" w:rsidRPr="00364EF3">
        <w:rPr>
          <w:rFonts w:cs="Times New Roman"/>
        </w:rPr>
        <w:t>s</w:t>
      </w:r>
      <w:r w:rsidR="003A3118">
        <w:rPr>
          <w:rFonts w:cs="Times New Roman"/>
        </w:rPr>
        <w:t xml:space="preserve"> </w:t>
      </w:r>
      <w:r w:rsidR="003A3118">
        <w:rPr>
          <w:rFonts w:cs="Times New Roman"/>
        </w:rPr>
        <w:fldChar w:fldCharType="begin">
          <w:fldData xml:space="preserve">PEVuZE5vdGU+PENpdGU+PEF1dGhvcj5LcmVtZXI8L0F1dGhvcj48WWVhcj4yMDA0PC9ZZWFyPjxS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</w:fldData>
        </w:fldChar>
      </w:r>
      <w:r w:rsidR="004B1BF5">
        <w:rPr>
          <w:rFonts w:cs="Times New Roman"/>
        </w:rPr>
        <w:instrText xml:space="preserve"> ADDIN EN.CITE </w:instrText>
      </w:r>
      <w:r w:rsidR="004B1BF5">
        <w:rPr>
          <w:rFonts w:cs="Times New Roman"/>
        </w:rPr>
        <w:fldChar w:fldCharType="begin">
          <w:fldData xml:space="preserve">PEVuZE5vdGU+PENpdGU+PEF1dGhvcj5LcmVtZXI8L0F1dGhvcj48WWVhcj4yMDA0PC9ZZWFyPjxS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</w:fldData>
        </w:fldChar>
      </w:r>
      <w:r w:rsidR="004B1BF5">
        <w:rPr>
          <w:rFonts w:cs="Times New Roman"/>
        </w:rPr>
        <w:instrText xml:space="preserve"> ADDIN EN.CITE.DATA </w:instrText>
      </w:r>
      <w:r w:rsidR="004B1BF5">
        <w:rPr>
          <w:rFonts w:cs="Times New Roman"/>
        </w:rPr>
      </w:r>
      <w:r w:rsidR="004B1BF5">
        <w:rPr>
          <w:rFonts w:cs="Times New Roman"/>
        </w:rPr>
        <w:fldChar w:fldCharType="end"/>
      </w:r>
      <w:r w:rsidR="003A3118">
        <w:rPr>
          <w:rFonts w:cs="Times New Roman"/>
        </w:rPr>
      </w:r>
      <w:r w:rsidR="003A3118">
        <w:rPr>
          <w:rFonts w:cs="Times New Roman"/>
        </w:rPr>
        <w:fldChar w:fldCharType="separate"/>
      </w:r>
      <w:r w:rsidR="00033AEB">
        <w:rPr>
          <w:rFonts w:cs="Times New Roman"/>
          <w:noProof/>
        </w:rPr>
        <w:t>(M. G. Kremer, R., 2004; Pecoul et al., 1999; Scott Morton &amp; Kyle, 2011)</w:t>
      </w:r>
      <w:r w:rsidR="003A3118">
        <w:rPr>
          <w:rFonts w:cs="Times New Roman"/>
        </w:rPr>
        <w:fldChar w:fldCharType="end"/>
      </w:r>
      <w:r w:rsidR="003A3118">
        <w:rPr>
          <w:rFonts w:cs="Times New Roman"/>
        </w:rPr>
        <w:t>.</w:t>
      </w:r>
    </w:p>
    <w:p w14:paraId="220F2FFC" w14:textId="0261D831" w:rsidR="003A3118" w:rsidRDefault="003A3118" w:rsidP="003A3118">
      <w:pPr>
        <w:spacing w:line="480" w:lineRule="auto"/>
        <w:jc w:val="both"/>
        <w:rPr>
          <w:rFonts w:cs="Times New Roman"/>
        </w:rPr>
      </w:pPr>
    </w:p>
    <w:p w14:paraId="4584D397" w14:textId="38E54724" w:rsidR="00D23802" w:rsidRPr="00BA03E0" w:rsidRDefault="00D23802" w:rsidP="00D23802">
      <w:pPr>
        <w:spacing w:line="480" w:lineRule="auto"/>
        <w:jc w:val="both"/>
        <w:rPr>
          <w:rFonts w:cs="Times New Roman"/>
        </w:rPr>
      </w:pPr>
      <w:r w:rsidRPr="00364EF3">
        <w:rPr>
          <w:rFonts w:cs="Times New Roman"/>
        </w:rPr>
        <w:t xml:space="preserve">In order to inform policies to align R&amp;D activity better with societal needs it is </w:t>
      </w:r>
      <w:r>
        <w:rPr>
          <w:rFonts w:cs="Times New Roman"/>
        </w:rPr>
        <w:t>essential to secure more evidence to identify</w:t>
      </w:r>
      <w:r w:rsidRPr="00364EF3">
        <w:rPr>
          <w:rFonts w:cs="Times New Roman"/>
        </w:rPr>
        <w:t xml:space="preserve"> the nature </w:t>
      </w:r>
      <w:r>
        <w:rPr>
          <w:rFonts w:cs="Times New Roman"/>
        </w:rPr>
        <w:t xml:space="preserve">and magnitude </w:t>
      </w:r>
      <w:r w:rsidRPr="00364EF3">
        <w:rPr>
          <w:rFonts w:cs="Times New Roman"/>
        </w:rPr>
        <w:t xml:space="preserve">of </w:t>
      </w:r>
      <w:r>
        <w:rPr>
          <w:rFonts w:cs="Times New Roman"/>
        </w:rPr>
        <w:t>the</w:t>
      </w:r>
      <w:r w:rsidRPr="00364EF3">
        <w:rPr>
          <w:rFonts w:cs="Times New Roman"/>
        </w:rPr>
        <w:t xml:space="preserve"> mismatches between drug innovation and disease burden at a global level. </w:t>
      </w:r>
      <w:r>
        <w:rPr>
          <w:rFonts w:cs="Times New Roman"/>
        </w:rPr>
        <w:t xml:space="preserve">The literature provides important first insights with regards to the correlation between therapeutic innovation and disease burden but has certain shortcomings that we seek to mitigate in our analysis. These limitations </w:t>
      </w:r>
      <w:r w:rsidRPr="003A3118">
        <w:rPr>
          <w:rFonts w:cs="Times New Roman"/>
        </w:rPr>
        <w:t xml:space="preserve">relate to: </w:t>
      </w:r>
      <w:r>
        <w:rPr>
          <w:rFonts w:cs="Times New Roman"/>
          <w:lang w:val="en-GB"/>
        </w:rPr>
        <w:t>1)</w:t>
      </w:r>
      <w:r w:rsidRPr="003A3118">
        <w:rPr>
          <w:rFonts w:cs="Times New Roman"/>
          <w:lang w:val="en-GB"/>
        </w:rPr>
        <w:t xml:space="preserve"> the measurement of drug innovation; 2) the scope of the analysis; 3) the methods used to assess health inequalities in drug innovation.</w:t>
      </w:r>
    </w:p>
    <w:p w14:paraId="13B61E67" w14:textId="22720508" w:rsidR="00D23802" w:rsidRPr="00633BF6" w:rsidRDefault="00D23802" w:rsidP="00D23802">
      <w:pPr>
        <w:spacing w:line="480" w:lineRule="auto"/>
        <w:jc w:val="both"/>
        <w:rPr>
          <w:rFonts w:cs="Times New Roman"/>
          <w:lang w:val="en-GB"/>
        </w:rPr>
      </w:pPr>
      <w:r>
        <w:rPr>
          <w:rFonts w:cs="Times New Roman"/>
          <w:lang w:val="en-GB"/>
        </w:rPr>
        <w:t>With regards</w:t>
      </w:r>
      <w:r w:rsidRPr="00633BF6">
        <w:rPr>
          <w:rFonts w:cs="Times New Roman"/>
          <w:lang w:val="en-GB"/>
        </w:rPr>
        <w:t xml:space="preserve"> to the measurement of innovation</w:t>
      </w:r>
      <w:r>
        <w:rPr>
          <w:rFonts w:cs="Times New Roman"/>
          <w:lang w:val="en-GB"/>
        </w:rPr>
        <w:t>, some studies have focused</w:t>
      </w:r>
      <w:r w:rsidRPr="00633BF6">
        <w:rPr>
          <w:rFonts w:cs="Times New Roman"/>
          <w:lang w:val="en-GB"/>
        </w:rPr>
        <w:t xml:space="preserve"> on clinical trials rather than market launches </w:t>
      </w:r>
      <w:r w:rsidRPr="00633BF6">
        <w:rPr>
          <w:rFonts w:cs="Times New Roman"/>
          <w:lang w:val="en-GB"/>
        </w:rPr>
        <w:fldChar w:fldCharType="begin"/>
      </w:r>
      <w:r w:rsidR="004B1BF5">
        <w:rPr>
          <w:rFonts w:cs="Times New Roman"/>
          <w:lang w:val="en-GB"/>
        </w:rPr>
        <w:instrText xml:space="preserve"> ADDIN EN.CITE &lt;EndNote&gt;&lt;Cite&gt;&lt;Author&gt;Viergever&lt;/Author&gt;&lt;Year&gt;2013&lt;/Year&gt;&lt;RecNum&gt;47&lt;/RecNum&gt;&lt;DisplayText&gt;(Viergever et al., 2013)&lt;/DisplayText&gt;&lt;record&gt;&lt;rec-number&gt;47&lt;/rec-number&gt;&lt;foreign-keys&gt;&lt;key app="EN" db-id="fete5e25iazx05es5p2vwse8vftw20pp9z9z" timestamp="0"&gt;47&lt;/key&gt;&lt;/foreign-keys&gt;&lt;ref-type name="Journal Article"&gt;17&lt;/ref-type&gt;&lt;contributors&gt;&lt;authors&gt;&lt;author&gt;Viergever, Roderik F&lt;/author&gt;&lt;author&gt;Terry, Robert F&lt;/author&gt;&lt;author&gt;Karam, Ghassan&lt;/author&gt;&lt;/authors&gt;&lt;/contributors&gt;&lt;titles&gt;&lt;title&gt;Use of data from registered clinical trials to identify gaps in health research and development&lt;/title&gt;&lt;secondary-title&gt;Bulletin of the World Health Organization&lt;/secondary-title&gt;&lt;/titles&gt;&lt;pages&gt;416-425C&lt;/pages&gt;&lt;volume&gt;91&lt;/volume&gt;&lt;number&gt;6&lt;/number&gt;&lt;dates&gt;&lt;year&gt;2013&lt;/year&gt;&lt;/dates&gt;&lt;isbn&gt;0042-9686&lt;/isbn&gt;&lt;urls&gt;&lt;/urls&gt;&lt;/record&gt;&lt;/Cite&gt;&lt;/EndNote&gt;</w:instrText>
      </w:r>
      <w:r w:rsidRPr="00633BF6">
        <w:rPr>
          <w:rFonts w:cs="Times New Roman"/>
          <w:lang w:val="en-GB"/>
        </w:rPr>
        <w:fldChar w:fldCharType="separate"/>
      </w:r>
      <w:r>
        <w:rPr>
          <w:rFonts w:cs="Times New Roman"/>
          <w:noProof/>
          <w:lang w:val="en-GB"/>
        </w:rPr>
        <w:t>(Viergever et al., 2013)</w:t>
      </w:r>
      <w:r w:rsidRPr="00633BF6">
        <w:rPr>
          <w:rFonts w:cs="Times New Roman"/>
          <w:lang w:val="en-GB"/>
        </w:rPr>
        <w:fldChar w:fldCharType="end"/>
      </w:r>
      <w:r w:rsidRPr="00633BF6">
        <w:rPr>
          <w:rFonts w:cs="Times New Roman"/>
          <w:lang w:val="en-GB"/>
        </w:rPr>
        <w:t xml:space="preserve"> and therefore fail to capture the potential innovations that are </w:t>
      </w:r>
      <w:r>
        <w:rPr>
          <w:rFonts w:cs="Times New Roman"/>
          <w:lang w:val="en-GB"/>
        </w:rPr>
        <w:t xml:space="preserve">in practice </w:t>
      </w:r>
      <w:r w:rsidRPr="00633BF6">
        <w:rPr>
          <w:rFonts w:cs="Times New Roman"/>
          <w:lang w:val="en-GB"/>
        </w:rPr>
        <w:t xml:space="preserve">made available. This is a concern as many projects in the R&amp;D pipeline fail to </w:t>
      </w:r>
      <w:r>
        <w:rPr>
          <w:rFonts w:cs="Times New Roman"/>
          <w:lang w:val="en-GB"/>
        </w:rPr>
        <w:t>reach</w:t>
      </w:r>
      <w:r w:rsidRPr="00633BF6">
        <w:rPr>
          <w:rFonts w:cs="Times New Roman"/>
          <w:lang w:val="en-GB"/>
        </w:rPr>
        <w:t xml:space="preserve"> market </w:t>
      </w:r>
      <w:r>
        <w:rPr>
          <w:rFonts w:cs="Times New Roman"/>
          <w:lang w:val="en-GB"/>
        </w:rPr>
        <w:t xml:space="preserve">launch </w:t>
      </w:r>
      <w:r w:rsidRPr="00633BF6">
        <w:rPr>
          <w:rFonts w:cs="Times New Roman"/>
          <w:lang w:val="en-GB"/>
        </w:rPr>
        <w:t xml:space="preserve">(either for regulatory or </w:t>
      </w:r>
      <w:r>
        <w:rPr>
          <w:rFonts w:cs="Times New Roman"/>
          <w:lang w:val="en-GB"/>
        </w:rPr>
        <w:t xml:space="preserve">commercial </w:t>
      </w:r>
      <w:r w:rsidRPr="00633BF6">
        <w:rPr>
          <w:rFonts w:cs="Times New Roman"/>
          <w:lang w:val="en-GB"/>
        </w:rPr>
        <w:t xml:space="preserve">reasons) and therefore target existing </w:t>
      </w:r>
      <w:r>
        <w:rPr>
          <w:rFonts w:cs="Times New Roman"/>
          <w:lang w:val="en-GB"/>
        </w:rPr>
        <w:t xml:space="preserve">disease </w:t>
      </w:r>
      <w:r w:rsidRPr="00633BF6">
        <w:rPr>
          <w:rFonts w:cs="Times New Roman"/>
          <w:lang w:val="en-GB"/>
        </w:rPr>
        <w:t xml:space="preserve">burden.  </w:t>
      </w:r>
    </w:p>
    <w:p w14:paraId="4CB90107" w14:textId="33F6FF8F" w:rsidR="00D23802" w:rsidRDefault="00D23802" w:rsidP="00D23802">
      <w:pPr>
        <w:spacing w:line="480" w:lineRule="auto"/>
        <w:jc w:val="both"/>
        <w:rPr>
          <w:rFonts w:cs="Times New Roman"/>
          <w:lang w:val="en-GB"/>
        </w:rPr>
      </w:pPr>
      <w:r w:rsidRPr="00633BF6">
        <w:rPr>
          <w:rFonts w:cs="Times New Roman"/>
          <w:lang w:val="en-GB"/>
        </w:rPr>
        <w:lastRenderedPageBreak/>
        <w:t xml:space="preserve">Other papers measure innovation as market launches but focus on non-representative samples of drug innovation, and therefore suffer from sample selection bias. Catalá-Lopez et al. </w:t>
      </w:r>
      <w:r w:rsidRPr="00190E1C">
        <w:rPr>
          <w:rFonts w:cs="Times New Roman"/>
          <w:lang w:val="en-GB"/>
        </w:rPr>
        <w:fldChar w:fldCharType="begin"/>
      </w:r>
      <w:r w:rsidR="004B1BF5">
        <w:rPr>
          <w:rFonts w:cs="Times New Roman"/>
          <w:lang w:val="en-GB"/>
        </w:rPr>
        <w:instrText xml:space="preserve"> ADDIN EN.CITE &lt;EndNote&gt;&lt;Cite ExcludeAuth="1"&gt;&lt;Author&gt;Catalá-López&lt;/Author&gt;&lt;Year&gt;2010&lt;/Year&gt;&lt;RecNum&gt;53&lt;/RecNum&gt;&lt;DisplayText&gt;(2010)&lt;/DisplayText&gt;&lt;record&gt;&lt;rec-number&gt;53&lt;/rec-number&gt;&lt;foreign-keys&gt;&lt;key app="EN" db-id="fete5e25iazx05es5p2vwse8vftw20pp9z9z" timestamp="0"&gt;53&lt;/key&gt;&lt;/foreign-keys&gt;&lt;ref-type name="Journal Article"&gt;17&lt;/ref-type&gt;&lt;contributors&gt;&lt;authors&gt;&lt;author&gt;Catalá-López, Ferrán&lt;/author&gt;&lt;author&gt;García-Altés, Anna&lt;/author&gt;&lt;author&gt;Álvarez-Martín, Elena&lt;/author&gt;&lt;author&gt;Gènova-Maleras, Ricard&lt;/author&gt;&lt;author&gt;Morant-Ginestar, Consuelo&lt;/author&gt;&lt;/authors&gt;&lt;/contributors&gt;&lt;titles&gt;&lt;title&gt;Does the development of new medicinal products in the European Union address global and regional health concerns?&lt;/title&gt;&lt;secondary-title&gt;Population Health Metrics&lt;/secondary-title&gt;&lt;/titles&gt;&lt;pages&gt;34&lt;/pages&gt;&lt;volume&gt;8&lt;/volume&gt;&lt;number&gt;1&lt;/number&gt;&lt;dates&gt;&lt;year&gt;2010&lt;/year&gt;&lt;/dates&gt;&lt;isbn&gt;1478-7954&lt;/isbn&gt;&lt;urls&gt;&lt;/urls&gt;&lt;/record&gt;&lt;/Cite&gt;&lt;/EndNote&gt;</w:instrText>
      </w:r>
      <w:r w:rsidRPr="00190E1C">
        <w:rPr>
          <w:rFonts w:cs="Times New Roman"/>
          <w:lang w:val="en-GB"/>
        </w:rPr>
        <w:fldChar w:fldCharType="separate"/>
      </w:r>
      <w:r w:rsidRPr="00190E1C">
        <w:rPr>
          <w:rFonts w:cs="Times New Roman"/>
          <w:noProof/>
          <w:lang w:val="en-GB"/>
        </w:rPr>
        <w:t>(2010)</w:t>
      </w:r>
      <w:r w:rsidRPr="00190E1C">
        <w:rPr>
          <w:rFonts w:cs="Times New Roman"/>
          <w:lang w:val="en-GB"/>
        </w:rPr>
        <w:fldChar w:fldCharType="end"/>
      </w:r>
      <w:r w:rsidRPr="00190E1C">
        <w:rPr>
          <w:rFonts w:cs="Times New Roman"/>
          <w:lang w:val="en-GB"/>
        </w:rPr>
        <w:t xml:space="preserve"> look at market registrations issued through the single centralised procedure by the European Medicines Agency (EMA), between 1995 and 2009, in order to examine whether</w:t>
      </w:r>
      <w:r>
        <w:rPr>
          <w:rFonts w:cs="Times New Roman"/>
          <w:lang w:val="en-GB"/>
        </w:rPr>
        <w:t xml:space="preserve"> drug innovation in the EU targets</w:t>
      </w:r>
      <w:r w:rsidRPr="00190E1C">
        <w:rPr>
          <w:rFonts w:cs="Times New Roman"/>
          <w:lang w:val="en-GB"/>
        </w:rPr>
        <w:t xml:space="preserve"> the most relevant conditions from a global public health perspective.</w:t>
      </w:r>
      <w:r>
        <w:rPr>
          <w:rFonts w:cs="Times New Roman"/>
          <w:lang w:val="en-GB"/>
        </w:rPr>
        <w:t xml:space="preserve"> Their analysis, thus, </w:t>
      </w:r>
      <w:r w:rsidRPr="00190E1C">
        <w:rPr>
          <w:rFonts w:cs="Times New Roman"/>
          <w:lang w:val="en-GB"/>
        </w:rPr>
        <w:t xml:space="preserve">fails to capture </w:t>
      </w:r>
      <w:r>
        <w:rPr>
          <w:rFonts w:cs="Times New Roman"/>
          <w:lang w:val="en-GB"/>
        </w:rPr>
        <w:t xml:space="preserve">other drug </w:t>
      </w:r>
      <w:r w:rsidRPr="00190E1C">
        <w:rPr>
          <w:rFonts w:cs="Times New Roman"/>
          <w:lang w:val="en-GB"/>
        </w:rPr>
        <w:t xml:space="preserve">market </w:t>
      </w:r>
      <w:r>
        <w:rPr>
          <w:rFonts w:cs="Times New Roman"/>
          <w:lang w:val="en-GB"/>
        </w:rPr>
        <w:t>authorizations, including those</w:t>
      </w:r>
      <w:r w:rsidRPr="00190E1C">
        <w:rPr>
          <w:rFonts w:cs="Times New Roman"/>
          <w:lang w:val="en-GB"/>
        </w:rPr>
        <w:t xml:space="preserve"> </w:t>
      </w:r>
      <w:r>
        <w:rPr>
          <w:rFonts w:cs="Times New Roman"/>
          <w:lang w:val="en-GB"/>
        </w:rPr>
        <w:t xml:space="preserve">issued through country specific procedures, </w:t>
      </w:r>
      <w:r w:rsidRPr="00190E1C">
        <w:rPr>
          <w:rFonts w:cs="Times New Roman"/>
          <w:lang w:val="en-GB"/>
        </w:rPr>
        <w:t xml:space="preserve">that </w:t>
      </w:r>
      <w:r>
        <w:rPr>
          <w:rFonts w:cs="Times New Roman"/>
          <w:lang w:val="en-GB"/>
        </w:rPr>
        <w:t xml:space="preserve">may </w:t>
      </w:r>
      <w:r w:rsidRPr="00190E1C">
        <w:rPr>
          <w:rFonts w:cs="Times New Roman"/>
          <w:lang w:val="en-GB"/>
        </w:rPr>
        <w:t>potentially affect</w:t>
      </w:r>
      <w:r>
        <w:rPr>
          <w:rFonts w:cs="Times New Roman"/>
          <w:lang w:val="en-GB"/>
        </w:rPr>
        <w:t xml:space="preserve"> inequalities in drug innovation.</w:t>
      </w:r>
    </w:p>
    <w:p w14:paraId="70693871" w14:textId="057F0F4B" w:rsidR="00D23802" w:rsidRPr="00190E1C" w:rsidRDefault="00D23802" w:rsidP="00D23802">
      <w:pPr>
        <w:spacing w:line="480" w:lineRule="auto"/>
        <w:jc w:val="both"/>
        <w:rPr>
          <w:rFonts w:cs="Times New Roman"/>
          <w:lang w:val="en-GB"/>
        </w:rPr>
      </w:pPr>
      <w:r w:rsidRPr="00190E1C">
        <w:rPr>
          <w:rFonts w:cs="Times New Roman"/>
          <w:lang w:val="en-GB"/>
        </w:rPr>
        <w:t xml:space="preserve">The analysis by Lichtenberg </w:t>
      </w:r>
      <w:r w:rsidRPr="00190E1C">
        <w:rPr>
          <w:rFonts w:cs="Times New Roman"/>
          <w:lang w:val="en-GB"/>
        </w:rPr>
        <w:fldChar w:fldCharType="begin"/>
      </w:r>
      <w:r w:rsidR="004B1BF5">
        <w:rPr>
          <w:rFonts w:cs="Times New Roman"/>
          <w:lang w:val="en-GB"/>
        </w:rPr>
        <w:instrText xml:space="preserve"> ADDIN EN.CITE &lt;EndNote&gt;&lt;Cite ExcludeAuth="1"&gt;&lt;Author&gt;Lichtenberg&lt;/Author&gt;&lt;Year&gt;2005&lt;/Year&gt;&lt;RecNum&gt;52&lt;/RecNum&gt;&lt;DisplayText&gt;(2005)&lt;/DisplayText&gt;&lt;record&gt;&lt;rec-number&gt;52&lt;/rec-number&gt;&lt;foreign-keys&gt;&lt;key app="EN" db-id="fete5e25iazx05es5p2vwse8vftw20pp9z9z" timestamp="0"&gt;52&lt;/key&gt;&lt;/foreign-keys&gt;&lt;ref-type name="Journal Article"&gt;17&lt;/ref-type&gt;&lt;contributors&gt;&lt;authors&gt;&lt;author&gt;Lichtenberg, Frank R.&lt;/author&gt;&lt;/authors&gt;&lt;/contributors&gt;&lt;titles&gt;&lt;title&gt;Pharmaceutical Innovation and the Burden of Disease in Developing and Developed Countries&lt;/title&gt;&lt;secondary-title&gt;The Journal of Medicine and Philosophy&lt;/secondary-title&gt;&lt;/titles&gt;&lt;pages&gt;663-690&lt;/pages&gt;&lt;volume&gt;30&lt;/volume&gt;&lt;number&gt;6&lt;/number&gt;&lt;dates&gt;&lt;year&gt;2005&lt;/year&gt;&lt;/dates&gt;&lt;isbn&gt;0360-5310&lt;/isbn&gt;&lt;urls&gt;&lt;related-urls&gt;&lt;url&gt;http://dx.doi.org/10.1080/03605310500421421&lt;/url&gt;&lt;/related-urls&gt;&lt;/urls&gt;&lt;electronic-resource-num&gt;10.1080/03605310500421421&lt;/electronic-resource-num&gt;&lt;/record&gt;&lt;/Cite&gt;&lt;/EndNote&gt;</w:instrText>
      </w:r>
      <w:r w:rsidRPr="00190E1C">
        <w:rPr>
          <w:rFonts w:cs="Times New Roman"/>
          <w:lang w:val="en-GB"/>
        </w:rPr>
        <w:fldChar w:fldCharType="separate"/>
      </w:r>
      <w:r w:rsidRPr="00190E1C">
        <w:rPr>
          <w:rFonts w:cs="Times New Roman"/>
          <w:noProof/>
          <w:lang w:val="en-GB"/>
        </w:rPr>
        <w:t>(2005)</w:t>
      </w:r>
      <w:r w:rsidRPr="00190E1C">
        <w:rPr>
          <w:rFonts w:cs="Times New Roman"/>
          <w:lang w:val="en-GB"/>
        </w:rPr>
        <w:fldChar w:fldCharType="end"/>
      </w:r>
      <w:r w:rsidRPr="00190E1C">
        <w:rPr>
          <w:rFonts w:cs="Times New Roman"/>
          <w:lang w:val="en-GB"/>
        </w:rPr>
        <w:t xml:space="preserve"> is closer to ours in that the author uses the same data sources. </w:t>
      </w:r>
      <w:r>
        <w:rPr>
          <w:rFonts w:cs="Times New Roman"/>
          <w:lang w:val="en-GB"/>
        </w:rPr>
        <w:t xml:space="preserve">However, </w:t>
      </w:r>
      <w:r w:rsidRPr="00190E1C">
        <w:rPr>
          <w:rFonts w:cs="Times New Roman"/>
          <w:lang w:val="en-GB"/>
        </w:rPr>
        <w:t>th</w:t>
      </w:r>
      <w:r>
        <w:rPr>
          <w:rFonts w:cs="Times New Roman"/>
          <w:lang w:val="en-GB"/>
        </w:rPr>
        <w:t>e</w:t>
      </w:r>
      <w:r w:rsidRPr="00190E1C">
        <w:rPr>
          <w:rFonts w:cs="Times New Roman"/>
          <w:lang w:val="en-GB"/>
        </w:rPr>
        <w:t xml:space="preserve"> data</w:t>
      </w:r>
      <w:r>
        <w:rPr>
          <w:rFonts w:cs="Times New Roman"/>
          <w:lang w:val="en-GB"/>
        </w:rPr>
        <w:t xml:space="preserve"> used in this analysis</w:t>
      </w:r>
      <w:r w:rsidRPr="00190E1C">
        <w:rPr>
          <w:rFonts w:cs="Times New Roman"/>
          <w:lang w:val="en-GB"/>
        </w:rPr>
        <w:t xml:space="preserve"> </w:t>
      </w:r>
      <w:r>
        <w:rPr>
          <w:rFonts w:cs="Times New Roman"/>
          <w:lang w:val="en-GB"/>
        </w:rPr>
        <w:t>is incomplete</w:t>
      </w:r>
      <w:r w:rsidRPr="00190E1C">
        <w:rPr>
          <w:rFonts w:cs="Times New Roman"/>
          <w:lang w:val="en-GB"/>
        </w:rPr>
        <w:t xml:space="preserve"> </w:t>
      </w:r>
      <w:r>
        <w:rPr>
          <w:rFonts w:cs="Times New Roman"/>
          <w:lang w:val="en-GB"/>
        </w:rPr>
        <w:t>as</w:t>
      </w:r>
      <w:r w:rsidRPr="00190E1C">
        <w:rPr>
          <w:rFonts w:cs="Times New Roman"/>
          <w:lang w:val="en-GB"/>
        </w:rPr>
        <w:t xml:space="preserve"> the author can only match products launched in the market with disease</w:t>
      </w:r>
      <w:r>
        <w:rPr>
          <w:rFonts w:cs="Times New Roman"/>
          <w:lang w:val="en-GB"/>
        </w:rPr>
        <w:t xml:space="preserve"> burden</w:t>
      </w:r>
      <w:r w:rsidRPr="00190E1C">
        <w:rPr>
          <w:rFonts w:cs="Times New Roman"/>
          <w:lang w:val="en-GB"/>
        </w:rPr>
        <w:t xml:space="preserve"> data for a subset of</w:t>
      </w:r>
      <w:r>
        <w:rPr>
          <w:rFonts w:cs="Times New Roman"/>
          <w:lang w:val="en-GB"/>
        </w:rPr>
        <w:t xml:space="preserve"> drugs</w:t>
      </w:r>
      <w:r w:rsidRPr="00190E1C">
        <w:rPr>
          <w:rFonts w:cs="Times New Roman"/>
          <w:lang w:val="en-GB"/>
        </w:rPr>
        <w:t xml:space="preserve"> and countries</w:t>
      </w:r>
      <w:r>
        <w:rPr>
          <w:rFonts w:cs="Times New Roman"/>
          <w:lang w:val="en-GB"/>
        </w:rPr>
        <w:t>. The study</w:t>
      </w:r>
      <w:r w:rsidRPr="00190E1C">
        <w:rPr>
          <w:rFonts w:cs="Times New Roman"/>
          <w:lang w:val="en-GB"/>
        </w:rPr>
        <w:t xml:space="preserve"> also lack</w:t>
      </w:r>
      <w:r>
        <w:rPr>
          <w:rFonts w:cs="Times New Roman"/>
          <w:lang w:val="en-GB"/>
        </w:rPr>
        <w:t>s</w:t>
      </w:r>
      <w:r w:rsidRPr="00190E1C">
        <w:rPr>
          <w:rFonts w:cs="Times New Roman"/>
          <w:lang w:val="en-GB"/>
        </w:rPr>
        <w:t xml:space="preserve"> information of burden of disease at country level</w:t>
      </w:r>
      <w:r>
        <w:rPr>
          <w:rFonts w:cs="Times New Roman"/>
          <w:lang w:val="en-GB"/>
        </w:rPr>
        <w:t xml:space="preserve">, instead using regional level data, split in between developing and developed countries. </w:t>
      </w:r>
      <w:r w:rsidRPr="00F354D0">
        <w:rPr>
          <w:rFonts w:cs="Times New Roman"/>
          <w:lang w:val="en-GB"/>
        </w:rPr>
        <w:t xml:space="preserve"> </w:t>
      </w:r>
    </w:p>
    <w:p w14:paraId="0FA72B29" w14:textId="2D888E80" w:rsidR="00D23802" w:rsidRDefault="00D23802" w:rsidP="00D23802">
      <w:pPr>
        <w:spacing w:line="480" w:lineRule="auto"/>
        <w:jc w:val="both"/>
        <w:rPr>
          <w:rFonts w:cs="Times New Roman"/>
          <w:lang w:val="en-GB"/>
        </w:rPr>
      </w:pPr>
      <w:r>
        <w:rPr>
          <w:rFonts w:cs="Times New Roman"/>
          <w:lang w:val="en-GB"/>
        </w:rPr>
        <w:t>Other</w:t>
      </w:r>
      <w:r w:rsidRPr="00190E1C">
        <w:rPr>
          <w:rFonts w:cs="Times New Roman"/>
          <w:lang w:val="en-GB"/>
        </w:rPr>
        <w:t xml:space="preserve"> studies proxy innovation in ways that suffer from publication or reporting bias by counting the number of published economic evaluations </w:t>
      </w:r>
      <w:r w:rsidRPr="00190E1C">
        <w:rPr>
          <w:rFonts w:cs="Times New Roman"/>
          <w:lang w:val="en-GB"/>
        </w:rPr>
        <w:fldChar w:fldCharType="begin"/>
      </w:r>
      <w:r w:rsidR="004B1BF5">
        <w:rPr>
          <w:rFonts w:cs="Times New Roman"/>
          <w:lang w:val="en-GB"/>
        </w:rPr>
        <w:instrText xml:space="preserve"> ADDIN EN.CITE &lt;EndNote&gt;&lt;Cite&gt;&lt;Author&gt;Catalá-López&lt;/Author&gt;&lt;Year&gt;2011&lt;/Year&gt;&lt;RecNum&gt;7&lt;/RecNum&gt;&lt;DisplayText&gt;(Catalá-López et al., 2011; Neumann et al., 2005)&lt;/DisplayText&gt;&lt;record&gt;&lt;rec-number&gt;7&lt;/rec-number&gt;&lt;foreign-keys&gt;&lt;key app="EN" db-id="xsawx2trgwepzdear9bxs096tvvs50edw500" timestamp="1527702899"&gt;7&lt;/key&gt;&lt;/foreign-keys&gt;&lt;ref-type name="Journal Article"&gt;17&lt;/ref-type&gt;&lt;contributors&gt;&lt;authors&gt;&lt;author&gt;Catalá-López, Ferrán&lt;/author&gt;&lt;author&gt;García-Altés, Anna&lt;/author&gt;&lt;author&gt;Álvarez-Martín, Elena&lt;/author&gt;&lt;author&gt;Gènova-Maleras, Ricard&lt;/author&gt;&lt;author&gt;Morant-Ginestar, Consuelo&lt;/author&gt;&lt;author&gt;Parada, Antoni&lt;/author&gt;&lt;/authors&gt;&lt;/contributors&gt;&lt;titles&gt;&lt;title&gt;Burden of disease and economic evaluation of healthcare interventions: are we investigating what really matters?&lt;/title&gt;&lt;secondary-title&gt;BMC Health Services Research&lt;/secondary-title&gt;&lt;/titles&gt;&lt;pages&gt;75&lt;/pages&gt;&lt;volume&gt;11&lt;/volume&gt;&lt;number&gt;1&lt;/number&gt;&lt;dates&gt;&lt;year&gt;2011&lt;/year&gt;&lt;/dates&gt;&lt;isbn&gt;1472-6963&lt;/isbn&gt;&lt;urls&gt;&lt;/urls&gt;&lt;/record&gt;&lt;/Cite&gt;&lt;Cite&gt;&lt;Author&gt;Neumann&lt;/Author&gt;&lt;Year&gt;2005&lt;/Year&gt;&lt;RecNum&gt;69&lt;/RecNum&gt;&lt;record&gt;&lt;rec-number&gt;69&lt;/rec-number&gt;&lt;foreign-keys&gt;&lt;key app="EN" db-id="fete5e25iazx05es5p2vwse8vftw20pp9z9z" timestamp="0"&gt;69&lt;/key&gt;&lt;/foreign-keys&gt;&lt;ref-type name="Journal Article"&gt;17&lt;/ref-type&gt;&lt;contributors&gt;&lt;authors&gt;&lt;author&gt;Neumann, Peter J&lt;/author&gt;&lt;author&gt;Rosen, Allison B&lt;/author&gt;&lt;author&gt;Greenberg, Dan&lt;/author&gt;&lt;author&gt;Olchanski, Natalia V&lt;/author&gt;&lt;author&gt;Pande, Richa&lt;/author&gt;&lt;author&gt;Chapman, Richard H&lt;/author&gt;&lt;author&gt;Stone, Patricia W&lt;/author&gt;&lt;author&gt;Ondategui-Parra, Silvia&lt;/author&gt;&lt;author&gt;Nadai, John&lt;/author&gt;&lt;author&gt;Siegel, Joanna E&lt;/author&gt;&lt;/authors&gt;&lt;/contributors&gt;&lt;titles&gt;&lt;title&gt;Can we better prioritize resources for cost-utility research?&lt;/title&gt;&lt;secondary-title&gt;Medical Decision Making&lt;/secondary-title&gt;&lt;/titles&gt;&lt;pages&gt;429-436&lt;/pages&gt;&lt;volume&gt;25&lt;/volume&gt;&lt;number&gt;4&lt;/number&gt;&lt;dates&gt;&lt;year&gt;2005&lt;/year&gt;&lt;/dates&gt;&lt;isbn&gt;0272-989X&lt;/isbn&gt;&lt;urls&gt;&lt;/urls&gt;&lt;/record&gt;&lt;/Cite&gt;&lt;/EndNote&gt;</w:instrText>
      </w:r>
      <w:r w:rsidRPr="00190E1C">
        <w:rPr>
          <w:rFonts w:cs="Times New Roman"/>
          <w:lang w:val="en-GB"/>
        </w:rPr>
        <w:fldChar w:fldCharType="separate"/>
      </w:r>
      <w:r>
        <w:rPr>
          <w:rFonts w:cs="Times New Roman"/>
          <w:noProof/>
          <w:lang w:val="en-GB"/>
        </w:rPr>
        <w:t>(Catalá-López et al., 2011; Neumann et al., 2005)</w:t>
      </w:r>
      <w:r w:rsidRPr="00190E1C">
        <w:rPr>
          <w:rFonts w:cs="Times New Roman"/>
          <w:lang w:val="en-GB"/>
        </w:rPr>
        <w:fldChar w:fldCharType="end"/>
      </w:r>
      <w:r w:rsidRPr="00190E1C">
        <w:rPr>
          <w:rFonts w:cs="Times New Roman"/>
          <w:lang w:val="en-GB"/>
        </w:rPr>
        <w:t>,</w:t>
      </w:r>
      <w:r w:rsidRPr="00190E1C" w:rsidDel="00DE0189">
        <w:rPr>
          <w:rFonts w:cs="Times New Roman"/>
          <w:lang w:val="en-GB"/>
        </w:rPr>
        <w:t xml:space="preserve"> </w:t>
      </w:r>
      <w:r w:rsidRPr="00190E1C">
        <w:rPr>
          <w:rFonts w:cs="Times New Roman"/>
          <w:lang w:val="en-GB"/>
        </w:rPr>
        <w:t>published clinical evidence</w:t>
      </w:r>
      <w:r>
        <w:rPr>
          <w:rFonts w:cs="Times New Roman"/>
          <w:lang w:val="en-GB"/>
        </w:rPr>
        <w:t xml:space="preserve"> </w:t>
      </w:r>
      <w:r>
        <w:rPr>
          <w:rFonts w:cs="Times New Roman"/>
          <w:lang w:val="en-GB"/>
        </w:rPr>
        <w:fldChar w:fldCharType="begin"/>
      </w:r>
      <w:r w:rsidR="004B1BF5">
        <w:rPr>
          <w:rFonts w:cs="Times New Roman"/>
          <w:lang w:val="en-GB"/>
        </w:rPr>
        <w:instrText xml:space="preserve"> ADDIN EN.CITE &lt;EndNote&gt;&lt;Cite&gt;&lt;Author&gt;Kaplan et al.&lt;/Author&gt;&lt;Year&gt;2013&lt;/Year&gt;&lt;RecNum&gt;55&lt;/RecNum&gt;&lt;DisplayText&gt;(Kaplan et al., 2013; Kaplan &amp;amp; Laing, 2004)&lt;/DisplayText&gt;&lt;record&gt;&lt;rec-number&gt;55&lt;/rec-number&gt;&lt;foreign-keys&gt;&lt;key app="EN" db-id="fete5e25iazx05es5p2vwse8vftw20pp9z9z" timestamp="0"&gt;55&lt;/key&gt;&lt;/foreign-keys&gt;&lt;ref-type name="Report"&gt;27&lt;/ref-type&gt;&lt;contributors&gt;&lt;authors&gt;&lt;author&gt;Kaplan et al.,&lt;/author&gt;&lt;/authors&gt;&lt;/contributors&gt;&lt;titles&gt;&lt;title&gt;Priority Medicines for Europe and the World 2013 Update&lt;/title&gt;&lt;/titles&gt;&lt;dates&gt;&lt;year&gt;2013&lt;/year&gt;&lt;/dates&gt;&lt;pub-location&gt;Geneva&lt;/pub-location&gt;&lt;publisher&gt;World Health Organization&lt;/publisher&gt;&lt;urls&gt;&lt;/urls&gt;&lt;/record&gt;&lt;/Cite&gt;&lt;Cite&gt;&lt;Author&gt;Kaplan&lt;/Author&gt;&lt;Year&gt;2004&lt;/Year&gt;&lt;RecNum&gt;56&lt;/RecNum&gt;&lt;record&gt;&lt;rec-number&gt;56&lt;/rec-number&gt;&lt;foreign-keys&gt;&lt;key app="EN" db-id="fete5e25iazx05es5p2vwse8vftw20pp9z9z" timestamp="0"&gt;56&lt;/key&gt;&lt;/foreign-keys&gt;&lt;ref-type name="Report"&gt;27&lt;/ref-type&gt;&lt;contributors&gt;&lt;authors&gt;&lt;author&gt;Warren Kaplan&lt;/author&gt;&lt;author&gt;Richard Laing&lt;/author&gt;&lt;/authors&gt;&lt;/contributors&gt;&lt;titles&gt;&lt;title&gt;Priority Medicines for Europe and the World 2004&lt;/title&gt;&lt;/titles&gt;&lt;dates&gt;&lt;year&gt;2004&lt;/year&gt;&lt;/dates&gt;&lt;pub-location&gt;http://apps.who.int/iris/bitstream/handle/10665/68769/WHO_EDM_PAR_2004.7.pdf?sequence=1&lt;/pub-location&gt;&lt;publisher&gt;World Health Organization&lt;/publisher&gt;&lt;urls&gt;&lt;/urls&gt;&lt;/record&gt;&lt;/Cite&gt;&lt;/EndNote&gt;</w:instrText>
      </w:r>
      <w:r>
        <w:rPr>
          <w:rFonts w:cs="Times New Roman"/>
          <w:lang w:val="en-GB"/>
        </w:rPr>
        <w:fldChar w:fldCharType="separate"/>
      </w:r>
      <w:r>
        <w:rPr>
          <w:rFonts w:cs="Times New Roman"/>
          <w:noProof/>
          <w:lang w:val="en-GB"/>
        </w:rPr>
        <w:t>(Kaplan et al., 2013; Kaplan &amp; Laing, 2004)</w:t>
      </w:r>
      <w:r>
        <w:rPr>
          <w:rFonts w:cs="Times New Roman"/>
          <w:lang w:val="en-GB"/>
        </w:rPr>
        <w:fldChar w:fldCharType="end"/>
      </w:r>
      <w:r w:rsidRPr="00190E1C">
        <w:rPr>
          <w:rFonts w:cs="Times New Roman"/>
          <w:lang w:val="en-GB"/>
        </w:rPr>
        <w:t xml:space="preserve">, or reported innovations </w:t>
      </w:r>
      <w:r w:rsidRPr="00190E1C">
        <w:rPr>
          <w:rFonts w:cs="Times New Roman"/>
          <w:lang w:val="en-GB"/>
        </w:rPr>
        <w:fldChar w:fldCharType="begin"/>
      </w:r>
      <w:r w:rsidR="004B1BF5">
        <w:rPr>
          <w:rFonts w:cs="Times New Roman"/>
          <w:lang w:val="en-GB"/>
        </w:rPr>
        <w:instrText xml:space="preserve"> ADDIN EN.CITE &lt;EndNote&gt;&lt;Cite&gt;&lt;Author&gt;Martino&lt;/Author&gt;&lt;Year&gt;2012&lt;/Year&gt;&lt;RecNum&gt;54&lt;/RecNum&gt;&lt;DisplayText&gt;(Martino et al., 2012)&lt;/DisplayText&gt;&lt;record&gt;&lt;rec-number&gt;54&lt;/rec-number&gt;&lt;foreign-keys&gt;&lt;key app="EN" db-id="fete5e25iazx05es5p2vwse8vftw20pp9z9z" timestamp="0"&gt;54&lt;/key&gt;&lt;/foreign-keys&gt;&lt;ref-type name="Journal Article"&gt;17&lt;/ref-type&gt;&lt;contributors&gt;&lt;authors&gt;&lt;author&gt;Martino, Orsolina I&lt;/author&gt;&lt;author&gt;Ward, Derek J&lt;/author&gt;&lt;author&gt;Packer, Claire&lt;/author&gt;&lt;author&gt;Simpson, Sue&lt;/author&gt;&lt;author&gt;Stevens, Andrew&lt;/author&gt;&lt;/authors&gt;&lt;/contributors&gt;&lt;titles&gt;&lt;title&gt;Innovation and the burden of disease: retrospective observational study of new and emerging health technologies reported by the EuroScan network from 2000 to 2009&lt;/title&gt;&lt;secondary-title&gt;Value in Health&lt;/secondary-title&gt;&lt;/titles&gt;&lt;pages&gt;376-380&lt;/pages&gt;&lt;volume&gt;15&lt;/volume&gt;&lt;number&gt;2&lt;/number&gt;&lt;dates&gt;&lt;year&gt;2012&lt;/year&gt;&lt;/dates&gt;&lt;isbn&gt;1098-3015&lt;/isbn&gt;&lt;urls&gt;&lt;/urls&gt;&lt;/record&gt;&lt;/Cite&gt;&lt;/EndNote&gt;</w:instrText>
      </w:r>
      <w:r w:rsidRPr="00190E1C">
        <w:rPr>
          <w:rFonts w:cs="Times New Roman"/>
          <w:lang w:val="en-GB"/>
        </w:rPr>
        <w:fldChar w:fldCharType="separate"/>
      </w:r>
      <w:r>
        <w:rPr>
          <w:rFonts w:cs="Times New Roman"/>
          <w:noProof/>
          <w:lang w:val="en-GB"/>
        </w:rPr>
        <w:t>(Martino et al., 2012)</w:t>
      </w:r>
      <w:r w:rsidRPr="00190E1C">
        <w:rPr>
          <w:rFonts w:cs="Times New Roman"/>
          <w:lang w:val="en-GB"/>
        </w:rPr>
        <w:fldChar w:fldCharType="end"/>
      </w:r>
      <w:r w:rsidRPr="00190E1C">
        <w:rPr>
          <w:rFonts w:cs="Times New Roman"/>
          <w:lang w:val="en-GB"/>
        </w:rPr>
        <w:t xml:space="preserve">. Beyond publication bias, economic evaluations are a poor proxy for innovation as not all marketed drugs go through these </w:t>
      </w:r>
      <w:r>
        <w:rPr>
          <w:rFonts w:cs="Times New Roman"/>
          <w:lang w:val="en-GB"/>
        </w:rPr>
        <w:t>appraisals</w:t>
      </w:r>
      <w:r w:rsidRPr="00190E1C">
        <w:rPr>
          <w:rFonts w:cs="Times New Roman"/>
          <w:lang w:val="en-GB"/>
        </w:rPr>
        <w:t xml:space="preserve"> in all countries. </w:t>
      </w:r>
    </w:p>
    <w:p w14:paraId="1B2F6AC9" w14:textId="30578018" w:rsidR="00D23802" w:rsidRPr="00190E1C" w:rsidRDefault="00D23802" w:rsidP="00D23802">
      <w:pPr>
        <w:spacing w:line="480" w:lineRule="auto"/>
        <w:jc w:val="both"/>
        <w:rPr>
          <w:rFonts w:cs="Times New Roman"/>
          <w:lang w:val="en-GB"/>
        </w:rPr>
      </w:pPr>
      <w:r w:rsidRPr="003D7AF5">
        <w:rPr>
          <w:rFonts w:cs="Times New Roman"/>
          <w:lang w:val="en-GB"/>
        </w:rPr>
        <w:t>The paper by Martino et al. (2012) proxies innovation with the number of technologies uploaded onto EuroScan by EuroScan member agencies. The data is self-reported, and member agencies include only 17 countries and</w:t>
      </w:r>
      <w:r>
        <w:rPr>
          <w:rFonts w:cs="Times New Roman"/>
          <w:lang w:val="en-GB"/>
        </w:rPr>
        <w:t>,</w:t>
      </w:r>
      <w:r w:rsidRPr="003D7AF5">
        <w:rPr>
          <w:rFonts w:cs="Times New Roman"/>
          <w:lang w:val="en-GB"/>
        </w:rPr>
        <w:t xml:space="preserve"> therefore</w:t>
      </w:r>
      <w:r>
        <w:rPr>
          <w:rFonts w:cs="Times New Roman"/>
          <w:lang w:val="en-GB"/>
        </w:rPr>
        <w:t>,</w:t>
      </w:r>
      <w:r w:rsidRPr="003D7AF5">
        <w:rPr>
          <w:rFonts w:cs="Times New Roman"/>
          <w:lang w:val="en-GB"/>
        </w:rPr>
        <w:t xml:space="preserve"> not representative of their target population of innovation.</w:t>
      </w:r>
      <w:r>
        <w:rPr>
          <w:rFonts w:cs="Times New Roman"/>
          <w:lang w:val="en-GB"/>
        </w:rPr>
        <w:t xml:space="preserve"> </w:t>
      </w:r>
      <w:r w:rsidRPr="003D7AF5">
        <w:rPr>
          <w:rFonts w:cs="Times New Roman"/>
          <w:lang w:val="en-GB"/>
        </w:rPr>
        <w:t>Finally, the contributions by</w:t>
      </w:r>
      <w:r>
        <w:rPr>
          <w:rFonts w:cs="Times New Roman"/>
          <w:lang w:val="en-GB"/>
        </w:rPr>
        <w:t xml:space="preserve"> Kaplan et al </w:t>
      </w:r>
      <w:r>
        <w:rPr>
          <w:rFonts w:cs="Times New Roman"/>
          <w:lang w:val="en-GB"/>
        </w:rPr>
        <w:fldChar w:fldCharType="begin"/>
      </w:r>
      <w:r w:rsidR="004B1BF5">
        <w:rPr>
          <w:rFonts w:cs="Times New Roman"/>
          <w:lang w:val="en-GB"/>
        </w:rPr>
        <w:instrText xml:space="preserve"> ADDIN EN.CITE &lt;EndNote&gt;&lt;Cite ExcludeAuth="1"&gt;&lt;Author&gt;Kaplan et al.&lt;/Author&gt;&lt;Year&gt;2013&lt;/Year&gt;&lt;RecNum&gt;55&lt;/RecNum&gt;&lt;DisplayText&gt;(2013; 2004)&lt;/DisplayText&gt;&lt;record&gt;&lt;rec-number&gt;55&lt;/rec-number&gt;&lt;foreign-keys&gt;&lt;key app="EN" db-id="fete5e25iazx05es5p2vwse8vftw20pp9z9z" timestamp="0"&gt;55&lt;/key&gt;&lt;/foreign-keys&gt;&lt;ref-type name="Report"&gt;27&lt;/ref-type&gt;&lt;contributors&gt;&lt;authors&gt;&lt;author&gt;Kaplan et al.,&lt;/author&gt;&lt;/authors&gt;&lt;/contributors&gt;&lt;titles&gt;&lt;title&gt;Priority Medicines for Europe and the World 2013 Update&lt;/title&gt;&lt;/titles&gt;&lt;dates&gt;&lt;year&gt;2013&lt;/year&gt;&lt;/dates&gt;&lt;pub-location&gt;Geneva&lt;/pub-location&gt;&lt;publisher&gt;World Health Organization&lt;/publisher&gt;&lt;urls&gt;&lt;/urls&gt;&lt;/record&gt;&lt;/Cite&gt;&lt;Cite ExcludeAuth="1"&gt;&lt;Author&gt;Kaplan&lt;/Author&gt;&lt;Year&gt;2004&lt;/Year&gt;&lt;RecNum&gt;56&lt;/RecNum&gt;&lt;record&gt;&lt;rec-number&gt;56&lt;/rec-number&gt;&lt;foreign-keys&gt;&lt;key app="EN" db-id="fete5e25iazx05es5p2vwse8vftw20pp9z9z" timestamp="0"&gt;56&lt;/key&gt;&lt;/foreign-keys&gt;&lt;ref-type name="Report"&gt;27&lt;/ref-type&gt;&lt;contributors&gt;&lt;authors&gt;&lt;author&gt;Warren Kaplan&lt;/author&gt;&lt;author&gt;Richard Laing&lt;/author&gt;&lt;/authors&gt;&lt;/contributors&gt;&lt;titles&gt;&lt;title&gt;Priority Medicines for Europe and the World 2004&lt;/title&gt;&lt;/titles&gt;&lt;dates&gt;&lt;year&gt;2004&lt;/year&gt;&lt;/dates&gt;&lt;pub-location&gt;http://apps.who.int/iris/bitstream/handle/10665/68769/WHO_EDM_PAR_2004.7.pdf?sequence=1&lt;/pub-location&gt;&lt;publisher&gt;World Health Organization&lt;/publisher&gt;&lt;urls&gt;&lt;/urls&gt;&lt;/record&gt;&lt;/Cite&gt;&lt;/EndNote&gt;</w:instrText>
      </w:r>
      <w:r>
        <w:rPr>
          <w:rFonts w:cs="Times New Roman"/>
          <w:lang w:val="en-GB"/>
        </w:rPr>
        <w:fldChar w:fldCharType="separate"/>
      </w:r>
      <w:r>
        <w:rPr>
          <w:rFonts w:cs="Times New Roman"/>
          <w:noProof/>
          <w:lang w:val="en-GB"/>
        </w:rPr>
        <w:t>(2013; 2004)</w:t>
      </w:r>
      <w:r>
        <w:rPr>
          <w:rFonts w:cs="Times New Roman"/>
          <w:lang w:val="en-GB"/>
        </w:rPr>
        <w:fldChar w:fldCharType="end"/>
      </w:r>
      <w:r>
        <w:rPr>
          <w:rFonts w:cs="Times New Roman"/>
          <w:lang w:val="en-GB"/>
        </w:rPr>
        <w:t xml:space="preserve"> </w:t>
      </w:r>
      <w:r w:rsidRPr="003D7AF5">
        <w:rPr>
          <w:rFonts w:cs="Times New Roman"/>
          <w:lang w:val="en-GB"/>
        </w:rPr>
        <w:t>proxy innovation looking at the efficacy of drugs reported in the Cochrane Database of</w:t>
      </w:r>
      <w:r w:rsidRPr="00190E1C">
        <w:rPr>
          <w:rFonts w:cs="Times New Roman"/>
          <w:lang w:val="en-GB"/>
        </w:rPr>
        <w:t xml:space="preserve"> Systematic Reviews. </w:t>
      </w:r>
      <w:r>
        <w:rPr>
          <w:rFonts w:cs="Times New Roman"/>
          <w:lang w:val="en-GB"/>
        </w:rPr>
        <w:t>T</w:t>
      </w:r>
      <w:r w:rsidRPr="00190E1C">
        <w:rPr>
          <w:rFonts w:cs="Times New Roman"/>
          <w:lang w:val="en-GB"/>
        </w:rPr>
        <w:t>heir data only captures drugs that have been reported in the literature</w:t>
      </w:r>
      <w:r>
        <w:rPr>
          <w:rFonts w:cs="Times New Roman"/>
          <w:lang w:val="en-GB"/>
        </w:rPr>
        <w:t>,</w:t>
      </w:r>
      <w:r w:rsidRPr="00190E1C">
        <w:rPr>
          <w:rFonts w:cs="Times New Roman"/>
          <w:lang w:val="en-GB"/>
        </w:rPr>
        <w:t xml:space="preserve"> </w:t>
      </w:r>
      <w:r>
        <w:rPr>
          <w:rFonts w:cs="Times New Roman"/>
          <w:lang w:val="en-GB"/>
        </w:rPr>
        <w:t>most likely</w:t>
      </w:r>
      <w:r w:rsidRPr="00190E1C">
        <w:rPr>
          <w:rFonts w:cs="Times New Roman"/>
          <w:lang w:val="en-GB"/>
        </w:rPr>
        <w:t xml:space="preserve"> in clinical trials studies</w:t>
      </w:r>
      <w:r>
        <w:rPr>
          <w:rFonts w:cs="Times New Roman"/>
          <w:lang w:val="en-GB"/>
        </w:rPr>
        <w:t>,</w:t>
      </w:r>
      <w:r w:rsidRPr="00190E1C">
        <w:rPr>
          <w:rFonts w:cs="Times New Roman"/>
          <w:lang w:val="en-GB"/>
        </w:rPr>
        <w:t xml:space="preserve"> </w:t>
      </w:r>
      <w:r w:rsidRPr="00190E1C">
        <w:rPr>
          <w:rFonts w:cs="Times New Roman"/>
          <w:lang w:val="en-GB"/>
        </w:rPr>
        <w:lastRenderedPageBreak/>
        <w:t>and therefore suffer from publication bias</w:t>
      </w:r>
      <w:r>
        <w:rPr>
          <w:rFonts w:cs="Times New Roman"/>
          <w:lang w:val="en-GB"/>
        </w:rPr>
        <w:t>. Published evidence</w:t>
      </w:r>
      <w:r w:rsidRPr="00190E1C">
        <w:rPr>
          <w:rFonts w:cs="Times New Roman"/>
          <w:lang w:val="en-GB"/>
        </w:rPr>
        <w:t xml:space="preserve"> do</w:t>
      </w:r>
      <w:r>
        <w:rPr>
          <w:rFonts w:cs="Times New Roman"/>
          <w:lang w:val="en-GB"/>
        </w:rPr>
        <w:t>es</w:t>
      </w:r>
      <w:r w:rsidRPr="00190E1C">
        <w:rPr>
          <w:rFonts w:cs="Times New Roman"/>
          <w:lang w:val="en-GB"/>
        </w:rPr>
        <w:t xml:space="preserve"> not </w:t>
      </w:r>
      <w:r>
        <w:rPr>
          <w:rFonts w:cs="Times New Roman"/>
          <w:lang w:val="en-GB"/>
        </w:rPr>
        <w:t>discriminate between</w:t>
      </w:r>
      <w:r w:rsidRPr="00190E1C">
        <w:rPr>
          <w:rFonts w:cs="Times New Roman"/>
          <w:lang w:val="en-GB"/>
        </w:rPr>
        <w:t xml:space="preserve"> innovation</w:t>
      </w:r>
      <w:r>
        <w:rPr>
          <w:rFonts w:cs="Times New Roman"/>
          <w:lang w:val="en-GB"/>
        </w:rPr>
        <w:t>s</w:t>
      </w:r>
      <w:r w:rsidRPr="00190E1C">
        <w:rPr>
          <w:rFonts w:cs="Times New Roman"/>
          <w:lang w:val="en-GB"/>
        </w:rPr>
        <w:t xml:space="preserve"> available in the market and those still on the R&amp;D pipeline that may potentially never reach the po</w:t>
      </w:r>
      <w:r w:rsidR="00BA03E0">
        <w:rPr>
          <w:rFonts w:cs="Times New Roman"/>
          <w:lang w:val="en-GB"/>
        </w:rPr>
        <w:t xml:space="preserve">pulation to address unmet need </w:t>
      </w:r>
      <w:r w:rsidRPr="00190E1C">
        <w:rPr>
          <w:rFonts w:cs="Times New Roman"/>
          <w:lang w:val="en-GB"/>
        </w:rPr>
        <w:t>and includes drugs that may no longer be used in clinical practice.</w:t>
      </w:r>
    </w:p>
    <w:p w14:paraId="05205EEA" w14:textId="77777777" w:rsidR="00D23802" w:rsidRPr="00190E1C" w:rsidRDefault="00D23802" w:rsidP="00D23802">
      <w:pPr>
        <w:spacing w:line="480" w:lineRule="auto"/>
        <w:jc w:val="both"/>
        <w:rPr>
          <w:rFonts w:cs="Times New Roman"/>
          <w:lang w:val="en-GB"/>
        </w:rPr>
      </w:pPr>
    </w:p>
    <w:p w14:paraId="45E5EBD5" w14:textId="39AF3347" w:rsidR="00D23802" w:rsidRPr="003D7AF5" w:rsidRDefault="00D23802" w:rsidP="00D23802">
      <w:pPr>
        <w:spacing w:line="480" w:lineRule="auto"/>
        <w:jc w:val="both"/>
        <w:rPr>
          <w:rFonts w:cs="Times New Roman"/>
          <w:lang w:val="en-GB"/>
        </w:rPr>
      </w:pPr>
      <w:r>
        <w:rPr>
          <w:rFonts w:cs="Times New Roman"/>
          <w:lang w:val="en-GB"/>
        </w:rPr>
        <w:t>The second limitation relates to the scope of the</w:t>
      </w:r>
      <w:r w:rsidRPr="003D7AF5">
        <w:rPr>
          <w:rFonts w:cs="Times New Roman"/>
          <w:lang w:val="en-GB"/>
        </w:rPr>
        <w:t xml:space="preserve"> studies that restrict their analysis to therapeutic indications or disease areas</w:t>
      </w:r>
      <w:r>
        <w:rPr>
          <w:rFonts w:cs="Times New Roman"/>
          <w:lang w:val="en-GB"/>
        </w:rPr>
        <w:t xml:space="preserve"> </w:t>
      </w:r>
      <w:r>
        <w:rPr>
          <w:rFonts w:cs="Times New Roman"/>
          <w:lang w:val="en-GB"/>
        </w:rPr>
        <w:fldChar w:fldCharType="begin"/>
      </w:r>
      <w:r w:rsidR="004B1BF5">
        <w:rPr>
          <w:rFonts w:cs="Times New Roman"/>
          <w:lang w:val="en-GB"/>
        </w:rPr>
        <w:instrText xml:space="preserve"> ADDIN EN.CITE &lt;EndNote&gt;&lt;Cite&gt;&lt;Author&gt;Lichtenberg&lt;/Author&gt;&lt;Year&gt;2005&lt;/Year&gt;&lt;RecNum&gt;52&lt;/RecNum&gt;&lt;DisplayText&gt;(Lichtenberg, 2005; Martino et al., 2012)&lt;/DisplayText&gt;&lt;record&gt;&lt;rec-number&gt;52&lt;/rec-number&gt;&lt;foreign-keys&gt;&lt;key app="EN" db-id="fete5e25iazx05es5p2vwse8vftw20pp9z9z" timestamp="0"&gt;52&lt;/key&gt;&lt;/foreign-keys&gt;&lt;ref-type name="Journal Article"&gt;17&lt;/ref-type&gt;&lt;contributors&gt;&lt;authors&gt;&lt;author&gt;Lichtenberg, Frank R.&lt;/author&gt;&lt;/authors&gt;&lt;/contributors&gt;&lt;titles&gt;&lt;title&gt;Pharmaceutical Innovation and the Burden of Disease in Developing and Developed Countries&lt;/title&gt;&lt;secondary-title&gt;The Journal of Medicine and Philosophy&lt;/secondary-title&gt;&lt;/titles&gt;&lt;pages&gt;663-690&lt;/pages&gt;&lt;volume&gt;30&lt;/volume&gt;&lt;number&gt;6&lt;/number&gt;&lt;dates&gt;&lt;year&gt;2005&lt;/year&gt;&lt;/dates&gt;&lt;isbn&gt;0360-5310&lt;/isbn&gt;&lt;urls&gt;&lt;related-urls&gt;&lt;url&gt;http://dx.doi.org/10.1080/03605310500421421&lt;/url&gt;&lt;/related-urls&gt;&lt;/urls&gt;&lt;electronic-resource-num&gt;10.1080/03605310500421421&lt;/electronic-resource-num&gt;&lt;/record&gt;&lt;/Cite&gt;&lt;Cite&gt;&lt;Author&gt;Martino&lt;/Author&gt;&lt;Year&gt;2012&lt;/Year&gt;&lt;RecNum&gt;54&lt;/RecNum&gt;&lt;record&gt;&lt;rec-number&gt;54&lt;/rec-number&gt;&lt;foreign-keys&gt;&lt;key app="EN" db-id="fete5e25iazx05es5p2vwse8vftw20pp9z9z" timestamp="0"&gt;54&lt;/key&gt;&lt;/foreign-keys&gt;&lt;ref-type name="Journal Article"&gt;17&lt;/ref-type&gt;&lt;contributors&gt;&lt;authors&gt;&lt;author&gt;Martino, Orsolina I&lt;/author&gt;&lt;author&gt;Ward, Derek J&lt;/author&gt;&lt;author&gt;Packer, Claire&lt;/author&gt;&lt;author&gt;Simpson, Sue&lt;/author&gt;&lt;author&gt;Stevens, Andrew&lt;/author&gt;&lt;/authors&gt;&lt;/contributors&gt;&lt;titles&gt;&lt;title&gt;Innovation and the burden of disease: retrospective observational study of new and emerging health technologies reported by the EuroScan network from 2000 to 2009&lt;/title&gt;&lt;secondary-title&gt;Value in Health&lt;/secondary-title&gt;&lt;/titles&gt;&lt;pages&gt;376-380&lt;/pages&gt;&lt;volume&gt;15&lt;/volume&gt;&lt;number&gt;2&lt;/number&gt;&lt;dates&gt;&lt;year&gt;2012&lt;/year&gt;&lt;/dates&gt;&lt;isbn&gt;1098-3015&lt;/isbn&gt;&lt;urls&gt;&lt;/urls&gt;&lt;/record&gt;&lt;/Cite&gt;&lt;/EndNote&gt;</w:instrText>
      </w:r>
      <w:r>
        <w:rPr>
          <w:rFonts w:cs="Times New Roman"/>
          <w:lang w:val="en-GB"/>
        </w:rPr>
        <w:fldChar w:fldCharType="separate"/>
      </w:r>
      <w:r>
        <w:rPr>
          <w:rFonts w:cs="Times New Roman"/>
          <w:noProof/>
          <w:lang w:val="en-GB"/>
        </w:rPr>
        <w:t>(Lichtenberg, 2005; Martino et al., 2012)</w:t>
      </w:r>
      <w:r>
        <w:rPr>
          <w:rFonts w:cs="Times New Roman"/>
          <w:lang w:val="en-GB"/>
        </w:rPr>
        <w:fldChar w:fldCharType="end"/>
      </w:r>
      <w:r w:rsidRPr="003D7AF5">
        <w:rPr>
          <w:rFonts w:cs="Times New Roman"/>
          <w:lang w:val="en-GB"/>
        </w:rPr>
        <w:t xml:space="preserve">; and/or groups of countries </w:t>
      </w:r>
      <w:r>
        <w:rPr>
          <w:rFonts w:cs="Times New Roman"/>
          <w:lang w:val="en-GB"/>
        </w:rPr>
        <w:fldChar w:fldCharType="begin">
          <w:fldData xml:space="preserve">PEVuZE5vdGU+PENpdGU+PEF1dGhvcj5DYXRhbMOhLUzDs3BlejwvQXV0aG9yPjxZZWFyPjIwMTA8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</w:fldData>
        </w:fldChar>
      </w:r>
      <w:r w:rsidR="004B1BF5">
        <w:rPr>
          <w:rFonts w:cs="Times New Roman"/>
          <w:lang w:val="en-GB"/>
        </w:rPr>
        <w:instrText xml:space="preserve"> ADDIN EN.CITE </w:instrText>
      </w:r>
      <w:r w:rsidR="004B1BF5">
        <w:rPr>
          <w:rFonts w:cs="Times New Roman"/>
          <w:lang w:val="en-GB"/>
        </w:rPr>
        <w:fldChar w:fldCharType="begin">
          <w:fldData xml:space="preserve">PEVuZE5vdGU+PENpdGU+PEF1dGhvcj5DYXRhbMOhLUzDs3BlejwvQXV0aG9yPjxZZWFyPjIwMTA8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</w:fldData>
        </w:fldChar>
      </w:r>
      <w:r w:rsidR="004B1BF5">
        <w:rPr>
          <w:rFonts w:cs="Times New Roman"/>
          <w:lang w:val="en-GB"/>
        </w:rPr>
        <w:instrText xml:space="preserve"> ADDIN EN.CITE.DATA </w:instrText>
      </w:r>
      <w:r w:rsidR="004B1BF5">
        <w:rPr>
          <w:rFonts w:cs="Times New Roman"/>
          <w:lang w:val="en-GB"/>
        </w:rPr>
      </w:r>
      <w:r w:rsidR="004B1BF5">
        <w:rPr>
          <w:rFonts w:cs="Times New Roman"/>
          <w:lang w:val="en-GB"/>
        </w:rPr>
        <w:fldChar w:fldCharType="end"/>
      </w:r>
      <w:r>
        <w:rPr>
          <w:rFonts w:cs="Times New Roman"/>
          <w:lang w:val="en-GB"/>
        </w:rPr>
      </w:r>
      <w:r>
        <w:rPr>
          <w:rFonts w:cs="Times New Roman"/>
          <w:lang w:val="en-GB"/>
        </w:rPr>
        <w:fldChar w:fldCharType="separate"/>
      </w:r>
      <w:r>
        <w:rPr>
          <w:rFonts w:cs="Times New Roman"/>
          <w:noProof/>
          <w:lang w:val="en-GB"/>
        </w:rPr>
        <w:t>(Catalá-López et al., 2010; Catalá-López et al., 2011; Kaplan et al., 2013; Kaplan &amp; Laing, 2004; Neumann et al., 2005)</w:t>
      </w:r>
      <w:r>
        <w:rPr>
          <w:rFonts w:cs="Times New Roman"/>
          <w:lang w:val="en-GB"/>
        </w:rPr>
        <w:fldChar w:fldCharType="end"/>
      </w:r>
      <w:r>
        <w:rPr>
          <w:rFonts w:cs="Times New Roman"/>
          <w:lang w:val="en-GB"/>
        </w:rPr>
        <w:t>. By focusing on the US and Europe these studies fail to capture disease burden associated with di</w:t>
      </w:r>
      <w:r w:rsidR="00BA03E0">
        <w:rPr>
          <w:rFonts w:cs="Times New Roman"/>
          <w:lang w:val="en-GB"/>
        </w:rPr>
        <w:t>seases affecting low and middle-</w:t>
      </w:r>
      <w:r>
        <w:rPr>
          <w:rFonts w:cs="Times New Roman"/>
          <w:lang w:val="en-GB"/>
        </w:rPr>
        <w:t xml:space="preserve">income countries </w:t>
      </w:r>
      <w:r w:rsidRPr="003D7AF5">
        <w:rPr>
          <w:rFonts w:cs="Times New Roman"/>
          <w:lang w:val="en-GB"/>
        </w:rPr>
        <w:t>and</w:t>
      </w:r>
      <w:r>
        <w:rPr>
          <w:rFonts w:cs="Times New Roman"/>
          <w:lang w:val="en-GB"/>
        </w:rPr>
        <w:t>,</w:t>
      </w:r>
      <w:r w:rsidRPr="003D7AF5">
        <w:rPr>
          <w:rFonts w:cs="Times New Roman"/>
          <w:lang w:val="en-GB"/>
        </w:rPr>
        <w:t xml:space="preserve"> therefore</w:t>
      </w:r>
      <w:r>
        <w:rPr>
          <w:rFonts w:cs="Times New Roman"/>
          <w:lang w:val="en-GB"/>
        </w:rPr>
        <w:t>,</w:t>
      </w:r>
      <w:r w:rsidRPr="003D7AF5">
        <w:rPr>
          <w:rFonts w:cs="Times New Roman"/>
          <w:lang w:val="en-GB"/>
        </w:rPr>
        <w:t xml:space="preserve"> present a narrow picture of </w:t>
      </w:r>
      <w:r>
        <w:rPr>
          <w:rFonts w:cs="Times New Roman"/>
          <w:lang w:val="en-GB"/>
        </w:rPr>
        <w:t xml:space="preserve">global </w:t>
      </w:r>
      <w:r w:rsidRPr="003D7AF5">
        <w:rPr>
          <w:rFonts w:cs="Times New Roman"/>
          <w:lang w:val="en-GB"/>
        </w:rPr>
        <w:t xml:space="preserve">inequalities. </w:t>
      </w:r>
    </w:p>
    <w:p w14:paraId="20952665" w14:textId="77777777" w:rsidR="00D23802" w:rsidRDefault="00D23802" w:rsidP="00D23802">
      <w:pPr>
        <w:spacing w:line="480" w:lineRule="auto"/>
        <w:jc w:val="both"/>
        <w:rPr>
          <w:rFonts w:cs="Times New Roman"/>
          <w:i/>
          <w:lang w:val="en-GB"/>
        </w:rPr>
      </w:pPr>
    </w:p>
    <w:p w14:paraId="14EEA645" w14:textId="7636FE2F" w:rsidR="00D23802" w:rsidRPr="003D7AF5" w:rsidRDefault="00D23802" w:rsidP="00D23802">
      <w:pPr>
        <w:spacing w:line="480" w:lineRule="auto"/>
        <w:jc w:val="both"/>
        <w:rPr>
          <w:rFonts w:cs="Times New Roman"/>
          <w:lang w:val="en-GB"/>
        </w:rPr>
      </w:pPr>
      <w:r>
        <w:rPr>
          <w:rFonts w:cs="Times New Roman"/>
          <w:lang w:val="en-GB"/>
        </w:rPr>
        <w:t>Third</w:t>
      </w:r>
      <w:r w:rsidR="00714C3B">
        <w:rPr>
          <w:rFonts w:cs="Times New Roman"/>
          <w:lang w:val="en-GB"/>
        </w:rPr>
        <w:t>ly</w:t>
      </w:r>
      <w:r w:rsidRPr="003D7AF5">
        <w:rPr>
          <w:rFonts w:cs="Times New Roman"/>
          <w:lang w:val="en-GB"/>
        </w:rPr>
        <w:t>,</w:t>
      </w:r>
      <w:r>
        <w:rPr>
          <w:rFonts w:cs="Times New Roman"/>
          <w:lang w:val="en-GB"/>
        </w:rPr>
        <w:t xml:space="preserve"> methodologically</w:t>
      </w:r>
      <w:r w:rsidRPr="003D7AF5">
        <w:rPr>
          <w:rFonts w:cs="Times New Roman"/>
          <w:lang w:val="en-GB"/>
        </w:rPr>
        <w:t xml:space="preserve"> the existing literature either uses a simple disease ranking exercise of mortality and disease burden, making no statistical association with the disease-specific measure of drug innovation </w:t>
      </w:r>
      <w:r>
        <w:rPr>
          <w:rFonts w:cs="Times New Roman"/>
          <w:lang w:val="en-GB"/>
        </w:rPr>
        <w:fldChar w:fldCharType="begin"/>
      </w:r>
      <w:r w:rsidR="004B1BF5">
        <w:rPr>
          <w:rFonts w:cs="Times New Roman"/>
          <w:lang w:val="en-GB"/>
        </w:rPr>
        <w:instrText xml:space="preserve"> ADDIN EN.CITE &lt;EndNote&gt;&lt;Cite&gt;&lt;Author&gt;Kaplan et al.&lt;/Author&gt;&lt;Year&gt;2013&lt;/Year&gt;&lt;RecNum&gt;55&lt;/RecNum&gt;&lt;DisplayText&gt;(Kaplan et al., 2013; Kaplan &amp;amp; Laing, 2004)&lt;/DisplayText&gt;&lt;record&gt;&lt;rec-number&gt;55&lt;/rec-number&gt;&lt;foreign-keys&gt;&lt;key app="EN" db-id="fete5e25iazx05es5p2vwse8vftw20pp9z9z" timestamp="0"&gt;55&lt;/key&gt;&lt;/foreign-keys&gt;&lt;ref-type name="Report"&gt;27&lt;/ref-type&gt;&lt;contributors&gt;&lt;authors&gt;&lt;author&gt;Kaplan et al.,&lt;/author&gt;&lt;/authors&gt;&lt;/contributors&gt;&lt;titles&gt;&lt;title&gt;Priority Medicines for Europe and the World 2013 Update&lt;/title&gt;&lt;/titles&gt;&lt;dates&gt;&lt;year&gt;2013&lt;/year&gt;&lt;/dates&gt;&lt;pub-location&gt;Geneva&lt;/pub-location&gt;&lt;publisher&gt;World Health Organization&lt;/publisher&gt;&lt;urls&gt;&lt;/urls&gt;&lt;/record&gt;&lt;/Cite&gt;&lt;Cite&gt;&lt;Author&gt;Kaplan&lt;/Author&gt;&lt;Year&gt;2004&lt;/Year&gt;&lt;RecNum&gt;56&lt;/RecNum&gt;&lt;record&gt;&lt;rec-number&gt;56&lt;/rec-number&gt;&lt;foreign-keys&gt;&lt;key app="EN" db-id="fete5e25iazx05es5p2vwse8vftw20pp9z9z" timestamp="0"&gt;56&lt;/key&gt;&lt;/foreign-keys&gt;&lt;ref-type name="Report"&gt;27&lt;/ref-type&gt;&lt;contributors&gt;&lt;authors&gt;&lt;author&gt;Warren Kaplan&lt;/author&gt;&lt;author&gt;Richard Laing&lt;/author&gt;&lt;/authors&gt;&lt;/contributors&gt;&lt;titles&gt;&lt;title&gt;Priority Medicines for Europe and the World 2004&lt;/title&gt;&lt;/titles&gt;&lt;dates&gt;&lt;year&gt;2004&lt;/year&gt;&lt;/dates&gt;&lt;pub-location&gt;http://apps.who.int/iris/bitstream/handle/10665/68769/WHO_EDM_PAR_2004.7.pdf?sequence=1&lt;/pub-location&gt;&lt;publisher&gt;World Health Organization&lt;/publisher&gt;&lt;urls&gt;&lt;/urls&gt;&lt;/record&gt;&lt;/Cite&gt;&lt;/EndNote&gt;</w:instrText>
      </w:r>
      <w:r>
        <w:rPr>
          <w:rFonts w:cs="Times New Roman"/>
          <w:lang w:val="en-GB"/>
        </w:rPr>
        <w:fldChar w:fldCharType="separate"/>
      </w:r>
      <w:r>
        <w:rPr>
          <w:rFonts w:cs="Times New Roman"/>
          <w:noProof/>
          <w:lang w:val="en-GB"/>
        </w:rPr>
        <w:t>(Kaplan et al., 2013; Kaplan &amp; Laing, 2004)</w:t>
      </w:r>
      <w:r>
        <w:rPr>
          <w:rFonts w:cs="Times New Roman"/>
          <w:lang w:val="en-GB"/>
        </w:rPr>
        <w:fldChar w:fldCharType="end"/>
      </w:r>
      <w:r w:rsidRPr="003D7AF5">
        <w:rPr>
          <w:rFonts w:cs="Times New Roman"/>
          <w:lang w:val="en-GB"/>
        </w:rPr>
        <w:t>; or perform</w:t>
      </w:r>
      <w:r>
        <w:rPr>
          <w:rFonts w:cs="Times New Roman"/>
          <w:lang w:val="en-GB"/>
        </w:rPr>
        <w:t>s</w:t>
      </w:r>
      <w:r w:rsidRPr="003D7AF5">
        <w:rPr>
          <w:rFonts w:cs="Times New Roman"/>
          <w:lang w:val="en-GB"/>
        </w:rPr>
        <w:t xml:space="preserve"> correlation analysis which assumes monotonicity </w:t>
      </w:r>
      <w:r w:rsidRPr="003D7AF5">
        <w:rPr>
          <w:rFonts w:cs="Times New Roman"/>
          <w:lang w:val="en-GB"/>
        </w:rPr>
        <w:fldChar w:fldCharType="begin">
          <w:fldData xml:space="preserve">PEVuZE5vdGU+PENpdGU+PEF1dGhvcj5NYXJ0aW5vPC9BdXRob3I+PFllYXI+MjAxMjwvWWVhcj48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</w:fldData>
        </w:fldChar>
      </w:r>
      <w:r w:rsidR="004B1BF5">
        <w:rPr>
          <w:rFonts w:cs="Times New Roman"/>
          <w:lang w:val="en-GB"/>
        </w:rPr>
        <w:instrText xml:space="preserve"> ADDIN EN.CITE </w:instrText>
      </w:r>
      <w:r w:rsidR="004B1BF5">
        <w:rPr>
          <w:rFonts w:cs="Times New Roman"/>
          <w:lang w:val="en-GB"/>
        </w:rPr>
        <w:fldChar w:fldCharType="begin">
          <w:fldData xml:space="preserve">PEVuZE5vdGU+PENpdGU+PEF1dGhvcj5NYXJ0aW5vPC9BdXRob3I+PFllYXI+MjAxMjwvWWVhcj48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</w:fldData>
        </w:fldChar>
      </w:r>
      <w:r w:rsidR="004B1BF5">
        <w:rPr>
          <w:rFonts w:cs="Times New Roman"/>
          <w:lang w:val="en-GB"/>
        </w:rPr>
        <w:instrText xml:space="preserve"> ADDIN EN.CITE.DATA </w:instrText>
      </w:r>
      <w:r w:rsidR="004B1BF5">
        <w:rPr>
          <w:rFonts w:cs="Times New Roman"/>
          <w:lang w:val="en-GB"/>
        </w:rPr>
      </w:r>
      <w:r w:rsidR="004B1BF5">
        <w:rPr>
          <w:rFonts w:cs="Times New Roman"/>
          <w:lang w:val="en-GB"/>
        </w:rPr>
        <w:fldChar w:fldCharType="end"/>
      </w:r>
      <w:r w:rsidRPr="003D7AF5">
        <w:rPr>
          <w:rFonts w:cs="Times New Roman"/>
          <w:lang w:val="en-GB"/>
        </w:rPr>
      </w:r>
      <w:r w:rsidRPr="003D7AF5">
        <w:rPr>
          <w:rFonts w:cs="Times New Roman"/>
          <w:lang w:val="en-GB"/>
        </w:rPr>
        <w:fldChar w:fldCharType="separate"/>
      </w:r>
      <w:r w:rsidRPr="003D7AF5">
        <w:rPr>
          <w:rFonts w:cs="Times New Roman"/>
          <w:noProof/>
          <w:lang w:val="en-GB"/>
        </w:rPr>
        <w:t>(Catalá-López et al., 2010; Catalá-López et al., 2011; Martino et al., 2012; Neumann et al., 2005)</w:t>
      </w:r>
      <w:r w:rsidRPr="003D7AF5">
        <w:rPr>
          <w:rFonts w:cs="Times New Roman"/>
          <w:lang w:val="en-GB"/>
        </w:rPr>
        <w:fldChar w:fldCharType="end"/>
      </w:r>
      <w:r w:rsidRPr="003D7AF5">
        <w:rPr>
          <w:rFonts w:cs="Times New Roman"/>
          <w:lang w:val="en-GB"/>
        </w:rPr>
        <w:t xml:space="preserve">. </w:t>
      </w:r>
      <w:r>
        <w:rPr>
          <w:rFonts w:cs="Times New Roman"/>
          <w:lang w:val="en-GB"/>
        </w:rPr>
        <w:t>Moreover</w:t>
      </w:r>
      <w:r w:rsidRPr="003D7AF5">
        <w:rPr>
          <w:rFonts w:cs="Times New Roman"/>
          <w:lang w:val="en-GB"/>
        </w:rPr>
        <w:t>,</w:t>
      </w:r>
      <w:r>
        <w:rPr>
          <w:rFonts w:cs="Times New Roman"/>
          <w:lang w:val="en-GB"/>
        </w:rPr>
        <w:t xml:space="preserve"> none of the studies</w:t>
      </w:r>
      <w:r w:rsidRPr="003D7AF5">
        <w:rPr>
          <w:rFonts w:cs="Times New Roman"/>
          <w:lang w:val="en-GB"/>
        </w:rPr>
        <w:t xml:space="preserve"> measures inequalities between and within diseases over time, in terms of health needs and in regards to the ability-to-pay of countries.</w:t>
      </w:r>
    </w:p>
    <w:p w14:paraId="226D53AD" w14:textId="77777777" w:rsidR="00D23802" w:rsidRPr="00190E1C" w:rsidRDefault="00D23802" w:rsidP="00D23802">
      <w:pPr>
        <w:spacing w:line="480" w:lineRule="auto"/>
        <w:jc w:val="both"/>
        <w:rPr>
          <w:rFonts w:cs="Times New Roman"/>
          <w:lang w:val="en-GB"/>
        </w:rPr>
      </w:pPr>
    </w:p>
    <w:p w14:paraId="572FC693" w14:textId="77777777" w:rsidR="00D23802" w:rsidRDefault="00D23802" w:rsidP="00D23802">
      <w:pPr>
        <w:spacing w:line="480" w:lineRule="auto"/>
        <w:jc w:val="both"/>
        <w:rPr>
          <w:rFonts w:cs="Times New Roman"/>
          <w:lang w:val="en-GB"/>
        </w:rPr>
      </w:pPr>
      <w:r w:rsidRPr="003D7AF5">
        <w:rPr>
          <w:rFonts w:cs="Times New Roman"/>
          <w:lang w:val="en-GB"/>
        </w:rPr>
        <w:t xml:space="preserve">Therefore, we add to this literature in four significant ways: i) we measure innovation by counting the global market launches in all countries, across all therapeutic indications and disease areas that can be targeted by NCEs and for a long time series between 1980 and 2011, ensuring a comprehensive scope of analysis and not imposing sample bias; ii) methodologically we also improve on the literature by using </w:t>
      </w:r>
      <w:r w:rsidRPr="00364EF3">
        <w:rPr>
          <w:rFonts w:cs="Times New Roman"/>
        </w:rPr>
        <w:t>concentration curves and concentration indices</w:t>
      </w:r>
      <w:r>
        <w:rPr>
          <w:rFonts w:cs="Times New Roman"/>
        </w:rPr>
        <w:t xml:space="preserve"> in </w:t>
      </w:r>
      <w:r>
        <w:rPr>
          <w:rFonts w:cs="Times New Roman"/>
        </w:rPr>
        <w:lastRenderedPageBreak/>
        <w:t xml:space="preserve">order to </w:t>
      </w:r>
      <w:r w:rsidRPr="00364EF3">
        <w:rPr>
          <w:rFonts w:cs="Times New Roman"/>
        </w:rPr>
        <w:t xml:space="preserve">measure the magnitude and statistical significance of the </w:t>
      </w:r>
      <w:r>
        <w:rPr>
          <w:rFonts w:cs="Times New Roman"/>
        </w:rPr>
        <w:t>mismatch between drug innovation and disease burden</w:t>
      </w:r>
      <w:r w:rsidRPr="003D7AF5">
        <w:rPr>
          <w:rFonts w:cs="Times New Roman"/>
          <w:lang w:val="en-GB"/>
        </w:rPr>
        <w:t>; iii) we measure inequalities across and within disease groups; and iv) we measure inequality both in terms of disease burden and ability-to-pay between 1990 and 2010.</w:t>
      </w:r>
    </w:p>
    <w:p w14:paraId="23BE8F50" w14:textId="77777777" w:rsidR="00D77DA9" w:rsidRPr="0088013C" w:rsidRDefault="00D77DA9" w:rsidP="00190E1C">
      <w:pPr>
        <w:spacing w:line="480" w:lineRule="auto"/>
        <w:jc w:val="both"/>
        <w:rPr>
          <w:lang w:val="en-GB"/>
        </w:rPr>
      </w:pPr>
    </w:p>
    <w:p w14:paraId="2F08AB2C" w14:textId="77777777" w:rsidR="00243EB5" w:rsidRPr="00364EF3" w:rsidRDefault="005F1E10" w:rsidP="009C7054">
      <w:pPr>
        <w:pStyle w:val="Heading1"/>
        <w:spacing w:line="480" w:lineRule="auto"/>
        <w:rPr>
          <w:rFonts w:eastAsia="MS Mincho" w:cs="Times New Roman"/>
          <w:szCs w:val="24"/>
        </w:rPr>
      </w:pPr>
      <w:r w:rsidRPr="00364EF3">
        <w:rPr>
          <w:rFonts w:eastAsia="MS Mincho" w:cs="Times New Roman"/>
          <w:szCs w:val="24"/>
        </w:rPr>
        <w:t>Metho</w:t>
      </w:r>
      <w:r w:rsidR="00243EB5" w:rsidRPr="00364EF3">
        <w:rPr>
          <w:rFonts w:eastAsia="MS Mincho" w:cs="Times New Roman"/>
          <w:szCs w:val="24"/>
        </w:rPr>
        <w:t>ds</w:t>
      </w:r>
    </w:p>
    <w:p w14:paraId="7A9B8E6C" w14:textId="488EBB91" w:rsidR="005F1E10" w:rsidRPr="00364EF3" w:rsidRDefault="005F1E10" w:rsidP="009C7054">
      <w:pPr>
        <w:spacing w:line="480" w:lineRule="auto"/>
        <w:jc w:val="both"/>
        <w:rPr>
          <w:rFonts w:eastAsia="MS Mincho" w:cs="Times New Roman"/>
        </w:rPr>
      </w:pPr>
      <w:r w:rsidRPr="00364EF3">
        <w:rPr>
          <w:rFonts w:eastAsia="MS Mincho" w:cs="Times New Roman"/>
        </w:rPr>
        <w:t xml:space="preserve">We perform </w:t>
      </w:r>
      <w:r w:rsidR="00B30F27" w:rsidRPr="00364EF3">
        <w:rPr>
          <w:rFonts w:eastAsia="MS Mincho" w:cs="Times New Roman"/>
        </w:rPr>
        <w:t>four</w:t>
      </w:r>
      <w:r w:rsidR="0060407E" w:rsidRPr="00364EF3">
        <w:rPr>
          <w:rFonts w:eastAsia="MS Mincho" w:cs="Times New Roman"/>
        </w:rPr>
        <w:t xml:space="preserve"> </w:t>
      </w:r>
      <w:r w:rsidRPr="00364EF3">
        <w:rPr>
          <w:rFonts w:eastAsia="MS Mincho" w:cs="Times New Roman"/>
        </w:rPr>
        <w:t xml:space="preserve">types of analysis. In the first we measure the </w:t>
      </w:r>
      <w:r w:rsidR="00E240E9">
        <w:rPr>
          <w:rFonts w:eastAsia="MS Mincho" w:cs="Times New Roman"/>
        </w:rPr>
        <w:t>correspondence between</w:t>
      </w:r>
      <w:r w:rsidRPr="00364EF3">
        <w:rPr>
          <w:rFonts w:eastAsia="MS Mincho" w:cs="Times New Roman"/>
        </w:rPr>
        <w:t xml:space="preserve"> drug innovation </w:t>
      </w:r>
      <w:r w:rsidR="00E240E9">
        <w:rPr>
          <w:rFonts w:eastAsia="MS Mincho" w:cs="Times New Roman"/>
        </w:rPr>
        <w:t>and</w:t>
      </w:r>
      <w:r w:rsidRPr="00364EF3">
        <w:rPr>
          <w:rFonts w:eastAsia="MS Mincho" w:cs="Times New Roman"/>
        </w:rPr>
        <w:t xml:space="preserve"> global </w:t>
      </w:r>
      <w:r w:rsidR="001F0770" w:rsidRPr="00364EF3">
        <w:rPr>
          <w:rFonts w:eastAsia="MS Mincho" w:cs="Times New Roman"/>
        </w:rPr>
        <w:t>disease burden</w:t>
      </w:r>
      <w:r w:rsidRPr="00364EF3">
        <w:rPr>
          <w:rFonts w:eastAsia="MS Mincho" w:cs="Times New Roman"/>
        </w:rPr>
        <w:t xml:space="preserve"> and global </w:t>
      </w:r>
      <w:r w:rsidR="00E83953" w:rsidRPr="00364EF3">
        <w:rPr>
          <w:rFonts w:eastAsia="MS Mincho" w:cs="Times New Roman"/>
        </w:rPr>
        <w:t>market size</w:t>
      </w:r>
      <w:r w:rsidR="0060407E" w:rsidRPr="00364EF3">
        <w:rPr>
          <w:rFonts w:eastAsia="MS Mincho" w:cs="Times New Roman"/>
        </w:rPr>
        <w:t xml:space="preserve"> </w:t>
      </w:r>
      <w:r w:rsidR="007870B8" w:rsidRPr="00364EF3">
        <w:rPr>
          <w:rFonts w:eastAsia="MS Mincho" w:cs="Times New Roman"/>
        </w:rPr>
        <w:t xml:space="preserve">across all diseases. In the second </w:t>
      </w:r>
      <w:r w:rsidR="00B30F27" w:rsidRPr="00364EF3">
        <w:rPr>
          <w:rFonts w:eastAsia="MS Mincho" w:cs="Times New Roman"/>
        </w:rPr>
        <w:t xml:space="preserve">we carry </w:t>
      </w:r>
      <w:r w:rsidR="00670BBC" w:rsidRPr="00364EF3">
        <w:rPr>
          <w:rFonts w:eastAsia="MS Mincho" w:cs="Times New Roman"/>
        </w:rPr>
        <w:t xml:space="preserve">out </w:t>
      </w:r>
      <w:r w:rsidR="00B30F27" w:rsidRPr="00364EF3">
        <w:rPr>
          <w:rFonts w:eastAsia="MS Mincho" w:cs="Times New Roman"/>
        </w:rPr>
        <w:t xml:space="preserve">separate analysis for </w:t>
      </w:r>
      <w:r w:rsidRPr="00364EF3">
        <w:rPr>
          <w:rFonts w:eastAsia="MS Mincho" w:cs="Times New Roman"/>
        </w:rPr>
        <w:t xml:space="preserve">the </w:t>
      </w:r>
      <w:r w:rsidR="00DC5D15" w:rsidRPr="00364EF3">
        <w:rPr>
          <w:rFonts w:eastAsia="MS Mincho" w:cs="Times New Roman"/>
        </w:rPr>
        <w:t xml:space="preserve">two </w:t>
      </w:r>
      <w:r w:rsidRPr="00364EF3">
        <w:rPr>
          <w:rFonts w:eastAsia="MS Mincho" w:cs="Times New Roman"/>
        </w:rPr>
        <w:t>broad</w:t>
      </w:r>
      <w:r w:rsidR="00DC5D15" w:rsidRPr="00364EF3">
        <w:rPr>
          <w:rFonts w:eastAsia="MS Mincho" w:cs="Times New Roman"/>
        </w:rPr>
        <w:t>est</w:t>
      </w:r>
      <w:r w:rsidRPr="00364EF3">
        <w:rPr>
          <w:rFonts w:eastAsia="MS Mincho" w:cs="Times New Roman"/>
        </w:rPr>
        <w:t xml:space="preserve"> disease groups as defined by the Global Burden of Disease (GBD) 2013, i.e. Communicable Diseases (CDs) and Non-communicable diseases (NCDs).  In the </w:t>
      </w:r>
      <w:r w:rsidR="0060407E" w:rsidRPr="00364EF3">
        <w:rPr>
          <w:rFonts w:eastAsia="MS Mincho" w:cs="Times New Roman"/>
        </w:rPr>
        <w:t xml:space="preserve">third </w:t>
      </w:r>
      <w:r w:rsidRPr="00364EF3">
        <w:rPr>
          <w:rFonts w:eastAsia="MS Mincho" w:cs="Times New Roman"/>
        </w:rPr>
        <w:t xml:space="preserve">we </w:t>
      </w:r>
      <w:r w:rsidR="008E6393" w:rsidRPr="00364EF3">
        <w:rPr>
          <w:rFonts w:eastAsia="MS Mincho" w:cs="Times New Roman"/>
        </w:rPr>
        <w:t>refine</w:t>
      </w:r>
      <w:r w:rsidR="001D3B76" w:rsidRPr="00364EF3">
        <w:rPr>
          <w:rFonts w:eastAsia="MS Mincho" w:cs="Times New Roman"/>
        </w:rPr>
        <w:t xml:space="preserve"> </w:t>
      </w:r>
      <w:r w:rsidR="00893F1B" w:rsidRPr="00364EF3">
        <w:rPr>
          <w:rFonts w:eastAsia="MS Mincho" w:cs="Times New Roman"/>
        </w:rPr>
        <w:t>the analysis by examining</w:t>
      </w:r>
      <w:r w:rsidRPr="00364EF3">
        <w:rPr>
          <w:rFonts w:eastAsia="MS Mincho" w:cs="Times New Roman"/>
        </w:rPr>
        <w:t xml:space="preserve"> disease subcategories</w:t>
      </w:r>
      <w:r w:rsidR="00730EAA">
        <w:rPr>
          <w:rStyle w:val="FootnoteReference"/>
          <w:rFonts w:eastAsia="MS Mincho" w:cs="Times New Roman"/>
        </w:rPr>
        <w:footnoteReference w:id="2"/>
      </w:r>
      <w:r w:rsidRPr="00364EF3">
        <w:rPr>
          <w:rFonts w:eastAsia="MS Mincho" w:cs="Times New Roman"/>
        </w:rPr>
        <w:t xml:space="preserve"> belonging to the broad groups of CDs and NCDs causing </w:t>
      </w:r>
      <w:r w:rsidR="00AB7B46" w:rsidRPr="00364EF3">
        <w:rPr>
          <w:rFonts w:eastAsia="MS Mincho" w:cs="Times New Roman"/>
        </w:rPr>
        <w:t xml:space="preserve">the </w:t>
      </w:r>
      <w:r w:rsidRPr="00364EF3">
        <w:rPr>
          <w:rFonts w:eastAsia="MS Mincho" w:cs="Times New Roman"/>
        </w:rPr>
        <w:t xml:space="preserve">highest disability in developed and developing countries (using the country classification used by Institute of Health Metrics and Evaluation (IHME) in </w:t>
      </w:r>
      <w:r w:rsidR="004F7405" w:rsidRPr="00364EF3">
        <w:rPr>
          <w:rFonts w:eastAsia="MS Mincho" w:cs="Times New Roman"/>
        </w:rPr>
        <w:t>the GBD study</w:t>
      </w:r>
      <w:r w:rsidR="00DC7E61">
        <w:rPr>
          <w:rFonts w:eastAsia="MS Mincho" w:cs="Times New Roman"/>
        </w:rPr>
        <w:t xml:space="preserve"> </w:t>
      </w:r>
      <w:r w:rsidR="006C68B2" w:rsidRPr="00364EF3">
        <w:rPr>
          <w:rFonts w:eastAsia="MS Mincho" w:cs="Times New Roman"/>
        </w:rPr>
        <w:fldChar w:fldCharType="begin"/>
      </w:r>
      <w:r w:rsidR="00AE05D0">
        <w:rPr>
          <w:rFonts w:eastAsia="MS Mincho"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006C68B2" w:rsidRPr="00364EF3">
        <w:rPr>
          <w:rFonts w:eastAsia="MS Mincho" w:cs="Times New Roman"/>
        </w:rPr>
        <w:fldChar w:fldCharType="separate"/>
      </w:r>
      <w:r w:rsidR="00897999" w:rsidRPr="00364EF3">
        <w:rPr>
          <w:rFonts w:eastAsia="MS Mincho" w:cs="Times New Roman"/>
          <w:noProof/>
        </w:rPr>
        <w:t>(Murray et al., 2013)</w:t>
      </w:r>
      <w:r w:rsidR="006C68B2" w:rsidRPr="00364EF3">
        <w:rPr>
          <w:rFonts w:eastAsia="MS Mincho" w:cs="Times New Roman"/>
        </w:rPr>
        <w:fldChar w:fldCharType="end"/>
      </w:r>
      <w:r w:rsidR="004F7405" w:rsidRPr="00364EF3">
        <w:rPr>
          <w:rFonts w:eastAsia="MS Mincho" w:cs="Times New Roman"/>
        </w:rPr>
        <w:t>).</w:t>
      </w:r>
    </w:p>
    <w:p w14:paraId="3CB3C477" w14:textId="5F345216" w:rsidR="005F1E10" w:rsidRPr="00364EF3" w:rsidRDefault="00B30F27" w:rsidP="009C7054">
      <w:pPr>
        <w:spacing w:line="480" w:lineRule="auto"/>
        <w:jc w:val="both"/>
        <w:rPr>
          <w:rFonts w:eastAsia="MS Mincho" w:cs="Times New Roman"/>
        </w:rPr>
      </w:pPr>
      <w:r w:rsidRPr="00364EF3">
        <w:rPr>
          <w:rFonts w:eastAsia="MS Mincho" w:cs="Times New Roman"/>
        </w:rPr>
        <w:t>Finally</w:t>
      </w:r>
      <w:r w:rsidR="005F1E10" w:rsidRPr="00364EF3">
        <w:rPr>
          <w:rFonts w:eastAsia="MS Mincho" w:cs="Times New Roman"/>
        </w:rPr>
        <w:t xml:space="preserve">, given its </w:t>
      </w:r>
      <w:r w:rsidR="00C30B93" w:rsidRPr="00364EF3">
        <w:rPr>
          <w:rFonts w:eastAsia="MS Mincho" w:cs="Times New Roman"/>
        </w:rPr>
        <w:t xml:space="preserve">global </w:t>
      </w:r>
      <w:r w:rsidR="005F1E10" w:rsidRPr="00364EF3">
        <w:rPr>
          <w:rFonts w:eastAsia="MS Mincho" w:cs="Times New Roman"/>
        </w:rPr>
        <w:t>public health relevance</w:t>
      </w:r>
      <w:r w:rsidR="00C30B93" w:rsidRPr="00364EF3">
        <w:rPr>
          <w:rFonts w:eastAsia="MS Mincho" w:cs="Times New Roman"/>
        </w:rPr>
        <w:t xml:space="preserve"> as shown by the GBD study</w:t>
      </w:r>
      <w:r w:rsidR="00DC7E61">
        <w:rPr>
          <w:rFonts w:eastAsia="MS Mincho" w:cs="Times New Roman"/>
        </w:rPr>
        <w:t xml:space="preserve"> </w:t>
      </w:r>
      <w:r w:rsidR="00C30B93" w:rsidRPr="00364EF3">
        <w:rPr>
          <w:rFonts w:cs="Times New Roman"/>
        </w:rPr>
        <w:fldChar w:fldCharType="begin"/>
      </w:r>
      <w:r w:rsidR="00AE05D0">
        <w:rPr>
          <w:rFonts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00C30B93" w:rsidRPr="00364EF3">
        <w:rPr>
          <w:rFonts w:cs="Times New Roman"/>
        </w:rPr>
        <w:fldChar w:fldCharType="separate"/>
      </w:r>
      <w:r w:rsidR="00897999" w:rsidRPr="00364EF3">
        <w:rPr>
          <w:rFonts w:cs="Times New Roman"/>
          <w:noProof/>
        </w:rPr>
        <w:t>(Murray et al., 2013)</w:t>
      </w:r>
      <w:r w:rsidR="00C30B93" w:rsidRPr="00364EF3">
        <w:rPr>
          <w:rFonts w:cs="Times New Roman"/>
        </w:rPr>
        <w:fldChar w:fldCharType="end"/>
      </w:r>
      <w:r w:rsidR="005F1E10" w:rsidRPr="00364EF3">
        <w:rPr>
          <w:rFonts w:eastAsia="MS Mincho" w:cs="Times New Roman"/>
        </w:rPr>
        <w:t xml:space="preserve">, we also present the case of </w:t>
      </w:r>
      <w:r w:rsidR="00DD274B" w:rsidRPr="00364EF3">
        <w:rPr>
          <w:rFonts w:eastAsia="MS Mincho" w:cs="Times New Roman"/>
        </w:rPr>
        <w:t>m</w:t>
      </w:r>
      <w:r w:rsidR="008A6E87" w:rsidRPr="00364EF3">
        <w:rPr>
          <w:rFonts w:eastAsia="MS Mincho" w:cs="Times New Roman"/>
        </w:rPr>
        <w:t xml:space="preserve">alaria and the </w:t>
      </w:r>
      <w:r w:rsidR="005F1E10" w:rsidRPr="00364EF3">
        <w:rPr>
          <w:rFonts w:eastAsia="MS Mincho" w:cs="Times New Roman"/>
        </w:rPr>
        <w:t>neglected tropical diseases (NTDs)</w:t>
      </w:r>
      <w:r w:rsidR="0092022E" w:rsidRPr="00364EF3">
        <w:rPr>
          <w:rFonts w:eastAsia="MS Mincho" w:cs="Times New Roman"/>
        </w:rPr>
        <w:t xml:space="preserve"> </w:t>
      </w:r>
      <w:r w:rsidR="005F1E10" w:rsidRPr="00364EF3">
        <w:rPr>
          <w:rFonts w:eastAsia="MS Mincho" w:cs="Times New Roman"/>
        </w:rPr>
        <w:t>as defined by the Centre for Disease Control and Prevention (CDC)</w:t>
      </w:r>
      <w:r w:rsidR="00DC7E61">
        <w:rPr>
          <w:rFonts w:eastAsia="MS Mincho" w:cs="Times New Roman"/>
        </w:rPr>
        <w:t xml:space="preserve"> </w:t>
      </w:r>
      <w:r w:rsidR="005F1E10" w:rsidRPr="00364EF3">
        <w:rPr>
          <w:rFonts w:eastAsia="MS Mincho" w:cs="Times New Roman"/>
        </w:rPr>
        <w:fldChar w:fldCharType="begin"/>
      </w:r>
      <w:r w:rsidR="00897999" w:rsidRPr="00364EF3">
        <w:rPr>
          <w:rFonts w:eastAsia="MS Mincho" w:cs="Times New Roman"/>
        </w:rPr>
        <w:instrText xml:space="preserve"> ADDIN EN.CITE &lt;EndNote&gt;&lt;Cite&gt;&lt;Author&gt;Prevention&lt;/Author&gt;&lt;Year&gt;2011&lt;/Year&gt;&lt;RecNum&gt;31&lt;/RecNum&gt;&lt;DisplayText&gt;(Centre for Diseases Control and Prevention, 2011)&lt;/DisplayText&gt;&lt;record&gt;&lt;rec-number&gt;31&lt;/rec-number&gt;&lt;foreign-keys&gt;&lt;key app="EN" db-id="tv2fspxf809vs5efaz7xrz91atd02zw9ss22" timestamp="0"&gt;31&lt;/key&gt;&lt;/foreign-keys&gt;&lt;ref-type name="Web Page"&gt;12&lt;/ref-type&gt;&lt;contributors&gt;&lt;authors&gt;&lt;author&gt;Centre for Diseases Control and Prevention,&lt;/author&gt;&lt;/authors&gt;&lt;/contributors&gt;&lt;titles&gt;&lt;title&gt;Neglected Tropical Diseases&lt;/title&gt;&lt;/titles&gt;&lt;dates&gt;&lt;year&gt;2011&lt;/year&gt;&lt;/dates&gt;&lt;pub-location&gt;Atlanta&lt;/pub-location&gt;&lt;urls&gt;&lt;related-urls&gt;&lt;url&gt;http://www.cdc.gov/globalhealth/ntd/diseases/index.html&lt;/url&gt;&lt;/related-urls&gt;&lt;/urls&gt;&lt;/record&gt;&lt;/Cite&gt;&lt;/EndNote&gt;</w:instrText>
      </w:r>
      <w:r w:rsidR="005F1E10" w:rsidRPr="00364EF3">
        <w:rPr>
          <w:rFonts w:eastAsia="MS Mincho" w:cs="Times New Roman"/>
        </w:rPr>
        <w:fldChar w:fldCharType="separate"/>
      </w:r>
      <w:r w:rsidR="00897999" w:rsidRPr="00364EF3">
        <w:rPr>
          <w:rFonts w:eastAsia="MS Mincho" w:cs="Times New Roman"/>
          <w:noProof/>
        </w:rPr>
        <w:t>(Centre for Diseases Control and Prevention, 2011)</w:t>
      </w:r>
      <w:r w:rsidR="005F1E10" w:rsidRPr="00364EF3">
        <w:rPr>
          <w:rFonts w:eastAsia="MS Mincho" w:cs="Times New Roman"/>
        </w:rPr>
        <w:fldChar w:fldCharType="end"/>
      </w:r>
      <w:r w:rsidR="005F1E10" w:rsidRPr="00364EF3">
        <w:rPr>
          <w:rFonts w:eastAsia="MS Mincho" w:cs="Times New Roman"/>
        </w:rPr>
        <w:t xml:space="preserve"> and WHO</w:t>
      </w:r>
      <w:r w:rsidR="00DC7E61">
        <w:rPr>
          <w:rFonts w:eastAsia="MS Mincho" w:cs="Times New Roman"/>
        </w:rPr>
        <w:t xml:space="preserve"> </w:t>
      </w:r>
      <w:r w:rsidR="005F1E10" w:rsidRPr="00364EF3">
        <w:rPr>
          <w:rFonts w:eastAsia="MS Mincho" w:cs="Times New Roman"/>
        </w:rPr>
        <w:fldChar w:fldCharType="begin"/>
      </w:r>
      <w:r w:rsidR="0050612A">
        <w:rPr>
          <w:rFonts w:eastAsia="MS Mincho" w:cs="Times New Roman"/>
        </w:rPr>
        <w:instrText xml:space="preserve"> ADDIN EN.CITE &lt;EndNote&gt;&lt;Cite&gt;&lt;Author&gt;WHO&lt;/Author&gt;&lt;Year&gt;2015&lt;/Year&gt;&lt;RecNum&gt;32&lt;/RecNum&gt;&lt;DisplayText&gt;(WHO, 2015)&lt;/DisplayText&gt;&lt;record&gt;&lt;rec-number&gt;32&lt;/rec-number&gt;&lt;foreign-keys&gt;&lt;key app="EN" db-id="tv2fspxf809vs5efaz7xrz91atd02zw9ss22" timestamp="0"&gt;32&lt;/key&gt;&lt;/foreign-keys&gt;&lt;ref-type name="Web Page"&gt;12&lt;/ref-type&gt;&lt;contributors&gt;&lt;authors&gt;&lt;author&gt;WHO&lt;/author&gt;&lt;/authors&gt;&lt;/contributors&gt;&lt;titles&gt;&lt;title&gt;Neglected Tropical Diseases&lt;/title&gt;&lt;/titles&gt;&lt;dates&gt;&lt;year&gt;2015&lt;/year&gt;&lt;/dates&gt;&lt;urls&gt;&lt;related-urls&gt;&lt;url&gt;http://www.who.int/neglected_diseases/diseases/en/&lt;/url&gt;&lt;/related-urls&gt;&lt;/urls&gt;&lt;/record&gt;&lt;/Cite&gt;&lt;/EndNote&gt;</w:instrText>
      </w:r>
      <w:r w:rsidR="005F1E10" w:rsidRPr="00364EF3">
        <w:rPr>
          <w:rFonts w:eastAsia="MS Mincho" w:cs="Times New Roman"/>
        </w:rPr>
        <w:fldChar w:fldCharType="separate"/>
      </w:r>
      <w:r w:rsidR="00897999" w:rsidRPr="00364EF3">
        <w:rPr>
          <w:rFonts w:eastAsia="MS Mincho" w:cs="Times New Roman"/>
          <w:noProof/>
        </w:rPr>
        <w:t>(WHO, 2015)</w:t>
      </w:r>
      <w:r w:rsidR="005F1E10" w:rsidRPr="00364EF3">
        <w:rPr>
          <w:rFonts w:eastAsia="MS Mincho" w:cs="Times New Roman"/>
        </w:rPr>
        <w:fldChar w:fldCharType="end"/>
      </w:r>
      <w:r w:rsidR="005F1E10" w:rsidRPr="00364EF3">
        <w:rPr>
          <w:rFonts w:eastAsia="MS Mincho" w:cs="Times New Roman"/>
        </w:rPr>
        <w:t xml:space="preserve"> (</w:t>
      </w:r>
      <w:r w:rsidR="00DC7E61">
        <w:rPr>
          <w:rFonts w:eastAsia="MS Mincho" w:cs="Times New Roman"/>
        </w:rPr>
        <w:t>Table II</w:t>
      </w:r>
      <w:r w:rsidR="005F1E10" w:rsidRPr="00364EF3">
        <w:rPr>
          <w:rFonts w:eastAsia="MS Mincho" w:cs="Times New Roman"/>
        </w:rPr>
        <w:t>).</w:t>
      </w:r>
    </w:p>
    <w:p w14:paraId="5784CD30" w14:textId="5840954F" w:rsidR="005F1E10" w:rsidRPr="00364EF3" w:rsidRDefault="005F1E10" w:rsidP="009C7054">
      <w:pPr>
        <w:spacing w:line="480" w:lineRule="auto"/>
        <w:jc w:val="center"/>
        <w:rPr>
          <w:rFonts w:eastAsia="MS Mincho" w:cs="Times New Roman"/>
        </w:rPr>
      </w:pPr>
      <w:r w:rsidRPr="00364EF3">
        <w:rPr>
          <w:rFonts w:eastAsia="MS Mincho" w:cs="Times New Roman"/>
        </w:rPr>
        <w:t>[</w:t>
      </w:r>
      <w:r w:rsidR="00DC7E61">
        <w:rPr>
          <w:rFonts w:eastAsia="MS Mincho" w:cs="Times New Roman"/>
        </w:rPr>
        <w:t xml:space="preserve">Table II </w:t>
      </w:r>
      <w:r w:rsidRPr="00364EF3">
        <w:rPr>
          <w:rFonts w:eastAsia="MS Mincho" w:cs="Times New Roman"/>
        </w:rPr>
        <w:t>in here]</w:t>
      </w:r>
    </w:p>
    <w:p w14:paraId="1CC0A0FA" w14:textId="7001C916" w:rsidR="005F1E10" w:rsidRPr="00364EF3" w:rsidRDefault="00B30F27" w:rsidP="009C7054">
      <w:pPr>
        <w:spacing w:line="480" w:lineRule="auto"/>
        <w:jc w:val="both"/>
        <w:rPr>
          <w:rFonts w:eastAsia="MS Mincho" w:cs="Times New Roman"/>
        </w:rPr>
      </w:pPr>
      <w:r w:rsidRPr="00364EF3">
        <w:rPr>
          <w:rFonts w:eastAsia="MS Mincho" w:cs="Times New Roman"/>
        </w:rPr>
        <w:t>These analys</w:t>
      </w:r>
      <w:r w:rsidR="00C25FEF">
        <w:rPr>
          <w:rFonts w:eastAsia="MS Mincho" w:cs="Times New Roman"/>
        </w:rPr>
        <w:t>e</w:t>
      </w:r>
      <w:r w:rsidRPr="00364EF3">
        <w:rPr>
          <w:rFonts w:eastAsia="MS Mincho" w:cs="Times New Roman"/>
        </w:rPr>
        <w:t>s are performed for the</w:t>
      </w:r>
      <w:r w:rsidR="0092022E" w:rsidRPr="00364EF3">
        <w:rPr>
          <w:rFonts w:eastAsia="MS Mincho" w:cs="Times New Roman"/>
        </w:rPr>
        <w:t xml:space="preserve"> </w:t>
      </w:r>
      <w:r w:rsidR="00E9369E" w:rsidRPr="00364EF3">
        <w:rPr>
          <w:rFonts w:eastAsia="MS Mincho" w:cs="Times New Roman"/>
        </w:rPr>
        <w:t>year</w:t>
      </w:r>
      <w:r w:rsidR="0092022E" w:rsidRPr="00364EF3">
        <w:rPr>
          <w:rFonts w:eastAsia="MS Mincho" w:cs="Times New Roman"/>
        </w:rPr>
        <w:t>s</w:t>
      </w:r>
      <w:r w:rsidR="005F1E10" w:rsidRPr="00364EF3">
        <w:rPr>
          <w:rFonts w:eastAsia="MS Mincho" w:cs="Times New Roman"/>
        </w:rPr>
        <w:t xml:space="preserve"> 1990 and 2010. </w:t>
      </w:r>
    </w:p>
    <w:p w14:paraId="24EC57EF" w14:textId="77777777" w:rsidR="005F1E10" w:rsidRPr="00364EF3" w:rsidRDefault="005F1E10" w:rsidP="009C7054">
      <w:pPr>
        <w:spacing w:line="480" w:lineRule="auto"/>
        <w:jc w:val="both"/>
        <w:rPr>
          <w:rFonts w:cs="Times New Roman"/>
          <w:i/>
        </w:rPr>
        <w:sectPr w:rsidR="005F1E10" w:rsidRPr="00364EF3" w:rsidSect="008A4E04">
          <w:headerReference w:type="default" r:id="rId8"/>
          <w:footerReference w:type="even" r:id="rId9"/>
          <w:footerReference w:type="default" r:id="rId10"/>
          <w:footnotePr>
            <w:numFmt w:val="lowerLetter"/>
          </w:footnotePr>
          <w:type w:val="continuous"/>
          <w:pgSz w:w="11900" w:h="16840"/>
          <w:pgMar w:top="1440" w:right="1440" w:bottom="1440" w:left="1440" w:header="708" w:footer="708" w:gutter="0"/>
          <w:lnNumType w:countBy="1" w:restart="continuous"/>
          <w:cols w:space="708"/>
        </w:sectPr>
      </w:pPr>
    </w:p>
    <w:p w14:paraId="19F63FBF" w14:textId="77777777" w:rsidR="005F1E10" w:rsidRPr="00364EF3" w:rsidRDefault="005F1E10" w:rsidP="009C7054">
      <w:pPr>
        <w:spacing w:line="480" w:lineRule="auto"/>
        <w:jc w:val="both"/>
        <w:rPr>
          <w:rFonts w:cs="Times New Roman"/>
          <w:i/>
        </w:rPr>
      </w:pPr>
    </w:p>
    <w:p w14:paraId="16F846A6" w14:textId="77777777" w:rsidR="005F1E10" w:rsidRPr="00364EF3" w:rsidRDefault="00BD2FC7" w:rsidP="009C7054">
      <w:pPr>
        <w:spacing w:line="480" w:lineRule="auto"/>
        <w:jc w:val="both"/>
        <w:rPr>
          <w:rFonts w:cs="Times New Roman"/>
          <w:b/>
        </w:rPr>
      </w:pPr>
      <w:r w:rsidRPr="00364EF3">
        <w:rPr>
          <w:rFonts w:cs="Times New Roman"/>
          <w:b/>
        </w:rPr>
        <w:lastRenderedPageBreak/>
        <w:t>Concentration curves and concentration indices</w:t>
      </w:r>
    </w:p>
    <w:p w14:paraId="4DBB13FD" w14:textId="56BD3D27" w:rsidR="00FF13A3" w:rsidRPr="00364EF3" w:rsidRDefault="005F1E10" w:rsidP="009C7054">
      <w:pPr>
        <w:spacing w:line="480" w:lineRule="auto"/>
        <w:jc w:val="both"/>
        <w:rPr>
          <w:rFonts w:cs="Times New Roman"/>
        </w:rPr>
      </w:pPr>
      <w:r w:rsidRPr="00364EF3">
        <w:rPr>
          <w:rFonts w:cs="Times New Roman"/>
        </w:rPr>
        <w:t xml:space="preserve">We </w:t>
      </w:r>
      <w:r w:rsidR="00FD048F" w:rsidRPr="00364EF3">
        <w:rPr>
          <w:rFonts w:cs="Times New Roman"/>
        </w:rPr>
        <w:t xml:space="preserve">use </w:t>
      </w:r>
      <w:r w:rsidR="00B5311E" w:rsidRPr="00364EF3">
        <w:rPr>
          <w:rFonts w:cs="Times New Roman"/>
        </w:rPr>
        <w:t>concentration curves and concentration indices</w:t>
      </w:r>
      <w:r w:rsidR="00DC7E61">
        <w:rPr>
          <w:rFonts w:cs="Times New Roman"/>
        </w:rPr>
        <w:t xml:space="preserve"> </w:t>
      </w:r>
      <w:r w:rsidRPr="00364EF3">
        <w:rPr>
          <w:rFonts w:cs="Times New Roman"/>
        </w:rPr>
        <w:fldChar w:fldCharType="begin"/>
      </w:r>
      <w:r w:rsidR="004B1BF5">
        <w:rPr>
          <w:rFonts w:cs="Times New Roman"/>
        </w:rPr>
        <w:instrText xml:space="preserve"> ADDIN EN.CITE &lt;EndNote&gt;&lt;Cite&gt;&lt;Author&gt;Erreygers&lt;/Author&gt;&lt;Year&gt;2011&lt;/Year&gt;&lt;RecNum&gt;68&lt;/RecNum&gt;&lt;DisplayText&gt;(Erreygers &amp;amp; Van Ourti, 2011)&lt;/DisplayText&gt;&lt;record&gt;&lt;rec-number&gt;68&lt;/rec-number&gt;&lt;foreign-keys&gt;&lt;key app="EN" db-id="fete5e25iazx05es5p2vwse8vftw20pp9z9z" timestamp="0"&gt;68&lt;/key&gt;&lt;/foreign-keys&gt;&lt;ref-type name="Journal Article"&gt;17&lt;/ref-type&gt;&lt;contributors&gt;&lt;authors&gt;&lt;author&gt;Erreygers, Guido&lt;/author&gt;&lt;author&gt;Van Ourti, Tom&lt;/author&gt;&lt;/authors&gt;&lt;/contributors&gt;&lt;titles&gt;&lt;title&gt;Measuring socioeconomic inequality in health, health care and health financing by means of rank-dependent indices: a recipe for good practice&lt;/title&gt;&lt;secondary-title&gt;Journal of Health Economics&lt;/secondary-title&gt;&lt;/titles&gt;&lt;pages&gt;685-694&lt;/pages&gt;&lt;volume&gt;30&lt;/volume&gt;&lt;number&gt;4&lt;/number&gt;&lt;dates&gt;&lt;year&gt;2011&lt;/year&gt;&lt;/dates&gt;&lt;isbn&gt;0167-6296&lt;/isbn&gt;&lt;urls&gt;&lt;/urls&gt;&lt;/record&gt;&lt;/Cite&gt;&lt;Cite&gt;&lt;Author&gt;Erreygers&lt;/Author&gt;&lt;Year&gt;2011&lt;/Year&gt;&lt;RecNum&gt;68&lt;/RecNum&gt;&lt;record&gt;&lt;rec-number&gt;68&lt;/rec-number&gt;&lt;foreign-keys&gt;&lt;key app="EN" db-id="fete5e25iazx05es5p2vwse8vftw20pp9z9z" timestamp="0"&gt;68&lt;/key&gt;&lt;/foreign-keys&gt;&lt;ref-type name="Journal Article"&gt;17&lt;/ref-type&gt;&lt;contributors&gt;&lt;authors&gt;&lt;author&gt;Erreygers, Guido&lt;/author&gt;&lt;author&gt;Van Ourti, Tom&lt;/author&gt;&lt;/authors&gt;&lt;/contributors&gt;&lt;titles&gt;&lt;title&gt;Measuring socioeconomic inequality in health, health care and health financing by means of rank-dependent indices: a recipe for good practice&lt;/title&gt;&lt;secondary-title&gt;Journal of Health Economics&lt;/secondary-title&gt;&lt;/titles&gt;&lt;pages&gt;685-694&lt;/pages&gt;&lt;volume&gt;30&lt;/volume&gt;&lt;number&gt;4&lt;/number&gt;&lt;dates&gt;&lt;year&gt;2011&lt;/year&gt;&lt;/dates&gt;&lt;isbn&gt;0167-6296&lt;/isbn&gt;&lt;urls&gt;&lt;/urls&gt;&lt;/record&gt;&lt;/Cite&gt;&lt;/EndNote&gt;</w:instrText>
      </w:r>
      <w:r w:rsidRPr="00364EF3">
        <w:rPr>
          <w:rFonts w:cs="Times New Roman"/>
        </w:rPr>
        <w:fldChar w:fldCharType="separate"/>
      </w:r>
      <w:r w:rsidR="00DC7E61">
        <w:rPr>
          <w:rFonts w:cs="Times New Roman"/>
          <w:noProof/>
        </w:rPr>
        <w:t>(Erreygers &amp; Van Ourti, 2011)</w:t>
      </w:r>
      <w:r w:rsidRPr="00364EF3">
        <w:rPr>
          <w:rFonts w:cs="Times New Roman"/>
        </w:rPr>
        <w:fldChar w:fldCharType="end"/>
      </w:r>
      <w:r w:rsidR="003F4027" w:rsidRPr="00364EF3">
        <w:rPr>
          <w:rFonts w:cs="Times New Roman"/>
        </w:rPr>
        <w:t xml:space="preserve"> </w:t>
      </w:r>
      <w:r w:rsidR="008A2352" w:rsidRPr="00364EF3">
        <w:rPr>
          <w:rFonts w:cs="Times New Roman"/>
        </w:rPr>
        <w:t>using data from</w:t>
      </w:r>
      <w:r w:rsidR="003F4027" w:rsidRPr="00364EF3">
        <w:rPr>
          <w:rFonts w:cs="Times New Roman"/>
        </w:rPr>
        <w:t xml:space="preserve"> pharmaceutical innovation</w:t>
      </w:r>
      <w:r w:rsidRPr="00364EF3">
        <w:rPr>
          <w:rFonts w:cs="Times New Roman"/>
        </w:rPr>
        <w:t>.</w:t>
      </w:r>
      <w:r w:rsidR="00DF7C18" w:rsidRPr="00364EF3">
        <w:rPr>
          <w:rFonts w:cs="Times New Roman"/>
        </w:rPr>
        <w:t xml:space="preserve"> </w:t>
      </w:r>
      <w:r w:rsidR="00B47EA1" w:rsidRPr="00364EF3">
        <w:rPr>
          <w:rFonts w:cs="Times New Roman"/>
        </w:rPr>
        <w:t xml:space="preserve">Concentration curves </w:t>
      </w:r>
      <w:r w:rsidR="008A2352" w:rsidRPr="00364EF3">
        <w:rPr>
          <w:rFonts w:cs="Times New Roman"/>
        </w:rPr>
        <w:t>allow assessing</w:t>
      </w:r>
      <w:r w:rsidR="00B47EA1" w:rsidRPr="00364EF3">
        <w:rPr>
          <w:rFonts w:cs="Times New Roman"/>
        </w:rPr>
        <w:t xml:space="preserve"> the degree of drug innovation </w:t>
      </w:r>
      <w:r w:rsidR="00C225E6" w:rsidRPr="00364EF3">
        <w:rPr>
          <w:rFonts w:cs="Times New Roman"/>
        </w:rPr>
        <w:t xml:space="preserve">inequality </w:t>
      </w:r>
      <w:r w:rsidR="008E0379" w:rsidRPr="00364EF3">
        <w:rPr>
          <w:rFonts w:cs="Times New Roman"/>
        </w:rPr>
        <w:t xml:space="preserve">by </w:t>
      </w:r>
      <w:r w:rsidR="00B47EA1" w:rsidRPr="00364EF3">
        <w:rPr>
          <w:rFonts w:cs="Times New Roman"/>
        </w:rPr>
        <w:t>plot</w:t>
      </w:r>
      <w:r w:rsidR="008E0379" w:rsidRPr="00364EF3">
        <w:rPr>
          <w:rFonts w:cs="Times New Roman"/>
        </w:rPr>
        <w:t>ting</w:t>
      </w:r>
      <w:r w:rsidR="00B47EA1" w:rsidRPr="00364EF3">
        <w:rPr>
          <w:rFonts w:cs="Times New Roman"/>
        </w:rPr>
        <w:t xml:space="preserve"> the cumulative percentage of drug innovation </w:t>
      </w:r>
      <w:r w:rsidR="00D52419">
        <w:rPr>
          <w:rFonts w:cs="Times New Roman"/>
        </w:rPr>
        <w:t xml:space="preserve">per disease </w:t>
      </w:r>
      <w:r w:rsidR="00B47EA1" w:rsidRPr="00364EF3">
        <w:rPr>
          <w:rFonts w:cs="Times New Roman"/>
        </w:rPr>
        <w:t xml:space="preserve">against the cumulative percentage of </w:t>
      </w:r>
      <w:r w:rsidR="007825CE" w:rsidRPr="00364EF3">
        <w:rPr>
          <w:rFonts w:cs="Times New Roman"/>
        </w:rPr>
        <w:t>disease</w:t>
      </w:r>
      <w:r w:rsidR="00C3753E">
        <w:rPr>
          <w:rFonts w:cs="Times New Roman"/>
        </w:rPr>
        <w:t>s</w:t>
      </w:r>
      <w:r w:rsidR="00B47EA1" w:rsidRPr="00364EF3">
        <w:rPr>
          <w:rFonts w:cs="Times New Roman"/>
        </w:rPr>
        <w:t xml:space="preserve">, ranked </w:t>
      </w:r>
      <w:r w:rsidR="00D52419">
        <w:rPr>
          <w:rFonts w:cs="Times New Roman"/>
        </w:rPr>
        <w:t xml:space="preserve">by disease burden </w:t>
      </w:r>
      <w:r w:rsidR="007825CE" w:rsidRPr="00364EF3">
        <w:rPr>
          <w:rFonts w:cs="Times New Roman"/>
        </w:rPr>
        <w:t>from the disease with</w:t>
      </w:r>
      <w:r w:rsidR="00B47EA1" w:rsidRPr="00364EF3">
        <w:rPr>
          <w:rFonts w:cs="Times New Roman"/>
        </w:rPr>
        <w:t xml:space="preserve"> lowest </w:t>
      </w:r>
      <w:r w:rsidR="007825CE" w:rsidRPr="00364EF3">
        <w:rPr>
          <w:rFonts w:cs="Times New Roman"/>
        </w:rPr>
        <w:t>to</w:t>
      </w:r>
      <w:r w:rsidR="00B47EA1" w:rsidRPr="00364EF3">
        <w:rPr>
          <w:rFonts w:cs="Times New Roman"/>
        </w:rPr>
        <w:t xml:space="preserve"> the</w:t>
      </w:r>
      <w:r w:rsidR="00513C53" w:rsidRPr="00364EF3">
        <w:rPr>
          <w:rFonts w:cs="Times New Roman"/>
        </w:rPr>
        <w:t xml:space="preserve"> </w:t>
      </w:r>
      <w:r w:rsidR="007825CE" w:rsidRPr="00364EF3">
        <w:rPr>
          <w:rFonts w:cs="Times New Roman"/>
        </w:rPr>
        <w:t xml:space="preserve">highest </w:t>
      </w:r>
      <w:r w:rsidR="001F0770" w:rsidRPr="00364EF3">
        <w:rPr>
          <w:rFonts w:cs="Times New Roman"/>
        </w:rPr>
        <w:t xml:space="preserve">burden </w:t>
      </w:r>
      <w:r w:rsidR="00B47EA1" w:rsidRPr="00364EF3">
        <w:rPr>
          <w:rFonts w:cs="Times New Roman"/>
        </w:rPr>
        <w:t>(horizontal axis).</w:t>
      </w:r>
      <w:r w:rsidR="00C225E6" w:rsidRPr="00364EF3">
        <w:rPr>
          <w:rFonts w:cs="Times New Roman"/>
        </w:rPr>
        <w:t xml:space="preserve"> </w:t>
      </w:r>
      <w:r w:rsidRPr="00364EF3">
        <w:rPr>
          <w:rFonts w:cs="Times New Roman"/>
        </w:rPr>
        <w:t xml:space="preserve">The 45-degree line </w:t>
      </w:r>
      <w:r w:rsidR="00E240E9">
        <w:rPr>
          <w:rFonts w:cs="Times New Roman"/>
        </w:rPr>
        <w:t>represents a</w:t>
      </w:r>
      <w:r w:rsidRPr="00364EF3">
        <w:rPr>
          <w:rFonts w:cs="Times New Roman"/>
        </w:rPr>
        <w:t xml:space="preserve"> hypothetical</w:t>
      </w:r>
      <w:r w:rsidR="00E240E9">
        <w:rPr>
          <w:rFonts w:cs="Times New Roman"/>
        </w:rPr>
        <w:t>ly</w:t>
      </w:r>
      <w:r w:rsidRPr="00364EF3">
        <w:rPr>
          <w:rFonts w:cs="Times New Roman"/>
        </w:rPr>
        <w:t xml:space="preserve"> equal distribution of drug innovation </w:t>
      </w:r>
      <w:r w:rsidR="00110777" w:rsidRPr="00364EF3">
        <w:rPr>
          <w:rFonts w:cs="Times New Roman"/>
        </w:rPr>
        <w:t>relative to</w:t>
      </w:r>
      <w:r w:rsidRPr="00364EF3">
        <w:rPr>
          <w:rFonts w:cs="Times New Roman"/>
        </w:rPr>
        <w:t xml:space="preserve"> </w:t>
      </w:r>
      <w:r w:rsidR="001F0770" w:rsidRPr="00364EF3">
        <w:rPr>
          <w:rFonts w:cs="Times New Roman"/>
        </w:rPr>
        <w:t>disease burden</w:t>
      </w:r>
      <w:r w:rsidRPr="00364EF3">
        <w:rPr>
          <w:rFonts w:cs="Times New Roman"/>
        </w:rPr>
        <w:t xml:space="preserve">. Curves lying above (under) the 45-degree line represent a concentration of drug innovation towards diseases with </w:t>
      </w:r>
      <w:r w:rsidR="001F0770" w:rsidRPr="00364EF3">
        <w:rPr>
          <w:rFonts w:cs="Times New Roman"/>
        </w:rPr>
        <w:t>lower</w:t>
      </w:r>
      <w:r w:rsidRPr="00364EF3">
        <w:rPr>
          <w:rFonts w:cs="Times New Roman"/>
        </w:rPr>
        <w:t xml:space="preserve"> </w:t>
      </w:r>
      <w:r w:rsidR="001F0770" w:rsidRPr="00364EF3">
        <w:rPr>
          <w:rFonts w:cs="Times New Roman"/>
        </w:rPr>
        <w:t>(greater) disease burden.</w:t>
      </w:r>
      <w:r w:rsidRPr="00364EF3">
        <w:rPr>
          <w:rFonts w:cs="Times New Roman"/>
        </w:rPr>
        <w:t xml:space="preserve"> We also undertake an analogous analysis substituting </w:t>
      </w:r>
      <w:r w:rsidR="00234AE3" w:rsidRPr="00364EF3">
        <w:rPr>
          <w:rFonts w:cs="Times New Roman"/>
        </w:rPr>
        <w:t>a measure of market size</w:t>
      </w:r>
      <w:r w:rsidR="00B5311E" w:rsidRPr="00364EF3">
        <w:rPr>
          <w:rFonts w:cs="Times New Roman"/>
        </w:rPr>
        <w:t xml:space="preserve"> for the measure of </w:t>
      </w:r>
      <w:r w:rsidR="001F0770" w:rsidRPr="00364EF3">
        <w:rPr>
          <w:rFonts w:cs="Times New Roman"/>
        </w:rPr>
        <w:t>disease burden</w:t>
      </w:r>
      <w:r w:rsidRPr="00364EF3">
        <w:rPr>
          <w:rFonts w:cs="Times New Roman"/>
        </w:rPr>
        <w:t>.</w:t>
      </w:r>
    </w:p>
    <w:p w14:paraId="1CFAA7E8" w14:textId="77777777" w:rsidR="009E2D2C" w:rsidRPr="00364EF3" w:rsidRDefault="009E2D2C" w:rsidP="009C7054">
      <w:pPr>
        <w:spacing w:line="480" w:lineRule="auto"/>
        <w:jc w:val="both"/>
        <w:rPr>
          <w:rFonts w:cs="Times New Roman"/>
        </w:rPr>
      </w:pPr>
    </w:p>
    <w:p w14:paraId="57081E56" w14:textId="34DFD28B" w:rsidR="005F1E10" w:rsidRPr="00364EF3" w:rsidRDefault="005F1E10" w:rsidP="009C7054">
      <w:pPr>
        <w:spacing w:line="480" w:lineRule="auto"/>
        <w:jc w:val="both"/>
        <w:rPr>
          <w:rFonts w:cs="Times New Roman"/>
        </w:rPr>
      </w:pPr>
      <w:r w:rsidRPr="00364EF3">
        <w:rPr>
          <w:rFonts w:cs="Times New Roman"/>
        </w:rPr>
        <w:t>We</w:t>
      </w:r>
      <w:r w:rsidR="00B30F27" w:rsidRPr="00364EF3">
        <w:rPr>
          <w:rFonts w:cs="Times New Roman"/>
        </w:rPr>
        <w:t xml:space="preserve"> use the Erreygers index </w:t>
      </w:r>
      <m:oMath>
        <m:r>
          <w:rPr>
            <w:rFonts w:ascii="Cambria Math" w:hAnsi="Cambria Math" w:cs="Times New Roman"/>
          </w:rPr>
          <m:t>E</m:t>
        </m:r>
        <m:d>
          <m:dPr>
            <m:ctrlPr>
              <w:rPr>
                <w:rFonts w:ascii="Cambria Math" w:hAnsi="Cambria Math" w:cs="Times New Roman"/>
                <w:i/>
              </w:rPr>
            </m:ctrlPr>
          </m:dPr>
          <m:e>
            <m:r>
              <w:rPr>
                <w:rFonts w:ascii="Cambria Math" w:hAnsi="Cambria Math" w:cs="Times New Roman"/>
              </w:rPr>
              <m:t>r</m:t>
            </m:r>
          </m:e>
        </m:d>
        <m:r>
          <w:rPr>
            <w:rFonts w:ascii="Cambria Math" w:hAnsi="Cambria Math" w:cs="Times New Roman"/>
          </w:rPr>
          <m:t xml:space="preserve"> </m:t>
        </m:r>
      </m:oMath>
      <w:r w:rsidR="00B30F27" w:rsidRPr="00364EF3">
        <w:rPr>
          <w:rFonts w:cs="Times New Roman"/>
        </w:rPr>
        <w:fldChar w:fldCharType="begin"/>
      </w:r>
      <w:r w:rsidR="004B1BF5">
        <w:rPr>
          <w:rFonts w:cs="Times New Roman"/>
        </w:rPr>
        <w:instrText xml:space="preserve"> ADDIN EN.CITE &lt;EndNote&gt;&lt;Cite&gt;&lt;Author&gt;Erreygers&lt;/Author&gt;&lt;Year&gt;2009&lt;/Year&gt;&lt;RecNum&gt;67&lt;/RecNum&gt;&lt;DisplayText&gt;(Erreygers, 2009)&lt;/DisplayText&gt;&lt;record&gt;&lt;rec-number&gt;67&lt;/rec-number&gt;&lt;foreign-keys&gt;&lt;key app="EN" db-id="fete5e25iazx05es5p2vwse8vftw20pp9z9z" timestamp="0"&gt;67&lt;/key&gt;&lt;/foreign-keys&gt;&lt;ref-type name="Journal Article"&gt;17&lt;/ref-type&gt;&lt;contributors&gt;&lt;authors&gt;&lt;author&gt;Erreygers, Guido&lt;/author&gt;&lt;/authors&gt;&lt;/contributors&gt;&lt;titles&gt;&lt;title&gt;Correcting the concentration index&lt;/title&gt;&lt;secondary-title&gt;Journal of Health Economics&lt;/secondary-title&gt;&lt;/titles&gt;&lt;pages&gt;504-515&lt;/pages&gt;&lt;volume&gt;28&lt;/volume&gt;&lt;number&gt;2&lt;/number&gt;&lt;dates&gt;&lt;year&gt;2009&lt;/year&gt;&lt;/dates&gt;&lt;isbn&gt;0167-6296&lt;/isbn&gt;&lt;urls&gt;&lt;/urls&gt;&lt;/record&gt;&lt;/Cite&gt;&lt;Cite&gt;&lt;Author&gt;Erreygers&lt;/Author&gt;&lt;Year&gt;2009&lt;/Year&gt;&lt;RecNum&gt;67&lt;/RecNum&gt;&lt;record&gt;&lt;rec-number&gt;67&lt;/rec-number&gt;&lt;foreign-keys&gt;&lt;key app="EN" db-id="fete5e25iazx05es5p2vwse8vftw20pp9z9z" timestamp="0"&gt;67&lt;/key&gt;&lt;/foreign-keys&gt;&lt;ref-type name="Journal Article"&gt;17&lt;/ref-type&gt;&lt;contributors&gt;&lt;authors&gt;&lt;author&gt;Erreygers, Guido&lt;/author&gt;&lt;/authors&gt;&lt;/contributors&gt;&lt;titles&gt;&lt;title&gt;Correcting the concentration index&lt;/title&gt;&lt;secondary-title&gt;Journal of Health Economics&lt;/secondary-title&gt;&lt;/titles&gt;&lt;pages&gt;504-515&lt;/pages&gt;&lt;volume&gt;28&lt;/volume&gt;&lt;number&gt;2&lt;/number&gt;&lt;dates&gt;&lt;year&gt;2009&lt;/year&gt;&lt;/dates&gt;&lt;isbn&gt;0167-6296&lt;/isbn&gt;&lt;urls&gt;&lt;/urls&gt;&lt;/record&gt;&lt;/Cite&gt;&lt;/EndNote&gt;</w:instrText>
      </w:r>
      <w:r w:rsidR="00B30F27" w:rsidRPr="00364EF3">
        <w:rPr>
          <w:rFonts w:cs="Times New Roman"/>
        </w:rPr>
        <w:fldChar w:fldCharType="separate"/>
      </w:r>
      <w:r w:rsidR="00897999" w:rsidRPr="00364EF3">
        <w:rPr>
          <w:rFonts w:cs="Times New Roman"/>
          <w:noProof/>
        </w:rPr>
        <w:t>(Erreygers, 2009)</w:t>
      </w:r>
      <w:r w:rsidR="00B30F27" w:rsidRPr="00364EF3">
        <w:rPr>
          <w:rFonts w:cs="Times New Roman"/>
        </w:rPr>
        <w:fldChar w:fldCharType="end"/>
      </w:r>
      <w:r w:rsidR="00D411BD" w:rsidRPr="00364EF3">
        <w:rPr>
          <w:rFonts w:cs="Times New Roman"/>
        </w:rPr>
        <w:t xml:space="preserve"> </w:t>
      </w:r>
      <w:r w:rsidR="00670BBC" w:rsidRPr="00364EF3">
        <w:rPr>
          <w:rFonts w:cs="Times New Roman"/>
        </w:rPr>
        <w:t xml:space="preserve">to </w:t>
      </w:r>
      <w:r w:rsidRPr="00364EF3">
        <w:rPr>
          <w:rFonts w:cs="Times New Roman"/>
        </w:rPr>
        <w:t xml:space="preserve">calculate concentration </w:t>
      </w:r>
      <w:r w:rsidR="00864484" w:rsidRPr="00364EF3">
        <w:rPr>
          <w:rFonts w:cs="Times New Roman"/>
        </w:rPr>
        <w:t>indices</w:t>
      </w:r>
      <w:r w:rsidR="009B6E40" w:rsidRPr="00364EF3">
        <w:rPr>
          <w:rFonts w:cs="Times New Roman"/>
        </w:rPr>
        <w:t xml:space="preserve"> and their standard errors</w:t>
      </w:r>
      <w:r w:rsidRPr="00364EF3">
        <w:rPr>
          <w:rFonts w:cs="Times New Roman"/>
        </w:rPr>
        <w:t xml:space="preserve"> to measure the magnitude </w:t>
      </w:r>
      <w:r w:rsidR="009B6E40" w:rsidRPr="00364EF3">
        <w:rPr>
          <w:rFonts w:cs="Times New Roman"/>
        </w:rPr>
        <w:t xml:space="preserve">and statistical significance </w:t>
      </w:r>
      <w:r w:rsidRPr="00364EF3">
        <w:rPr>
          <w:rFonts w:cs="Times New Roman"/>
        </w:rPr>
        <w:t xml:space="preserve">of the inequality. </w:t>
      </w:r>
      <w:r w:rsidR="00EE69C6" w:rsidRPr="00364EF3">
        <w:rPr>
          <w:rFonts w:cs="Times New Roman"/>
        </w:rPr>
        <w:t>It</w:t>
      </w:r>
      <w:r w:rsidRPr="00364EF3">
        <w:rPr>
          <w:rFonts w:cs="Times New Roman"/>
        </w:rPr>
        <w:t xml:space="preserve"> can be written as:</w:t>
      </w:r>
      <w:r w:rsidRPr="00364EF3" w:rsidDel="00A00FC9">
        <w:rPr>
          <w:rFonts w:cs="Times New Roman"/>
        </w:rPr>
        <w:t xml:space="preserve"> </w:t>
      </w:r>
    </w:p>
    <w:p w14:paraId="6D80A5C7" w14:textId="77777777" w:rsidR="005F1E10" w:rsidRPr="00364EF3" w:rsidRDefault="005F1E10" w:rsidP="009C7054">
      <w:pPr>
        <w:spacing w:line="480" w:lineRule="auto"/>
        <w:jc w:val="both"/>
        <w:rPr>
          <w:rFonts w:cs="Times New Roman"/>
        </w:rPr>
      </w:pPr>
    </w:p>
    <w:p w14:paraId="7B64A9A4" w14:textId="78E7B215" w:rsidR="005F1E10" w:rsidRPr="00364EF3" w:rsidRDefault="005F1E10" w:rsidP="009C7054">
      <w:pPr>
        <w:tabs>
          <w:tab w:val="left" w:pos="7938"/>
        </w:tabs>
        <w:spacing w:line="480" w:lineRule="auto"/>
        <w:jc w:val="both"/>
        <w:rPr>
          <w:rFonts w:cs="Times New Roman"/>
        </w:rPr>
      </w:pPr>
      <m:oMath>
        <m:r>
          <w:rPr>
            <w:rFonts w:ascii="Cambria Math" w:hAnsi="Cambria Math" w:cs="Times New Roman"/>
          </w:rPr>
          <m:t>E</m:t>
        </m:r>
        <m:d>
          <m:dPr>
            <m:ctrlPr>
              <w:rPr>
                <w:rFonts w:ascii="Cambria Math" w:hAnsi="Cambria Math" w:cs="Times New Roman"/>
                <w:i/>
              </w:rPr>
            </m:ctrlPr>
          </m:dPr>
          <m:e>
            <m:r>
              <w:rPr>
                <w:rFonts w:ascii="Cambria Math" w:hAnsi="Cambria Math" w:cs="Times New Roman"/>
              </w:rPr>
              <m:t>r</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8</m:t>
            </m:r>
          </m:num>
          <m:den>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2</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r</m:t>
                </m:r>
              </m:sub>
            </m:sSub>
            <m:r>
              <w:rPr>
                <w:rFonts w:ascii="Cambria Math" w:hAnsi="Cambria Math" w:cs="Times New Roman"/>
              </w:rPr>
              <m:t>)</m:t>
            </m:r>
          </m:den>
        </m:f>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sidR="00164D62" w:rsidRPr="00364EF3">
        <w:rPr>
          <w:rFonts w:cs="Times New Roman"/>
        </w:rPr>
        <w:t xml:space="preserve">          </w:t>
      </w:r>
      <w:r w:rsidR="00254684">
        <w:rPr>
          <w:rFonts w:cs="Times New Roman"/>
        </w:rPr>
        <w:t xml:space="preserve">                                                                    </w:t>
      </w:r>
      <w:r w:rsidR="00164D62" w:rsidRPr="00364EF3">
        <w:rPr>
          <w:rFonts w:cs="Times New Roman"/>
        </w:rPr>
        <w:t xml:space="preserve">                           (1</w:t>
      </w:r>
      <w:r w:rsidRPr="00364EF3">
        <w:rPr>
          <w:rFonts w:cs="Times New Roman"/>
        </w:rPr>
        <w:t>)</w:t>
      </w:r>
    </w:p>
    <w:p w14:paraId="5FCCFD93" w14:textId="77777777" w:rsidR="005F1E10" w:rsidRPr="00364EF3" w:rsidRDefault="005F1E10" w:rsidP="009C7054">
      <w:pPr>
        <w:spacing w:line="480" w:lineRule="auto"/>
        <w:jc w:val="both"/>
        <w:rPr>
          <w:rFonts w:cs="Times New Roman"/>
        </w:rPr>
      </w:pPr>
    </w:p>
    <w:p w14:paraId="5628DA20" w14:textId="0BBEE303" w:rsidR="005F1E10" w:rsidRPr="00364EF3" w:rsidRDefault="005F1E10" w:rsidP="009C7054">
      <w:pPr>
        <w:spacing w:line="480" w:lineRule="auto"/>
        <w:jc w:val="both"/>
        <w:rPr>
          <w:rFonts w:cs="Times New Roman"/>
        </w:rPr>
      </w:pPr>
      <w:r w:rsidRPr="00364EF3">
        <w:rPr>
          <w:rFonts w:cs="Times New Roman"/>
        </w:rPr>
        <w:t xml:space="preserve">Where </w:t>
      </w:r>
      <m:oMath>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sidRPr="00364EF3">
        <w:rPr>
          <w:rFonts w:cs="Times New Roman"/>
        </w:rPr>
        <w:t xml:space="preserve"> denotes the sum of drug innovation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oMath>
      <w:r w:rsidRPr="00364EF3">
        <w:rPr>
          <w:rFonts w:cs="Times New Roman"/>
        </w:rPr>
        <w:t xml:space="preserve"> targeting disease </w:t>
      </w:r>
      <m:oMath>
        <m:r>
          <w:rPr>
            <w:rFonts w:ascii="Cambria Math" w:hAnsi="Cambria Math" w:cs="Times New Roman"/>
          </w:rPr>
          <m:t xml:space="preserve">i </m:t>
        </m:r>
      </m:oMath>
      <w:r w:rsidRPr="00364EF3">
        <w:rPr>
          <w:rFonts w:cs="Times New Roman"/>
        </w:rPr>
        <w:t xml:space="preserve">weighted the disease ranked-dependent sum of </w:t>
      </w:r>
      <w:r w:rsidR="001F0770" w:rsidRPr="00364EF3">
        <w:rPr>
          <w:rFonts w:cs="Times New Roman"/>
        </w:rPr>
        <w:t>disease burden</w:t>
      </w:r>
      <w:r w:rsidRPr="00364EF3">
        <w:rPr>
          <w:rFonts w:cs="Times New Roman"/>
        </w:rPr>
        <w:t xml:space="preserve"> and market size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i</m:t>
            </m:r>
          </m:sub>
        </m:sSub>
        <m:r>
          <w:rPr>
            <w:rFonts w:ascii="Cambria Math" w:hAnsi="Cambria Math" w:cs="Times New Roman"/>
          </w:rPr>
          <m:t>)</m:t>
        </m:r>
      </m:oMath>
      <w:r w:rsidRPr="00364EF3">
        <w:rPr>
          <w:rFonts w:cs="Times New Roman"/>
        </w:rPr>
        <w:t xml:space="preserve">. The term </w:t>
      </w:r>
      <m:oMath>
        <m:f>
          <m:fPr>
            <m:ctrlPr>
              <w:rPr>
                <w:rFonts w:ascii="Cambria Math" w:hAnsi="Cambria Math" w:cs="Times New Roman"/>
                <w:i/>
              </w:rPr>
            </m:ctrlPr>
          </m:fPr>
          <m:num>
            <m:r>
              <w:rPr>
                <w:rFonts w:ascii="Cambria Math" w:hAnsi="Cambria Math" w:cs="Times New Roman"/>
              </w:rPr>
              <m:t>8</m:t>
            </m:r>
          </m:num>
          <m:den>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2</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r</m:t>
                </m:r>
              </m:sub>
            </m:sSub>
            <m:r>
              <w:rPr>
                <w:rFonts w:ascii="Cambria Math" w:hAnsi="Cambria Math" w:cs="Times New Roman"/>
              </w:rPr>
              <m:t>)</m:t>
            </m:r>
          </m:den>
        </m:f>
      </m:oMath>
      <w:r w:rsidRPr="00364EF3">
        <w:rPr>
          <w:rFonts w:cs="Times New Roman"/>
        </w:rPr>
        <w:t xml:space="preserve"> corrects for the </w:t>
      </w:r>
      <w:r w:rsidR="008E0B7B" w:rsidRPr="00364EF3">
        <w:rPr>
          <w:rFonts w:cs="Times New Roman"/>
        </w:rPr>
        <w:t>boundness</w:t>
      </w:r>
      <w:r w:rsidRPr="00364EF3">
        <w:rPr>
          <w:rFonts w:cs="Times New Roman"/>
        </w:rPr>
        <w:t xml:space="preserve"> of the variable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oMath>
      <w:r w:rsidRPr="00364EF3">
        <w:rPr>
          <w:rFonts w:cs="Times New Roman"/>
        </w:rPr>
        <w:t xml:space="preserve">, </w:t>
      </w:r>
      <w:r w:rsidR="00513ADB" w:rsidRPr="00364EF3">
        <w:rPr>
          <w:rFonts w:cs="Times New Roman"/>
        </w:rPr>
        <w:t xml:space="preserve">with </w:t>
      </w:r>
      <w:r w:rsidRPr="00364EF3">
        <w:rPr>
          <w:rFonts w:cs="Times New Roman"/>
          <w:i/>
        </w:rPr>
        <w:t>b</w:t>
      </w:r>
      <w:r w:rsidRPr="00364EF3">
        <w:rPr>
          <w:rFonts w:cs="Times New Roman"/>
          <w:i/>
          <w:vertAlign w:val="subscript"/>
        </w:rPr>
        <w:t>r</w:t>
      </w:r>
      <w:r w:rsidRPr="00364EF3">
        <w:rPr>
          <w:rFonts w:cs="Times New Roman"/>
          <w:vertAlign w:val="subscript"/>
        </w:rPr>
        <w:t xml:space="preserve"> </w:t>
      </w:r>
      <w:r w:rsidRPr="00364EF3">
        <w:rPr>
          <w:rFonts w:cs="Times New Roman"/>
        </w:rPr>
        <w:t xml:space="preserve"> and </w:t>
      </w:r>
      <w:r w:rsidRPr="00364EF3">
        <w:rPr>
          <w:rFonts w:cs="Times New Roman"/>
          <w:i/>
        </w:rPr>
        <w:t>a</w:t>
      </w:r>
      <w:r w:rsidRPr="00364EF3">
        <w:rPr>
          <w:rFonts w:cs="Times New Roman"/>
          <w:i/>
          <w:vertAlign w:val="subscript"/>
        </w:rPr>
        <w:t>r,</w:t>
      </w:r>
      <w:r w:rsidRPr="00364EF3">
        <w:rPr>
          <w:rFonts w:cs="Times New Roman"/>
        </w:rPr>
        <w:t xml:space="preserve"> </w:t>
      </w:r>
      <w:r w:rsidR="00513ADB" w:rsidRPr="00364EF3">
        <w:rPr>
          <w:rFonts w:cs="Times New Roman"/>
        </w:rPr>
        <w:t>denoting</w:t>
      </w:r>
      <w:r w:rsidRPr="00364EF3">
        <w:rPr>
          <w:rFonts w:cs="Times New Roman"/>
        </w:rPr>
        <w:t xml:space="preserve"> respectively the maximum and minimum values of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oMath>
      <w:r w:rsidRPr="00364EF3">
        <w:rPr>
          <w:rFonts w:cs="Times New Roman"/>
        </w:rPr>
        <w:t xml:space="preserve">, and </w:t>
      </w:r>
      <m:oMath>
        <m:r>
          <w:rPr>
            <w:rFonts w:ascii="Cambria Math" w:hAnsi="Cambria Math" w:cs="Times New Roman"/>
          </w:rPr>
          <m:t>n</m:t>
        </m:r>
      </m:oMath>
      <w:r w:rsidRPr="00364EF3">
        <w:rPr>
          <w:rFonts w:cs="Times New Roman"/>
        </w:rPr>
        <w:t xml:space="preserve"> the total number of diseases </w:t>
      </w:r>
      <w:r w:rsidR="00254684">
        <w:rPr>
          <w:rFonts w:cs="Times New Roman"/>
          <w:i/>
        </w:rPr>
        <w:t>i</w:t>
      </w:r>
      <w:r w:rsidR="00AD0E38" w:rsidRPr="00364EF3">
        <w:rPr>
          <w:rFonts w:cs="Times New Roman"/>
          <w:i/>
        </w:rPr>
        <w:t xml:space="preserve"> </w:t>
      </w:r>
      <w:r w:rsidR="003C38C2" w:rsidRPr="00364EF3">
        <w:rPr>
          <w:rFonts w:cs="Times New Roman"/>
        </w:rPr>
        <w:fldChar w:fldCharType="begin"/>
      </w:r>
      <w:r w:rsidR="004B1BF5">
        <w:rPr>
          <w:rFonts w:cs="Times New Roman"/>
        </w:rPr>
        <w:instrText xml:space="preserve"> ADDIN EN.CITE &lt;EndNote&gt;&lt;Cite&gt;&lt;Author&gt;Erreygers&lt;/Author&gt;&lt;Year&gt;2009&lt;/Year&gt;&lt;RecNum&gt;67&lt;/RecNum&gt;&lt;DisplayText&gt;(Erreygers, 2009)&lt;/DisplayText&gt;&lt;record&gt;&lt;rec-number&gt;67&lt;/rec-number&gt;&lt;foreign-keys&gt;&lt;key app="EN" db-id="fete5e25iazx05es5p2vwse8vftw20pp9z9z" timestamp="0"&gt;67&lt;/key&gt;&lt;/foreign-keys&gt;&lt;ref-type name="Journal Article"&gt;17&lt;/ref-type&gt;&lt;contributors&gt;&lt;authors&gt;&lt;author&gt;Erreygers, Guido&lt;/author&gt;&lt;/authors&gt;&lt;/contributors&gt;&lt;titles&gt;&lt;title&gt;Correcting the concentration index&lt;/title&gt;&lt;secondary-title&gt;Journal of Health Economics&lt;/secondary-title&gt;&lt;/titles&gt;&lt;pages&gt;504-515&lt;/pages&gt;&lt;volume&gt;28&lt;/volume&gt;&lt;number&gt;2&lt;/number&gt;&lt;dates&gt;&lt;year&gt;2009&lt;/year&gt;&lt;/dates&gt;&lt;isbn&gt;0167-6296&lt;/isbn&gt;&lt;urls&gt;&lt;/urls&gt;&lt;/record&gt;&lt;/Cite&gt;&lt;Cite&gt;&lt;Author&gt;Erreygers&lt;/Author&gt;&lt;Year&gt;2009&lt;/Year&gt;&lt;RecNum&gt;67&lt;/RecNum&gt;&lt;record&gt;&lt;rec-number&gt;67&lt;/rec-number&gt;&lt;foreign-keys&gt;&lt;key app="EN" db-id="fete5e25iazx05es5p2vwse8vftw20pp9z9z" timestamp="0"&gt;67&lt;/key&gt;&lt;/foreign-keys&gt;&lt;ref-type name="Journal Article"&gt;17&lt;/ref-type&gt;&lt;contributors&gt;&lt;authors&gt;&lt;author&gt;Erreygers, Guido&lt;/author&gt;&lt;/authors&gt;&lt;/contributors&gt;&lt;titles&gt;&lt;title&gt;Correcting the concentration index&lt;/title&gt;&lt;secondary-title&gt;Journal of Health Economics&lt;/secondary-title&gt;&lt;/titles&gt;&lt;pages&gt;504-515&lt;/pages&gt;&lt;volume&gt;28&lt;/volume&gt;&lt;number&gt;2&lt;/number&gt;&lt;dates&gt;&lt;year&gt;2009&lt;/year&gt;&lt;/dates&gt;&lt;isbn&gt;0167-6296&lt;/isbn&gt;&lt;urls&gt;&lt;/urls&gt;&lt;/record&gt;&lt;/Cite&gt;&lt;/EndNote&gt;</w:instrText>
      </w:r>
      <w:r w:rsidR="003C38C2" w:rsidRPr="00364EF3">
        <w:rPr>
          <w:rFonts w:cs="Times New Roman"/>
        </w:rPr>
        <w:fldChar w:fldCharType="separate"/>
      </w:r>
      <w:r w:rsidR="003C38C2" w:rsidRPr="00364EF3">
        <w:rPr>
          <w:rFonts w:cs="Times New Roman"/>
          <w:noProof/>
        </w:rPr>
        <w:t>(Erreygers, 2009)</w:t>
      </w:r>
      <w:r w:rsidR="003C38C2" w:rsidRPr="00364EF3">
        <w:rPr>
          <w:rFonts w:cs="Times New Roman"/>
        </w:rPr>
        <w:fldChar w:fldCharType="end"/>
      </w:r>
      <w:r w:rsidR="00AD0E38" w:rsidRPr="00364EF3">
        <w:rPr>
          <w:rFonts w:cs="Times New Roman"/>
        </w:rPr>
        <w:t>.</w:t>
      </w:r>
    </w:p>
    <w:p w14:paraId="7844E2C6" w14:textId="77777777" w:rsidR="005F1E10" w:rsidRPr="00364EF3" w:rsidRDefault="005F1E10" w:rsidP="009C7054">
      <w:pPr>
        <w:spacing w:line="480" w:lineRule="auto"/>
        <w:jc w:val="both"/>
        <w:rPr>
          <w:rFonts w:cs="Times New Roman"/>
        </w:rPr>
      </w:pPr>
      <w:r w:rsidRPr="00364EF3">
        <w:rPr>
          <w:rFonts w:cs="Times New Roman"/>
        </w:rPr>
        <w:t xml:space="preserve">The sign of </w:t>
      </w:r>
      <m:oMath>
        <m:r>
          <w:rPr>
            <w:rFonts w:ascii="Cambria Math" w:hAnsi="Cambria Math" w:cs="Times New Roman"/>
          </w:rPr>
          <m:t>E</m:t>
        </m:r>
        <m:d>
          <m:dPr>
            <m:ctrlPr>
              <w:rPr>
                <w:rFonts w:ascii="Cambria Math" w:hAnsi="Cambria Math" w:cs="Times New Roman"/>
                <w:i/>
              </w:rPr>
            </m:ctrlPr>
          </m:dPr>
          <m:e>
            <m:r>
              <w:rPr>
                <w:rFonts w:ascii="Cambria Math" w:hAnsi="Cambria Math" w:cs="Times New Roman"/>
              </w:rPr>
              <m:t>r</m:t>
            </m:r>
          </m:e>
        </m:d>
      </m:oMath>
      <w:r w:rsidRPr="00364EF3">
        <w:rPr>
          <w:rFonts w:cs="Times New Roman"/>
        </w:rPr>
        <w:t xml:space="preserve"> indicates the direction of the inequality: positive values indicate a pro-</w:t>
      </w:r>
      <w:r w:rsidR="001F0770" w:rsidRPr="00364EF3">
        <w:rPr>
          <w:rFonts w:cs="Times New Roman"/>
        </w:rPr>
        <w:t xml:space="preserve">high </w:t>
      </w:r>
      <w:r w:rsidR="003713DC" w:rsidRPr="00364EF3">
        <w:rPr>
          <w:rFonts w:cs="Times New Roman"/>
        </w:rPr>
        <w:t xml:space="preserve">disease </w:t>
      </w:r>
      <w:r w:rsidR="001F0770" w:rsidRPr="00364EF3">
        <w:rPr>
          <w:rFonts w:cs="Times New Roman"/>
        </w:rPr>
        <w:t>burden</w:t>
      </w:r>
      <w:r w:rsidRPr="00364EF3">
        <w:rPr>
          <w:rFonts w:cs="Times New Roman"/>
        </w:rPr>
        <w:t xml:space="preserve"> dispersion whilst negative values indicate a dispersion of drug innovation</w:t>
      </w:r>
      <w:r w:rsidR="00110777" w:rsidRPr="00364EF3">
        <w:rPr>
          <w:rFonts w:cs="Times New Roman"/>
        </w:rPr>
        <w:t xml:space="preserve"> </w:t>
      </w:r>
      <w:r w:rsidR="00D12F65" w:rsidRPr="00364EF3">
        <w:rPr>
          <w:rFonts w:cs="Times New Roman"/>
        </w:rPr>
        <w:t>in favour of disease areas</w:t>
      </w:r>
      <w:r w:rsidR="00295556" w:rsidRPr="00364EF3">
        <w:rPr>
          <w:rFonts w:cs="Times New Roman"/>
        </w:rPr>
        <w:t xml:space="preserve"> </w:t>
      </w:r>
      <w:r w:rsidR="001F0770" w:rsidRPr="00364EF3">
        <w:rPr>
          <w:rFonts w:cs="Times New Roman"/>
        </w:rPr>
        <w:t>with low disease burden</w:t>
      </w:r>
      <w:r w:rsidRPr="00364EF3">
        <w:rPr>
          <w:rFonts w:cs="Times New Roman"/>
        </w:rPr>
        <w:t>.</w:t>
      </w:r>
    </w:p>
    <w:p w14:paraId="4D1D4ABA" w14:textId="77777777" w:rsidR="00FD048F" w:rsidRPr="00364EF3" w:rsidRDefault="00FD048F" w:rsidP="009C7054">
      <w:pPr>
        <w:spacing w:line="480" w:lineRule="auto"/>
        <w:jc w:val="both"/>
        <w:rPr>
          <w:rFonts w:cs="Times New Roman"/>
        </w:rPr>
      </w:pPr>
    </w:p>
    <w:p w14:paraId="51697EC2" w14:textId="099CDC04" w:rsidR="00FD048F" w:rsidRPr="00364EF3" w:rsidRDefault="00FD048F" w:rsidP="009C7054">
      <w:pPr>
        <w:spacing w:line="480" w:lineRule="auto"/>
        <w:jc w:val="both"/>
        <w:rPr>
          <w:rFonts w:cs="Times New Roman"/>
        </w:rPr>
      </w:pPr>
      <w:r w:rsidRPr="00364EF3">
        <w:rPr>
          <w:rFonts w:cs="Times New Roman"/>
        </w:rPr>
        <w:lastRenderedPageBreak/>
        <w:t>While there are other possible methodo</w:t>
      </w:r>
      <w:r w:rsidR="00C3753E">
        <w:rPr>
          <w:rFonts w:cs="Times New Roman"/>
        </w:rPr>
        <w:t>lo</w:t>
      </w:r>
      <w:r w:rsidRPr="00364EF3">
        <w:rPr>
          <w:rFonts w:cs="Times New Roman"/>
        </w:rPr>
        <w:t xml:space="preserve">gical options to calculate concentration indices, such as </w:t>
      </w:r>
      <w:r w:rsidR="001C5A43" w:rsidRPr="00364EF3">
        <w:rPr>
          <w:rFonts w:cs="Times New Roman"/>
        </w:rPr>
        <w:t>the health concentration index introduced by Wagstaff et al.</w:t>
      </w:r>
      <w:r w:rsidR="00897999" w:rsidRPr="00364EF3">
        <w:rPr>
          <w:rFonts w:cs="Times New Roman"/>
        </w:rPr>
        <w:t xml:space="preserve"> </w:t>
      </w:r>
      <w:r w:rsidR="00897999" w:rsidRPr="00364EF3">
        <w:rPr>
          <w:rFonts w:cs="Times New Roman"/>
        </w:rPr>
        <w:fldChar w:fldCharType="begin"/>
      </w:r>
      <w:r w:rsidR="0050612A">
        <w:rPr>
          <w:rFonts w:cs="Times New Roman"/>
        </w:rPr>
        <w:instrText xml:space="preserve"> ADDIN EN.CITE &lt;EndNote&gt;&lt;Cite ExcludeAuth="1"&gt;&lt;Author&gt;Wagstaff&lt;/Author&gt;&lt;Year&gt;1991&lt;/Year&gt;&lt;RecNum&gt;20&lt;/RecNum&gt;&lt;DisplayText&gt;(1991)&lt;/DisplayText&gt;&lt;record&gt;&lt;rec-number&gt;20&lt;/rec-number&gt;&lt;foreign-keys&gt;&lt;key app="EN" db-id="tv2fspxf809vs5efaz7xrz91atd02zw9ss22" timestamp="0"&gt;20&lt;/key&gt;&lt;/foreign-keys&gt;&lt;ref-type name="Journal Article"&gt;17&lt;/ref-type&gt;&lt;contributors&gt;&lt;authors&gt;&lt;author&gt;Wagstaff, Adam&lt;/author&gt;&lt;author&gt;Paci, Pierella&lt;/author&gt;&lt;author&gt;Van Doorslaer, Eddy&lt;/author&gt;&lt;/authors&gt;&lt;/contributors&gt;&lt;titles&gt;&lt;title&gt;On the measurement of inequalities in health&lt;/title&gt;&lt;secondary-title&gt;Social Science &amp;amp; Medicine&lt;/secondary-title&gt;&lt;/titles&gt;&lt;pages&gt;545-557&lt;/pages&gt;&lt;volume&gt;33&lt;/volume&gt;&lt;number&gt;5&lt;/number&gt;&lt;dates&gt;&lt;year&gt;1991&lt;/year&gt;&lt;/dates&gt;&lt;isbn&gt;0277-9536&lt;/isbn&gt;&lt;urls&gt;&lt;related-urls&gt;&lt;url&gt;http://www.sciencedirect.com/science/article/pii/027795369190212U&lt;/url&gt;&lt;/related-urls&gt;&lt;/urls&gt;&lt;/record&gt;&lt;/Cite&gt;&lt;/EndNote&gt;</w:instrText>
      </w:r>
      <w:r w:rsidR="00897999" w:rsidRPr="00364EF3">
        <w:rPr>
          <w:rFonts w:cs="Times New Roman"/>
        </w:rPr>
        <w:fldChar w:fldCharType="separate"/>
      </w:r>
      <w:r w:rsidR="00897999" w:rsidRPr="00364EF3">
        <w:rPr>
          <w:rFonts w:cs="Times New Roman"/>
          <w:noProof/>
        </w:rPr>
        <w:t>(1991)</w:t>
      </w:r>
      <w:r w:rsidR="00897999" w:rsidRPr="00364EF3">
        <w:rPr>
          <w:rFonts w:cs="Times New Roman"/>
        </w:rPr>
        <w:fldChar w:fldCharType="end"/>
      </w:r>
      <w:r w:rsidR="00897999" w:rsidRPr="00364EF3">
        <w:rPr>
          <w:rFonts w:cs="Times New Roman"/>
        </w:rPr>
        <w:t>, the normalized health c</w:t>
      </w:r>
      <w:r w:rsidR="001C5A43" w:rsidRPr="00364EF3">
        <w:rPr>
          <w:rFonts w:cs="Times New Roman"/>
        </w:rPr>
        <w:t>oncentration index by Wagstaff</w:t>
      </w:r>
      <w:r w:rsidR="00897999" w:rsidRPr="00364EF3">
        <w:rPr>
          <w:rFonts w:cs="Times New Roman"/>
        </w:rPr>
        <w:t xml:space="preserve"> </w:t>
      </w:r>
      <w:r w:rsidR="00897999" w:rsidRPr="00364EF3">
        <w:rPr>
          <w:rFonts w:cs="Times New Roman"/>
        </w:rPr>
        <w:fldChar w:fldCharType="begin"/>
      </w:r>
      <w:r w:rsidR="0050612A">
        <w:rPr>
          <w:rFonts w:cs="Times New Roman"/>
        </w:rPr>
        <w:instrText xml:space="preserve"> ADDIN EN.CITE &lt;EndNote&gt;&lt;Cite ExcludeAuth="1"&gt;&lt;Author&gt;Wagstaff&lt;/Author&gt;&lt;Year&gt;2005&lt;/Year&gt;&lt;RecNum&gt;21&lt;/RecNum&gt;&lt;DisplayText&gt;(2005)&lt;/DisplayText&gt;&lt;record&gt;&lt;rec-number&gt;21&lt;/rec-number&gt;&lt;foreign-keys&gt;&lt;key app="EN" db-id="tv2fspxf809vs5efaz7xrz91atd02zw9ss22" timestamp="0"&gt;21&lt;/key&gt;&lt;/foreign-keys&gt;&lt;ref-type name="Journal Article"&gt;17&lt;/ref-type&gt;&lt;contributors&gt;&lt;authors&gt;&lt;author&gt;Wagstaff, Adam&lt;/author&gt;&lt;/authors&gt;&lt;/contributors&gt;&lt;titles&gt;&lt;title&gt;The bounds of the concentration index when the variable of interest is binary, with an application to immunization inequality&lt;/title&gt;&lt;secondary-title&gt;Health Economics&lt;/secondary-title&gt;&lt;/titles&gt;&lt;pages&gt;429-432&lt;/pages&gt;&lt;volume&gt;14&lt;/volume&gt;&lt;number&gt;4&lt;/number&gt;&lt;dates&gt;&lt;year&gt;2005&lt;/year&gt;&lt;/dates&gt;&lt;isbn&gt;1099-1050&lt;/isbn&gt;&lt;urls&gt;&lt;related-urls&gt;&lt;url&gt;http://onlinelibrary.wiley.com/doi/10.1002/hec.953/abstract&lt;/url&gt;&lt;/related-urls&gt;&lt;/urls&gt;&lt;/record&gt;&lt;/Cite&gt;&lt;/EndNote&gt;</w:instrText>
      </w:r>
      <w:r w:rsidR="00897999" w:rsidRPr="00364EF3">
        <w:rPr>
          <w:rFonts w:cs="Times New Roman"/>
        </w:rPr>
        <w:fldChar w:fldCharType="separate"/>
      </w:r>
      <w:r w:rsidR="00897999" w:rsidRPr="00364EF3">
        <w:rPr>
          <w:rFonts w:cs="Times New Roman"/>
          <w:noProof/>
        </w:rPr>
        <w:t>(2005)</w:t>
      </w:r>
      <w:r w:rsidR="00897999" w:rsidRPr="00364EF3">
        <w:rPr>
          <w:rFonts w:cs="Times New Roman"/>
        </w:rPr>
        <w:fldChar w:fldCharType="end"/>
      </w:r>
      <w:r w:rsidR="001C5A43" w:rsidRPr="00364EF3">
        <w:rPr>
          <w:rFonts w:cs="Times New Roman"/>
        </w:rPr>
        <w:t>, and the generalized health concentration index developed by Clarke</w:t>
      </w:r>
      <w:r w:rsidR="00DC7E61">
        <w:rPr>
          <w:rFonts w:cs="Times New Roman"/>
        </w:rPr>
        <w:t xml:space="preserve"> </w:t>
      </w:r>
      <w:r w:rsidR="00897999" w:rsidRPr="00364EF3">
        <w:rPr>
          <w:rFonts w:cs="Times New Roman"/>
        </w:rPr>
        <w:fldChar w:fldCharType="begin"/>
      </w:r>
      <w:r w:rsidR="00897999" w:rsidRPr="00364EF3">
        <w:rPr>
          <w:rFonts w:cs="Times New Roman"/>
        </w:rPr>
        <w:instrText xml:space="preserve"> ADDIN EN.CITE &lt;EndNote&gt;&lt;Cite ExcludeAuth="1"&gt;&lt;Author&gt;Clarke&lt;/Author&gt;&lt;Year&gt;2002&lt;/Year&gt;&lt;RecNum&gt;37&lt;/RecNum&gt;&lt;DisplayText&gt;(2002)&lt;/DisplayText&gt;&lt;record&gt;&lt;rec-number&gt;37&lt;/rec-number&gt;&lt;foreign-keys&gt;&lt;key app="EN" db-id="tv2fspxf809vs5efaz7xrz91atd02zw9ss22" timestamp="0"&gt;37&lt;/key&gt;&lt;/foreign-keys&gt;&lt;ref-type name="Journal Article"&gt;17&lt;/ref-type&gt;&lt;contributors&gt;&lt;authors&gt;&lt;author&gt;Clarke, Philip M&lt;/author&gt;&lt;author&gt;Gerdtham, Ulf-G&lt;/author&gt;&lt;author&gt;Johannesson, Magnus&lt;/author&gt;&lt;author&gt;Bingefors, Kerstin&lt;/author&gt;&lt;author&gt;Smith, Len&lt;/author&gt;&lt;/authors&gt;&lt;/contributors&gt;&lt;titles&gt;&lt;title&gt;On the measurement of relative and absolute income-related health inequality&lt;/title&gt;&lt;secondary-title&gt;Social Science &amp;amp; Medicine&lt;/secondary-title&gt;&lt;/titles&gt;&lt;pages&gt;1923-1928&lt;/pages&gt;&lt;volume&gt;55&lt;/volume&gt;&lt;number&gt;11&lt;/number&gt;&lt;dates&gt;&lt;year&gt;2002&lt;/year&gt;&lt;/dates&gt;&lt;isbn&gt;0277-9536&lt;/isbn&gt;&lt;urls&gt;&lt;/urls&gt;&lt;/record&gt;&lt;/Cite&gt;&lt;/EndNote&gt;</w:instrText>
      </w:r>
      <w:r w:rsidR="00897999" w:rsidRPr="00364EF3">
        <w:rPr>
          <w:rFonts w:cs="Times New Roman"/>
        </w:rPr>
        <w:fldChar w:fldCharType="separate"/>
      </w:r>
      <w:r w:rsidR="00897999" w:rsidRPr="00364EF3">
        <w:rPr>
          <w:rFonts w:cs="Times New Roman"/>
          <w:noProof/>
        </w:rPr>
        <w:t>(2002)</w:t>
      </w:r>
      <w:r w:rsidR="00897999" w:rsidRPr="00364EF3">
        <w:rPr>
          <w:rFonts w:cs="Times New Roman"/>
        </w:rPr>
        <w:fldChar w:fldCharType="end"/>
      </w:r>
      <w:r w:rsidRPr="00364EF3">
        <w:rPr>
          <w:rFonts w:cs="Times New Roman"/>
        </w:rPr>
        <w:t>, the</w:t>
      </w:r>
      <w:r w:rsidR="001C5A43" w:rsidRPr="00364EF3">
        <w:rPr>
          <w:rFonts w:cs="Times New Roman"/>
        </w:rPr>
        <w:t>se</w:t>
      </w:r>
      <w:r w:rsidRPr="00364EF3">
        <w:rPr>
          <w:rFonts w:cs="Times New Roman"/>
        </w:rPr>
        <w:t xml:space="preserve"> are not suitable given the nature of our data. The Erreygers’ index </w:t>
      </w:r>
      <w:r w:rsidRPr="00DC4928">
        <w:rPr>
          <w:rFonts w:cs="Times New Roman"/>
          <w:i/>
        </w:rPr>
        <w:t>E</w:t>
      </w:r>
      <w:r w:rsidRPr="00364EF3">
        <w:rPr>
          <w:rFonts w:cs="Times New Roman"/>
        </w:rPr>
        <w:t xml:space="preserve"> satisfies the four desired properties crucial for this type of analysis, namely: (i) transferability, (ii) mirroring, (iii) level independence; and (iv) cardinal invariance</w:t>
      </w:r>
      <w:r w:rsidR="00C25FEF">
        <w:rPr>
          <w:rFonts w:cs="Times New Roman"/>
        </w:rPr>
        <w:t xml:space="preserve"> </w:t>
      </w:r>
      <w:r w:rsidR="00897999" w:rsidRPr="00364EF3">
        <w:rPr>
          <w:rFonts w:cs="Times New Roman"/>
        </w:rPr>
        <w:fldChar w:fldCharType="begin"/>
      </w:r>
      <w:r w:rsidR="0050612A">
        <w:rPr>
          <w:rFonts w:cs="Times New Roman"/>
        </w:rPr>
        <w:instrText xml:space="preserve"> ADDIN EN.CITE &lt;EndNote&gt;&lt;Cite&gt;&lt;Author&gt;van Doorslaer&lt;/Author&gt;&lt;Year&gt;2011&lt;/Year&gt;&lt;RecNum&gt;34&lt;/RecNum&gt;&lt;DisplayText&gt;(Van Doorslaer &amp;amp; Van Ourti, 2011)&lt;/DisplayText&gt;&lt;record&gt;&lt;rec-number&gt;34&lt;/rec-number&gt;&lt;foreign-keys&gt;&lt;key app="EN" db-id="tv2fspxf809vs5efaz7xrz91atd02zw9ss22" timestamp="0"&gt;34&lt;/key&gt;&lt;/foreign-keys&gt;&lt;ref-type name="Book Section"&gt;5&lt;/ref-type&gt;&lt;contributors&gt;&lt;authors&gt;&lt;author&gt;Van Doorslaer, Eddy&lt;/author&gt;&lt;author&gt;Van Ourti, Tom&lt;/author&gt;&lt;/authors&gt;&lt;secondary-authors&gt;&lt;author&gt;Sherry Glied &lt;/author&gt;&lt;author&gt;Peter C. Smith&lt;/author&gt;&lt;/secondary-authors&gt;&lt;/contributors&gt;&lt;titles&gt;&lt;title&gt;Measuring inequality and inequity in health and health care&lt;/title&gt;&lt;secondary-title&gt;Oxford Handbook on Health Economics. Oxford: Oxford University&lt;/secondary-title&gt;&lt;/titles&gt;&lt;pages&gt;837-869&lt;/pages&gt;&lt;volume&gt;1&lt;/volume&gt;&lt;section&gt;35&lt;/section&gt;&lt;dates&gt;&lt;year&gt;2011&lt;/year&gt;&lt;/dates&gt;&lt;pub-location&gt;Oxford&lt;/pub-location&gt;&lt;publisher&gt;Oxford University Press&lt;/publisher&gt;&lt;urls&gt;&lt;/urls&gt;&lt;/record&gt;&lt;/Cite&gt;&lt;/EndNote&gt;</w:instrText>
      </w:r>
      <w:r w:rsidR="00897999" w:rsidRPr="00364EF3">
        <w:rPr>
          <w:rFonts w:cs="Times New Roman"/>
        </w:rPr>
        <w:fldChar w:fldCharType="separate"/>
      </w:r>
      <w:r w:rsidR="0050612A">
        <w:rPr>
          <w:rFonts w:cs="Times New Roman"/>
          <w:noProof/>
        </w:rPr>
        <w:t>(Van Doorslaer &amp; Van Ourti, 2011)</w:t>
      </w:r>
      <w:r w:rsidR="00897999" w:rsidRPr="00364EF3">
        <w:rPr>
          <w:rFonts w:cs="Times New Roman"/>
        </w:rPr>
        <w:fldChar w:fldCharType="end"/>
      </w:r>
      <w:r w:rsidRPr="00364EF3">
        <w:rPr>
          <w:rFonts w:cs="Times New Roman"/>
        </w:rPr>
        <w:t xml:space="preserve">.  </w:t>
      </w:r>
    </w:p>
    <w:p w14:paraId="176425CF" w14:textId="77777777" w:rsidR="008A2352" w:rsidRPr="00364EF3" w:rsidRDefault="008A2352" w:rsidP="009C7054">
      <w:pPr>
        <w:spacing w:line="480" w:lineRule="auto"/>
        <w:jc w:val="both"/>
        <w:rPr>
          <w:rFonts w:cs="Times New Roman"/>
        </w:rPr>
      </w:pPr>
    </w:p>
    <w:p w14:paraId="5730BB75" w14:textId="61B13DCC" w:rsidR="00FD048F" w:rsidRPr="00364EF3" w:rsidRDefault="00FD048F" w:rsidP="009C7054">
      <w:pPr>
        <w:spacing w:line="480" w:lineRule="auto"/>
        <w:jc w:val="both"/>
        <w:rPr>
          <w:rFonts w:cs="Times New Roman"/>
        </w:rPr>
      </w:pPr>
      <w:r w:rsidRPr="00364EF3">
        <w:rPr>
          <w:rFonts w:cs="Times New Roman"/>
        </w:rPr>
        <w:t>For the first property (transferability),</w:t>
      </w:r>
      <w:r w:rsidRPr="00DC4928">
        <w:rPr>
          <w:rFonts w:cs="Times New Roman"/>
          <w:i/>
        </w:rPr>
        <w:t xml:space="preserve"> E</w:t>
      </w:r>
      <w:r w:rsidRPr="00364EF3">
        <w:rPr>
          <w:rFonts w:cs="Times New Roman"/>
        </w:rPr>
        <w:t xml:space="preserve"> ensures that, in the case of our study, transfers of drug innovation from higher (lower) to lower burden (higher burden) disease areas translate into pro-low burden of disease (pro- high burden of disease) changes in the inequality index.  Second, the mirror property of </w:t>
      </w:r>
      <w:r w:rsidRPr="00DC4928">
        <w:rPr>
          <w:rFonts w:cs="Times New Roman"/>
          <w:i/>
        </w:rPr>
        <w:t xml:space="preserve">E </w:t>
      </w:r>
      <w:r w:rsidRPr="00364EF3">
        <w:rPr>
          <w:rFonts w:cs="Times New Roman"/>
        </w:rPr>
        <w:t>ensures that a positive level of inequality is just the mirror image of the negative level of inequality (</w:t>
      </w:r>
      <w:r w:rsidR="00BF3083">
        <w:rPr>
          <w:rFonts w:cs="Times New Roman"/>
        </w:rPr>
        <w:t>i.e</w:t>
      </w:r>
      <w:r w:rsidRPr="00364EF3">
        <w:rPr>
          <w:rFonts w:cs="Times New Roman"/>
        </w:rPr>
        <w:t xml:space="preserve">. the level of inequality for health, measured by inequality indices, is just the mirror of the inequality indices for ill health and vice versa). This is true for </w:t>
      </w:r>
      <w:r w:rsidRPr="00DC4928">
        <w:rPr>
          <w:rFonts w:cs="Times New Roman"/>
          <w:i/>
        </w:rPr>
        <w:t>E</w:t>
      </w:r>
      <w:r w:rsidRPr="00364EF3">
        <w:rPr>
          <w:rFonts w:cs="Times New Roman"/>
        </w:rPr>
        <w:t xml:space="preserve"> even when the variables used for the construction of the index are bounded (i.e. variables that do not range from any negative to any positive value). This makes</w:t>
      </w:r>
      <w:r w:rsidRPr="00DC4928">
        <w:rPr>
          <w:rFonts w:cs="Times New Roman"/>
          <w:i/>
        </w:rPr>
        <w:t xml:space="preserve"> E</w:t>
      </w:r>
      <w:r w:rsidRPr="00364EF3">
        <w:rPr>
          <w:rFonts w:cs="Times New Roman"/>
        </w:rPr>
        <w:t xml:space="preserve"> flexible enough to the point that the comparison across the sample of diseases/populations with different averages does not affect the calculation of the index. This is particularly relevant for our case since burden of disease and innovation are left- bounded variables.</w:t>
      </w:r>
    </w:p>
    <w:p w14:paraId="37219E94" w14:textId="77777777" w:rsidR="008A2352" w:rsidRPr="00364EF3" w:rsidRDefault="008A2352" w:rsidP="009C7054">
      <w:pPr>
        <w:spacing w:line="480" w:lineRule="auto"/>
        <w:jc w:val="both"/>
        <w:rPr>
          <w:rFonts w:cs="Times New Roman"/>
        </w:rPr>
      </w:pPr>
    </w:p>
    <w:p w14:paraId="03944F53" w14:textId="77777777" w:rsidR="00FD048F" w:rsidRPr="00364EF3" w:rsidRDefault="00FD048F" w:rsidP="009C7054">
      <w:pPr>
        <w:spacing w:line="480" w:lineRule="auto"/>
        <w:jc w:val="both"/>
        <w:rPr>
          <w:rFonts w:cs="Times New Roman"/>
        </w:rPr>
      </w:pPr>
      <w:r w:rsidRPr="00364EF3">
        <w:rPr>
          <w:rFonts w:cs="Times New Roman"/>
        </w:rPr>
        <w:t>Third, the level independence ensures that an equal increment of health for all individuals/innovation to all disease areas does not affect the index; that is, the index is invariant to scalar addition even when the bounds of the variable are kept constant.</w:t>
      </w:r>
    </w:p>
    <w:p w14:paraId="6D4BFC4B" w14:textId="77777777" w:rsidR="008A2352" w:rsidRPr="00364EF3" w:rsidRDefault="008A2352" w:rsidP="009C7054">
      <w:pPr>
        <w:spacing w:line="480" w:lineRule="auto"/>
        <w:jc w:val="both"/>
        <w:rPr>
          <w:rFonts w:cs="Times New Roman"/>
        </w:rPr>
      </w:pPr>
    </w:p>
    <w:p w14:paraId="6BB3D221" w14:textId="77777777" w:rsidR="00FD048F" w:rsidRPr="00364EF3" w:rsidRDefault="00FD048F" w:rsidP="009C7054">
      <w:pPr>
        <w:spacing w:line="480" w:lineRule="auto"/>
        <w:jc w:val="both"/>
        <w:rPr>
          <w:rFonts w:cs="Times New Roman"/>
        </w:rPr>
      </w:pPr>
      <w:r w:rsidRPr="00364EF3">
        <w:rPr>
          <w:rFonts w:cs="Times New Roman"/>
        </w:rPr>
        <w:lastRenderedPageBreak/>
        <w:t>Finally, the cardinal invariance of the index ensures that a linear transformation of our variables of interest (health variable/innovation) does not affect the value of the index; that is, the measured degree of inequalities is the same, irrespective of the cardinal scale of our variable.</w:t>
      </w:r>
    </w:p>
    <w:p w14:paraId="5321AFAA" w14:textId="77777777" w:rsidR="00FD048F" w:rsidRPr="00364EF3" w:rsidRDefault="00FD048F" w:rsidP="009C7054">
      <w:pPr>
        <w:spacing w:line="480" w:lineRule="auto"/>
        <w:jc w:val="both"/>
        <w:rPr>
          <w:rFonts w:cs="Times New Roman"/>
        </w:rPr>
      </w:pPr>
    </w:p>
    <w:p w14:paraId="374609E0" w14:textId="77777777" w:rsidR="005F1E10" w:rsidRPr="00364EF3" w:rsidRDefault="005F1E10" w:rsidP="009C7054">
      <w:pPr>
        <w:spacing w:line="480" w:lineRule="auto"/>
        <w:jc w:val="both"/>
        <w:rPr>
          <w:rFonts w:cs="Times New Roman"/>
          <w:i/>
        </w:rPr>
      </w:pPr>
      <w:r w:rsidRPr="00364EF3">
        <w:rPr>
          <w:rFonts w:cs="Times New Roman"/>
          <w:i/>
        </w:rPr>
        <w:t>Data</w:t>
      </w:r>
    </w:p>
    <w:p w14:paraId="14F5976A" w14:textId="4A270E97" w:rsidR="005F1E10" w:rsidRPr="00364EF3" w:rsidRDefault="0092022E" w:rsidP="009C7054">
      <w:pPr>
        <w:spacing w:line="480" w:lineRule="auto"/>
        <w:jc w:val="both"/>
        <w:rPr>
          <w:rFonts w:cs="Times New Roman"/>
        </w:rPr>
      </w:pPr>
      <w:r w:rsidRPr="00364EF3">
        <w:rPr>
          <w:rFonts w:cs="Times New Roman"/>
        </w:rPr>
        <w:t xml:space="preserve">In this study we </w:t>
      </w:r>
      <w:r w:rsidR="004517BD" w:rsidRPr="00364EF3">
        <w:rPr>
          <w:rFonts w:cs="Times New Roman"/>
        </w:rPr>
        <w:t>combine</w:t>
      </w:r>
      <w:r w:rsidR="005F1E10" w:rsidRPr="00364EF3">
        <w:rPr>
          <w:rFonts w:cs="Times New Roman"/>
        </w:rPr>
        <w:t xml:space="preserve"> three data sources: (i) IMS Health R&amp;D Focus database</w:t>
      </w:r>
      <w:r w:rsidR="000E291F">
        <w:rPr>
          <w:rFonts w:cs="Times New Roman"/>
        </w:rPr>
        <w:t xml:space="preserve"> </w:t>
      </w:r>
      <w:r w:rsidR="003D7AF5">
        <w:rPr>
          <w:rFonts w:cs="Times New Roman"/>
        </w:rPr>
        <w:fldChar w:fldCharType="begin"/>
      </w:r>
      <w:r w:rsidR="004B1BF5">
        <w:rPr>
          <w:rFonts w:cs="Times New Roman"/>
        </w:rPr>
        <w:instrText xml:space="preserve"> ADDIN EN.CITE &lt;EndNote&gt;&lt;Cite&gt;&lt;Author&gt;IMS Health&lt;/Author&gt;&lt;Year&gt;2012&lt;/Year&gt;&lt;RecNum&gt;36&lt;/RecNum&gt;&lt;DisplayText&gt;(IMS Health, 2012)&lt;/DisplayText&gt;&lt;record&gt;&lt;rec-number&gt;36&lt;/rec-number&gt;&lt;foreign-keys&gt;&lt;key app="EN" db-id="fete5e25iazx05es5p2vwse8vftw20pp9z9z" timestamp="0"&gt;36&lt;/key&gt;&lt;/foreign-keys&gt;&lt;ref-type name="Magazine Article"&gt;19&lt;/ref-type&gt;&lt;contributors&gt;&lt;authors&gt;&lt;author&gt;IMS Health, &lt;/author&gt;&lt;/authors&gt;&lt;secondary-authors&gt;&lt;author&gt;IMS Health, &lt;/author&gt;&lt;/secondary-authors&gt;&lt;/contributors&gt;&lt;titles&gt;&lt;title&gt;IMS LifeCycle: Detailed Reference Manual 2012&lt;/title&gt;&lt;/titles&gt;&lt;dates&gt;&lt;year&gt;2012&lt;/year&gt;&lt;/dates&gt;&lt;urls&gt;&lt;/urls&gt;&lt;/record&gt;&lt;/Cite&gt;&lt;Cite&gt;&lt;Author&gt;IMS Health&lt;/Author&gt;&lt;Year&gt;2012&lt;/Year&gt;&lt;RecNum&gt;36&lt;/RecNum&gt;&lt;record&gt;&lt;rec-number&gt;36&lt;/rec-number&gt;&lt;foreign-keys&gt;&lt;key app="EN" db-id="fete5e25iazx05es5p2vwse8vftw20pp9z9z" timestamp="0"&gt;36&lt;/key&gt;&lt;/foreign-keys&gt;&lt;ref-type name="Magazine Article"&gt;19&lt;/ref-type&gt;&lt;contributors&gt;&lt;authors&gt;&lt;author&gt;IMS Health, &lt;/author&gt;&lt;/authors&gt;&lt;secondary-authors&gt;&lt;author&gt;IMS Health, &lt;/author&gt;&lt;/secondary-authors&gt;&lt;/contributors&gt;&lt;titles&gt;&lt;title&gt;IMS LifeCycle: Detailed Reference Manual 2012&lt;/title&gt;&lt;/titles&gt;&lt;dates&gt;&lt;year&gt;2012&lt;/year&gt;&lt;/dates&gt;&lt;urls&gt;&lt;/urls&gt;&lt;/record&gt;&lt;/Cite&gt;&lt;/EndNote&gt;</w:instrText>
      </w:r>
      <w:r w:rsidR="003D7AF5">
        <w:rPr>
          <w:rFonts w:cs="Times New Roman"/>
        </w:rPr>
        <w:fldChar w:fldCharType="separate"/>
      </w:r>
      <w:r w:rsidR="003D7AF5">
        <w:rPr>
          <w:rFonts w:cs="Times New Roman"/>
          <w:noProof/>
        </w:rPr>
        <w:t>(IMS Health, 2012)</w:t>
      </w:r>
      <w:r w:rsidR="003D7AF5">
        <w:rPr>
          <w:rFonts w:cs="Times New Roman"/>
        </w:rPr>
        <w:fldChar w:fldCharType="end"/>
      </w:r>
      <w:r w:rsidR="005F1E10" w:rsidRPr="00364EF3">
        <w:rPr>
          <w:rFonts w:cs="Times New Roman"/>
        </w:rPr>
        <w:t>, which provides information on global pharmaceutical R&amp;D activity</w:t>
      </w:r>
      <w:r w:rsidR="003713DC" w:rsidRPr="00364EF3">
        <w:rPr>
          <w:rFonts w:cs="Times New Roman"/>
        </w:rPr>
        <w:t xml:space="preserve"> and market launches</w:t>
      </w:r>
      <w:r w:rsidR="005F1E10" w:rsidRPr="00364EF3">
        <w:rPr>
          <w:rFonts w:cs="Times New Roman"/>
        </w:rPr>
        <w:t xml:space="preserve"> linkable through ICD-10 with (ii) the GBD 2013 study from </w:t>
      </w:r>
      <w:r w:rsidR="00B37B9A">
        <w:rPr>
          <w:rFonts w:cs="Times New Roman"/>
        </w:rPr>
        <w:t xml:space="preserve">the </w:t>
      </w:r>
      <w:r w:rsidR="005F1E10" w:rsidRPr="00364EF3">
        <w:rPr>
          <w:rFonts w:cs="Times New Roman"/>
        </w:rPr>
        <w:t>Institute of Health Metrics and Evaluation (IHME) that includes the most recent global estimates on disease and country-specific disease burden and mortality for 1990 and 2010</w:t>
      </w:r>
      <w:r w:rsidR="000E291F">
        <w:rPr>
          <w:rFonts w:cs="Times New Roman"/>
        </w:rPr>
        <w:t xml:space="preserve"> </w:t>
      </w:r>
      <w:r w:rsidR="000E291F">
        <w:rPr>
          <w:rFonts w:cs="Times New Roman"/>
        </w:rPr>
        <w:fldChar w:fldCharType="begin"/>
      </w:r>
      <w:r w:rsidR="000E291F">
        <w:rPr>
          <w:rFonts w:cs="Times New Roman"/>
        </w:rPr>
        <w:instrText xml:space="preserve"> ADDIN EN.CITE &lt;EndNote&gt;&lt;Cite&gt;&lt;Author&gt;Murray&lt;/Author&gt;&lt;Year&gt;2013&lt;/Year&gt;&lt;RecNum&gt;1&lt;/RecNum&gt;&lt;DisplayText&gt;(Murray et al., 2013)&lt;/DisplayText&gt;&lt;record&gt;&lt;rec-number&gt;1&lt;/rec-number&gt;&lt;foreign-keys&gt;&lt;key app="EN" db-id="vxpdd52pg2ed2nefzxix5sratdxa2vx2xzdz" timestamp="1527864771"&gt;1&lt;/key&gt;&lt;/foreign-keys&gt;&lt;ref-type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000E291F">
        <w:rPr>
          <w:rFonts w:cs="Times New Roman"/>
        </w:rPr>
        <w:fldChar w:fldCharType="separate"/>
      </w:r>
      <w:r w:rsidR="000E291F">
        <w:rPr>
          <w:rFonts w:cs="Times New Roman"/>
          <w:noProof/>
        </w:rPr>
        <w:t>(Murray et al., 2013)</w:t>
      </w:r>
      <w:r w:rsidR="000E291F">
        <w:rPr>
          <w:rFonts w:cs="Times New Roman"/>
        </w:rPr>
        <w:fldChar w:fldCharType="end"/>
      </w:r>
      <w:r w:rsidR="005F1E10" w:rsidRPr="00364EF3">
        <w:rPr>
          <w:rFonts w:cs="Times New Roman"/>
        </w:rPr>
        <w:t>, and (iii) World Bank statist</w:t>
      </w:r>
      <w:r w:rsidR="00BD2FC7" w:rsidRPr="00364EF3">
        <w:rPr>
          <w:rFonts w:cs="Times New Roman"/>
        </w:rPr>
        <w:t>ics on national GDP per capita</w:t>
      </w:r>
      <w:r w:rsidR="00FA1E5F" w:rsidRPr="00364EF3">
        <w:rPr>
          <w:rFonts w:cs="Times New Roman"/>
        </w:rPr>
        <w:t xml:space="preserve"> to proxy </w:t>
      </w:r>
      <w:r w:rsidR="00691F56">
        <w:rPr>
          <w:rFonts w:cs="Times New Roman"/>
        </w:rPr>
        <w:t>ability</w:t>
      </w:r>
      <w:r w:rsidR="00FA1E5F" w:rsidRPr="00364EF3">
        <w:rPr>
          <w:rFonts w:cs="Times New Roman"/>
        </w:rPr>
        <w:t>-to-pay</w:t>
      </w:r>
      <w:r w:rsidR="00184F30">
        <w:rPr>
          <w:rFonts w:cs="Times New Roman"/>
        </w:rPr>
        <w:t xml:space="preserve"> for 1990 and 2010</w:t>
      </w:r>
      <w:r w:rsidR="000E291F">
        <w:rPr>
          <w:rFonts w:cs="Times New Roman"/>
        </w:rPr>
        <w:t xml:space="preserve"> </w:t>
      </w:r>
      <w:r w:rsidR="000E291F">
        <w:rPr>
          <w:rFonts w:cs="Times New Roman"/>
        </w:rPr>
        <w:fldChar w:fldCharType="begin"/>
      </w:r>
      <w:r w:rsidR="004B1BF5">
        <w:rPr>
          <w:rFonts w:cs="Times New Roman"/>
        </w:rPr>
        <w:instrText xml:space="preserve"> ADDIN EN.CITE &lt;EndNote&gt;&lt;Cite&gt;&lt;Author&gt;World Bank&lt;/Author&gt;&lt;Year&gt;2018&lt;/Year&gt;&lt;RecNum&gt;66&lt;/RecNum&gt;&lt;DisplayText&gt;(World Bank, 2018)&lt;/DisplayText&gt;&lt;record&gt;&lt;rec-number&gt;66&lt;/rec-number&gt;&lt;foreign-keys&gt;&lt;key app="EN" db-id="fete5e25iazx05es5p2vwse8vftw20pp9z9z" timestamp="0"&gt;66&lt;/key&gt;&lt;/foreign-keys&gt;&lt;ref-type name="Online Database"&gt;45&lt;/ref-type&gt;&lt;contributors&gt;&lt;authors&gt;&lt;author&gt;World Bank, &lt;/author&gt;&lt;/authors&gt;&lt;/contributors&gt;&lt;titles&gt;&lt;title&gt;World Development Indicators&lt;/title&gt;&lt;/titles&gt;&lt;dates&gt;&lt;year&gt;2018&lt;/year&gt;&lt;pub-dates&gt;&lt;date&gt;17-05-2017&lt;/date&gt;&lt;/pub-dates&gt;&lt;/dates&gt;&lt;urls&gt;&lt;related-urls&gt;&lt;url&gt;http://databank.worldbank.org/data/source/world-development-indicators&lt;/url&gt;&lt;/related-urls&gt;&lt;/urls&gt;&lt;/record&gt;&lt;/Cite&gt;&lt;/EndNote&gt;</w:instrText>
      </w:r>
      <w:r w:rsidR="000E291F">
        <w:rPr>
          <w:rFonts w:cs="Times New Roman"/>
        </w:rPr>
        <w:fldChar w:fldCharType="separate"/>
      </w:r>
      <w:r w:rsidR="000E291F">
        <w:rPr>
          <w:rFonts w:cs="Times New Roman"/>
          <w:noProof/>
        </w:rPr>
        <w:t>(World Bank, 2018)</w:t>
      </w:r>
      <w:r w:rsidR="000E291F">
        <w:rPr>
          <w:rFonts w:cs="Times New Roman"/>
        </w:rPr>
        <w:fldChar w:fldCharType="end"/>
      </w:r>
      <w:r w:rsidR="00BD2FC7" w:rsidRPr="00364EF3">
        <w:rPr>
          <w:rFonts w:cs="Times New Roman"/>
        </w:rPr>
        <w:t>.</w:t>
      </w:r>
    </w:p>
    <w:p w14:paraId="2CBE8A76" w14:textId="0074D8A3" w:rsidR="005F1E10" w:rsidRPr="00364EF3" w:rsidRDefault="005F1E10" w:rsidP="009C7054">
      <w:pPr>
        <w:spacing w:line="480" w:lineRule="auto"/>
        <w:jc w:val="both"/>
        <w:rPr>
          <w:rFonts w:cs="Times New Roman"/>
        </w:rPr>
      </w:pPr>
      <w:r w:rsidRPr="00364EF3">
        <w:rPr>
          <w:rFonts w:cs="Times New Roman"/>
        </w:rPr>
        <w:t xml:space="preserve">The IMS database is used by the </w:t>
      </w:r>
      <w:r w:rsidR="0014542E" w:rsidRPr="00364EF3">
        <w:rPr>
          <w:rFonts w:cs="Times New Roman"/>
        </w:rPr>
        <w:t xml:space="preserve">pharmaceutical </w:t>
      </w:r>
      <w:r w:rsidRPr="00364EF3">
        <w:rPr>
          <w:rFonts w:cs="Times New Roman"/>
        </w:rPr>
        <w:t>industry to monitor market structure and performance to inform strategic decision-making. It assembles the history of all compounds in development from the early-1980s to the present, for which information is compiled from patent and regulatory filings, presentations at medical conferences, press releases, and</w:t>
      </w:r>
      <w:r w:rsidR="00D956BF" w:rsidRPr="00364EF3">
        <w:rPr>
          <w:rFonts w:cs="Times New Roman"/>
        </w:rPr>
        <w:t xml:space="preserve"> financial information disclosed</w:t>
      </w:r>
      <w:r w:rsidR="0082173E" w:rsidRPr="0082173E">
        <w:rPr>
          <w:rFonts w:cs="Times New Roman"/>
        </w:rPr>
        <w:t xml:space="preserve"> </w:t>
      </w:r>
      <w:r w:rsidR="0082173E">
        <w:rPr>
          <w:rFonts w:cs="Times New Roman"/>
        </w:rPr>
        <w:fldChar w:fldCharType="begin"/>
      </w:r>
      <w:r w:rsidR="004B1BF5">
        <w:rPr>
          <w:rFonts w:cs="Times New Roman"/>
        </w:rPr>
        <w:instrText xml:space="preserve"> ADDIN EN.CITE &lt;EndNote&gt;&lt;Cite&gt;&lt;Author&gt;IMS Health&lt;/Author&gt;&lt;Year&gt;2012&lt;/Year&gt;&lt;RecNum&gt;36&lt;/RecNum&gt;&lt;DisplayText&gt;(IMS Health, 2012)&lt;/DisplayText&gt;&lt;record&gt;&lt;rec-number&gt;36&lt;/rec-number&gt;&lt;foreign-keys&gt;&lt;key app="EN" db-id="fete5e25iazx05es5p2vwse8vftw20pp9z9z" timestamp="0"&gt;36&lt;/key&gt;&lt;/foreign-keys&gt;&lt;ref-type name="Magazine Article"&gt;19&lt;/ref-type&gt;&lt;contributors&gt;&lt;authors&gt;&lt;author&gt;IMS Health, &lt;/author&gt;&lt;/authors&gt;&lt;secondary-authors&gt;&lt;author&gt;IMS Health, &lt;/author&gt;&lt;/secondary-authors&gt;&lt;/contributors&gt;&lt;titles&gt;&lt;title&gt;IMS LifeCycle: Detailed Reference Manual 2012&lt;/title&gt;&lt;/titles&gt;&lt;dates&gt;&lt;year&gt;2012&lt;/year&gt;&lt;/dates&gt;&lt;urls&gt;&lt;/urls&gt;&lt;/record&gt;&lt;/Cite&gt;&lt;/EndNote&gt;</w:instrText>
      </w:r>
      <w:r w:rsidR="0082173E">
        <w:rPr>
          <w:rFonts w:cs="Times New Roman"/>
        </w:rPr>
        <w:fldChar w:fldCharType="separate"/>
      </w:r>
      <w:r w:rsidR="0082173E">
        <w:rPr>
          <w:rFonts w:cs="Times New Roman"/>
          <w:noProof/>
        </w:rPr>
        <w:t>(IMS Health, 2012)</w:t>
      </w:r>
      <w:r w:rsidR="0082173E">
        <w:rPr>
          <w:rFonts w:cs="Times New Roman"/>
        </w:rPr>
        <w:fldChar w:fldCharType="end"/>
      </w:r>
      <w:r w:rsidRPr="00364EF3">
        <w:rPr>
          <w:rFonts w:cs="Times New Roman"/>
        </w:rPr>
        <w:t>. It records the progress of compounds across R&amp;D phases, including discontinuation and market launch.</w:t>
      </w:r>
    </w:p>
    <w:p w14:paraId="24D29940" w14:textId="438239FD" w:rsidR="005F1E10" w:rsidRPr="00364EF3" w:rsidRDefault="005F1E10" w:rsidP="009C7054">
      <w:pPr>
        <w:spacing w:line="480" w:lineRule="auto"/>
        <w:jc w:val="both"/>
        <w:rPr>
          <w:rFonts w:cs="Times New Roman"/>
        </w:rPr>
      </w:pPr>
      <w:r w:rsidRPr="00364EF3">
        <w:rPr>
          <w:rFonts w:cs="Times New Roman"/>
        </w:rPr>
        <w:t>Compounds include small molecules, monoclonal antibodies, proteins, gene therapies, vaccines and immunotherapies, as well as fixed combination products, biosimilars, in vivo imaging agents, and specialized delivery systems targeting one of the 493 possible distinctive therapeutic indications</w:t>
      </w:r>
      <w:r w:rsidR="003D7AF5">
        <w:rPr>
          <w:rFonts w:cs="Times New Roman"/>
        </w:rPr>
        <w:t xml:space="preserve"> </w:t>
      </w:r>
      <w:r w:rsidR="0082173E">
        <w:rPr>
          <w:rFonts w:cs="Times New Roman"/>
        </w:rPr>
        <w:fldChar w:fldCharType="begin"/>
      </w:r>
      <w:r w:rsidR="004B1BF5">
        <w:rPr>
          <w:rFonts w:cs="Times New Roman"/>
        </w:rPr>
        <w:instrText xml:space="preserve"> ADDIN EN.CITE &lt;EndNote&gt;&lt;Cite&gt;&lt;Author&gt;IMS Health&lt;/Author&gt;&lt;Year&gt;2012&lt;/Year&gt;&lt;RecNum&gt;36&lt;/RecNum&gt;&lt;DisplayText&gt;(IMS Health, 2012)&lt;/DisplayText&gt;&lt;record&gt;&lt;rec-number&gt;36&lt;/rec-number&gt;&lt;foreign-keys&gt;&lt;key app="EN" db-id="fete5e25iazx05es5p2vwse8vftw20pp9z9z" timestamp="0"&gt;36&lt;/key&gt;&lt;/foreign-keys&gt;&lt;ref-type name="Magazine Article"&gt;19&lt;/ref-type&gt;&lt;contributors&gt;&lt;authors&gt;&lt;author&gt;IMS Health, &lt;/author&gt;&lt;/authors&gt;&lt;secondary-authors&gt;&lt;author&gt;IMS Health, &lt;/author&gt;&lt;/secondary-authors&gt;&lt;/contributors&gt;&lt;titles&gt;&lt;title&gt;IMS LifeCycle: Detailed Reference Manual 2012&lt;/title&gt;&lt;/titles&gt;&lt;dates&gt;&lt;year&gt;2012&lt;/year&gt;&lt;/dates&gt;&lt;urls&gt;&lt;/urls&gt;&lt;/record&gt;&lt;/Cite&gt;&lt;/EndNote&gt;</w:instrText>
      </w:r>
      <w:r w:rsidR="0082173E">
        <w:rPr>
          <w:rFonts w:cs="Times New Roman"/>
        </w:rPr>
        <w:fldChar w:fldCharType="separate"/>
      </w:r>
      <w:r w:rsidR="0082173E">
        <w:rPr>
          <w:rFonts w:cs="Times New Roman"/>
          <w:noProof/>
        </w:rPr>
        <w:t>(IMS Health, 2012)</w:t>
      </w:r>
      <w:r w:rsidR="0082173E">
        <w:rPr>
          <w:rFonts w:cs="Times New Roman"/>
        </w:rPr>
        <w:fldChar w:fldCharType="end"/>
      </w:r>
      <w:r w:rsidRPr="00364EF3">
        <w:rPr>
          <w:rFonts w:cs="Times New Roman"/>
        </w:rPr>
        <w:t xml:space="preserve">. Each compound presents up to 17 different therapeutic indications. We have therefore considered all indications resulting in a compound-indication as </w:t>
      </w:r>
      <w:r w:rsidR="006E3EED" w:rsidRPr="00364EF3">
        <w:rPr>
          <w:rFonts w:cs="Times New Roman"/>
        </w:rPr>
        <w:t xml:space="preserve">our </w:t>
      </w:r>
      <w:r w:rsidRPr="00364EF3">
        <w:rPr>
          <w:rFonts w:cs="Times New Roman"/>
        </w:rPr>
        <w:t xml:space="preserve">unit of analysis. These have been matched </w:t>
      </w:r>
      <w:r w:rsidR="001D3B76" w:rsidRPr="00364EF3">
        <w:rPr>
          <w:rFonts w:cs="Times New Roman"/>
        </w:rPr>
        <w:t xml:space="preserve">to disease-level need measures </w:t>
      </w:r>
      <w:r w:rsidRPr="00364EF3">
        <w:rPr>
          <w:rFonts w:cs="Times New Roman"/>
        </w:rPr>
        <w:t xml:space="preserve">using ICD codes </w:t>
      </w:r>
      <w:r w:rsidR="001D3B76" w:rsidRPr="00364EF3">
        <w:rPr>
          <w:rFonts w:cs="Times New Roman"/>
        </w:rPr>
        <w:t>and medical dictionaries</w:t>
      </w:r>
      <w:r w:rsidRPr="00364EF3">
        <w:rPr>
          <w:rFonts w:cs="Times New Roman"/>
        </w:rPr>
        <w:t xml:space="preserve">. After dropping compounds with missing </w:t>
      </w:r>
      <w:r w:rsidRPr="00364EF3">
        <w:rPr>
          <w:rFonts w:cs="Times New Roman"/>
        </w:rPr>
        <w:lastRenderedPageBreak/>
        <w:t xml:space="preserve">information at the indication level (0.1% of total compound-indications) we have performed analysis for 1990 and 2010, with a total of 63,402 and 59,301 compound-indication units of observation respectively. </w:t>
      </w:r>
    </w:p>
    <w:p w14:paraId="3E4DF18F" w14:textId="77777777" w:rsidR="005F1E10" w:rsidRPr="00364EF3" w:rsidRDefault="005F1E10" w:rsidP="009C7054">
      <w:pPr>
        <w:spacing w:line="480" w:lineRule="auto"/>
        <w:jc w:val="both"/>
        <w:rPr>
          <w:rFonts w:cs="Times New Roman"/>
        </w:rPr>
      </w:pPr>
    </w:p>
    <w:p w14:paraId="4F38D576" w14:textId="77777777" w:rsidR="005F1E10" w:rsidRPr="00364EF3" w:rsidRDefault="004A4853" w:rsidP="009C7054">
      <w:pPr>
        <w:spacing w:line="480" w:lineRule="auto"/>
        <w:jc w:val="both"/>
        <w:rPr>
          <w:rFonts w:eastAsia="MS Mincho" w:cs="Times New Roman"/>
        </w:rPr>
      </w:pPr>
      <w:r w:rsidRPr="00364EF3">
        <w:rPr>
          <w:rFonts w:cs="Times New Roman"/>
        </w:rPr>
        <w:t>Using the three data sources, w</w:t>
      </w:r>
      <w:r w:rsidR="005F1E10" w:rsidRPr="00364EF3">
        <w:rPr>
          <w:rFonts w:cs="Times New Roman"/>
        </w:rPr>
        <w:t xml:space="preserve">e construct three disease-specific variables for 1990 and 2010 to proxy: (i) global drug innovation, (ii) global </w:t>
      </w:r>
      <w:r w:rsidR="001F0770" w:rsidRPr="00364EF3">
        <w:rPr>
          <w:rFonts w:cs="Times New Roman"/>
        </w:rPr>
        <w:t>burden of disease</w:t>
      </w:r>
      <w:r w:rsidR="005F1E10" w:rsidRPr="00364EF3">
        <w:rPr>
          <w:rFonts w:cs="Times New Roman"/>
        </w:rPr>
        <w:t xml:space="preserve">, and (iii) global market size. </w:t>
      </w:r>
    </w:p>
    <w:p w14:paraId="5261F9E4" w14:textId="75F779C2" w:rsidR="001E195F" w:rsidRPr="00364EF3" w:rsidRDefault="005F1E10" w:rsidP="009C7054">
      <w:pPr>
        <w:spacing w:line="480" w:lineRule="auto"/>
        <w:jc w:val="both"/>
        <w:rPr>
          <w:rFonts w:cs="Times New Roman"/>
        </w:rPr>
      </w:pPr>
      <w:r w:rsidRPr="00364EF3">
        <w:rPr>
          <w:rFonts w:cs="Times New Roman"/>
        </w:rPr>
        <w:t xml:space="preserve">To measure global drug innovation we </w:t>
      </w:r>
      <w:r w:rsidR="005E7E93" w:rsidRPr="00364EF3">
        <w:rPr>
          <w:rFonts w:cs="Times New Roman"/>
        </w:rPr>
        <w:t>use</w:t>
      </w:r>
      <w:r w:rsidR="001E195F" w:rsidRPr="00364EF3">
        <w:rPr>
          <w:rFonts w:cs="Times New Roman"/>
        </w:rPr>
        <w:t xml:space="preserve"> the number of successful compounds that effectively pass the drug approval and licensing requirements</w:t>
      </w:r>
      <w:r w:rsidR="000A0642" w:rsidRPr="00364EF3">
        <w:rPr>
          <w:rFonts w:cs="Times New Roman"/>
        </w:rPr>
        <w:t xml:space="preserve"> by</w:t>
      </w:r>
      <w:r w:rsidR="001E195F" w:rsidRPr="00364EF3">
        <w:rPr>
          <w:rFonts w:cs="Times New Roman"/>
        </w:rPr>
        <w:t xml:space="preserve"> </w:t>
      </w:r>
      <w:r w:rsidRPr="00364EF3">
        <w:rPr>
          <w:rFonts w:cs="Times New Roman"/>
        </w:rPr>
        <w:t>count</w:t>
      </w:r>
      <w:r w:rsidR="000A0642" w:rsidRPr="00364EF3">
        <w:rPr>
          <w:rFonts w:cs="Times New Roman"/>
        </w:rPr>
        <w:t>ing</w:t>
      </w:r>
      <w:r w:rsidRPr="00364EF3">
        <w:rPr>
          <w:rFonts w:cs="Times New Roman"/>
        </w:rPr>
        <w:t xml:space="preserve"> the number of therapies</w:t>
      </w:r>
      <w:r w:rsidR="006F2184">
        <w:rPr>
          <w:rFonts w:cs="Times New Roman"/>
        </w:rPr>
        <w:t xml:space="preserve"> targeting a certain disease</w:t>
      </w:r>
      <w:r w:rsidRPr="00364EF3">
        <w:rPr>
          <w:rFonts w:cs="Times New Roman"/>
        </w:rPr>
        <w:t xml:space="preserve"> </w:t>
      </w:r>
      <w:r w:rsidR="00C131ED" w:rsidRPr="00364EF3">
        <w:rPr>
          <w:rFonts w:cs="Times New Roman"/>
        </w:rPr>
        <w:t xml:space="preserve">that have received </w:t>
      </w:r>
      <w:r w:rsidRPr="00364EF3">
        <w:rPr>
          <w:rFonts w:cs="Times New Roman"/>
        </w:rPr>
        <w:t>market authorization</w:t>
      </w:r>
      <w:r w:rsidR="00926461" w:rsidRPr="00364EF3">
        <w:rPr>
          <w:rFonts w:cs="Times New Roman"/>
        </w:rPr>
        <w:t xml:space="preserve"> </w:t>
      </w:r>
      <w:r w:rsidR="00A21FA7">
        <w:rPr>
          <w:rFonts w:cs="Times New Roman"/>
        </w:rPr>
        <w:t>in</w:t>
      </w:r>
      <w:r w:rsidRPr="00364EF3">
        <w:rPr>
          <w:rFonts w:cs="Times New Roman"/>
        </w:rPr>
        <w:t xml:space="preserve"> 1990 and 2010.</w:t>
      </w:r>
      <w:r w:rsidR="00FE1B9D" w:rsidRPr="00364EF3">
        <w:rPr>
          <w:rFonts w:cs="Times New Roman"/>
        </w:rPr>
        <w:t xml:space="preserve"> </w:t>
      </w:r>
    </w:p>
    <w:p w14:paraId="13BC7A7F" w14:textId="2447C6C7" w:rsidR="005F1E10" w:rsidRPr="00364EF3" w:rsidRDefault="00EB256C" w:rsidP="009C7054">
      <w:pPr>
        <w:spacing w:line="480" w:lineRule="auto"/>
        <w:jc w:val="both"/>
        <w:rPr>
          <w:rFonts w:cs="Times New Roman"/>
        </w:rPr>
      </w:pPr>
      <w:r w:rsidRPr="00364EF3">
        <w:rPr>
          <w:rFonts w:cs="Times New Roman"/>
        </w:rPr>
        <w:t>While it could be argued that market launches</w:t>
      </w:r>
      <w:r w:rsidR="00DE0C20" w:rsidRPr="00364EF3">
        <w:rPr>
          <w:rFonts w:cs="Times New Roman"/>
        </w:rPr>
        <w:t xml:space="preserve"> fail</w:t>
      </w:r>
      <w:r w:rsidRPr="00364EF3">
        <w:rPr>
          <w:rFonts w:cs="Times New Roman"/>
        </w:rPr>
        <w:t xml:space="preserve"> to capture incremental innovation</w:t>
      </w:r>
      <w:r w:rsidR="0064085A" w:rsidRPr="00364EF3">
        <w:rPr>
          <w:rFonts w:cs="Times New Roman"/>
        </w:rPr>
        <w:t>s</w:t>
      </w:r>
      <w:r w:rsidRPr="00364EF3">
        <w:rPr>
          <w:rFonts w:cs="Times New Roman"/>
        </w:rPr>
        <w:t xml:space="preserve"> during the R&amp;D proce</w:t>
      </w:r>
      <w:r w:rsidR="005E0FCD" w:rsidRPr="00364EF3">
        <w:rPr>
          <w:rFonts w:cs="Times New Roman"/>
        </w:rPr>
        <w:t>ss that never reach the marke</w:t>
      </w:r>
      <w:r w:rsidR="00BF3083">
        <w:rPr>
          <w:rFonts w:cs="Times New Roman"/>
        </w:rPr>
        <w:t>t</w:t>
      </w:r>
      <w:r w:rsidR="005E0FCD" w:rsidRPr="00364EF3">
        <w:rPr>
          <w:rFonts w:cs="Times New Roman"/>
        </w:rPr>
        <w:t xml:space="preserve">, </w:t>
      </w:r>
      <w:r w:rsidR="001E195F" w:rsidRPr="00364EF3">
        <w:rPr>
          <w:rFonts w:cs="Times New Roman"/>
        </w:rPr>
        <w:t xml:space="preserve">we believe </w:t>
      </w:r>
      <w:r w:rsidR="005E7E93" w:rsidRPr="00364EF3">
        <w:rPr>
          <w:rFonts w:cs="Times New Roman"/>
        </w:rPr>
        <w:t xml:space="preserve">that </w:t>
      </w:r>
      <w:r w:rsidR="00C85A78">
        <w:rPr>
          <w:rFonts w:cs="Times New Roman"/>
        </w:rPr>
        <w:t>market</w:t>
      </w:r>
      <w:r w:rsidR="00C85A78" w:rsidRPr="00364EF3">
        <w:rPr>
          <w:rFonts w:cs="Times New Roman"/>
        </w:rPr>
        <w:t xml:space="preserve"> </w:t>
      </w:r>
      <w:r w:rsidR="00846DAE" w:rsidRPr="00364EF3">
        <w:rPr>
          <w:rFonts w:cs="Times New Roman"/>
        </w:rPr>
        <w:t xml:space="preserve">authorizations </w:t>
      </w:r>
      <w:r w:rsidR="005E7E93" w:rsidRPr="00364EF3">
        <w:rPr>
          <w:rFonts w:cs="Times New Roman"/>
        </w:rPr>
        <w:t xml:space="preserve">realistically </w:t>
      </w:r>
      <w:r w:rsidR="001E195F" w:rsidRPr="00364EF3">
        <w:rPr>
          <w:rFonts w:cs="Times New Roman"/>
        </w:rPr>
        <w:t>capture the</w:t>
      </w:r>
      <w:r w:rsidR="005E7E93" w:rsidRPr="00364EF3">
        <w:rPr>
          <w:rFonts w:cs="Times New Roman"/>
        </w:rPr>
        <w:t xml:space="preserve"> level of innovation</w:t>
      </w:r>
      <w:r w:rsidR="008A2352" w:rsidRPr="00364EF3">
        <w:rPr>
          <w:rFonts w:cs="Times New Roman"/>
        </w:rPr>
        <w:t xml:space="preserve"> effectively</w:t>
      </w:r>
      <w:r w:rsidR="005E0FCD" w:rsidRPr="00364EF3">
        <w:rPr>
          <w:rFonts w:cs="Times New Roman"/>
        </w:rPr>
        <w:t xml:space="preserve"> available</w:t>
      </w:r>
      <w:r w:rsidR="001E195F" w:rsidRPr="00364EF3">
        <w:rPr>
          <w:rFonts w:cs="Times New Roman"/>
        </w:rPr>
        <w:t xml:space="preserve"> </w:t>
      </w:r>
      <w:r w:rsidR="005E0FCD" w:rsidRPr="00364EF3">
        <w:rPr>
          <w:rFonts w:cs="Times New Roman"/>
        </w:rPr>
        <w:t>to address</w:t>
      </w:r>
      <w:r w:rsidR="001E195F" w:rsidRPr="00364EF3">
        <w:rPr>
          <w:rFonts w:cs="Times New Roman"/>
        </w:rPr>
        <w:t xml:space="preserve"> population health needs</w:t>
      </w:r>
      <w:r w:rsidR="005E7E93" w:rsidRPr="00364EF3">
        <w:rPr>
          <w:rFonts w:cs="Times New Roman"/>
        </w:rPr>
        <w:t xml:space="preserve"> affected by a specific disease</w:t>
      </w:r>
      <w:r w:rsidR="0004273C">
        <w:rPr>
          <w:rFonts w:cs="Times New Roman"/>
        </w:rPr>
        <w:t xml:space="preserve"> in a given country</w:t>
      </w:r>
      <w:r w:rsidR="001E195F" w:rsidRPr="00364EF3">
        <w:rPr>
          <w:rFonts w:cs="Times New Roman"/>
        </w:rPr>
        <w:t xml:space="preserve">. Innovations that do not successfully </w:t>
      </w:r>
      <w:r w:rsidR="00B442F9" w:rsidRPr="00364EF3">
        <w:rPr>
          <w:rFonts w:cs="Times New Roman"/>
        </w:rPr>
        <w:t>reach</w:t>
      </w:r>
      <w:r w:rsidR="001E195F" w:rsidRPr="00364EF3">
        <w:rPr>
          <w:rFonts w:cs="Times New Roman"/>
        </w:rPr>
        <w:t xml:space="preserve"> the market cannot be used </w:t>
      </w:r>
      <w:r w:rsidR="00B442F9" w:rsidRPr="00364EF3">
        <w:rPr>
          <w:rFonts w:cs="Times New Roman"/>
        </w:rPr>
        <w:t>for that purpose</w:t>
      </w:r>
      <w:r w:rsidR="001E195F" w:rsidRPr="00364EF3">
        <w:rPr>
          <w:rFonts w:cs="Times New Roman"/>
        </w:rPr>
        <w:t xml:space="preserve">. </w:t>
      </w:r>
      <w:r w:rsidR="00846DAE" w:rsidRPr="00364EF3">
        <w:rPr>
          <w:rFonts w:cs="Times New Roman"/>
        </w:rPr>
        <w:t>F</w:t>
      </w:r>
      <w:r w:rsidR="00B442F9" w:rsidRPr="00364EF3">
        <w:rPr>
          <w:rFonts w:cs="Times New Roman"/>
        </w:rPr>
        <w:t xml:space="preserve">or this reason we do </w:t>
      </w:r>
      <w:r w:rsidR="00C131ED" w:rsidRPr="00364EF3">
        <w:rPr>
          <w:rFonts w:cs="Times New Roman"/>
        </w:rPr>
        <w:t>not consider other</w:t>
      </w:r>
      <w:r w:rsidR="00B442F9" w:rsidRPr="00364EF3">
        <w:rPr>
          <w:rFonts w:cs="Times New Roman"/>
        </w:rPr>
        <w:t xml:space="preserve"> potential</w:t>
      </w:r>
      <w:r w:rsidR="00C131ED" w:rsidRPr="00364EF3">
        <w:rPr>
          <w:rFonts w:cs="Times New Roman"/>
        </w:rPr>
        <w:t xml:space="preserve"> measures of innovation </w:t>
      </w:r>
      <w:r w:rsidR="00B442F9" w:rsidRPr="00364EF3">
        <w:rPr>
          <w:rFonts w:cs="Times New Roman"/>
        </w:rPr>
        <w:t>such as</w:t>
      </w:r>
      <w:r w:rsidR="00C131ED" w:rsidRPr="00364EF3">
        <w:rPr>
          <w:rFonts w:cs="Times New Roman"/>
        </w:rPr>
        <w:t xml:space="preserve"> the number of disease-specific patents</w:t>
      </w:r>
      <w:r w:rsidR="005E0FCD" w:rsidRPr="00364EF3">
        <w:rPr>
          <w:rFonts w:cs="Times New Roman"/>
        </w:rPr>
        <w:t xml:space="preserve">, R&amp;D investment, </w:t>
      </w:r>
      <w:r w:rsidR="00C131ED" w:rsidRPr="00364EF3">
        <w:rPr>
          <w:rFonts w:cs="Times New Roman"/>
        </w:rPr>
        <w:t xml:space="preserve">or disease-specific clinical trials. </w:t>
      </w:r>
    </w:p>
    <w:p w14:paraId="40B4055F" w14:textId="70A17ACF" w:rsidR="009F3022" w:rsidRPr="00364EF3" w:rsidRDefault="005F1E10" w:rsidP="009C7054">
      <w:pPr>
        <w:spacing w:line="480" w:lineRule="auto"/>
        <w:jc w:val="both"/>
        <w:rPr>
          <w:rFonts w:cs="Times New Roman"/>
        </w:rPr>
      </w:pPr>
      <w:r w:rsidRPr="00364EF3">
        <w:rPr>
          <w:rFonts w:cs="Times New Roman"/>
        </w:rPr>
        <w:t xml:space="preserve">We measure global </w:t>
      </w:r>
      <w:r w:rsidR="001F0770" w:rsidRPr="00364EF3">
        <w:rPr>
          <w:rFonts w:cs="Times New Roman"/>
        </w:rPr>
        <w:t>disease burden</w:t>
      </w:r>
      <w:r w:rsidRPr="00364EF3">
        <w:rPr>
          <w:rFonts w:cs="Times New Roman"/>
        </w:rPr>
        <w:t xml:space="preserve"> using disease-specific DALYs as estimated in the 2013 GBD study. Despite the difficulties in measuring </w:t>
      </w:r>
      <w:r w:rsidR="001F0770" w:rsidRPr="00364EF3">
        <w:rPr>
          <w:rFonts w:cs="Times New Roman"/>
        </w:rPr>
        <w:t>disease burden</w:t>
      </w:r>
      <w:r w:rsidRPr="00364EF3">
        <w:rPr>
          <w:rFonts w:cs="Times New Roman"/>
        </w:rPr>
        <w:t xml:space="preserve"> and health outcomes</w:t>
      </w:r>
      <w:r w:rsidR="00802103">
        <w:rPr>
          <w:rFonts w:cs="Times New Roman"/>
        </w:rPr>
        <w:t xml:space="preserve"> </w:t>
      </w:r>
      <w:r w:rsidR="009C5E0A" w:rsidRPr="00364EF3">
        <w:rPr>
          <w:rFonts w:cs="Times New Roman"/>
        </w:rPr>
        <w:fldChar w:fldCharType="begin"/>
      </w:r>
      <w:r w:rsidR="00897999" w:rsidRPr="00364EF3">
        <w:rPr>
          <w:rFonts w:cs="Times New Roman"/>
        </w:rPr>
        <w:instrText xml:space="preserve"> ADDIN EN.CITE &lt;EndNote&gt;&lt;Cite&gt;&lt;Author&gt;Lopez&lt;/Author&gt;&lt;Year&gt;1998&lt;/Year&gt;&lt;RecNum&gt;25&lt;/RecNum&gt;&lt;DisplayText&gt;(Lopez &amp;amp; Murray, 1998; Salomon et al., 2003)&lt;/DisplayText&gt;&lt;record&gt;&lt;rec-number&gt;25&lt;/rec-number&gt;&lt;foreign-keys&gt;&lt;key app="EN" db-id="tv2fspxf809vs5efaz7xrz91atd02zw9ss22" timestamp="0"&gt;25&lt;/key&gt;&lt;/foreign-keys&gt;&lt;ref-type name="Journal Article"&gt;17&lt;/ref-type&gt;&lt;contributors&gt;&lt;authors&gt;&lt;author&gt;Lopez, Alan D&lt;/author&gt;&lt;author&gt;Murray, CC&lt;/author&gt;&lt;/authors&gt;&lt;/contributors&gt;&lt;titles&gt;&lt;title&gt;The global burden of disease&lt;/title&gt;&lt;secondary-title&gt;Nat Med&lt;/secondary-title&gt;&lt;/titles&gt;&lt;pages&gt;1241-1243&lt;/pages&gt;&lt;volume&gt;4&lt;/volume&gt;&lt;number&gt;11&lt;/number&gt;&lt;dates&gt;&lt;year&gt;1998&lt;/year&gt;&lt;/dates&gt;&lt;urls&gt;&lt;/urls&gt;&lt;/record&gt;&lt;/Cite&gt;&lt;Cite&gt;&lt;Author&gt;Salomon&lt;/Author&gt;&lt;Year&gt;2003&lt;/Year&gt;&lt;RecNum&gt;27&lt;/RecNum&gt;&lt;record&gt;&lt;rec-number&gt;27&lt;/rec-number&gt;&lt;foreign-keys&gt;&lt;key app="EN" db-id="tv2fspxf809vs5efaz7xrz91atd02zw9ss22" timestamp="0"&gt;27&lt;/key&gt;&lt;/foreign-keys&gt;&lt;ref-type name="Journal Article"&gt;17&lt;/ref-type&gt;&lt;contributors&gt;&lt;authors&gt;&lt;author&gt;Salomon, Joshua A&lt;/author&gt;&lt;author&gt;Mathers, Colin D&lt;/author&gt;&lt;author&gt;Chatterji, Somnath&lt;/author&gt;&lt;author&gt;Sadana, Ritu&lt;/author&gt;&lt;author&gt;Ustun, T BEDIRHAN&lt;/author&gt;&lt;author&gt;Murray, Christopher JL&lt;/author&gt;&lt;/authors&gt;&lt;/contributors&gt;&lt;titles&gt;&lt;title&gt;Quantifying individual levels of health: definitions, concepts and measurement issues&lt;/title&gt;&lt;secondary-title&gt;Health Systems Performance Assessment: Debate, Methods, and Empiricism&lt;/secondary-title&gt;&lt;/titles&gt;&lt;pages&gt;301-18&lt;/pages&gt;&lt;dates&gt;&lt;year&gt;2003&lt;/year&gt;&lt;/dates&gt;&lt;urls&gt;&lt;/urls&gt;&lt;/record&gt;&lt;/Cite&gt;&lt;/EndNote&gt;</w:instrText>
      </w:r>
      <w:r w:rsidR="009C5E0A" w:rsidRPr="00364EF3">
        <w:rPr>
          <w:rFonts w:cs="Times New Roman"/>
        </w:rPr>
        <w:fldChar w:fldCharType="separate"/>
      </w:r>
      <w:r w:rsidR="00897999" w:rsidRPr="00364EF3">
        <w:rPr>
          <w:rFonts w:cs="Times New Roman"/>
          <w:noProof/>
        </w:rPr>
        <w:t>(Lopez &amp; Murray, 1998; Salomon et al., 2003)</w:t>
      </w:r>
      <w:r w:rsidR="009C5E0A" w:rsidRPr="00364EF3">
        <w:rPr>
          <w:rFonts w:cs="Times New Roman"/>
        </w:rPr>
        <w:fldChar w:fldCharType="end"/>
      </w:r>
      <w:r w:rsidR="009C5E0A" w:rsidRPr="00364EF3">
        <w:rPr>
          <w:rFonts w:cs="Times New Roman"/>
        </w:rPr>
        <w:t>,</w:t>
      </w:r>
      <w:r w:rsidR="001D3B76" w:rsidRPr="00364EF3">
        <w:rPr>
          <w:rFonts w:cs="Times New Roman"/>
        </w:rPr>
        <w:t xml:space="preserve"> </w:t>
      </w:r>
      <w:r w:rsidRPr="00364EF3">
        <w:rPr>
          <w:rFonts w:cs="Times New Roman"/>
        </w:rPr>
        <w:t xml:space="preserve">the 2013 GBD study is the </w:t>
      </w:r>
      <w:r w:rsidR="00462CF9" w:rsidRPr="00364EF3">
        <w:rPr>
          <w:rFonts w:cs="Times New Roman"/>
        </w:rPr>
        <w:t xml:space="preserve">main updated </w:t>
      </w:r>
      <w:r w:rsidRPr="00364EF3">
        <w:rPr>
          <w:rFonts w:cs="Times New Roman"/>
        </w:rPr>
        <w:t xml:space="preserve">source of burden of disease data publicly available for 1990 and 2010 and provides consistent and comparable cause-specific estimates for mortality and DALYs for a </w:t>
      </w:r>
      <w:r w:rsidRPr="000A72FA">
        <w:rPr>
          <w:rFonts w:cs="Times New Roman"/>
        </w:rPr>
        <w:t>list of 291 diseases</w:t>
      </w:r>
      <w:r w:rsidRPr="00364EF3">
        <w:rPr>
          <w:rFonts w:cs="Times New Roman"/>
        </w:rPr>
        <w:t xml:space="preserve"> across 187 countries</w:t>
      </w:r>
      <w:r w:rsidR="00CC5E6B">
        <w:rPr>
          <w:rFonts w:cs="Times New Roman"/>
        </w:rPr>
        <w:t xml:space="preserve"> </w:t>
      </w:r>
      <w:r w:rsidRPr="00364EF3">
        <w:rPr>
          <w:rFonts w:cs="Times New Roman"/>
        </w:rPr>
        <w:fldChar w:fldCharType="begin"/>
      </w:r>
      <w:r w:rsidR="00AE05D0">
        <w:rPr>
          <w:rFonts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Pr="00364EF3">
        <w:rPr>
          <w:rFonts w:cs="Times New Roman"/>
        </w:rPr>
        <w:fldChar w:fldCharType="separate"/>
      </w:r>
      <w:r w:rsidR="00897999" w:rsidRPr="00364EF3">
        <w:rPr>
          <w:rFonts w:cs="Times New Roman"/>
          <w:noProof/>
        </w:rPr>
        <w:t>(Murray et al., 2013)</w:t>
      </w:r>
      <w:r w:rsidRPr="00364EF3">
        <w:rPr>
          <w:rFonts w:cs="Times New Roman"/>
        </w:rPr>
        <w:fldChar w:fldCharType="end"/>
      </w:r>
      <w:r w:rsidRPr="00364EF3">
        <w:rPr>
          <w:rFonts w:cs="Times New Roman"/>
        </w:rPr>
        <w:t xml:space="preserve">. </w:t>
      </w:r>
      <w:r w:rsidR="007A2D5F" w:rsidRPr="00364EF3">
        <w:rPr>
          <w:rFonts w:cs="Times New Roman"/>
        </w:rPr>
        <w:t>Therefore, we are able to match</w:t>
      </w:r>
      <w:r w:rsidR="000A72FA">
        <w:rPr>
          <w:rFonts w:cs="Times New Roman"/>
        </w:rPr>
        <w:t xml:space="preserve"> </w:t>
      </w:r>
      <w:r w:rsidRPr="00364EF3">
        <w:rPr>
          <w:rFonts w:cs="Times New Roman"/>
        </w:rPr>
        <w:t xml:space="preserve">the </w:t>
      </w:r>
      <w:r w:rsidRPr="00364EF3">
        <w:rPr>
          <w:rFonts w:cs="Times New Roman"/>
          <w:lang w:val="en-GB"/>
        </w:rPr>
        <w:t xml:space="preserve">ICD-10 codes </w:t>
      </w:r>
      <w:r w:rsidR="00212C9D" w:rsidRPr="00364EF3">
        <w:rPr>
          <w:rFonts w:cs="Times New Roman"/>
          <w:lang w:val="en-GB"/>
        </w:rPr>
        <w:t xml:space="preserve">for each cause category and subcategory </w:t>
      </w:r>
      <w:r w:rsidRPr="00364EF3">
        <w:rPr>
          <w:rFonts w:cs="Times New Roman"/>
          <w:lang w:val="en-GB"/>
        </w:rPr>
        <w:t>in the GBD study to a cluster of therapeutic indications targeted by the compound projects in the IMS R&amp;D Focus dataset</w:t>
      </w:r>
      <w:r w:rsidR="003C38C2">
        <w:rPr>
          <w:rFonts w:cs="Times New Roman"/>
          <w:lang w:val="en-GB"/>
        </w:rPr>
        <w:t xml:space="preserve"> </w:t>
      </w:r>
      <w:r w:rsidR="003C38C2">
        <w:rPr>
          <w:rFonts w:cs="Times New Roman"/>
          <w:lang w:val="en-GB"/>
        </w:rPr>
        <w:fldChar w:fldCharType="begin"/>
      </w:r>
      <w:r w:rsidR="004B1BF5">
        <w:rPr>
          <w:rFonts w:cs="Times New Roman"/>
          <w:lang w:val="en-GB"/>
        </w:rPr>
        <w:instrText xml:space="preserve"> ADDIN EN.CITE &lt;EndNote&gt;&lt;Cite&gt;&lt;Author&gt;IMS Health&lt;/Author&gt;&lt;Year&gt;2012&lt;/Year&gt;&lt;RecNum&gt;36&lt;/RecNum&gt;&lt;DisplayText&gt;(IMS Health, 2012)&lt;/DisplayText&gt;&lt;record&gt;&lt;rec-number&gt;36&lt;/rec-number&gt;&lt;foreign-keys&gt;&lt;key app="EN" db-id="fete5e25iazx05es5p2vwse8vftw20pp9z9z" timestamp="0"&gt;36&lt;/key&gt;&lt;/foreign-keys&gt;&lt;ref-type name="Magazine Article"&gt;19&lt;/ref-type&gt;&lt;contributors&gt;&lt;authors&gt;&lt;author&gt;IMS Health, &lt;/author&gt;&lt;/authors&gt;&lt;secondary-authors&gt;&lt;author&gt;IMS Health, &lt;/author&gt;&lt;/secondary-authors&gt;&lt;/contributors&gt;&lt;titles&gt;&lt;title&gt;IMS LifeCycle: Detailed Reference Manual 2012&lt;/title&gt;&lt;/titles&gt;&lt;dates&gt;&lt;year&gt;2012&lt;/year&gt;&lt;/dates&gt;&lt;urls&gt;&lt;/urls&gt;&lt;/record&gt;&lt;/Cite&gt;&lt;/EndNote&gt;</w:instrText>
      </w:r>
      <w:r w:rsidR="003C38C2">
        <w:rPr>
          <w:rFonts w:cs="Times New Roman"/>
          <w:lang w:val="en-GB"/>
        </w:rPr>
        <w:fldChar w:fldCharType="separate"/>
      </w:r>
      <w:r w:rsidR="003C38C2">
        <w:rPr>
          <w:rFonts w:cs="Times New Roman"/>
          <w:noProof/>
          <w:lang w:val="en-GB"/>
        </w:rPr>
        <w:t>(IMS Health, 2012)</w:t>
      </w:r>
      <w:r w:rsidR="003C38C2">
        <w:rPr>
          <w:rFonts w:cs="Times New Roman"/>
          <w:lang w:val="en-GB"/>
        </w:rPr>
        <w:fldChar w:fldCharType="end"/>
      </w:r>
      <w:r w:rsidRPr="00364EF3">
        <w:rPr>
          <w:rFonts w:cs="Times New Roman"/>
          <w:lang w:val="en-GB"/>
        </w:rPr>
        <w:t>.</w:t>
      </w:r>
      <w:r w:rsidR="009F3022" w:rsidRPr="00364EF3">
        <w:rPr>
          <w:rFonts w:cs="Times New Roman"/>
        </w:rPr>
        <w:t xml:space="preserve"> </w:t>
      </w:r>
    </w:p>
    <w:p w14:paraId="553EDFEF" w14:textId="77777777" w:rsidR="009F3022" w:rsidRPr="00364EF3" w:rsidRDefault="009F3022" w:rsidP="009C7054">
      <w:pPr>
        <w:spacing w:line="480" w:lineRule="auto"/>
        <w:jc w:val="both"/>
        <w:rPr>
          <w:rFonts w:cs="Times New Roman"/>
        </w:rPr>
      </w:pPr>
    </w:p>
    <w:p w14:paraId="6821A62B" w14:textId="3DF8FE59" w:rsidR="005F1E10" w:rsidRDefault="005F1E10" w:rsidP="009C7054">
      <w:pPr>
        <w:spacing w:line="480" w:lineRule="auto"/>
        <w:jc w:val="both"/>
        <w:rPr>
          <w:rFonts w:cs="Times New Roman"/>
        </w:rPr>
      </w:pPr>
      <w:r w:rsidRPr="00364EF3">
        <w:rPr>
          <w:rFonts w:cs="Times New Roman"/>
        </w:rPr>
        <w:lastRenderedPageBreak/>
        <w:t>Market size</w:t>
      </w:r>
      <w:r w:rsidR="00073BCA" w:rsidRPr="00364EF3">
        <w:rPr>
          <w:rFonts w:cs="Times New Roman"/>
        </w:rPr>
        <w:t xml:space="preserve"> for disease </w:t>
      </w:r>
      <w:r w:rsidR="005063A2" w:rsidRPr="00364EF3">
        <w:rPr>
          <w:rFonts w:cs="Times New Roman"/>
          <w:i/>
        </w:rPr>
        <w:t>i</w:t>
      </w:r>
      <w:r w:rsidR="00073BCA" w:rsidRPr="00364EF3">
        <w:rPr>
          <w:rFonts w:cs="Times New Roman"/>
        </w:rPr>
        <w:t xml:space="preserve">,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r>
              <w:rPr>
                <w:rFonts w:ascii="Cambria Math" w:hAnsi="Cambria Math" w:cs="Times New Roman"/>
              </w:rPr>
              <m:t>it</m:t>
            </m:r>
          </m:sub>
        </m:sSub>
      </m:oMath>
      <w:r w:rsidR="00073BCA" w:rsidRPr="00364EF3">
        <w:rPr>
          <w:rFonts w:cs="Times New Roman"/>
        </w:rPr>
        <w:t>,</w:t>
      </w:r>
      <w:r w:rsidRPr="00364EF3">
        <w:rPr>
          <w:rFonts w:cs="Times New Roman"/>
        </w:rPr>
        <w:t xml:space="preserve"> is constructed for 1990 and 2010 by </w:t>
      </w:r>
      <w:r w:rsidR="007A2D5F" w:rsidRPr="00364EF3">
        <w:rPr>
          <w:rFonts w:cs="Times New Roman"/>
        </w:rPr>
        <w:t>summing up</w:t>
      </w:r>
      <w:r w:rsidR="00073BCA" w:rsidRPr="00364EF3">
        <w:rPr>
          <w:rFonts w:cs="Times New Roman"/>
        </w:rPr>
        <w:t xml:space="preserve"> </w:t>
      </w:r>
      <w:r w:rsidR="005063A2" w:rsidRPr="00364EF3">
        <w:rPr>
          <w:rFonts w:cs="Times New Roman"/>
        </w:rPr>
        <w:t xml:space="preserve">across </w:t>
      </w:r>
      <w:r w:rsidR="007A2D5F" w:rsidRPr="00364EF3">
        <w:rPr>
          <w:rFonts w:cs="Times New Roman"/>
        </w:rPr>
        <w:t xml:space="preserve">all </w:t>
      </w:r>
      <w:r w:rsidR="005063A2" w:rsidRPr="00364EF3">
        <w:rPr>
          <w:rFonts w:cs="Times New Roman"/>
        </w:rPr>
        <w:t xml:space="preserve">countries that suffer from that disease, a combined measure of </w:t>
      </w:r>
      <w:r w:rsidR="001F0770" w:rsidRPr="00364EF3">
        <w:rPr>
          <w:rFonts w:cs="Times New Roman"/>
        </w:rPr>
        <w:t>disease burden</w:t>
      </w:r>
      <w:r w:rsidR="005063A2" w:rsidRPr="00364EF3">
        <w:rPr>
          <w:rFonts w:cs="Times New Roman"/>
        </w:rPr>
        <w:t xml:space="preserve"> </w:t>
      </w:r>
      <w:r w:rsidR="001F0770" w:rsidRPr="00364EF3">
        <w:rPr>
          <w:rFonts w:cs="Times New Roman"/>
        </w:rPr>
        <w:t>associated with</w:t>
      </w:r>
      <w:r w:rsidR="005063A2" w:rsidRPr="00364EF3">
        <w:rPr>
          <w:rFonts w:cs="Times New Roman"/>
        </w:rPr>
        <w:t xml:space="preserve"> disease </w:t>
      </w:r>
      <w:r w:rsidR="005063A2" w:rsidRPr="00364EF3">
        <w:rPr>
          <w:rFonts w:cs="Times New Roman"/>
          <w:i/>
        </w:rPr>
        <w:t>i</w:t>
      </w:r>
      <w:r w:rsidR="005063A2" w:rsidRPr="00364EF3">
        <w:rPr>
          <w:rFonts w:cs="Times New Roman"/>
        </w:rPr>
        <w:t xml:space="preserve"> and ability-to-pay of the country </w:t>
      </w:r>
      <w:r w:rsidR="00846DAE" w:rsidRPr="00364EF3">
        <w:rPr>
          <w:rFonts w:cs="Times New Roman"/>
        </w:rPr>
        <w:t xml:space="preserve">in year </w:t>
      </w:r>
      <w:r w:rsidR="00846DAE" w:rsidRPr="00364EF3">
        <w:rPr>
          <w:rFonts w:cs="Times New Roman"/>
          <w:i/>
        </w:rPr>
        <w:t>t</w:t>
      </w:r>
      <w:r w:rsidRPr="00364EF3">
        <w:rPr>
          <w:rFonts w:cs="Times New Roman"/>
        </w:rPr>
        <w:t>. We use World Bank statistics</w:t>
      </w:r>
      <w:r w:rsidR="004B01C1">
        <w:rPr>
          <w:rFonts w:cs="Times New Roman"/>
        </w:rPr>
        <w:t xml:space="preserve"> (World Bank, 2017)</w:t>
      </w:r>
      <w:r w:rsidRPr="00364EF3">
        <w:rPr>
          <w:rFonts w:cs="Times New Roman"/>
        </w:rPr>
        <w:t xml:space="preserve"> on national Gross Domestic Product (GDP) per capita (measured in purchasing power parity terms at 2005 constant $US) to generate a </w:t>
      </w:r>
      <w:r w:rsidR="00062380" w:rsidRPr="00364EF3">
        <w:rPr>
          <w:rFonts w:cs="Times New Roman"/>
        </w:rPr>
        <w:t xml:space="preserve">global </w:t>
      </w:r>
      <w:r w:rsidRPr="00364EF3">
        <w:rPr>
          <w:rFonts w:cs="Times New Roman"/>
        </w:rPr>
        <w:t>measure of</w:t>
      </w:r>
      <w:r w:rsidR="005063A2" w:rsidRPr="00364EF3">
        <w:rPr>
          <w:rFonts w:cs="Times New Roman"/>
        </w:rPr>
        <w:t xml:space="preserve">  ability to pay </w:t>
      </w:r>
      <w:r w:rsidR="00062380" w:rsidRPr="00364EF3">
        <w:rPr>
          <w:rFonts w:cs="Times New Roman"/>
        </w:rPr>
        <w:t>at disease level</w:t>
      </w:r>
      <w:r w:rsidRPr="00364EF3">
        <w:rPr>
          <w:rFonts w:cs="Times New Roman"/>
        </w:rPr>
        <w:t xml:space="preserve"> that is expressed as:</w:t>
      </w:r>
    </w:p>
    <w:p w14:paraId="1D9BB721" w14:textId="77777777" w:rsidR="006F4F5F" w:rsidRPr="00364EF3" w:rsidRDefault="006F4F5F" w:rsidP="009C7054">
      <w:pPr>
        <w:spacing w:line="480" w:lineRule="auto"/>
        <w:jc w:val="both"/>
        <w:rPr>
          <w:rFonts w:cs="Times New Roman"/>
        </w:rPr>
      </w:pPr>
    </w:p>
    <w:p w14:paraId="7FD11BB7" w14:textId="68AFCBDB" w:rsidR="005F1E10" w:rsidRPr="00364EF3" w:rsidRDefault="000F00E8" w:rsidP="009C7054">
      <w:pPr>
        <w:tabs>
          <w:tab w:val="left" w:pos="7938"/>
        </w:tabs>
        <w:spacing w:line="480" w:lineRule="auto"/>
        <w:jc w:val="both"/>
        <w:rPr>
          <w:rFonts w:cs="Times New Roman"/>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r>
              <w:rPr>
                <w:rFonts w:ascii="Cambria Math" w:hAnsi="Cambria Math" w:cs="Times New Roman"/>
              </w:rPr>
              <m:t>it</m:t>
            </m:r>
          </m:sub>
        </m:sSub>
        <m:r>
          <w:rPr>
            <w:rFonts w:ascii="Cambria Math" w:hAnsi="Cambria Math" w:cs="Times New Roman"/>
          </w:rPr>
          <m:t>=</m:t>
        </m:r>
        <m:nary>
          <m:naryPr>
            <m:chr m:val="∑"/>
            <m:limLoc m:val="subSup"/>
            <m:supHide m:val="1"/>
            <m:ctrlPr>
              <w:rPr>
                <w:rFonts w:ascii="Cambria Math" w:hAnsi="Cambria Math" w:cs="Times New Roman"/>
                <w:i/>
              </w:rPr>
            </m:ctrlPr>
          </m:naryPr>
          <m:sub>
            <m:r>
              <w:rPr>
                <w:rFonts w:ascii="Cambria Math" w:hAnsi="Cambria Math" w:cs="Times New Roman"/>
              </w:rPr>
              <m:t>j</m:t>
            </m:r>
          </m:sub>
          <m:sup/>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need</m:t>
                </m:r>
              </m:e>
              <m:sub>
                <m:r>
                  <w:rPr>
                    <w:rFonts w:ascii="Cambria Math" w:hAnsi="Cambria Math" w:cs="Times New Roman"/>
                  </w:rPr>
                  <m:t>ij,t</m:t>
                </m:r>
              </m:sub>
            </m:sSub>
            <m:r>
              <m:rPr>
                <m:sty m:val="p"/>
              </m:rPr>
              <w:rPr>
                <w:rFonts w:ascii="Cambria Math" w:hAnsi="Cambria Math" w:cs="Times New Roman"/>
              </w:rPr>
              <m:t xml:space="preserve"> </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GDP</m:t>
                </m:r>
              </m:e>
              <m:sub>
                <m:r>
                  <w:rPr>
                    <w:rFonts w:ascii="Cambria Math" w:hAnsi="Cambria Math" w:cs="Times New Roman"/>
                  </w:rPr>
                  <m:t>j,t</m:t>
                </m:r>
              </m:sub>
            </m:sSub>
            <m:r>
              <w:rPr>
                <w:rFonts w:ascii="Cambria Math" w:hAnsi="Cambria Math" w:cs="Times New Roman"/>
              </w:rPr>
              <m:t>)</m:t>
            </m:r>
          </m:e>
        </m:nary>
      </m:oMath>
      <w:r w:rsidR="005F1E10" w:rsidRPr="00364EF3">
        <w:rPr>
          <w:rFonts w:cs="Times New Roman"/>
        </w:rPr>
        <w:t xml:space="preserve">,  </w:t>
      </w:r>
      <w:r w:rsidR="00734651">
        <w:rPr>
          <w:rFonts w:cs="Times New Roman"/>
        </w:rPr>
        <w:t xml:space="preserve">                                     </w:t>
      </w:r>
      <w:r w:rsidR="005F1E10" w:rsidRPr="00364EF3">
        <w:rPr>
          <w:rFonts w:cs="Times New Roman"/>
        </w:rPr>
        <w:t xml:space="preserve">and </w:t>
      </w:r>
      <w:r w:rsidR="005F1E10" w:rsidRPr="00364EF3">
        <w:rPr>
          <w:rFonts w:cs="Times New Roman"/>
          <w:i/>
        </w:rPr>
        <w:t>t=1990, 2010</w:t>
      </w:r>
      <w:r w:rsidR="002E117B" w:rsidRPr="00364EF3">
        <w:rPr>
          <w:rFonts w:cs="Times New Roman"/>
          <w:i/>
        </w:rPr>
        <w:t xml:space="preserve">                                      </w:t>
      </w:r>
      <w:r w:rsidR="005F1E10" w:rsidRPr="00364EF3">
        <w:rPr>
          <w:rFonts w:cs="Times New Roman"/>
        </w:rPr>
        <w:t>(2)</w:t>
      </w:r>
    </w:p>
    <w:p w14:paraId="59F2DAA2" w14:textId="77777777" w:rsidR="005063A2" w:rsidRPr="00364EF3" w:rsidRDefault="005F1E10" w:rsidP="009C7054">
      <w:pPr>
        <w:spacing w:line="480" w:lineRule="auto"/>
        <w:jc w:val="both"/>
        <w:rPr>
          <w:rFonts w:cs="Times New Roman"/>
        </w:rPr>
      </w:pPr>
      <w:r w:rsidRPr="00364EF3">
        <w:rPr>
          <w:rFonts w:cs="Times New Roman"/>
        </w:rPr>
        <w:t xml:space="preserve">where </w:t>
      </w:r>
      <m:oMath>
        <m:sSub>
          <m:sSubPr>
            <m:ctrlPr>
              <w:rPr>
                <w:rFonts w:ascii="Cambria Math" w:hAnsi="Cambria Math" w:cs="Times New Roman"/>
                <w:i/>
              </w:rPr>
            </m:ctrlPr>
          </m:sSubPr>
          <m:e>
            <m:r>
              <w:rPr>
                <w:rFonts w:ascii="Cambria Math" w:hAnsi="Cambria Math" w:cs="Times New Roman"/>
              </w:rPr>
              <m:t>need</m:t>
            </m:r>
          </m:e>
          <m:sub>
            <m:r>
              <w:rPr>
                <w:rFonts w:ascii="Cambria Math" w:hAnsi="Cambria Math" w:cs="Times New Roman"/>
              </w:rPr>
              <m:t>ij,t</m:t>
            </m:r>
          </m:sub>
        </m:sSub>
      </m:oMath>
      <w:r w:rsidRPr="00364EF3">
        <w:rPr>
          <w:rFonts w:cs="Times New Roman"/>
        </w:rPr>
        <w:t xml:space="preserve"> denotes </w:t>
      </w:r>
      <w:r w:rsidR="007A2D5F" w:rsidRPr="00364EF3">
        <w:rPr>
          <w:rFonts w:cs="Times New Roman"/>
        </w:rPr>
        <w:t>the</w:t>
      </w:r>
      <w:r w:rsidR="00F01F32" w:rsidRPr="00364EF3">
        <w:rPr>
          <w:rFonts w:cs="Times New Roman"/>
        </w:rPr>
        <w:t xml:space="preserve"> DALYs</w:t>
      </w:r>
      <w:r w:rsidRPr="00364EF3">
        <w:rPr>
          <w:rFonts w:cs="Times New Roman"/>
        </w:rPr>
        <w:t xml:space="preserve"> </w:t>
      </w:r>
      <w:r w:rsidR="007A2D5F" w:rsidRPr="00364EF3">
        <w:rPr>
          <w:rFonts w:cs="Times New Roman"/>
        </w:rPr>
        <w:t>at time</w:t>
      </w:r>
      <w:r w:rsidR="007A2D5F" w:rsidRPr="00364EF3">
        <w:rPr>
          <w:rFonts w:cs="Times New Roman"/>
          <w:i/>
        </w:rPr>
        <w:t xml:space="preserve"> t</w:t>
      </w:r>
      <w:r w:rsidR="007A2D5F" w:rsidRPr="00364EF3">
        <w:rPr>
          <w:rFonts w:cs="Times New Roman"/>
        </w:rPr>
        <w:t xml:space="preserve"> </w:t>
      </w:r>
      <w:r w:rsidRPr="00364EF3">
        <w:rPr>
          <w:rFonts w:cs="Times New Roman"/>
        </w:rPr>
        <w:t xml:space="preserve">associated with disease </w:t>
      </w:r>
      <m:oMath>
        <m:r>
          <w:rPr>
            <w:rFonts w:ascii="Cambria Math" w:hAnsi="Cambria Math" w:cs="Times New Roman"/>
          </w:rPr>
          <m:t>i</m:t>
        </m:r>
      </m:oMath>
      <w:r w:rsidRPr="00364EF3">
        <w:rPr>
          <w:rFonts w:cs="Times New Roman"/>
        </w:rPr>
        <w:t xml:space="preserve"> </w:t>
      </w:r>
      <w:r w:rsidR="007A2D5F" w:rsidRPr="00364EF3">
        <w:rPr>
          <w:rFonts w:cs="Times New Roman"/>
        </w:rPr>
        <w:t>for</w:t>
      </w:r>
      <w:r w:rsidRPr="00364EF3">
        <w:rPr>
          <w:rFonts w:cs="Times New Roman"/>
        </w:rPr>
        <w:t xml:space="preserve"> country </w:t>
      </w:r>
      <m:oMath>
        <m:r>
          <w:rPr>
            <w:rFonts w:ascii="Cambria Math" w:hAnsi="Cambria Math" w:cs="Times New Roman"/>
          </w:rPr>
          <m:t>j</m:t>
        </m:r>
      </m:oMath>
      <w:r w:rsidRPr="00364EF3">
        <w:rPr>
          <w:rFonts w:cs="Times New Roman"/>
        </w:rPr>
        <w:t xml:space="preserve">, and </w:t>
      </w:r>
      <m:oMath>
        <m:sSub>
          <m:sSubPr>
            <m:ctrlPr>
              <w:rPr>
                <w:rFonts w:ascii="Cambria Math" w:hAnsi="Cambria Math" w:cs="Times New Roman"/>
                <w:i/>
              </w:rPr>
            </m:ctrlPr>
          </m:sSubPr>
          <m:e>
            <m:r>
              <w:rPr>
                <w:rFonts w:ascii="Cambria Math" w:hAnsi="Cambria Math" w:cs="Times New Roman"/>
              </w:rPr>
              <m:t>GDP</m:t>
            </m:r>
          </m:e>
          <m:sub>
            <m:r>
              <w:rPr>
                <w:rFonts w:ascii="Cambria Math" w:hAnsi="Cambria Math" w:cs="Times New Roman"/>
              </w:rPr>
              <m:t>j,t</m:t>
            </m:r>
          </m:sub>
        </m:sSub>
      </m:oMath>
      <w:r w:rsidRPr="00364EF3">
        <w:rPr>
          <w:rFonts w:cs="Times New Roman"/>
        </w:rPr>
        <w:t xml:space="preserve"> </w:t>
      </w:r>
      <w:r w:rsidR="006B684F" w:rsidRPr="00364EF3">
        <w:rPr>
          <w:rFonts w:cs="Times New Roman"/>
        </w:rPr>
        <w:t xml:space="preserve">the </w:t>
      </w:r>
      <w:r w:rsidRPr="00364EF3">
        <w:rPr>
          <w:rFonts w:cs="Times New Roman"/>
        </w:rPr>
        <w:t xml:space="preserve">GDP per capita for country </w:t>
      </w:r>
      <m:oMath>
        <m:r>
          <w:rPr>
            <w:rFonts w:ascii="Cambria Math" w:hAnsi="Cambria Math" w:cs="Times New Roman"/>
          </w:rPr>
          <m:t xml:space="preserve">j </m:t>
        </m:r>
      </m:oMath>
      <w:r w:rsidR="007A2D5F" w:rsidRPr="00364EF3">
        <w:rPr>
          <w:rFonts w:cs="Times New Roman"/>
        </w:rPr>
        <w:t xml:space="preserve"> in year </w:t>
      </w:r>
      <w:r w:rsidR="007A2D5F" w:rsidRPr="00364EF3">
        <w:rPr>
          <w:rFonts w:cs="Times New Roman"/>
          <w:i/>
        </w:rPr>
        <w:t>t</w:t>
      </w:r>
      <w:r w:rsidR="007A2D5F" w:rsidRPr="00364EF3">
        <w:rPr>
          <w:rFonts w:cs="Times New Roman"/>
        </w:rPr>
        <w:t xml:space="preserve"> (i.e. </w:t>
      </w:r>
      <w:r w:rsidRPr="00364EF3">
        <w:rPr>
          <w:rFonts w:cs="Times New Roman"/>
        </w:rPr>
        <w:t>for both years of data 1990 and 2010</w:t>
      </w:r>
      <w:r w:rsidR="007A2D5F" w:rsidRPr="00364EF3">
        <w:rPr>
          <w:rFonts w:cs="Times New Roman"/>
        </w:rPr>
        <w:t>)</w:t>
      </w:r>
      <w:r w:rsidR="005063A2" w:rsidRPr="00364EF3">
        <w:rPr>
          <w:rFonts w:cs="Times New Roman"/>
        </w:rPr>
        <w:t xml:space="preserve">. </w:t>
      </w:r>
    </w:p>
    <w:p w14:paraId="54BA5E9A" w14:textId="7DF15214" w:rsidR="00A953C9" w:rsidRPr="00364EF3" w:rsidRDefault="005F1E10" w:rsidP="009C7054">
      <w:pPr>
        <w:spacing w:line="480" w:lineRule="auto"/>
        <w:jc w:val="both"/>
        <w:rPr>
          <w:rFonts w:cs="Times New Roman"/>
        </w:rPr>
      </w:pPr>
      <w:r w:rsidRPr="00364EF3">
        <w:rPr>
          <w:rFonts w:cs="Times New Roman"/>
        </w:rPr>
        <w:t xml:space="preserve">We have excluded from the analysis </w:t>
      </w:r>
      <w:r w:rsidR="00C85A78">
        <w:rPr>
          <w:rFonts w:cs="Times New Roman"/>
        </w:rPr>
        <w:t>the broad disease category “</w:t>
      </w:r>
      <w:r w:rsidR="00A20D89">
        <w:rPr>
          <w:rFonts w:cs="Times New Roman"/>
        </w:rPr>
        <w:t>i</w:t>
      </w:r>
      <w:r w:rsidR="00C85A78">
        <w:rPr>
          <w:rFonts w:cs="Times New Roman"/>
        </w:rPr>
        <w:t xml:space="preserve">njuries” </w:t>
      </w:r>
      <w:r w:rsidR="00A20D89">
        <w:rPr>
          <w:rFonts w:cs="Times New Roman"/>
        </w:rPr>
        <w:t>as</w:t>
      </w:r>
      <w:r w:rsidR="00C85A78">
        <w:rPr>
          <w:rFonts w:cs="Times New Roman"/>
        </w:rPr>
        <w:t xml:space="preserve"> not being </w:t>
      </w:r>
      <w:r w:rsidR="00A20D89">
        <w:rPr>
          <w:rFonts w:cs="Times New Roman"/>
        </w:rPr>
        <w:t xml:space="preserve">a </w:t>
      </w:r>
      <w:r w:rsidR="00C85A78">
        <w:rPr>
          <w:rFonts w:cs="Times New Roman"/>
        </w:rPr>
        <w:t xml:space="preserve">target for pharmaceutical innovation. We have also excluded from the analysis </w:t>
      </w:r>
      <w:r w:rsidRPr="00364EF3">
        <w:rPr>
          <w:rFonts w:cs="Times New Roman"/>
        </w:rPr>
        <w:t>the disease category “</w:t>
      </w:r>
      <w:r w:rsidRPr="00364EF3">
        <w:rPr>
          <w:rFonts w:eastAsia="MS Mincho" w:cs="Times New Roman"/>
        </w:rPr>
        <w:t>nutritional deficiencies”</w:t>
      </w:r>
      <w:r w:rsidRPr="00364EF3">
        <w:rPr>
          <w:rFonts w:cs="Times New Roman"/>
        </w:rPr>
        <w:t xml:space="preserve"> since the number of observations is </w:t>
      </w:r>
      <w:r w:rsidRPr="00364EF3">
        <w:rPr>
          <w:rFonts w:eastAsia="MS Mincho" w:cs="Times New Roman"/>
        </w:rPr>
        <w:t xml:space="preserve">insufficient to perform the </w:t>
      </w:r>
      <w:r w:rsidR="008805D1">
        <w:rPr>
          <w:rFonts w:eastAsia="MS Mincho" w:cs="Times New Roman"/>
        </w:rPr>
        <w:t xml:space="preserve">disease </w:t>
      </w:r>
      <w:r w:rsidRPr="00364EF3">
        <w:rPr>
          <w:rFonts w:eastAsia="MS Mincho" w:cs="Times New Roman"/>
        </w:rPr>
        <w:t>subcategor</w:t>
      </w:r>
      <w:r w:rsidR="008805D1">
        <w:rPr>
          <w:rFonts w:eastAsia="MS Mincho" w:cs="Times New Roman"/>
        </w:rPr>
        <w:t>y</w:t>
      </w:r>
      <w:r w:rsidRPr="00364EF3">
        <w:rPr>
          <w:rFonts w:eastAsia="MS Mincho" w:cs="Times New Roman"/>
        </w:rPr>
        <w:t xml:space="preserve"> analysis.</w:t>
      </w:r>
      <w:r w:rsidR="009F3022" w:rsidRPr="00364EF3">
        <w:rPr>
          <w:rFonts w:cs="Times New Roman"/>
        </w:rPr>
        <w:t xml:space="preserve"> </w:t>
      </w:r>
    </w:p>
    <w:p w14:paraId="0CCC2D6A" w14:textId="77777777" w:rsidR="00385EEB" w:rsidRPr="00364EF3" w:rsidRDefault="00385EEB" w:rsidP="009C7054">
      <w:pPr>
        <w:spacing w:line="480" w:lineRule="auto"/>
        <w:jc w:val="both"/>
        <w:rPr>
          <w:rFonts w:eastAsia="MS Mincho" w:cs="Times New Roman"/>
        </w:rPr>
      </w:pPr>
    </w:p>
    <w:p w14:paraId="0FF6EB77" w14:textId="640A845C" w:rsidR="00E43D57" w:rsidRPr="00364EF3" w:rsidRDefault="00897999" w:rsidP="009C7054">
      <w:pPr>
        <w:pStyle w:val="Heading1"/>
        <w:spacing w:line="480" w:lineRule="auto"/>
        <w:rPr>
          <w:rFonts w:cs="Times New Roman"/>
          <w:szCs w:val="24"/>
        </w:rPr>
      </w:pPr>
      <w:r w:rsidRPr="00364EF3">
        <w:rPr>
          <w:rFonts w:cs="Times New Roman"/>
          <w:szCs w:val="24"/>
        </w:rPr>
        <w:t>Results</w:t>
      </w:r>
    </w:p>
    <w:p w14:paraId="0E20882B" w14:textId="16CC5D05" w:rsidR="007635EA" w:rsidRPr="00184F30" w:rsidRDefault="00CC3463" w:rsidP="009C7054">
      <w:pPr>
        <w:spacing w:line="480" w:lineRule="auto"/>
        <w:jc w:val="both"/>
        <w:rPr>
          <w:rFonts w:cs="Times New Roman"/>
        </w:rPr>
      </w:pPr>
      <w:r w:rsidRPr="00624E77">
        <w:rPr>
          <w:rFonts w:cs="Times New Roman"/>
        </w:rPr>
        <w:t>Table III</w:t>
      </w:r>
      <w:r w:rsidR="007635EA" w:rsidRPr="00624E77">
        <w:rPr>
          <w:rFonts w:cs="Times New Roman"/>
        </w:rPr>
        <w:t xml:space="preserve"> shows the descriptive statistics on global drug innovation for the two broad disease groups, CDs and NCDs, in both years 1990 and 2010. </w:t>
      </w:r>
      <w:r w:rsidRPr="00624E77">
        <w:rPr>
          <w:rFonts w:cs="Times New Roman"/>
        </w:rPr>
        <w:t>Table IV</w:t>
      </w:r>
      <w:r w:rsidR="007635EA" w:rsidRPr="00624E77">
        <w:rPr>
          <w:rFonts w:cs="Times New Roman"/>
        </w:rPr>
        <w:t xml:space="preserve"> provides similar descriptive analysis for disease subcategories. T</w:t>
      </w:r>
      <w:r w:rsidR="007635EA" w:rsidRPr="002D2AC7">
        <w:rPr>
          <w:rFonts w:cs="Times New Roman"/>
        </w:rPr>
        <w:t>here is large dispersion of innovation across broad disease groups and disease subcategories</w:t>
      </w:r>
      <w:r w:rsidR="007635EA" w:rsidRPr="00AB6F9D">
        <w:rPr>
          <w:rFonts w:cs="Times New Roman"/>
        </w:rPr>
        <w:t xml:space="preserve">. </w:t>
      </w:r>
      <w:r w:rsidR="00484669" w:rsidRPr="00AB6F9D">
        <w:rPr>
          <w:rFonts w:cs="Times New Roman"/>
        </w:rPr>
        <w:t xml:space="preserve"> </w:t>
      </w:r>
      <w:r w:rsidR="007635EA" w:rsidRPr="00252D7A">
        <w:rPr>
          <w:rFonts w:cs="Times New Roman"/>
        </w:rPr>
        <w:t xml:space="preserve">Whilst </w:t>
      </w:r>
      <w:r w:rsidR="00184F30">
        <w:rPr>
          <w:rFonts w:cs="Times New Roman"/>
        </w:rPr>
        <w:t>CDs</w:t>
      </w:r>
      <w:r w:rsidR="007635EA" w:rsidRPr="00252D7A">
        <w:rPr>
          <w:rFonts w:cs="Times New Roman"/>
        </w:rPr>
        <w:t xml:space="preserve"> show </w:t>
      </w:r>
      <w:r w:rsidR="00FF4BFD" w:rsidRPr="00BD638D">
        <w:rPr>
          <w:rFonts w:cs="Times New Roman"/>
        </w:rPr>
        <w:t xml:space="preserve">a substantial increase in the number of market launches from </w:t>
      </w:r>
      <w:r w:rsidR="00360D10" w:rsidRPr="00D16E90">
        <w:rPr>
          <w:rFonts w:cs="Times New Roman"/>
        </w:rPr>
        <w:t>208</w:t>
      </w:r>
      <w:r w:rsidR="00FF4BFD" w:rsidRPr="00E47E25">
        <w:rPr>
          <w:rFonts w:cs="Times New Roman"/>
        </w:rPr>
        <w:t xml:space="preserve"> in 1990 to 1</w:t>
      </w:r>
      <w:r w:rsidR="00360D10" w:rsidRPr="00E47E25">
        <w:rPr>
          <w:rFonts w:cs="Times New Roman"/>
        </w:rPr>
        <w:t>,263</w:t>
      </w:r>
      <w:r w:rsidR="00FF4BFD" w:rsidRPr="00E47E25">
        <w:rPr>
          <w:rFonts w:cs="Times New Roman"/>
        </w:rPr>
        <w:t xml:space="preserve"> in 2010; </w:t>
      </w:r>
      <w:r w:rsidR="00AB5F04">
        <w:rPr>
          <w:rFonts w:cs="Times New Roman"/>
        </w:rPr>
        <w:t xml:space="preserve">the increase is more marked for </w:t>
      </w:r>
      <w:r w:rsidR="00184F30">
        <w:rPr>
          <w:rFonts w:cs="Times New Roman"/>
        </w:rPr>
        <w:t>NCDs</w:t>
      </w:r>
      <w:r w:rsidR="00AB5F04">
        <w:rPr>
          <w:rFonts w:cs="Times New Roman"/>
        </w:rPr>
        <w:t xml:space="preserve"> </w:t>
      </w:r>
      <w:r w:rsidR="00FF4BFD" w:rsidRPr="00184F30">
        <w:rPr>
          <w:rFonts w:cs="Times New Roman"/>
        </w:rPr>
        <w:t xml:space="preserve">from </w:t>
      </w:r>
      <w:r w:rsidR="00360D10" w:rsidRPr="00184F30">
        <w:rPr>
          <w:rFonts w:cs="Times New Roman"/>
        </w:rPr>
        <w:t>748</w:t>
      </w:r>
      <w:r w:rsidR="00FF4BFD" w:rsidRPr="00184F30">
        <w:rPr>
          <w:rFonts w:cs="Times New Roman"/>
        </w:rPr>
        <w:t xml:space="preserve"> in 1990 to 1</w:t>
      </w:r>
      <w:r w:rsidR="00360D10" w:rsidRPr="00184F30">
        <w:rPr>
          <w:rFonts w:cs="Times New Roman"/>
        </w:rPr>
        <w:t>5</w:t>
      </w:r>
      <w:r w:rsidR="00FF4BFD" w:rsidRPr="00184F30">
        <w:rPr>
          <w:rFonts w:cs="Times New Roman"/>
        </w:rPr>
        <w:t>,</w:t>
      </w:r>
      <w:r w:rsidR="00360D10" w:rsidRPr="00184F30">
        <w:rPr>
          <w:rFonts w:cs="Times New Roman"/>
        </w:rPr>
        <w:t>927</w:t>
      </w:r>
      <w:r w:rsidR="00484669" w:rsidRPr="00184F30">
        <w:rPr>
          <w:rFonts w:cs="Times New Roman"/>
        </w:rPr>
        <w:t xml:space="preserve"> in 2010 (Table </w:t>
      </w:r>
      <w:r w:rsidR="008005B8" w:rsidRPr="00184F30">
        <w:rPr>
          <w:rFonts w:cs="Times New Roman"/>
        </w:rPr>
        <w:t>IV</w:t>
      </w:r>
      <w:r w:rsidR="00484669" w:rsidRPr="00184F30">
        <w:rPr>
          <w:rFonts w:cs="Times New Roman"/>
        </w:rPr>
        <w:t xml:space="preserve">).  The average number of market launches </w:t>
      </w:r>
      <w:r w:rsidR="00082F6F">
        <w:rPr>
          <w:rFonts w:cs="Times New Roman"/>
        </w:rPr>
        <w:t xml:space="preserve">for each one of </w:t>
      </w:r>
      <w:r w:rsidR="00B943EA">
        <w:rPr>
          <w:rFonts w:cs="Times New Roman"/>
        </w:rPr>
        <w:t xml:space="preserve">the 44 diseases </w:t>
      </w:r>
      <w:r w:rsidR="002240EF">
        <w:rPr>
          <w:rFonts w:cs="Times New Roman"/>
        </w:rPr>
        <w:t>consisting of</w:t>
      </w:r>
      <w:r w:rsidR="00B943EA">
        <w:rPr>
          <w:rFonts w:cs="Times New Roman"/>
        </w:rPr>
        <w:t xml:space="preserve"> the broad </w:t>
      </w:r>
      <w:r w:rsidR="00AB5F04">
        <w:rPr>
          <w:rFonts w:cs="Times New Roman"/>
        </w:rPr>
        <w:t>CD</w:t>
      </w:r>
      <w:r w:rsidR="00651FF4">
        <w:rPr>
          <w:rFonts w:cs="Times New Roman"/>
        </w:rPr>
        <w:t>s</w:t>
      </w:r>
      <w:r w:rsidR="00484669" w:rsidRPr="00184F30">
        <w:rPr>
          <w:rFonts w:cs="Times New Roman"/>
        </w:rPr>
        <w:t xml:space="preserve"> </w:t>
      </w:r>
      <w:r w:rsidR="00B943EA">
        <w:rPr>
          <w:rFonts w:cs="Times New Roman"/>
        </w:rPr>
        <w:t xml:space="preserve">group </w:t>
      </w:r>
      <w:r w:rsidR="00AB5F04">
        <w:rPr>
          <w:rFonts w:cs="Times New Roman"/>
        </w:rPr>
        <w:t>raises</w:t>
      </w:r>
      <w:r w:rsidR="00484669" w:rsidRPr="00184F30">
        <w:rPr>
          <w:rFonts w:cs="Times New Roman"/>
        </w:rPr>
        <w:t xml:space="preserve"> from </w:t>
      </w:r>
      <w:r w:rsidR="00360D10" w:rsidRPr="00184F30">
        <w:rPr>
          <w:rFonts w:cs="Times New Roman"/>
        </w:rPr>
        <w:t>4.73</w:t>
      </w:r>
      <w:r w:rsidR="00484669" w:rsidRPr="00184F30">
        <w:rPr>
          <w:rFonts w:cs="Times New Roman"/>
        </w:rPr>
        <w:t xml:space="preserve"> </w:t>
      </w:r>
      <w:r w:rsidR="00C7092B">
        <w:rPr>
          <w:rFonts w:cs="Times New Roman"/>
        </w:rPr>
        <w:t xml:space="preserve">in 1990 </w:t>
      </w:r>
      <w:r w:rsidR="00484669" w:rsidRPr="00184F30">
        <w:rPr>
          <w:rFonts w:cs="Times New Roman"/>
        </w:rPr>
        <w:t xml:space="preserve">to more than </w:t>
      </w:r>
      <w:r w:rsidR="00360D10" w:rsidRPr="00184F30">
        <w:rPr>
          <w:rFonts w:cs="Times New Roman"/>
        </w:rPr>
        <w:t>six</w:t>
      </w:r>
      <w:r w:rsidR="00484669" w:rsidRPr="00184F30">
        <w:rPr>
          <w:rFonts w:cs="Times New Roman"/>
        </w:rPr>
        <w:t>fold</w:t>
      </w:r>
      <w:r w:rsidR="00BD4D12" w:rsidRPr="00184F30">
        <w:rPr>
          <w:rFonts w:cs="Times New Roman"/>
        </w:rPr>
        <w:t xml:space="preserve"> </w:t>
      </w:r>
      <w:r w:rsidR="00AB5F04">
        <w:rPr>
          <w:rFonts w:cs="Times New Roman"/>
        </w:rPr>
        <w:t xml:space="preserve">- </w:t>
      </w:r>
      <w:r w:rsidR="00BD4D12" w:rsidRPr="00184F30">
        <w:rPr>
          <w:rFonts w:cs="Times New Roman"/>
        </w:rPr>
        <w:t>i.e</w:t>
      </w:r>
      <w:r w:rsidR="00360D10" w:rsidRPr="00184F30">
        <w:rPr>
          <w:rFonts w:cs="Times New Roman"/>
        </w:rPr>
        <w:t>.</w:t>
      </w:r>
      <w:r w:rsidR="00BD4D12" w:rsidRPr="00184F30">
        <w:rPr>
          <w:rFonts w:cs="Times New Roman"/>
        </w:rPr>
        <w:t xml:space="preserve"> </w:t>
      </w:r>
      <w:r w:rsidR="00B943EA">
        <w:rPr>
          <w:rFonts w:cs="Times New Roman"/>
        </w:rPr>
        <w:t xml:space="preserve">an average of </w:t>
      </w:r>
      <w:r w:rsidR="00360D10" w:rsidRPr="00184F30">
        <w:rPr>
          <w:rFonts w:cs="Times New Roman"/>
        </w:rPr>
        <w:t>30.07</w:t>
      </w:r>
      <w:r w:rsidR="00082F6F">
        <w:rPr>
          <w:rFonts w:cs="Times New Roman"/>
        </w:rPr>
        <w:t xml:space="preserve"> market launches</w:t>
      </w:r>
      <w:r w:rsidR="00C7092B">
        <w:rPr>
          <w:rFonts w:cs="Times New Roman"/>
        </w:rPr>
        <w:t xml:space="preserve"> </w:t>
      </w:r>
      <w:r w:rsidR="00B943EA">
        <w:rPr>
          <w:rFonts w:cs="Times New Roman"/>
        </w:rPr>
        <w:t>for the 42 diseases</w:t>
      </w:r>
      <w:r w:rsidR="003C70D1">
        <w:rPr>
          <w:rFonts w:cs="Times New Roman"/>
        </w:rPr>
        <w:t xml:space="preserve"> in the CDs broad </w:t>
      </w:r>
      <w:r w:rsidR="003C70D1">
        <w:rPr>
          <w:rFonts w:cs="Times New Roman"/>
        </w:rPr>
        <w:lastRenderedPageBreak/>
        <w:t>group</w:t>
      </w:r>
      <w:r w:rsidR="00B943EA">
        <w:rPr>
          <w:rFonts w:cs="Times New Roman"/>
        </w:rPr>
        <w:t xml:space="preserve"> </w:t>
      </w:r>
      <w:r w:rsidR="00C7092B">
        <w:rPr>
          <w:rFonts w:cs="Times New Roman"/>
        </w:rPr>
        <w:t>in 2010</w:t>
      </w:r>
      <w:r w:rsidR="00B943EA">
        <w:rPr>
          <w:rFonts w:cs="Times New Roman"/>
        </w:rPr>
        <w:t xml:space="preserve"> </w:t>
      </w:r>
      <w:r w:rsidR="00AB5F04">
        <w:rPr>
          <w:rFonts w:cs="Times New Roman"/>
        </w:rPr>
        <w:t xml:space="preserve"> </w:t>
      </w:r>
      <w:r w:rsidR="00C7092B">
        <w:rPr>
          <w:rFonts w:cs="Times New Roman"/>
        </w:rPr>
        <w:t xml:space="preserve">(with </w:t>
      </w:r>
      <w:r w:rsidR="00484669" w:rsidRPr="00184F30">
        <w:rPr>
          <w:rFonts w:cs="Times New Roman"/>
        </w:rPr>
        <w:t>standard deviation</w:t>
      </w:r>
      <w:r w:rsidR="00BD4D12" w:rsidRPr="00184F30">
        <w:rPr>
          <w:rFonts w:cs="Times New Roman"/>
        </w:rPr>
        <w:t>s</w:t>
      </w:r>
      <w:r w:rsidR="00184F30">
        <w:rPr>
          <w:rFonts w:cs="Times New Roman"/>
        </w:rPr>
        <w:t xml:space="preserve"> (sd)</w:t>
      </w:r>
      <w:r w:rsidR="00484669" w:rsidRPr="00184F30">
        <w:rPr>
          <w:rFonts w:cs="Times New Roman"/>
        </w:rPr>
        <w:t xml:space="preserve"> </w:t>
      </w:r>
      <w:r w:rsidR="00C7092B">
        <w:rPr>
          <w:rFonts w:cs="Times New Roman"/>
        </w:rPr>
        <w:t xml:space="preserve">of </w:t>
      </w:r>
      <w:r w:rsidR="00360D10" w:rsidRPr="00184F30">
        <w:rPr>
          <w:rFonts w:cs="Times New Roman"/>
        </w:rPr>
        <w:t>14.61</w:t>
      </w:r>
      <w:r w:rsidR="00BD4D12" w:rsidRPr="00184F30">
        <w:rPr>
          <w:rFonts w:cs="Times New Roman"/>
        </w:rPr>
        <w:t xml:space="preserve"> </w:t>
      </w:r>
      <w:r w:rsidR="00C7092B">
        <w:rPr>
          <w:rFonts w:cs="Times New Roman"/>
        </w:rPr>
        <w:t xml:space="preserve">and </w:t>
      </w:r>
      <w:r w:rsidR="00360D10" w:rsidRPr="00184F30">
        <w:rPr>
          <w:rFonts w:cs="Times New Roman"/>
        </w:rPr>
        <w:t>105.85</w:t>
      </w:r>
      <w:r w:rsidR="00082F6F">
        <w:rPr>
          <w:rFonts w:cs="Times New Roman"/>
        </w:rPr>
        <w:t xml:space="preserve"> for both years</w:t>
      </w:r>
      <w:r w:rsidR="00BD4D12" w:rsidRPr="00184F30">
        <w:rPr>
          <w:rFonts w:cs="Times New Roman"/>
        </w:rPr>
        <w:t>, respectively)</w:t>
      </w:r>
      <w:r w:rsidR="00484669" w:rsidRPr="00184F30">
        <w:rPr>
          <w:rFonts w:cs="Times New Roman"/>
        </w:rPr>
        <w:t xml:space="preserve">. </w:t>
      </w:r>
      <w:r w:rsidR="00BD4D12" w:rsidRPr="00184F30">
        <w:rPr>
          <w:rFonts w:cs="Times New Roman"/>
        </w:rPr>
        <w:t xml:space="preserve">Yet, </w:t>
      </w:r>
      <w:r w:rsidR="00C85A78">
        <w:rPr>
          <w:rFonts w:cs="Times New Roman"/>
        </w:rPr>
        <w:t xml:space="preserve">the </w:t>
      </w:r>
      <w:r w:rsidR="00484669" w:rsidRPr="00184F30">
        <w:rPr>
          <w:rFonts w:cs="Times New Roman"/>
        </w:rPr>
        <w:t>average number</w:t>
      </w:r>
      <w:r w:rsidR="00082F6F">
        <w:rPr>
          <w:rFonts w:cs="Times New Roman"/>
        </w:rPr>
        <w:t xml:space="preserve"> of</w:t>
      </w:r>
      <w:r w:rsidR="00484669" w:rsidRPr="00184F30">
        <w:rPr>
          <w:rFonts w:cs="Times New Roman"/>
        </w:rPr>
        <w:t xml:space="preserve"> </w:t>
      </w:r>
      <w:r w:rsidR="00651FF4" w:rsidRPr="00184F30">
        <w:rPr>
          <w:rFonts w:cs="Times New Roman"/>
        </w:rPr>
        <w:t>market launches</w:t>
      </w:r>
      <w:r w:rsidR="00484669" w:rsidRPr="00184F30">
        <w:rPr>
          <w:rFonts w:cs="Times New Roman"/>
        </w:rPr>
        <w:t xml:space="preserve"> </w:t>
      </w:r>
      <w:r w:rsidR="00184F30">
        <w:rPr>
          <w:rFonts w:cs="Times New Roman"/>
        </w:rPr>
        <w:t xml:space="preserve">across </w:t>
      </w:r>
      <w:r w:rsidR="00651FF4">
        <w:rPr>
          <w:rFonts w:cs="Times New Roman"/>
        </w:rPr>
        <w:t>NCDs</w:t>
      </w:r>
      <w:r w:rsidR="00484669" w:rsidRPr="00184F30">
        <w:rPr>
          <w:rFonts w:cs="Times New Roman"/>
        </w:rPr>
        <w:t xml:space="preserve"> show</w:t>
      </w:r>
      <w:r w:rsidR="00082F6F">
        <w:rPr>
          <w:rFonts w:cs="Times New Roman"/>
        </w:rPr>
        <w:t>s</w:t>
      </w:r>
      <w:r w:rsidR="00BD4D12" w:rsidRPr="00184F30">
        <w:rPr>
          <w:rFonts w:cs="Times New Roman"/>
        </w:rPr>
        <w:t xml:space="preserve"> </w:t>
      </w:r>
      <w:r w:rsidR="00484669" w:rsidRPr="00184F30">
        <w:rPr>
          <w:rFonts w:cs="Times New Roman"/>
        </w:rPr>
        <w:t>much larger variations ris</w:t>
      </w:r>
      <w:r w:rsidR="00651FF4">
        <w:rPr>
          <w:rFonts w:cs="Times New Roman"/>
        </w:rPr>
        <w:t>ing</w:t>
      </w:r>
      <w:r w:rsidR="00484669" w:rsidRPr="00184F30">
        <w:rPr>
          <w:rFonts w:cs="Times New Roman"/>
        </w:rPr>
        <w:t xml:space="preserve"> from </w:t>
      </w:r>
      <w:r w:rsidR="00360D10" w:rsidRPr="00184F30">
        <w:rPr>
          <w:rFonts w:cs="Times New Roman"/>
        </w:rPr>
        <w:t>7.06</w:t>
      </w:r>
      <w:r w:rsidR="00651FF4">
        <w:rPr>
          <w:rFonts w:cs="Times New Roman"/>
        </w:rPr>
        <w:t xml:space="preserve">  (sd=</w:t>
      </w:r>
      <w:r w:rsidR="00651FF4" w:rsidRPr="00184F30">
        <w:rPr>
          <w:rFonts w:cs="Times New Roman"/>
        </w:rPr>
        <w:t>14.07</w:t>
      </w:r>
      <w:r w:rsidR="00651FF4">
        <w:rPr>
          <w:rFonts w:cs="Times New Roman"/>
        </w:rPr>
        <w:t xml:space="preserve">) </w:t>
      </w:r>
      <w:r w:rsidR="00484669" w:rsidRPr="00184F30">
        <w:rPr>
          <w:rFonts w:cs="Times New Roman"/>
        </w:rPr>
        <w:t xml:space="preserve">to </w:t>
      </w:r>
      <w:r w:rsidR="00360D10" w:rsidRPr="00184F30">
        <w:rPr>
          <w:rFonts w:cs="Times New Roman"/>
        </w:rPr>
        <w:t>153.14</w:t>
      </w:r>
      <w:r w:rsidR="00651FF4">
        <w:rPr>
          <w:rFonts w:cs="Times New Roman"/>
        </w:rPr>
        <w:t xml:space="preserve"> (</w:t>
      </w:r>
      <w:r w:rsidR="00184F30">
        <w:rPr>
          <w:rFonts w:cs="Times New Roman"/>
        </w:rPr>
        <w:t>sd</w:t>
      </w:r>
      <w:r w:rsidR="00484669" w:rsidRPr="00184F30">
        <w:rPr>
          <w:rFonts w:cs="Times New Roman"/>
        </w:rPr>
        <w:t xml:space="preserve"> </w:t>
      </w:r>
      <w:r w:rsidR="00651FF4">
        <w:rPr>
          <w:rFonts w:cs="Times New Roman"/>
        </w:rPr>
        <w:t>=</w:t>
      </w:r>
      <w:r w:rsidR="00484669" w:rsidRPr="00184F30">
        <w:rPr>
          <w:rFonts w:cs="Times New Roman"/>
        </w:rPr>
        <w:t>3</w:t>
      </w:r>
      <w:r w:rsidR="00360D10" w:rsidRPr="00184F30">
        <w:rPr>
          <w:rFonts w:cs="Times New Roman"/>
        </w:rPr>
        <w:t>47</w:t>
      </w:r>
      <w:r w:rsidR="00484669" w:rsidRPr="00184F30">
        <w:rPr>
          <w:rFonts w:cs="Times New Roman"/>
        </w:rPr>
        <w:t>.</w:t>
      </w:r>
      <w:r w:rsidR="00360D10" w:rsidRPr="00184F30">
        <w:rPr>
          <w:rFonts w:cs="Times New Roman"/>
        </w:rPr>
        <w:t>74</w:t>
      </w:r>
      <w:r w:rsidR="00651FF4">
        <w:rPr>
          <w:rFonts w:cs="Times New Roman"/>
        </w:rPr>
        <w:t xml:space="preserve">) </w:t>
      </w:r>
      <w:r w:rsidR="00BD4D12" w:rsidRPr="00184F30">
        <w:rPr>
          <w:rFonts w:cs="Times New Roman"/>
        </w:rPr>
        <w:t xml:space="preserve">between </w:t>
      </w:r>
      <w:r w:rsidR="00184F30">
        <w:rPr>
          <w:rFonts w:cs="Times New Roman"/>
        </w:rPr>
        <w:t>1990 and 2010</w:t>
      </w:r>
      <w:r w:rsidR="00484669" w:rsidRPr="00184F30">
        <w:rPr>
          <w:rFonts w:cs="Times New Roman"/>
        </w:rPr>
        <w:t xml:space="preserve">. </w:t>
      </w:r>
    </w:p>
    <w:p w14:paraId="28E5496A" w14:textId="757DCE10" w:rsidR="00BC7A77" w:rsidRDefault="008935BA" w:rsidP="009C7054">
      <w:pPr>
        <w:spacing w:line="480" w:lineRule="auto"/>
        <w:jc w:val="both"/>
        <w:rPr>
          <w:rFonts w:cs="Times New Roman"/>
        </w:rPr>
      </w:pPr>
      <w:r w:rsidRPr="00184F30">
        <w:rPr>
          <w:rFonts w:cs="Times New Roman"/>
        </w:rPr>
        <w:t xml:space="preserve">The increasing </w:t>
      </w:r>
      <w:r w:rsidR="00184F30">
        <w:rPr>
          <w:rFonts w:cs="Times New Roman"/>
        </w:rPr>
        <w:t>sd</w:t>
      </w:r>
      <w:r w:rsidRPr="00184F30">
        <w:rPr>
          <w:rFonts w:cs="Times New Roman"/>
        </w:rPr>
        <w:t xml:space="preserve"> </w:t>
      </w:r>
      <w:r w:rsidR="00184F30">
        <w:rPr>
          <w:rFonts w:cs="Times New Roman"/>
        </w:rPr>
        <w:t>in</w:t>
      </w:r>
      <w:r w:rsidR="0032394F" w:rsidRPr="00184F30">
        <w:rPr>
          <w:rFonts w:cs="Times New Roman"/>
        </w:rPr>
        <w:t xml:space="preserve"> both b</w:t>
      </w:r>
      <w:r w:rsidR="00064367" w:rsidRPr="00184F30">
        <w:rPr>
          <w:rFonts w:cs="Times New Roman"/>
        </w:rPr>
        <w:t>ro</w:t>
      </w:r>
      <w:r w:rsidR="0032394F" w:rsidRPr="00184F30">
        <w:rPr>
          <w:rFonts w:cs="Times New Roman"/>
        </w:rPr>
        <w:t>ad disease groups hint larg</w:t>
      </w:r>
      <w:r w:rsidR="00D6784D">
        <w:rPr>
          <w:rFonts w:cs="Times New Roman"/>
        </w:rPr>
        <w:t>e</w:t>
      </w:r>
      <w:r w:rsidR="0032394F" w:rsidRPr="00184F30">
        <w:rPr>
          <w:rFonts w:cs="Times New Roman"/>
        </w:rPr>
        <w:t xml:space="preserve"> heterogeneity on</w:t>
      </w:r>
      <w:r w:rsidR="00184F30">
        <w:rPr>
          <w:rFonts w:cs="Times New Roman"/>
        </w:rPr>
        <w:t xml:space="preserve"> the</w:t>
      </w:r>
      <w:r w:rsidR="0032394F" w:rsidRPr="00184F30">
        <w:rPr>
          <w:rFonts w:cs="Times New Roman"/>
        </w:rPr>
        <w:t xml:space="preserve"> levels of innovation across diseases</w:t>
      </w:r>
      <w:r w:rsidR="00184F30">
        <w:rPr>
          <w:rFonts w:cs="Times New Roman"/>
        </w:rPr>
        <w:t>,</w:t>
      </w:r>
      <w:r w:rsidR="0032394F" w:rsidRPr="00184F30">
        <w:rPr>
          <w:rFonts w:cs="Times New Roman"/>
        </w:rPr>
        <w:t xml:space="preserve"> as suggested by the descrip</w:t>
      </w:r>
      <w:r w:rsidR="0066385F" w:rsidRPr="00184F30">
        <w:rPr>
          <w:rFonts w:cs="Times New Roman"/>
        </w:rPr>
        <w:t>ti</w:t>
      </w:r>
      <w:r w:rsidR="0032394F" w:rsidRPr="00184F30">
        <w:rPr>
          <w:rFonts w:cs="Times New Roman"/>
        </w:rPr>
        <w:t>ve analysis performed at disease subcategories level</w:t>
      </w:r>
      <w:r w:rsidR="0032394F" w:rsidRPr="00864489">
        <w:rPr>
          <w:rFonts w:cs="Times New Roman"/>
        </w:rPr>
        <w:t xml:space="preserve"> (Table </w:t>
      </w:r>
      <w:r w:rsidR="00082F6F">
        <w:rPr>
          <w:rFonts w:cs="Times New Roman"/>
        </w:rPr>
        <w:t>I</w:t>
      </w:r>
      <w:r w:rsidR="00064367" w:rsidRPr="00864489">
        <w:rPr>
          <w:rFonts w:cs="Times New Roman"/>
        </w:rPr>
        <w:t>V</w:t>
      </w:r>
      <w:r w:rsidR="0032394F" w:rsidRPr="00864489">
        <w:rPr>
          <w:rFonts w:cs="Times New Roman"/>
        </w:rPr>
        <w:t>).</w:t>
      </w:r>
    </w:p>
    <w:p w14:paraId="4CF66A92" w14:textId="77777777" w:rsidR="00082F6F" w:rsidRPr="00364EF3" w:rsidRDefault="00082F6F" w:rsidP="009C7054">
      <w:pPr>
        <w:spacing w:line="480" w:lineRule="auto"/>
        <w:jc w:val="center"/>
        <w:rPr>
          <w:rFonts w:cs="Times New Roman"/>
          <w:lang w:val="en-GB"/>
        </w:rPr>
      </w:pPr>
      <w:r w:rsidRPr="00364EF3">
        <w:rPr>
          <w:rFonts w:cs="Times New Roman"/>
        </w:rPr>
        <w:t>[</w:t>
      </w:r>
      <w:r>
        <w:rPr>
          <w:rFonts w:cs="Times New Roman"/>
        </w:rPr>
        <w:t>Tables III and IV</w:t>
      </w:r>
      <w:r w:rsidRPr="00364EF3">
        <w:rPr>
          <w:rFonts w:cs="Times New Roman"/>
        </w:rPr>
        <w:t xml:space="preserve"> in here]</w:t>
      </w:r>
    </w:p>
    <w:p w14:paraId="4718E1DE" w14:textId="2DE6C546" w:rsidR="002240EF" w:rsidRDefault="00184F30" w:rsidP="009C7054">
      <w:pPr>
        <w:spacing w:line="480" w:lineRule="auto"/>
        <w:jc w:val="both"/>
        <w:rPr>
          <w:rFonts w:cs="Times New Roman"/>
        </w:rPr>
      </w:pPr>
      <w:r>
        <w:rPr>
          <w:rFonts w:cs="Times New Roman"/>
        </w:rPr>
        <w:t xml:space="preserve">Comparisons </w:t>
      </w:r>
      <w:r w:rsidR="003C70D1">
        <w:rPr>
          <w:rFonts w:cs="Times New Roman"/>
        </w:rPr>
        <w:t>of average market launches at disease level</w:t>
      </w:r>
      <w:r w:rsidR="00C85A78">
        <w:rPr>
          <w:rFonts w:cs="Times New Roman"/>
        </w:rPr>
        <w:t>,</w:t>
      </w:r>
      <w:r w:rsidR="003C70D1">
        <w:rPr>
          <w:rFonts w:cs="Times New Roman"/>
        </w:rPr>
        <w:t xml:space="preserve"> </w:t>
      </w:r>
      <w:r w:rsidR="00082F6F">
        <w:rPr>
          <w:rFonts w:cs="Times New Roman"/>
        </w:rPr>
        <w:t>when looking at descriptive statistics at disease subcategory level</w:t>
      </w:r>
      <w:r w:rsidR="00C85A78">
        <w:rPr>
          <w:rFonts w:cs="Times New Roman"/>
        </w:rPr>
        <w:t>,</w:t>
      </w:r>
      <w:r w:rsidR="00082F6F">
        <w:rPr>
          <w:rFonts w:cs="Times New Roman"/>
        </w:rPr>
        <w:t xml:space="preserve"> also </w:t>
      </w:r>
      <w:r>
        <w:rPr>
          <w:rFonts w:cs="Times New Roman"/>
        </w:rPr>
        <w:t>show</w:t>
      </w:r>
      <w:r w:rsidR="00BC7A77" w:rsidRPr="00D83864">
        <w:rPr>
          <w:rFonts w:cs="Times New Roman"/>
        </w:rPr>
        <w:t xml:space="preserve"> striking differences: </w:t>
      </w:r>
      <w:r>
        <w:rPr>
          <w:rFonts w:cs="Times New Roman"/>
        </w:rPr>
        <w:t xml:space="preserve">the </w:t>
      </w:r>
      <w:r w:rsidR="00BC7A77" w:rsidRPr="00D83864">
        <w:rPr>
          <w:rFonts w:cs="Times New Roman"/>
        </w:rPr>
        <w:t>average number of market launches varies from 0 to 24.33</w:t>
      </w:r>
      <w:r>
        <w:rPr>
          <w:rFonts w:cs="Times New Roman"/>
        </w:rPr>
        <w:t xml:space="preserve"> in 1990;</w:t>
      </w:r>
      <w:r w:rsidR="00BC7A77" w:rsidRPr="00D83864">
        <w:rPr>
          <w:rFonts w:cs="Times New Roman"/>
        </w:rPr>
        <w:t xml:space="preserve"> and from 0 to 362.67 in 2010 (Table IV). </w:t>
      </w:r>
      <w:r>
        <w:rPr>
          <w:rFonts w:cs="Times New Roman"/>
        </w:rPr>
        <w:t>F</w:t>
      </w:r>
      <w:r w:rsidR="00864489">
        <w:rPr>
          <w:rFonts w:cs="Times New Roman"/>
        </w:rPr>
        <w:t>or instance</w:t>
      </w:r>
      <w:r>
        <w:rPr>
          <w:rFonts w:cs="Times New Roman"/>
        </w:rPr>
        <w:t>, i</w:t>
      </w:r>
      <w:r w:rsidR="00BC7A77" w:rsidRPr="00D83864">
        <w:rPr>
          <w:rFonts w:cs="Times New Roman"/>
        </w:rPr>
        <w:t xml:space="preserve">n 1990, while </w:t>
      </w:r>
      <w:r w:rsidR="003C70D1">
        <w:rPr>
          <w:rFonts w:cs="Times New Roman"/>
        </w:rPr>
        <w:t>the disease subcategory “</w:t>
      </w:r>
      <w:r w:rsidR="00BC7A77" w:rsidRPr="00D83864">
        <w:rPr>
          <w:rFonts w:cs="Times New Roman"/>
        </w:rPr>
        <w:t>neoplasms</w:t>
      </w:r>
      <w:r w:rsidR="003C70D1">
        <w:rPr>
          <w:rFonts w:cs="Times New Roman"/>
        </w:rPr>
        <w:t>”</w:t>
      </w:r>
      <w:r w:rsidR="00BC7A77" w:rsidRPr="00D83864">
        <w:rPr>
          <w:rFonts w:cs="Times New Roman"/>
        </w:rPr>
        <w:t xml:space="preserve"> present</w:t>
      </w:r>
      <w:r w:rsidR="005F7C05">
        <w:rPr>
          <w:rFonts w:cs="Times New Roman"/>
        </w:rPr>
        <w:t>s</w:t>
      </w:r>
      <w:r w:rsidR="00BC7A77" w:rsidRPr="00D83864">
        <w:rPr>
          <w:rFonts w:cs="Times New Roman"/>
        </w:rPr>
        <w:t xml:space="preserve"> an average of 10.56 new therapies across the 27 different types of cancer, the three </w:t>
      </w:r>
      <w:r w:rsidR="003C70D1">
        <w:rPr>
          <w:rFonts w:cs="Times New Roman"/>
        </w:rPr>
        <w:t>diseases belonging to</w:t>
      </w:r>
      <w:r w:rsidR="005F7C05">
        <w:rPr>
          <w:rFonts w:cs="Times New Roman"/>
        </w:rPr>
        <w:t xml:space="preserve"> the subcategory</w:t>
      </w:r>
      <w:r w:rsidR="003C70D1">
        <w:rPr>
          <w:rFonts w:cs="Times New Roman"/>
        </w:rPr>
        <w:t xml:space="preserve"> “</w:t>
      </w:r>
      <w:r w:rsidR="00BC7A77" w:rsidRPr="00D83864">
        <w:rPr>
          <w:rFonts w:cs="Times New Roman"/>
        </w:rPr>
        <w:t>musculoskeletal disorders</w:t>
      </w:r>
      <w:r w:rsidR="003C70D1">
        <w:rPr>
          <w:rFonts w:cs="Times New Roman"/>
        </w:rPr>
        <w:t>”</w:t>
      </w:r>
      <w:r w:rsidR="00BC7A77" w:rsidRPr="00D83864">
        <w:rPr>
          <w:rFonts w:cs="Times New Roman"/>
        </w:rPr>
        <w:t xml:space="preserve"> </w:t>
      </w:r>
      <w:r>
        <w:rPr>
          <w:rFonts w:cs="Times New Roman"/>
        </w:rPr>
        <w:t>exhibit</w:t>
      </w:r>
      <w:r w:rsidR="00BC7A77" w:rsidRPr="00D83864">
        <w:rPr>
          <w:rFonts w:cs="Times New Roman"/>
        </w:rPr>
        <w:t xml:space="preserve"> an average of 24.33</w:t>
      </w:r>
      <w:r>
        <w:rPr>
          <w:rFonts w:cs="Times New Roman"/>
        </w:rPr>
        <w:t xml:space="preserve"> new drugs</w:t>
      </w:r>
      <w:r w:rsidR="00BC7A77" w:rsidRPr="00D83864">
        <w:rPr>
          <w:rFonts w:cs="Times New Roman"/>
        </w:rPr>
        <w:t xml:space="preserve">. In 2010, for example, the 14 diseases that compose the subcategory </w:t>
      </w:r>
      <w:r w:rsidR="002240EF">
        <w:rPr>
          <w:rFonts w:cs="Times New Roman"/>
        </w:rPr>
        <w:t>“</w:t>
      </w:r>
      <w:r w:rsidR="00BC7A77" w:rsidRPr="00D83864">
        <w:rPr>
          <w:rFonts w:cs="Times New Roman"/>
        </w:rPr>
        <w:t>diahrrea, lower respiratory infections, meningitis, and other common infectious diseases</w:t>
      </w:r>
      <w:r w:rsidR="005F7C05">
        <w:rPr>
          <w:rFonts w:cs="Times New Roman"/>
        </w:rPr>
        <w:t>”</w:t>
      </w:r>
      <w:r w:rsidR="00810FE5">
        <w:rPr>
          <w:rFonts w:cs="Times New Roman"/>
        </w:rPr>
        <w:t xml:space="preserve"> (Diahrrea and LRI henceforth)</w:t>
      </w:r>
      <w:r w:rsidR="00BC7A77" w:rsidRPr="00D83864">
        <w:rPr>
          <w:rFonts w:cs="Times New Roman"/>
        </w:rPr>
        <w:t xml:space="preserve"> </w:t>
      </w:r>
      <w:r w:rsidR="005F7C05">
        <w:rPr>
          <w:rFonts w:cs="Times New Roman"/>
        </w:rPr>
        <w:t>exh</w:t>
      </w:r>
      <w:r w:rsidR="00EC774F">
        <w:rPr>
          <w:rFonts w:cs="Times New Roman"/>
        </w:rPr>
        <w:t>i</w:t>
      </w:r>
      <w:r w:rsidR="005F7C05">
        <w:rPr>
          <w:rFonts w:cs="Times New Roman"/>
        </w:rPr>
        <w:t>bit an average of</w:t>
      </w:r>
      <w:r w:rsidR="00BC7A77" w:rsidRPr="00D83864">
        <w:rPr>
          <w:rFonts w:cs="Times New Roman"/>
        </w:rPr>
        <w:t xml:space="preserve"> 16.5 new therapies</w:t>
      </w:r>
      <w:r w:rsidR="00864489">
        <w:rPr>
          <w:rFonts w:cs="Times New Roman"/>
        </w:rPr>
        <w:t xml:space="preserve"> </w:t>
      </w:r>
      <w:r w:rsidR="00386828">
        <w:rPr>
          <w:rFonts w:cs="Times New Roman"/>
        </w:rPr>
        <w:t>launched in the market</w:t>
      </w:r>
      <w:r w:rsidR="00BC7A77" w:rsidRPr="00D83864">
        <w:rPr>
          <w:rFonts w:cs="Times New Roman"/>
        </w:rPr>
        <w:t xml:space="preserve">, whereas </w:t>
      </w:r>
      <w:r w:rsidR="00386828">
        <w:rPr>
          <w:rFonts w:cs="Times New Roman"/>
        </w:rPr>
        <w:t>for the</w:t>
      </w:r>
      <w:r w:rsidR="00BC7A77" w:rsidRPr="00D83864">
        <w:rPr>
          <w:rFonts w:cs="Times New Roman"/>
        </w:rPr>
        <w:t xml:space="preserve"> 12 diseases that compose the subcategory </w:t>
      </w:r>
      <w:r w:rsidR="003C70D1">
        <w:rPr>
          <w:rFonts w:cs="Times New Roman"/>
        </w:rPr>
        <w:t>“</w:t>
      </w:r>
      <w:r w:rsidR="00BC7A77" w:rsidRPr="00D83864">
        <w:rPr>
          <w:rFonts w:cs="Times New Roman"/>
        </w:rPr>
        <w:t>diabetes, urogenital, blood and endocrine diseases</w:t>
      </w:r>
      <w:r w:rsidR="003C70D1">
        <w:rPr>
          <w:rFonts w:cs="Times New Roman"/>
        </w:rPr>
        <w:t>”</w:t>
      </w:r>
      <w:r w:rsidR="00BC7A77" w:rsidRPr="00D83864">
        <w:rPr>
          <w:rFonts w:cs="Times New Roman"/>
        </w:rPr>
        <w:t xml:space="preserve"> show an average of 143.42 new </w:t>
      </w:r>
      <w:r w:rsidR="00386828">
        <w:rPr>
          <w:rFonts w:cs="Times New Roman"/>
        </w:rPr>
        <w:t>market launches</w:t>
      </w:r>
      <w:r w:rsidR="00BC7A77" w:rsidRPr="00D83864">
        <w:rPr>
          <w:rFonts w:cs="Times New Roman"/>
        </w:rPr>
        <w:t xml:space="preserve">. </w:t>
      </w:r>
    </w:p>
    <w:p w14:paraId="0FC5474B" w14:textId="5829E6B8" w:rsidR="00BC7A77" w:rsidRDefault="002240EF" w:rsidP="009C7054">
      <w:pPr>
        <w:spacing w:line="480" w:lineRule="auto"/>
        <w:jc w:val="both"/>
        <w:rPr>
          <w:rFonts w:cs="Times New Roman"/>
        </w:rPr>
      </w:pPr>
      <w:r>
        <w:rPr>
          <w:rFonts w:cs="Times New Roman"/>
        </w:rPr>
        <w:t>Morerover, t</w:t>
      </w:r>
      <w:r w:rsidR="00BC7A77" w:rsidRPr="00D83864">
        <w:rPr>
          <w:rFonts w:cs="Times New Roman"/>
        </w:rPr>
        <w:t xml:space="preserve">he widening differences in the sd </w:t>
      </w:r>
      <w:r w:rsidR="005F7C05">
        <w:rPr>
          <w:rFonts w:cs="Times New Roman"/>
        </w:rPr>
        <w:t xml:space="preserve">across subcategories and within subcategories </w:t>
      </w:r>
      <w:r w:rsidR="00BC7A77" w:rsidRPr="00D83864">
        <w:rPr>
          <w:rFonts w:cs="Times New Roman"/>
        </w:rPr>
        <w:t>between 1990 and 2010 also show eviden</w:t>
      </w:r>
      <w:r w:rsidR="009B758B">
        <w:rPr>
          <w:rFonts w:cs="Times New Roman"/>
        </w:rPr>
        <w:t>ce of increasing heteregoneity i</w:t>
      </w:r>
      <w:r w:rsidR="00BC7A77" w:rsidRPr="00D83864">
        <w:rPr>
          <w:rFonts w:cs="Times New Roman"/>
        </w:rPr>
        <w:t>n the levels of drug innovation between diseases (Table IV).</w:t>
      </w:r>
    </w:p>
    <w:p w14:paraId="283CCBE0" w14:textId="092AD996" w:rsidR="00E43D57" w:rsidRPr="00364EF3" w:rsidRDefault="00E43D57" w:rsidP="009C7054">
      <w:pPr>
        <w:spacing w:line="480" w:lineRule="auto"/>
        <w:jc w:val="both"/>
        <w:rPr>
          <w:rFonts w:cs="Times New Roman"/>
        </w:rPr>
      </w:pPr>
      <w:r w:rsidRPr="00364EF3">
        <w:rPr>
          <w:rFonts w:cs="Times New Roman"/>
        </w:rPr>
        <w:t xml:space="preserve">There are </w:t>
      </w:r>
      <w:r w:rsidR="004D0494">
        <w:rPr>
          <w:rFonts w:cs="Times New Roman"/>
        </w:rPr>
        <w:t xml:space="preserve">also </w:t>
      </w:r>
      <w:r w:rsidRPr="00364EF3">
        <w:rPr>
          <w:rFonts w:cs="Times New Roman"/>
        </w:rPr>
        <w:t xml:space="preserve">large variations in the causes of death and disease burden across countries. For some regions, </w:t>
      </w:r>
      <w:r w:rsidR="001F0770" w:rsidRPr="00364EF3">
        <w:rPr>
          <w:rFonts w:cs="Times New Roman"/>
        </w:rPr>
        <w:t>disease burden has</w:t>
      </w:r>
      <w:r w:rsidRPr="00364EF3">
        <w:rPr>
          <w:rFonts w:cs="Times New Roman"/>
        </w:rPr>
        <w:t xml:space="preserve"> been </w:t>
      </w:r>
      <w:r w:rsidR="001F0770" w:rsidRPr="00364EF3">
        <w:rPr>
          <w:rFonts w:cs="Times New Roman"/>
        </w:rPr>
        <w:t xml:space="preserve">persistently </w:t>
      </w:r>
      <w:r w:rsidRPr="00364EF3">
        <w:rPr>
          <w:rFonts w:cs="Times New Roman"/>
        </w:rPr>
        <w:t xml:space="preserve">concentrated in the same disease groups since the nineties. In developed regions, such as North America and Western Europe, NCDs have </w:t>
      </w:r>
      <w:r w:rsidR="0094584E" w:rsidRPr="00364EF3">
        <w:rPr>
          <w:rFonts w:cs="Times New Roman"/>
        </w:rPr>
        <w:t xml:space="preserve">for many decades </w:t>
      </w:r>
      <w:r w:rsidRPr="00364EF3">
        <w:rPr>
          <w:rFonts w:cs="Times New Roman"/>
        </w:rPr>
        <w:t xml:space="preserve">been the major causes of death and disability. Conditions </w:t>
      </w:r>
      <w:r w:rsidR="00001DAF">
        <w:rPr>
          <w:rFonts w:cs="Times New Roman"/>
        </w:rPr>
        <w:t>such as</w:t>
      </w:r>
      <w:r w:rsidRPr="00364EF3">
        <w:rPr>
          <w:rFonts w:cs="Times New Roman"/>
        </w:rPr>
        <w:t xml:space="preserve"> </w:t>
      </w:r>
      <w:r w:rsidRPr="00710F5A">
        <w:rPr>
          <w:i/>
        </w:rPr>
        <w:lastRenderedPageBreak/>
        <w:t>ischemic heart disease</w:t>
      </w:r>
      <w:r w:rsidRPr="00364EF3">
        <w:rPr>
          <w:rFonts w:cs="Times New Roman"/>
        </w:rPr>
        <w:t xml:space="preserve"> (IHD), </w:t>
      </w:r>
      <w:r w:rsidRPr="00710F5A">
        <w:rPr>
          <w:i/>
          <w:lang w:val="en-GB"/>
        </w:rPr>
        <w:t>chronic obstructive pulmonary disease</w:t>
      </w:r>
      <w:r w:rsidRPr="00364EF3">
        <w:rPr>
          <w:rFonts w:cs="Times New Roman"/>
          <w:lang w:val="en-GB"/>
        </w:rPr>
        <w:t xml:space="preserve"> (</w:t>
      </w:r>
      <w:r w:rsidRPr="00364EF3">
        <w:rPr>
          <w:rFonts w:cs="Times New Roman"/>
        </w:rPr>
        <w:t xml:space="preserve">COPD), </w:t>
      </w:r>
      <w:r w:rsidR="00234AB0" w:rsidRPr="00EE53FB">
        <w:rPr>
          <w:rFonts w:cs="Times New Roman"/>
          <w:i/>
        </w:rPr>
        <w:t>stroke</w:t>
      </w:r>
      <w:r w:rsidRPr="00364EF3">
        <w:rPr>
          <w:rFonts w:cs="Times New Roman"/>
        </w:rPr>
        <w:t xml:space="preserve">, </w:t>
      </w:r>
      <w:r w:rsidRPr="00710F5A">
        <w:rPr>
          <w:i/>
        </w:rPr>
        <w:t>major depressive disorder</w:t>
      </w:r>
      <w:r w:rsidRPr="00364EF3">
        <w:rPr>
          <w:rFonts w:cs="Times New Roman"/>
        </w:rPr>
        <w:t xml:space="preserve"> (MDD), and </w:t>
      </w:r>
      <w:r w:rsidRPr="00710F5A">
        <w:rPr>
          <w:i/>
        </w:rPr>
        <w:t>trachea, bronchus and lung</w:t>
      </w:r>
      <w:r w:rsidRPr="00364EF3">
        <w:rPr>
          <w:rFonts w:cs="Times New Roman"/>
        </w:rPr>
        <w:t xml:space="preserve"> (TBL) </w:t>
      </w:r>
      <w:r w:rsidRPr="00710F5A">
        <w:rPr>
          <w:i/>
        </w:rPr>
        <w:t>cancers</w:t>
      </w:r>
      <w:r w:rsidRPr="00364EF3">
        <w:rPr>
          <w:rFonts w:cs="Times New Roman"/>
        </w:rPr>
        <w:t xml:space="preserve"> have presented the largest need for health care and innovation</w:t>
      </w:r>
      <w:r w:rsidR="00DC7E61">
        <w:rPr>
          <w:rFonts w:cs="Times New Roman"/>
        </w:rPr>
        <w:t xml:space="preserve"> </w:t>
      </w:r>
      <w:r w:rsidRPr="00364EF3">
        <w:rPr>
          <w:rFonts w:cs="Times New Roman"/>
        </w:rPr>
        <w:fldChar w:fldCharType="begin"/>
      </w:r>
      <w:r w:rsidR="00AE05D0">
        <w:rPr>
          <w:rFonts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Pr="00364EF3">
        <w:rPr>
          <w:rFonts w:cs="Times New Roman"/>
        </w:rPr>
        <w:fldChar w:fldCharType="separate"/>
      </w:r>
      <w:r w:rsidR="00897999" w:rsidRPr="00364EF3">
        <w:rPr>
          <w:rFonts w:cs="Times New Roman"/>
          <w:noProof/>
        </w:rPr>
        <w:t>(Murray et al., 2013)</w:t>
      </w:r>
      <w:r w:rsidRPr="00364EF3">
        <w:rPr>
          <w:rFonts w:cs="Times New Roman"/>
        </w:rPr>
        <w:fldChar w:fldCharType="end"/>
      </w:r>
      <w:r w:rsidRPr="00364EF3">
        <w:rPr>
          <w:rFonts w:cs="Times New Roman"/>
        </w:rPr>
        <w:t xml:space="preserve"> (</w:t>
      </w:r>
      <w:r w:rsidR="00DC7E61">
        <w:rPr>
          <w:rFonts w:cs="Times New Roman"/>
        </w:rPr>
        <w:t xml:space="preserve">Table </w:t>
      </w:r>
      <w:r w:rsidR="001A4085">
        <w:rPr>
          <w:rFonts w:cs="Times New Roman"/>
        </w:rPr>
        <w:t>V</w:t>
      </w:r>
      <w:r w:rsidRPr="00364EF3">
        <w:rPr>
          <w:rFonts w:cs="Times New Roman"/>
        </w:rPr>
        <w:t xml:space="preserve">). In </w:t>
      </w:r>
      <w:r w:rsidR="0094584E" w:rsidRPr="00364EF3">
        <w:rPr>
          <w:rFonts w:cs="Times New Roman"/>
        </w:rPr>
        <w:t xml:space="preserve">many </w:t>
      </w:r>
      <w:r w:rsidRPr="00364EF3">
        <w:rPr>
          <w:rFonts w:cs="Times New Roman"/>
        </w:rPr>
        <w:t xml:space="preserve">developing countries, such as those in Sub-Saharan Africa, </w:t>
      </w:r>
      <w:r w:rsidR="001F0770" w:rsidRPr="00364EF3">
        <w:rPr>
          <w:rFonts w:cs="Times New Roman"/>
        </w:rPr>
        <w:t>disease burden</w:t>
      </w:r>
      <w:r w:rsidRPr="00364EF3">
        <w:rPr>
          <w:rFonts w:cs="Times New Roman"/>
        </w:rPr>
        <w:t xml:space="preserve"> continue</w:t>
      </w:r>
      <w:r w:rsidR="001F0770" w:rsidRPr="00364EF3">
        <w:rPr>
          <w:rFonts w:cs="Times New Roman"/>
        </w:rPr>
        <w:t>s</w:t>
      </w:r>
      <w:r w:rsidRPr="00364EF3">
        <w:rPr>
          <w:rFonts w:cs="Times New Roman"/>
        </w:rPr>
        <w:t xml:space="preserve"> to be concentrated in</w:t>
      </w:r>
      <w:r w:rsidRPr="00710F5A">
        <w:rPr>
          <w:i/>
        </w:rPr>
        <w:t xml:space="preserve"> tuberculosis</w:t>
      </w:r>
      <w:r w:rsidRPr="00364EF3">
        <w:rPr>
          <w:rFonts w:cs="Times New Roman"/>
        </w:rPr>
        <w:t xml:space="preserve">, </w:t>
      </w:r>
      <w:r w:rsidRPr="00710F5A">
        <w:rPr>
          <w:i/>
        </w:rPr>
        <w:t>lower respiratory infections (LRI)</w:t>
      </w:r>
      <w:r w:rsidRPr="00364EF3">
        <w:rPr>
          <w:rFonts w:cs="Times New Roman"/>
        </w:rPr>
        <w:t xml:space="preserve">, </w:t>
      </w:r>
      <w:r w:rsidRPr="00710F5A">
        <w:rPr>
          <w:i/>
        </w:rPr>
        <w:t>HIV/AIDS</w:t>
      </w:r>
      <w:r w:rsidRPr="00364EF3">
        <w:rPr>
          <w:rFonts w:cs="Times New Roman"/>
        </w:rPr>
        <w:t xml:space="preserve">, </w:t>
      </w:r>
      <w:r w:rsidRPr="00710F5A">
        <w:rPr>
          <w:i/>
        </w:rPr>
        <w:t>malaria</w:t>
      </w:r>
      <w:r w:rsidRPr="00364EF3">
        <w:rPr>
          <w:rFonts w:cs="Times New Roman"/>
        </w:rPr>
        <w:t xml:space="preserve"> and </w:t>
      </w:r>
      <w:r w:rsidRPr="00710F5A">
        <w:rPr>
          <w:i/>
        </w:rPr>
        <w:t>diarrhea</w:t>
      </w:r>
      <w:r w:rsidR="00DC7E61">
        <w:rPr>
          <w:rFonts w:cs="Times New Roman"/>
        </w:rPr>
        <w:t xml:space="preserve"> </w:t>
      </w:r>
      <w:r w:rsidRPr="00364EF3">
        <w:rPr>
          <w:rFonts w:cs="Times New Roman"/>
        </w:rPr>
        <w:fldChar w:fldCharType="begin"/>
      </w:r>
      <w:r w:rsidR="00AE05D0">
        <w:rPr>
          <w:rFonts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Pr="00364EF3">
        <w:rPr>
          <w:rFonts w:cs="Times New Roman"/>
        </w:rPr>
        <w:fldChar w:fldCharType="separate"/>
      </w:r>
      <w:r w:rsidR="00897999" w:rsidRPr="00364EF3">
        <w:rPr>
          <w:rFonts w:cs="Times New Roman"/>
          <w:noProof/>
        </w:rPr>
        <w:t>(Murray et al., 2013)</w:t>
      </w:r>
      <w:r w:rsidRPr="00364EF3">
        <w:rPr>
          <w:rFonts w:cs="Times New Roman"/>
        </w:rPr>
        <w:fldChar w:fldCharType="end"/>
      </w:r>
      <w:r w:rsidRPr="00364EF3">
        <w:rPr>
          <w:rFonts w:cs="Times New Roman"/>
        </w:rPr>
        <w:t xml:space="preserve"> (</w:t>
      </w:r>
      <w:r w:rsidR="00DC7E61">
        <w:rPr>
          <w:rFonts w:cs="Times New Roman"/>
        </w:rPr>
        <w:t>Table</w:t>
      </w:r>
      <w:r w:rsidR="001A4085">
        <w:rPr>
          <w:rFonts w:cs="Times New Roman"/>
        </w:rPr>
        <w:t xml:space="preserve"> V</w:t>
      </w:r>
      <w:r w:rsidRPr="00364EF3">
        <w:rPr>
          <w:rFonts w:cs="Times New Roman"/>
        </w:rPr>
        <w:t xml:space="preserve">). </w:t>
      </w:r>
    </w:p>
    <w:p w14:paraId="3F660CFE" w14:textId="6E9AEBF6" w:rsidR="001D3B76" w:rsidRPr="00364EF3" w:rsidRDefault="001D3B76" w:rsidP="009C7054">
      <w:pPr>
        <w:spacing w:line="480" w:lineRule="auto"/>
        <w:jc w:val="center"/>
        <w:rPr>
          <w:rFonts w:cs="Times New Roman"/>
          <w:lang w:val="en-GB"/>
        </w:rPr>
      </w:pPr>
      <w:r w:rsidRPr="00364EF3">
        <w:rPr>
          <w:rFonts w:cs="Times New Roman"/>
        </w:rPr>
        <w:t>[</w:t>
      </w:r>
      <w:r w:rsidR="00DC7E61">
        <w:rPr>
          <w:rFonts w:cs="Times New Roman"/>
        </w:rPr>
        <w:t xml:space="preserve">Table </w:t>
      </w:r>
      <w:r w:rsidR="001A4085">
        <w:rPr>
          <w:rFonts w:cs="Times New Roman"/>
        </w:rPr>
        <w:t>V</w:t>
      </w:r>
      <w:r w:rsidR="001A4085" w:rsidRPr="00364EF3">
        <w:rPr>
          <w:rFonts w:cs="Times New Roman"/>
        </w:rPr>
        <w:t xml:space="preserve"> </w:t>
      </w:r>
      <w:r w:rsidRPr="00364EF3">
        <w:rPr>
          <w:rFonts w:cs="Times New Roman"/>
        </w:rPr>
        <w:t>in here]</w:t>
      </w:r>
    </w:p>
    <w:p w14:paraId="490D4417" w14:textId="1F9F97AD" w:rsidR="009B16BB" w:rsidRPr="00364EF3" w:rsidRDefault="00E43D57" w:rsidP="009C7054">
      <w:pPr>
        <w:spacing w:line="480" w:lineRule="auto"/>
        <w:jc w:val="both"/>
        <w:rPr>
          <w:rFonts w:cs="Times New Roman"/>
        </w:rPr>
      </w:pPr>
      <w:r w:rsidRPr="00364EF3">
        <w:rPr>
          <w:rFonts w:cs="Times New Roman"/>
        </w:rPr>
        <w:t xml:space="preserve">However, there are regions experiencing structural changes in the epidemiological profile in the last two decades. In Southeast/East Asia and Oceania, the </w:t>
      </w:r>
      <w:r w:rsidR="00D12F65" w:rsidRPr="00364EF3">
        <w:rPr>
          <w:rFonts w:cs="Times New Roman"/>
        </w:rPr>
        <w:t>importance</w:t>
      </w:r>
      <w:r w:rsidRPr="00364EF3">
        <w:rPr>
          <w:rFonts w:cs="Times New Roman"/>
        </w:rPr>
        <w:t xml:space="preserve"> of diseases such as </w:t>
      </w:r>
      <w:r w:rsidRPr="00710F5A">
        <w:rPr>
          <w:i/>
        </w:rPr>
        <w:t>LRI</w:t>
      </w:r>
      <w:r w:rsidRPr="00364EF3">
        <w:rPr>
          <w:rFonts w:cs="Times New Roman"/>
        </w:rPr>
        <w:t xml:space="preserve"> and </w:t>
      </w:r>
      <w:r w:rsidRPr="00710F5A">
        <w:rPr>
          <w:i/>
        </w:rPr>
        <w:t>diarrhea</w:t>
      </w:r>
      <w:r w:rsidRPr="00364EF3">
        <w:rPr>
          <w:rFonts w:cs="Times New Roman"/>
        </w:rPr>
        <w:t xml:space="preserve"> that were prevalent in 1990 was replaced by </w:t>
      </w:r>
      <w:r w:rsidR="00D709FF" w:rsidRPr="00EE53FB">
        <w:rPr>
          <w:rFonts w:cs="Times New Roman"/>
          <w:i/>
        </w:rPr>
        <w:t>stroke</w:t>
      </w:r>
      <w:r w:rsidRPr="00364EF3">
        <w:rPr>
          <w:rFonts w:cs="Times New Roman"/>
        </w:rPr>
        <w:t xml:space="preserve">, </w:t>
      </w:r>
      <w:r w:rsidR="00D709FF">
        <w:rPr>
          <w:rFonts w:cs="Times New Roman"/>
        </w:rPr>
        <w:t xml:space="preserve">and </w:t>
      </w:r>
      <w:r w:rsidRPr="00EE53FB">
        <w:rPr>
          <w:rFonts w:cs="Times New Roman"/>
          <w:i/>
        </w:rPr>
        <w:t>IHD</w:t>
      </w:r>
      <w:r w:rsidRPr="00364EF3">
        <w:rPr>
          <w:rFonts w:cs="Times New Roman"/>
        </w:rPr>
        <w:t xml:space="preserve"> as main causes of disease burden in 2010. In Latin America and Caribbean, </w:t>
      </w:r>
      <w:r w:rsidRPr="00710F5A">
        <w:rPr>
          <w:i/>
        </w:rPr>
        <w:t>IHD</w:t>
      </w:r>
      <w:r w:rsidRPr="00364EF3">
        <w:rPr>
          <w:rFonts w:cs="Times New Roman"/>
        </w:rPr>
        <w:t xml:space="preserve"> </w:t>
      </w:r>
      <w:r w:rsidR="00C85A78">
        <w:rPr>
          <w:rFonts w:cs="Times New Roman"/>
        </w:rPr>
        <w:t xml:space="preserve">and </w:t>
      </w:r>
      <w:r w:rsidR="00C85A78" w:rsidRPr="00EE53FB">
        <w:rPr>
          <w:rFonts w:cs="Times New Roman"/>
          <w:i/>
        </w:rPr>
        <w:t>stroke</w:t>
      </w:r>
      <w:r w:rsidR="00C85A78">
        <w:rPr>
          <w:rFonts w:cs="Times New Roman"/>
        </w:rPr>
        <w:t xml:space="preserve"> </w:t>
      </w:r>
      <w:r w:rsidRPr="00364EF3">
        <w:rPr>
          <w:rFonts w:cs="Times New Roman"/>
        </w:rPr>
        <w:t>emerge as the</w:t>
      </w:r>
      <w:r w:rsidR="00C85A78">
        <w:rPr>
          <w:rFonts w:cs="Times New Roman"/>
        </w:rPr>
        <w:t xml:space="preserve"> first and</w:t>
      </w:r>
      <w:r w:rsidRPr="00364EF3">
        <w:rPr>
          <w:rFonts w:cs="Times New Roman"/>
        </w:rPr>
        <w:t xml:space="preserve"> second cause</w:t>
      </w:r>
      <w:r w:rsidR="00C85A78">
        <w:rPr>
          <w:rFonts w:cs="Times New Roman"/>
        </w:rPr>
        <w:t>s</w:t>
      </w:r>
      <w:r w:rsidRPr="00364EF3">
        <w:rPr>
          <w:rFonts w:cs="Times New Roman"/>
        </w:rPr>
        <w:t xml:space="preserve"> of of death in 2010. The epidemiological transition is perhaps more evident in North Africa and </w:t>
      </w:r>
      <w:r w:rsidR="0094584E" w:rsidRPr="00364EF3">
        <w:rPr>
          <w:rFonts w:cs="Times New Roman"/>
        </w:rPr>
        <w:t xml:space="preserve">the </w:t>
      </w:r>
      <w:r w:rsidRPr="00364EF3">
        <w:rPr>
          <w:rFonts w:cs="Times New Roman"/>
        </w:rPr>
        <w:t xml:space="preserve">Middle East, where </w:t>
      </w:r>
      <w:r w:rsidRPr="00710F5A">
        <w:rPr>
          <w:i/>
        </w:rPr>
        <w:t>IHD</w:t>
      </w:r>
      <w:r w:rsidRPr="00364EF3">
        <w:rPr>
          <w:rFonts w:cs="Times New Roman"/>
        </w:rPr>
        <w:t xml:space="preserve">, </w:t>
      </w:r>
      <w:r w:rsidRPr="00710F5A">
        <w:rPr>
          <w:i/>
        </w:rPr>
        <w:t>MDD</w:t>
      </w:r>
      <w:r w:rsidR="00EE53FB">
        <w:rPr>
          <w:rFonts w:cs="Times New Roman"/>
        </w:rPr>
        <w:t xml:space="preserve">, </w:t>
      </w:r>
      <w:r w:rsidR="00EE53FB" w:rsidRPr="00EE53FB">
        <w:rPr>
          <w:rFonts w:cs="Times New Roman"/>
          <w:i/>
        </w:rPr>
        <w:t>s</w:t>
      </w:r>
      <w:r w:rsidRPr="00EE53FB">
        <w:rPr>
          <w:rFonts w:cs="Times New Roman"/>
          <w:i/>
        </w:rPr>
        <w:t>troke</w:t>
      </w:r>
      <w:r w:rsidRPr="00364EF3">
        <w:rPr>
          <w:rFonts w:cs="Times New Roman"/>
        </w:rPr>
        <w:t xml:space="preserve"> and </w:t>
      </w:r>
      <w:r w:rsidR="00EE53FB">
        <w:rPr>
          <w:rFonts w:cs="Times New Roman"/>
        </w:rPr>
        <w:t>i</w:t>
      </w:r>
      <w:r w:rsidRPr="00364EF3">
        <w:rPr>
          <w:rFonts w:cs="Times New Roman"/>
        </w:rPr>
        <w:t xml:space="preserve"> are the </w:t>
      </w:r>
      <w:r w:rsidR="00D709FF">
        <w:rPr>
          <w:rFonts w:cs="Times New Roman"/>
        </w:rPr>
        <w:t xml:space="preserve">four </w:t>
      </w:r>
      <w:r w:rsidRPr="00364EF3">
        <w:rPr>
          <w:rFonts w:cs="Times New Roman"/>
        </w:rPr>
        <w:t xml:space="preserve">main causes of burden in 2010, contrasting with </w:t>
      </w:r>
      <w:r w:rsidRPr="00710F5A">
        <w:rPr>
          <w:i/>
        </w:rPr>
        <w:t>LRI</w:t>
      </w:r>
      <w:r w:rsidR="00D709FF">
        <w:rPr>
          <w:rFonts w:cs="Times New Roman"/>
        </w:rPr>
        <w:t>,</w:t>
      </w:r>
      <w:r w:rsidRPr="00364EF3">
        <w:rPr>
          <w:rFonts w:cs="Times New Roman"/>
        </w:rPr>
        <w:t xml:space="preserve"> </w:t>
      </w:r>
      <w:r w:rsidRPr="00710F5A">
        <w:rPr>
          <w:i/>
        </w:rPr>
        <w:t>diarrhea</w:t>
      </w:r>
      <w:r w:rsidR="00D709FF">
        <w:rPr>
          <w:rFonts w:cs="Times New Roman"/>
        </w:rPr>
        <w:t xml:space="preserve">, </w:t>
      </w:r>
      <w:r w:rsidR="00D709FF" w:rsidRPr="00EE53FB">
        <w:rPr>
          <w:rFonts w:cs="Times New Roman"/>
          <w:i/>
        </w:rPr>
        <w:t>congenital anomalies</w:t>
      </w:r>
      <w:r w:rsidR="00D709FF">
        <w:rPr>
          <w:rFonts w:cs="Times New Roman"/>
        </w:rPr>
        <w:t xml:space="preserve"> and </w:t>
      </w:r>
      <w:r w:rsidR="00D709FF" w:rsidRPr="00EE53FB">
        <w:rPr>
          <w:rFonts w:cs="Times New Roman"/>
          <w:i/>
        </w:rPr>
        <w:t>IHD</w:t>
      </w:r>
      <w:r w:rsidRPr="00364EF3">
        <w:rPr>
          <w:rFonts w:cs="Times New Roman"/>
        </w:rPr>
        <w:t xml:space="preserve"> in 1990</w:t>
      </w:r>
      <w:r w:rsidR="00DC7E61">
        <w:rPr>
          <w:rFonts w:cs="Times New Roman"/>
        </w:rPr>
        <w:t xml:space="preserve"> </w:t>
      </w:r>
      <w:r w:rsidRPr="00364EF3">
        <w:rPr>
          <w:rFonts w:cs="Times New Roman"/>
        </w:rPr>
        <w:fldChar w:fldCharType="begin"/>
      </w:r>
      <w:r w:rsidR="00AE05D0">
        <w:rPr>
          <w:rFonts w:cs="Times New Roman"/>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Pr="00364EF3">
        <w:rPr>
          <w:rFonts w:cs="Times New Roman"/>
        </w:rPr>
        <w:fldChar w:fldCharType="separate"/>
      </w:r>
      <w:r w:rsidR="00897999" w:rsidRPr="00364EF3">
        <w:rPr>
          <w:rFonts w:cs="Times New Roman"/>
          <w:noProof/>
        </w:rPr>
        <w:t>(Murray et al., 2013)</w:t>
      </w:r>
      <w:r w:rsidRPr="00364EF3">
        <w:rPr>
          <w:rFonts w:cs="Times New Roman"/>
        </w:rPr>
        <w:fldChar w:fldCharType="end"/>
      </w:r>
      <w:r w:rsidRPr="00364EF3">
        <w:rPr>
          <w:rFonts w:cs="Times New Roman"/>
        </w:rPr>
        <w:t xml:space="preserve"> (</w:t>
      </w:r>
      <w:r w:rsidR="00DC7E61">
        <w:rPr>
          <w:rFonts w:cs="Times New Roman"/>
        </w:rPr>
        <w:t xml:space="preserve">Table </w:t>
      </w:r>
      <w:r w:rsidR="001A4085">
        <w:rPr>
          <w:rFonts w:cs="Times New Roman"/>
        </w:rPr>
        <w:t>V</w:t>
      </w:r>
      <w:r w:rsidRPr="00364EF3">
        <w:rPr>
          <w:rFonts w:cs="Times New Roman"/>
        </w:rPr>
        <w:t xml:space="preserve">). </w:t>
      </w:r>
    </w:p>
    <w:p w14:paraId="1CF9FBB4" w14:textId="77777777" w:rsidR="00E43D57" w:rsidRDefault="00E43D57" w:rsidP="009C7054">
      <w:pPr>
        <w:spacing w:line="480" w:lineRule="auto"/>
        <w:jc w:val="both"/>
        <w:rPr>
          <w:rFonts w:cs="Times New Roman"/>
        </w:rPr>
      </w:pPr>
    </w:p>
    <w:p w14:paraId="2E44C869" w14:textId="488A77F4" w:rsidR="00001DAF" w:rsidRDefault="00001DAF" w:rsidP="009C7054">
      <w:pPr>
        <w:spacing w:line="480" w:lineRule="auto"/>
        <w:jc w:val="both"/>
        <w:rPr>
          <w:rFonts w:cs="Times New Roman"/>
        </w:rPr>
      </w:pPr>
      <w:r>
        <w:rPr>
          <w:rFonts w:cs="Times New Roman"/>
        </w:rPr>
        <w:t xml:space="preserve">We now present the results from the analysis performed when using concentration curves and concentration indices to evaluate the level of </w:t>
      </w:r>
      <w:r w:rsidR="00B67EDA">
        <w:rPr>
          <w:rFonts w:cs="Times New Roman"/>
        </w:rPr>
        <w:t xml:space="preserve">association </w:t>
      </w:r>
      <w:r>
        <w:rPr>
          <w:rFonts w:cs="Times New Roman"/>
        </w:rPr>
        <w:t>between global innovation and global burden of diseases.</w:t>
      </w:r>
    </w:p>
    <w:p w14:paraId="4DF31408" w14:textId="77777777" w:rsidR="00852A6D" w:rsidRDefault="00852A6D" w:rsidP="009C7054">
      <w:pPr>
        <w:spacing w:line="480" w:lineRule="auto"/>
        <w:jc w:val="both"/>
        <w:rPr>
          <w:rFonts w:cs="Times New Roman"/>
        </w:rPr>
      </w:pPr>
    </w:p>
    <w:p w14:paraId="74E87F28" w14:textId="77777777" w:rsidR="00624E77" w:rsidRPr="00364EF3" w:rsidRDefault="00624E77" w:rsidP="009C7054">
      <w:pPr>
        <w:spacing w:line="480" w:lineRule="auto"/>
        <w:jc w:val="both"/>
        <w:rPr>
          <w:rFonts w:cs="Times New Roman"/>
          <w:b/>
        </w:rPr>
      </w:pPr>
      <w:r w:rsidRPr="00364EF3">
        <w:rPr>
          <w:rFonts w:cs="Times New Roman"/>
          <w:b/>
        </w:rPr>
        <w:t>Concentration curves and concentration indices</w:t>
      </w:r>
    </w:p>
    <w:p w14:paraId="3D39D799" w14:textId="77777777" w:rsidR="00E43D57" w:rsidRPr="00364EF3" w:rsidRDefault="00E43D57" w:rsidP="009C7054">
      <w:pPr>
        <w:spacing w:line="480" w:lineRule="auto"/>
        <w:jc w:val="both"/>
        <w:rPr>
          <w:rFonts w:cs="Times New Roman"/>
          <w:i/>
        </w:rPr>
      </w:pPr>
      <w:r w:rsidRPr="00364EF3">
        <w:rPr>
          <w:rFonts w:cs="Times New Roman"/>
          <w:i/>
        </w:rPr>
        <w:t>The two broad disease groups: NCDs and CDs</w:t>
      </w:r>
    </w:p>
    <w:p w14:paraId="6F10CCB0" w14:textId="087F45E2" w:rsidR="0085606B" w:rsidRPr="00364EF3" w:rsidRDefault="00DC7E61" w:rsidP="009C7054">
      <w:pPr>
        <w:spacing w:line="480" w:lineRule="auto"/>
        <w:jc w:val="both"/>
        <w:rPr>
          <w:rFonts w:cs="Times New Roman"/>
        </w:rPr>
      </w:pPr>
      <w:r>
        <w:rPr>
          <w:rFonts w:cs="Times New Roman"/>
        </w:rPr>
        <w:t>Figure</w:t>
      </w:r>
      <w:r w:rsidR="0005695E">
        <w:rPr>
          <w:rFonts w:cs="Times New Roman"/>
        </w:rPr>
        <w:t xml:space="preserve"> 1</w:t>
      </w:r>
      <w:r w:rsidR="00B05834" w:rsidRPr="00364EF3">
        <w:rPr>
          <w:rFonts w:cs="Times New Roman"/>
        </w:rPr>
        <w:t xml:space="preserve"> illustrate</w:t>
      </w:r>
      <w:r w:rsidR="00ED3400" w:rsidRPr="00364EF3">
        <w:rPr>
          <w:rFonts w:cs="Times New Roman"/>
        </w:rPr>
        <w:t>s</w:t>
      </w:r>
      <w:r w:rsidR="00B05834" w:rsidRPr="00364EF3">
        <w:rPr>
          <w:rFonts w:cs="Times New Roman"/>
        </w:rPr>
        <w:t xml:space="preserve"> the cumulative share of disease-specific innovation associated with global disease burden</w:t>
      </w:r>
      <w:r w:rsidR="001C60BF" w:rsidRPr="00364EF3">
        <w:rPr>
          <w:rFonts w:cs="Times New Roman"/>
        </w:rPr>
        <w:t xml:space="preserve"> for both years</w:t>
      </w:r>
      <w:r w:rsidR="00B05834" w:rsidRPr="00364EF3">
        <w:rPr>
          <w:rFonts w:cs="Times New Roman"/>
        </w:rPr>
        <w:t xml:space="preserve">, when ranking diseases in terms of DALYs and market </w:t>
      </w:r>
      <w:r w:rsidR="004C5330" w:rsidRPr="00364EF3">
        <w:rPr>
          <w:rFonts w:cs="Times New Roman"/>
        </w:rPr>
        <w:t>size</w:t>
      </w:r>
      <w:r w:rsidR="0064085A" w:rsidRPr="00364EF3">
        <w:rPr>
          <w:rFonts w:cs="Times New Roman"/>
        </w:rPr>
        <w:t>,</w:t>
      </w:r>
      <w:r w:rsidR="004C5330" w:rsidRPr="00364EF3">
        <w:rPr>
          <w:rFonts w:cs="Times New Roman"/>
        </w:rPr>
        <w:t xml:space="preserve"> </w:t>
      </w:r>
      <w:r w:rsidR="00B05834" w:rsidRPr="00364EF3">
        <w:rPr>
          <w:rFonts w:cs="Times New Roman"/>
        </w:rPr>
        <w:t>respectively.</w:t>
      </w:r>
      <w:r w:rsidR="001C60BF" w:rsidRPr="00364EF3">
        <w:rPr>
          <w:rFonts w:cs="Times New Roman"/>
        </w:rPr>
        <w:t xml:space="preserve"> </w:t>
      </w:r>
      <w:r w:rsidR="00E747DD" w:rsidRPr="00364EF3">
        <w:rPr>
          <w:rFonts w:cs="Times New Roman"/>
        </w:rPr>
        <w:t>Results from the</w:t>
      </w:r>
      <w:r w:rsidR="001C60BF" w:rsidRPr="00364EF3">
        <w:rPr>
          <w:rFonts w:cs="Times New Roman"/>
        </w:rPr>
        <w:t xml:space="preserve"> concentration curves</w:t>
      </w:r>
      <w:r w:rsidR="00E747DD" w:rsidRPr="00364EF3">
        <w:rPr>
          <w:rFonts w:cs="Times New Roman"/>
        </w:rPr>
        <w:t xml:space="preserve"> and indices (</w:t>
      </w:r>
      <w:r w:rsidR="009609E0">
        <w:rPr>
          <w:rFonts w:cs="Times New Roman"/>
        </w:rPr>
        <w:t>Table VI</w:t>
      </w:r>
      <w:r w:rsidR="00E747DD" w:rsidRPr="00364EF3">
        <w:rPr>
          <w:rFonts w:cs="Times New Roman"/>
        </w:rPr>
        <w:t>)</w:t>
      </w:r>
      <w:r w:rsidR="001C60BF" w:rsidRPr="00364EF3">
        <w:rPr>
          <w:rFonts w:cs="Times New Roman"/>
        </w:rPr>
        <w:t xml:space="preserve"> show that </w:t>
      </w:r>
      <w:r w:rsidR="001C60BF" w:rsidRPr="00364EF3">
        <w:rPr>
          <w:rFonts w:cs="Times New Roman"/>
        </w:rPr>
        <w:lastRenderedPageBreak/>
        <w:t>innovation tends to be distributed according to burden of disease but concentrated towards diseases with larger market size</w:t>
      </w:r>
      <w:r w:rsidR="00E747DD" w:rsidRPr="00364EF3">
        <w:rPr>
          <w:rFonts w:cs="Times New Roman"/>
        </w:rPr>
        <w:t>.</w:t>
      </w:r>
      <w:r w:rsidR="009878BB" w:rsidRPr="00364EF3">
        <w:rPr>
          <w:rFonts w:cs="Times New Roman"/>
        </w:rPr>
        <w:t xml:space="preserve"> </w:t>
      </w:r>
    </w:p>
    <w:p w14:paraId="72898068" w14:textId="2B8B7883" w:rsidR="00E747DD" w:rsidRPr="00364EF3" w:rsidRDefault="00E747DD" w:rsidP="009C7054">
      <w:pPr>
        <w:spacing w:line="480" w:lineRule="auto"/>
        <w:jc w:val="center"/>
        <w:rPr>
          <w:rFonts w:eastAsia="MS Mincho" w:cs="Times New Roman"/>
        </w:rPr>
      </w:pPr>
      <w:r w:rsidRPr="00364EF3">
        <w:rPr>
          <w:rFonts w:eastAsia="MS Mincho" w:cs="Times New Roman"/>
        </w:rPr>
        <w:t>[</w:t>
      </w:r>
      <w:r w:rsidR="009609E0">
        <w:rPr>
          <w:rFonts w:eastAsia="MS Mincho" w:cs="Times New Roman"/>
        </w:rPr>
        <w:t>Table VI</w:t>
      </w:r>
      <w:r w:rsidR="00DC7E61">
        <w:rPr>
          <w:rFonts w:eastAsia="MS Mincho" w:cs="Times New Roman"/>
        </w:rPr>
        <w:t xml:space="preserve"> and Figure</w:t>
      </w:r>
      <w:r w:rsidR="0005695E">
        <w:rPr>
          <w:rFonts w:eastAsia="MS Mincho" w:cs="Times New Roman"/>
        </w:rPr>
        <w:t xml:space="preserve"> 1</w:t>
      </w:r>
      <w:r w:rsidR="009878BB" w:rsidRPr="00364EF3">
        <w:rPr>
          <w:rFonts w:eastAsia="MS Mincho" w:cs="Times New Roman"/>
        </w:rPr>
        <w:t xml:space="preserve"> </w:t>
      </w:r>
      <w:r w:rsidRPr="00364EF3">
        <w:rPr>
          <w:rFonts w:eastAsia="MS Mincho" w:cs="Times New Roman"/>
        </w:rPr>
        <w:t>in here]</w:t>
      </w:r>
    </w:p>
    <w:p w14:paraId="07096DA7" w14:textId="032896A6" w:rsidR="002D2AC7" w:rsidRDefault="00E747DD" w:rsidP="009C7054">
      <w:pPr>
        <w:spacing w:line="480" w:lineRule="auto"/>
        <w:jc w:val="both"/>
        <w:rPr>
          <w:rFonts w:eastAsia="MS Mincho" w:cs="Times New Roman"/>
        </w:rPr>
      </w:pPr>
      <w:r w:rsidRPr="00364EF3">
        <w:rPr>
          <w:rFonts w:eastAsia="MS Mincho" w:cs="Times New Roman"/>
        </w:rPr>
        <w:t xml:space="preserve">When analyzing the dispersion of innovation for CDs and NCDs separately, the concentration </w:t>
      </w:r>
      <w:r w:rsidR="00AC7DA5" w:rsidRPr="00364EF3">
        <w:rPr>
          <w:rFonts w:eastAsia="MS Mincho" w:cs="Times New Roman"/>
        </w:rPr>
        <w:t xml:space="preserve">curves </w:t>
      </w:r>
      <w:r w:rsidR="00E43D57" w:rsidRPr="00364EF3">
        <w:rPr>
          <w:rFonts w:eastAsia="MS Mincho" w:cs="Times New Roman"/>
        </w:rPr>
        <w:t xml:space="preserve">suggest a concentration of innovation towards </w:t>
      </w:r>
      <w:r w:rsidR="00C056CB" w:rsidRPr="00364EF3">
        <w:rPr>
          <w:rFonts w:eastAsia="MS Mincho" w:cs="Times New Roman"/>
        </w:rPr>
        <w:t xml:space="preserve">the </w:t>
      </w:r>
      <w:r w:rsidR="00E43D57" w:rsidRPr="00364EF3">
        <w:rPr>
          <w:rFonts w:eastAsia="MS Mincho" w:cs="Times New Roman"/>
        </w:rPr>
        <w:t>diseases</w:t>
      </w:r>
      <w:r w:rsidR="00C056CB" w:rsidRPr="00364EF3">
        <w:rPr>
          <w:rFonts w:eastAsia="MS Mincho" w:cs="Times New Roman"/>
        </w:rPr>
        <w:t xml:space="preserve"> with the highest </w:t>
      </w:r>
      <w:r w:rsidR="00E378E8" w:rsidRPr="00364EF3">
        <w:rPr>
          <w:rFonts w:eastAsia="MS Mincho" w:cs="Times New Roman"/>
        </w:rPr>
        <w:t xml:space="preserve">disease </w:t>
      </w:r>
      <w:r w:rsidR="00C056CB" w:rsidRPr="00364EF3">
        <w:rPr>
          <w:rFonts w:eastAsia="MS Mincho" w:cs="Times New Roman"/>
        </w:rPr>
        <w:t>burden</w:t>
      </w:r>
      <w:r w:rsidR="00E43D57" w:rsidRPr="00364EF3">
        <w:rPr>
          <w:rFonts w:eastAsia="MS Mincho" w:cs="Times New Roman"/>
        </w:rPr>
        <w:t xml:space="preserve"> </w:t>
      </w:r>
      <w:r w:rsidR="004F4006" w:rsidRPr="00364EF3">
        <w:rPr>
          <w:rFonts w:eastAsia="MS Mincho" w:cs="Times New Roman"/>
        </w:rPr>
        <w:t>in both years</w:t>
      </w:r>
      <w:r w:rsidRPr="00364EF3">
        <w:rPr>
          <w:rFonts w:eastAsia="MS Mincho" w:cs="Times New Roman"/>
        </w:rPr>
        <w:t xml:space="preserve"> (</w:t>
      </w:r>
      <w:r w:rsidR="00DC7E61">
        <w:rPr>
          <w:rFonts w:cs="Times New Roman"/>
        </w:rPr>
        <w:t>Figure</w:t>
      </w:r>
      <w:r w:rsidR="0005695E">
        <w:rPr>
          <w:rFonts w:cs="Times New Roman"/>
        </w:rPr>
        <w:t xml:space="preserve"> 2</w:t>
      </w:r>
      <w:r w:rsidRPr="00364EF3">
        <w:rPr>
          <w:rFonts w:cs="Times New Roman"/>
        </w:rPr>
        <w:t>)</w:t>
      </w:r>
      <w:r w:rsidR="00E43D57" w:rsidRPr="00364EF3">
        <w:rPr>
          <w:rFonts w:eastAsia="MS Mincho" w:cs="Times New Roman"/>
        </w:rPr>
        <w:t xml:space="preserve">. </w:t>
      </w:r>
      <w:r w:rsidR="00166B39" w:rsidRPr="00364EF3">
        <w:rPr>
          <w:rFonts w:eastAsia="MS Mincho" w:cs="Times New Roman"/>
        </w:rPr>
        <w:t xml:space="preserve">That is, there appears to be relatively more innovation in ‘high </w:t>
      </w:r>
      <w:r w:rsidR="00EB2D46" w:rsidRPr="00364EF3">
        <w:rPr>
          <w:rFonts w:eastAsia="MS Mincho" w:cs="Times New Roman"/>
        </w:rPr>
        <w:t>burden</w:t>
      </w:r>
      <w:r w:rsidR="00166B39" w:rsidRPr="00364EF3">
        <w:rPr>
          <w:rFonts w:eastAsia="MS Mincho" w:cs="Times New Roman"/>
        </w:rPr>
        <w:t xml:space="preserve">’ </w:t>
      </w:r>
      <w:r w:rsidR="00EB2D46" w:rsidRPr="00364EF3">
        <w:rPr>
          <w:rFonts w:eastAsia="MS Mincho" w:cs="Times New Roman"/>
        </w:rPr>
        <w:t xml:space="preserve">disease </w:t>
      </w:r>
      <w:r w:rsidR="00166B39" w:rsidRPr="00364EF3">
        <w:rPr>
          <w:rFonts w:eastAsia="MS Mincho" w:cs="Times New Roman"/>
        </w:rPr>
        <w:t xml:space="preserve">areas than is strictly merited, given the disease burden </w:t>
      </w:r>
      <w:r w:rsidR="003E76F8" w:rsidRPr="00364EF3">
        <w:rPr>
          <w:rFonts w:eastAsia="MS Mincho" w:cs="Times New Roman"/>
        </w:rPr>
        <w:t>associated with those diseases</w:t>
      </w:r>
      <w:r w:rsidR="00166B39" w:rsidRPr="00364EF3">
        <w:rPr>
          <w:rFonts w:eastAsia="MS Mincho" w:cs="Times New Roman"/>
        </w:rPr>
        <w:t xml:space="preserve">. </w:t>
      </w:r>
      <w:r w:rsidR="005548D6">
        <w:rPr>
          <w:rFonts w:eastAsia="MS Mincho" w:cs="Times New Roman"/>
        </w:rPr>
        <w:t>For instance,</w:t>
      </w:r>
      <w:r w:rsidR="004F41FB">
        <w:rPr>
          <w:rFonts w:eastAsia="MS Mincho" w:cs="Times New Roman"/>
        </w:rPr>
        <w:t xml:space="preserve"> in</w:t>
      </w:r>
      <w:r w:rsidR="00237ED5">
        <w:rPr>
          <w:rFonts w:eastAsia="MS Mincho" w:cs="Times New Roman"/>
        </w:rPr>
        <w:t xml:space="preserve"> 1990, </w:t>
      </w:r>
      <w:r w:rsidR="005548D6">
        <w:rPr>
          <w:rFonts w:eastAsia="MS Mincho" w:cs="Times New Roman"/>
        </w:rPr>
        <w:t xml:space="preserve">CDs with </w:t>
      </w:r>
      <w:r w:rsidR="00C66A0D">
        <w:rPr>
          <w:rFonts w:eastAsia="MS Mincho" w:cs="Times New Roman"/>
        </w:rPr>
        <w:t xml:space="preserve">associated </w:t>
      </w:r>
      <w:r w:rsidR="005548D6">
        <w:rPr>
          <w:rFonts w:eastAsia="MS Mincho" w:cs="Times New Roman"/>
        </w:rPr>
        <w:t>higher burden</w:t>
      </w:r>
      <w:r w:rsidR="004F41FB">
        <w:rPr>
          <w:rFonts w:eastAsia="MS Mincho" w:cs="Times New Roman"/>
        </w:rPr>
        <w:t xml:space="preserve"> such as </w:t>
      </w:r>
      <w:r w:rsidR="00FD4177" w:rsidRPr="00710F5A">
        <w:rPr>
          <w:i/>
        </w:rPr>
        <w:t>lower respiratory i</w:t>
      </w:r>
      <w:r w:rsidR="004F41FB" w:rsidRPr="00710F5A">
        <w:rPr>
          <w:i/>
        </w:rPr>
        <w:t>nfectio</w:t>
      </w:r>
      <w:r w:rsidR="005508C2" w:rsidRPr="00710F5A">
        <w:rPr>
          <w:i/>
        </w:rPr>
        <w:t>n</w:t>
      </w:r>
      <w:r w:rsidR="004F41FB" w:rsidRPr="00710F5A">
        <w:rPr>
          <w:i/>
        </w:rPr>
        <w:t>s</w:t>
      </w:r>
      <w:r w:rsidR="00C66A0D">
        <w:rPr>
          <w:rFonts w:eastAsia="MS Mincho" w:cs="Times New Roman"/>
        </w:rPr>
        <w:t xml:space="preserve"> (accounting for </w:t>
      </w:r>
      <w:r w:rsidR="00490157">
        <w:rPr>
          <w:rFonts w:eastAsia="MS Mincho" w:cs="Times New Roman"/>
        </w:rPr>
        <w:t>5.23</w:t>
      </w:r>
      <w:r w:rsidR="005508C2">
        <w:rPr>
          <w:rFonts w:eastAsia="MS Mincho" w:cs="Times New Roman"/>
        </w:rPr>
        <w:t>% of</w:t>
      </w:r>
      <w:r w:rsidR="00C66A0D">
        <w:rPr>
          <w:rFonts w:eastAsia="MS Mincho" w:cs="Times New Roman"/>
        </w:rPr>
        <w:t xml:space="preserve"> </w:t>
      </w:r>
      <w:r w:rsidR="005508C2">
        <w:rPr>
          <w:rFonts w:eastAsia="MS Mincho" w:cs="Times New Roman"/>
        </w:rPr>
        <w:t xml:space="preserve">total </w:t>
      </w:r>
      <w:r w:rsidR="00C66A0D">
        <w:rPr>
          <w:rFonts w:eastAsia="MS Mincho" w:cs="Times New Roman"/>
        </w:rPr>
        <w:t>DALYs</w:t>
      </w:r>
      <w:r w:rsidR="005508C2">
        <w:rPr>
          <w:rFonts w:eastAsia="MS Mincho" w:cs="Times New Roman"/>
        </w:rPr>
        <w:t xml:space="preserve"> in CDs</w:t>
      </w:r>
      <w:r w:rsidR="00662AD0">
        <w:rPr>
          <w:rFonts w:eastAsia="MS Mincho" w:cs="Times New Roman"/>
        </w:rPr>
        <w:t xml:space="preserve"> in 1990</w:t>
      </w:r>
      <w:r w:rsidR="00C66A0D">
        <w:rPr>
          <w:rFonts w:eastAsia="MS Mincho" w:cs="Times New Roman"/>
        </w:rPr>
        <w:t>)</w:t>
      </w:r>
      <w:r w:rsidR="00237ED5">
        <w:rPr>
          <w:rFonts w:eastAsia="MS Mincho" w:cs="Times New Roman"/>
        </w:rPr>
        <w:t xml:space="preserve"> </w:t>
      </w:r>
      <w:r w:rsidR="005548D6">
        <w:rPr>
          <w:rFonts w:eastAsia="MS Mincho" w:cs="Times New Roman"/>
        </w:rPr>
        <w:t>show</w:t>
      </w:r>
      <w:r w:rsidR="00237ED5">
        <w:rPr>
          <w:rFonts w:eastAsia="MS Mincho" w:cs="Times New Roman"/>
        </w:rPr>
        <w:t xml:space="preserve"> </w:t>
      </w:r>
      <w:r w:rsidR="00CC7924">
        <w:rPr>
          <w:rFonts w:eastAsia="MS Mincho" w:cs="Times New Roman"/>
        </w:rPr>
        <w:t>dis</w:t>
      </w:r>
      <w:r w:rsidR="0067571D">
        <w:rPr>
          <w:rFonts w:eastAsia="MS Mincho" w:cs="Times New Roman"/>
        </w:rPr>
        <w:t>proportionately</w:t>
      </w:r>
      <w:r w:rsidR="005548D6">
        <w:rPr>
          <w:rFonts w:eastAsia="MS Mincho" w:cs="Times New Roman"/>
        </w:rPr>
        <w:t xml:space="preserve"> </w:t>
      </w:r>
      <w:r w:rsidR="0067571D">
        <w:rPr>
          <w:rFonts w:eastAsia="MS Mincho" w:cs="Times New Roman"/>
        </w:rPr>
        <w:t>more innovation</w:t>
      </w:r>
      <w:r w:rsidR="005548D6">
        <w:rPr>
          <w:rFonts w:eastAsia="MS Mincho" w:cs="Times New Roman"/>
        </w:rPr>
        <w:t xml:space="preserve"> </w:t>
      </w:r>
      <w:r w:rsidR="004F41FB">
        <w:rPr>
          <w:rFonts w:eastAsia="MS Mincho" w:cs="Times New Roman"/>
        </w:rPr>
        <w:t>(</w:t>
      </w:r>
      <w:r w:rsidR="005548D6">
        <w:rPr>
          <w:rFonts w:eastAsia="MS Mincho" w:cs="Times New Roman"/>
        </w:rPr>
        <w:t>i.e. 21 new therapies</w:t>
      </w:r>
      <w:r w:rsidR="00C66A0D">
        <w:rPr>
          <w:rFonts w:eastAsia="MS Mincho" w:cs="Times New Roman"/>
        </w:rPr>
        <w:t xml:space="preserve"> launched in the market)</w:t>
      </w:r>
      <w:r w:rsidR="00237ED5">
        <w:rPr>
          <w:rFonts w:eastAsia="MS Mincho" w:cs="Times New Roman"/>
        </w:rPr>
        <w:t xml:space="preserve">, </w:t>
      </w:r>
      <w:r w:rsidR="0067571D">
        <w:rPr>
          <w:rFonts w:eastAsia="MS Mincho" w:cs="Times New Roman"/>
        </w:rPr>
        <w:t>compared to relatively lower burden diseases such as</w:t>
      </w:r>
      <w:r w:rsidR="00FE77EC">
        <w:rPr>
          <w:rFonts w:eastAsia="MS Mincho" w:cs="Times New Roman"/>
        </w:rPr>
        <w:t>, for instance,</w:t>
      </w:r>
      <w:r w:rsidR="0067571D">
        <w:rPr>
          <w:rFonts w:eastAsia="MS Mincho" w:cs="Times New Roman"/>
        </w:rPr>
        <w:t xml:space="preserve"> </w:t>
      </w:r>
      <w:r w:rsidR="00FD4177" w:rsidRPr="00710F5A">
        <w:rPr>
          <w:i/>
        </w:rPr>
        <w:t>l</w:t>
      </w:r>
      <w:r w:rsidR="00023687" w:rsidRPr="00710F5A">
        <w:rPr>
          <w:i/>
        </w:rPr>
        <w:t>eprosy</w:t>
      </w:r>
      <w:r w:rsidR="00023687">
        <w:rPr>
          <w:rFonts w:eastAsia="MS Mincho" w:cs="Times New Roman"/>
        </w:rPr>
        <w:t xml:space="preserve"> and</w:t>
      </w:r>
      <w:r w:rsidR="00FD4177">
        <w:rPr>
          <w:rFonts w:eastAsia="MS Mincho" w:cs="Times New Roman"/>
        </w:rPr>
        <w:t xml:space="preserve"> </w:t>
      </w:r>
      <w:r w:rsidR="00FD4177" w:rsidRPr="00710F5A">
        <w:rPr>
          <w:i/>
        </w:rPr>
        <w:t>e</w:t>
      </w:r>
      <w:r w:rsidR="002D2AC7" w:rsidRPr="00710F5A">
        <w:rPr>
          <w:i/>
        </w:rPr>
        <w:t>ncephalitis</w:t>
      </w:r>
      <w:r w:rsidR="002D2AC7">
        <w:rPr>
          <w:rFonts w:eastAsia="MS Mincho" w:cs="Times New Roman"/>
        </w:rPr>
        <w:t xml:space="preserve"> </w:t>
      </w:r>
      <w:r w:rsidR="005548D6">
        <w:rPr>
          <w:rFonts w:eastAsia="MS Mincho" w:cs="Times New Roman"/>
        </w:rPr>
        <w:t>(</w:t>
      </w:r>
      <w:r w:rsidR="0067571D">
        <w:rPr>
          <w:rFonts w:eastAsia="MS Mincho" w:cs="Times New Roman"/>
        </w:rPr>
        <w:t>accounting for</w:t>
      </w:r>
      <w:r w:rsidR="005548D6">
        <w:rPr>
          <w:rFonts w:eastAsia="MS Mincho" w:cs="Times New Roman"/>
        </w:rPr>
        <w:t xml:space="preserve"> </w:t>
      </w:r>
      <w:r w:rsidR="005508C2">
        <w:rPr>
          <w:rFonts w:eastAsia="MS Mincho" w:cs="Times New Roman"/>
        </w:rPr>
        <w:t>0.</w:t>
      </w:r>
      <w:r w:rsidR="00490157">
        <w:rPr>
          <w:rFonts w:eastAsia="MS Mincho" w:cs="Times New Roman"/>
        </w:rPr>
        <w:t>00</w:t>
      </w:r>
      <w:r w:rsidR="005508C2">
        <w:rPr>
          <w:rFonts w:eastAsia="MS Mincho" w:cs="Times New Roman"/>
        </w:rPr>
        <w:t>3%</w:t>
      </w:r>
      <w:r w:rsidR="005548D6">
        <w:rPr>
          <w:rFonts w:eastAsia="MS Mincho" w:cs="Times New Roman"/>
        </w:rPr>
        <w:t xml:space="preserve"> and </w:t>
      </w:r>
      <w:r w:rsidR="00490157">
        <w:rPr>
          <w:rFonts w:eastAsia="MS Mincho" w:cs="Times New Roman"/>
        </w:rPr>
        <w:t>1.22</w:t>
      </w:r>
      <w:r w:rsidR="005508C2">
        <w:rPr>
          <w:rFonts w:eastAsia="MS Mincho" w:cs="Times New Roman"/>
        </w:rPr>
        <w:t>% of total</w:t>
      </w:r>
      <w:r w:rsidR="005548D6">
        <w:rPr>
          <w:rFonts w:eastAsia="MS Mincho" w:cs="Times New Roman"/>
        </w:rPr>
        <w:t xml:space="preserve"> DALYs</w:t>
      </w:r>
      <w:r w:rsidR="005508C2">
        <w:rPr>
          <w:rFonts w:eastAsia="MS Mincho" w:cs="Times New Roman"/>
        </w:rPr>
        <w:t xml:space="preserve"> in CDs</w:t>
      </w:r>
      <w:r w:rsidR="00FE77EC">
        <w:rPr>
          <w:rFonts w:eastAsia="MS Mincho" w:cs="Times New Roman"/>
        </w:rPr>
        <w:t xml:space="preserve"> in 1990</w:t>
      </w:r>
      <w:r w:rsidR="005548D6">
        <w:rPr>
          <w:rFonts w:eastAsia="MS Mincho" w:cs="Times New Roman"/>
        </w:rPr>
        <w:t xml:space="preserve">) </w:t>
      </w:r>
      <w:r w:rsidR="00C66A0D">
        <w:rPr>
          <w:rFonts w:eastAsia="MS Mincho" w:cs="Times New Roman"/>
        </w:rPr>
        <w:t>for which there has been</w:t>
      </w:r>
      <w:r w:rsidR="0067571D">
        <w:rPr>
          <w:rFonts w:eastAsia="MS Mincho" w:cs="Times New Roman"/>
        </w:rPr>
        <w:t xml:space="preserve"> </w:t>
      </w:r>
      <w:r w:rsidR="00CC7924">
        <w:rPr>
          <w:rFonts w:eastAsia="MS Mincho" w:cs="Times New Roman"/>
        </w:rPr>
        <w:t>dis</w:t>
      </w:r>
      <w:r w:rsidR="0067571D">
        <w:rPr>
          <w:rFonts w:eastAsia="MS Mincho" w:cs="Times New Roman"/>
        </w:rPr>
        <w:t>propo</w:t>
      </w:r>
      <w:r w:rsidR="00B85B76">
        <w:rPr>
          <w:rFonts w:eastAsia="MS Mincho" w:cs="Times New Roman"/>
        </w:rPr>
        <w:t>r</w:t>
      </w:r>
      <w:r w:rsidR="0067571D">
        <w:rPr>
          <w:rFonts w:eastAsia="MS Mincho" w:cs="Times New Roman"/>
        </w:rPr>
        <w:t>tiona</w:t>
      </w:r>
      <w:r w:rsidR="00CC7924">
        <w:rPr>
          <w:rFonts w:eastAsia="MS Mincho" w:cs="Times New Roman"/>
        </w:rPr>
        <w:t>te</w:t>
      </w:r>
      <w:r w:rsidR="00B85B76">
        <w:rPr>
          <w:rFonts w:eastAsia="MS Mincho" w:cs="Times New Roman"/>
        </w:rPr>
        <w:t>l</w:t>
      </w:r>
      <w:r w:rsidR="0067571D">
        <w:rPr>
          <w:rFonts w:eastAsia="MS Mincho" w:cs="Times New Roman"/>
        </w:rPr>
        <w:t>y less innovation (i.e.</w:t>
      </w:r>
      <w:r w:rsidR="005548D6">
        <w:rPr>
          <w:rFonts w:eastAsia="MS Mincho" w:cs="Times New Roman"/>
        </w:rPr>
        <w:t xml:space="preserve"> </w:t>
      </w:r>
      <w:r w:rsidR="0067571D">
        <w:rPr>
          <w:rFonts w:eastAsia="MS Mincho" w:cs="Times New Roman"/>
        </w:rPr>
        <w:t>zero</w:t>
      </w:r>
      <w:r w:rsidR="00023687">
        <w:rPr>
          <w:rFonts w:eastAsia="MS Mincho" w:cs="Times New Roman"/>
        </w:rPr>
        <w:t xml:space="preserve"> and</w:t>
      </w:r>
      <w:r w:rsidR="004F41FB">
        <w:rPr>
          <w:rFonts w:eastAsia="MS Mincho" w:cs="Times New Roman"/>
        </w:rPr>
        <w:t xml:space="preserve"> </w:t>
      </w:r>
      <w:r w:rsidR="0067571D">
        <w:rPr>
          <w:rFonts w:eastAsia="MS Mincho" w:cs="Times New Roman"/>
        </w:rPr>
        <w:t>three</w:t>
      </w:r>
      <w:r w:rsidR="002D2AC7">
        <w:rPr>
          <w:rFonts w:eastAsia="MS Mincho" w:cs="Times New Roman"/>
        </w:rPr>
        <w:t xml:space="preserve"> new therapies launched in the market</w:t>
      </w:r>
      <w:r w:rsidR="00C66A0D">
        <w:rPr>
          <w:rFonts w:eastAsia="MS Mincho" w:cs="Times New Roman"/>
        </w:rPr>
        <w:t>, respectively</w:t>
      </w:r>
      <w:r w:rsidR="005548D6">
        <w:rPr>
          <w:rFonts w:eastAsia="MS Mincho" w:cs="Times New Roman"/>
        </w:rPr>
        <w:t>)</w:t>
      </w:r>
      <w:r w:rsidR="002D2AC7">
        <w:rPr>
          <w:rFonts w:eastAsia="MS Mincho" w:cs="Times New Roman"/>
        </w:rPr>
        <w:t>. Similar</w:t>
      </w:r>
      <w:r w:rsidR="004F41FB">
        <w:rPr>
          <w:rFonts w:eastAsia="MS Mincho" w:cs="Times New Roman"/>
        </w:rPr>
        <w:t>ly</w:t>
      </w:r>
      <w:r w:rsidR="002D2AC7">
        <w:rPr>
          <w:rFonts w:eastAsia="MS Mincho" w:cs="Times New Roman"/>
        </w:rPr>
        <w:t xml:space="preserve"> in 2010</w:t>
      </w:r>
      <w:r w:rsidR="004F41FB">
        <w:rPr>
          <w:rFonts w:eastAsia="MS Mincho" w:cs="Times New Roman"/>
        </w:rPr>
        <w:t>,</w:t>
      </w:r>
      <w:r w:rsidR="005A0EC5">
        <w:rPr>
          <w:rFonts w:eastAsia="MS Mincho" w:cs="Times New Roman"/>
        </w:rPr>
        <w:t xml:space="preserve"> </w:t>
      </w:r>
      <w:r w:rsidR="00C66A0D">
        <w:rPr>
          <w:rFonts w:eastAsia="MS Mincho" w:cs="Times New Roman"/>
        </w:rPr>
        <w:t xml:space="preserve">for </w:t>
      </w:r>
      <w:r w:rsidR="005A0EC5">
        <w:rPr>
          <w:rFonts w:eastAsia="MS Mincho" w:cs="Times New Roman"/>
        </w:rPr>
        <w:t>high burden diseases such as the</w:t>
      </w:r>
      <w:r w:rsidR="004F41FB">
        <w:rPr>
          <w:rFonts w:eastAsia="MS Mincho" w:cs="Times New Roman"/>
        </w:rPr>
        <w:t xml:space="preserve"> </w:t>
      </w:r>
      <w:r w:rsidR="00FD4177" w:rsidRPr="00710F5A">
        <w:rPr>
          <w:i/>
        </w:rPr>
        <w:t>d</w:t>
      </w:r>
      <w:r w:rsidR="002D2AC7" w:rsidRPr="00710F5A">
        <w:rPr>
          <w:i/>
        </w:rPr>
        <w:t>iahrreal diseases</w:t>
      </w:r>
      <w:r w:rsidR="002D2AC7">
        <w:rPr>
          <w:rFonts w:eastAsia="MS Mincho" w:cs="Times New Roman"/>
        </w:rPr>
        <w:t xml:space="preserve"> </w:t>
      </w:r>
      <w:r w:rsidR="00023687">
        <w:rPr>
          <w:rFonts w:eastAsia="MS Mincho" w:cs="Times New Roman"/>
        </w:rPr>
        <w:t xml:space="preserve">and </w:t>
      </w:r>
      <w:r w:rsidR="005A0EC5">
        <w:rPr>
          <w:rFonts w:eastAsia="MS Mincho" w:cs="Times New Roman"/>
        </w:rPr>
        <w:t xml:space="preserve">the group of </w:t>
      </w:r>
      <w:r w:rsidR="00FD4177" w:rsidRPr="00710F5A">
        <w:rPr>
          <w:i/>
        </w:rPr>
        <w:t>other infectious d</w:t>
      </w:r>
      <w:r w:rsidR="00023687" w:rsidRPr="00710F5A">
        <w:rPr>
          <w:i/>
        </w:rPr>
        <w:t>iseases</w:t>
      </w:r>
      <w:r w:rsidR="00C66A0D">
        <w:rPr>
          <w:rFonts w:eastAsia="MS Mincho" w:cs="Times New Roman"/>
        </w:rPr>
        <w:t xml:space="preserve"> (accounting for </w:t>
      </w:r>
      <w:r w:rsidR="00953F1F">
        <w:rPr>
          <w:rFonts w:eastAsia="MS Mincho" w:cs="Times New Roman"/>
        </w:rPr>
        <w:t>1.21</w:t>
      </w:r>
      <w:r w:rsidR="00662AD0">
        <w:rPr>
          <w:rFonts w:eastAsia="MS Mincho" w:cs="Times New Roman"/>
        </w:rPr>
        <w:t>%</w:t>
      </w:r>
      <w:r w:rsidR="00C66A0D">
        <w:rPr>
          <w:rFonts w:eastAsia="MS Mincho" w:cs="Times New Roman"/>
        </w:rPr>
        <w:t xml:space="preserve"> and </w:t>
      </w:r>
      <w:r w:rsidR="00953F1F">
        <w:rPr>
          <w:rFonts w:eastAsia="MS Mincho" w:cs="Times New Roman"/>
        </w:rPr>
        <w:t>2.56</w:t>
      </w:r>
      <w:r w:rsidR="00662AD0">
        <w:rPr>
          <w:rFonts w:eastAsia="MS Mincho" w:cs="Times New Roman"/>
        </w:rPr>
        <w:t>% of</w:t>
      </w:r>
      <w:r w:rsidR="00C66A0D">
        <w:rPr>
          <w:rFonts w:eastAsia="MS Mincho" w:cs="Times New Roman"/>
        </w:rPr>
        <w:t xml:space="preserve"> </w:t>
      </w:r>
      <w:r w:rsidR="00662AD0">
        <w:rPr>
          <w:rFonts w:eastAsia="MS Mincho" w:cs="Times New Roman"/>
        </w:rPr>
        <w:t xml:space="preserve">total </w:t>
      </w:r>
      <w:r w:rsidR="00C66A0D">
        <w:rPr>
          <w:rFonts w:eastAsia="MS Mincho" w:cs="Times New Roman"/>
        </w:rPr>
        <w:t>DALYs</w:t>
      </w:r>
      <w:r w:rsidR="00662AD0">
        <w:rPr>
          <w:rFonts w:eastAsia="MS Mincho" w:cs="Times New Roman"/>
        </w:rPr>
        <w:t xml:space="preserve"> in CDs</w:t>
      </w:r>
      <w:r w:rsidR="00FE77EC">
        <w:rPr>
          <w:rFonts w:eastAsia="MS Mincho" w:cs="Times New Roman"/>
        </w:rPr>
        <w:t xml:space="preserve"> in 2010</w:t>
      </w:r>
      <w:r w:rsidR="00C66A0D">
        <w:rPr>
          <w:rFonts w:eastAsia="MS Mincho" w:cs="Times New Roman"/>
        </w:rPr>
        <w:t>, respectively) there have been</w:t>
      </w:r>
      <w:r w:rsidR="005A0EC5">
        <w:rPr>
          <w:rFonts w:eastAsia="MS Mincho" w:cs="Times New Roman"/>
        </w:rPr>
        <w:t>,</w:t>
      </w:r>
      <w:r w:rsidR="00023687">
        <w:rPr>
          <w:rFonts w:eastAsia="MS Mincho" w:cs="Times New Roman"/>
        </w:rPr>
        <w:t xml:space="preserve"> respectively</w:t>
      </w:r>
      <w:r w:rsidR="005A0EC5">
        <w:rPr>
          <w:rFonts w:eastAsia="MS Mincho" w:cs="Times New Roman"/>
        </w:rPr>
        <w:t>,</w:t>
      </w:r>
      <w:r w:rsidR="002D2AC7">
        <w:rPr>
          <w:rFonts w:eastAsia="MS Mincho" w:cs="Times New Roman"/>
        </w:rPr>
        <w:t xml:space="preserve"> 60</w:t>
      </w:r>
      <w:r w:rsidR="00023687">
        <w:rPr>
          <w:rFonts w:eastAsia="MS Mincho" w:cs="Times New Roman"/>
        </w:rPr>
        <w:t xml:space="preserve"> and</w:t>
      </w:r>
      <w:r w:rsidR="00023687">
        <w:t xml:space="preserve"> </w:t>
      </w:r>
      <w:r w:rsidR="00023687">
        <w:rPr>
          <w:rFonts w:eastAsia="MS Mincho" w:cs="Times New Roman"/>
        </w:rPr>
        <w:t>572</w:t>
      </w:r>
      <w:r w:rsidR="002D2AC7">
        <w:rPr>
          <w:rFonts w:eastAsia="MS Mincho" w:cs="Times New Roman"/>
        </w:rPr>
        <w:t xml:space="preserve"> new therapies</w:t>
      </w:r>
      <w:r w:rsidR="00C66A0D">
        <w:rPr>
          <w:rFonts w:eastAsia="MS Mincho" w:cs="Times New Roman"/>
        </w:rPr>
        <w:t xml:space="preserve"> launched in the market</w:t>
      </w:r>
      <w:r w:rsidR="002D2AC7">
        <w:rPr>
          <w:rFonts w:eastAsia="MS Mincho" w:cs="Times New Roman"/>
        </w:rPr>
        <w:t>; whilst</w:t>
      </w:r>
      <w:r w:rsidR="00CA14C2">
        <w:rPr>
          <w:rFonts w:eastAsia="MS Mincho" w:cs="Times New Roman"/>
        </w:rPr>
        <w:t xml:space="preserve"> there have been no market launches for</w:t>
      </w:r>
      <w:r w:rsidR="002D2AC7">
        <w:rPr>
          <w:rFonts w:eastAsia="MS Mincho" w:cs="Times New Roman"/>
        </w:rPr>
        <w:t xml:space="preserve"> </w:t>
      </w:r>
      <w:r w:rsidR="00FD4177" w:rsidRPr="00710F5A">
        <w:rPr>
          <w:i/>
        </w:rPr>
        <w:t>e</w:t>
      </w:r>
      <w:r w:rsidR="002D2AC7" w:rsidRPr="00710F5A">
        <w:rPr>
          <w:i/>
        </w:rPr>
        <w:t>chinococcosis</w:t>
      </w:r>
      <w:r w:rsidR="004F41FB">
        <w:rPr>
          <w:rFonts w:eastAsia="MS Mincho" w:cs="Times New Roman"/>
        </w:rPr>
        <w:t xml:space="preserve"> and </w:t>
      </w:r>
      <w:r w:rsidR="00FD4177" w:rsidRPr="00710F5A">
        <w:rPr>
          <w:i/>
        </w:rPr>
        <w:t>v</w:t>
      </w:r>
      <w:r w:rsidR="004F41FB" w:rsidRPr="00710F5A">
        <w:rPr>
          <w:i/>
        </w:rPr>
        <w:t xml:space="preserve">itamin A </w:t>
      </w:r>
      <w:r w:rsidR="00FD4177" w:rsidRPr="00710F5A">
        <w:rPr>
          <w:i/>
        </w:rPr>
        <w:t>d</w:t>
      </w:r>
      <w:r w:rsidR="004F41FB" w:rsidRPr="00710F5A">
        <w:rPr>
          <w:i/>
        </w:rPr>
        <w:t>eficiency</w:t>
      </w:r>
      <w:r w:rsidR="002D2AC7">
        <w:rPr>
          <w:rFonts w:eastAsia="MS Mincho" w:cs="Times New Roman"/>
        </w:rPr>
        <w:t xml:space="preserve"> (</w:t>
      </w:r>
      <w:r w:rsidR="00CA14C2">
        <w:rPr>
          <w:rFonts w:eastAsia="MS Mincho" w:cs="Times New Roman"/>
        </w:rPr>
        <w:t xml:space="preserve">that </w:t>
      </w:r>
      <w:r w:rsidR="005A0EC5">
        <w:rPr>
          <w:rFonts w:eastAsia="MS Mincho" w:cs="Times New Roman"/>
        </w:rPr>
        <w:t>account</w:t>
      </w:r>
      <w:r w:rsidR="00211F03">
        <w:rPr>
          <w:rFonts w:eastAsia="MS Mincho" w:cs="Times New Roman"/>
        </w:rPr>
        <w:t xml:space="preserve"> for </w:t>
      </w:r>
      <w:r w:rsidR="00953F1F">
        <w:rPr>
          <w:rFonts w:eastAsia="MS Mincho" w:cs="Times New Roman"/>
        </w:rPr>
        <w:t>0.02</w:t>
      </w:r>
      <w:r w:rsidR="00662AD0">
        <w:rPr>
          <w:rFonts w:eastAsia="MS Mincho" w:cs="Times New Roman"/>
        </w:rPr>
        <w:t>%</w:t>
      </w:r>
      <w:r w:rsidR="004F41FB">
        <w:rPr>
          <w:rFonts w:eastAsia="MS Mincho" w:cs="Times New Roman"/>
        </w:rPr>
        <w:t xml:space="preserve"> and </w:t>
      </w:r>
      <w:r w:rsidR="00953F1F">
        <w:rPr>
          <w:rFonts w:eastAsia="MS Mincho" w:cs="Times New Roman"/>
        </w:rPr>
        <w:t>0.10</w:t>
      </w:r>
      <w:r w:rsidR="00662AD0">
        <w:rPr>
          <w:rFonts w:eastAsia="MS Mincho" w:cs="Times New Roman"/>
        </w:rPr>
        <w:t>% of total</w:t>
      </w:r>
      <w:r w:rsidR="00023687">
        <w:rPr>
          <w:rFonts w:eastAsia="MS Mincho" w:cs="Times New Roman"/>
        </w:rPr>
        <w:t xml:space="preserve"> DALYs</w:t>
      </w:r>
      <w:r w:rsidR="00662AD0">
        <w:rPr>
          <w:rFonts w:eastAsia="MS Mincho" w:cs="Times New Roman"/>
        </w:rPr>
        <w:t xml:space="preserve"> in CDs</w:t>
      </w:r>
      <w:r w:rsidR="00211F03">
        <w:rPr>
          <w:rFonts w:eastAsia="MS Mincho" w:cs="Times New Roman"/>
        </w:rPr>
        <w:t>, respectively</w:t>
      </w:r>
      <w:r w:rsidR="002D2AC7">
        <w:rPr>
          <w:rFonts w:eastAsia="MS Mincho" w:cs="Times New Roman"/>
        </w:rPr>
        <w:t>)</w:t>
      </w:r>
      <w:r w:rsidR="00FE77EC">
        <w:rPr>
          <w:rFonts w:eastAsia="MS Mincho" w:cs="Times New Roman"/>
        </w:rPr>
        <w:t xml:space="preserve"> for instance</w:t>
      </w:r>
      <w:r w:rsidR="002D2AC7">
        <w:rPr>
          <w:rFonts w:eastAsia="MS Mincho" w:cs="Times New Roman"/>
        </w:rPr>
        <w:t>.</w:t>
      </w:r>
    </w:p>
    <w:p w14:paraId="4CA87B12" w14:textId="77777777" w:rsidR="00FE77EC" w:rsidRPr="00364EF3" w:rsidRDefault="00FE77EC" w:rsidP="009C7054">
      <w:pPr>
        <w:spacing w:line="480" w:lineRule="auto"/>
        <w:jc w:val="center"/>
        <w:rPr>
          <w:rFonts w:cs="Times New Roman"/>
        </w:rPr>
      </w:pPr>
      <w:r w:rsidRPr="00364EF3">
        <w:rPr>
          <w:rFonts w:cs="Times New Roman"/>
        </w:rPr>
        <w:t>[</w:t>
      </w:r>
      <w:r>
        <w:rPr>
          <w:rFonts w:cs="Times New Roman"/>
        </w:rPr>
        <w:t>Figure 2</w:t>
      </w:r>
      <w:r w:rsidRPr="00364EF3">
        <w:rPr>
          <w:rFonts w:cs="Times New Roman"/>
        </w:rPr>
        <w:t xml:space="preserve"> in here]</w:t>
      </w:r>
    </w:p>
    <w:p w14:paraId="322DA923" w14:textId="47280AF6" w:rsidR="00237ED5" w:rsidRDefault="005A0EC5" w:rsidP="009C7054">
      <w:pPr>
        <w:spacing w:line="480" w:lineRule="auto"/>
        <w:jc w:val="both"/>
        <w:rPr>
          <w:rFonts w:eastAsia="MS Mincho" w:cs="Times New Roman"/>
        </w:rPr>
      </w:pPr>
      <w:r>
        <w:rPr>
          <w:rFonts w:eastAsia="MS Mincho" w:cs="Times New Roman"/>
        </w:rPr>
        <w:t xml:space="preserve">Likewise, </w:t>
      </w:r>
      <w:r w:rsidR="007767DD">
        <w:rPr>
          <w:rFonts w:eastAsia="MS Mincho" w:cs="Times New Roman"/>
        </w:rPr>
        <w:t>NCDs</w:t>
      </w:r>
      <w:r w:rsidR="00531D2F">
        <w:rPr>
          <w:rFonts w:eastAsia="MS Mincho" w:cs="Times New Roman"/>
        </w:rPr>
        <w:t xml:space="preserve"> </w:t>
      </w:r>
      <w:r w:rsidR="00CA14C2">
        <w:rPr>
          <w:rFonts w:eastAsia="MS Mincho" w:cs="Times New Roman"/>
        </w:rPr>
        <w:t>associated with</w:t>
      </w:r>
      <w:r w:rsidR="00531D2F">
        <w:rPr>
          <w:rFonts w:eastAsia="MS Mincho" w:cs="Times New Roman"/>
        </w:rPr>
        <w:t xml:space="preserve"> higher </w:t>
      </w:r>
      <w:r w:rsidR="00CA14C2">
        <w:rPr>
          <w:rFonts w:eastAsia="MS Mincho" w:cs="Times New Roman"/>
        </w:rPr>
        <w:t>disease burden</w:t>
      </w:r>
      <w:r w:rsidR="00662AD0">
        <w:rPr>
          <w:rFonts w:eastAsia="MS Mincho" w:cs="Times New Roman"/>
        </w:rPr>
        <w:t xml:space="preserve"> in 1990</w:t>
      </w:r>
      <w:r w:rsidR="00531D2F">
        <w:rPr>
          <w:rFonts w:eastAsia="MS Mincho" w:cs="Times New Roman"/>
        </w:rPr>
        <w:t xml:space="preserve"> such as </w:t>
      </w:r>
      <w:r w:rsidR="00FD4177" w:rsidRPr="00710F5A">
        <w:rPr>
          <w:i/>
        </w:rPr>
        <w:t>c</w:t>
      </w:r>
      <w:r w:rsidR="008A77CA" w:rsidRPr="00710F5A">
        <w:rPr>
          <w:i/>
        </w:rPr>
        <w:t>erebrovascular diseases</w:t>
      </w:r>
      <w:r w:rsidR="008A77CA">
        <w:rPr>
          <w:rFonts w:eastAsia="MS Mincho" w:cs="Times New Roman"/>
        </w:rPr>
        <w:t xml:space="preserve"> and</w:t>
      </w:r>
      <w:r w:rsidR="008A77CA" w:rsidRPr="00710F5A">
        <w:rPr>
          <w:i/>
        </w:rPr>
        <w:t xml:space="preserve"> </w:t>
      </w:r>
      <w:r w:rsidR="00FD4177" w:rsidRPr="00710F5A">
        <w:rPr>
          <w:i/>
        </w:rPr>
        <w:t>c</w:t>
      </w:r>
      <w:r w:rsidR="008A77CA" w:rsidRPr="00710F5A">
        <w:rPr>
          <w:i/>
        </w:rPr>
        <w:t>ervical cancer</w:t>
      </w:r>
      <w:r w:rsidR="00CA14C2">
        <w:rPr>
          <w:rFonts w:eastAsia="MS Mincho" w:cs="Times New Roman"/>
        </w:rPr>
        <w:t xml:space="preserve"> (accounting for</w:t>
      </w:r>
      <w:r w:rsidR="00B34461">
        <w:rPr>
          <w:rFonts w:eastAsia="MS Mincho" w:cs="Times New Roman"/>
        </w:rPr>
        <w:t>, respectively,</w:t>
      </w:r>
      <w:r w:rsidR="00CA14C2">
        <w:rPr>
          <w:rFonts w:eastAsia="MS Mincho" w:cs="Times New Roman"/>
        </w:rPr>
        <w:t xml:space="preserve"> </w:t>
      </w:r>
      <w:r w:rsidR="00B34461">
        <w:rPr>
          <w:rFonts w:eastAsia="MS Mincho" w:cs="Times New Roman"/>
        </w:rPr>
        <w:t>5.02</w:t>
      </w:r>
      <w:r w:rsidR="00667069">
        <w:rPr>
          <w:rFonts w:eastAsia="MS Mincho" w:cs="Times New Roman"/>
        </w:rPr>
        <w:t>%</w:t>
      </w:r>
      <w:r w:rsidR="00CA14C2">
        <w:rPr>
          <w:rFonts w:eastAsia="MS Mincho" w:cs="Times New Roman"/>
        </w:rPr>
        <w:t xml:space="preserve"> and </w:t>
      </w:r>
      <w:r w:rsidR="00B34461">
        <w:rPr>
          <w:rFonts w:eastAsia="MS Mincho" w:cs="Times New Roman"/>
        </w:rPr>
        <w:t>0.52</w:t>
      </w:r>
      <w:r w:rsidR="00667069">
        <w:rPr>
          <w:rFonts w:eastAsia="MS Mincho" w:cs="Times New Roman"/>
        </w:rPr>
        <w:t>% of total</w:t>
      </w:r>
      <w:r w:rsidR="00CA14C2">
        <w:rPr>
          <w:rFonts w:eastAsia="MS Mincho" w:cs="Times New Roman"/>
        </w:rPr>
        <w:t xml:space="preserve"> DALYs</w:t>
      </w:r>
      <w:r w:rsidR="00667069">
        <w:rPr>
          <w:rFonts w:eastAsia="MS Mincho" w:cs="Times New Roman"/>
        </w:rPr>
        <w:t xml:space="preserve"> for NCDs in 1990</w:t>
      </w:r>
      <w:r w:rsidR="00CA14C2">
        <w:rPr>
          <w:rFonts w:eastAsia="MS Mincho" w:cs="Times New Roman"/>
        </w:rPr>
        <w:t xml:space="preserve">) </w:t>
      </w:r>
      <w:r w:rsidR="008A77CA">
        <w:rPr>
          <w:rFonts w:eastAsia="MS Mincho" w:cs="Times New Roman"/>
        </w:rPr>
        <w:t xml:space="preserve">show </w:t>
      </w:r>
      <w:r w:rsidR="00CC7924">
        <w:rPr>
          <w:rFonts w:eastAsia="MS Mincho" w:cs="Times New Roman"/>
        </w:rPr>
        <w:t>disproportionate</w:t>
      </w:r>
      <w:r>
        <w:rPr>
          <w:rFonts w:eastAsia="MS Mincho" w:cs="Times New Roman"/>
        </w:rPr>
        <w:t>ly more innovation</w:t>
      </w:r>
      <w:r w:rsidR="008A77CA">
        <w:rPr>
          <w:rFonts w:eastAsia="MS Mincho" w:cs="Times New Roman"/>
        </w:rPr>
        <w:t xml:space="preserve"> (i.e. 6 and 16 </w:t>
      </w:r>
      <w:r w:rsidR="00CA14C2">
        <w:rPr>
          <w:rFonts w:eastAsia="MS Mincho" w:cs="Times New Roman"/>
        </w:rPr>
        <w:t xml:space="preserve">market launches, respectively) </w:t>
      </w:r>
      <w:r>
        <w:rPr>
          <w:rFonts w:eastAsia="MS Mincho" w:cs="Times New Roman"/>
        </w:rPr>
        <w:t>than lower burden diseases such as</w:t>
      </w:r>
      <w:r w:rsidR="008A77CA">
        <w:rPr>
          <w:rFonts w:eastAsia="MS Mincho" w:cs="Times New Roman"/>
        </w:rPr>
        <w:t xml:space="preserve"> </w:t>
      </w:r>
      <w:r w:rsidR="008A77CA" w:rsidRPr="00710F5A">
        <w:rPr>
          <w:i/>
        </w:rPr>
        <w:t>eating disorders</w:t>
      </w:r>
      <w:r w:rsidR="008A77CA">
        <w:rPr>
          <w:rFonts w:eastAsia="MS Mincho" w:cs="Times New Roman"/>
        </w:rPr>
        <w:t xml:space="preserve"> and </w:t>
      </w:r>
      <w:r w:rsidR="008A77CA" w:rsidRPr="00710F5A">
        <w:rPr>
          <w:i/>
        </w:rPr>
        <w:t>endometriosis</w:t>
      </w:r>
      <w:r w:rsidR="008A77CA">
        <w:rPr>
          <w:rFonts w:eastAsia="MS Mincho" w:cs="Times New Roman"/>
        </w:rPr>
        <w:t xml:space="preserve"> (that receive</w:t>
      </w:r>
      <w:r>
        <w:rPr>
          <w:rFonts w:eastAsia="MS Mincho" w:cs="Times New Roman"/>
        </w:rPr>
        <w:t xml:space="preserve"> zero and one</w:t>
      </w:r>
      <w:r w:rsidR="008A77CA">
        <w:rPr>
          <w:rFonts w:eastAsia="MS Mincho" w:cs="Times New Roman"/>
        </w:rPr>
        <w:t xml:space="preserve"> new therapies</w:t>
      </w:r>
      <w:r w:rsidR="00AC656B">
        <w:rPr>
          <w:rFonts w:eastAsia="MS Mincho" w:cs="Times New Roman"/>
        </w:rPr>
        <w:t>;</w:t>
      </w:r>
      <w:r w:rsidR="008A77CA">
        <w:rPr>
          <w:rFonts w:eastAsia="MS Mincho" w:cs="Times New Roman"/>
        </w:rPr>
        <w:t xml:space="preserve"> </w:t>
      </w:r>
      <w:r>
        <w:rPr>
          <w:rFonts w:eastAsia="MS Mincho" w:cs="Times New Roman"/>
        </w:rPr>
        <w:t>account</w:t>
      </w:r>
      <w:r w:rsidR="00AC656B">
        <w:rPr>
          <w:rFonts w:eastAsia="MS Mincho" w:cs="Times New Roman"/>
        </w:rPr>
        <w:t>ing</w:t>
      </w:r>
      <w:r>
        <w:rPr>
          <w:rFonts w:eastAsia="MS Mincho" w:cs="Times New Roman"/>
        </w:rPr>
        <w:t xml:space="preserve"> </w:t>
      </w:r>
      <w:r w:rsidR="008A77CA">
        <w:rPr>
          <w:rFonts w:eastAsia="MS Mincho" w:cs="Times New Roman"/>
        </w:rPr>
        <w:t xml:space="preserve">for </w:t>
      </w:r>
      <w:r w:rsidR="00B34461">
        <w:rPr>
          <w:rFonts w:eastAsia="MS Mincho" w:cs="Times New Roman"/>
        </w:rPr>
        <w:t>0.12</w:t>
      </w:r>
      <w:r w:rsidR="00667069">
        <w:rPr>
          <w:rFonts w:eastAsia="MS Mincho" w:cs="Times New Roman"/>
        </w:rPr>
        <w:t>%</w:t>
      </w:r>
      <w:r w:rsidR="008A77CA">
        <w:rPr>
          <w:rFonts w:eastAsia="MS Mincho" w:cs="Times New Roman"/>
        </w:rPr>
        <w:t xml:space="preserve"> and </w:t>
      </w:r>
      <w:r w:rsidR="00B34461">
        <w:rPr>
          <w:rFonts w:eastAsia="MS Mincho" w:cs="Times New Roman"/>
        </w:rPr>
        <w:t>0.03</w:t>
      </w:r>
      <w:r w:rsidR="00667069">
        <w:rPr>
          <w:rFonts w:eastAsia="MS Mincho" w:cs="Times New Roman"/>
        </w:rPr>
        <w:t>%</w:t>
      </w:r>
      <w:r w:rsidR="00E73F67">
        <w:rPr>
          <w:rFonts w:eastAsia="MS Mincho" w:cs="Times New Roman"/>
        </w:rPr>
        <w:t xml:space="preserve"> </w:t>
      </w:r>
      <w:r w:rsidR="00667069">
        <w:rPr>
          <w:rFonts w:eastAsia="MS Mincho" w:cs="Times New Roman"/>
        </w:rPr>
        <w:t xml:space="preserve">of total </w:t>
      </w:r>
      <w:r w:rsidR="00E73F67">
        <w:rPr>
          <w:rFonts w:eastAsia="MS Mincho" w:cs="Times New Roman"/>
        </w:rPr>
        <w:t>DALYs</w:t>
      </w:r>
      <w:r w:rsidR="00667069">
        <w:rPr>
          <w:rFonts w:eastAsia="MS Mincho" w:cs="Times New Roman"/>
        </w:rPr>
        <w:t xml:space="preserve"> for NCDs</w:t>
      </w:r>
      <w:r>
        <w:rPr>
          <w:rFonts w:eastAsia="MS Mincho" w:cs="Times New Roman"/>
        </w:rPr>
        <w:t>, respectively</w:t>
      </w:r>
      <w:r w:rsidR="008A77CA">
        <w:rPr>
          <w:rFonts w:eastAsia="MS Mincho" w:cs="Times New Roman"/>
        </w:rPr>
        <w:t>)</w:t>
      </w:r>
      <w:r w:rsidR="00A32D8C">
        <w:rPr>
          <w:rFonts w:eastAsia="MS Mincho" w:cs="Times New Roman"/>
        </w:rPr>
        <w:t xml:space="preserve">. </w:t>
      </w:r>
      <w:r w:rsidR="007767DD">
        <w:rPr>
          <w:rFonts w:eastAsia="MS Mincho" w:cs="Times New Roman"/>
        </w:rPr>
        <w:t>I</w:t>
      </w:r>
      <w:r w:rsidR="005F6798">
        <w:rPr>
          <w:rFonts w:eastAsia="MS Mincho" w:cs="Times New Roman"/>
        </w:rPr>
        <w:t xml:space="preserve">n 2010, </w:t>
      </w:r>
      <w:r w:rsidR="00590A25">
        <w:rPr>
          <w:rFonts w:eastAsia="MS Mincho" w:cs="Times New Roman"/>
        </w:rPr>
        <w:t>for instance</w:t>
      </w:r>
      <w:r w:rsidR="005F6798">
        <w:rPr>
          <w:rFonts w:eastAsia="MS Mincho" w:cs="Times New Roman"/>
        </w:rPr>
        <w:t xml:space="preserve"> </w:t>
      </w:r>
      <w:r w:rsidR="005F6798" w:rsidRPr="00710F5A">
        <w:rPr>
          <w:i/>
        </w:rPr>
        <w:t>testicular cancer</w:t>
      </w:r>
      <w:r w:rsidR="005F6798">
        <w:rPr>
          <w:rFonts w:eastAsia="MS Mincho" w:cs="Times New Roman"/>
        </w:rPr>
        <w:t xml:space="preserve"> </w:t>
      </w:r>
      <w:r w:rsidR="006B688E">
        <w:rPr>
          <w:rFonts w:eastAsia="MS Mincho" w:cs="Times New Roman"/>
        </w:rPr>
        <w:t>(</w:t>
      </w:r>
      <w:r w:rsidR="001F2BD9">
        <w:rPr>
          <w:rFonts w:eastAsia="MS Mincho" w:cs="Times New Roman"/>
        </w:rPr>
        <w:t>accounting for</w:t>
      </w:r>
      <w:r w:rsidR="005F6798">
        <w:rPr>
          <w:rFonts w:eastAsia="MS Mincho" w:cs="Times New Roman"/>
        </w:rPr>
        <w:t xml:space="preserve"> </w:t>
      </w:r>
      <w:r w:rsidR="00B34461">
        <w:rPr>
          <w:rFonts w:eastAsia="MS Mincho" w:cs="Times New Roman"/>
        </w:rPr>
        <w:t>0.02</w:t>
      </w:r>
      <w:r w:rsidR="00667069">
        <w:rPr>
          <w:rFonts w:eastAsia="MS Mincho" w:cs="Times New Roman"/>
        </w:rPr>
        <w:t>%</w:t>
      </w:r>
      <w:r w:rsidR="001F2BD9">
        <w:rPr>
          <w:rFonts w:eastAsia="MS Mincho" w:cs="Times New Roman"/>
        </w:rPr>
        <w:t xml:space="preserve"> </w:t>
      </w:r>
      <w:r w:rsidR="00667069">
        <w:rPr>
          <w:rFonts w:eastAsia="MS Mincho" w:cs="Times New Roman"/>
        </w:rPr>
        <w:t xml:space="preserve">of total </w:t>
      </w:r>
      <w:r w:rsidR="001F2BD9">
        <w:rPr>
          <w:rFonts w:eastAsia="MS Mincho" w:cs="Times New Roman"/>
        </w:rPr>
        <w:lastRenderedPageBreak/>
        <w:t>DALYs</w:t>
      </w:r>
      <w:r w:rsidR="00667069">
        <w:rPr>
          <w:rFonts w:eastAsia="MS Mincho" w:cs="Times New Roman"/>
        </w:rPr>
        <w:t xml:space="preserve"> for NCDs</w:t>
      </w:r>
      <w:r w:rsidR="005F6798">
        <w:rPr>
          <w:rFonts w:eastAsia="MS Mincho" w:cs="Times New Roman"/>
        </w:rPr>
        <w:t xml:space="preserve">) </w:t>
      </w:r>
      <w:r w:rsidR="001F2BD9">
        <w:rPr>
          <w:rFonts w:eastAsia="MS Mincho" w:cs="Times New Roman"/>
        </w:rPr>
        <w:t>show</w:t>
      </w:r>
      <w:r w:rsidR="00590A25">
        <w:rPr>
          <w:rFonts w:eastAsia="MS Mincho" w:cs="Times New Roman"/>
        </w:rPr>
        <w:t>s</w:t>
      </w:r>
      <w:r w:rsidR="005F6798">
        <w:rPr>
          <w:rFonts w:eastAsia="MS Mincho" w:cs="Times New Roman"/>
        </w:rPr>
        <w:t xml:space="preserve"> comparably lower innovation levels </w:t>
      </w:r>
      <w:r w:rsidR="006B688E">
        <w:rPr>
          <w:rFonts w:eastAsia="MS Mincho" w:cs="Times New Roman"/>
        </w:rPr>
        <w:t xml:space="preserve">(with 58 new therapies launched in the market) </w:t>
      </w:r>
      <w:r w:rsidR="005F6798">
        <w:rPr>
          <w:rFonts w:eastAsia="MS Mincho" w:cs="Times New Roman"/>
        </w:rPr>
        <w:t xml:space="preserve">than </w:t>
      </w:r>
      <w:r>
        <w:rPr>
          <w:rFonts w:eastAsia="MS Mincho" w:cs="Times New Roman"/>
        </w:rPr>
        <w:t xml:space="preserve">higher burden diseases such as </w:t>
      </w:r>
      <w:r w:rsidR="00FD4177" w:rsidRPr="00710F5A">
        <w:rPr>
          <w:i/>
        </w:rPr>
        <w:t>n</w:t>
      </w:r>
      <w:r w:rsidR="005F6798" w:rsidRPr="00710F5A">
        <w:rPr>
          <w:i/>
        </w:rPr>
        <w:t>ephritis</w:t>
      </w:r>
      <w:r w:rsidR="005F6798">
        <w:rPr>
          <w:rFonts w:eastAsia="MS Mincho" w:cs="Times New Roman"/>
        </w:rPr>
        <w:t xml:space="preserve"> and </w:t>
      </w:r>
      <w:r w:rsidR="005F6798" w:rsidRPr="00710F5A">
        <w:rPr>
          <w:i/>
        </w:rPr>
        <w:t>non-Ho</w:t>
      </w:r>
      <w:r w:rsidR="00FD4177" w:rsidRPr="00710F5A">
        <w:rPr>
          <w:i/>
        </w:rPr>
        <w:t>dgkin l</w:t>
      </w:r>
      <w:r w:rsidR="005F6798" w:rsidRPr="00710F5A">
        <w:rPr>
          <w:i/>
        </w:rPr>
        <w:t>ymphoma</w:t>
      </w:r>
      <w:r w:rsidR="005F6798">
        <w:rPr>
          <w:rFonts w:eastAsia="MS Mincho" w:cs="Times New Roman"/>
        </w:rPr>
        <w:t xml:space="preserve"> </w:t>
      </w:r>
      <w:r w:rsidR="006B688E">
        <w:rPr>
          <w:rFonts w:eastAsia="MS Mincho" w:cs="Times New Roman"/>
        </w:rPr>
        <w:t xml:space="preserve"> </w:t>
      </w:r>
      <w:r w:rsidR="005F6798">
        <w:rPr>
          <w:rFonts w:eastAsia="MS Mincho" w:cs="Times New Roman"/>
        </w:rPr>
        <w:t>(</w:t>
      </w:r>
      <w:r w:rsidR="006B688E">
        <w:rPr>
          <w:rFonts w:eastAsia="MS Mincho" w:cs="Times New Roman"/>
        </w:rPr>
        <w:t xml:space="preserve">that account for </w:t>
      </w:r>
      <w:r w:rsidR="00B34461">
        <w:rPr>
          <w:rFonts w:eastAsia="MS Mincho" w:cs="Times New Roman"/>
        </w:rPr>
        <w:t>0.23</w:t>
      </w:r>
      <w:r w:rsidR="00667069">
        <w:rPr>
          <w:rFonts w:eastAsia="MS Mincho" w:cs="Times New Roman"/>
        </w:rPr>
        <w:t>%</w:t>
      </w:r>
      <w:r w:rsidR="006B688E">
        <w:rPr>
          <w:rFonts w:eastAsia="MS Mincho" w:cs="Times New Roman"/>
        </w:rPr>
        <w:t xml:space="preserve"> and </w:t>
      </w:r>
      <w:r w:rsidR="00B34461">
        <w:rPr>
          <w:rFonts w:eastAsia="MS Mincho" w:cs="Times New Roman"/>
        </w:rPr>
        <w:t>0.44</w:t>
      </w:r>
      <w:r w:rsidR="00667069">
        <w:rPr>
          <w:rFonts w:eastAsia="MS Mincho" w:cs="Times New Roman"/>
        </w:rPr>
        <w:t>% of total</w:t>
      </w:r>
      <w:r w:rsidR="006B688E">
        <w:rPr>
          <w:rFonts w:eastAsia="MS Mincho" w:cs="Times New Roman"/>
        </w:rPr>
        <w:t xml:space="preserve"> DALYs</w:t>
      </w:r>
      <w:r w:rsidR="00667069">
        <w:rPr>
          <w:rFonts w:eastAsia="MS Mincho" w:cs="Times New Roman"/>
        </w:rPr>
        <w:t xml:space="preserve"> for NCDs in 2010</w:t>
      </w:r>
      <w:r w:rsidR="006B688E">
        <w:rPr>
          <w:rFonts w:eastAsia="MS Mincho" w:cs="Times New Roman"/>
        </w:rPr>
        <w:t xml:space="preserve">, </w:t>
      </w:r>
      <w:r w:rsidR="001F2BD9">
        <w:rPr>
          <w:rFonts w:eastAsia="MS Mincho" w:cs="Times New Roman"/>
        </w:rPr>
        <w:t xml:space="preserve">with </w:t>
      </w:r>
      <w:r w:rsidR="005F6798">
        <w:rPr>
          <w:rFonts w:eastAsia="MS Mincho" w:cs="Times New Roman"/>
        </w:rPr>
        <w:t>190 and 240</w:t>
      </w:r>
      <w:r w:rsidR="001F2BD9">
        <w:rPr>
          <w:rFonts w:eastAsia="MS Mincho" w:cs="Times New Roman"/>
        </w:rPr>
        <w:t xml:space="preserve"> new therapies</w:t>
      </w:r>
      <w:r w:rsidR="006B688E">
        <w:rPr>
          <w:rFonts w:eastAsia="MS Mincho" w:cs="Times New Roman"/>
        </w:rPr>
        <w:t xml:space="preserve"> launched in the market</w:t>
      </w:r>
      <w:r w:rsidR="005F6798">
        <w:rPr>
          <w:rFonts w:eastAsia="MS Mincho" w:cs="Times New Roman"/>
        </w:rPr>
        <w:t>)</w:t>
      </w:r>
      <w:r w:rsidR="001F2BD9">
        <w:rPr>
          <w:rFonts w:eastAsia="MS Mincho" w:cs="Times New Roman"/>
        </w:rPr>
        <w:t>.</w:t>
      </w:r>
    </w:p>
    <w:p w14:paraId="20101B61" w14:textId="1776B8D6" w:rsidR="00737F23" w:rsidRPr="00364EF3" w:rsidRDefault="004F4006" w:rsidP="009C7054">
      <w:pPr>
        <w:spacing w:line="480" w:lineRule="auto"/>
        <w:jc w:val="both"/>
        <w:rPr>
          <w:rFonts w:eastAsia="MS Mincho" w:cs="Times New Roman"/>
        </w:rPr>
      </w:pPr>
      <w:r w:rsidRPr="00364EF3">
        <w:rPr>
          <w:rFonts w:eastAsia="MS Mincho" w:cs="Times New Roman"/>
        </w:rPr>
        <w:t>Th</w:t>
      </w:r>
      <w:r w:rsidR="00305436">
        <w:rPr>
          <w:rFonts w:eastAsia="MS Mincho" w:cs="Times New Roman"/>
        </w:rPr>
        <w:t>e</w:t>
      </w:r>
      <w:r w:rsidRPr="00364EF3">
        <w:rPr>
          <w:rFonts w:eastAsia="MS Mincho" w:cs="Times New Roman"/>
        </w:rPr>
        <w:t xml:space="preserve"> </w:t>
      </w:r>
      <w:r w:rsidR="006350B3">
        <w:rPr>
          <w:rFonts w:eastAsia="MS Mincho" w:cs="Times New Roman"/>
        </w:rPr>
        <w:t>results from</w:t>
      </w:r>
      <w:r w:rsidR="00305436">
        <w:rPr>
          <w:rFonts w:eastAsia="MS Mincho" w:cs="Times New Roman"/>
        </w:rPr>
        <w:t xml:space="preserve"> the concentration curves</w:t>
      </w:r>
      <w:r w:rsidRPr="00364EF3">
        <w:rPr>
          <w:rFonts w:eastAsia="MS Mincho" w:cs="Times New Roman"/>
        </w:rPr>
        <w:t xml:space="preserve"> </w:t>
      </w:r>
      <w:r w:rsidR="006350B3">
        <w:rPr>
          <w:rFonts w:eastAsia="MS Mincho" w:cs="Times New Roman"/>
        </w:rPr>
        <w:t xml:space="preserve"> analysis are </w:t>
      </w:r>
      <w:r w:rsidRPr="00364EF3">
        <w:rPr>
          <w:rFonts w:eastAsia="MS Mincho" w:cs="Times New Roman"/>
        </w:rPr>
        <w:t>confirmed by the positive concentration indices</w:t>
      </w:r>
      <w:r w:rsidR="00892A15" w:rsidRPr="00364EF3">
        <w:rPr>
          <w:rFonts w:eastAsia="MS Mincho" w:cs="Times New Roman"/>
        </w:rPr>
        <w:t xml:space="preserve"> reported</w:t>
      </w:r>
      <w:r w:rsidRPr="00364EF3">
        <w:rPr>
          <w:rFonts w:eastAsia="MS Mincho" w:cs="Times New Roman"/>
        </w:rPr>
        <w:t xml:space="preserve"> in </w:t>
      </w:r>
      <w:r w:rsidR="009609E0">
        <w:rPr>
          <w:rFonts w:eastAsia="MS Mincho" w:cs="Times New Roman"/>
        </w:rPr>
        <w:t>Table VI</w:t>
      </w:r>
      <w:r w:rsidRPr="00364EF3">
        <w:rPr>
          <w:rFonts w:eastAsia="MS Mincho" w:cs="Times New Roman"/>
        </w:rPr>
        <w:t xml:space="preserve">, </w:t>
      </w:r>
      <w:r w:rsidR="00892A15" w:rsidRPr="00364EF3">
        <w:rPr>
          <w:rFonts w:eastAsia="MS Mincho" w:cs="Times New Roman"/>
        </w:rPr>
        <w:t>although</w:t>
      </w:r>
      <w:r w:rsidRPr="00364EF3">
        <w:rPr>
          <w:rFonts w:eastAsia="MS Mincho" w:cs="Times New Roman"/>
        </w:rPr>
        <w:t xml:space="preserve"> the concentration index is only statistically different from </w:t>
      </w:r>
      <w:r w:rsidR="009F08CB">
        <w:rPr>
          <w:rFonts w:eastAsia="MS Mincho" w:cs="Times New Roman"/>
        </w:rPr>
        <w:t xml:space="preserve">zero </w:t>
      </w:r>
      <w:r w:rsidRPr="00364EF3">
        <w:rPr>
          <w:rFonts w:eastAsia="MS Mincho" w:cs="Times New Roman"/>
        </w:rPr>
        <w:t>for NCDs in 1990</w:t>
      </w:r>
      <w:r w:rsidR="00B832F0" w:rsidRPr="00364EF3">
        <w:rPr>
          <w:rFonts w:eastAsia="MS Mincho" w:cs="Times New Roman"/>
        </w:rPr>
        <w:t xml:space="preserve"> </w:t>
      </w:r>
      <w:r w:rsidR="0036137E" w:rsidRPr="00364EF3">
        <w:rPr>
          <w:rFonts w:eastAsia="MS Mincho" w:cs="Times New Roman"/>
        </w:rPr>
        <w:t>(</w:t>
      </w:r>
      <w:r w:rsidR="0036137E" w:rsidRPr="00364EF3">
        <w:rPr>
          <w:rFonts w:eastAsia="MS Mincho" w:cs="Times New Roman"/>
          <w:i/>
          <w:iCs/>
        </w:rPr>
        <w:t>p</w:t>
      </w:r>
      <w:r w:rsidR="0036137E" w:rsidRPr="00364EF3">
        <w:rPr>
          <w:rFonts w:eastAsia="MS Mincho" w:cs="Times New Roman"/>
        </w:rPr>
        <w:t>&lt;0.05)</w:t>
      </w:r>
      <w:r w:rsidRPr="00364EF3">
        <w:rPr>
          <w:rFonts w:eastAsia="MS Mincho" w:cs="Times New Roman"/>
        </w:rPr>
        <w:t xml:space="preserve">. For NCDs in 2010 as well as for CDs in both years, even though </w:t>
      </w:r>
      <w:r w:rsidR="00892A15" w:rsidRPr="00364EF3">
        <w:rPr>
          <w:rFonts w:eastAsia="MS Mincho" w:cs="Times New Roman"/>
        </w:rPr>
        <w:t xml:space="preserve">the estimated concentration index is </w:t>
      </w:r>
      <w:r w:rsidRPr="00364EF3">
        <w:rPr>
          <w:rFonts w:eastAsia="MS Mincho" w:cs="Times New Roman"/>
        </w:rPr>
        <w:t>p</w:t>
      </w:r>
      <w:r w:rsidR="007F7DD0" w:rsidRPr="00364EF3">
        <w:rPr>
          <w:rFonts w:eastAsia="MS Mincho" w:cs="Times New Roman"/>
        </w:rPr>
        <w:t>ositive, the distribution of innovation is not statistically different from the equality line</w:t>
      </w:r>
      <w:r w:rsidR="00F26AC2" w:rsidRPr="00364EF3">
        <w:rPr>
          <w:rFonts w:eastAsia="MS Mincho" w:cs="Times New Roman"/>
        </w:rPr>
        <w:t xml:space="preserve">, and therefore we </w:t>
      </w:r>
      <w:r w:rsidR="00260477" w:rsidRPr="00364EF3">
        <w:rPr>
          <w:rFonts w:eastAsia="MS Mincho" w:cs="Times New Roman"/>
        </w:rPr>
        <w:t>can</w:t>
      </w:r>
      <w:r w:rsidR="00260477">
        <w:rPr>
          <w:rFonts w:eastAsia="MS Mincho" w:cs="Times New Roman"/>
        </w:rPr>
        <w:t>no</w:t>
      </w:r>
      <w:r w:rsidR="00260477" w:rsidRPr="00364EF3">
        <w:rPr>
          <w:rFonts w:eastAsia="MS Mincho" w:cs="Times New Roman"/>
        </w:rPr>
        <w:t xml:space="preserve">t </w:t>
      </w:r>
      <w:r w:rsidR="00F26AC2" w:rsidRPr="00364EF3">
        <w:rPr>
          <w:rFonts w:eastAsia="MS Mincho" w:cs="Times New Roman"/>
        </w:rPr>
        <w:t>reject the hypothesis of innovation being (equally) distributed according to disease burden</w:t>
      </w:r>
      <w:r w:rsidR="007F7DD0" w:rsidRPr="00364EF3">
        <w:rPr>
          <w:rFonts w:eastAsia="MS Mincho" w:cs="Times New Roman"/>
        </w:rPr>
        <w:t>.</w:t>
      </w:r>
      <w:r w:rsidRPr="00364EF3">
        <w:rPr>
          <w:rFonts w:eastAsia="MS Mincho" w:cs="Times New Roman"/>
        </w:rPr>
        <w:t xml:space="preserve"> </w:t>
      </w:r>
    </w:p>
    <w:p w14:paraId="398583BB" w14:textId="1DC61F17" w:rsidR="000E35D1" w:rsidRPr="00364EF3" w:rsidRDefault="002A61A8" w:rsidP="009C7054">
      <w:pPr>
        <w:pStyle w:val="CommentText"/>
        <w:spacing w:line="480" w:lineRule="auto"/>
        <w:jc w:val="both"/>
        <w:rPr>
          <w:rFonts w:eastAsia="MS Mincho" w:cs="Times New Roman"/>
        </w:rPr>
      </w:pPr>
      <w:r w:rsidRPr="00364EF3">
        <w:rPr>
          <w:rFonts w:eastAsia="MS Mincho" w:cs="Times New Roman"/>
        </w:rPr>
        <w:t>When market size is used as the basis for ranking</w:t>
      </w:r>
      <w:r w:rsidR="003B1FC9" w:rsidRPr="00364EF3">
        <w:rPr>
          <w:rFonts w:eastAsia="MS Mincho" w:cs="Times New Roman"/>
        </w:rPr>
        <w:t>, the</w:t>
      </w:r>
      <w:r w:rsidR="003901B1" w:rsidRPr="00364EF3">
        <w:rPr>
          <w:rFonts w:eastAsia="MS Mincho" w:cs="Times New Roman"/>
        </w:rPr>
        <w:t xml:space="preserve"> results are qualitatively the same as above. T</w:t>
      </w:r>
      <w:r w:rsidRPr="00364EF3">
        <w:rPr>
          <w:rFonts w:eastAsia="MS Mincho" w:cs="Times New Roman"/>
        </w:rPr>
        <w:t>he curves</w:t>
      </w:r>
      <w:r w:rsidR="00DC6D6F" w:rsidRPr="00364EF3">
        <w:rPr>
          <w:rFonts w:eastAsia="MS Mincho" w:cs="Times New Roman"/>
        </w:rPr>
        <w:t xml:space="preserve"> show </w:t>
      </w:r>
      <w:r w:rsidR="00996E12" w:rsidRPr="00364EF3">
        <w:rPr>
          <w:rFonts w:eastAsia="MS Mincho" w:cs="Times New Roman"/>
        </w:rPr>
        <w:t>similar</w:t>
      </w:r>
      <w:r w:rsidR="00DC6D6F" w:rsidRPr="00364EF3">
        <w:rPr>
          <w:rFonts w:eastAsia="MS Mincho" w:cs="Times New Roman"/>
        </w:rPr>
        <w:t xml:space="preserve"> unequal concentration </w:t>
      </w:r>
      <w:r w:rsidR="00B742E5" w:rsidRPr="00364EF3">
        <w:rPr>
          <w:rFonts w:eastAsia="MS Mincho" w:cs="Times New Roman"/>
        </w:rPr>
        <w:t>towards</w:t>
      </w:r>
      <w:r w:rsidR="00EB2D46" w:rsidRPr="00364EF3">
        <w:rPr>
          <w:rFonts w:eastAsia="MS Mincho" w:cs="Times New Roman"/>
        </w:rPr>
        <w:t xml:space="preserve"> disease areas that exhibit</w:t>
      </w:r>
      <w:r w:rsidR="00DC6D6F" w:rsidRPr="00364EF3">
        <w:rPr>
          <w:rFonts w:eastAsia="MS Mincho" w:cs="Times New Roman"/>
        </w:rPr>
        <w:t xml:space="preserve"> ‘high </w:t>
      </w:r>
      <w:r w:rsidR="00FB6E47" w:rsidRPr="00364EF3">
        <w:rPr>
          <w:rFonts w:eastAsia="MS Mincho" w:cs="Times New Roman"/>
        </w:rPr>
        <w:t xml:space="preserve">market </w:t>
      </w:r>
      <w:r w:rsidR="00A91F65" w:rsidRPr="00364EF3">
        <w:rPr>
          <w:rFonts w:eastAsia="MS Mincho" w:cs="Times New Roman"/>
        </w:rPr>
        <w:t>size</w:t>
      </w:r>
      <w:r w:rsidR="00FB6E47" w:rsidRPr="00364EF3">
        <w:rPr>
          <w:rFonts w:eastAsia="MS Mincho" w:cs="Times New Roman"/>
        </w:rPr>
        <w:t xml:space="preserve">’ </w:t>
      </w:r>
      <w:r w:rsidR="00EB2D46" w:rsidRPr="00364EF3">
        <w:rPr>
          <w:rFonts w:eastAsia="MS Mincho" w:cs="Times New Roman"/>
        </w:rPr>
        <w:t>for</w:t>
      </w:r>
      <w:r w:rsidR="00996E12" w:rsidRPr="00364EF3">
        <w:rPr>
          <w:rFonts w:eastAsia="MS Mincho" w:cs="Times New Roman"/>
        </w:rPr>
        <w:t xml:space="preserve"> both</w:t>
      </w:r>
      <w:r w:rsidR="00DC6D6F" w:rsidRPr="00364EF3">
        <w:rPr>
          <w:rFonts w:eastAsia="MS Mincho" w:cs="Times New Roman"/>
        </w:rPr>
        <w:t xml:space="preserve"> CDs</w:t>
      </w:r>
      <w:r w:rsidR="00996E12" w:rsidRPr="00364EF3">
        <w:rPr>
          <w:rFonts w:eastAsia="MS Mincho" w:cs="Times New Roman"/>
        </w:rPr>
        <w:t xml:space="preserve"> and NCDs</w:t>
      </w:r>
      <w:r w:rsidR="00DC6D6F" w:rsidRPr="00364EF3">
        <w:rPr>
          <w:rFonts w:eastAsia="MS Mincho" w:cs="Times New Roman"/>
        </w:rPr>
        <w:t xml:space="preserve"> (</w:t>
      </w:r>
      <w:r w:rsidR="0005695E">
        <w:rPr>
          <w:rFonts w:eastAsia="MS Mincho" w:cs="Times New Roman"/>
        </w:rPr>
        <w:t>Figure 3</w:t>
      </w:r>
      <w:r w:rsidR="00DC6D6F" w:rsidRPr="00364EF3">
        <w:rPr>
          <w:rFonts w:eastAsia="MS Mincho" w:cs="Times New Roman"/>
        </w:rPr>
        <w:t>)</w:t>
      </w:r>
      <w:r w:rsidR="00746677" w:rsidRPr="00364EF3">
        <w:rPr>
          <w:rFonts w:eastAsia="MS Mincho" w:cs="Times New Roman"/>
        </w:rPr>
        <w:t xml:space="preserve">. These results are confirmed by the positive concentration indices </w:t>
      </w:r>
      <w:r w:rsidR="00996E12" w:rsidRPr="00364EF3">
        <w:rPr>
          <w:rFonts w:eastAsia="MS Mincho" w:cs="Times New Roman"/>
        </w:rPr>
        <w:t>(</w:t>
      </w:r>
      <w:r w:rsidR="009609E0">
        <w:rPr>
          <w:rFonts w:eastAsia="MS Mincho" w:cs="Times New Roman"/>
        </w:rPr>
        <w:t>Table VI</w:t>
      </w:r>
      <w:r w:rsidR="00996E12" w:rsidRPr="00364EF3">
        <w:rPr>
          <w:rFonts w:eastAsia="MS Mincho" w:cs="Times New Roman"/>
        </w:rPr>
        <w:t xml:space="preserve">) </w:t>
      </w:r>
      <w:r w:rsidR="00746677" w:rsidRPr="00364EF3">
        <w:rPr>
          <w:rFonts w:eastAsia="MS Mincho" w:cs="Times New Roman"/>
        </w:rPr>
        <w:t>that</w:t>
      </w:r>
      <w:r w:rsidR="00885EA2">
        <w:rPr>
          <w:rFonts w:eastAsia="MS Mincho" w:cs="Times New Roman"/>
        </w:rPr>
        <w:t xml:space="preserve"> </w:t>
      </w:r>
      <w:r w:rsidR="00E31384">
        <w:rPr>
          <w:rFonts w:eastAsia="MS Mincho" w:cs="Times New Roman"/>
        </w:rPr>
        <w:t>show a</w:t>
      </w:r>
      <w:r w:rsidR="00996E12" w:rsidRPr="00364EF3">
        <w:rPr>
          <w:rFonts w:eastAsia="MS Mincho" w:cs="Times New Roman"/>
        </w:rPr>
        <w:t xml:space="preserve"> </w:t>
      </w:r>
      <w:r w:rsidR="00E31384" w:rsidRPr="00364EF3">
        <w:rPr>
          <w:rFonts w:eastAsia="MS Mincho" w:cs="Times New Roman"/>
        </w:rPr>
        <w:t xml:space="preserve">statistically significant </w:t>
      </w:r>
      <w:r w:rsidR="00996E12" w:rsidRPr="00364EF3">
        <w:rPr>
          <w:rFonts w:eastAsia="MS Mincho" w:cs="Times New Roman"/>
        </w:rPr>
        <w:t>inequality</w:t>
      </w:r>
      <w:r w:rsidR="00746677" w:rsidRPr="00364EF3">
        <w:rPr>
          <w:rFonts w:eastAsia="MS Mincho" w:cs="Times New Roman"/>
        </w:rPr>
        <w:t xml:space="preserve"> for</w:t>
      </w:r>
      <w:r w:rsidR="00996E12" w:rsidRPr="00364EF3">
        <w:rPr>
          <w:rFonts w:eastAsia="MS Mincho" w:cs="Times New Roman"/>
        </w:rPr>
        <w:t xml:space="preserve"> NCDs </w:t>
      </w:r>
      <w:r w:rsidR="00EB2D46" w:rsidRPr="00364EF3">
        <w:rPr>
          <w:rFonts w:eastAsia="MS Mincho" w:cs="Times New Roman"/>
        </w:rPr>
        <w:t xml:space="preserve">in </w:t>
      </w:r>
      <w:r w:rsidR="00996E12" w:rsidRPr="00364EF3">
        <w:rPr>
          <w:rFonts w:eastAsia="MS Mincho" w:cs="Times New Roman"/>
        </w:rPr>
        <w:t>1990</w:t>
      </w:r>
      <w:r w:rsidR="00746677" w:rsidRPr="00364EF3">
        <w:rPr>
          <w:rFonts w:eastAsia="MS Mincho" w:cs="Times New Roman"/>
        </w:rPr>
        <w:t xml:space="preserve"> (p&lt;0.01)</w:t>
      </w:r>
      <w:r w:rsidR="00996E12" w:rsidRPr="00364EF3">
        <w:rPr>
          <w:rFonts w:eastAsia="MS Mincho" w:cs="Times New Roman"/>
        </w:rPr>
        <w:t xml:space="preserve"> and </w:t>
      </w:r>
      <w:r w:rsidR="00EB2D46" w:rsidRPr="00364EF3">
        <w:rPr>
          <w:rFonts w:eastAsia="MS Mincho" w:cs="Times New Roman"/>
        </w:rPr>
        <w:t xml:space="preserve">in </w:t>
      </w:r>
      <w:r w:rsidR="00996E12" w:rsidRPr="00364EF3">
        <w:rPr>
          <w:rFonts w:eastAsia="MS Mincho" w:cs="Times New Roman"/>
        </w:rPr>
        <w:t>2010</w:t>
      </w:r>
      <w:r w:rsidR="00746677" w:rsidRPr="00364EF3">
        <w:rPr>
          <w:rFonts w:eastAsia="MS Mincho" w:cs="Times New Roman"/>
        </w:rPr>
        <w:t xml:space="preserve"> (p&lt;0.05)</w:t>
      </w:r>
      <w:r w:rsidR="00EB2D46" w:rsidRPr="00364EF3">
        <w:rPr>
          <w:rFonts w:eastAsia="MS Mincho" w:cs="Times New Roman"/>
        </w:rPr>
        <w:t xml:space="preserve">, as well as </w:t>
      </w:r>
      <w:r w:rsidR="00746677" w:rsidRPr="00364EF3">
        <w:rPr>
          <w:rFonts w:eastAsia="MS Mincho" w:cs="Times New Roman"/>
        </w:rPr>
        <w:t>for CDs in 1990 (p&lt;0.01)</w:t>
      </w:r>
      <w:r w:rsidR="00DC6D6F" w:rsidRPr="00364EF3">
        <w:rPr>
          <w:rFonts w:eastAsia="MS Mincho" w:cs="Times New Roman"/>
        </w:rPr>
        <w:t>.</w:t>
      </w:r>
      <w:r w:rsidRPr="00364EF3">
        <w:rPr>
          <w:rFonts w:eastAsia="MS Mincho" w:cs="Times New Roman"/>
        </w:rPr>
        <w:t xml:space="preserve"> </w:t>
      </w:r>
    </w:p>
    <w:p w14:paraId="521B8203" w14:textId="5FCBE976" w:rsidR="002E790D" w:rsidRPr="00364EF3" w:rsidRDefault="00E43D57" w:rsidP="009C7054">
      <w:pPr>
        <w:spacing w:line="480" w:lineRule="auto"/>
        <w:jc w:val="center"/>
        <w:rPr>
          <w:rFonts w:cs="Times New Roman"/>
        </w:rPr>
      </w:pPr>
      <w:r w:rsidRPr="00364EF3">
        <w:rPr>
          <w:rFonts w:cs="Times New Roman"/>
        </w:rPr>
        <w:t>[</w:t>
      </w:r>
      <w:r w:rsidR="0005695E">
        <w:rPr>
          <w:rFonts w:cs="Times New Roman"/>
        </w:rPr>
        <w:t>Figure 3</w:t>
      </w:r>
      <w:r w:rsidR="00ED3400" w:rsidRPr="00364EF3">
        <w:rPr>
          <w:rFonts w:cs="Times New Roman"/>
        </w:rPr>
        <w:t xml:space="preserve"> in</w:t>
      </w:r>
      <w:r w:rsidRPr="00364EF3">
        <w:rPr>
          <w:rFonts w:cs="Times New Roman"/>
        </w:rPr>
        <w:t xml:space="preserve"> here]</w:t>
      </w:r>
    </w:p>
    <w:p w14:paraId="38D691A6" w14:textId="1D807377" w:rsidR="00A761F3" w:rsidRPr="00364EF3" w:rsidRDefault="002E790D" w:rsidP="009C7054">
      <w:pPr>
        <w:spacing w:line="480" w:lineRule="auto"/>
        <w:jc w:val="both"/>
        <w:rPr>
          <w:rFonts w:eastAsia="MS Mincho" w:cs="Times New Roman"/>
        </w:rPr>
      </w:pPr>
      <w:r w:rsidRPr="00364EF3">
        <w:rPr>
          <w:rFonts w:eastAsia="MS Mincho" w:cs="Times New Roman"/>
        </w:rPr>
        <w:t>We have further performed Friedman tests</w:t>
      </w:r>
      <w:r w:rsidR="0005695E">
        <w:rPr>
          <w:rFonts w:eastAsia="MS Mincho" w:cs="Times New Roman"/>
        </w:rPr>
        <w:t xml:space="preserve"> </w:t>
      </w:r>
      <w:r w:rsidR="00E602E1" w:rsidRPr="00364EF3">
        <w:rPr>
          <w:rFonts w:eastAsia="MS Mincho" w:cs="Times New Roman"/>
        </w:rPr>
        <w:fldChar w:fldCharType="begin"/>
      </w:r>
      <w:r w:rsidR="00897999" w:rsidRPr="00364EF3">
        <w:rPr>
          <w:rFonts w:eastAsia="MS Mincho" w:cs="Times New Roman"/>
        </w:rPr>
        <w:instrText xml:space="preserve"> ADDIN EN.CITE &lt;EndNote&gt;&lt;Cite&gt;&lt;Author&gt;Friedman&lt;/Author&gt;&lt;Year&gt;1940&lt;/Year&gt;&lt;RecNum&gt;37&lt;/RecNum&gt;&lt;DisplayText&gt;(Friedman, 1940)&lt;/DisplayText&gt;&lt;record&gt;&lt;rec-number&gt;37&lt;/rec-number&gt;&lt;foreign-keys&gt;&lt;key app="EN" db-id="z9sfvvw5ppd29te9t2mpewzdswwxrse2zwfp" timestamp="1490097598"&gt;37&lt;/key&gt;&lt;/foreign-keys&gt;&lt;ref-type name="Journal Article"&gt;17&lt;/ref-type&gt;&lt;contributors&gt;&lt;authors&gt;&lt;author&gt;Friedman, Milton&lt;/author&gt;&lt;/authors&gt;&lt;/contributors&gt;&lt;titles&gt;&lt;title&gt;A comparison of alternative tests of significance for the problem of m rankings&lt;/title&gt;&lt;secondary-title&gt;The Annals of Mathematical Statistics&lt;/secondary-title&gt;&lt;/titles&gt;&lt;periodical&gt;&lt;full-title&gt;The Annals of Mathematical Statistics&lt;/full-title&gt;&lt;/periodical&gt;&lt;pages&gt;86-92 %@ 0003-4851&lt;/pages&gt;&lt;volume&gt;11&lt;/volume&gt;&lt;number&gt;1&lt;/number&gt;&lt;dates&gt;&lt;year&gt;1940&lt;/year&gt;&lt;/dates&gt;&lt;publisher&gt;JSTOR&lt;/publisher&gt;&lt;urls&gt;&lt;/urls&gt;&lt;/record&gt;&lt;/Cite&gt;&lt;/EndNote&gt;</w:instrText>
      </w:r>
      <w:r w:rsidR="00E602E1" w:rsidRPr="00364EF3">
        <w:rPr>
          <w:rFonts w:eastAsia="MS Mincho" w:cs="Times New Roman"/>
        </w:rPr>
        <w:fldChar w:fldCharType="separate"/>
      </w:r>
      <w:r w:rsidR="00897999" w:rsidRPr="00364EF3">
        <w:rPr>
          <w:rFonts w:eastAsia="MS Mincho" w:cs="Times New Roman"/>
          <w:noProof/>
        </w:rPr>
        <w:t>(Friedman, 1940)</w:t>
      </w:r>
      <w:r w:rsidR="00E602E1" w:rsidRPr="00364EF3">
        <w:rPr>
          <w:rFonts w:eastAsia="MS Mincho" w:cs="Times New Roman"/>
        </w:rPr>
        <w:fldChar w:fldCharType="end"/>
      </w:r>
      <w:r w:rsidR="00F656C2" w:rsidRPr="00364EF3">
        <w:rPr>
          <w:rFonts w:eastAsia="MS Mincho" w:cs="Times New Roman"/>
        </w:rPr>
        <w:t xml:space="preserve"> </w:t>
      </w:r>
      <w:r w:rsidRPr="00364EF3">
        <w:rPr>
          <w:rFonts w:eastAsia="MS Mincho" w:cs="Times New Roman"/>
        </w:rPr>
        <w:t>to assess statistical differences in the ranking of the diseases in 1990 compared with 2010 for</w:t>
      </w:r>
      <w:r w:rsidR="00362F77" w:rsidRPr="00364EF3">
        <w:rPr>
          <w:rFonts w:eastAsia="MS Mincho" w:cs="Times New Roman"/>
        </w:rPr>
        <w:t>:</w:t>
      </w:r>
      <w:r w:rsidRPr="00364EF3">
        <w:rPr>
          <w:rFonts w:eastAsia="MS Mincho" w:cs="Times New Roman"/>
        </w:rPr>
        <w:t xml:space="preserve"> burden of disease</w:t>
      </w:r>
      <w:r w:rsidR="00EA6E1C">
        <w:rPr>
          <w:rFonts w:eastAsia="MS Mincho" w:cs="Times New Roman"/>
        </w:rPr>
        <w:t>,</w:t>
      </w:r>
      <w:r w:rsidRPr="00364EF3">
        <w:rPr>
          <w:rFonts w:eastAsia="MS Mincho" w:cs="Times New Roman"/>
        </w:rPr>
        <w:t xml:space="preserve"> innovation</w:t>
      </w:r>
      <w:r w:rsidR="00EA6E1C">
        <w:rPr>
          <w:rFonts w:eastAsia="MS Mincho" w:cs="Times New Roman"/>
        </w:rPr>
        <w:t xml:space="preserve"> and market size</w:t>
      </w:r>
      <w:r w:rsidRPr="00364EF3">
        <w:rPr>
          <w:rFonts w:eastAsia="MS Mincho" w:cs="Times New Roman"/>
        </w:rPr>
        <w:t xml:space="preserve"> for both CDs and NCDs </w:t>
      </w:r>
      <w:r w:rsidR="00E97EF9">
        <w:rPr>
          <w:rFonts w:eastAsia="MS Mincho" w:cs="Times New Roman"/>
        </w:rPr>
        <w:t xml:space="preserve">for all countries </w:t>
      </w:r>
      <w:r w:rsidRPr="00364EF3">
        <w:rPr>
          <w:rFonts w:eastAsia="MS Mincho" w:cs="Times New Roman"/>
        </w:rPr>
        <w:t>(</w:t>
      </w:r>
      <w:r w:rsidR="009609E0">
        <w:rPr>
          <w:rFonts w:eastAsia="MS Mincho" w:cs="Times New Roman"/>
        </w:rPr>
        <w:t>Table VII</w:t>
      </w:r>
      <w:r w:rsidRPr="00364EF3">
        <w:rPr>
          <w:rFonts w:eastAsia="MS Mincho" w:cs="Times New Roman"/>
        </w:rPr>
        <w:t>)</w:t>
      </w:r>
      <w:r w:rsidR="00380A2B">
        <w:rPr>
          <w:rFonts w:eastAsia="MS Mincho" w:cs="Times New Roman"/>
        </w:rPr>
        <w:t xml:space="preserve"> </w:t>
      </w:r>
      <w:r w:rsidR="00E97EF9">
        <w:rPr>
          <w:rFonts w:eastAsia="MS Mincho" w:cs="Times New Roman"/>
        </w:rPr>
        <w:t>and</w:t>
      </w:r>
      <w:r w:rsidR="00A761F3">
        <w:rPr>
          <w:rFonts w:eastAsia="MS Mincho" w:cs="Times New Roman"/>
        </w:rPr>
        <w:t xml:space="preserve"> for the group of developed and developing countries</w:t>
      </w:r>
      <w:r w:rsidR="00B214CC">
        <w:rPr>
          <w:rStyle w:val="FootnoteReference"/>
          <w:rFonts w:eastAsia="MS Mincho" w:cs="Times New Roman"/>
        </w:rPr>
        <w:footnoteReference w:id="3"/>
      </w:r>
      <w:r w:rsidR="00EA6E1C">
        <w:rPr>
          <w:rFonts w:eastAsia="MS Mincho" w:cs="Times New Roman"/>
        </w:rPr>
        <w:t xml:space="preserve"> separately (Table VII)</w:t>
      </w:r>
      <w:r w:rsidR="00E97EF9">
        <w:rPr>
          <w:rFonts w:eastAsia="MS Mincho" w:cs="Times New Roman"/>
        </w:rPr>
        <w:t>.</w:t>
      </w:r>
      <w:r w:rsidR="001A5F63">
        <w:rPr>
          <w:rFonts w:eastAsia="MS Mincho" w:cs="Times New Roman"/>
        </w:rPr>
        <w:t xml:space="preserve"> Namely,</w:t>
      </w:r>
      <w:r w:rsidR="00A761F3">
        <w:rPr>
          <w:rFonts w:eastAsia="MS Mincho" w:cs="Times New Roman"/>
        </w:rPr>
        <w:t xml:space="preserve"> we assess </w:t>
      </w:r>
      <w:r w:rsidR="001A5F63">
        <w:rPr>
          <w:rFonts w:eastAsia="MS Mincho" w:cs="Times New Roman"/>
        </w:rPr>
        <w:t xml:space="preserve">the </w:t>
      </w:r>
      <w:r w:rsidR="00A761F3">
        <w:rPr>
          <w:rFonts w:eastAsia="MS Mincho" w:cs="Times New Roman"/>
        </w:rPr>
        <w:t>statistical differences</w:t>
      </w:r>
      <w:r w:rsidR="001A5F63">
        <w:rPr>
          <w:rFonts w:eastAsia="MS Mincho" w:cs="Times New Roman"/>
        </w:rPr>
        <w:t xml:space="preserve"> between 1990 and 2010</w:t>
      </w:r>
      <w:r w:rsidR="00A761F3">
        <w:rPr>
          <w:rFonts w:eastAsia="MS Mincho" w:cs="Times New Roman"/>
        </w:rPr>
        <w:t xml:space="preserve"> </w:t>
      </w:r>
      <w:r w:rsidR="001A5F63">
        <w:rPr>
          <w:rFonts w:eastAsia="MS Mincho" w:cs="Times New Roman"/>
        </w:rPr>
        <w:t>of</w:t>
      </w:r>
      <w:r w:rsidR="00A761F3">
        <w:rPr>
          <w:rFonts w:eastAsia="MS Mincho" w:cs="Times New Roman"/>
        </w:rPr>
        <w:t xml:space="preserve"> the ranking of the diseases</w:t>
      </w:r>
      <w:r w:rsidR="001A5F63">
        <w:rPr>
          <w:rFonts w:eastAsia="MS Mincho" w:cs="Times New Roman"/>
        </w:rPr>
        <w:t xml:space="preserve"> (ra</w:t>
      </w:r>
      <w:r w:rsidR="00F7256F">
        <w:rPr>
          <w:rFonts w:eastAsia="MS Mincho" w:cs="Times New Roman"/>
        </w:rPr>
        <w:t>n</w:t>
      </w:r>
      <w:r w:rsidR="001A5F63">
        <w:rPr>
          <w:rFonts w:eastAsia="MS Mincho" w:cs="Times New Roman"/>
        </w:rPr>
        <w:t xml:space="preserve">ked according to burden of disease and market size), by </w:t>
      </w:r>
      <w:r w:rsidR="00366A35">
        <w:rPr>
          <w:rFonts w:eastAsia="MS Mincho" w:cs="Times New Roman"/>
        </w:rPr>
        <w:t xml:space="preserve">considering the total disease burden and </w:t>
      </w:r>
      <w:r w:rsidR="003B568D">
        <w:rPr>
          <w:rFonts w:eastAsia="MS Mincho" w:cs="Times New Roman"/>
        </w:rPr>
        <w:t xml:space="preserve">total </w:t>
      </w:r>
      <w:r w:rsidR="00366A35">
        <w:rPr>
          <w:rFonts w:eastAsia="MS Mincho" w:cs="Times New Roman"/>
        </w:rPr>
        <w:t xml:space="preserve">ability-to-pay </w:t>
      </w:r>
      <w:r w:rsidR="005A44B0">
        <w:rPr>
          <w:rFonts w:eastAsia="MS Mincho" w:cs="Times New Roman"/>
        </w:rPr>
        <w:t xml:space="preserve">for </w:t>
      </w:r>
      <w:r w:rsidR="001A5F63">
        <w:rPr>
          <w:rFonts w:eastAsia="MS Mincho" w:cs="Times New Roman"/>
        </w:rPr>
        <w:t xml:space="preserve">those </w:t>
      </w:r>
      <w:r w:rsidR="006B2745">
        <w:rPr>
          <w:rFonts w:eastAsia="MS Mincho" w:cs="Times New Roman"/>
        </w:rPr>
        <w:lastRenderedPageBreak/>
        <w:t>groups of countries</w:t>
      </w:r>
      <w:r w:rsidR="005A44B0">
        <w:rPr>
          <w:rFonts w:eastAsia="MS Mincho" w:cs="Times New Roman"/>
        </w:rPr>
        <w:t xml:space="preserve"> separately</w:t>
      </w:r>
      <w:r w:rsidR="00366A35">
        <w:rPr>
          <w:rFonts w:eastAsia="MS Mincho" w:cs="Times New Roman"/>
        </w:rPr>
        <w:t>.</w:t>
      </w:r>
      <w:r w:rsidR="005A44B0">
        <w:rPr>
          <w:rFonts w:eastAsia="MS Mincho" w:cs="Times New Roman"/>
        </w:rPr>
        <w:t xml:space="preserve"> Tests performed for the ranking of innovation in 1990 and 2010 consider the innovation level </w:t>
      </w:r>
      <w:r w:rsidR="00F7256F">
        <w:rPr>
          <w:rFonts w:eastAsia="MS Mincho" w:cs="Times New Roman"/>
        </w:rPr>
        <w:t>for the</w:t>
      </w:r>
      <w:r w:rsidR="00AC656B">
        <w:rPr>
          <w:rFonts w:eastAsia="MS Mincho" w:cs="Times New Roman"/>
        </w:rPr>
        <w:t xml:space="preserve"> specific </w:t>
      </w:r>
      <w:r w:rsidR="005A44B0">
        <w:rPr>
          <w:rFonts w:eastAsia="MS Mincho" w:cs="Times New Roman"/>
        </w:rPr>
        <w:t>group of countries.</w:t>
      </w:r>
    </w:p>
    <w:p w14:paraId="21D85711" w14:textId="77777777" w:rsidR="00590A25" w:rsidRPr="00364EF3" w:rsidRDefault="00590A25" w:rsidP="009C7054">
      <w:pPr>
        <w:spacing w:line="480" w:lineRule="auto"/>
        <w:jc w:val="center"/>
        <w:rPr>
          <w:rFonts w:cs="Times New Roman"/>
        </w:rPr>
      </w:pPr>
      <w:r w:rsidRPr="00364EF3">
        <w:rPr>
          <w:rFonts w:cs="Times New Roman"/>
        </w:rPr>
        <w:t>[</w:t>
      </w:r>
      <w:r>
        <w:rPr>
          <w:rFonts w:cs="Times New Roman"/>
        </w:rPr>
        <w:t>Table VII in</w:t>
      </w:r>
      <w:r w:rsidRPr="00364EF3">
        <w:rPr>
          <w:rFonts w:cs="Times New Roman"/>
        </w:rPr>
        <w:t xml:space="preserve"> here]</w:t>
      </w:r>
    </w:p>
    <w:p w14:paraId="2D1107F0" w14:textId="63DA5E3E" w:rsidR="00066D12" w:rsidRPr="00364EF3" w:rsidRDefault="002E790D" w:rsidP="009C7054">
      <w:pPr>
        <w:pStyle w:val="CommentText"/>
        <w:spacing w:line="480" w:lineRule="auto"/>
        <w:jc w:val="both"/>
        <w:rPr>
          <w:rFonts w:eastAsia="MS Mincho" w:cs="Times New Roman"/>
        </w:rPr>
      </w:pPr>
      <w:r w:rsidRPr="00364EF3">
        <w:rPr>
          <w:rFonts w:eastAsia="MS Mincho" w:cs="Times New Roman"/>
        </w:rPr>
        <w:t xml:space="preserve">Results suggest that there are statistically significant differences between the </w:t>
      </w:r>
      <w:r w:rsidR="00765101" w:rsidRPr="00364EF3">
        <w:rPr>
          <w:rFonts w:eastAsia="MS Mincho" w:cs="Times New Roman"/>
        </w:rPr>
        <w:t>disease</w:t>
      </w:r>
      <w:r w:rsidRPr="00364EF3">
        <w:rPr>
          <w:rFonts w:eastAsia="MS Mincho" w:cs="Times New Roman"/>
        </w:rPr>
        <w:t xml:space="preserve"> rankings </w:t>
      </w:r>
      <w:r w:rsidR="00552359">
        <w:rPr>
          <w:rFonts w:eastAsia="MS Mincho" w:cs="Times New Roman"/>
        </w:rPr>
        <w:t xml:space="preserve">of the two years considered </w:t>
      </w:r>
      <w:r w:rsidRPr="00364EF3">
        <w:rPr>
          <w:rFonts w:eastAsia="MS Mincho" w:cs="Times New Roman"/>
        </w:rPr>
        <w:t xml:space="preserve">for </w:t>
      </w:r>
      <w:r w:rsidR="00552359">
        <w:rPr>
          <w:rFonts w:eastAsia="MS Mincho" w:cs="Times New Roman"/>
        </w:rPr>
        <w:t xml:space="preserve">both </w:t>
      </w:r>
      <w:r w:rsidRPr="00364EF3">
        <w:rPr>
          <w:rFonts w:eastAsia="MS Mincho" w:cs="Times New Roman"/>
        </w:rPr>
        <w:t>disease burden and market size (p&lt;0.01)</w:t>
      </w:r>
      <w:r w:rsidR="00336B70" w:rsidRPr="00364EF3">
        <w:rPr>
          <w:rFonts w:eastAsia="MS Mincho" w:cs="Times New Roman"/>
        </w:rPr>
        <w:t xml:space="preserve"> and that </w:t>
      </w:r>
      <w:r w:rsidRPr="00364EF3">
        <w:rPr>
          <w:rFonts w:eastAsia="MS Mincho" w:cs="Times New Roman"/>
        </w:rPr>
        <w:t>the diseases with more innovation in 1990 are statistically different from those in 2010</w:t>
      </w:r>
      <w:r w:rsidR="00066D12" w:rsidRPr="00364EF3">
        <w:rPr>
          <w:rFonts w:eastAsia="MS Mincho" w:cs="Times New Roman"/>
        </w:rPr>
        <w:t xml:space="preserve"> with a clear shift towards NCDs. In 1990 the top </w:t>
      </w:r>
      <w:r w:rsidR="00FC6698" w:rsidRPr="00364EF3">
        <w:rPr>
          <w:rFonts w:eastAsia="MS Mincho" w:cs="Times New Roman"/>
        </w:rPr>
        <w:t xml:space="preserve">three </w:t>
      </w:r>
      <w:r w:rsidR="00066D12" w:rsidRPr="00364EF3">
        <w:rPr>
          <w:rFonts w:eastAsia="MS Mincho" w:cs="Times New Roman"/>
        </w:rPr>
        <w:t>disease</w:t>
      </w:r>
      <w:r w:rsidR="005E31CA">
        <w:rPr>
          <w:rFonts w:eastAsia="MS Mincho" w:cs="Times New Roman"/>
        </w:rPr>
        <w:t>s</w:t>
      </w:r>
      <w:r w:rsidR="00066D12" w:rsidRPr="00364EF3">
        <w:rPr>
          <w:rFonts w:eastAsia="MS Mincho" w:cs="Times New Roman"/>
        </w:rPr>
        <w:t xml:space="preserve"> in terms of innovation </w:t>
      </w:r>
      <w:r w:rsidR="00362F77" w:rsidRPr="00364EF3">
        <w:rPr>
          <w:rFonts w:eastAsia="MS Mincho" w:cs="Times New Roman"/>
        </w:rPr>
        <w:t>were</w:t>
      </w:r>
      <w:r w:rsidR="00066D12" w:rsidRPr="00364EF3">
        <w:rPr>
          <w:rFonts w:eastAsia="MS Mincho" w:cs="Times New Roman"/>
        </w:rPr>
        <w:t xml:space="preserve"> </w:t>
      </w:r>
      <w:r w:rsidR="00066D12" w:rsidRPr="00710F5A">
        <w:rPr>
          <w:i/>
        </w:rPr>
        <w:t>other infectious diseases</w:t>
      </w:r>
      <w:r w:rsidR="00066D12" w:rsidRPr="00364EF3">
        <w:rPr>
          <w:rFonts w:eastAsia="MS Mincho" w:cs="Times New Roman"/>
        </w:rPr>
        <w:t xml:space="preserve">, </w:t>
      </w:r>
      <w:r w:rsidR="00066D12" w:rsidRPr="00710F5A">
        <w:rPr>
          <w:i/>
        </w:rPr>
        <w:t>other neoplasms</w:t>
      </w:r>
      <w:r w:rsidR="003443C1" w:rsidRPr="00364EF3">
        <w:rPr>
          <w:rFonts w:eastAsia="MS Mincho" w:cs="Times New Roman"/>
        </w:rPr>
        <w:t>,</w:t>
      </w:r>
      <w:r w:rsidR="00066D12" w:rsidRPr="00364EF3">
        <w:rPr>
          <w:rFonts w:eastAsia="MS Mincho" w:cs="Times New Roman"/>
        </w:rPr>
        <w:t xml:space="preserve"> and </w:t>
      </w:r>
      <w:r w:rsidR="00066D12" w:rsidRPr="00710F5A">
        <w:rPr>
          <w:i/>
        </w:rPr>
        <w:t>endocrine nutritional, blood and immune disorders</w:t>
      </w:r>
      <w:r w:rsidR="00066D12" w:rsidRPr="00364EF3">
        <w:rPr>
          <w:rFonts w:eastAsia="MS Mincho" w:cs="Times New Roman"/>
        </w:rPr>
        <w:t>. In 20</w:t>
      </w:r>
      <w:r w:rsidR="00552359">
        <w:rPr>
          <w:rFonts w:eastAsia="MS Mincho" w:cs="Times New Roman"/>
        </w:rPr>
        <w:t>10</w:t>
      </w:r>
      <w:r w:rsidR="00066D12" w:rsidRPr="00364EF3">
        <w:rPr>
          <w:rFonts w:eastAsia="MS Mincho" w:cs="Times New Roman"/>
        </w:rPr>
        <w:t xml:space="preserve">, </w:t>
      </w:r>
      <w:r w:rsidR="00066D12" w:rsidRPr="00710F5A">
        <w:rPr>
          <w:i/>
        </w:rPr>
        <w:t>other neop</w:t>
      </w:r>
      <w:r w:rsidR="00496AC5" w:rsidRPr="00710F5A">
        <w:rPr>
          <w:i/>
        </w:rPr>
        <w:t>lasms</w:t>
      </w:r>
      <w:r w:rsidR="00496AC5" w:rsidRPr="00364EF3">
        <w:rPr>
          <w:rFonts w:eastAsia="MS Mincho" w:cs="Times New Roman"/>
        </w:rPr>
        <w:t xml:space="preserve">, </w:t>
      </w:r>
      <w:r w:rsidR="00496AC5" w:rsidRPr="00710F5A">
        <w:rPr>
          <w:i/>
        </w:rPr>
        <w:t>endocrine nutritional, b</w:t>
      </w:r>
      <w:r w:rsidR="00066D12" w:rsidRPr="00710F5A">
        <w:rPr>
          <w:i/>
        </w:rPr>
        <w:t>lood and immune disorders</w:t>
      </w:r>
      <w:r w:rsidR="003443C1" w:rsidRPr="00364EF3">
        <w:rPr>
          <w:rFonts w:eastAsia="MS Mincho" w:cs="Times New Roman"/>
        </w:rPr>
        <w:t>,</w:t>
      </w:r>
      <w:r w:rsidR="00066D12" w:rsidRPr="00364EF3">
        <w:rPr>
          <w:rFonts w:eastAsia="MS Mincho" w:cs="Times New Roman"/>
        </w:rPr>
        <w:t xml:space="preserve"> and</w:t>
      </w:r>
      <w:r w:rsidR="00066D12" w:rsidRPr="00710F5A">
        <w:rPr>
          <w:i/>
        </w:rPr>
        <w:t xml:space="preserve"> other mental and behavioral disorders</w:t>
      </w:r>
      <w:r w:rsidR="00066D12" w:rsidRPr="00364EF3">
        <w:rPr>
          <w:rFonts w:eastAsia="MS Mincho" w:cs="Times New Roman"/>
        </w:rPr>
        <w:t>.</w:t>
      </w:r>
    </w:p>
    <w:p w14:paraId="016A3BE3" w14:textId="54625AEE" w:rsidR="002E790D" w:rsidRPr="00364EF3" w:rsidRDefault="0091741C" w:rsidP="009C7054">
      <w:pPr>
        <w:spacing w:line="480" w:lineRule="auto"/>
        <w:jc w:val="both"/>
        <w:rPr>
          <w:rFonts w:eastAsia="MS Mincho" w:cs="Times New Roman"/>
        </w:rPr>
      </w:pPr>
      <w:r w:rsidRPr="00364EF3">
        <w:rPr>
          <w:rFonts w:eastAsia="MS Mincho" w:cs="Times New Roman"/>
        </w:rPr>
        <w:t xml:space="preserve">In </w:t>
      </w:r>
      <w:r w:rsidR="00145182" w:rsidRPr="00364EF3">
        <w:rPr>
          <w:rFonts w:eastAsia="MS Mincho" w:cs="Times New Roman"/>
        </w:rPr>
        <w:t xml:space="preserve">the </w:t>
      </w:r>
      <w:r w:rsidR="00E9365C">
        <w:rPr>
          <w:rFonts w:eastAsia="MS Mincho" w:cs="Times New Roman"/>
        </w:rPr>
        <w:t xml:space="preserve">disease </w:t>
      </w:r>
      <w:r w:rsidR="005E31CA" w:rsidRPr="00364EF3">
        <w:rPr>
          <w:rFonts w:eastAsia="MS Mincho" w:cs="Times New Roman"/>
        </w:rPr>
        <w:t>sub</w:t>
      </w:r>
      <w:r w:rsidR="005E31CA">
        <w:rPr>
          <w:rFonts w:eastAsia="MS Mincho" w:cs="Times New Roman"/>
        </w:rPr>
        <w:t>category</w:t>
      </w:r>
      <w:r w:rsidR="005E31CA" w:rsidRPr="00364EF3">
        <w:rPr>
          <w:rFonts w:eastAsia="MS Mincho" w:cs="Times New Roman"/>
        </w:rPr>
        <w:t xml:space="preserve"> </w:t>
      </w:r>
      <w:r w:rsidR="00145182" w:rsidRPr="00364EF3">
        <w:rPr>
          <w:rFonts w:eastAsia="MS Mincho" w:cs="Times New Roman"/>
        </w:rPr>
        <w:t>analysis</w:t>
      </w:r>
      <w:r w:rsidRPr="00364EF3">
        <w:rPr>
          <w:rFonts w:eastAsia="MS Mincho" w:cs="Times New Roman"/>
        </w:rPr>
        <w:t>,</w:t>
      </w:r>
      <w:r w:rsidR="00145182" w:rsidRPr="00364EF3">
        <w:rPr>
          <w:rFonts w:eastAsia="MS Mincho" w:cs="Times New Roman"/>
        </w:rPr>
        <w:t xml:space="preserve"> f</w:t>
      </w:r>
      <w:r w:rsidR="00066D12" w:rsidRPr="00364EF3">
        <w:rPr>
          <w:rFonts w:eastAsia="MS Mincho" w:cs="Times New Roman"/>
        </w:rPr>
        <w:t>or the</w:t>
      </w:r>
      <w:r w:rsidR="002E790D" w:rsidRPr="00364EF3">
        <w:rPr>
          <w:rFonts w:eastAsia="MS Mincho" w:cs="Times New Roman"/>
        </w:rPr>
        <w:t xml:space="preserve"> group of NCDs</w:t>
      </w:r>
      <w:r w:rsidRPr="00364EF3">
        <w:rPr>
          <w:rFonts w:eastAsia="MS Mincho" w:cs="Times New Roman"/>
        </w:rPr>
        <w:t xml:space="preserve"> the ranking of diseases according to innovation activity differs</w:t>
      </w:r>
      <w:r w:rsidR="002E790D" w:rsidRPr="00364EF3">
        <w:rPr>
          <w:rFonts w:eastAsia="MS Mincho" w:cs="Times New Roman"/>
        </w:rPr>
        <w:t xml:space="preserve"> </w:t>
      </w:r>
      <w:r w:rsidRPr="00364EF3">
        <w:rPr>
          <w:rFonts w:eastAsia="MS Mincho" w:cs="Times New Roman"/>
        </w:rPr>
        <w:t xml:space="preserve">between 1990 and 2010 </w:t>
      </w:r>
      <w:r w:rsidR="002E790D" w:rsidRPr="00364EF3">
        <w:rPr>
          <w:rFonts w:eastAsia="MS Mincho" w:cs="Times New Roman"/>
        </w:rPr>
        <w:t>for both deve</w:t>
      </w:r>
      <w:r w:rsidR="00D41F6C" w:rsidRPr="00364EF3">
        <w:rPr>
          <w:rFonts w:eastAsia="MS Mincho" w:cs="Times New Roman"/>
        </w:rPr>
        <w:t>loped and developing countries</w:t>
      </w:r>
      <w:r w:rsidR="00552359">
        <w:rPr>
          <w:rFonts w:eastAsia="MS Mincho" w:cs="Times New Roman"/>
        </w:rPr>
        <w:t xml:space="preserve"> </w:t>
      </w:r>
      <w:r w:rsidR="00552359" w:rsidRPr="00364EF3">
        <w:rPr>
          <w:rFonts w:eastAsia="MS Mincho" w:cs="Times New Roman"/>
        </w:rPr>
        <w:t>(p&lt;0.01)</w:t>
      </w:r>
      <w:r w:rsidR="00D41F6C" w:rsidRPr="00364EF3">
        <w:rPr>
          <w:rFonts w:eastAsia="MS Mincho" w:cs="Times New Roman"/>
        </w:rPr>
        <w:t>. H</w:t>
      </w:r>
      <w:r w:rsidR="002E790D" w:rsidRPr="00364EF3">
        <w:rPr>
          <w:rFonts w:eastAsia="MS Mincho" w:cs="Times New Roman"/>
        </w:rPr>
        <w:t>owever</w:t>
      </w:r>
      <w:r w:rsidR="00D41F6C" w:rsidRPr="00364EF3">
        <w:rPr>
          <w:rFonts w:eastAsia="MS Mincho" w:cs="Times New Roman"/>
        </w:rPr>
        <w:t>,</w:t>
      </w:r>
      <w:r w:rsidR="002E790D" w:rsidRPr="00364EF3">
        <w:rPr>
          <w:rFonts w:eastAsia="MS Mincho" w:cs="Times New Roman"/>
        </w:rPr>
        <w:t xml:space="preserve"> for </w:t>
      </w:r>
      <w:r w:rsidR="00552359">
        <w:rPr>
          <w:rFonts w:eastAsia="MS Mincho" w:cs="Times New Roman"/>
        </w:rPr>
        <w:t xml:space="preserve">the case of </w:t>
      </w:r>
      <w:r w:rsidR="002E790D" w:rsidRPr="00364EF3">
        <w:rPr>
          <w:rFonts w:eastAsia="MS Mincho" w:cs="Times New Roman"/>
        </w:rPr>
        <w:t>CDs while the rankings of 1990 and 2010 are statistically different for develo</w:t>
      </w:r>
      <w:r w:rsidR="003E76F8" w:rsidRPr="00364EF3">
        <w:rPr>
          <w:rFonts w:eastAsia="MS Mincho" w:cs="Times New Roman"/>
        </w:rPr>
        <w:t>ped countries (p&lt;0.005) we can not</w:t>
      </w:r>
      <w:r w:rsidR="002E790D" w:rsidRPr="00364EF3">
        <w:rPr>
          <w:rFonts w:eastAsia="MS Mincho" w:cs="Times New Roman"/>
        </w:rPr>
        <w:t xml:space="preserve"> reject the null hypothesis of rank simila</w:t>
      </w:r>
      <w:r w:rsidR="000438AD" w:rsidRPr="00364EF3">
        <w:rPr>
          <w:rFonts w:eastAsia="MS Mincho" w:cs="Times New Roman"/>
        </w:rPr>
        <w:t>r</w:t>
      </w:r>
      <w:r w:rsidR="002E790D" w:rsidRPr="00364EF3">
        <w:rPr>
          <w:rFonts w:eastAsia="MS Mincho" w:cs="Times New Roman"/>
        </w:rPr>
        <w:t>ity for developing countries.</w:t>
      </w:r>
    </w:p>
    <w:p w14:paraId="2DA040E8" w14:textId="77777777" w:rsidR="00590A25" w:rsidRDefault="00590A25" w:rsidP="009C7054">
      <w:pPr>
        <w:spacing w:line="480" w:lineRule="auto"/>
        <w:jc w:val="both"/>
        <w:rPr>
          <w:rFonts w:eastAsia="MS Mincho" w:cs="Times New Roman"/>
          <w:i/>
        </w:rPr>
      </w:pPr>
    </w:p>
    <w:p w14:paraId="1C092437" w14:textId="77777777" w:rsidR="00E43D57" w:rsidRPr="00364EF3" w:rsidRDefault="00E43D57" w:rsidP="009C7054">
      <w:pPr>
        <w:spacing w:line="480" w:lineRule="auto"/>
        <w:jc w:val="both"/>
        <w:rPr>
          <w:rFonts w:eastAsia="MS Mincho" w:cs="Times New Roman"/>
          <w:i/>
        </w:rPr>
      </w:pPr>
      <w:r w:rsidRPr="00364EF3">
        <w:rPr>
          <w:rFonts w:eastAsia="MS Mincho" w:cs="Times New Roman"/>
          <w:i/>
        </w:rPr>
        <w:t>The four disease subcategories with highest burden</w:t>
      </w:r>
    </w:p>
    <w:p w14:paraId="22EE03E1" w14:textId="3373B578" w:rsidR="009F57D8" w:rsidRPr="00364EF3" w:rsidRDefault="00545D24" w:rsidP="009C7054">
      <w:pPr>
        <w:spacing w:line="480" w:lineRule="auto"/>
        <w:jc w:val="both"/>
        <w:rPr>
          <w:rFonts w:cs="Times New Roman"/>
        </w:rPr>
      </w:pPr>
      <w:r w:rsidRPr="00364EF3">
        <w:rPr>
          <w:rFonts w:eastAsia="MS Mincho" w:cs="Times New Roman"/>
        </w:rPr>
        <w:t>T</w:t>
      </w:r>
      <w:r w:rsidR="00E43D57" w:rsidRPr="00364EF3">
        <w:rPr>
          <w:rFonts w:eastAsia="MS Mincho" w:cs="Times New Roman"/>
        </w:rPr>
        <w:t xml:space="preserve">he degree of inequality </w:t>
      </w:r>
      <w:r w:rsidRPr="00364EF3">
        <w:rPr>
          <w:rFonts w:eastAsia="MS Mincho" w:cs="Times New Roman"/>
        </w:rPr>
        <w:t xml:space="preserve">in favour of high burden diseases </w:t>
      </w:r>
      <w:r w:rsidR="00E43D57" w:rsidRPr="00364EF3">
        <w:rPr>
          <w:rFonts w:eastAsia="MS Mincho" w:cs="Times New Roman"/>
        </w:rPr>
        <w:t xml:space="preserve">is more pronounced within </w:t>
      </w:r>
      <w:r w:rsidR="00B74DB6" w:rsidRPr="00364EF3">
        <w:rPr>
          <w:rFonts w:eastAsia="MS Mincho" w:cs="Times New Roman"/>
        </w:rPr>
        <w:t xml:space="preserve">some </w:t>
      </w:r>
      <w:r w:rsidRPr="00364EF3">
        <w:rPr>
          <w:rFonts w:eastAsia="MS Mincho" w:cs="Times New Roman"/>
        </w:rPr>
        <w:t xml:space="preserve">of </w:t>
      </w:r>
      <w:r w:rsidR="00E43D57" w:rsidRPr="00364EF3">
        <w:rPr>
          <w:rFonts w:eastAsia="MS Mincho" w:cs="Times New Roman"/>
        </w:rPr>
        <w:t xml:space="preserve">the disease subcategories than </w:t>
      </w:r>
      <w:r w:rsidR="00034266">
        <w:rPr>
          <w:rFonts w:eastAsia="MS Mincho" w:cs="Times New Roman"/>
        </w:rPr>
        <w:t xml:space="preserve">for </w:t>
      </w:r>
      <w:r w:rsidR="00E43D57" w:rsidRPr="00364EF3">
        <w:rPr>
          <w:rFonts w:eastAsia="MS Mincho" w:cs="Times New Roman"/>
        </w:rPr>
        <w:t xml:space="preserve">the broad disease groups (as shown by the magnitude </w:t>
      </w:r>
      <w:r w:rsidR="008B4745" w:rsidRPr="00364EF3">
        <w:rPr>
          <w:rFonts w:eastAsia="MS Mincho" w:cs="Times New Roman"/>
        </w:rPr>
        <w:t xml:space="preserve">and significance </w:t>
      </w:r>
      <w:r w:rsidR="00E43D57" w:rsidRPr="00364EF3">
        <w:rPr>
          <w:rFonts w:eastAsia="MS Mincho" w:cs="Times New Roman"/>
        </w:rPr>
        <w:t xml:space="preserve">of the concentration indices presented in </w:t>
      </w:r>
      <w:r w:rsidR="009609E0">
        <w:rPr>
          <w:rFonts w:eastAsia="MS Mincho" w:cs="Times New Roman"/>
        </w:rPr>
        <w:t>Table VI</w:t>
      </w:r>
      <w:r w:rsidR="00E43D57" w:rsidRPr="00364EF3">
        <w:rPr>
          <w:rFonts w:eastAsia="MS Mincho" w:cs="Times New Roman"/>
        </w:rPr>
        <w:t>).</w:t>
      </w:r>
      <w:r w:rsidR="00E43D57" w:rsidRPr="00364EF3" w:rsidDel="00071E06">
        <w:rPr>
          <w:rFonts w:eastAsia="MS Mincho" w:cs="Times New Roman"/>
        </w:rPr>
        <w:t xml:space="preserve"> </w:t>
      </w:r>
      <w:r w:rsidR="00E43D57" w:rsidRPr="00364EF3">
        <w:rPr>
          <w:rFonts w:eastAsia="MS Mincho" w:cs="Times New Roman"/>
        </w:rPr>
        <w:t xml:space="preserve">For the top </w:t>
      </w:r>
      <w:r w:rsidR="00885D71">
        <w:rPr>
          <w:rFonts w:eastAsia="MS Mincho" w:cs="Times New Roman"/>
        </w:rPr>
        <w:t>four</w:t>
      </w:r>
      <w:r w:rsidR="00E43D57" w:rsidRPr="00364EF3">
        <w:rPr>
          <w:rFonts w:eastAsia="MS Mincho" w:cs="Times New Roman"/>
        </w:rPr>
        <w:t xml:space="preserve"> diseases that affect</w:t>
      </w:r>
      <w:r w:rsidR="00E43D57" w:rsidRPr="00364EF3">
        <w:rPr>
          <w:rFonts w:cs="Times New Roman"/>
        </w:rPr>
        <w:t xml:space="preserve"> developed countries, there is a statistically significant skewing of innovation towards diseases with </w:t>
      </w:r>
      <w:r w:rsidRPr="00364EF3">
        <w:rPr>
          <w:rFonts w:cs="Times New Roman"/>
        </w:rPr>
        <w:t xml:space="preserve">the </w:t>
      </w:r>
      <w:r w:rsidR="00E43D57" w:rsidRPr="00364EF3">
        <w:rPr>
          <w:rFonts w:cs="Times New Roman"/>
        </w:rPr>
        <w:t>highest disease burde</w:t>
      </w:r>
      <w:r w:rsidR="00E0502F" w:rsidRPr="00364EF3">
        <w:rPr>
          <w:rFonts w:cs="Times New Roman"/>
        </w:rPr>
        <w:t xml:space="preserve">n </w:t>
      </w:r>
      <w:r w:rsidR="00E43D57" w:rsidRPr="00364EF3">
        <w:rPr>
          <w:rFonts w:cs="Times New Roman"/>
        </w:rPr>
        <w:t xml:space="preserve">in </w:t>
      </w:r>
      <w:r w:rsidR="008B4745" w:rsidRPr="00364EF3">
        <w:rPr>
          <w:rFonts w:cs="Times New Roman"/>
        </w:rPr>
        <w:t xml:space="preserve">three </w:t>
      </w:r>
      <w:r w:rsidR="00E43D57" w:rsidRPr="00364EF3">
        <w:rPr>
          <w:rFonts w:cs="Times New Roman"/>
        </w:rPr>
        <w:t xml:space="preserve">of the four disease subcategories, i.e. </w:t>
      </w:r>
      <w:r w:rsidR="003C70D1">
        <w:rPr>
          <w:rFonts w:cs="Times New Roman"/>
        </w:rPr>
        <w:t>“</w:t>
      </w:r>
      <w:r w:rsidR="00E43D57" w:rsidRPr="00364EF3">
        <w:rPr>
          <w:rFonts w:cs="Times New Roman"/>
        </w:rPr>
        <w:t>cardiovascular and circulatory diseases</w:t>
      </w:r>
      <w:r w:rsidR="003C70D1">
        <w:rPr>
          <w:rFonts w:cs="Times New Roman"/>
        </w:rPr>
        <w:t>”</w:t>
      </w:r>
      <w:r w:rsidR="008B4745" w:rsidRPr="00364EF3">
        <w:rPr>
          <w:rFonts w:cs="Times New Roman"/>
        </w:rPr>
        <w:t>,</w:t>
      </w:r>
      <w:r w:rsidR="00E43D57" w:rsidRPr="00364EF3">
        <w:rPr>
          <w:rFonts w:cs="Times New Roman"/>
        </w:rPr>
        <w:t xml:space="preserve"> </w:t>
      </w:r>
      <w:r w:rsidR="003C70D1">
        <w:rPr>
          <w:rFonts w:cs="Times New Roman"/>
        </w:rPr>
        <w:t>“</w:t>
      </w:r>
      <w:r w:rsidR="00E43D57" w:rsidRPr="00364EF3">
        <w:rPr>
          <w:rFonts w:cs="Times New Roman"/>
        </w:rPr>
        <w:t>neoplasms</w:t>
      </w:r>
      <w:r w:rsidR="003C70D1">
        <w:rPr>
          <w:rFonts w:cs="Times New Roman"/>
        </w:rPr>
        <w:t>”</w:t>
      </w:r>
      <w:r w:rsidR="003443C1" w:rsidRPr="00364EF3">
        <w:rPr>
          <w:rFonts w:cs="Times New Roman"/>
        </w:rPr>
        <w:t>,</w:t>
      </w:r>
      <w:r w:rsidR="008B4745" w:rsidRPr="00364EF3">
        <w:rPr>
          <w:rFonts w:cs="Times New Roman"/>
        </w:rPr>
        <w:t xml:space="preserve"> and </w:t>
      </w:r>
      <w:r w:rsidR="003C70D1">
        <w:rPr>
          <w:rFonts w:cs="Times New Roman"/>
        </w:rPr>
        <w:t>“</w:t>
      </w:r>
      <w:r w:rsidR="008B4745" w:rsidRPr="00364EF3">
        <w:rPr>
          <w:rFonts w:cs="Times New Roman"/>
        </w:rPr>
        <w:t>musculoskeletal disorders</w:t>
      </w:r>
      <w:r w:rsidR="003C70D1">
        <w:rPr>
          <w:rFonts w:cs="Times New Roman"/>
        </w:rPr>
        <w:t>”</w:t>
      </w:r>
      <w:r w:rsidR="00E43D57" w:rsidRPr="00364EF3">
        <w:rPr>
          <w:rFonts w:cs="Times New Roman"/>
        </w:rPr>
        <w:t xml:space="preserve"> (</w:t>
      </w:r>
      <w:r w:rsidR="00414E96">
        <w:rPr>
          <w:rFonts w:cs="Times New Roman"/>
        </w:rPr>
        <w:t>Figure 4</w:t>
      </w:r>
      <w:r w:rsidR="00E43D57" w:rsidRPr="00364EF3">
        <w:rPr>
          <w:rFonts w:cs="Times New Roman"/>
        </w:rPr>
        <w:t xml:space="preserve">a, </w:t>
      </w:r>
      <w:r w:rsidR="00414E96">
        <w:rPr>
          <w:rFonts w:cs="Times New Roman"/>
        </w:rPr>
        <w:t>4</w:t>
      </w:r>
      <w:r w:rsidR="00E43D57" w:rsidRPr="00364EF3">
        <w:rPr>
          <w:rFonts w:cs="Times New Roman"/>
        </w:rPr>
        <w:t>b,</w:t>
      </w:r>
      <w:r w:rsidR="007D0068" w:rsidRPr="00364EF3">
        <w:rPr>
          <w:rFonts w:cs="Times New Roman"/>
        </w:rPr>
        <w:t xml:space="preserve"> </w:t>
      </w:r>
      <w:r w:rsidR="00414E96">
        <w:rPr>
          <w:rFonts w:cs="Times New Roman"/>
        </w:rPr>
        <w:t>4</w:t>
      </w:r>
      <w:r w:rsidR="007D0068" w:rsidRPr="00364EF3">
        <w:rPr>
          <w:rFonts w:cs="Times New Roman"/>
        </w:rPr>
        <w:t>c</w:t>
      </w:r>
      <w:r w:rsidR="00737F23" w:rsidRPr="00364EF3">
        <w:rPr>
          <w:rFonts w:cs="Times New Roman"/>
        </w:rPr>
        <w:t xml:space="preserve">; </w:t>
      </w:r>
      <w:r w:rsidR="00565B1A" w:rsidRPr="00364EF3">
        <w:rPr>
          <w:rFonts w:cs="Times New Roman"/>
        </w:rPr>
        <w:t>respectively</w:t>
      </w:r>
      <w:r w:rsidR="00E43D57" w:rsidRPr="00364EF3">
        <w:rPr>
          <w:rFonts w:cs="Times New Roman"/>
        </w:rPr>
        <w:t>)</w:t>
      </w:r>
      <w:r w:rsidR="004F6DC5" w:rsidRPr="00364EF3">
        <w:rPr>
          <w:rFonts w:cs="Times New Roman"/>
        </w:rPr>
        <w:t>.</w:t>
      </w:r>
      <w:r w:rsidR="00CF1AAB">
        <w:rPr>
          <w:rFonts w:cs="Times New Roman"/>
        </w:rPr>
        <w:t xml:space="preserve"> </w:t>
      </w:r>
      <w:r w:rsidR="009F57D8" w:rsidRPr="00364EF3">
        <w:rPr>
          <w:rFonts w:cs="Times New Roman"/>
        </w:rPr>
        <w:t>These results are confirmed by the positive and statistically significant (p&lt;0.01) concentration indices (</w:t>
      </w:r>
      <w:r w:rsidR="009F57D8">
        <w:rPr>
          <w:rFonts w:eastAsia="MS Mincho" w:cs="Times New Roman"/>
        </w:rPr>
        <w:t>Table VI</w:t>
      </w:r>
      <w:r w:rsidR="009F57D8" w:rsidRPr="00364EF3">
        <w:rPr>
          <w:rFonts w:cs="Times New Roman"/>
        </w:rPr>
        <w:t xml:space="preserve">). </w:t>
      </w:r>
    </w:p>
    <w:p w14:paraId="20559B2B" w14:textId="652441DD" w:rsidR="00983E3E" w:rsidRDefault="00CF1AAB" w:rsidP="009C7054">
      <w:pPr>
        <w:spacing w:line="480" w:lineRule="auto"/>
        <w:jc w:val="both"/>
        <w:rPr>
          <w:rFonts w:cs="Times New Roman"/>
        </w:rPr>
      </w:pPr>
      <w:r>
        <w:rPr>
          <w:rFonts w:cs="Times New Roman"/>
        </w:rPr>
        <w:lastRenderedPageBreak/>
        <w:t>For instance, in 1990 in the sub</w:t>
      </w:r>
      <w:r w:rsidR="00EC3332">
        <w:rPr>
          <w:rFonts w:cs="Times New Roman"/>
        </w:rPr>
        <w:t>group</w:t>
      </w:r>
      <w:r>
        <w:rPr>
          <w:rFonts w:cs="Times New Roman"/>
        </w:rPr>
        <w:t xml:space="preserve"> of </w:t>
      </w:r>
      <w:r w:rsidR="003C70D1">
        <w:rPr>
          <w:rFonts w:cs="Times New Roman"/>
        </w:rPr>
        <w:t>“</w:t>
      </w:r>
      <w:r>
        <w:rPr>
          <w:rFonts w:cs="Times New Roman"/>
        </w:rPr>
        <w:t>cardiovascular and circulatory diseases</w:t>
      </w:r>
      <w:r w:rsidR="003C70D1">
        <w:rPr>
          <w:rFonts w:cs="Times New Roman"/>
        </w:rPr>
        <w:t>”</w:t>
      </w:r>
      <w:r>
        <w:rPr>
          <w:rFonts w:cs="Times New Roman"/>
        </w:rPr>
        <w:t xml:space="preserve">, </w:t>
      </w:r>
      <w:r w:rsidR="002D68E7">
        <w:rPr>
          <w:rFonts w:cs="Times New Roman"/>
        </w:rPr>
        <w:t xml:space="preserve">there have been 29 new therapies launched in the market for </w:t>
      </w:r>
      <w:r w:rsidRPr="00710F5A">
        <w:rPr>
          <w:i/>
        </w:rPr>
        <w:t>cerebrovascular disease</w:t>
      </w:r>
      <w:r w:rsidR="00372F19" w:rsidRPr="00710F5A">
        <w:rPr>
          <w:i/>
        </w:rPr>
        <w:t>s</w:t>
      </w:r>
      <w:r>
        <w:rPr>
          <w:rFonts w:cs="Times New Roman"/>
        </w:rPr>
        <w:t xml:space="preserve"> (that accounts for </w:t>
      </w:r>
      <w:r w:rsidR="003D79AC">
        <w:rPr>
          <w:rFonts w:cs="Times New Roman"/>
        </w:rPr>
        <w:t>22</w:t>
      </w:r>
      <w:r w:rsidR="00F3745E">
        <w:rPr>
          <w:rFonts w:cs="Times New Roman"/>
        </w:rPr>
        <w:t>.39</w:t>
      </w:r>
      <w:r w:rsidR="003D79AC">
        <w:rPr>
          <w:rFonts w:cs="Times New Roman"/>
        </w:rPr>
        <w:t>% of total</w:t>
      </w:r>
      <w:r>
        <w:rPr>
          <w:rFonts w:cs="Times New Roman"/>
        </w:rPr>
        <w:t xml:space="preserve"> DALYs</w:t>
      </w:r>
      <w:r w:rsidR="003D79AC">
        <w:rPr>
          <w:rFonts w:cs="Times New Roman"/>
        </w:rPr>
        <w:t xml:space="preserve"> in </w:t>
      </w:r>
      <w:r w:rsidR="003C70D1">
        <w:rPr>
          <w:rFonts w:cs="Times New Roman"/>
        </w:rPr>
        <w:t>“</w:t>
      </w:r>
      <w:r w:rsidR="003D79AC">
        <w:rPr>
          <w:rFonts w:cs="Times New Roman"/>
        </w:rPr>
        <w:t>cardiovascular and circulatory diseases</w:t>
      </w:r>
      <w:r w:rsidR="003C70D1">
        <w:rPr>
          <w:rFonts w:cs="Times New Roman"/>
        </w:rPr>
        <w:t>”</w:t>
      </w:r>
      <w:r w:rsidR="003D79AC">
        <w:rPr>
          <w:rFonts w:cs="Times New Roman"/>
        </w:rPr>
        <w:t xml:space="preserve"> in 1990</w:t>
      </w:r>
      <w:r>
        <w:rPr>
          <w:rFonts w:cs="Times New Roman"/>
        </w:rPr>
        <w:t xml:space="preserve">) </w:t>
      </w:r>
      <w:r w:rsidR="002D68E7">
        <w:rPr>
          <w:rFonts w:cs="Times New Roman"/>
        </w:rPr>
        <w:t xml:space="preserve">but only four new drugs </w:t>
      </w:r>
      <w:r w:rsidR="00E012C0">
        <w:rPr>
          <w:rFonts w:cs="Times New Roman"/>
        </w:rPr>
        <w:t xml:space="preserve">for </w:t>
      </w:r>
      <w:r w:rsidRPr="00710F5A">
        <w:rPr>
          <w:i/>
        </w:rPr>
        <w:t>cardiomyopathy and myocarditis</w:t>
      </w:r>
      <w:r>
        <w:rPr>
          <w:rFonts w:cs="Times New Roman"/>
        </w:rPr>
        <w:t xml:space="preserve"> (</w:t>
      </w:r>
      <w:r w:rsidR="00E012C0">
        <w:rPr>
          <w:rFonts w:cs="Times New Roman"/>
        </w:rPr>
        <w:t xml:space="preserve">with </w:t>
      </w:r>
      <w:r w:rsidR="00F3745E">
        <w:rPr>
          <w:rFonts w:cs="Times New Roman"/>
        </w:rPr>
        <w:t>3.8</w:t>
      </w:r>
      <w:r w:rsidR="003D79AC">
        <w:rPr>
          <w:rFonts w:cs="Times New Roman"/>
        </w:rPr>
        <w:t>% of</w:t>
      </w:r>
      <w:r w:rsidR="00E012C0">
        <w:rPr>
          <w:rFonts w:cs="Times New Roman"/>
        </w:rPr>
        <w:t xml:space="preserve"> </w:t>
      </w:r>
      <w:r>
        <w:rPr>
          <w:rFonts w:cs="Times New Roman"/>
        </w:rPr>
        <w:t>DALYs).</w:t>
      </w:r>
      <w:r w:rsidR="005657C7">
        <w:rPr>
          <w:rFonts w:cs="Times New Roman"/>
        </w:rPr>
        <w:t xml:space="preserve"> In 2010, </w:t>
      </w:r>
      <w:r w:rsidR="00A61365" w:rsidRPr="00710F5A">
        <w:rPr>
          <w:i/>
        </w:rPr>
        <w:t>i</w:t>
      </w:r>
      <w:r w:rsidR="005657C7" w:rsidRPr="00710F5A">
        <w:rPr>
          <w:i/>
        </w:rPr>
        <w:t>schemic heart disease</w:t>
      </w:r>
      <w:r w:rsidR="005657C7">
        <w:rPr>
          <w:rFonts w:cs="Times New Roman"/>
        </w:rPr>
        <w:t xml:space="preserve"> (that accounts for </w:t>
      </w:r>
      <w:r w:rsidR="00F3745E">
        <w:rPr>
          <w:rFonts w:cs="Times New Roman"/>
        </w:rPr>
        <w:t>44</w:t>
      </w:r>
      <w:r w:rsidR="003D79AC">
        <w:rPr>
          <w:rFonts w:cs="Times New Roman"/>
        </w:rPr>
        <w:t xml:space="preserve">% of total </w:t>
      </w:r>
      <w:r w:rsidR="005657C7">
        <w:rPr>
          <w:rFonts w:cs="Times New Roman"/>
        </w:rPr>
        <w:t xml:space="preserve"> DALYs</w:t>
      </w:r>
      <w:r w:rsidR="003D79AC">
        <w:rPr>
          <w:rFonts w:cs="Times New Roman"/>
        </w:rPr>
        <w:t xml:space="preserve"> in </w:t>
      </w:r>
      <w:r w:rsidR="003C70D1">
        <w:rPr>
          <w:rFonts w:cs="Times New Roman"/>
        </w:rPr>
        <w:t>“</w:t>
      </w:r>
      <w:r w:rsidR="003D79AC">
        <w:rPr>
          <w:rFonts w:cs="Times New Roman"/>
        </w:rPr>
        <w:t>cardiovascular and circulatory diseases</w:t>
      </w:r>
      <w:r w:rsidR="003C70D1">
        <w:rPr>
          <w:rFonts w:cs="Times New Roman"/>
        </w:rPr>
        <w:t>”</w:t>
      </w:r>
      <w:r w:rsidR="003D79AC">
        <w:rPr>
          <w:rFonts w:cs="Times New Roman"/>
        </w:rPr>
        <w:t xml:space="preserve"> in 2010</w:t>
      </w:r>
      <w:r w:rsidR="005657C7">
        <w:rPr>
          <w:rFonts w:cs="Times New Roman"/>
        </w:rPr>
        <w:t xml:space="preserve">) </w:t>
      </w:r>
      <w:r w:rsidR="00A61365">
        <w:rPr>
          <w:rFonts w:cs="Times New Roman"/>
        </w:rPr>
        <w:t>exhibits</w:t>
      </w:r>
      <w:r w:rsidR="005657C7">
        <w:rPr>
          <w:rFonts w:cs="Times New Roman"/>
        </w:rPr>
        <w:t xml:space="preserve"> 187 new drugs whilst </w:t>
      </w:r>
      <w:r w:rsidR="005657C7" w:rsidRPr="00710F5A">
        <w:rPr>
          <w:i/>
        </w:rPr>
        <w:t>hypertensive hear</w:t>
      </w:r>
      <w:r w:rsidR="00E86615" w:rsidRPr="00710F5A">
        <w:rPr>
          <w:i/>
        </w:rPr>
        <w:t>t</w:t>
      </w:r>
      <w:r w:rsidR="005657C7" w:rsidRPr="00710F5A">
        <w:rPr>
          <w:i/>
        </w:rPr>
        <w:t xml:space="preserve"> disease</w:t>
      </w:r>
      <w:r w:rsidR="00E86615" w:rsidRPr="00710F5A">
        <w:rPr>
          <w:i/>
        </w:rPr>
        <w:t>s</w:t>
      </w:r>
      <w:r w:rsidR="005657C7">
        <w:rPr>
          <w:rFonts w:cs="Times New Roman"/>
        </w:rPr>
        <w:t xml:space="preserve"> (that accounts for </w:t>
      </w:r>
      <w:r w:rsidR="00F3745E">
        <w:rPr>
          <w:rFonts w:cs="Times New Roman"/>
        </w:rPr>
        <w:t>5.19</w:t>
      </w:r>
      <w:r w:rsidR="003D79AC">
        <w:rPr>
          <w:rFonts w:cs="Times New Roman"/>
        </w:rPr>
        <w:t>% of</w:t>
      </w:r>
      <w:r w:rsidR="005657C7">
        <w:rPr>
          <w:rFonts w:cs="Times New Roman"/>
        </w:rPr>
        <w:t xml:space="preserve"> DALYs) shows </w:t>
      </w:r>
      <w:r w:rsidR="00E86615">
        <w:rPr>
          <w:rFonts w:cs="Times New Roman"/>
        </w:rPr>
        <w:t>four</w:t>
      </w:r>
      <w:r w:rsidR="005657C7">
        <w:rPr>
          <w:rFonts w:cs="Times New Roman"/>
        </w:rPr>
        <w:t xml:space="preserve"> new drugs.</w:t>
      </w:r>
      <w:r w:rsidR="00AF45CD">
        <w:rPr>
          <w:rFonts w:cs="Times New Roman"/>
        </w:rPr>
        <w:t xml:space="preserve"> </w:t>
      </w:r>
    </w:p>
    <w:p w14:paraId="1857D188" w14:textId="4BF5A8E9" w:rsidR="00CF1AAB" w:rsidRDefault="00983E3E" w:rsidP="009C7054">
      <w:pPr>
        <w:spacing w:line="480" w:lineRule="auto"/>
        <w:jc w:val="both"/>
        <w:rPr>
          <w:rFonts w:cs="Times New Roman"/>
        </w:rPr>
      </w:pPr>
      <w:r>
        <w:rPr>
          <w:rFonts w:cs="Times New Roman"/>
        </w:rPr>
        <w:t xml:space="preserve">Market launches in the </w:t>
      </w:r>
      <w:r w:rsidR="003C70D1">
        <w:rPr>
          <w:rFonts w:cs="Times New Roman"/>
        </w:rPr>
        <w:t>sub</w:t>
      </w:r>
      <w:r>
        <w:rPr>
          <w:rFonts w:cs="Times New Roman"/>
        </w:rPr>
        <w:t xml:space="preserve">category </w:t>
      </w:r>
      <w:r w:rsidR="003C70D1">
        <w:rPr>
          <w:rFonts w:cs="Times New Roman"/>
        </w:rPr>
        <w:t>“</w:t>
      </w:r>
      <w:r w:rsidR="00E87B1C">
        <w:rPr>
          <w:rFonts w:cs="Times New Roman"/>
        </w:rPr>
        <w:t>n</w:t>
      </w:r>
      <w:r w:rsidR="00AF45CD">
        <w:rPr>
          <w:rFonts w:cs="Times New Roman"/>
        </w:rPr>
        <w:t>eoplasms</w:t>
      </w:r>
      <w:r w:rsidR="003C70D1">
        <w:rPr>
          <w:rFonts w:cs="Times New Roman"/>
        </w:rPr>
        <w:t>”</w:t>
      </w:r>
      <w:r w:rsidR="00AF45CD">
        <w:rPr>
          <w:rFonts w:cs="Times New Roman"/>
        </w:rPr>
        <w:t xml:space="preserve"> show similar </w:t>
      </w:r>
      <w:r>
        <w:rPr>
          <w:rFonts w:cs="Times New Roman"/>
        </w:rPr>
        <w:t>patterns</w:t>
      </w:r>
      <w:r w:rsidR="00AF45CD">
        <w:rPr>
          <w:rFonts w:cs="Times New Roman"/>
        </w:rPr>
        <w:t xml:space="preserve">: in 1990, </w:t>
      </w:r>
      <w:r>
        <w:rPr>
          <w:rFonts w:cs="Times New Roman"/>
        </w:rPr>
        <w:t xml:space="preserve">for </w:t>
      </w:r>
      <w:r w:rsidR="00AF45CD" w:rsidRPr="00710F5A">
        <w:rPr>
          <w:i/>
        </w:rPr>
        <w:t>cervic</w:t>
      </w:r>
      <w:r w:rsidR="008B53F0" w:rsidRPr="00710F5A">
        <w:rPr>
          <w:i/>
        </w:rPr>
        <w:t>al</w:t>
      </w:r>
      <w:r w:rsidR="00367CDE" w:rsidRPr="00710F5A">
        <w:rPr>
          <w:i/>
        </w:rPr>
        <w:t xml:space="preserve"> </w:t>
      </w:r>
      <w:r w:rsidR="00AF45CD" w:rsidRPr="00710F5A">
        <w:rPr>
          <w:i/>
        </w:rPr>
        <w:t>cancer</w:t>
      </w:r>
      <w:r w:rsidR="00AF45CD">
        <w:rPr>
          <w:rFonts w:cs="Times New Roman"/>
        </w:rPr>
        <w:t xml:space="preserve"> </w:t>
      </w:r>
      <w:r>
        <w:rPr>
          <w:rFonts w:cs="Times New Roman"/>
        </w:rPr>
        <w:t>there were</w:t>
      </w:r>
      <w:r w:rsidR="00AF45CD">
        <w:rPr>
          <w:rFonts w:cs="Times New Roman"/>
        </w:rPr>
        <w:t xml:space="preserve"> 16 new drugs as opposed to one new drug targeting</w:t>
      </w:r>
      <w:r w:rsidR="00AF45CD" w:rsidRPr="00710F5A">
        <w:rPr>
          <w:i/>
        </w:rPr>
        <w:t xml:space="preserve"> liver cancer</w:t>
      </w:r>
      <w:r w:rsidR="00AF45CD">
        <w:rPr>
          <w:rFonts w:cs="Times New Roman"/>
        </w:rPr>
        <w:t xml:space="preserve"> (</w:t>
      </w:r>
      <w:r w:rsidR="00A61365">
        <w:rPr>
          <w:rFonts w:cs="Times New Roman"/>
        </w:rPr>
        <w:t>with</w:t>
      </w:r>
      <w:r w:rsidR="00AF45CD">
        <w:rPr>
          <w:rFonts w:cs="Times New Roman"/>
        </w:rPr>
        <w:t xml:space="preserve"> the burden</w:t>
      </w:r>
      <w:r w:rsidR="00A61365">
        <w:rPr>
          <w:rFonts w:cs="Times New Roman"/>
        </w:rPr>
        <w:t xml:space="preserve"> of disease being,</w:t>
      </w:r>
      <w:r w:rsidR="00AF45CD">
        <w:rPr>
          <w:rFonts w:cs="Times New Roman"/>
        </w:rPr>
        <w:t xml:space="preserve"> respectively</w:t>
      </w:r>
      <w:r w:rsidR="00A61365">
        <w:rPr>
          <w:rFonts w:cs="Times New Roman"/>
        </w:rPr>
        <w:t>,</w:t>
      </w:r>
      <w:r w:rsidR="00AF45CD">
        <w:rPr>
          <w:rFonts w:cs="Times New Roman"/>
        </w:rPr>
        <w:t xml:space="preserve"> </w:t>
      </w:r>
      <w:r w:rsidR="00DA6613">
        <w:rPr>
          <w:rFonts w:cs="Times New Roman"/>
        </w:rPr>
        <w:t>3.76</w:t>
      </w:r>
      <w:r w:rsidR="00FC16C3">
        <w:rPr>
          <w:rFonts w:cs="Times New Roman"/>
        </w:rPr>
        <w:t>%</w:t>
      </w:r>
      <w:r w:rsidR="00AF45CD">
        <w:rPr>
          <w:rFonts w:cs="Times New Roman"/>
        </w:rPr>
        <w:t xml:space="preserve"> and </w:t>
      </w:r>
      <w:r w:rsidR="00DA6613">
        <w:rPr>
          <w:rFonts w:cs="Times New Roman"/>
        </w:rPr>
        <w:t>1.19</w:t>
      </w:r>
      <w:r w:rsidR="00FC16C3">
        <w:rPr>
          <w:rFonts w:cs="Times New Roman"/>
        </w:rPr>
        <w:t>% of total</w:t>
      </w:r>
      <w:r w:rsidR="00AF45CD">
        <w:rPr>
          <w:rFonts w:cs="Times New Roman"/>
        </w:rPr>
        <w:t xml:space="preserve"> DALYs</w:t>
      </w:r>
      <w:r w:rsidR="00E87B1C">
        <w:rPr>
          <w:rFonts w:cs="Times New Roman"/>
        </w:rPr>
        <w:t xml:space="preserve"> for </w:t>
      </w:r>
      <w:r w:rsidR="003C70D1">
        <w:rPr>
          <w:rFonts w:cs="Times New Roman"/>
        </w:rPr>
        <w:t>“</w:t>
      </w:r>
      <w:r w:rsidR="00E87B1C">
        <w:rPr>
          <w:rFonts w:cs="Times New Roman"/>
        </w:rPr>
        <w:t>n</w:t>
      </w:r>
      <w:r w:rsidR="00FC16C3">
        <w:rPr>
          <w:rFonts w:cs="Times New Roman"/>
        </w:rPr>
        <w:t>eoplasms</w:t>
      </w:r>
      <w:r w:rsidR="003C70D1">
        <w:rPr>
          <w:rFonts w:cs="Times New Roman"/>
        </w:rPr>
        <w:t>”</w:t>
      </w:r>
      <w:r w:rsidR="00FC16C3">
        <w:rPr>
          <w:rFonts w:cs="Times New Roman"/>
        </w:rPr>
        <w:t xml:space="preserve"> in 1990</w:t>
      </w:r>
      <w:r w:rsidR="00AF45CD">
        <w:rPr>
          <w:rFonts w:cs="Times New Roman"/>
        </w:rPr>
        <w:t xml:space="preserve">); in 2010, for instance </w:t>
      </w:r>
      <w:r w:rsidR="008B53F0">
        <w:rPr>
          <w:rFonts w:cs="Times New Roman"/>
        </w:rPr>
        <w:t xml:space="preserve">299 new therapies targeted </w:t>
      </w:r>
      <w:r w:rsidR="008B53F0" w:rsidRPr="00710F5A">
        <w:rPr>
          <w:i/>
        </w:rPr>
        <w:t>k</w:t>
      </w:r>
      <w:r w:rsidR="00AF45CD" w:rsidRPr="00710F5A">
        <w:rPr>
          <w:i/>
        </w:rPr>
        <w:t>idney and other urinary organ cancers</w:t>
      </w:r>
      <w:r w:rsidR="00AF45CD">
        <w:rPr>
          <w:rFonts w:cs="Times New Roman"/>
        </w:rPr>
        <w:t xml:space="preserve"> (accounting for </w:t>
      </w:r>
      <w:r w:rsidR="00DA6613">
        <w:rPr>
          <w:rFonts w:cs="Times New Roman"/>
        </w:rPr>
        <w:t>1.95</w:t>
      </w:r>
      <w:r w:rsidR="00FC16C3">
        <w:rPr>
          <w:rFonts w:cs="Times New Roman"/>
        </w:rPr>
        <w:t>% of</w:t>
      </w:r>
      <w:r>
        <w:rPr>
          <w:rFonts w:cs="Times New Roman"/>
        </w:rPr>
        <w:t xml:space="preserve"> DALYs</w:t>
      </w:r>
      <w:r w:rsidR="00E87B1C">
        <w:rPr>
          <w:rFonts w:cs="Times New Roman"/>
        </w:rPr>
        <w:t xml:space="preserve"> for </w:t>
      </w:r>
      <w:r w:rsidR="003C70D1">
        <w:rPr>
          <w:rFonts w:cs="Times New Roman"/>
        </w:rPr>
        <w:t>“</w:t>
      </w:r>
      <w:r w:rsidR="00E87B1C">
        <w:rPr>
          <w:rFonts w:cs="Times New Roman"/>
        </w:rPr>
        <w:t>n</w:t>
      </w:r>
      <w:r w:rsidR="00FC16C3">
        <w:rPr>
          <w:rFonts w:cs="Times New Roman"/>
        </w:rPr>
        <w:t>eoplasms</w:t>
      </w:r>
      <w:r w:rsidR="003C70D1">
        <w:rPr>
          <w:rFonts w:cs="Times New Roman"/>
        </w:rPr>
        <w:t>”</w:t>
      </w:r>
      <w:r w:rsidR="00FC16C3">
        <w:rPr>
          <w:rFonts w:cs="Times New Roman"/>
        </w:rPr>
        <w:t xml:space="preserve"> in 2010)</w:t>
      </w:r>
      <w:r w:rsidR="00AF45CD">
        <w:rPr>
          <w:rFonts w:cs="Times New Roman"/>
        </w:rPr>
        <w:t xml:space="preserve"> compared to</w:t>
      </w:r>
      <w:r w:rsidR="008B53F0">
        <w:rPr>
          <w:rFonts w:cs="Times New Roman"/>
        </w:rPr>
        <w:t xml:space="preserve"> only</w:t>
      </w:r>
      <w:r w:rsidR="00AF45CD">
        <w:rPr>
          <w:rFonts w:cs="Times New Roman"/>
        </w:rPr>
        <w:t xml:space="preserve"> </w:t>
      </w:r>
      <w:r w:rsidR="00E86615">
        <w:rPr>
          <w:rFonts w:cs="Times New Roman"/>
        </w:rPr>
        <w:t>two</w:t>
      </w:r>
      <w:r w:rsidR="00AF45CD">
        <w:rPr>
          <w:rFonts w:cs="Times New Roman"/>
        </w:rPr>
        <w:t xml:space="preserve"> new drugs treating </w:t>
      </w:r>
      <w:r w:rsidR="007B60B4" w:rsidRPr="00710F5A">
        <w:rPr>
          <w:i/>
        </w:rPr>
        <w:t>H</w:t>
      </w:r>
      <w:r w:rsidR="00AF45CD" w:rsidRPr="00710F5A">
        <w:rPr>
          <w:i/>
        </w:rPr>
        <w:t>odgkin’s disease</w:t>
      </w:r>
      <w:r w:rsidR="00AF45CD">
        <w:rPr>
          <w:rFonts w:cs="Times New Roman"/>
        </w:rPr>
        <w:t xml:space="preserve"> (accounting for </w:t>
      </w:r>
      <w:r w:rsidR="00DA6613">
        <w:rPr>
          <w:rFonts w:cs="Times New Roman"/>
        </w:rPr>
        <w:t>0.34</w:t>
      </w:r>
      <w:r w:rsidR="00FC16C3">
        <w:rPr>
          <w:rFonts w:cs="Times New Roman"/>
        </w:rPr>
        <w:t>% of total</w:t>
      </w:r>
      <w:r w:rsidR="00AF45CD">
        <w:rPr>
          <w:rFonts w:cs="Times New Roman"/>
        </w:rPr>
        <w:t xml:space="preserve"> DALYs</w:t>
      </w:r>
      <w:r w:rsidR="00E87B1C">
        <w:rPr>
          <w:rFonts w:cs="Times New Roman"/>
        </w:rPr>
        <w:t xml:space="preserve"> in </w:t>
      </w:r>
      <w:r w:rsidR="003C70D1">
        <w:rPr>
          <w:rFonts w:cs="Times New Roman"/>
        </w:rPr>
        <w:t>“</w:t>
      </w:r>
      <w:r w:rsidR="00E87B1C">
        <w:rPr>
          <w:rFonts w:cs="Times New Roman"/>
        </w:rPr>
        <w:t>n</w:t>
      </w:r>
      <w:r w:rsidR="00FC16C3">
        <w:rPr>
          <w:rFonts w:cs="Times New Roman"/>
        </w:rPr>
        <w:t>eoplasms</w:t>
      </w:r>
      <w:r w:rsidR="003C70D1">
        <w:rPr>
          <w:rFonts w:cs="Times New Roman"/>
        </w:rPr>
        <w:t>”</w:t>
      </w:r>
      <w:r w:rsidR="00AF45CD">
        <w:rPr>
          <w:rFonts w:cs="Times New Roman"/>
        </w:rPr>
        <w:t>)</w:t>
      </w:r>
      <w:r w:rsidR="00183C0D">
        <w:rPr>
          <w:rFonts w:cs="Times New Roman"/>
        </w:rPr>
        <w:t>.</w:t>
      </w:r>
    </w:p>
    <w:p w14:paraId="4F1C50F8" w14:textId="4B5E4B56" w:rsidR="00367CDE" w:rsidRDefault="00F84363" w:rsidP="009C7054">
      <w:pPr>
        <w:spacing w:line="480" w:lineRule="auto"/>
        <w:jc w:val="both"/>
        <w:rPr>
          <w:rFonts w:cs="Times New Roman"/>
        </w:rPr>
      </w:pPr>
      <w:r w:rsidRPr="00784F6E">
        <w:rPr>
          <w:rFonts w:cs="Times New Roman"/>
        </w:rPr>
        <w:t>Finally,</w:t>
      </w:r>
      <w:r w:rsidR="00A8554F">
        <w:rPr>
          <w:rFonts w:cs="Times New Roman"/>
        </w:rPr>
        <w:t xml:space="preserve"> </w:t>
      </w:r>
      <w:r w:rsidR="00983E3E">
        <w:rPr>
          <w:rFonts w:cs="Times New Roman"/>
        </w:rPr>
        <w:t xml:space="preserve">the </w:t>
      </w:r>
      <w:r w:rsidR="003C70D1">
        <w:rPr>
          <w:rFonts w:cs="Times New Roman"/>
        </w:rPr>
        <w:t>subcategory</w:t>
      </w:r>
      <w:r w:rsidR="00983E3E">
        <w:rPr>
          <w:rFonts w:cs="Times New Roman"/>
        </w:rPr>
        <w:t xml:space="preserve"> of</w:t>
      </w:r>
      <w:r w:rsidRPr="00784F6E">
        <w:rPr>
          <w:rFonts w:cs="Times New Roman"/>
        </w:rPr>
        <w:t xml:space="preserve"> </w:t>
      </w:r>
      <w:r w:rsidR="003C70D1">
        <w:rPr>
          <w:rFonts w:cs="Times New Roman"/>
        </w:rPr>
        <w:t>“</w:t>
      </w:r>
      <w:r w:rsidRPr="00784F6E">
        <w:rPr>
          <w:rFonts w:cs="Times New Roman"/>
        </w:rPr>
        <w:t>m</w:t>
      </w:r>
      <w:r w:rsidR="00367CDE" w:rsidRPr="003105AD">
        <w:rPr>
          <w:rFonts w:cs="Times New Roman"/>
        </w:rPr>
        <w:t>usculoskeletal disorders</w:t>
      </w:r>
      <w:r w:rsidR="003C70D1">
        <w:rPr>
          <w:rFonts w:cs="Times New Roman"/>
        </w:rPr>
        <w:t>”</w:t>
      </w:r>
      <w:r w:rsidR="00367CDE" w:rsidRPr="003105AD">
        <w:rPr>
          <w:rFonts w:cs="Times New Roman"/>
        </w:rPr>
        <w:t xml:space="preserve"> </w:t>
      </w:r>
      <w:r w:rsidRPr="00FD4177">
        <w:rPr>
          <w:rFonts w:cs="Times New Roman"/>
        </w:rPr>
        <w:t>a</w:t>
      </w:r>
      <w:r w:rsidRPr="005A0EC5">
        <w:rPr>
          <w:rFonts w:cs="Times New Roman"/>
        </w:rPr>
        <w:t>lso show</w:t>
      </w:r>
      <w:r w:rsidR="00983E3E">
        <w:rPr>
          <w:rFonts w:cs="Times New Roman"/>
        </w:rPr>
        <w:t>s</w:t>
      </w:r>
      <w:r w:rsidRPr="005A0EC5">
        <w:rPr>
          <w:rFonts w:cs="Times New Roman"/>
        </w:rPr>
        <w:t xml:space="preserve"> </w:t>
      </w:r>
      <w:r w:rsidR="00983E3E">
        <w:rPr>
          <w:rFonts w:cs="Times New Roman"/>
        </w:rPr>
        <w:t>similar patterns</w:t>
      </w:r>
      <w:r w:rsidRPr="005A0EC5">
        <w:rPr>
          <w:rFonts w:cs="Times New Roman"/>
        </w:rPr>
        <w:t xml:space="preserve">: in 1990, </w:t>
      </w:r>
      <w:r w:rsidRPr="00710F5A">
        <w:rPr>
          <w:i/>
        </w:rPr>
        <w:t>rheumatoid arthritis</w:t>
      </w:r>
      <w:r w:rsidR="00983E3E">
        <w:rPr>
          <w:rFonts w:cs="Times New Roman"/>
        </w:rPr>
        <w:t xml:space="preserve">, </w:t>
      </w:r>
      <w:r>
        <w:rPr>
          <w:rFonts w:cs="Times New Roman"/>
        </w:rPr>
        <w:t xml:space="preserve">which accounts </w:t>
      </w:r>
      <w:r w:rsidR="006531B7">
        <w:rPr>
          <w:rFonts w:cs="Times New Roman"/>
        </w:rPr>
        <w:t xml:space="preserve">for </w:t>
      </w:r>
      <w:r w:rsidR="00E87B1C">
        <w:rPr>
          <w:rFonts w:cs="Times New Roman"/>
        </w:rPr>
        <w:t>2.86</w:t>
      </w:r>
      <w:r w:rsidR="006531B7">
        <w:rPr>
          <w:rFonts w:cs="Times New Roman"/>
        </w:rPr>
        <w:t>% of total</w:t>
      </w:r>
      <w:r>
        <w:rPr>
          <w:rFonts w:cs="Times New Roman"/>
        </w:rPr>
        <w:t xml:space="preserve"> DALYs</w:t>
      </w:r>
      <w:r w:rsidR="006531B7">
        <w:rPr>
          <w:rFonts w:cs="Times New Roman"/>
        </w:rPr>
        <w:t xml:space="preserve"> for </w:t>
      </w:r>
      <w:r w:rsidR="003C70D1">
        <w:rPr>
          <w:rFonts w:cs="Times New Roman"/>
        </w:rPr>
        <w:t>“</w:t>
      </w:r>
      <w:r w:rsidR="006531B7" w:rsidRPr="00784F6E">
        <w:rPr>
          <w:rFonts w:cs="Times New Roman"/>
        </w:rPr>
        <w:t>m</w:t>
      </w:r>
      <w:r w:rsidR="006531B7" w:rsidRPr="003105AD">
        <w:rPr>
          <w:rFonts w:cs="Times New Roman"/>
        </w:rPr>
        <w:t>usculoskeletal disorders</w:t>
      </w:r>
      <w:r w:rsidR="003C70D1">
        <w:rPr>
          <w:rFonts w:cs="Times New Roman"/>
        </w:rPr>
        <w:t>”</w:t>
      </w:r>
      <w:r w:rsidR="006531B7">
        <w:rPr>
          <w:rFonts w:cs="Times New Roman"/>
        </w:rPr>
        <w:t xml:space="preserve"> in that year</w:t>
      </w:r>
      <w:r>
        <w:rPr>
          <w:rFonts w:cs="Times New Roman"/>
        </w:rPr>
        <w:t>, ha</w:t>
      </w:r>
      <w:r w:rsidR="00983E3E">
        <w:rPr>
          <w:rFonts w:cs="Times New Roman"/>
        </w:rPr>
        <w:t>d</w:t>
      </w:r>
      <w:r>
        <w:rPr>
          <w:rFonts w:cs="Times New Roman"/>
        </w:rPr>
        <w:t xml:space="preserve"> 19 new drugs</w:t>
      </w:r>
      <w:r w:rsidR="00983E3E">
        <w:rPr>
          <w:rFonts w:cs="Times New Roman"/>
        </w:rPr>
        <w:t xml:space="preserve"> launched in the market </w:t>
      </w:r>
      <w:r>
        <w:rPr>
          <w:rFonts w:cs="Times New Roman"/>
        </w:rPr>
        <w:t>as opposed to 46 new drugs targeting</w:t>
      </w:r>
      <w:r w:rsidRPr="00710F5A">
        <w:rPr>
          <w:i/>
        </w:rPr>
        <w:t xml:space="preserve"> osteoarthritis</w:t>
      </w:r>
      <w:r>
        <w:rPr>
          <w:rFonts w:cs="Times New Roman"/>
        </w:rPr>
        <w:t xml:space="preserve"> (which accounts for </w:t>
      </w:r>
      <w:r w:rsidR="00E87B1C">
        <w:rPr>
          <w:rFonts w:cs="Times New Roman"/>
        </w:rPr>
        <w:t>8.96</w:t>
      </w:r>
      <w:r w:rsidR="006531B7">
        <w:rPr>
          <w:rFonts w:cs="Times New Roman"/>
        </w:rPr>
        <w:t>%</w:t>
      </w:r>
      <w:r>
        <w:rPr>
          <w:rFonts w:cs="Times New Roman"/>
        </w:rPr>
        <w:t xml:space="preserve"> </w:t>
      </w:r>
      <w:r w:rsidR="006531B7">
        <w:rPr>
          <w:rFonts w:cs="Times New Roman"/>
        </w:rPr>
        <w:t xml:space="preserve">of total </w:t>
      </w:r>
      <w:r>
        <w:rPr>
          <w:rFonts w:cs="Times New Roman"/>
        </w:rPr>
        <w:t>DALYs</w:t>
      </w:r>
      <w:r w:rsidR="006531B7">
        <w:rPr>
          <w:rFonts w:cs="Times New Roman"/>
        </w:rPr>
        <w:t xml:space="preserve"> in this disease subcategory</w:t>
      </w:r>
      <w:r>
        <w:rPr>
          <w:rFonts w:cs="Times New Roman"/>
        </w:rPr>
        <w:t xml:space="preserve">); in 2010, the 197 new drugs targeting </w:t>
      </w:r>
      <w:r w:rsidRPr="00710F5A">
        <w:rPr>
          <w:i/>
        </w:rPr>
        <w:t>rheumatoid arthritis</w:t>
      </w:r>
      <w:r>
        <w:rPr>
          <w:rFonts w:cs="Times New Roman"/>
        </w:rPr>
        <w:t xml:space="preserve"> (accounting for </w:t>
      </w:r>
      <w:r w:rsidR="00E87B1C">
        <w:rPr>
          <w:rFonts w:cs="Times New Roman"/>
        </w:rPr>
        <w:t>2.86</w:t>
      </w:r>
      <w:r w:rsidR="006531B7">
        <w:rPr>
          <w:rFonts w:cs="Times New Roman"/>
        </w:rPr>
        <w:t xml:space="preserve">% of total DALYs for </w:t>
      </w:r>
      <w:r w:rsidR="003C70D1">
        <w:rPr>
          <w:rFonts w:cs="Times New Roman"/>
        </w:rPr>
        <w:t>“</w:t>
      </w:r>
      <w:r w:rsidR="006531B7" w:rsidRPr="00784F6E">
        <w:rPr>
          <w:rFonts w:cs="Times New Roman"/>
        </w:rPr>
        <w:t>m</w:t>
      </w:r>
      <w:r w:rsidR="006531B7" w:rsidRPr="003105AD">
        <w:rPr>
          <w:rFonts w:cs="Times New Roman"/>
        </w:rPr>
        <w:t>usculoskeletal disorders</w:t>
      </w:r>
      <w:r w:rsidR="003C70D1">
        <w:rPr>
          <w:rFonts w:cs="Times New Roman"/>
        </w:rPr>
        <w:t>”</w:t>
      </w:r>
      <w:r w:rsidR="006531B7">
        <w:rPr>
          <w:rFonts w:cs="Times New Roman"/>
        </w:rPr>
        <w:t xml:space="preserve"> in 2010</w:t>
      </w:r>
      <w:r>
        <w:rPr>
          <w:rFonts w:cs="Times New Roman"/>
        </w:rPr>
        <w:t xml:space="preserve">) contrast with the 533 new drugs targeting </w:t>
      </w:r>
      <w:r w:rsidRPr="00710F5A">
        <w:rPr>
          <w:i/>
        </w:rPr>
        <w:t>osteoarthritis</w:t>
      </w:r>
      <w:r>
        <w:rPr>
          <w:rFonts w:cs="Times New Roman"/>
        </w:rPr>
        <w:t xml:space="preserve"> (which accounts for </w:t>
      </w:r>
      <w:r w:rsidR="00E87B1C">
        <w:rPr>
          <w:rFonts w:cs="Times New Roman"/>
        </w:rPr>
        <w:t>10.1%</w:t>
      </w:r>
      <w:r w:rsidR="006531B7">
        <w:rPr>
          <w:rFonts w:cs="Times New Roman"/>
        </w:rPr>
        <w:t xml:space="preserve"> of total</w:t>
      </w:r>
      <w:r>
        <w:rPr>
          <w:rFonts w:cs="Times New Roman"/>
        </w:rPr>
        <w:t xml:space="preserve"> DALYs</w:t>
      </w:r>
      <w:r w:rsidR="006531B7">
        <w:rPr>
          <w:rFonts w:cs="Times New Roman"/>
        </w:rPr>
        <w:t xml:space="preserve"> for the same disease subcategory</w:t>
      </w:r>
      <w:r w:rsidR="009D6C54">
        <w:rPr>
          <w:rFonts w:cs="Times New Roman"/>
        </w:rPr>
        <w:t xml:space="preserve"> in 2010</w:t>
      </w:r>
      <w:r>
        <w:rPr>
          <w:rFonts w:cs="Times New Roman"/>
        </w:rPr>
        <w:t>).</w:t>
      </w:r>
    </w:p>
    <w:p w14:paraId="5474A1B0" w14:textId="087C31BD" w:rsidR="00444F1F" w:rsidRPr="00364EF3" w:rsidRDefault="00A85E62" w:rsidP="009C7054">
      <w:pPr>
        <w:spacing w:line="480" w:lineRule="auto"/>
        <w:jc w:val="both"/>
        <w:rPr>
          <w:rFonts w:eastAsia="MS Mincho" w:cs="Times New Roman"/>
        </w:rPr>
      </w:pPr>
      <w:r w:rsidRPr="00364EF3">
        <w:rPr>
          <w:rFonts w:cs="Times New Roman"/>
        </w:rPr>
        <w:t>The results for market size are qua</w:t>
      </w:r>
      <w:r w:rsidR="004D2F46" w:rsidRPr="00364EF3">
        <w:rPr>
          <w:rFonts w:cs="Times New Roman"/>
        </w:rPr>
        <w:t>l</w:t>
      </w:r>
      <w:r w:rsidRPr="00364EF3">
        <w:rPr>
          <w:rFonts w:cs="Times New Roman"/>
        </w:rPr>
        <w:t>itatively similar</w:t>
      </w:r>
      <w:r w:rsidR="00587F26" w:rsidRPr="00364EF3">
        <w:rPr>
          <w:rFonts w:cs="Times New Roman"/>
        </w:rPr>
        <w:t xml:space="preserve"> for the disease </w:t>
      </w:r>
      <w:r w:rsidR="00372F19">
        <w:rPr>
          <w:rFonts w:cs="Times New Roman"/>
        </w:rPr>
        <w:t>subcategories</w:t>
      </w:r>
      <w:r w:rsidR="00372F19" w:rsidRPr="00364EF3">
        <w:rPr>
          <w:rFonts w:cs="Times New Roman"/>
        </w:rPr>
        <w:t xml:space="preserve"> </w:t>
      </w:r>
      <w:r w:rsidR="00372F19">
        <w:rPr>
          <w:rFonts w:cs="Times New Roman"/>
        </w:rPr>
        <w:t>“</w:t>
      </w:r>
      <w:r w:rsidR="00587F26" w:rsidRPr="00364EF3">
        <w:rPr>
          <w:rFonts w:cs="Times New Roman"/>
        </w:rPr>
        <w:t>cardiovascular and circulatory diseases</w:t>
      </w:r>
      <w:r w:rsidR="00372F19">
        <w:rPr>
          <w:rFonts w:cs="Times New Roman"/>
        </w:rPr>
        <w:t>”</w:t>
      </w:r>
      <w:r w:rsidR="00587F26" w:rsidRPr="00364EF3">
        <w:rPr>
          <w:rFonts w:cs="Times New Roman"/>
        </w:rPr>
        <w:t xml:space="preserve"> (p&lt;0.01)</w:t>
      </w:r>
      <w:r w:rsidR="003443C1" w:rsidRPr="00364EF3">
        <w:rPr>
          <w:rFonts w:cs="Times New Roman"/>
        </w:rPr>
        <w:t>,</w:t>
      </w:r>
      <w:r w:rsidR="00587F26" w:rsidRPr="00364EF3">
        <w:rPr>
          <w:rFonts w:cs="Times New Roman"/>
        </w:rPr>
        <w:t xml:space="preserve"> and </w:t>
      </w:r>
      <w:r w:rsidR="00372F19">
        <w:rPr>
          <w:rFonts w:cs="Times New Roman"/>
        </w:rPr>
        <w:t>“</w:t>
      </w:r>
      <w:r w:rsidR="00587F26" w:rsidRPr="00364EF3">
        <w:rPr>
          <w:rFonts w:cs="Times New Roman"/>
        </w:rPr>
        <w:t>neoplasms</w:t>
      </w:r>
      <w:r w:rsidR="00372F19">
        <w:rPr>
          <w:rFonts w:cs="Times New Roman"/>
        </w:rPr>
        <w:t>”</w:t>
      </w:r>
      <w:r w:rsidR="00587F26" w:rsidRPr="00364EF3">
        <w:rPr>
          <w:rFonts w:cs="Times New Roman"/>
        </w:rPr>
        <w:t xml:space="preserve"> (p&lt;0.01) but non</w:t>
      </w:r>
      <w:r w:rsidR="009F57D8">
        <w:rPr>
          <w:rFonts w:cs="Times New Roman"/>
        </w:rPr>
        <w:t>-</w:t>
      </w:r>
      <w:r w:rsidR="00587F26" w:rsidRPr="00364EF3">
        <w:rPr>
          <w:rFonts w:cs="Times New Roman"/>
        </w:rPr>
        <w:t xml:space="preserve">significant for </w:t>
      </w:r>
      <w:r w:rsidR="00372F19">
        <w:rPr>
          <w:rFonts w:cs="Times New Roman"/>
        </w:rPr>
        <w:t>“</w:t>
      </w:r>
      <w:r w:rsidR="00587F26" w:rsidRPr="00364EF3">
        <w:rPr>
          <w:rFonts w:cs="Times New Roman"/>
        </w:rPr>
        <w:t>musculoskeletal disorders</w:t>
      </w:r>
      <w:r w:rsidR="00372F19">
        <w:rPr>
          <w:rFonts w:cs="Times New Roman"/>
        </w:rPr>
        <w:t>” (Figure 5</w:t>
      </w:r>
      <w:r w:rsidR="00372F19" w:rsidRPr="00364EF3">
        <w:rPr>
          <w:rFonts w:cs="Times New Roman"/>
        </w:rPr>
        <w:t xml:space="preserve">a, </w:t>
      </w:r>
      <w:r w:rsidR="00372F19">
        <w:rPr>
          <w:rFonts w:cs="Times New Roman"/>
        </w:rPr>
        <w:t>5</w:t>
      </w:r>
      <w:r w:rsidR="00372F19" w:rsidRPr="00364EF3">
        <w:rPr>
          <w:rFonts w:cs="Times New Roman"/>
        </w:rPr>
        <w:t xml:space="preserve">b and </w:t>
      </w:r>
      <w:r w:rsidR="00372F19">
        <w:rPr>
          <w:rFonts w:cs="Times New Roman"/>
        </w:rPr>
        <w:t>5</w:t>
      </w:r>
      <w:r w:rsidR="00372F19" w:rsidRPr="00364EF3">
        <w:rPr>
          <w:rFonts w:cs="Times New Roman"/>
        </w:rPr>
        <w:t>c</w:t>
      </w:r>
      <w:r w:rsidR="00372F19">
        <w:rPr>
          <w:rFonts w:cs="Times New Roman"/>
        </w:rPr>
        <w:t>)</w:t>
      </w:r>
      <w:r w:rsidRPr="00364EF3">
        <w:rPr>
          <w:rFonts w:cs="Times New Roman"/>
        </w:rPr>
        <w:t>.</w:t>
      </w:r>
      <w:r w:rsidR="00E43D57" w:rsidRPr="00364EF3">
        <w:rPr>
          <w:rFonts w:eastAsia="MS Mincho" w:cs="Times New Roman"/>
        </w:rPr>
        <w:t xml:space="preserve"> </w:t>
      </w:r>
      <w:r w:rsidR="00175850" w:rsidRPr="00364EF3">
        <w:rPr>
          <w:rFonts w:eastAsia="MS Mincho" w:cs="Times New Roman"/>
        </w:rPr>
        <w:t xml:space="preserve">Indeed, a close </w:t>
      </w:r>
      <w:r w:rsidR="002E6CEF" w:rsidRPr="00364EF3">
        <w:rPr>
          <w:rFonts w:eastAsia="MS Mincho" w:cs="Times New Roman"/>
        </w:rPr>
        <w:t xml:space="preserve">inspection </w:t>
      </w:r>
      <w:r w:rsidR="00530569" w:rsidRPr="00364EF3">
        <w:rPr>
          <w:rFonts w:eastAsia="MS Mincho" w:cs="Times New Roman"/>
        </w:rPr>
        <w:t>of the</w:t>
      </w:r>
      <w:r w:rsidR="00175850" w:rsidRPr="00364EF3">
        <w:rPr>
          <w:rFonts w:eastAsia="MS Mincho" w:cs="Times New Roman"/>
        </w:rPr>
        <w:t xml:space="preserve"> concentration curve </w:t>
      </w:r>
      <w:r w:rsidR="002E6CEF" w:rsidRPr="00364EF3">
        <w:rPr>
          <w:rFonts w:eastAsia="MS Mincho" w:cs="Times New Roman"/>
        </w:rPr>
        <w:t xml:space="preserve">highlights </w:t>
      </w:r>
      <w:r w:rsidR="00175850" w:rsidRPr="00364EF3">
        <w:rPr>
          <w:rFonts w:eastAsia="MS Mincho" w:cs="Times New Roman"/>
        </w:rPr>
        <w:t xml:space="preserve">that </w:t>
      </w:r>
      <w:r w:rsidR="002E6CEF" w:rsidRPr="00364EF3">
        <w:rPr>
          <w:rFonts w:eastAsia="MS Mincho" w:cs="Times New Roman"/>
        </w:rPr>
        <w:t xml:space="preserve">for this </w:t>
      </w:r>
      <w:r w:rsidR="00896934">
        <w:rPr>
          <w:rFonts w:eastAsia="MS Mincho" w:cs="Times New Roman"/>
        </w:rPr>
        <w:t>subcategory</w:t>
      </w:r>
      <w:r w:rsidR="002E6CEF" w:rsidRPr="00364EF3">
        <w:rPr>
          <w:rFonts w:eastAsia="MS Mincho" w:cs="Times New Roman"/>
        </w:rPr>
        <w:t xml:space="preserve"> the direction of the inequality </w:t>
      </w:r>
      <w:r w:rsidR="002E6CEF" w:rsidRPr="00364EF3">
        <w:rPr>
          <w:rFonts w:eastAsia="MS Mincho" w:cs="Times New Roman"/>
        </w:rPr>
        <w:lastRenderedPageBreak/>
        <w:t xml:space="preserve">changes over the distribution: </w:t>
      </w:r>
      <w:r w:rsidR="00175850" w:rsidRPr="00364EF3">
        <w:rPr>
          <w:rFonts w:eastAsia="MS Mincho" w:cs="Times New Roman"/>
        </w:rPr>
        <w:t>up to a certain level in the distribution the innovation is concentrated towards diseases that exhibit larger market size and affordability (</w:t>
      </w:r>
      <w:r w:rsidR="00FD1BA3" w:rsidRPr="00364EF3">
        <w:rPr>
          <w:rFonts w:eastAsia="MS Mincho" w:cs="Times New Roman"/>
        </w:rPr>
        <w:t xml:space="preserve">e.g. </w:t>
      </w:r>
      <w:r w:rsidR="00C825E8" w:rsidRPr="00710F5A">
        <w:rPr>
          <w:i/>
        </w:rPr>
        <w:t>gout</w:t>
      </w:r>
      <w:r w:rsidR="00C825E8" w:rsidRPr="00364EF3">
        <w:rPr>
          <w:rFonts w:eastAsia="MS Mincho" w:cs="Times New Roman"/>
        </w:rPr>
        <w:t xml:space="preserve">, </w:t>
      </w:r>
      <w:r w:rsidR="00C825E8" w:rsidRPr="00710F5A">
        <w:rPr>
          <w:i/>
        </w:rPr>
        <w:t>rheumatoid arthritis</w:t>
      </w:r>
      <w:r w:rsidR="003443C1" w:rsidRPr="00364EF3">
        <w:rPr>
          <w:rFonts w:eastAsia="MS Mincho" w:cs="Times New Roman"/>
        </w:rPr>
        <w:t>,</w:t>
      </w:r>
      <w:r w:rsidR="00C825E8" w:rsidRPr="00364EF3">
        <w:rPr>
          <w:rFonts w:eastAsia="MS Mincho" w:cs="Times New Roman"/>
        </w:rPr>
        <w:t xml:space="preserve"> and </w:t>
      </w:r>
      <w:r w:rsidR="00C825E8" w:rsidRPr="00710F5A">
        <w:rPr>
          <w:i/>
        </w:rPr>
        <w:t>osteoporosis</w:t>
      </w:r>
      <w:r w:rsidR="00175850" w:rsidRPr="00364EF3">
        <w:rPr>
          <w:rFonts w:eastAsia="MS Mincho" w:cs="Times New Roman"/>
        </w:rPr>
        <w:t>), while in the second part of the distribution innovations tends to be concentrated towards diseases associated with lower market size and affordability (</w:t>
      </w:r>
      <w:r w:rsidR="00C825E8" w:rsidRPr="00364EF3">
        <w:rPr>
          <w:rFonts w:eastAsia="MS Mincho" w:cs="Times New Roman"/>
        </w:rPr>
        <w:t>e.g.</w:t>
      </w:r>
      <w:r w:rsidR="00C825E8" w:rsidRPr="00710F5A">
        <w:rPr>
          <w:i/>
        </w:rPr>
        <w:t xml:space="preserve"> n</w:t>
      </w:r>
      <w:r w:rsidR="00C825E8" w:rsidRPr="00710F5A">
        <w:rPr>
          <w:i/>
          <w:lang w:val="en-GB"/>
        </w:rPr>
        <w:t>eck pain</w:t>
      </w:r>
      <w:r w:rsidR="00C825E8" w:rsidRPr="00364EF3">
        <w:rPr>
          <w:rFonts w:cs="Times New Roman"/>
          <w:lang w:val="en-GB"/>
        </w:rPr>
        <w:t xml:space="preserve"> &amp; </w:t>
      </w:r>
      <w:r w:rsidR="00C825E8" w:rsidRPr="00710F5A">
        <w:rPr>
          <w:i/>
          <w:lang w:val="en-GB"/>
        </w:rPr>
        <w:t>low back pain</w:t>
      </w:r>
      <w:r w:rsidR="00175850" w:rsidRPr="00364EF3">
        <w:rPr>
          <w:rFonts w:eastAsia="MS Mincho" w:cs="Times New Roman"/>
        </w:rPr>
        <w:t>).</w:t>
      </w:r>
    </w:p>
    <w:p w14:paraId="196BD26E" w14:textId="3020D010" w:rsidR="004D14C4" w:rsidRPr="00364EF3" w:rsidRDefault="004D14C4" w:rsidP="009C7054">
      <w:pPr>
        <w:tabs>
          <w:tab w:val="left" w:pos="1418"/>
        </w:tabs>
        <w:spacing w:line="480" w:lineRule="auto"/>
        <w:jc w:val="center"/>
        <w:rPr>
          <w:rFonts w:cs="Times New Roman"/>
        </w:rPr>
      </w:pPr>
      <w:r w:rsidRPr="00364EF3">
        <w:rPr>
          <w:rFonts w:cs="Times New Roman"/>
        </w:rPr>
        <w:t>[</w:t>
      </w:r>
      <w:r w:rsidR="00414E96">
        <w:rPr>
          <w:rFonts w:cs="Times New Roman"/>
        </w:rPr>
        <w:t>F</w:t>
      </w:r>
      <w:r w:rsidR="00F11274">
        <w:rPr>
          <w:rFonts w:cs="Times New Roman"/>
        </w:rPr>
        <w:t>igures 4-5</w:t>
      </w:r>
      <w:r w:rsidRPr="00364EF3">
        <w:rPr>
          <w:rFonts w:cs="Times New Roman"/>
        </w:rPr>
        <w:t xml:space="preserve"> in here]</w:t>
      </w:r>
    </w:p>
    <w:p w14:paraId="5874723E" w14:textId="4AA46A34" w:rsidR="00C877C7" w:rsidRPr="00364EF3" w:rsidRDefault="00E0502F" w:rsidP="009C7054">
      <w:pPr>
        <w:tabs>
          <w:tab w:val="left" w:pos="1418"/>
        </w:tabs>
        <w:spacing w:line="480" w:lineRule="auto"/>
        <w:jc w:val="both"/>
        <w:rPr>
          <w:rFonts w:cs="Times New Roman"/>
        </w:rPr>
      </w:pPr>
      <w:r w:rsidRPr="00364EF3">
        <w:rPr>
          <w:rFonts w:eastAsia="MS Mincho" w:cs="Times New Roman"/>
        </w:rPr>
        <w:t>Fo</w:t>
      </w:r>
      <w:r w:rsidR="004F6DC5" w:rsidRPr="00364EF3">
        <w:rPr>
          <w:rFonts w:eastAsia="MS Mincho" w:cs="Times New Roman"/>
        </w:rPr>
        <w:t xml:space="preserve">r </w:t>
      </w:r>
      <w:r w:rsidR="003C70D1">
        <w:rPr>
          <w:rFonts w:eastAsia="MS Mincho" w:cs="Times New Roman"/>
        </w:rPr>
        <w:t>“</w:t>
      </w:r>
      <w:r w:rsidR="004F6DC5" w:rsidRPr="00364EF3">
        <w:rPr>
          <w:rFonts w:eastAsia="MS Mincho" w:cs="Times New Roman"/>
        </w:rPr>
        <w:t>mental and behavioral disorder</w:t>
      </w:r>
      <w:r w:rsidR="007C30E5">
        <w:rPr>
          <w:rFonts w:eastAsia="MS Mincho" w:cs="Times New Roman"/>
        </w:rPr>
        <w:t>s</w:t>
      </w:r>
      <w:r w:rsidR="00896934">
        <w:rPr>
          <w:rFonts w:eastAsia="MS Mincho" w:cs="Times New Roman"/>
        </w:rPr>
        <w:t>”</w:t>
      </w:r>
      <w:r w:rsidRPr="00364EF3">
        <w:rPr>
          <w:rFonts w:eastAsia="MS Mincho" w:cs="Times New Roman"/>
        </w:rPr>
        <w:t xml:space="preserve"> results are some</w:t>
      </w:r>
      <w:r w:rsidR="008A78C7" w:rsidRPr="00364EF3">
        <w:rPr>
          <w:rFonts w:eastAsia="MS Mincho" w:cs="Times New Roman"/>
        </w:rPr>
        <w:t>what</w:t>
      </w:r>
      <w:r w:rsidRPr="00364EF3">
        <w:rPr>
          <w:rFonts w:eastAsia="MS Mincho" w:cs="Times New Roman"/>
        </w:rPr>
        <w:t xml:space="preserve"> different</w:t>
      </w:r>
      <w:r w:rsidR="00896934">
        <w:rPr>
          <w:rFonts w:eastAsia="MS Mincho" w:cs="Times New Roman"/>
        </w:rPr>
        <w:t xml:space="preserve"> </w:t>
      </w:r>
      <w:r w:rsidR="00896934">
        <w:rPr>
          <w:rFonts w:cs="Times New Roman"/>
        </w:rPr>
        <w:t>(Figure 4d and 5d)</w:t>
      </w:r>
      <w:r w:rsidRPr="00364EF3">
        <w:rPr>
          <w:rFonts w:eastAsia="MS Mincho" w:cs="Times New Roman"/>
        </w:rPr>
        <w:t>.</w:t>
      </w:r>
      <w:r w:rsidR="00C95F2A" w:rsidRPr="00364EF3">
        <w:rPr>
          <w:rFonts w:eastAsia="MS Mincho" w:cs="Times New Roman"/>
        </w:rPr>
        <w:t xml:space="preserve"> </w:t>
      </w:r>
      <w:r w:rsidRPr="00364EF3">
        <w:rPr>
          <w:rFonts w:cs="Times New Roman"/>
        </w:rPr>
        <w:t>T</w:t>
      </w:r>
      <w:r w:rsidR="00C95F2A" w:rsidRPr="00364EF3">
        <w:rPr>
          <w:rFonts w:cs="Times New Roman"/>
        </w:rPr>
        <w:t>he negative and significant indice</w:t>
      </w:r>
      <w:r w:rsidR="00706384" w:rsidRPr="00364EF3">
        <w:rPr>
          <w:rFonts w:cs="Times New Roman"/>
        </w:rPr>
        <w:t>s</w:t>
      </w:r>
      <w:r w:rsidR="00097EB2" w:rsidRPr="00364EF3">
        <w:rPr>
          <w:rFonts w:cs="Times New Roman"/>
        </w:rPr>
        <w:t xml:space="preserve"> </w:t>
      </w:r>
      <w:r w:rsidR="00C95F2A" w:rsidRPr="00364EF3">
        <w:rPr>
          <w:rFonts w:cs="Times New Roman"/>
        </w:rPr>
        <w:t>(</w:t>
      </w:r>
      <w:r w:rsidR="009609E0">
        <w:rPr>
          <w:rFonts w:eastAsia="MS Mincho" w:cs="Times New Roman"/>
        </w:rPr>
        <w:t>Table VI</w:t>
      </w:r>
      <w:r w:rsidR="00C95F2A" w:rsidRPr="00364EF3">
        <w:rPr>
          <w:rFonts w:cs="Times New Roman"/>
        </w:rPr>
        <w:t xml:space="preserve">) </w:t>
      </w:r>
      <w:r w:rsidR="00A2385F" w:rsidRPr="00364EF3">
        <w:rPr>
          <w:rFonts w:cs="Times New Roman"/>
        </w:rPr>
        <w:t>show an unequal distribution</w:t>
      </w:r>
      <w:r w:rsidRPr="00364EF3">
        <w:rPr>
          <w:rFonts w:cs="Times New Roman"/>
        </w:rPr>
        <w:t xml:space="preserve"> </w:t>
      </w:r>
      <w:r w:rsidR="002B2E85" w:rsidRPr="00364EF3">
        <w:rPr>
          <w:rFonts w:cs="Times New Roman"/>
        </w:rPr>
        <w:t>concentrated on</w:t>
      </w:r>
      <w:r w:rsidR="00A2385F" w:rsidRPr="00364EF3">
        <w:rPr>
          <w:rFonts w:cs="Times New Roman"/>
        </w:rPr>
        <w:t xml:space="preserve"> diseases with lower burden</w:t>
      </w:r>
      <w:r w:rsidRPr="00364EF3">
        <w:rPr>
          <w:rFonts w:cs="Times New Roman"/>
        </w:rPr>
        <w:t xml:space="preserve"> (except in 1990</w:t>
      </w:r>
      <w:r w:rsidR="002B2E85" w:rsidRPr="00364EF3">
        <w:rPr>
          <w:rFonts w:cs="Times New Roman"/>
        </w:rPr>
        <w:t>, where it is not significant</w:t>
      </w:r>
      <w:r w:rsidRPr="00364EF3">
        <w:rPr>
          <w:rFonts w:cs="Times New Roman"/>
        </w:rPr>
        <w:t xml:space="preserve">) </w:t>
      </w:r>
      <w:r w:rsidR="00A2385F" w:rsidRPr="00364EF3">
        <w:rPr>
          <w:rFonts w:cs="Times New Roman"/>
        </w:rPr>
        <w:t>and smaller market size.</w:t>
      </w:r>
      <w:r w:rsidR="00D51C29" w:rsidRPr="00364EF3">
        <w:rPr>
          <w:rFonts w:cs="Times New Roman"/>
        </w:rPr>
        <w:t xml:space="preserve"> </w:t>
      </w:r>
      <w:r w:rsidR="004C429D" w:rsidRPr="00364EF3">
        <w:rPr>
          <w:rFonts w:cs="Times New Roman"/>
        </w:rPr>
        <w:t>Results</w:t>
      </w:r>
      <w:r w:rsidR="00D51C29" w:rsidRPr="00364EF3">
        <w:rPr>
          <w:rFonts w:cs="Times New Roman"/>
        </w:rPr>
        <w:t xml:space="preserve"> show </w:t>
      </w:r>
      <w:r w:rsidR="007E241F" w:rsidRPr="00364EF3">
        <w:rPr>
          <w:rFonts w:cs="Times New Roman"/>
        </w:rPr>
        <w:t>that in 1990 conditions</w:t>
      </w:r>
      <w:r w:rsidR="00981941" w:rsidRPr="00364EF3">
        <w:rPr>
          <w:rFonts w:cs="Times New Roman"/>
        </w:rPr>
        <w:t xml:space="preserve"> </w:t>
      </w:r>
      <w:r w:rsidR="004C429D" w:rsidRPr="00364EF3">
        <w:rPr>
          <w:rFonts w:cs="Times New Roman"/>
        </w:rPr>
        <w:t>that rank lower in terms of associated disease burden such as</w:t>
      </w:r>
      <w:r w:rsidR="00BE30B0" w:rsidRPr="00364EF3">
        <w:rPr>
          <w:rFonts w:cs="Times New Roman"/>
        </w:rPr>
        <w:t xml:space="preserve">, </w:t>
      </w:r>
      <w:r w:rsidR="00B44B63" w:rsidRPr="00710F5A">
        <w:rPr>
          <w:i/>
        </w:rPr>
        <w:t>childhood conduct disorders</w:t>
      </w:r>
      <w:r w:rsidR="00E424DA">
        <w:rPr>
          <w:rFonts w:cs="Times New Roman"/>
        </w:rPr>
        <w:t xml:space="preserve"> (accounting for </w:t>
      </w:r>
      <w:r w:rsidR="00801869">
        <w:rPr>
          <w:rFonts w:cs="Times New Roman"/>
        </w:rPr>
        <w:t>3.74</w:t>
      </w:r>
      <w:r w:rsidR="00B44B63">
        <w:rPr>
          <w:rFonts w:cs="Times New Roman"/>
        </w:rPr>
        <w:t>% of total</w:t>
      </w:r>
      <w:r w:rsidR="00E424DA">
        <w:rPr>
          <w:rFonts w:cs="Times New Roman"/>
        </w:rPr>
        <w:t xml:space="preserve"> DALYs</w:t>
      </w:r>
      <w:r w:rsidR="00B44B63">
        <w:rPr>
          <w:rFonts w:cs="Times New Roman"/>
        </w:rPr>
        <w:t xml:space="preserve"> for </w:t>
      </w:r>
      <w:r w:rsidR="00BA6B33">
        <w:rPr>
          <w:rFonts w:cs="Times New Roman"/>
        </w:rPr>
        <w:t>“</w:t>
      </w:r>
      <w:r w:rsidR="00B44B63" w:rsidRPr="00364EF3">
        <w:rPr>
          <w:rFonts w:eastAsia="MS Mincho" w:cs="Times New Roman"/>
        </w:rPr>
        <w:t>mental and behavioral disorders</w:t>
      </w:r>
      <w:r w:rsidR="00BA6B33">
        <w:rPr>
          <w:rFonts w:eastAsia="MS Mincho" w:cs="Times New Roman"/>
        </w:rPr>
        <w:t>”</w:t>
      </w:r>
      <w:r w:rsidR="00B44B63">
        <w:rPr>
          <w:rFonts w:eastAsia="MS Mincho" w:cs="Times New Roman"/>
        </w:rPr>
        <w:t xml:space="preserve"> in 1990</w:t>
      </w:r>
      <w:r w:rsidR="00E424DA">
        <w:rPr>
          <w:rFonts w:cs="Times New Roman"/>
        </w:rPr>
        <w:t>)</w:t>
      </w:r>
      <w:r w:rsidR="00BE30B0" w:rsidRPr="00364EF3">
        <w:rPr>
          <w:rFonts w:cs="Times New Roman"/>
        </w:rPr>
        <w:t xml:space="preserve"> and </w:t>
      </w:r>
      <w:r w:rsidR="00BE30B0" w:rsidRPr="00710F5A">
        <w:rPr>
          <w:i/>
        </w:rPr>
        <w:t>schiz</w:t>
      </w:r>
      <w:r w:rsidR="007E241F" w:rsidRPr="00710F5A">
        <w:rPr>
          <w:i/>
        </w:rPr>
        <w:t>oph</w:t>
      </w:r>
      <w:r w:rsidR="00BE30B0" w:rsidRPr="00710F5A">
        <w:rPr>
          <w:i/>
        </w:rPr>
        <w:t>r</w:t>
      </w:r>
      <w:r w:rsidR="007E241F" w:rsidRPr="00710F5A">
        <w:rPr>
          <w:i/>
        </w:rPr>
        <w:t>enia</w:t>
      </w:r>
      <w:r w:rsidR="00E424DA">
        <w:rPr>
          <w:rFonts w:cs="Times New Roman"/>
        </w:rPr>
        <w:t xml:space="preserve"> (</w:t>
      </w:r>
      <w:r w:rsidR="00801869">
        <w:rPr>
          <w:rFonts w:cs="Times New Roman"/>
        </w:rPr>
        <w:t>7.76</w:t>
      </w:r>
      <w:r w:rsidR="00B44B63">
        <w:rPr>
          <w:rFonts w:cs="Times New Roman"/>
        </w:rPr>
        <w:t>%</w:t>
      </w:r>
      <w:r w:rsidR="00E424DA">
        <w:rPr>
          <w:rFonts w:cs="Times New Roman"/>
        </w:rPr>
        <w:t>)</w:t>
      </w:r>
      <w:r w:rsidR="007E241F" w:rsidRPr="00364EF3">
        <w:rPr>
          <w:rFonts w:cs="Times New Roman"/>
        </w:rPr>
        <w:t xml:space="preserve"> </w:t>
      </w:r>
      <w:r w:rsidR="004C429D" w:rsidRPr="00364EF3">
        <w:rPr>
          <w:rFonts w:cs="Times New Roman"/>
        </w:rPr>
        <w:t xml:space="preserve">exhibit </w:t>
      </w:r>
      <w:r w:rsidR="00C22B36">
        <w:rPr>
          <w:rFonts w:cs="Times New Roman"/>
        </w:rPr>
        <w:t>dis</w:t>
      </w:r>
      <w:r w:rsidR="004C429D" w:rsidRPr="00364EF3">
        <w:rPr>
          <w:rFonts w:cs="Times New Roman"/>
        </w:rPr>
        <w:t>proportiona</w:t>
      </w:r>
      <w:r w:rsidR="00C22B36">
        <w:rPr>
          <w:rFonts w:cs="Times New Roman"/>
        </w:rPr>
        <w:t>te</w:t>
      </w:r>
      <w:r w:rsidR="004C429D" w:rsidRPr="00364EF3">
        <w:rPr>
          <w:rFonts w:cs="Times New Roman"/>
        </w:rPr>
        <w:t>ly more</w:t>
      </w:r>
      <w:r w:rsidR="007E241F" w:rsidRPr="00364EF3">
        <w:rPr>
          <w:rFonts w:cs="Times New Roman"/>
        </w:rPr>
        <w:t xml:space="preserve"> innovation</w:t>
      </w:r>
      <w:r w:rsidR="00E424DA">
        <w:rPr>
          <w:rFonts w:cs="Times New Roman"/>
        </w:rPr>
        <w:t xml:space="preserve"> (i.e. nine new therapies each disease)</w:t>
      </w:r>
      <w:r w:rsidR="007E241F" w:rsidRPr="00364EF3">
        <w:rPr>
          <w:rFonts w:cs="Times New Roman"/>
        </w:rPr>
        <w:t xml:space="preserve"> than </w:t>
      </w:r>
      <w:r w:rsidR="004C429D" w:rsidRPr="00364EF3">
        <w:rPr>
          <w:rFonts w:cs="Times New Roman"/>
        </w:rPr>
        <w:t>disease</w:t>
      </w:r>
      <w:r w:rsidR="00C877C7" w:rsidRPr="00364EF3">
        <w:rPr>
          <w:rFonts w:cs="Times New Roman"/>
        </w:rPr>
        <w:t xml:space="preserve">s that rank higher in terms of </w:t>
      </w:r>
      <w:r w:rsidR="00444F1F" w:rsidRPr="00364EF3">
        <w:rPr>
          <w:rFonts w:cs="Times New Roman"/>
        </w:rPr>
        <w:t xml:space="preserve">disease </w:t>
      </w:r>
      <w:r w:rsidR="00C877C7" w:rsidRPr="00364EF3">
        <w:rPr>
          <w:rFonts w:cs="Times New Roman"/>
        </w:rPr>
        <w:t xml:space="preserve">burden </w:t>
      </w:r>
      <w:r w:rsidR="007E241F" w:rsidRPr="00364EF3">
        <w:rPr>
          <w:rFonts w:cs="Times New Roman"/>
        </w:rPr>
        <w:t xml:space="preserve">such as </w:t>
      </w:r>
      <w:r w:rsidR="007E241F" w:rsidRPr="00710F5A">
        <w:rPr>
          <w:i/>
        </w:rPr>
        <w:t>anxiety</w:t>
      </w:r>
      <w:r w:rsidR="00E424DA">
        <w:rPr>
          <w:rFonts w:cs="Times New Roman"/>
        </w:rPr>
        <w:t xml:space="preserve"> (</w:t>
      </w:r>
      <w:r w:rsidR="00B44B63">
        <w:rPr>
          <w:rFonts w:cs="Times New Roman"/>
        </w:rPr>
        <w:t>14.6%</w:t>
      </w:r>
      <w:r w:rsidR="00E424DA">
        <w:rPr>
          <w:rFonts w:cs="Times New Roman"/>
        </w:rPr>
        <w:t>)</w:t>
      </w:r>
      <w:r w:rsidR="007E241F" w:rsidRPr="00364EF3">
        <w:rPr>
          <w:rFonts w:cs="Times New Roman"/>
        </w:rPr>
        <w:t xml:space="preserve"> and </w:t>
      </w:r>
      <w:r w:rsidR="007E241F" w:rsidRPr="00710F5A">
        <w:rPr>
          <w:i/>
        </w:rPr>
        <w:t>bipolar disorders</w:t>
      </w:r>
      <w:r w:rsidR="00E424DA">
        <w:rPr>
          <w:rFonts w:cs="Times New Roman"/>
        </w:rPr>
        <w:t xml:space="preserve"> (</w:t>
      </w:r>
      <w:r w:rsidR="00B44B63">
        <w:rPr>
          <w:rFonts w:cs="Times New Roman"/>
        </w:rPr>
        <w:t>6.</w:t>
      </w:r>
      <w:r w:rsidR="00801869">
        <w:rPr>
          <w:rFonts w:cs="Times New Roman"/>
        </w:rPr>
        <w:t>7</w:t>
      </w:r>
      <w:r w:rsidR="00B44B63">
        <w:rPr>
          <w:rFonts w:cs="Times New Roman"/>
        </w:rPr>
        <w:t>8%</w:t>
      </w:r>
      <w:r w:rsidR="00E424DA">
        <w:rPr>
          <w:rFonts w:cs="Times New Roman"/>
        </w:rPr>
        <w:t>) presenting, respectively,</w:t>
      </w:r>
      <w:r w:rsidR="007F04C5">
        <w:rPr>
          <w:rFonts w:cs="Times New Roman"/>
        </w:rPr>
        <w:t xml:space="preserve"> six</w:t>
      </w:r>
      <w:r w:rsidR="00E424DA">
        <w:rPr>
          <w:rFonts w:cs="Times New Roman"/>
        </w:rPr>
        <w:t xml:space="preserve"> and three new therapies</w:t>
      </w:r>
      <w:r w:rsidR="00FB4A52">
        <w:rPr>
          <w:rFonts w:cs="Times New Roman"/>
        </w:rPr>
        <w:t xml:space="preserve"> launched in the market</w:t>
      </w:r>
      <w:r w:rsidR="00896934">
        <w:rPr>
          <w:rFonts w:cs="Times New Roman"/>
        </w:rPr>
        <w:t xml:space="preserve"> in 1990</w:t>
      </w:r>
      <w:r w:rsidR="007E241F" w:rsidRPr="00364EF3">
        <w:rPr>
          <w:rFonts w:cs="Times New Roman"/>
        </w:rPr>
        <w:t xml:space="preserve">. </w:t>
      </w:r>
      <w:r w:rsidR="008E732B" w:rsidRPr="00364EF3">
        <w:rPr>
          <w:rFonts w:cs="Times New Roman"/>
        </w:rPr>
        <w:t xml:space="preserve">For 2010 results are qualitatively similar in that </w:t>
      </w:r>
      <w:r w:rsidR="002A4028" w:rsidRPr="00364EF3">
        <w:rPr>
          <w:rFonts w:cs="Times New Roman"/>
        </w:rPr>
        <w:t xml:space="preserve">disorders </w:t>
      </w:r>
      <w:r w:rsidR="008E732B" w:rsidRPr="00364EF3">
        <w:rPr>
          <w:rFonts w:cs="Times New Roman"/>
        </w:rPr>
        <w:t>that rank low in terms of associated disease burden</w:t>
      </w:r>
      <w:r w:rsidR="007C74DD">
        <w:rPr>
          <w:rFonts w:cs="Times New Roman"/>
        </w:rPr>
        <w:t xml:space="preserve">. </w:t>
      </w:r>
      <w:r w:rsidR="0009735D" w:rsidRPr="00364EF3">
        <w:rPr>
          <w:rFonts w:cs="Times New Roman"/>
        </w:rPr>
        <w:t xml:space="preserve"> </w:t>
      </w:r>
      <w:r w:rsidR="007C74DD">
        <w:rPr>
          <w:rFonts w:cs="Times New Roman"/>
        </w:rPr>
        <w:t>D</w:t>
      </w:r>
      <w:r w:rsidR="008E732B" w:rsidRPr="00364EF3">
        <w:rPr>
          <w:rFonts w:cs="Times New Roman"/>
        </w:rPr>
        <w:t>isorders associated with the</w:t>
      </w:r>
      <w:r w:rsidR="0009735D" w:rsidRPr="00364EF3">
        <w:rPr>
          <w:rFonts w:cs="Times New Roman"/>
        </w:rPr>
        <w:t xml:space="preserve"> </w:t>
      </w:r>
      <w:r w:rsidR="0009735D" w:rsidRPr="00710F5A">
        <w:rPr>
          <w:i/>
        </w:rPr>
        <w:t>abuse of cannabis, opioids</w:t>
      </w:r>
      <w:r w:rsidR="003443C1" w:rsidRPr="00710F5A">
        <w:rPr>
          <w:i/>
        </w:rPr>
        <w:t>,</w:t>
      </w:r>
      <w:r w:rsidR="0009735D" w:rsidRPr="00710F5A">
        <w:rPr>
          <w:i/>
        </w:rPr>
        <w:t xml:space="preserve"> and alcohol</w:t>
      </w:r>
      <w:r w:rsidR="0009735D" w:rsidRPr="00364EF3">
        <w:rPr>
          <w:rFonts w:cs="Times New Roman"/>
        </w:rPr>
        <w:t xml:space="preserve"> </w:t>
      </w:r>
      <w:r w:rsidR="008E732B" w:rsidRPr="00364EF3">
        <w:rPr>
          <w:rFonts w:cs="Times New Roman"/>
        </w:rPr>
        <w:t>exhibit more</w:t>
      </w:r>
      <w:r w:rsidR="00BE30B0" w:rsidRPr="00364EF3">
        <w:rPr>
          <w:rFonts w:cs="Times New Roman"/>
        </w:rPr>
        <w:t xml:space="preserve"> innovation</w:t>
      </w:r>
      <w:r w:rsidR="007C74DD">
        <w:rPr>
          <w:rFonts w:cs="Times New Roman"/>
        </w:rPr>
        <w:t xml:space="preserve"> (i.e. 87 targeting each of the</w:t>
      </w:r>
      <w:r w:rsidR="00FB4A52">
        <w:rPr>
          <w:rFonts w:cs="Times New Roman"/>
        </w:rPr>
        <w:t xml:space="preserve"> </w:t>
      </w:r>
      <w:r w:rsidR="007C74DD">
        <w:rPr>
          <w:rFonts w:cs="Times New Roman"/>
        </w:rPr>
        <w:t>three diseases</w:t>
      </w:r>
      <w:r w:rsidR="00B44B63">
        <w:rPr>
          <w:rFonts w:cs="Times New Roman"/>
        </w:rPr>
        <w:t xml:space="preserve">, and percentage of total DALYs </w:t>
      </w:r>
      <w:r w:rsidR="003C70D1">
        <w:rPr>
          <w:rFonts w:cs="Times New Roman"/>
        </w:rPr>
        <w:t>for</w:t>
      </w:r>
      <w:r w:rsidR="00896934">
        <w:rPr>
          <w:rFonts w:cs="Times New Roman"/>
        </w:rPr>
        <w:t xml:space="preserve"> the subcategory</w:t>
      </w:r>
      <w:r w:rsidR="003C70D1">
        <w:rPr>
          <w:rFonts w:cs="Times New Roman"/>
        </w:rPr>
        <w:t xml:space="preserve"> “</w:t>
      </w:r>
      <w:r w:rsidR="00B44B63" w:rsidRPr="00364EF3">
        <w:rPr>
          <w:rFonts w:eastAsia="MS Mincho" w:cs="Times New Roman"/>
        </w:rPr>
        <w:t>mental and behavioral disorders</w:t>
      </w:r>
      <w:r w:rsidR="003C70D1">
        <w:rPr>
          <w:rFonts w:eastAsia="MS Mincho" w:cs="Times New Roman"/>
        </w:rPr>
        <w:t>”</w:t>
      </w:r>
      <w:r w:rsidR="00B44B63">
        <w:rPr>
          <w:rFonts w:eastAsia="MS Mincho" w:cs="Times New Roman"/>
        </w:rPr>
        <w:t xml:space="preserve"> in 2010, respectively, 1.1</w:t>
      </w:r>
      <w:r w:rsidR="00801869">
        <w:rPr>
          <w:rFonts w:eastAsia="MS Mincho" w:cs="Times New Roman"/>
        </w:rPr>
        <w:t>1</w:t>
      </w:r>
      <w:r w:rsidR="00B44B63">
        <w:rPr>
          <w:rFonts w:eastAsia="MS Mincho" w:cs="Times New Roman"/>
        </w:rPr>
        <w:t>%, 4.9</w:t>
      </w:r>
      <w:r w:rsidR="00801869">
        <w:rPr>
          <w:rFonts w:eastAsia="MS Mincho" w:cs="Times New Roman"/>
        </w:rPr>
        <w:t>4</w:t>
      </w:r>
      <w:r w:rsidR="00B44B63">
        <w:rPr>
          <w:rFonts w:eastAsia="MS Mincho" w:cs="Times New Roman"/>
        </w:rPr>
        <w:t>% and 9.5</w:t>
      </w:r>
      <w:r w:rsidR="00801869">
        <w:rPr>
          <w:rFonts w:eastAsia="MS Mincho" w:cs="Times New Roman"/>
        </w:rPr>
        <w:t>2</w:t>
      </w:r>
      <w:r w:rsidR="00B44B63">
        <w:rPr>
          <w:rFonts w:eastAsia="MS Mincho" w:cs="Times New Roman"/>
        </w:rPr>
        <w:t>%</w:t>
      </w:r>
      <w:r w:rsidR="007C74DD">
        <w:rPr>
          <w:rFonts w:cs="Times New Roman"/>
        </w:rPr>
        <w:t>)</w:t>
      </w:r>
      <w:r w:rsidR="0009735D" w:rsidRPr="00364EF3">
        <w:rPr>
          <w:rFonts w:cs="Times New Roman"/>
        </w:rPr>
        <w:t xml:space="preserve"> than conditions </w:t>
      </w:r>
      <w:r w:rsidR="005E54BA" w:rsidRPr="00364EF3">
        <w:rPr>
          <w:rFonts w:cs="Times New Roman"/>
        </w:rPr>
        <w:t>with larger associated burden</w:t>
      </w:r>
      <w:r w:rsidR="007C74DD">
        <w:rPr>
          <w:rFonts w:cs="Times New Roman"/>
        </w:rPr>
        <w:t>,</w:t>
      </w:r>
      <w:r w:rsidR="00FB4A52">
        <w:rPr>
          <w:rFonts w:cs="Times New Roman"/>
        </w:rPr>
        <w:t xml:space="preserve"> </w:t>
      </w:r>
      <w:r w:rsidR="007C74DD">
        <w:rPr>
          <w:rFonts w:cs="Times New Roman"/>
        </w:rPr>
        <w:t>with</w:t>
      </w:r>
      <w:r w:rsidR="008E732B" w:rsidRPr="00364EF3">
        <w:rPr>
          <w:rFonts w:cs="Times New Roman"/>
        </w:rPr>
        <w:t xml:space="preserve"> </w:t>
      </w:r>
      <w:r w:rsidR="0009735D" w:rsidRPr="00710F5A">
        <w:rPr>
          <w:i/>
        </w:rPr>
        <w:t>dysthymia</w:t>
      </w:r>
      <w:r w:rsidR="0009735D" w:rsidRPr="00364EF3">
        <w:rPr>
          <w:rFonts w:cs="Times New Roman"/>
        </w:rPr>
        <w:t xml:space="preserve">, </w:t>
      </w:r>
      <w:r w:rsidR="0009735D" w:rsidRPr="00710F5A">
        <w:rPr>
          <w:i/>
        </w:rPr>
        <w:t>anxiety</w:t>
      </w:r>
      <w:r w:rsidR="0009735D" w:rsidRPr="00364EF3">
        <w:rPr>
          <w:rFonts w:cs="Times New Roman"/>
        </w:rPr>
        <w:t xml:space="preserve"> and </w:t>
      </w:r>
      <w:r w:rsidR="0009735D" w:rsidRPr="00710F5A">
        <w:rPr>
          <w:i/>
        </w:rPr>
        <w:t>unipolar depressive disorders</w:t>
      </w:r>
      <w:r w:rsidR="007C74DD">
        <w:rPr>
          <w:rFonts w:cs="Times New Roman"/>
        </w:rPr>
        <w:t xml:space="preserve"> showing respectively </w:t>
      </w:r>
      <w:r w:rsidR="00B44B63">
        <w:rPr>
          <w:rFonts w:cs="Times New Roman"/>
        </w:rPr>
        <w:t>5.9</w:t>
      </w:r>
      <w:r w:rsidR="00801869">
        <w:rPr>
          <w:rFonts w:cs="Times New Roman"/>
        </w:rPr>
        <w:t>8</w:t>
      </w:r>
      <w:r w:rsidR="00B44B63">
        <w:rPr>
          <w:rFonts w:cs="Times New Roman"/>
        </w:rPr>
        <w:t xml:space="preserve">%, </w:t>
      </w:r>
      <w:r w:rsidR="00801869">
        <w:rPr>
          <w:rFonts w:cs="Times New Roman"/>
        </w:rPr>
        <w:t xml:space="preserve">14.49%, </w:t>
      </w:r>
      <w:r w:rsidR="00B44B63">
        <w:rPr>
          <w:rFonts w:cs="Times New Roman"/>
        </w:rPr>
        <w:t xml:space="preserve"> and 34.1</w:t>
      </w:r>
      <w:r w:rsidR="00801869">
        <w:rPr>
          <w:rFonts w:cs="Times New Roman"/>
        </w:rPr>
        <w:t>1</w:t>
      </w:r>
      <w:r w:rsidR="00B44B63">
        <w:rPr>
          <w:rFonts w:cs="Times New Roman"/>
        </w:rPr>
        <w:t xml:space="preserve">% of total </w:t>
      </w:r>
      <w:r w:rsidR="00683876">
        <w:rPr>
          <w:rFonts w:cs="Times New Roman"/>
        </w:rPr>
        <w:t xml:space="preserve"> DALYs</w:t>
      </w:r>
      <w:r w:rsidR="00B44B63">
        <w:rPr>
          <w:rFonts w:cs="Times New Roman"/>
        </w:rPr>
        <w:t xml:space="preserve"> in this disease subcategory</w:t>
      </w:r>
      <w:r w:rsidR="007C74DD">
        <w:rPr>
          <w:rFonts w:cs="Times New Roman"/>
        </w:rPr>
        <w:t xml:space="preserve">, and </w:t>
      </w:r>
      <w:r w:rsidR="00C22B36">
        <w:rPr>
          <w:rFonts w:cs="Times New Roman"/>
        </w:rPr>
        <w:t>eight</w:t>
      </w:r>
      <w:r w:rsidR="007C74DD">
        <w:rPr>
          <w:rFonts w:cs="Times New Roman"/>
        </w:rPr>
        <w:t xml:space="preserve"> new therapies</w:t>
      </w:r>
      <w:r w:rsidR="00FB4A52">
        <w:rPr>
          <w:rFonts w:cs="Times New Roman"/>
        </w:rPr>
        <w:t xml:space="preserve"> launched in the market</w:t>
      </w:r>
      <w:r w:rsidR="00801869">
        <w:rPr>
          <w:rFonts w:cs="Times New Roman"/>
        </w:rPr>
        <w:t xml:space="preserve"> in 2010</w:t>
      </w:r>
      <w:r w:rsidR="008E732B" w:rsidRPr="00364EF3">
        <w:rPr>
          <w:rFonts w:cs="Times New Roman"/>
        </w:rPr>
        <w:t>.</w:t>
      </w:r>
    </w:p>
    <w:p w14:paraId="064F9BC7" w14:textId="5DAC01A1" w:rsidR="00444F1F" w:rsidRPr="00364EF3" w:rsidRDefault="00923ED9" w:rsidP="009C7054">
      <w:pPr>
        <w:tabs>
          <w:tab w:val="left" w:pos="1418"/>
        </w:tabs>
        <w:spacing w:line="480" w:lineRule="auto"/>
        <w:jc w:val="both"/>
        <w:rPr>
          <w:rFonts w:cs="Times New Roman"/>
        </w:rPr>
      </w:pPr>
      <w:r w:rsidRPr="00364EF3">
        <w:rPr>
          <w:rFonts w:cs="Times New Roman"/>
        </w:rPr>
        <w:t xml:space="preserve">The results are </w:t>
      </w:r>
      <w:r w:rsidR="0073141B">
        <w:rPr>
          <w:rFonts w:cs="Times New Roman"/>
        </w:rPr>
        <w:t xml:space="preserve">also </w:t>
      </w:r>
      <w:r w:rsidRPr="00364EF3">
        <w:rPr>
          <w:rFonts w:cs="Times New Roman"/>
        </w:rPr>
        <w:t>qualitatively similar when looking at market size</w:t>
      </w:r>
      <w:r w:rsidR="003A6282" w:rsidRPr="00364EF3">
        <w:rPr>
          <w:rFonts w:cs="Times New Roman"/>
        </w:rPr>
        <w:t xml:space="preserve">. </w:t>
      </w:r>
      <w:r w:rsidR="00097047" w:rsidRPr="00364EF3">
        <w:rPr>
          <w:rFonts w:cs="Times New Roman"/>
        </w:rPr>
        <w:t>In both years</w:t>
      </w:r>
      <w:r w:rsidR="00892DB1" w:rsidRPr="00364EF3">
        <w:rPr>
          <w:rFonts w:cs="Times New Roman"/>
        </w:rPr>
        <w:t xml:space="preserve"> </w:t>
      </w:r>
      <w:r w:rsidR="00097047" w:rsidRPr="00364EF3">
        <w:rPr>
          <w:rFonts w:cs="Times New Roman"/>
        </w:rPr>
        <w:t xml:space="preserve">disease areas with </w:t>
      </w:r>
      <w:r w:rsidR="00892DB1" w:rsidRPr="00364EF3">
        <w:rPr>
          <w:rFonts w:cs="Times New Roman"/>
        </w:rPr>
        <w:t>smaller market</w:t>
      </w:r>
      <w:r w:rsidR="00097047" w:rsidRPr="00364EF3">
        <w:rPr>
          <w:rFonts w:cs="Times New Roman"/>
        </w:rPr>
        <w:t xml:space="preserve"> size</w:t>
      </w:r>
      <w:r w:rsidR="00892DB1" w:rsidRPr="00364EF3">
        <w:rPr>
          <w:rFonts w:cs="Times New Roman"/>
        </w:rPr>
        <w:t xml:space="preserve"> </w:t>
      </w:r>
      <w:r w:rsidR="00097047" w:rsidRPr="00364EF3">
        <w:rPr>
          <w:rFonts w:cs="Times New Roman"/>
        </w:rPr>
        <w:t xml:space="preserve">(e.g. </w:t>
      </w:r>
      <w:r w:rsidR="0032463E" w:rsidRPr="00710F5A">
        <w:rPr>
          <w:i/>
        </w:rPr>
        <w:t>substance</w:t>
      </w:r>
      <w:r w:rsidR="00475EE6" w:rsidRPr="00710F5A">
        <w:rPr>
          <w:i/>
        </w:rPr>
        <w:t xml:space="preserve"> use</w:t>
      </w:r>
      <w:r w:rsidR="00097047" w:rsidRPr="00710F5A">
        <w:rPr>
          <w:i/>
        </w:rPr>
        <w:t xml:space="preserve"> </w:t>
      </w:r>
      <w:r w:rsidR="003A6282" w:rsidRPr="00710F5A">
        <w:rPr>
          <w:i/>
        </w:rPr>
        <w:t>disorders</w:t>
      </w:r>
      <w:r w:rsidR="003A6282" w:rsidRPr="00364EF3">
        <w:rPr>
          <w:rFonts w:cs="Times New Roman"/>
        </w:rPr>
        <w:t xml:space="preserve"> and </w:t>
      </w:r>
      <w:r w:rsidR="003A6282" w:rsidRPr="00710F5A">
        <w:rPr>
          <w:i/>
        </w:rPr>
        <w:t>child behavioural disorders</w:t>
      </w:r>
      <w:r w:rsidR="00097047" w:rsidRPr="00364EF3">
        <w:rPr>
          <w:rFonts w:cs="Times New Roman"/>
        </w:rPr>
        <w:t xml:space="preserve"> in 1990; and </w:t>
      </w:r>
      <w:r w:rsidR="00097047" w:rsidRPr="00710F5A">
        <w:rPr>
          <w:i/>
        </w:rPr>
        <w:t>asperger</w:t>
      </w:r>
      <w:r w:rsidR="00097047" w:rsidRPr="00364EF3">
        <w:rPr>
          <w:rFonts w:cs="Times New Roman"/>
        </w:rPr>
        <w:t xml:space="preserve">, </w:t>
      </w:r>
      <w:r w:rsidR="00097047" w:rsidRPr="00710F5A">
        <w:rPr>
          <w:i/>
        </w:rPr>
        <w:t>autism</w:t>
      </w:r>
      <w:r w:rsidR="00097047" w:rsidRPr="00364EF3">
        <w:rPr>
          <w:rFonts w:cs="Times New Roman"/>
        </w:rPr>
        <w:t xml:space="preserve"> and </w:t>
      </w:r>
      <w:r w:rsidR="00097047" w:rsidRPr="00710F5A">
        <w:rPr>
          <w:i/>
        </w:rPr>
        <w:t>dis</w:t>
      </w:r>
      <w:r w:rsidR="007567AF" w:rsidRPr="00710F5A">
        <w:rPr>
          <w:i/>
        </w:rPr>
        <w:t>orders</w:t>
      </w:r>
      <w:r w:rsidR="00097047" w:rsidRPr="00710F5A">
        <w:rPr>
          <w:i/>
        </w:rPr>
        <w:t xml:space="preserve"> associated with opiods</w:t>
      </w:r>
      <w:r w:rsidR="00097047" w:rsidRPr="00364EF3">
        <w:rPr>
          <w:rFonts w:cs="Times New Roman"/>
        </w:rPr>
        <w:t xml:space="preserve"> abuse </w:t>
      </w:r>
      <w:r w:rsidR="00C22B36">
        <w:rPr>
          <w:rFonts w:cs="Times New Roman"/>
        </w:rPr>
        <w:t xml:space="preserve">in </w:t>
      </w:r>
      <w:r w:rsidR="00097047" w:rsidRPr="00364EF3">
        <w:rPr>
          <w:rFonts w:cs="Times New Roman"/>
        </w:rPr>
        <w:t>2010)</w:t>
      </w:r>
      <w:r w:rsidR="003A6282" w:rsidRPr="00364EF3">
        <w:rPr>
          <w:rFonts w:cs="Times New Roman"/>
        </w:rPr>
        <w:t xml:space="preserve"> show </w:t>
      </w:r>
      <w:r w:rsidR="003A6282" w:rsidRPr="00364EF3">
        <w:rPr>
          <w:rFonts w:cs="Times New Roman"/>
        </w:rPr>
        <w:lastRenderedPageBreak/>
        <w:t xml:space="preserve">relatively more </w:t>
      </w:r>
      <w:r w:rsidR="00097047" w:rsidRPr="00364EF3">
        <w:rPr>
          <w:rFonts w:cs="Times New Roman"/>
        </w:rPr>
        <w:t>innovation</w:t>
      </w:r>
      <w:r w:rsidR="003A6282" w:rsidRPr="00364EF3">
        <w:rPr>
          <w:rFonts w:cs="Times New Roman"/>
        </w:rPr>
        <w:t xml:space="preserve"> than </w:t>
      </w:r>
      <w:r w:rsidR="00097047" w:rsidRPr="00364EF3">
        <w:rPr>
          <w:rFonts w:cs="Times New Roman"/>
        </w:rPr>
        <w:t xml:space="preserve">those with </w:t>
      </w:r>
      <w:r w:rsidR="003A6282" w:rsidRPr="00364EF3">
        <w:rPr>
          <w:rFonts w:cs="Times New Roman"/>
        </w:rPr>
        <w:t xml:space="preserve">larger markets </w:t>
      </w:r>
      <w:r w:rsidR="00097047" w:rsidRPr="00364EF3">
        <w:rPr>
          <w:rFonts w:cs="Times New Roman"/>
        </w:rPr>
        <w:t xml:space="preserve">(e.g. </w:t>
      </w:r>
      <w:r w:rsidR="00A809B6" w:rsidRPr="00710F5A">
        <w:rPr>
          <w:i/>
        </w:rPr>
        <w:t>dysthymia</w:t>
      </w:r>
      <w:r w:rsidR="007567AF" w:rsidRPr="00364EF3">
        <w:rPr>
          <w:rFonts w:cs="Times New Roman"/>
        </w:rPr>
        <w:t>,</w:t>
      </w:r>
      <w:r w:rsidR="00A809B6" w:rsidRPr="00364EF3" w:rsidDel="00097047">
        <w:rPr>
          <w:rFonts w:cs="Times New Roman"/>
        </w:rPr>
        <w:t xml:space="preserve"> </w:t>
      </w:r>
      <w:r w:rsidR="00A809B6" w:rsidRPr="00364EF3">
        <w:rPr>
          <w:rFonts w:cs="Times New Roman"/>
        </w:rPr>
        <w:t xml:space="preserve"> </w:t>
      </w:r>
      <w:r w:rsidR="003A6282" w:rsidRPr="00710F5A">
        <w:rPr>
          <w:i/>
        </w:rPr>
        <w:t>bipolar disorders</w:t>
      </w:r>
      <w:r w:rsidR="003A6282" w:rsidRPr="00364EF3">
        <w:rPr>
          <w:rFonts w:cs="Times New Roman"/>
        </w:rPr>
        <w:t xml:space="preserve">, </w:t>
      </w:r>
      <w:r w:rsidR="003A6282" w:rsidRPr="00710F5A">
        <w:rPr>
          <w:i/>
        </w:rPr>
        <w:t>schizophrenia</w:t>
      </w:r>
      <w:r w:rsidR="003A6282" w:rsidRPr="00364EF3">
        <w:rPr>
          <w:rFonts w:cs="Times New Roman"/>
        </w:rPr>
        <w:t xml:space="preserve"> and </w:t>
      </w:r>
      <w:r w:rsidR="003A6282" w:rsidRPr="00710F5A">
        <w:rPr>
          <w:i/>
        </w:rPr>
        <w:t>anxiety disorders</w:t>
      </w:r>
      <w:r w:rsidR="00A809B6" w:rsidRPr="00364EF3">
        <w:rPr>
          <w:rFonts w:cs="Times New Roman"/>
        </w:rPr>
        <w:t>)</w:t>
      </w:r>
      <w:r w:rsidR="003A6282" w:rsidRPr="00364EF3">
        <w:rPr>
          <w:rFonts w:cs="Times New Roman"/>
        </w:rPr>
        <w:t xml:space="preserve">. </w:t>
      </w:r>
    </w:p>
    <w:p w14:paraId="2A050753" w14:textId="6335C525" w:rsidR="002E6CEF" w:rsidRPr="00364EF3" w:rsidRDefault="0016575A" w:rsidP="009C7054">
      <w:pPr>
        <w:tabs>
          <w:tab w:val="left" w:pos="1418"/>
        </w:tabs>
        <w:spacing w:line="480" w:lineRule="auto"/>
        <w:jc w:val="both"/>
        <w:rPr>
          <w:rFonts w:cs="Times New Roman"/>
        </w:rPr>
      </w:pPr>
      <w:r w:rsidRPr="00364EF3">
        <w:rPr>
          <w:rFonts w:cs="Times New Roman"/>
        </w:rPr>
        <w:t xml:space="preserve">Differences in the magnitude of the indices between 1990 and 2010 suggest increasing inequalities in the distribution of innovation in all disease subcategories except </w:t>
      </w:r>
      <w:r w:rsidR="00B0191B" w:rsidRPr="00364EF3">
        <w:rPr>
          <w:rFonts w:cs="Times New Roman"/>
        </w:rPr>
        <w:t>for</w:t>
      </w:r>
      <w:r w:rsidRPr="00364EF3">
        <w:rPr>
          <w:rFonts w:cs="Times New Roman"/>
        </w:rPr>
        <w:t xml:space="preserve"> </w:t>
      </w:r>
      <w:r w:rsidR="003C70D1">
        <w:rPr>
          <w:rFonts w:cs="Times New Roman"/>
        </w:rPr>
        <w:t>“</w:t>
      </w:r>
      <w:r w:rsidRPr="00364EF3">
        <w:rPr>
          <w:rFonts w:cs="Times New Roman"/>
        </w:rPr>
        <w:t>cardiovascular and circulatory diseases</w:t>
      </w:r>
      <w:r w:rsidR="003C70D1">
        <w:rPr>
          <w:rFonts w:cs="Times New Roman"/>
        </w:rPr>
        <w:t>”</w:t>
      </w:r>
      <w:r w:rsidRPr="00364EF3">
        <w:rPr>
          <w:rFonts w:cs="Times New Roman"/>
        </w:rPr>
        <w:t xml:space="preserve"> </w:t>
      </w:r>
      <w:r w:rsidR="00365FDA">
        <w:rPr>
          <w:rFonts w:cs="Times New Roman"/>
        </w:rPr>
        <w:t>(</w:t>
      </w:r>
      <w:r w:rsidR="009609E0">
        <w:rPr>
          <w:rFonts w:eastAsia="MS Mincho" w:cs="Times New Roman"/>
        </w:rPr>
        <w:t>Table VI</w:t>
      </w:r>
      <w:r w:rsidRPr="00364EF3">
        <w:rPr>
          <w:rFonts w:cs="Times New Roman"/>
        </w:rPr>
        <w:t xml:space="preserve">). </w:t>
      </w:r>
      <w:r w:rsidR="00474BD7" w:rsidRPr="00364EF3">
        <w:rPr>
          <w:rFonts w:cs="Times New Roman"/>
        </w:rPr>
        <w:t xml:space="preserve"> </w:t>
      </w:r>
      <w:r w:rsidRPr="00364EF3">
        <w:rPr>
          <w:rFonts w:cs="Times New Roman"/>
        </w:rPr>
        <w:t>Results suggest that, over time, innovation became increasingly more concentrated in diseases that rank high in terms of disease burden for</w:t>
      </w:r>
      <w:r w:rsidR="005635EE">
        <w:rPr>
          <w:rFonts w:cs="Times New Roman"/>
        </w:rPr>
        <w:t xml:space="preserve"> subcategories such</w:t>
      </w:r>
      <w:r w:rsidRPr="00364EF3">
        <w:rPr>
          <w:rFonts w:cs="Times New Roman"/>
        </w:rPr>
        <w:t xml:space="preserve"> </w:t>
      </w:r>
      <w:r w:rsidR="003C70D1">
        <w:rPr>
          <w:rFonts w:cs="Times New Roman"/>
        </w:rPr>
        <w:t>“</w:t>
      </w:r>
      <w:r w:rsidRPr="00364EF3">
        <w:rPr>
          <w:rFonts w:cs="Times New Roman"/>
        </w:rPr>
        <w:t>neoplasms</w:t>
      </w:r>
      <w:r w:rsidR="003C70D1">
        <w:rPr>
          <w:rFonts w:cs="Times New Roman"/>
        </w:rPr>
        <w:t>”</w:t>
      </w:r>
      <w:r w:rsidR="003443C1" w:rsidRPr="00364EF3">
        <w:rPr>
          <w:rFonts w:cs="Times New Roman"/>
        </w:rPr>
        <w:t xml:space="preserve"> and </w:t>
      </w:r>
      <w:r w:rsidR="003C70D1">
        <w:rPr>
          <w:rFonts w:cs="Times New Roman"/>
        </w:rPr>
        <w:t>“</w:t>
      </w:r>
      <w:r w:rsidR="003443C1" w:rsidRPr="00364EF3">
        <w:rPr>
          <w:rFonts w:cs="Times New Roman"/>
        </w:rPr>
        <w:t>musculoskeletal disorders</w:t>
      </w:r>
      <w:r w:rsidR="003C70D1">
        <w:rPr>
          <w:rFonts w:cs="Times New Roman"/>
        </w:rPr>
        <w:t>”</w:t>
      </w:r>
      <w:r w:rsidR="003443C1" w:rsidRPr="00364EF3">
        <w:rPr>
          <w:rFonts w:cs="Times New Roman"/>
        </w:rPr>
        <w:t>,</w:t>
      </w:r>
      <w:r w:rsidRPr="00364EF3">
        <w:rPr>
          <w:rFonts w:cs="Times New Roman"/>
        </w:rPr>
        <w:t xml:space="preserve"> and increasingly more concentrated towards diseases that rank low in terms of disease burden for the </w:t>
      </w:r>
      <w:r w:rsidR="005635EE">
        <w:rPr>
          <w:rFonts w:cs="Times New Roman"/>
        </w:rPr>
        <w:t>subcategory</w:t>
      </w:r>
      <w:r w:rsidR="005635EE" w:rsidRPr="00364EF3">
        <w:rPr>
          <w:rFonts w:cs="Times New Roman"/>
        </w:rPr>
        <w:t xml:space="preserve"> </w:t>
      </w:r>
      <w:r w:rsidRPr="00364EF3">
        <w:rPr>
          <w:rFonts w:cs="Times New Roman"/>
        </w:rPr>
        <w:t xml:space="preserve">of </w:t>
      </w:r>
      <w:r w:rsidR="003C70D1">
        <w:rPr>
          <w:rFonts w:cs="Times New Roman"/>
        </w:rPr>
        <w:t>“</w:t>
      </w:r>
      <w:r w:rsidRPr="00364EF3">
        <w:rPr>
          <w:rFonts w:cs="Times New Roman"/>
        </w:rPr>
        <w:t xml:space="preserve">mental </w:t>
      </w:r>
      <w:r w:rsidR="003C70D1">
        <w:rPr>
          <w:rFonts w:cs="Times New Roman"/>
        </w:rPr>
        <w:t>and behavioral</w:t>
      </w:r>
      <w:r w:rsidR="003C70D1" w:rsidRPr="00364EF3">
        <w:rPr>
          <w:rFonts w:cs="Times New Roman"/>
        </w:rPr>
        <w:t xml:space="preserve"> </w:t>
      </w:r>
      <w:r w:rsidRPr="00364EF3">
        <w:rPr>
          <w:rFonts w:cs="Times New Roman"/>
        </w:rPr>
        <w:t>disorders</w:t>
      </w:r>
      <w:r w:rsidR="003C70D1">
        <w:rPr>
          <w:rFonts w:cs="Times New Roman"/>
        </w:rPr>
        <w:t>”</w:t>
      </w:r>
      <w:r w:rsidRPr="00364EF3">
        <w:rPr>
          <w:rFonts w:cs="Times New Roman"/>
        </w:rPr>
        <w:t xml:space="preserve"> </w:t>
      </w:r>
      <w:r w:rsidR="00365FDA">
        <w:rPr>
          <w:rFonts w:cs="Times New Roman"/>
        </w:rPr>
        <w:t>(</w:t>
      </w:r>
      <w:r w:rsidR="009609E0">
        <w:rPr>
          <w:rFonts w:eastAsia="MS Mincho" w:cs="Times New Roman"/>
        </w:rPr>
        <w:t>Table VI</w:t>
      </w:r>
      <w:r w:rsidRPr="00364EF3">
        <w:rPr>
          <w:rFonts w:cs="Times New Roman"/>
        </w:rPr>
        <w:t xml:space="preserve">). </w:t>
      </w:r>
      <w:r w:rsidR="002E6CEF" w:rsidRPr="00364EF3">
        <w:rPr>
          <w:rFonts w:cs="Times New Roman"/>
        </w:rPr>
        <w:t>Similar results are found for market size (</w:t>
      </w:r>
      <w:r w:rsidR="009609E0">
        <w:rPr>
          <w:rFonts w:eastAsia="MS Mincho" w:cs="Times New Roman"/>
        </w:rPr>
        <w:t>Table VI</w:t>
      </w:r>
      <w:r w:rsidR="002E6CEF" w:rsidRPr="00364EF3">
        <w:rPr>
          <w:rFonts w:cs="Times New Roman"/>
        </w:rPr>
        <w:t>).</w:t>
      </w:r>
    </w:p>
    <w:p w14:paraId="1DF6BFB7" w14:textId="77777777" w:rsidR="0016575A" w:rsidRPr="00364EF3" w:rsidRDefault="0016575A" w:rsidP="009C7054">
      <w:pPr>
        <w:spacing w:line="480" w:lineRule="auto"/>
        <w:jc w:val="both"/>
        <w:rPr>
          <w:rFonts w:cs="Times New Roman"/>
        </w:rPr>
      </w:pPr>
    </w:p>
    <w:p w14:paraId="1E258AAD" w14:textId="255B7F23" w:rsidR="00565B1A" w:rsidRPr="00364EF3" w:rsidRDefault="00E43D57" w:rsidP="009C7054">
      <w:pPr>
        <w:spacing w:line="480" w:lineRule="auto"/>
        <w:jc w:val="both"/>
        <w:rPr>
          <w:rFonts w:eastAsia="MS Mincho" w:cs="Times New Roman"/>
        </w:rPr>
      </w:pPr>
      <w:r w:rsidRPr="00364EF3">
        <w:rPr>
          <w:rFonts w:cs="Times New Roman"/>
        </w:rPr>
        <w:t>For the disease subcategories causing the highest burden in developing countries,</w:t>
      </w:r>
      <w:r w:rsidR="00C218BB" w:rsidRPr="00364EF3">
        <w:rPr>
          <w:rFonts w:cs="Times New Roman"/>
        </w:rPr>
        <w:t xml:space="preserve"> the concentration curves</w:t>
      </w:r>
      <w:r w:rsidR="00385EEB" w:rsidRPr="00364EF3">
        <w:rPr>
          <w:rFonts w:cs="Times New Roman"/>
        </w:rPr>
        <w:t xml:space="preserve"> suggest a </w:t>
      </w:r>
      <w:r w:rsidRPr="00364EF3">
        <w:rPr>
          <w:rFonts w:cs="Times New Roman"/>
        </w:rPr>
        <w:t xml:space="preserve">significant skewing towards diseases with highest burden and larger market size in the </w:t>
      </w:r>
      <w:r w:rsidR="003C70D1">
        <w:rPr>
          <w:rFonts w:cs="Times New Roman"/>
        </w:rPr>
        <w:t>“</w:t>
      </w:r>
      <w:r w:rsidRPr="00364EF3">
        <w:rPr>
          <w:rFonts w:cs="Times New Roman"/>
        </w:rPr>
        <w:t>diarrheal diseases and LRI</w:t>
      </w:r>
      <w:r w:rsidR="003C70D1">
        <w:rPr>
          <w:rFonts w:cs="Times New Roman"/>
        </w:rPr>
        <w:t>”</w:t>
      </w:r>
      <w:r w:rsidR="00271BBF" w:rsidRPr="00364EF3">
        <w:rPr>
          <w:rFonts w:cs="Times New Roman"/>
        </w:rPr>
        <w:t>,</w:t>
      </w:r>
      <w:r w:rsidR="00855199" w:rsidRPr="00364EF3">
        <w:rPr>
          <w:rFonts w:cs="Times New Roman"/>
        </w:rPr>
        <w:t xml:space="preserve"> </w:t>
      </w:r>
      <w:r w:rsidR="008B03C9" w:rsidRPr="00364EF3">
        <w:rPr>
          <w:rFonts w:cs="Times New Roman"/>
        </w:rPr>
        <w:t xml:space="preserve">and </w:t>
      </w:r>
      <w:r w:rsidR="003C70D1">
        <w:rPr>
          <w:rFonts w:cs="Times New Roman"/>
        </w:rPr>
        <w:t>“</w:t>
      </w:r>
      <w:r w:rsidRPr="00364EF3">
        <w:rPr>
          <w:rFonts w:cs="Times New Roman"/>
        </w:rPr>
        <w:t>cardiovascular and circulatory diseases</w:t>
      </w:r>
      <w:r w:rsidR="003C70D1">
        <w:rPr>
          <w:rFonts w:cs="Times New Roman"/>
        </w:rPr>
        <w:t>”</w:t>
      </w:r>
      <w:r w:rsidR="00565B1A" w:rsidRPr="00364EF3">
        <w:rPr>
          <w:rFonts w:cs="Times New Roman"/>
        </w:rPr>
        <w:t xml:space="preserve"> </w:t>
      </w:r>
      <w:r w:rsidRPr="00364EF3">
        <w:rPr>
          <w:rFonts w:cs="Times New Roman"/>
        </w:rPr>
        <w:t>(</w:t>
      </w:r>
      <w:r w:rsidR="00AD2DB6">
        <w:rPr>
          <w:rFonts w:cs="Times New Roman"/>
        </w:rPr>
        <w:t>Figures 6</w:t>
      </w:r>
      <w:r w:rsidRPr="00364EF3">
        <w:rPr>
          <w:rFonts w:cs="Times New Roman"/>
        </w:rPr>
        <w:t>a</w:t>
      </w:r>
      <w:r w:rsidR="008B03C9" w:rsidRPr="00364EF3">
        <w:rPr>
          <w:rFonts w:cs="Times New Roman"/>
        </w:rPr>
        <w:t xml:space="preserve"> and</w:t>
      </w:r>
      <w:r w:rsidR="00855199" w:rsidRPr="00364EF3">
        <w:rPr>
          <w:rFonts w:cs="Times New Roman"/>
        </w:rPr>
        <w:t xml:space="preserve"> </w:t>
      </w:r>
      <w:r w:rsidR="00AD2DB6">
        <w:rPr>
          <w:rFonts w:cs="Times New Roman"/>
        </w:rPr>
        <w:t>6</w:t>
      </w:r>
      <w:r w:rsidR="001E6E3B" w:rsidRPr="00364EF3">
        <w:rPr>
          <w:rFonts w:cs="Times New Roman"/>
        </w:rPr>
        <w:t xml:space="preserve">c; </w:t>
      </w:r>
      <w:r w:rsidR="00AD2DB6">
        <w:rPr>
          <w:rFonts w:cs="Times New Roman"/>
        </w:rPr>
        <w:t>Figures 7</w:t>
      </w:r>
      <w:r w:rsidR="001E6E3B" w:rsidRPr="00364EF3">
        <w:rPr>
          <w:rFonts w:cs="Times New Roman"/>
        </w:rPr>
        <w:t xml:space="preserve">a and </w:t>
      </w:r>
      <w:r w:rsidR="00AD2DB6">
        <w:rPr>
          <w:rFonts w:cs="Times New Roman"/>
        </w:rPr>
        <w:t>7</w:t>
      </w:r>
      <w:r w:rsidR="001E6E3B" w:rsidRPr="00364EF3">
        <w:rPr>
          <w:rFonts w:cs="Times New Roman"/>
        </w:rPr>
        <w:t>c</w:t>
      </w:r>
      <w:r w:rsidR="00565B1A" w:rsidRPr="00364EF3">
        <w:rPr>
          <w:rFonts w:cs="Times New Roman"/>
        </w:rPr>
        <w:t xml:space="preserve"> respectively</w:t>
      </w:r>
      <w:r w:rsidRPr="00364EF3">
        <w:rPr>
          <w:rFonts w:cs="Times New Roman"/>
        </w:rPr>
        <w:t>)</w:t>
      </w:r>
      <w:r w:rsidR="00385EEB" w:rsidRPr="00364EF3">
        <w:rPr>
          <w:rFonts w:cs="Times New Roman"/>
        </w:rPr>
        <w:t xml:space="preserve"> albeit </w:t>
      </w:r>
      <w:r w:rsidR="00D44AFF">
        <w:rPr>
          <w:rFonts w:cs="Times New Roman"/>
        </w:rPr>
        <w:t>less markedly</w:t>
      </w:r>
      <w:r w:rsidR="00D44AFF" w:rsidRPr="00364EF3">
        <w:rPr>
          <w:rFonts w:cs="Times New Roman"/>
        </w:rPr>
        <w:t xml:space="preserve"> </w:t>
      </w:r>
      <w:r w:rsidR="00385EEB" w:rsidRPr="00364EF3">
        <w:rPr>
          <w:rFonts w:cs="Times New Roman"/>
        </w:rPr>
        <w:t>than for the case of the developed countries</w:t>
      </w:r>
      <w:r w:rsidRPr="00364EF3">
        <w:rPr>
          <w:rFonts w:cs="Times New Roman"/>
        </w:rPr>
        <w:t xml:space="preserve">. </w:t>
      </w:r>
      <w:r w:rsidR="00B96B81" w:rsidRPr="00364EF3">
        <w:rPr>
          <w:rFonts w:cs="Times New Roman"/>
        </w:rPr>
        <w:t xml:space="preserve"> </w:t>
      </w:r>
      <w:r w:rsidR="00DE2197" w:rsidRPr="00364EF3">
        <w:rPr>
          <w:rFonts w:eastAsia="MS Mincho" w:cs="Times New Roman"/>
        </w:rPr>
        <w:t>Results from c</w:t>
      </w:r>
      <w:r w:rsidR="00C54F5E" w:rsidRPr="00364EF3">
        <w:rPr>
          <w:rFonts w:eastAsia="MS Mincho" w:cs="Times New Roman"/>
        </w:rPr>
        <w:t>oncentration indices</w:t>
      </w:r>
      <w:r w:rsidR="00DE2197" w:rsidRPr="00364EF3">
        <w:rPr>
          <w:rFonts w:eastAsia="MS Mincho" w:cs="Times New Roman"/>
        </w:rPr>
        <w:t xml:space="preserve"> (</w:t>
      </w:r>
      <w:r w:rsidR="009609E0">
        <w:rPr>
          <w:rFonts w:eastAsia="MS Mincho" w:cs="Times New Roman"/>
        </w:rPr>
        <w:t>Table VI</w:t>
      </w:r>
      <w:r w:rsidR="00DE2197" w:rsidRPr="00364EF3">
        <w:rPr>
          <w:rFonts w:eastAsia="MS Mincho" w:cs="Times New Roman"/>
        </w:rPr>
        <w:t>)</w:t>
      </w:r>
      <w:r w:rsidR="00C54F5E" w:rsidRPr="00364EF3">
        <w:rPr>
          <w:rFonts w:eastAsia="MS Mincho" w:cs="Times New Roman"/>
        </w:rPr>
        <w:t xml:space="preserve"> suggest significant</w:t>
      </w:r>
      <w:r w:rsidR="007E3148" w:rsidRPr="00364EF3">
        <w:rPr>
          <w:rFonts w:eastAsia="MS Mincho" w:cs="Times New Roman"/>
        </w:rPr>
        <w:t xml:space="preserve"> (p&lt;0.01)</w:t>
      </w:r>
      <w:r w:rsidR="00C54F5E" w:rsidRPr="00364EF3">
        <w:rPr>
          <w:rFonts w:eastAsia="MS Mincho" w:cs="Times New Roman"/>
        </w:rPr>
        <w:t xml:space="preserve"> concentration of innovation towards diseases with highest burden and larger market size</w:t>
      </w:r>
      <w:r w:rsidR="00DE2197" w:rsidRPr="00364EF3">
        <w:rPr>
          <w:rFonts w:eastAsia="MS Mincho" w:cs="Times New Roman"/>
        </w:rPr>
        <w:t xml:space="preserve"> within these disease subcategories</w:t>
      </w:r>
      <w:r w:rsidR="00C54F5E" w:rsidRPr="00364EF3">
        <w:rPr>
          <w:rFonts w:eastAsia="MS Mincho" w:cs="Times New Roman"/>
        </w:rPr>
        <w:t xml:space="preserve"> </w:t>
      </w:r>
      <w:r w:rsidR="00DE2197" w:rsidRPr="00364EF3">
        <w:rPr>
          <w:rFonts w:eastAsia="MS Mincho" w:cs="Times New Roman"/>
        </w:rPr>
        <w:t>(with t</w:t>
      </w:r>
      <w:r w:rsidR="00C54F5E" w:rsidRPr="00364EF3">
        <w:rPr>
          <w:rFonts w:eastAsia="MS Mincho" w:cs="Times New Roman"/>
        </w:rPr>
        <w:t>he e</w:t>
      </w:r>
      <w:r w:rsidR="00DE2197" w:rsidRPr="00364EF3">
        <w:rPr>
          <w:rFonts w:eastAsia="MS Mincho" w:cs="Times New Roman"/>
        </w:rPr>
        <w:t>x</w:t>
      </w:r>
      <w:r w:rsidR="00C54F5E" w:rsidRPr="00364EF3">
        <w:rPr>
          <w:rFonts w:eastAsia="MS Mincho" w:cs="Times New Roman"/>
        </w:rPr>
        <w:t>c</w:t>
      </w:r>
      <w:r w:rsidR="00DE2197" w:rsidRPr="00364EF3">
        <w:rPr>
          <w:rFonts w:eastAsia="MS Mincho" w:cs="Times New Roman"/>
        </w:rPr>
        <w:t>e</w:t>
      </w:r>
      <w:r w:rsidR="00C54F5E" w:rsidRPr="00364EF3">
        <w:rPr>
          <w:rFonts w:eastAsia="MS Mincho" w:cs="Times New Roman"/>
        </w:rPr>
        <w:t xml:space="preserve">ption </w:t>
      </w:r>
      <w:r w:rsidR="00DE2197" w:rsidRPr="00364EF3">
        <w:rPr>
          <w:rFonts w:eastAsia="MS Mincho" w:cs="Times New Roman"/>
        </w:rPr>
        <w:t>of</w:t>
      </w:r>
      <w:r w:rsidR="00C54F5E" w:rsidRPr="00364EF3">
        <w:rPr>
          <w:rFonts w:eastAsia="MS Mincho" w:cs="Times New Roman"/>
        </w:rPr>
        <w:t xml:space="preserve"> </w:t>
      </w:r>
      <w:r w:rsidR="003C70D1">
        <w:rPr>
          <w:rFonts w:eastAsia="MS Mincho" w:cs="Times New Roman"/>
        </w:rPr>
        <w:t>“</w:t>
      </w:r>
      <w:r w:rsidR="00C54F5E" w:rsidRPr="00364EF3">
        <w:rPr>
          <w:rFonts w:eastAsia="MS Mincho" w:cs="Times New Roman"/>
        </w:rPr>
        <w:t xml:space="preserve">diarrheal </w:t>
      </w:r>
      <w:r w:rsidR="00DE2197" w:rsidRPr="00364EF3">
        <w:rPr>
          <w:rFonts w:eastAsia="MS Mincho" w:cs="Times New Roman"/>
        </w:rPr>
        <w:t xml:space="preserve">diseases </w:t>
      </w:r>
      <w:r w:rsidR="00C54F5E" w:rsidRPr="00364EF3">
        <w:rPr>
          <w:rFonts w:eastAsia="MS Mincho" w:cs="Times New Roman"/>
        </w:rPr>
        <w:t>and LRI</w:t>
      </w:r>
      <w:r w:rsidR="003C70D1">
        <w:rPr>
          <w:rFonts w:eastAsia="MS Mincho" w:cs="Times New Roman"/>
        </w:rPr>
        <w:t>”</w:t>
      </w:r>
      <w:r w:rsidR="00C54F5E" w:rsidRPr="00364EF3">
        <w:rPr>
          <w:rFonts w:eastAsia="MS Mincho" w:cs="Times New Roman"/>
        </w:rPr>
        <w:t xml:space="preserve"> in year 1990</w:t>
      </w:r>
      <w:r w:rsidR="00DE2197" w:rsidRPr="00364EF3">
        <w:rPr>
          <w:rFonts w:eastAsia="MS Mincho" w:cs="Times New Roman"/>
        </w:rPr>
        <w:t xml:space="preserve"> where </w:t>
      </w:r>
      <w:r w:rsidR="007E3148" w:rsidRPr="00364EF3">
        <w:rPr>
          <w:rFonts w:eastAsia="MS Mincho" w:cs="Times New Roman"/>
        </w:rPr>
        <w:t>results are not statistically significant</w:t>
      </w:r>
      <w:r w:rsidR="005F3BED" w:rsidRPr="00364EF3">
        <w:rPr>
          <w:rFonts w:eastAsia="MS Mincho" w:cs="Times New Roman"/>
        </w:rPr>
        <w:t xml:space="preserve"> for burden of disease analysis</w:t>
      </w:r>
      <w:r w:rsidR="00DE2197" w:rsidRPr="00364EF3">
        <w:rPr>
          <w:rFonts w:eastAsia="MS Mincho" w:cs="Times New Roman"/>
        </w:rPr>
        <w:t>)</w:t>
      </w:r>
      <w:r w:rsidR="00C54F5E" w:rsidRPr="00364EF3">
        <w:rPr>
          <w:rFonts w:eastAsia="MS Mincho" w:cs="Times New Roman"/>
        </w:rPr>
        <w:t>.</w:t>
      </w:r>
      <w:r w:rsidR="008B03C9" w:rsidRPr="00364EF3">
        <w:rPr>
          <w:rFonts w:eastAsia="MS Mincho" w:cs="Times New Roman"/>
        </w:rPr>
        <w:t xml:space="preserve"> </w:t>
      </w:r>
    </w:p>
    <w:p w14:paraId="2145D55B" w14:textId="7510973C" w:rsidR="00565B1A" w:rsidRPr="00364EF3" w:rsidRDefault="008B03C9" w:rsidP="009C7054">
      <w:pPr>
        <w:spacing w:line="480" w:lineRule="auto"/>
        <w:jc w:val="both"/>
        <w:rPr>
          <w:rFonts w:cs="Times New Roman"/>
        </w:rPr>
      </w:pPr>
      <w:r w:rsidRPr="00364EF3">
        <w:rPr>
          <w:rFonts w:eastAsia="MS Mincho" w:cs="Times New Roman"/>
        </w:rPr>
        <w:t>However</w:t>
      </w:r>
      <w:r w:rsidR="00565B1A" w:rsidRPr="00364EF3">
        <w:rPr>
          <w:rFonts w:eastAsia="MS Mincho" w:cs="Times New Roman"/>
        </w:rPr>
        <w:t>,</w:t>
      </w:r>
      <w:r w:rsidR="007E3148" w:rsidRPr="00364EF3">
        <w:rPr>
          <w:rFonts w:eastAsia="MS Mincho" w:cs="Times New Roman"/>
        </w:rPr>
        <w:t xml:space="preserve"> in 2010,</w:t>
      </w:r>
      <w:r w:rsidRPr="00364EF3">
        <w:rPr>
          <w:rFonts w:eastAsia="MS Mincho" w:cs="Times New Roman"/>
        </w:rPr>
        <w:t xml:space="preserve"> </w:t>
      </w:r>
      <w:r w:rsidRPr="00364EF3">
        <w:rPr>
          <w:rFonts w:cs="Times New Roman"/>
        </w:rPr>
        <w:t>there is a concentration of innovation in</w:t>
      </w:r>
      <w:r w:rsidRPr="00364EF3">
        <w:rPr>
          <w:rFonts w:eastAsia="MS Mincho" w:cs="Times New Roman"/>
        </w:rPr>
        <w:t xml:space="preserve"> </w:t>
      </w:r>
      <w:r w:rsidR="003C70D1">
        <w:rPr>
          <w:rFonts w:eastAsia="MS Mincho" w:cs="Times New Roman"/>
        </w:rPr>
        <w:t>“</w:t>
      </w:r>
      <w:r w:rsidRPr="00364EF3">
        <w:rPr>
          <w:rFonts w:cs="Times New Roman"/>
        </w:rPr>
        <w:t>neonatal disorders</w:t>
      </w:r>
      <w:r w:rsidR="003C70D1">
        <w:rPr>
          <w:rFonts w:cs="Times New Roman"/>
        </w:rPr>
        <w:t>”</w:t>
      </w:r>
      <w:r w:rsidRPr="00364EF3">
        <w:rPr>
          <w:rFonts w:cs="Times New Roman"/>
        </w:rPr>
        <w:t xml:space="preserve"> with lowest burden and smaller market size</w:t>
      </w:r>
      <w:r w:rsidR="007E3148" w:rsidRPr="00364EF3">
        <w:rPr>
          <w:rFonts w:cs="Times New Roman"/>
        </w:rPr>
        <w:t xml:space="preserve"> as suggested by the statistically significant (p&lt;0.01) </w:t>
      </w:r>
      <w:r w:rsidR="00770FD9" w:rsidRPr="00364EF3">
        <w:rPr>
          <w:rFonts w:cs="Times New Roman"/>
        </w:rPr>
        <w:lastRenderedPageBreak/>
        <w:t>co</w:t>
      </w:r>
      <w:r w:rsidRPr="00364EF3">
        <w:rPr>
          <w:rFonts w:cs="Times New Roman"/>
        </w:rPr>
        <w:t>n</w:t>
      </w:r>
      <w:r w:rsidR="00770FD9" w:rsidRPr="00364EF3">
        <w:rPr>
          <w:rFonts w:cs="Times New Roman"/>
        </w:rPr>
        <w:t>c</w:t>
      </w:r>
      <w:r w:rsidRPr="00364EF3">
        <w:rPr>
          <w:rFonts w:cs="Times New Roman"/>
        </w:rPr>
        <w:t>e</w:t>
      </w:r>
      <w:r w:rsidR="000263AA" w:rsidRPr="00364EF3">
        <w:rPr>
          <w:rFonts w:cs="Times New Roman"/>
        </w:rPr>
        <w:t>n</w:t>
      </w:r>
      <w:r w:rsidRPr="00364EF3">
        <w:rPr>
          <w:rFonts w:cs="Times New Roman"/>
        </w:rPr>
        <w:t>tration</w:t>
      </w:r>
      <w:r w:rsidR="00F46EA4" w:rsidRPr="00364EF3">
        <w:rPr>
          <w:rStyle w:val="FootnoteReference"/>
          <w:rFonts w:cs="Times New Roman"/>
        </w:rPr>
        <w:footnoteReference w:id="4"/>
      </w:r>
      <w:r w:rsidR="007E3148" w:rsidRPr="00364EF3">
        <w:rPr>
          <w:rFonts w:cs="Times New Roman"/>
        </w:rPr>
        <w:t>.</w:t>
      </w:r>
      <w:r w:rsidR="00A123EA" w:rsidRPr="00364EF3">
        <w:rPr>
          <w:rFonts w:cs="Times New Roman"/>
        </w:rPr>
        <w:t xml:space="preserve"> </w:t>
      </w:r>
      <w:r w:rsidR="00DD3EB7" w:rsidRPr="00364EF3">
        <w:rPr>
          <w:rFonts w:cs="Times New Roman"/>
        </w:rPr>
        <w:t xml:space="preserve"> </w:t>
      </w:r>
      <w:r w:rsidR="00B0191B" w:rsidRPr="00364EF3">
        <w:rPr>
          <w:rFonts w:cs="Times New Roman"/>
        </w:rPr>
        <w:t xml:space="preserve">The comparison of the 1990 and 2010 concentration  indices seem to suggest a decrease, albeit small, in </w:t>
      </w:r>
      <w:r w:rsidR="00D44AFF">
        <w:rPr>
          <w:rFonts w:cs="Times New Roman"/>
        </w:rPr>
        <w:t>the disparities</w:t>
      </w:r>
      <w:r w:rsidR="0020484E" w:rsidRPr="00364EF3">
        <w:rPr>
          <w:rFonts w:cs="Times New Roman"/>
        </w:rPr>
        <w:t>.</w:t>
      </w:r>
    </w:p>
    <w:p w14:paraId="0F16DAFB" w14:textId="4940D6FF" w:rsidR="00DD3EB7" w:rsidRPr="00364EF3" w:rsidRDefault="001E6E3B" w:rsidP="009C7054">
      <w:pPr>
        <w:spacing w:line="480" w:lineRule="auto"/>
        <w:jc w:val="center"/>
        <w:rPr>
          <w:rFonts w:cs="Times New Roman"/>
        </w:rPr>
      </w:pPr>
      <w:r w:rsidRPr="00364EF3">
        <w:rPr>
          <w:rFonts w:cs="Times New Roman"/>
        </w:rPr>
        <w:t>[</w:t>
      </w:r>
      <w:r w:rsidR="00AD2DB6">
        <w:rPr>
          <w:rFonts w:cs="Times New Roman"/>
        </w:rPr>
        <w:t>Figures 6-7</w:t>
      </w:r>
      <w:r w:rsidR="00BA1640" w:rsidRPr="00364EF3">
        <w:rPr>
          <w:rFonts w:cs="Times New Roman"/>
        </w:rPr>
        <w:t xml:space="preserve"> in</w:t>
      </w:r>
      <w:r w:rsidRPr="00364EF3">
        <w:rPr>
          <w:rFonts w:cs="Times New Roman"/>
        </w:rPr>
        <w:t xml:space="preserve"> here]</w:t>
      </w:r>
    </w:p>
    <w:p w14:paraId="7ADB7744" w14:textId="00757DA8" w:rsidR="00E43D57" w:rsidRPr="00364EF3" w:rsidRDefault="00855199" w:rsidP="009C7054">
      <w:pPr>
        <w:spacing w:line="480" w:lineRule="auto"/>
        <w:jc w:val="both"/>
        <w:rPr>
          <w:rFonts w:eastAsia="MS Mincho" w:cs="Times New Roman"/>
        </w:rPr>
      </w:pPr>
      <w:r w:rsidRPr="00364EF3">
        <w:rPr>
          <w:rFonts w:eastAsia="MS Mincho" w:cs="Times New Roman"/>
        </w:rPr>
        <w:t xml:space="preserve">To summarize, </w:t>
      </w:r>
      <w:r w:rsidR="00385EEB" w:rsidRPr="00364EF3">
        <w:rPr>
          <w:rFonts w:eastAsia="MS Mincho" w:cs="Times New Roman"/>
        </w:rPr>
        <w:t xml:space="preserve">while </w:t>
      </w:r>
      <w:r w:rsidRPr="00364EF3">
        <w:rPr>
          <w:rFonts w:eastAsia="MS Mincho" w:cs="Times New Roman"/>
        </w:rPr>
        <w:t>o</w:t>
      </w:r>
      <w:r w:rsidR="00E43D57" w:rsidRPr="00364EF3">
        <w:rPr>
          <w:rFonts w:eastAsia="MS Mincho" w:cs="Times New Roman"/>
        </w:rPr>
        <w:t>ur results</w:t>
      </w:r>
      <w:r w:rsidR="0041582B" w:rsidRPr="00364EF3">
        <w:rPr>
          <w:rFonts w:eastAsia="MS Mincho" w:cs="Times New Roman"/>
        </w:rPr>
        <w:t xml:space="preserve"> </w:t>
      </w:r>
      <w:r w:rsidR="00DE3377" w:rsidRPr="00364EF3">
        <w:rPr>
          <w:rFonts w:eastAsia="MS Mincho" w:cs="Times New Roman"/>
        </w:rPr>
        <w:t>confirm quantitatively</w:t>
      </w:r>
      <w:r w:rsidR="00E43D57" w:rsidRPr="00364EF3">
        <w:rPr>
          <w:rFonts w:eastAsia="MS Mincho" w:cs="Times New Roman"/>
        </w:rPr>
        <w:t xml:space="preserve"> </w:t>
      </w:r>
      <w:r w:rsidR="003545A1">
        <w:rPr>
          <w:rFonts w:eastAsia="MS Mincho" w:cs="Times New Roman"/>
        </w:rPr>
        <w:t>a mismatch</w:t>
      </w:r>
      <w:r w:rsidR="00E43D57" w:rsidRPr="00364EF3">
        <w:rPr>
          <w:rFonts w:eastAsia="MS Mincho" w:cs="Times New Roman"/>
        </w:rPr>
        <w:t xml:space="preserve"> between </w:t>
      </w:r>
      <w:r w:rsidR="001F0770" w:rsidRPr="00364EF3">
        <w:rPr>
          <w:rFonts w:eastAsia="MS Mincho" w:cs="Times New Roman"/>
        </w:rPr>
        <w:t>disease burden</w:t>
      </w:r>
      <w:r w:rsidR="00E43D57" w:rsidRPr="00364EF3">
        <w:rPr>
          <w:rFonts w:eastAsia="MS Mincho" w:cs="Times New Roman"/>
        </w:rPr>
        <w:t xml:space="preserve"> and innovation</w:t>
      </w:r>
      <w:r w:rsidR="007018C1" w:rsidRPr="00364EF3">
        <w:rPr>
          <w:rFonts w:eastAsia="MS Mincho" w:cs="Times New Roman"/>
        </w:rPr>
        <w:t>,</w:t>
      </w:r>
      <w:r w:rsidR="00154B8F" w:rsidRPr="00364EF3">
        <w:rPr>
          <w:rFonts w:eastAsia="MS Mincho" w:cs="Times New Roman"/>
        </w:rPr>
        <w:t xml:space="preserve"> </w:t>
      </w:r>
      <w:r w:rsidR="00385EEB" w:rsidRPr="00364EF3">
        <w:rPr>
          <w:rFonts w:eastAsia="MS Mincho" w:cs="Times New Roman"/>
        </w:rPr>
        <w:t xml:space="preserve">we show that the pattern and direction of the inequalities are disease </w:t>
      </w:r>
      <w:r w:rsidR="009C20EB">
        <w:rPr>
          <w:rFonts w:eastAsia="MS Mincho" w:cs="Times New Roman"/>
        </w:rPr>
        <w:t xml:space="preserve">subcategory </w:t>
      </w:r>
      <w:r w:rsidR="00385EEB" w:rsidRPr="00364EF3">
        <w:rPr>
          <w:rFonts w:eastAsia="MS Mincho" w:cs="Times New Roman"/>
        </w:rPr>
        <w:t>specific</w:t>
      </w:r>
      <w:r w:rsidR="00154B8F" w:rsidRPr="00364EF3">
        <w:rPr>
          <w:rFonts w:eastAsia="MS Mincho" w:cs="Times New Roman"/>
        </w:rPr>
        <w:t xml:space="preserve">. </w:t>
      </w:r>
      <w:r w:rsidR="00385EEB" w:rsidRPr="00364EF3">
        <w:rPr>
          <w:rFonts w:eastAsia="MS Mincho" w:cs="Times New Roman"/>
        </w:rPr>
        <w:t xml:space="preserve">While for some </w:t>
      </w:r>
      <w:r w:rsidR="004D7064" w:rsidRPr="00364EF3">
        <w:rPr>
          <w:rFonts w:eastAsia="MS Mincho" w:cs="Times New Roman"/>
        </w:rPr>
        <w:t>disease subcategories</w:t>
      </w:r>
      <w:r w:rsidR="00154B8F" w:rsidRPr="00364EF3">
        <w:rPr>
          <w:rFonts w:eastAsia="MS Mincho" w:cs="Times New Roman"/>
        </w:rPr>
        <w:t xml:space="preserve"> </w:t>
      </w:r>
      <w:r w:rsidR="00385EEB" w:rsidRPr="00364EF3">
        <w:rPr>
          <w:rFonts w:eastAsia="MS Mincho" w:cs="Times New Roman"/>
        </w:rPr>
        <w:t xml:space="preserve">our results </w:t>
      </w:r>
      <w:r w:rsidR="00154B8F" w:rsidRPr="00364EF3">
        <w:rPr>
          <w:rFonts w:eastAsia="MS Mincho" w:cs="Times New Roman"/>
        </w:rPr>
        <w:t>show</w:t>
      </w:r>
      <w:r w:rsidR="007018C1" w:rsidRPr="00364EF3">
        <w:rPr>
          <w:rFonts w:eastAsia="MS Mincho" w:cs="Times New Roman"/>
        </w:rPr>
        <w:t xml:space="preserve"> innovation </w:t>
      </w:r>
      <w:r w:rsidR="00154B8F" w:rsidRPr="00364EF3">
        <w:rPr>
          <w:rFonts w:eastAsia="MS Mincho" w:cs="Times New Roman"/>
        </w:rPr>
        <w:t>to be</w:t>
      </w:r>
      <w:r w:rsidR="007018C1" w:rsidRPr="00364EF3">
        <w:rPr>
          <w:rFonts w:eastAsia="MS Mincho" w:cs="Times New Roman"/>
        </w:rPr>
        <w:t xml:space="preserve"> </w:t>
      </w:r>
      <w:r w:rsidR="00154B8F" w:rsidRPr="00364EF3">
        <w:rPr>
          <w:rFonts w:eastAsia="MS Mincho" w:cs="Times New Roman"/>
        </w:rPr>
        <w:t xml:space="preserve">concentrated </w:t>
      </w:r>
      <w:r w:rsidR="007018C1" w:rsidRPr="00364EF3">
        <w:rPr>
          <w:rFonts w:eastAsia="MS Mincho" w:cs="Times New Roman"/>
        </w:rPr>
        <w:t>towards diseases with higher burden</w:t>
      </w:r>
      <w:r w:rsidR="006B2D34" w:rsidRPr="00364EF3">
        <w:rPr>
          <w:rFonts w:eastAsia="MS Mincho" w:cs="Times New Roman"/>
        </w:rPr>
        <w:t xml:space="preserve"> </w:t>
      </w:r>
      <w:r w:rsidR="001D445C" w:rsidRPr="00364EF3">
        <w:rPr>
          <w:rFonts w:eastAsia="MS Mincho" w:cs="Times New Roman"/>
        </w:rPr>
        <w:t>and</w:t>
      </w:r>
      <w:r w:rsidR="006B2D34" w:rsidRPr="00364EF3">
        <w:rPr>
          <w:rFonts w:eastAsia="MS Mincho" w:cs="Times New Roman"/>
        </w:rPr>
        <w:t xml:space="preserve"> larger market size</w:t>
      </w:r>
      <w:r w:rsidR="00A53DB7" w:rsidRPr="00364EF3">
        <w:rPr>
          <w:rFonts w:eastAsia="MS Mincho" w:cs="Times New Roman"/>
        </w:rPr>
        <w:t xml:space="preserve"> (i.e. </w:t>
      </w:r>
      <w:r w:rsidR="003C70D1">
        <w:rPr>
          <w:rFonts w:eastAsia="MS Mincho" w:cs="Times New Roman"/>
        </w:rPr>
        <w:t>“</w:t>
      </w:r>
      <w:r w:rsidR="00A53DB7" w:rsidRPr="00364EF3">
        <w:rPr>
          <w:rFonts w:cs="Times New Roman"/>
        </w:rPr>
        <w:t>cardiovascular</w:t>
      </w:r>
      <w:r w:rsidR="003C70D1">
        <w:rPr>
          <w:rFonts w:cs="Times New Roman"/>
        </w:rPr>
        <w:t xml:space="preserve"> and</w:t>
      </w:r>
      <w:r w:rsidR="002E6CEF" w:rsidRPr="00364EF3">
        <w:rPr>
          <w:rFonts w:cs="Times New Roman"/>
        </w:rPr>
        <w:t xml:space="preserve"> </w:t>
      </w:r>
      <w:r w:rsidR="00A53DB7" w:rsidRPr="00364EF3">
        <w:rPr>
          <w:rFonts w:cs="Times New Roman"/>
        </w:rPr>
        <w:t>circulatory diseases</w:t>
      </w:r>
      <w:r w:rsidR="003C70D1">
        <w:rPr>
          <w:rFonts w:cs="Times New Roman"/>
        </w:rPr>
        <w:t>”</w:t>
      </w:r>
      <w:r w:rsidR="007E3148" w:rsidRPr="00364EF3">
        <w:rPr>
          <w:rFonts w:cs="Times New Roman"/>
        </w:rPr>
        <w:t xml:space="preserve"> and</w:t>
      </w:r>
      <w:r w:rsidR="00A53DB7" w:rsidRPr="00364EF3">
        <w:rPr>
          <w:rFonts w:cs="Times New Roman"/>
        </w:rPr>
        <w:t xml:space="preserve"> </w:t>
      </w:r>
      <w:r w:rsidR="003C70D1">
        <w:rPr>
          <w:rFonts w:cs="Times New Roman"/>
        </w:rPr>
        <w:t>“</w:t>
      </w:r>
      <w:r w:rsidR="00A53DB7" w:rsidRPr="00364EF3">
        <w:rPr>
          <w:rFonts w:cs="Times New Roman"/>
        </w:rPr>
        <w:t>neoplasms</w:t>
      </w:r>
      <w:r w:rsidR="003C70D1">
        <w:rPr>
          <w:rFonts w:cs="Times New Roman"/>
        </w:rPr>
        <w:t>”</w:t>
      </w:r>
      <w:r w:rsidR="00A53DB7" w:rsidRPr="00364EF3">
        <w:rPr>
          <w:rFonts w:cs="Times New Roman"/>
        </w:rPr>
        <w:t>)</w:t>
      </w:r>
      <w:r w:rsidR="00385EEB" w:rsidRPr="00364EF3">
        <w:rPr>
          <w:rFonts w:cs="Times New Roman"/>
        </w:rPr>
        <w:t>, for</w:t>
      </w:r>
      <w:r w:rsidR="00154B8F" w:rsidRPr="00364EF3">
        <w:rPr>
          <w:rFonts w:eastAsia="MS Mincho" w:cs="Times New Roman"/>
        </w:rPr>
        <w:t xml:space="preserve"> </w:t>
      </w:r>
      <w:r w:rsidR="003C70D1">
        <w:rPr>
          <w:rFonts w:eastAsia="MS Mincho" w:cs="Times New Roman"/>
        </w:rPr>
        <w:t>“</w:t>
      </w:r>
      <w:r w:rsidR="00385EEB" w:rsidRPr="00364EF3">
        <w:rPr>
          <w:rFonts w:eastAsia="MS Mincho" w:cs="Times New Roman"/>
        </w:rPr>
        <w:t>mental</w:t>
      </w:r>
      <w:r w:rsidR="003C70D1">
        <w:rPr>
          <w:rFonts w:eastAsia="MS Mincho" w:cs="Times New Roman"/>
        </w:rPr>
        <w:t xml:space="preserve"> and</w:t>
      </w:r>
      <w:r w:rsidR="00385EEB" w:rsidRPr="00364EF3">
        <w:rPr>
          <w:rFonts w:eastAsia="MS Mincho" w:cs="Times New Roman"/>
        </w:rPr>
        <w:t xml:space="preserve"> behavioral </w:t>
      </w:r>
      <w:r w:rsidR="003C70D1">
        <w:rPr>
          <w:rFonts w:eastAsia="MS Mincho" w:cs="Times New Roman"/>
        </w:rPr>
        <w:t xml:space="preserve">disorders” </w:t>
      </w:r>
      <w:r w:rsidR="00385EEB" w:rsidRPr="00364EF3">
        <w:rPr>
          <w:rFonts w:eastAsia="MS Mincho" w:cs="Times New Roman"/>
        </w:rPr>
        <w:t xml:space="preserve">and </w:t>
      </w:r>
      <w:r w:rsidR="003C70D1">
        <w:rPr>
          <w:rFonts w:eastAsia="MS Mincho" w:cs="Times New Roman"/>
        </w:rPr>
        <w:t>“</w:t>
      </w:r>
      <w:r w:rsidR="00385EEB" w:rsidRPr="00364EF3">
        <w:rPr>
          <w:rFonts w:eastAsia="MS Mincho" w:cs="Times New Roman"/>
        </w:rPr>
        <w:t>neonatal disorders</w:t>
      </w:r>
      <w:r w:rsidR="003C70D1">
        <w:rPr>
          <w:rFonts w:eastAsia="MS Mincho" w:cs="Times New Roman"/>
        </w:rPr>
        <w:t>”</w:t>
      </w:r>
      <w:r w:rsidR="00385EEB" w:rsidRPr="00364EF3">
        <w:rPr>
          <w:rFonts w:eastAsia="MS Mincho" w:cs="Times New Roman"/>
        </w:rPr>
        <w:t xml:space="preserve"> </w:t>
      </w:r>
      <w:r w:rsidR="00154B8F" w:rsidRPr="00364EF3">
        <w:rPr>
          <w:rFonts w:eastAsia="MS Mincho" w:cs="Times New Roman"/>
        </w:rPr>
        <w:t xml:space="preserve">there </w:t>
      </w:r>
      <w:r w:rsidR="00565B1A" w:rsidRPr="00364EF3">
        <w:rPr>
          <w:rFonts w:eastAsia="MS Mincho" w:cs="Times New Roman"/>
        </w:rPr>
        <w:t xml:space="preserve">is </w:t>
      </w:r>
      <w:r w:rsidR="00154B8F" w:rsidRPr="00364EF3">
        <w:rPr>
          <w:rFonts w:eastAsia="MS Mincho" w:cs="Times New Roman"/>
        </w:rPr>
        <w:t xml:space="preserve">a clear concentration of innovation in diseases with lower disease burden and smaller market size. These are disease subcategories ranking top in disease burden in both the developed world (i.e. </w:t>
      </w:r>
      <w:r w:rsidR="003C70D1">
        <w:rPr>
          <w:rFonts w:eastAsia="MS Mincho" w:cs="Times New Roman"/>
        </w:rPr>
        <w:t>“</w:t>
      </w:r>
      <w:r w:rsidR="00F66CCF" w:rsidRPr="00364EF3">
        <w:rPr>
          <w:rFonts w:eastAsia="MS Mincho" w:cs="Times New Roman"/>
        </w:rPr>
        <w:t>mental and behavioral disorders</w:t>
      </w:r>
      <w:r w:rsidR="003C70D1">
        <w:rPr>
          <w:rFonts w:eastAsia="MS Mincho" w:cs="Times New Roman"/>
        </w:rPr>
        <w:t>”</w:t>
      </w:r>
      <w:r w:rsidR="00154B8F" w:rsidRPr="00364EF3">
        <w:rPr>
          <w:rFonts w:eastAsia="MS Mincho" w:cs="Times New Roman"/>
        </w:rPr>
        <w:t xml:space="preserve">) and developing world (i.e. </w:t>
      </w:r>
      <w:r w:rsidR="003C70D1">
        <w:rPr>
          <w:rFonts w:eastAsia="MS Mincho" w:cs="Times New Roman"/>
        </w:rPr>
        <w:t>“</w:t>
      </w:r>
      <w:r w:rsidR="009371F4" w:rsidRPr="00364EF3">
        <w:rPr>
          <w:rFonts w:eastAsia="MS Mincho" w:cs="Times New Roman"/>
        </w:rPr>
        <w:t>neonatal disorders</w:t>
      </w:r>
      <w:r w:rsidR="003C70D1">
        <w:rPr>
          <w:rFonts w:eastAsia="MS Mincho" w:cs="Times New Roman"/>
        </w:rPr>
        <w:t>”</w:t>
      </w:r>
      <w:r w:rsidR="00154B8F" w:rsidRPr="00364EF3">
        <w:rPr>
          <w:rFonts w:eastAsia="MS Mincho" w:cs="Times New Roman"/>
        </w:rPr>
        <w:t>).</w:t>
      </w:r>
    </w:p>
    <w:p w14:paraId="507B72B9" w14:textId="77777777" w:rsidR="00E43D57" w:rsidRPr="00364EF3" w:rsidRDefault="00E43D57" w:rsidP="009C7054">
      <w:pPr>
        <w:spacing w:line="480" w:lineRule="auto"/>
        <w:jc w:val="both"/>
        <w:rPr>
          <w:rFonts w:eastAsia="MS Mincho" w:cs="Times New Roman"/>
          <w:i/>
        </w:rPr>
      </w:pPr>
    </w:p>
    <w:p w14:paraId="2AED0956" w14:textId="77777777" w:rsidR="00E43D57" w:rsidRPr="00364EF3" w:rsidRDefault="00E43D57" w:rsidP="009C7054">
      <w:pPr>
        <w:spacing w:line="480" w:lineRule="auto"/>
        <w:jc w:val="both"/>
        <w:rPr>
          <w:rFonts w:eastAsia="MS Mincho" w:cs="Times New Roman"/>
          <w:i/>
        </w:rPr>
      </w:pPr>
      <w:r w:rsidRPr="00364EF3">
        <w:rPr>
          <w:rFonts w:eastAsia="MS Mincho" w:cs="Times New Roman"/>
          <w:i/>
        </w:rPr>
        <w:t>The particular case of NTDs</w:t>
      </w:r>
      <w:r w:rsidR="00EA66E7" w:rsidRPr="00364EF3">
        <w:rPr>
          <w:rFonts w:eastAsia="MS Mincho" w:cs="Times New Roman"/>
          <w:i/>
        </w:rPr>
        <w:t xml:space="preserve"> and Malaria</w:t>
      </w:r>
    </w:p>
    <w:p w14:paraId="628BF1D2" w14:textId="122C70C7" w:rsidR="00E43D57" w:rsidRPr="00364EF3" w:rsidRDefault="00565B1A" w:rsidP="009C7054">
      <w:pPr>
        <w:spacing w:line="480" w:lineRule="auto"/>
        <w:jc w:val="both"/>
        <w:rPr>
          <w:rFonts w:eastAsia="MS Mincho" w:cs="Times New Roman"/>
        </w:rPr>
      </w:pPr>
      <w:r w:rsidRPr="00364EF3">
        <w:rPr>
          <w:rFonts w:eastAsia="MS Mincho" w:cs="Times New Roman"/>
        </w:rPr>
        <w:t>For</w:t>
      </w:r>
      <w:r w:rsidR="00887599" w:rsidRPr="00364EF3">
        <w:rPr>
          <w:rFonts w:eastAsia="MS Mincho" w:cs="Times New Roman"/>
        </w:rPr>
        <w:t xml:space="preserve"> </w:t>
      </w:r>
      <w:r w:rsidR="00EA66E7" w:rsidRPr="00364EF3">
        <w:rPr>
          <w:rFonts w:eastAsia="MS Mincho" w:cs="Times New Roman"/>
        </w:rPr>
        <w:t xml:space="preserve">the </w:t>
      </w:r>
      <w:r w:rsidR="003C70D1">
        <w:rPr>
          <w:rFonts w:eastAsia="MS Mincho" w:cs="Times New Roman"/>
        </w:rPr>
        <w:t>“</w:t>
      </w:r>
      <w:r w:rsidR="00887599" w:rsidRPr="00364EF3">
        <w:rPr>
          <w:rFonts w:eastAsia="MS Mincho" w:cs="Times New Roman"/>
        </w:rPr>
        <w:t>NTDs</w:t>
      </w:r>
      <w:r w:rsidR="00EA66E7" w:rsidRPr="00364EF3">
        <w:rPr>
          <w:rFonts w:eastAsia="MS Mincho" w:cs="Times New Roman"/>
        </w:rPr>
        <w:t xml:space="preserve"> and Malaria</w:t>
      </w:r>
      <w:r w:rsidR="003C70D1">
        <w:rPr>
          <w:rFonts w:eastAsia="MS Mincho" w:cs="Times New Roman"/>
        </w:rPr>
        <w:t>”</w:t>
      </w:r>
      <w:r w:rsidR="00EA66E7" w:rsidRPr="00364EF3">
        <w:rPr>
          <w:rFonts w:eastAsia="MS Mincho" w:cs="Times New Roman"/>
        </w:rPr>
        <w:t xml:space="preserve"> </w:t>
      </w:r>
      <w:r w:rsidR="003C70D1">
        <w:rPr>
          <w:rFonts w:eastAsia="MS Mincho" w:cs="Times New Roman"/>
        </w:rPr>
        <w:t>subcategory</w:t>
      </w:r>
      <w:r w:rsidR="00EA66E7" w:rsidRPr="00364EF3">
        <w:rPr>
          <w:rFonts w:eastAsia="MS Mincho" w:cs="Times New Roman"/>
        </w:rPr>
        <w:t>,</w:t>
      </w:r>
      <w:r w:rsidR="00887599" w:rsidRPr="00364EF3">
        <w:rPr>
          <w:rFonts w:eastAsia="MS Mincho" w:cs="Times New Roman"/>
        </w:rPr>
        <w:t xml:space="preserve"> o</w:t>
      </w:r>
      <w:r w:rsidR="00E43D57" w:rsidRPr="00364EF3">
        <w:rPr>
          <w:rFonts w:eastAsia="MS Mincho" w:cs="Times New Roman"/>
        </w:rPr>
        <w:t xml:space="preserve">ur results </w:t>
      </w:r>
      <w:r w:rsidR="00A8091C" w:rsidRPr="00364EF3">
        <w:rPr>
          <w:rFonts w:eastAsia="MS Mincho" w:cs="Times New Roman"/>
        </w:rPr>
        <w:t>indicate</w:t>
      </w:r>
      <w:r w:rsidR="00E43D57" w:rsidRPr="00364EF3">
        <w:rPr>
          <w:rFonts w:eastAsia="MS Mincho" w:cs="Times New Roman"/>
        </w:rPr>
        <w:t xml:space="preserve"> a lack of innovation targeting the </w:t>
      </w:r>
      <w:r w:rsidR="00720237" w:rsidRPr="00364EF3">
        <w:rPr>
          <w:rFonts w:eastAsia="MS Mincho" w:cs="Times New Roman"/>
        </w:rPr>
        <w:t>highest burden</w:t>
      </w:r>
      <w:r w:rsidR="00E43D57" w:rsidRPr="00364EF3">
        <w:rPr>
          <w:rFonts w:eastAsia="MS Mincho" w:cs="Times New Roman"/>
        </w:rPr>
        <w:t xml:space="preserve"> NTDs that affect predominantly developing countries</w:t>
      </w:r>
      <w:r w:rsidR="000E4828" w:rsidRPr="00364EF3">
        <w:rPr>
          <w:rFonts w:eastAsia="MS Mincho" w:cs="Times New Roman"/>
        </w:rPr>
        <w:t xml:space="preserve"> (</w:t>
      </w:r>
      <w:r w:rsidR="00063872">
        <w:rPr>
          <w:rFonts w:eastAsia="MS Mincho" w:cs="Times New Roman"/>
        </w:rPr>
        <w:t>Figure 8</w:t>
      </w:r>
      <w:r w:rsidR="000E4828" w:rsidRPr="00364EF3">
        <w:rPr>
          <w:rFonts w:eastAsia="MS Mincho" w:cs="Times New Roman"/>
        </w:rPr>
        <w:t>)</w:t>
      </w:r>
      <w:r w:rsidR="00E43D57" w:rsidRPr="00364EF3">
        <w:rPr>
          <w:rFonts w:eastAsia="MS Mincho" w:cs="Times New Roman"/>
        </w:rPr>
        <w:t xml:space="preserve">. </w:t>
      </w:r>
      <w:r w:rsidR="00F66CCF" w:rsidRPr="00364EF3">
        <w:rPr>
          <w:rFonts w:eastAsia="MS Mincho" w:cs="Times New Roman"/>
        </w:rPr>
        <w:t xml:space="preserve"> </w:t>
      </w:r>
      <w:r w:rsidR="00A9648F" w:rsidRPr="00364EF3">
        <w:rPr>
          <w:rFonts w:eastAsia="MS Mincho" w:cs="Times New Roman"/>
        </w:rPr>
        <w:t>T</w:t>
      </w:r>
      <w:r w:rsidR="00F66CCF" w:rsidRPr="00364EF3">
        <w:rPr>
          <w:rFonts w:eastAsia="MS Mincho" w:cs="Times New Roman"/>
        </w:rPr>
        <w:t xml:space="preserve">he concentration </w:t>
      </w:r>
      <w:r w:rsidR="00FA2833" w:rsidRPr="00364EF3">
        <w:rPr>
          <w:rFonts w:eastAsia="MS Mincho" w:cs="Times New Roman"/>
        </w:rPr>
        <w:t>indices (</w:t>
      </w:r>
      <w:r w:rsidR="009609E0">
        <w:rPr>
          <w:rFonts w:eastAsia="MS Mincho" w:cs="Times New Roman"/>
        </w:rPr>
        <w:t>Table VI</w:t>
      </w:r>
      <w:r w:rsidR="00FA2833" w:rsidRPr="00364EF3">
        <w:rPr>
          <w:rFonts w:eastAsia="MS Mincho" w:cs="Times New Roman"/>
        </w:rPr>
        <w:t>) show a sig</w:t>
      </w:r>
      <w:r w:rsidR="00F66CCF" w:rsidRPr="00364EF3">
        <w:rPr>
          <w:rFonts w:eastAsia="MS Mincho" w:cs="Times New Roman"/>
        </w:rPr>
        <w:t xml:space="preserve">nificant unequal distribution of innovation towards </w:t>
      </w:r>
      <w:r w:rsidR="009C20EB">
        <w:rPr>
          <w:rFonts w:eastAsia="MS Mincho" w:cs="Times New Roman"/>
        </w:rPr>
        <w:t>diseases</w:t>
      </w:r>
      <w:r w:rsidR="009C20EB" w:rsidRPr="00364EF3">
        <w:rPr>
          <w:rFonts w:eastAsia="MS Mincho" w:cs="Times New Roman"/>
        </w:rPr>
        <w:t xml:space="preserve"> </w:t>
      </w:r>
      <w:r w:rsidR="00A9648F" w:rsidRPr="00364EF3">
        <w:rPr>
          <w:rFonts w:eastAsia="MS Mincho" w:cs="Times New Roman"/>
        </w:rPr>
        <w:t>associated with relatively</w:t>
      </w:r>
      <w:r w:rsidR="00F66CCF" w:rsidRPr="00364EF3">
        <w:rPr>
          <w:rFonts w:eastAsia="MS Mincho" w:cs="Times New Roman"/>
        </w:rPr>
        <w:t xml:space="preserve"> lower burde</w:t>
      </w:r>
      <w:r w:rsidR="00A9648F" w:rsidRPr="00364EF3">
        <w:rPr>
          <w:rFonts w:eastAsia="MS Mincho" w:cs="Times New Roman"/>
        </w:rPr>
        <w:t xml:space="preserve">n and market size </w:t>
      </w:r>
      <w:r w:rsidR="00F66CCF" w:rsidRPr="00364EF3">
        <w:rPr>
          <w:rFonts w:eastAsia="MS Mincho" w:cs="Times New Roman"/>
        </w:rPr>
        <w:t>in both years 1990 and 2010</w:t>
      </w:r>
      <w:r w:rsidR="009371F4" w:rsidRPr="00364EF3">
        <w:rPr>
          <w:rFonts w:eastAsia="MS Mincho" w:cs="Times New Roman"/>
        </w:rPr>
        <w:t xml:space="preserve"> (</w:t>
      </w:r>
      <w:r w:rsidR="00E01FC0" w:rsidRPr="00364EF3">
        <w:rPr>
          <w:rFonts w:eastAsia="MS Mincho" w:cs="Times New Roman"/>
          <w:i/>
        </w:rPr>
        <w:t>p</w:t>
      </w:r>
      <w:r w:rsidR="00A9648F" w:rsidRPr="00364EF3">
        <w:rPr>
          <w:rFonts w:eastAsia="MS Mincho" w:cs="Times New Roman"/>
        </w:rPr>
        <w:t>&lt;0.</w:t>
      </w:r>
      <w:r w:rsidR="009371F4" w:rsidRPr="00364EF3">
        <w:rPr>
          <w:rFonts w:eastAsia="MS Mincho" w:cs="Times New Roman"/>
        </w:rPr>
        <w:t>0</w:t>
      </w:r>
      <w:r w:rsidR="00A9648F" w:rsidRPr="00364EF3">
        <w:rPr>
          <w:rFonts w:eastAsia="MS Mincho" w:cs="Times New Roman"/>
        </w:rPr>
        <w:t>1)</w:t>
      </w:r>
      <w:r w:rsidR="00D74617" w:rsidRPr="00364EF3">
        <w:rPr>
          <w:rStyle w:val="FootnoteReference"/>
          <w:rFonts w:eastAsia="MS Mincho" w:cs="Times New Roman"/>
        </w:rPr>
        <w:footnoteReference w:id="5"/>
      </w:r>
      <w:r w:rsidR="00A1217A" w:rsidRPr="00364EF3">
        <w:rPr>
          <w:rFonts w:eastAsia="MS Mincho" w:cs="Times New Roman"/>
        </w:rPr>
        <w:t>.</w:t>
      </w:r>
      <w:r w:rsidR="00F66CCF" w:rsidRPr="00364EF3">
        <w:rPr>
          <w:rFonts w:eastAsia="MS Mincho" w:cs="Times New Roman"/>
        </w:rPr>
        <w:t xml:space="preserve">  </w:t>
      </w:r>
      <w:r w:rsidR="0073141B">
        <w:rPr>
          <w:rFonts w:eastAsia="MS Mincho" w:cs="Times New Roman"/>
        </w:rPr>
        <w:t xml:space="preserve">To exemplify, </w:t>
      </w:r>
      <w:r w:rsidR="00BC5189">
        <w:rPr>
          <w:rFonts w:eastAsia="MS Mincho" w:cs="Times New Roman"/>
        </w:rPr>
        <w:t>d</w:t>
      </w:r>
      <w:r w:rsidR="0073141B">
        <w:rPr>
          <w:rFonts w:eastAsia="MS Mincho" w:cs="Times New Roman"/>
        </w:rPr>
        <w:t xml:space="preserve">engue </w:t>
      </w:r>
      <w:r w:rsidR="009017C4">
        <w:rPr>
          <w:rFonts w:eastAsia="MS Mincho" w:cs="Times New Roman"/>
        </w:rPr>
        <w:t xml:space="preserve">is responsible for </w:t>
      </w:r>
      <w:r w:rsidR="008B4BDF">
        <w:rPr>
          <w:rFonts w:eastAsia="MS Mincho" w:cs="Times New Roman"/>
        </w:rPr>
        <w:t>0.75% of total</w:t>
      </w:r>
      <w:r w:rsidR="0073141B">
        <w:rPr>
          <w:rFonts w:eastAsia="MS Mincho" w:cs="Times New Roman"/>
        </w:rPr>
        <w:t xml:space="preserve"> DALYs</w:t>
      </w:r>
      <w:r w:rsidR="008B4BDF">
        <w:rPr>
          <w:rFonts w:eastAsia="MS Mincho" w:cs="Times New Roman"/>
        </w:rPr>
        <w:t xml:space="preserve"> in </w:t>
      </w:r>
      <w:r w:rsidR="003C70D1">
        <w:rPr>
          <w:rFonts w:eastAsia="MS Mincho" w:cs="Times New Roman"/>
        </w:rPr>
        <w:t>“NTDs</w:t>
      </w:r>
      <w:r w:rsidR="008B4BDF">
        <w:rPr>
          <w:rFonts w:eastAsia="MS Mincho" w:cs="Times New Roman"/>
        </w:rPr>
        <w:t xml:space="preserve"> and malaria</w:t>
      </w:r>
      <w:r w:rsidR="003C70D1">
        <w:rPr>
          <w:rFonts w:eastAsia="MS Mincho" w:cs="Times New Roman"/>
        </w:rPr>
        <w:t>”</w:t>
      </w:r>
      <w:r w:rsidR="0073141B">
        <w:rPr>
          <w:rFonts w:eastAsia="MS Mincho" w:cs="Times New Roman"/>
        </w:rPr>
        <w:t xml:space="preserve"> </w:t>
      </w:r>
      <w:r w:rsidR="00975EDB">
        <w:rPr>
          <w:rFonts w:eastAsia="MS Mincho" w:cs="Times New Roman"/>
        </w:rPr>
        <w:t>and exhibits</w:t>
      </w:r>
      <w:r w:rsidR="0073141B">
        <w:rPr>
          <w:rFonts w:eastAsia="MS Mincho" w:cs="Times New Roman"/>
        </w:rPr>
        <w:t xml:space="preserve"> 12 new drugs</w:t>
      </w:r>
      <w:r w:rsidR="00975EDB">
        <w:rPr>
          <w:rFonts w:eastAsia="MS Mincho" w:cs="Times New Roman"/>
        </w:rPr>
        <w:t xml:space="preserve"> </w:t>
      </w:r>
      <w:r w:rsidR="00A81E56">
        <w:rPr>
          <w:rFonts w:eastAsia="MS Mincho" w:cs="Times New Roman"/>
        </w:rPr>
        <w:t xml:space="preserve">launched in the market </w:t>
      </w:r>
      <w:r w:rsidR="00975EDB">
        <w:rPr>
          <w:rFonts w:eastAsia="MS Mincho" w:cs="Times New Roman"/>
        </w:rPr>
        <w:t>in 1990,</w:t>
      </w:r>
      <w:r w:rsidR="0073141B">
        <w:rPr>
          <w:rFonts w:eastAsia="MS Mincho" w:cs="Times New Roman"/>
        </w:rPr>
        <w:t xml:space="preserve"> as opposed to the three new drugs targeting rabies that </w:t>
      </w:r>
      <w:r w:rsidR="00A81E56">
        <w:rPr>
          <w:rFonts w:eastAsia="MS Mincho" w:cs="Times New Roman"/>
        </w:rPr>
        <w:t xml:space="preserve">is associated with a </w:t>
      </w:r>
      <w:r w:rsidR="0073141B">
        <w:rPr>
          <w:rFonts w:eastAsia="MS Mincho" w:cs="Times New Roman"/>
        </w:rPr>
        <w:t>much larger</w:t>
      </w:r>
      <w:r w:rsidR="00A81E56">
        <w:rPr>
          <w:rFonts w:eastAsia="MS Mincho" w:cs="Times New Roman"/>
        </w:rPr>
        <w:t xml:space="preserve"> </w:t>
      </w:r>
      <w:r w:rsidR="0073141B">
        <w:rPr>
          <w:rFonts w:eastAsia="MS Mincho" w:cs="Times New Roman"/>
        </w:rPr>
        <w:t>burden (</w:t>
      </w:r>
      <w:r w:rsidR="008B4BDF">
        <w:rPr>
          <w:rFonts w:eastAsia="MS Mincho" w:cs="Times New Roman"/>
        </w:rPr>
        <w:t>which account for 3.39% of total</w:t>
      </w:r>
      <w:r w:rsidR="0073141B">
        <w:rPr>
          <w:rFonts w:eastAsia="MS Mincho" w:cs="Times New Roman"/>
        </w:rPr>
        <w:t xml:space="preserve"> DALYs</w:t>
      </w:r>
      <w:r w:rsidR="008B4BDF">
        <w:rPr>
          <w:rFonts w:eastAsia="MS Mincho" w:cs="Times New Roman"/>
        </w:rPr>
        <w:t xml:space="preserve"> in </w:t>
      </w:r>
      <w:r w:rsidR="003C70D1">
        <w:rPr>
          <w:rFonts w:eastAsia="MS Mincho" w:cs="Times New Roman"/>
        </w:rPr>
        <w:t>“NTDs</w:t>
      </w:r>
      <w:r w:rsidR="008B4BDF">
        <w:rPr>
          <w:rFonts w:eastAsia="MS Mincho" w:cs="Times New Roman"/>
        </w:rPr>
        <w:t xml:space="preserve"> and malaria</w:t>
      </w:r>
      <w:r w:rsidR="003C70D1">
        <w:rPr>
          <w:rFonts w:eastAsia="MS Mincho" w:cs="Times New Roman"/>
        </w:rPr>
        <w:t>”</w:t>
      </w:r>
      <w:r w:rsidR="008B4BDF">
        <w:rPr>
          <w:rFonts w:eastAsia="MS Mincho" w:cs="Times New Roman"/>
        </w:rPr>
        <w:t xml:space="preserve"> in that year</w:t>
      </w:r>
      <w:r w:rsidR="0073141B">
        <w:rPr>
          <w:rFonts w:eastAsia="MS Mincho" w:cs="Times New Roman"/>
        </w:rPr>
        <w:t>)</w:t>
      </w:r>
      <w:r w:rsidR="00975EDB">
        <w:rPr>
          <w:rFonts w:eastAsia="MS Mincho" w:cs="Times New Roman"/>
        </w:rPr>
        <w:t>. I</w:t>
      </w:r>
      <w:r w:rsidR="0073141B">
        <w:rPr>
          <w:rFonts w:eastAsia="MS Mincho" w:cs="Times New Roman"/>
        </w:rPr>
        <w:t>n 2010,</w:t>
      </w:r>
      <w:r w:rsidR="0073141B" w:rsidRPr="00710F5A">
        <w:rPr>
          <w:i/>
        </w:rPr>
        <w:t xml:space="preserve"> </w:t>
      </w:r>
      <w:r w:rsidR="00BC5189" w:rsidRPr="00710F5A">
        <w:rPr>
          <w:i/>
        </w:rPr>
        <w:t>m</w:t>
      </w:r>
      <w:r w:rsidR="0073141B" w:rsidRPr="00710F5A">
        <w:rPr>
          <w:i/>
        </w:rPr>
        <w:t>alaria</w:t>
      </w:r>
      <w:r w:rsidR="00A81E56">
        <w:rPr>
          <w:rFonts w:eastAsia="MS Mincho" w:cs="Times New Roman"/>
        </w:rPr>
        <w:t xml:space="preserve">, responsible for </w:t>
      </w:r>
      <w:r w:rsidR="008B4BDF">
        <w:rPr>
          <w:rFonts w:eastAsia="MS Mincho" w:cs="Times New Roman"/>
        </w:rPr>
        <w:lastRenderedPageBreak/>
        <w:t>81.23% of total</w:t>
      </w:r>
      <w:r w:rsidR="0073141B">
        <w:rPr>
          <w:rFonts w:eastAsia="MS Mincho" w:cs="Times New Roman"/>
        </w:rPr>
        <w:t xml:space="preserve"> DALYs</w:t>
      </w:r>
      <w:r w:rsidR="008B4BDF">
        <w:rPr>
          <w:rFonts w:eastAsia="MS Mincho" w:cs="Times New Roman"/>
        </w:rPr>
        <w:t xml:space="preserve"> in </w:t>
      </w:r>
      <w:r w:rsidR="003C70D1">
        <w:rPr>
          <w:rFonts w:eastAsia="MS Mincho" w:cs="Times New Roman"/>
        </w:rPr>
        <w:t>“NTDs</w:t>
      </w:r>
      <w:r w:rsidR="008B4BDF">
        <w:rPr>
          <w:rFonts w:eastAsia="MS Mincho" w:cs="Times New Roman"/>
        </w:rPr>
        <w:t xml:space="preserve"> and malaria</w:t>
      </w:r>
      <w:r w:rsidR="003C70D1">
        <w:rPr>
          <w:rFonts w:eastAsia="MS Mincho" w:cs="Times New Roman"/>
        </w:rPr>
        <w:t>”</w:t>
      </w:r>
      <w:r w:rsidR="004515A8">
        <w:rPr>
          <w:rFonts w:eastAsia="MS Mincho" w:cs="Times New Roman"/>
        </w:rPr>
        <w:t>,</w:t>
      </w:r>
      <w:r w:rsidR="0073141B">
        <w:rPr>
          <w:rFonts w:eastAsia="MS Mincho" w:cs="Times New Roman"/>
        </w:rPr>
        <w:t xml:space="preserve"> </w:t>
      </w:r>
      <w:r w:rsidR="00975EDB">
        <w:rPr>
          <w:rFonts w:eastAsia="MS Mincho" w:cs="Times New Roman"/>
        </w:rPr>
        <w:t>exbhited</w:t>
      </w:r>
      <w:r w:rsidR="0073141B">
        <w:rPr>
          <w:rFonts w:eastAsia="MS Mincho" w:cs="Times New Roman"/>
        </w:rPr>
        <w:t xml:space="preserve"> nine new </w:t>
      </w:r>
      <w:r w:rsidR="00975EDB">
        <w:rPr>
          <w:rFonts w:eastAsia="MS Mincho" w:cs="Times New Roman"/>
        </w:rPr>
        <w:t>drugs</w:t>
      </w:r>
      <w:r w:rsidR="00A81E56">
        <w:rPr>
          <w:rFonts w:eastAsia="MS Mincho" w:cs="Times New Roman"/>
        </w:rPr>
        <w:t xml:space="preserve"> launched in the market</w:t>
      </w:r>
      <w:r w:rsidR="0073141B">
        <w:rPr>
          <w:rFonts w:eastAsia="MS Mincho" w:cs="Times New Roman"/>
        </w:rPr>
        <w:t xml:space="preserve"> as opposed to </w:t>
      </w:r>
      <w:r w:rsidR="00BC5189">
        <w:rPr>
          <w:rFonts w:eastAsia="MS Mincho" w:cs="Times New Roman"/>
        </w:rPr>
        <w:t xml:space="preserve">the 21 </w:t>
      </w:r>
      <w:r w:rsidR="00975EDB">
        <w:rPr>
          <w:rFonts w:eastAsia="MS Mincho" w:cs="Times New Roman"/>
        </w:rPr>
        <w:t xml:space="preserve">new drugs </w:t>
      </w:r>
      <w:r w:rsidR="00BC5189">
        <w:rPr>
          <w:rFonts w:eastAsia="MS Mincho" w:cs="Times New Roman"/>
        </w:rPr>
        <w:t xml:space="preserve">targeting </w:t>
      </w:r>
      <w:r w:rsidR="00D86FB5" w:rsidRPr="004B1BF5">
        <w:rPr>
          <w:rFonts w:eastAsia="MS Mincho" w:cs="Times New Roman"/>
          <w:i/>
        </w:rPr>
        <w:t>C</w:t>
      </w:r>
      <w:r w:rsidR="00A81E56" w:rsidRPr="004B1BF5">
        <w:rPr>
          <w:rFonts w:eastAsia="MS Mincho" w:cs="Times New Roman"/>
          <w:i/>
        </w:rPr>
        <w:t>h</w:t>
      </w:r>
      <w:r w:rsidR="0073141B" w:rsidRPr="004B1BF5">
        <w:rPr>
          <w:rFonts w:eastAsia="MS Mincho" w:cs="Times New Roman"/>
          <w:i/>
        </w:rPr>
        <w:t>agas</w:t>
      </w:r>
      <w:r w:rsidR="0073141B" w:rsidRPr="00710F5A">
        <w:rPr>
          <w:i/>
        </w:rPr>
        <w:t xml:space="preserve"> disease</w:t>
      </w:r>
      <w:r w:rsidR="00975EDB">
        <w:rPr>
          <w:rFonts w:eastAsia="MS Mincho" w:cs="Times New Roman"/>
        </w:rPr>
        <w:t xml:space="preserve">, </w:t>
      </w:r>
      <w:r w:rsidR="0073141B">
        <w:rPr>
          <w:rFonts w:eastAsia="MS Mincho" w:cs="Times New Roman"/>
        </w:rPr>
        <w:t>which accounts for</w:t>
      </w:r>
      <w:r w:rsidR="00975EDB">
        <w:rPr>
          <w:rFonts w:eastAsia="MS Mincho" w:cs="Times New Roman"/>
        </w:rPr>
        <w:t xml:space="preserve"> a relatively smaller disease burden, i.e.</w:t>
      </w:r>
      <w:r w:rsidR="0073141B">
        <w:rPr>
          <w:rFonts w:eastAsia="MS Mincho" w:cs="Times New Roman"/>
        </w:rPr>
        <w:t xml:space="preserve"> </w:t>
      </w:r>
      <w:r w:rsidR="008B4BDF">
        <w:rPr>
          <w:rFonts w:eastAsia="MS Mincho" w:cs="Times New Roman"/>
        </w:rPr>
        <w:t>0.04% of total</w:t>
      </w:r>
      <w:r w:rsidR="0073141B">
        <w:rPr>
          <w:rFonts w:eastAsia="MS Mincho" w:cs="Times New Roman"/>
        </w:rPr>
        <w:t xml:space="preserve"> DALYs</w:t>
      </w:r>
      <w:r w:rsidR="008B4BDF">
        <w:rPr>
          <w:rFonts w:eastAsia="MS Mincho" w:cs="Times New Roman"/>
        </w:rPr>
        <w:t xml:space="preserve"> in </w:t>
      </w:r>
      <w:r w:rsidR="003C70D1">
        <w:rPr>
          <w:rFonts w:eastAsia="MS Mincho" w:cs="Times New Roman"/>
        </w:rPr>
        <w:t>“NTDs</w:t>
      </w:r>
      <w:r w:rsidR="008B4BDF">
        <w:rPr>
          <w:rFonts w:eastAsia="MS Mincho" w:cs="Times New Roman"/>
        </w:rPr>
        <w:t xml:space="preserve"> and malaria</w:t>
      </w:r>
      <w:r w:rsidR="003C70D1">
        <w:rPr>
          <w:rFonts w:eastAsia="MS Mincho" w:cs="Times New Roman"/>
        </w:rPr>
        <w:t>”</w:t>
      </w:r>
      <w:r w:rsidR="008B4BDF">
        <w:rPr>
          <w:rFonts w:eastAsia="MS Mincho" w:cs="Times New Roman"/>
        </w:rPr>
        <w:t xml:space="preserve"> in 2010</w:t>
      </w:r>
      <w:r w:rsidR="0073141B">
        <w:rPr>
          <w:rFonts w:eastAsia="MS Mincho" w:cs="Times New Roman"/>
        </w:rPr>
        <w:t>.</w:t>
      </w:r>
    </w:p>
    <w:p w14:paraId="0C28B203" w14:textId="46851558" w:rsidR="00D8255C" w:rsidRPr="00364EF3" w:rsidRDefault="00E43D57" w:rsidP="009C7054">
      <w:pPr>
        <w:spacing w:line="480" w:lineRule="auto"/>
        <w:jc w:val="center"/>
        <w:rPr>
          <w:rFonts w:cs="Times New Roman"/>
        </w:rPr>
      </w:pPr>
      <w:r w:rsidRPr="00364EF3">
        <w:rPr>
          <w:rFonts w:cs="Times New Roman"/>
        </w:rPr>
        <w:t>[</w:t>
      </w:r>
      <w:r w:rsidR="00063872">
        <w:rPr>
          <w:rFonts w:cs="Times New Roman"/>
        </w:rPr>
        <w:t>Figure 8</w:t>
      </w:r>
      <w:r w:rsidR="00BA1640" w:rsidRPr="00364EF3">
        <w:rPr>
          <w:rFonts w:cs="Times New Roman"/>
        </w:rPr>
        <w:t xml:space="preserve"> in</w:t>
      </w:r>
      <w:r w:rsidRPr="00364EF3">
        <w:rPr>
          <w:rFonts w:cs="Times New Roman"/>
        </w:rPr>
        <w:t xml:space="preserve"> here]</w:t>
      </w:r>
      <w:r w:rsidR="00D8255C" w:rsidRPr="00364EF3">
        <w:rPr>
          <w:rFonts w:cs="Times New Roman"/>
        </w:rPr>
        <w:br w:type="page"/>
      </w:r>
    </w:p>
    <w:p w14:paraId="1041E5C6" w14:textId="5719470E" w:rsidR="00E43D57" w:rsidRPr="00364EF3" w:rsidRDefault="00231102" w:rsidP="009C7054">
      <w:pPr>
        <w:pStyle w:val="Heading1"/>
        <w:spacing w:line="480" w:lineRule="auto"/>
        <w:ind w:left="714"/>
        <w:jc w:val="both"/>
        <w:rPr>
          <w:rFonts w:cs="Times New Roman"/>
          <w:szCs w:val="24"/>
        </w:rPr>
      </w:pPr>
      <w:r>
        <w:rPr>
          <w:rFonts w:cs="Times New Roman"/>
          <w:szCs w:val="24"/>
        </w:rPr>
        <w:lastRenderedPageBreak/>
        <w:t>Discussion</w:t>
      </w:r>
      <w:r w:rsidR="00D567B5" w:rsidRPr="00364EF3">
        <w:rPr>
          <w:rFonts w:cs="Times New Roman"/>
          <w:szCs w:val="24"/>
        </w:rPr>
        <w:t xml:space="preserve"> </w:t>
      </w:r>
    </w:p>
    <w:p w14:paraId="09826AC8" w14:textId="6FA07AE8" w:rsidR="0070516E" w:rsidRPr="00364EF3" w:rsidRDefault="00EA66E7" w:rsidP="009C7054">
      <w:pPr>
        <w:spacing w:line="480" w:lineRule="auto"/>
        <w:jc w:val="both"/>
        <w:rPr>
          <w:rFonts w:cs="Times New Roman"/>
        </w:rPr>
      </w:pPr>
      <w:r w:rsidRPr="00364EF3">
        <w:rPr>
          <w:rFonts w:cs="Times New Roman"/>
        </w:rPr>
        <w:t xml:space="preserve">We have assessed inequality in drug innovation considering all </w:t>
      </w:r>
      <w:r w:rsidR="00AA10A0">
        <w:rPr>
          <w:rFonts w:cs="Times New Roman"/>
        </w:rPr>
        <w:t xml:space="preserve">global </w:t>
      </w:r>
      <w:r w:rsidRPr="00364EF3">
        <w:rPr>
          <w:rFonts w:cs="Times New Roman"/>
        </w:rPr>
        <w:t>innovation</w:t>
      </w:r>
      <w:r w:rsidR="009E72ED">
        <w:rPr>
          <w:rFonts w:cs="Times New Roman"/>
        </w:rPr>
        <w:t xml:space="preserve"> activity</w:t>
      </w:r>
      <w:r w:rsidRPr="00364EF3">
        <w:rPr>
          <w:rFonts w:cs="Times New Roman"/>
        </w:rPr>
        <w:t xml:space="preserve"> across all therapeutic and disease areas for 1990 and 2010. </w:t>
      </w:r>
      <w:r w:rsidR="00313B56">
        <w:rPr>
          <w:rFonts w:cs="Times New Roman"/>
        </w:rPr>
        <w:t>O</w:t>
      </w:r>
      <w:r w:rsidR="00E43D57" w:rsidRPr="00364EF3">
        <w:rPr>
          <w:rFonts w:cs="Times New Roman"/>
        </w:rPr>
        <w:t xml:space="preserve">ur results </w:t>
      </w:r>
      <w:r w:rsidR="00E62FDD" w:rsidRPr="00364EF3">
        <w:rPr>
          <w:rFonts w:cs="Times New Roman"/>
        </w:rPr>
        <w:t xml:space="preserve">confirm </w:t>
      </w:r>
      <w:r w:rsidR="000D1C0D" w:rsidRPr="00364EF3">
        <w:rPr>
          <w:rFonts w:cs="Times New Roman"/>
        </w:rPr>
        <w:t xml:space="preserve">quantitatively </w:t>
      </w:r>
      <w:r w:rsidR="00E62FDD" w:rsidRPr="00364EF3">
        <w:rPr>
          <w:rFonts w:cs="Times New Roman"/>
        </w:rPr>
        <w:t xml:space="preserve">assertions </w:t>
      </w:r>
      <w:r w:rsidR="0027269B" w:rsidRPr="00364EF3">
        <w:rPr>
          <w:rFonts w:cs="Times New Roman"/>
        </w:rPr>
        <w:t>about</w:t>
      </w:r>
      <w:r w:rsidR="00AE7974" w:rsidRPr="00364EF3">
        <w:rPr>
          <w:rFonts w:cs="Times New Roman"/>
        </w:rPr>
        <w:t xml:space="preserve"> </w:t>
      </w:r>
      <w:r w:rsidR="00E62FDD" w:rsidRPr="00364EF3">
        <w:rPr>
          <w:rFonts w:cs="Times New Roman"/>
        </w:rPr>
        <w:t>the</w:t>
      </w:r>
      <w:r w:rsidR="00E43D57" w:rsidRPr="00364EF3">
        <w:rPr>
          <w:rFonts w:cs="Times New Roman"/>
        </w:rPr>
        <w:t xml:space="preserve"> mismatch between </w:t>
      </w:r>
      <w:r w:rsidR="002D6199" w:rsidRPr="00364EF3">
        <w:rPr>
          <w:rFonts w:cs="Times New Roman"/>
        </w:rPr>
        <w:t>disease burden</w:t>
      </w:r>
      <w:r w:rsidR="00E43D57" w:rsidRPr="00364EF3">
        <w:rPr>
          <w:rFonts w:cs="Times New Roman"/>
        </w:rPr>
        <w:t xml:space="preserve"> and </w:t>
      </w:r>
      <w:r w:rsidR="006D03A2" w:rsidRPr="00364EF3">
        <w:rPr>
          <w:rFonts w:cs="Times New Roman"/>
        </w:rPr>
        <w:t xml:space="preserve">pharmaceutical </w:t>
      </w:r>
      <w:r w:rsidR="00E43D57" w:rsidRPr="00364EF3">
        <w:rPr>
          <w:rFonts w:cs="Times New Roman"/>
        </w:rPr>
        <w:t xml:space="preserve">innovation. </w:t>
      </w:r>
      <w:r w:rsidR="0089068E" w:rsidRPr="00364EF3">
        <w:rPr>
          <w:rFonts w:cs="Times New Roman"/>
        </w:rPr>
        <w:t>H</w:t>
      </w:r>
      <w:r w:rsidR="0070516E" w:rsidRPr="00364EF3">
        <w:rPr>
          <w:rFonts w:cs="Times New Roman"/>
        </w:rPr>
        <w:t>owever</w:t>
      </w:r>
      <w:r w:rsidR="00191D47" w:rsidRPr="00364EF3">
        <w:rPr>
          <w:rFonts w:cs="Times New Roman"/>
        </w:rPr>
        <w:t>,</w:t>
      </w:r>
      <w:r w:rsidR="0070516E" w:rsidRPr="00364EF3">
        <w:rPr>
          <w:rFonts w:cs="Times New Roman"/>
        </w:rPr>
        <w:t xml:space="preserve"> </w:t>
      </w:r>
      <w:r w:rsidR="0089068E" w:rsidRPr="00364EF3">
        <w:rPr>
          <w:rFonts w:cs="Times New Roman"/>
        </w:rPr>
        <w:t>the direction of the inequalities varies across disease areas</w:t>
      </w:r>
      <w:r w:rsidR="0070516E" w:rsidRPr="00364EF3">
        <w:rPr>
          <w:rFonts w:cs="Times New Roman"/>
        </w:rPr>
        <w:t xml:space="preserve">. </w:t>
      </w:r>
    </w:p>
    <w:p w14:paraId="27680181" w14:textId="6C61BE93" w:rsidR="002E7258" w:rsidRPr="00364EF3" w:rsidRDefault="0070516E" w:rsidP="009C7054">
      <w:pPr>
        <w:spacing w:line="480" w:lineRule="auto"/>
        <w:jc w:val="both"/>
        <w:rPr>
          <w:rFonts w:eastAsia="MS Mincho" w:cs="Times New Roman"/>
        </w:rPr>
      </w:pPr>
      <w:r w:rsidRPr="00364EF3">
        <w:rPr>
          <w:rFonts w:cs="Times New Roman"/>
        </w:rPr>
        <w:t xml:space="preserve">On </w:t>
      </w:r>
      <w:r w:rsidR="0027269B" w:rsidRPr="00364EF3">
        <w:rPr>
          <w:rFonts w:cs="Times New Roman"/>
        </w:rPr>
        <w:t xml:space="preserve">the </w:t>
      </w:r>
      <w:r w:rsidRPr="00364EF3">
        <w:rPr>
          <w:rFonts w:cs="Times New Roman"/>
        </w:rPr>
        <w:t xml:space="preserve">one hand, </w:t>
      </w:r>
      <w:r w:rsidR="00803FD1">
        <w:rPr>
          <w:rFonts w:cs="Times New Roman"/>
        </w:rPr>
        <w:t>in both</w:t>
      </w:r>
      <w:r w:rsidR="00803FD1" w:rsidRPr="00364EF3">
        <w:rPr>
          <w:rFonts w:cs="Times New Roman"/>
        </w:rPr>
        <w:t xml:space="preserve"> </w:t>
      </w:r>
      <w:r w:rsidR="00E30BC5" w:rsidRPr="00364EF3">
        <w:rPr>
          <w:rFonts w:cs="Times New Roman"/>
        </w:rPr>
        <w:t>1990 and 2010</w:t>
      </w:r>
      <w:r w:rsidRPr="00364EF3">
        <w:rPr>
          <w:rFonts w:cs="Times New Roman"/>
        </w:rPr>
        <w:t xml:space="preserve"> drug innovation has</w:t>
      </w:r>
      <w:r w:rsidR="002D6199" w:rsidRPr="00364EF3">
        <w:rPr>
          <w:rFonts w:cs="Times New Roman"/>
        </w:rPr>
        <w:t xml:space="preserve"> disproportionat</w:t>
      </w:r>
      <w:r w:rsidR="0027269B" w:rsidRPr="00364EF3">
        <w:rPr>
          <w:rFonts w:cs="Times New Roman"/>
        </w:rPr>
        <w:t>e</w:t>
      </w:r>
      <w:r w:rsidR="002D6199" w:rsidRPr="00364EF3">
        <w:rPr>
          <w:rFonts w:cs="Times New Roman"/>
        </w:rPr>
        <w:t>ly</w:t>
      </w:r>
      <w:r w:rsidRPr="00364EF3">
        <w:rPr>
          <w:rFonts w:cs="Times New Roman"/>
        </w:rPr>
        <w:t xml:space="preserve"> favoured diseases with</w:t>
      </w:r>
      <w:r w:rsidR="006D03A2" w:rsidRPr="00364EF3">
        <w:rPr>
          <w:rFonts w:cs="Times New Roman"/>
        </w:rPr>
        <w:t xml:space="preserve"> high</w:t>
      </w:r>
      <w:r w:rsidR="005168E5" w:rsidRPr="00364EF3">
        <w:rPr>
          <w:rFonts w:cs="Times New Roman"/>
        </w:rPr>
        <w:t>er</w:t>
      </w:r>
      <w:r w:rsidR="006D03A2" w:rsidRPr="00364EF3">
        <w:rPr>
          <w:rFonts w:cs="Times New Roman"/>
        </w:rPr>
        <w:t xml:space="preserve"> burden</w:t>
      </w:r>
      <w:r w:rsidR="00E43D57" w:rsidRPr="00364EF3">
        <w:rPr>
          <w:rFonts w:cs="Times New Roman"/>
        </w:rPr>
        <w:t xml:space="preserve"> </w:t>
      </w:r>
      <w:r w:rsidR="004664D2" w:rsidRPr="00364EF3">
        <w:rPr>
          <w:rFonts w:cs="Times New Roman"/>
        </w:rPr>
        <w:t>and larger market size</w:t>
      </w:r>
      <w:r w:rsidR="00A1128D" w:rsidRPr="00364EF3">
        <w:rPr>
          <w:rFonts w:cs="Times New Roman"/>
        </w:rPr>
        <w:t xml:space="preserve">, </w:t>
      </w:r>
      <w:r w:rsidR="00600275" w:rsidRPr="00364EF3">
        <w:rPr>
          <w:rFonts w:cs="Times New Roman"/>
        </w:rPr>
        <w:t xml:space="preserve">for the </w:t>
      </w:r>
      <w:r w:rsidR="002414A5">
        <w:rPr>
          <w:rFonts w:cs="Times New Roman"/>
        </w:rPr>
        <w:t>“</w:t>
      </w:r>
      <w:r w:rsidR="005168E5" w:rsidRPr="00364EF3">
        <w:rPr>
          <w:rFonts w:cs="Times New Roman"/>
        </w:rPr>
        <w:t>cardiovascular and circulatory disease</w:t>
      </w:r>
      <w:r w:rsidR="004515A8">
        <w:rPr>
          <w:rFonts w:cs="Times New Roman"/>
        </w:rPr>
        <w:t>s</w:t>
      </w:r>
      <w:r w:rsidR="002414A5">
        <w:rPr>
          <w:rFonts w:cs="Times New Roman"/>
        </w:rPr>
        <w:t>”</w:t>
      </w:r>
      <w:r w:rsidR="005168E5" w:rsidRPr="00364EF3">
        <w:rPr>
          <w:rFonts w:cs="Times New Roman"/>
        </w:rPr>
        <w:t xml:space="preserve">, </w:t>
      </w:r>
      <w:r w:rsidR="002414A5">
        <w:rPr>
          <w:rFonts w:cs="Times New Roman"/>
        </w:rPr>
        <w:t>“</w:t>
      </w:r>
      <w:r w:rsidR="005168E5" w:rsidRPr="00364EF3">
        <w:rPr>
          <w:rFonts w:cs="Times New Roman"/>
        </w:rPr>
        <w:t>neoplasms</w:t>
      </w:r>
      <w:r w:rsidR="002414A5">
        <w:rPr>
          <w:rFonts w:cs="Times New Roman"/>
        </w:rPr>
        <w:t>”</w:t>
      </w:r>
      <w:r w:rsidR="005168E5" w:rsidRPr="00364EF3">
        <w:rPr>
          <w:rFonts w:cs="Times New Roman"/>
        </w:rPr>
        <w:t xml:space="preserve"> and </w:t>
      </w:r>
      <w:r w:rsidR="002414A5">
        <w:rPr>
          <w:rFonts w:cs="Times New Roman"/>
        </w:rPr>
        <w:t>“</w:t>
      </w:r>
      <w:r w:rsidR="005168E5" w:rsidRPr="00364EF3">
        <w:rPr>
          <w:rFonts w:cs="Times New Roman"/>
        </w:rPr>
        <w:t>musculoskeletal disorder</w:t>
      </w:r>
      <w:r w:rsidR="00616E87" w:rsidRPr="00364EF3">
        <w:rPr>
          <w:rFonts w:cs="Times New Roman"/>
        </w:rPr>
        <w:t>s</w:t>
      </w:r>
      <w:r w:rsidR="002414A5">
        <w:rPr>
          <w:rFonts w:cs="Times New Roman"/>
        </w:rPr>
        <w:t>”</w:t>
      </w:r>
      <w:r w:rsidR="00600275" w:rsidRPr="00364EF3">
        <w:rPr>
          <w:rFonts w:cs="Times New Roman"/>
        </w:rPr>
        <w:t xml:space="preserve"> group</w:t>
      </w:r>
      <w:r w:rsidR="004515A8">
        <w:rPr>
          <w:rFonts w:cs="Times New Roman"/>
        </w:rPr>
        <w:t>s</w:t>
      </w:r>
      <w:r w:rsidR="005168E5" w:rsidRPr="00364EF3">
        <w:rPr>
          <w:rFonts w:cs="Times New Roman"/>
        </w:rPr>
        <w:t xml:space="preserve">. </w:t>
      </w:r>
      <w:r w:rsidR="00600275" w:rsidRPr="00364EF3">
        <w:rPr>
          <w:rFonts w:cs="Times New Roman"/>
        </w:rPr>
        <w:t xml:space="preserve"> </w:t>
      </w:r>
      <w:r w:rsidR="005168E5" w:rsidRPr="00364EF3">
        <w:rPr>
          <w:rFonts w:cs="Times New Roman"/>
        </w:rPr>
        <w:t xml:space="preserve">These are diseases mostly prevalent in the </w:t>
      </w:r>
      <w:r w:rsidR="002D6199" w:rsidRPr="00364EF3">
        <w:rPr>
          <w:rFonts w:cs="Times New Roman"/>
        </w:rPr>
        <w:t xml:space="preserve">developed </w:t>
      </w:r>
      <w:r w:rsidR="005168E5" w:rsidRPr="00364EF3">
        <w:rPr>
          <w:rFonts w:cs="Times New Roman"/>
        </w:rPr>
        <w:t xml:space="preserve">countries where the number </w:t>
      </w:r>
      <w:r w:rsidR="000239E4">
        <w:rPr>
          <w:rFonts w:cs="Times New Roman"/>
        </w:rPr>
        <w:t xml:space="preserve">of patients and the </w:t>
      </w:r>
      <w:r w:rsidR="005168E5" w:rsidRPr="00364EF3">
        <w:rPr>
          <w:rFonts w:cs="Times New Roman"/>
        </w:rPr>
        <w:t xml:space="preserve">willingness-to-pay </w:t>
      </w:r>
      <w:r w:rsidR="000239E4">
        <w:rPr>
          <w:rFonts w:cs="Times New Roman"/>
        </w:rPr>
        <w:t>of pay</w:t>
      </w:r>
      <w:r w:rsidR="00D86FB5">
        <w:rPr>
          <w:rFonts w:cs="Times New Roman"/>
        </w:rPr>
        <w:t>e</w:t>
      </w:r>
      <w:r w:rsidR="000239E4">
        <w:rPr>
          <w:rFonts w:cs="Times New Roman"/>
        </w:rPr>
        <w:t>rs</w:t>
      </w:r>
      <w:r w:rsidR="005168E5" w:rsidRPr="00364EF3">
        <w:rPr>
          <w:rFonts w:cs="Times New Roman"/>
        </w:rPr>
        <w:t xml:space="preserve"> makes these markets </w:t>
      </w:r>
      <w:r w:rsidR="002D6199" w:rsidRPr="00364EF3">
        <w:rPr>
          <w:rFonts w:cs="Times New Roman"/>
        </w:rPr>
        <w:t>finan</w:t>
      </w:r>
      <w:r w:rsidR="00F3569F">
        <w:rPr>
          <w:rFonts w:cs="Times New Roman"/>
        </w:rPr>
        <w:t>c</w:t>
      </w:r>
      <w:r w:rsidR="002D6199" w:rsidRPr="00364EF3">
        <w:rPr>
          <w:rFonts w:cs="Times New Roman"/>
        </w:rPr>
        <w:t xml:space="preserve">ially </w:t>
      </w:r>
      <w:r w:rsidR="005168E5" w:rsidRPr="00364EF3">
        <w:rPr>
          <w:rFonts w:cs="Times New Roman"/>
        </w:rPr>
        <w:t>attract</w:t>
      </w:r>
      <w:r w:rsidR="000D1C0D" w:rsidRPr="00364EF3">
        <w:rPr>
          <w:rFonts w:cs="Times New Roman"/>
        </w:rPr>
        <w:t>iv</w:t>
      </w:r>
      <w:r w:rsidR="005168E5" w:rsidRPr="00364EF3">
        <w:rPr>
          <w:rFonts w:cs="Times New Roman"/>
        </w:rPr>
        <w:t xml:space="preserve">e </w:t>
      </w:r>
      <w:r w:rsidR="002D6199" w:rsidRPr="00364EF3">
        <w:rPr>
          <w:rFonts w:cs="Times New Roman"/>
        </w:rPr>
        <w:t>to</w:t>
      </w:r>
      <w:r w:rsidR="005168E5" w:rsidRPr="00364EF3">
        <w:rPr>
          <w:rFonts w:cs="Times New Roman"/>
        </w:rPr>
        <w:t xml:space="preserve"> the pharmaceutical industry. Moreover, </w:t>
      </w:r>
      <w:r w:rsidR="005168E5" w:rsidRPr="00364EF3">
        <w:rPr>
          <w:rFonts w:eastAsia="MS Mincho" w:cs="Times New Roman"/>
        </w:rPr>
        <w:t xml:space="preserve">the increased burden of disease associated with these NCDs in developing countries </w:t>
      </w:r>
      <w:r w:rsidR="002E7258" w:rsidRPr="00364EF3">
        <w:rPr>
          <w:rFonts w:eastAsia="MS Mincho" w:cs="Times New Roman"/>
        </w:rPr>
        <w:t>as a result of the epidemiological convergence between developed and developing countries</w:t>
      </w:r>
      <w:r w:rsidR="002F137B">
        <w:rPr>
          <w:rFonts w:eastAsia="MS Mincho" w:cs="Times New Roman"/>
        </w:rPr>
        <w:t xml:space="preserve"> </w:t>
      </w:r>
      <w:r w:rsidR="006C68B2" w:rsidRPr="00364EF3">
        <w:rPr>
          <w:rFonts w:eastAsia="MS Mincho" w:cs="Times New Roman"/>
        </w:rPr>
        <w:fldChar w:fldCharType="begin">
          <w:fldData xml:space="preserve">PEVuZE5vdGU+PENpdGU+PEF1dGhvcj5NdXJyYXk8L0F1dGhvcj48WWVhcj4yMDEzPC9ZZWFyPjxS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</w:fldData>
        </w:fldChar>
      </w:r>
      <w:r w:rsidR="0050612A">
        <w:rPr>
          <w:rFonts w:eastAsia="MS Mincho" w:cs="Times New Roman"/>
        </w:rPr>
        <w:instrText xml:space="preserve"> ADDIN EN.CITE </w:instrText>
      </w:r>
      <w:r w:rsidR="0050612A">
        <w:rPr>
          <w:rFonts w:eastAsia="MS Mincho" w:cs="Times New Roman"/>
        </w:rPr>
        <w:fldChar w:fldCharType="begin">
          <w:fldData xml:space="preserve">PEVuZE5vdGU+PENpdGU+PEF1dGhvcj5NdXJyYXk8L0F1dGhvcj48WWVhcj4yMDEzPC9ZZWFyPjxS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</w:fldData>
        </w:fldChar>
      </w:r>
      <w:r w:rsidR="0050612A">
        <w:rPr>
          <w:rFonts w:eastAsia="MS Mincho" w:cs="Times New Roman"/>
        </w:rPr>
        <w:instrText xml:space="preserve"> ADDIN EN.CITE.DATA </w:instrText>
      </w:r>
      <w:r w:rsidR="0050612A">
        <w:rPr>
          <w:rFonts w:eastAsia="MS Mincho" w:cs="Times New Roman"/>
        </w:rPr>
      </w:r>
      <w:r w:rsidR="0050612A">
        <w:rPr>
          <w:rFonts w:eastAsia="MS Mincho" w:cs="Times New Roman"/>
        </w:rPr>
        <w:fldChar w:fldCharType="end"/>
      </w:r>
      <w:r w:rsidR="006C68B2" w:rsidRPr="00364EF3">
        <w:rPr>
          <w:rFonts w:eastAsia="MS Mincho" w:cs="Times New Roman"/>
        </w:rPr>
      </w:r>
      <w:r w:rsidR="006C68B2" w:rsidRPr="00364EF3">
        <w:rPr>
          <w:rFonts w:eastAsia="MS Mincho" w:cs="Times New Roman"/>
        </w:rPr>
        <w:fldChar w:fldCharType="separate"/>
      </w:r>
      <w:r w:rsidR="0050612A" w:rsidRPr="0050612A">
        <w:rPr>
          <w:rFonts w:eastAsia="MS Mincho" w:cs="Times New Roman"/>
          <w:noProof/>
        </w:rPr>
        <w:t>(Murray et al., 2013; Nathan, 2011)</w:t>
      </w:r>
      <w:r w:rsidR="006C68B2" w:rsidRPr="00364EF3">
        <w:rPr>
          <w:rFonts w:eastAsia="MS Mincho" w:cs="Times New Roman"/>
        </w:rPr>
        <w:fldChar w:fldCharType="end"/>
      </w:r>
      <w:r w:rsidR="002E7258" w:rsidRPr="00364EF3">
        <w:rPr>
          <w:rFonts w:eastAsia="MS Mincho" w:cs="Times New Roman"/>
        </w:rPr>
        <w:t xml:space="preserve"> </w:t>
      </w:r>
      <w:r w:rsidR="005168E5" w:rsidRPr="00364EF3">
        <w:rPr>
          <w:rFonts w:eastAsia="MS Mincho" w:cs="Times New Roman"/>
        </w:rPr>
        <w:t>enlarges these markets</w:t>
      </w:r>
      <w:r w:rsidR="002E7258" w:rsidRPr="00364EF3">
        <w:rPr>
          <w:rFonts w:eastAsia="MS Mincho" w:cs="Times New Roman"/>
        </w:rPr>
        <w:t>,</w:t>
      </w:r>
      <w:r w:rsidR="000E44C5" w:rsidRPr="00364EF3">
        <w:rPr>
          <w:rFonts w:eastAsia="MS Mincho" w:cs="Times New Roman"/>
        </w:rPr>
        <w:t xml:space="preserve"> and consequently the prospects of profitability in these disease areas </w:t>
      </w:r>
      <w:r w:rsidR="005168E5" w:rsidRPr="00364EF3">
        <w:rPr>
          <w:rFonts w:eastAsia="MS Mincho" w:cs="Times New Roman"/>
        </w:rPr>
        <w:t xml:space="preserve">at a global level. </w:t>
      </w:r>
    </w:p>
    <w:p w14:paraId="5C0E7DEA" w14:textId="64A379D6" w:rsidR="0070516E" w:rsidRPr="00364EF3" w:rsidRDefault="0070516E" w:rsidP="009C7054">
      <w:pPr>
        <w:spacing w:line="480" w:lineRule="auto"/>
        <w:jc w:val="both"/>
        <w:rPr>
          <w:rFonts w:cs="Times New Roman"/>
        </w:rPr>
      </w:pPr>
      <w:r w:rsidRPr="00364EF3">
        <w:rPr>
          <w:rFonts w:cs="Times New Roman"/>
        </w:rPr>
        <w:t xml:space="preserve">On the other hand, there is a substantial misalignment between </w:t>
      </w:r>
      <w:r w:rsidR="002D6199" w:rsidRPr="00364EF3">
        <w:rPr>
          <w:rFonts w:cs="Times New Roman"/>
        </w:rPr>
        <w:t>disease burden</w:t>
      </w:r>
      <w:r w:rsidRPr="00364EF3">
        <w:rPr>
          <w:rFonts w:cs="Times New Roman"/>
        </w:rPr>
        <w:t xml:space="preserve"> and drug innovation</w:t>
      </w:r>
      <w:r w:rsidR="000E44C5" w:rsidRPr="00364EF3">
        <w:rPr>
          <w:rFonts w:cs="Times New Roman"/>
        </w:rPr>
        <w:t xml:space="preserve"> </w:t>
      </w:r>
      <w:r w:rsidR="00D629D3">
        <w:rPr>
          <w:rFonts w:cs="Times New Roman"/>
        </w:rPr>
        <w:t>disfavouring the most disabling conditions in certain disease subcategories</w:t>
      </w:r>
      <w:r w:rsidR="000E44C5" w:rsidRPr="00364EF3">
        <w:rPr>
          <w:rFonts w:cs="Times New Roman"/>
        </w:rPr>
        <w:t xml:space="preserve"> </w:t>
      </w:r>
      <w:r w:rsidR="00E57EE8" w:rsidRPr="00364EF3">
        <w:rPr>
          <w:rFonts w:cs="Times New Roman"/>
        </w:rPr>
        <w:t>ranking top causes of death and morbidity in</w:t>
      </w:r>
      <w:r w:rsidRPr="00364EF3">
        <w:rPr>
          <w:rFonts w:cs="Times New Roman"/>
        </w:rPr>
        <w:t xml:space="preserve"> both developed and developing </w:t>
      </w:r>
      <w:r w:rsidR="000239E4">
        <w:rPr>
          <w:rFonts w:cs="Times New Roman"/>
        </w:rPr>
        <w:t>countries</w:t>
      </w:r>
      <w:r w:rsidRPr="00364EF3">
        <w:rPr>
          <w:rFonts w:cs="Times New Roman"/>
        </w:rPr>
        <w:t xml:space="preserve">. </w:t>
      </w:r>
      <w:r w:rsidR="00E57EE8" w:rsidRPr="00364EF3">
        <w:rPr>
          <w:rFonts w:cs="Times New Roman"/>
        </w:rPr>
        <w:t>T</w:t>
      </w:r>
      <w:r w:rsidR="00E57EE8" w:rsidRPr="00364EF3">
        <w:rPr>
          <w:rFonts w:eastAsia="MS Mincho" w:cs="Times New Roman"/>
        </w:rPr>
        <w:t xml:space="preserve">hese are respectively </w:t>
      </w:r>
      <w:r w:rsidR="002414A5">
        <w:rPr>
          <w:rFonts w:eastAsia="MS Mincho" w:cs="Times New Roman"/>
        </w:rPr>
        <w:t>“</w:t>
      </w:r>
      <w:r w:rsidR="00E57EE8" w:rsidRPr="00364EF3">
        <w:rPr>
          <w:rFonts w:eastAsia="MS Mincho" w:cs="Times New Roman"/>
        </w:rPr>
        <w:t>mental and behavioral disorders</w:t>
      </w:r>
      <w:r w:rsidR="002414A5">
        <w:rPr>
          <w:rFonts w:eastAsia="MS Mincho" w:cs="Times New Roman"/>
        </w:rPr>
        <w:t>”</w:t>
      </w:r>
      <w:r w:rsidR="003443C1" w:rsidRPr="00364EF3">
        <w:rPr>
          <w:rFonts w:eastAsia="MS Mincho" w:cs="Times New Roman"/>
        </w:rPr>
        <w:t>,</w:t>
      </w:r>
      <w:r w:rsidR="00E57EE8" w:rsidRPr="00364EF3">
        <w:rPr>
          <w:rFonts w:eastAsia="MS Mincho" w:cs="Times New Roman"/>
        </w:rPr>
        <w:t xml:space="preserve"> and </w:t>
      </w:r>
      <w:r w:rsidR="002414A5">
        <w:rPr>
          <w:rFonts w:eastAsia="MS Mincho" w:cs="Times New Roman"/>
        </w:rPr>
        <w:t>“</w:t>
      </w:r>
      <w:r w:rsidR="00E57EE8" w:rsidRPr="00364EF3">
        <w:rPr>
          <w:rFonts w:eastAsia="MS Mincho" w:cs="Times New Roman"/>
        </w:rPr>
        <w:t>neonatal disorders</w:t>
      </w:r>
      <w:r w:rsidR="002414A5">
        <w:rPr>
          <w:rFonts w:eastAsia="MS Mincho" w:cs="Times New Roman"/>
        </w:rPr>
        <w:t>”</w:t>
      </w:r>
      <w:r w:rsidR="00E57EE8" w:rsidRPr="00364EF3">
        <w:rPr>
          <w:rFonts w:eastAsia="MS Mincho" w:cs="Times New Roman"/>
        </w:rPr>
        <w:t xml:space="preserve">. </w:t>
      </w:r>
      <w:r w:rsidRPr="00364EF3">
        <w:rPr>
          <w:rFonts w:cs="Times New Roman"/>
        </w:rPr>
        <w:t xml:space="preserve">Drug innovation targeting top causes of burden in developed countries </w:t>
      </w:r>
      <w:r w:rsidR="0089068E" w:rsidRPr="00364EF3">
        <w:rPr>
          <w:rFonts w:cs="Times New Roman"/>
        </w:rPr>
        <w:t xml:space="preserve">for </w:t>
      </w:r>
      <w:r w:rsidR="00015EE6">
        <w:rPr>
          <w:rFonts w:cs="Times New Roman"/>
        </w:rPr>
        <w:t xml:space="preserve">diseases that are part of </w:t>
      </w:r>
      <w:r w:rsidR="002414A5">
        <w:rPr>
          <w:rFonts w:cs="Times New Roman"/>
        </w:rPr>
        <w:t>“</w:t>
      </w:r>
      <w:r w:rsidRPr="00364EF3">
        <w:rPr>
          <w:rFonts w:cs="Times New Roman"/>
        </w:rPr>
        <w:t>mental and behavioural disorders</w:t>
      </w:r>
      <w:r w:rsidR="002414A5">
        <w:rPr>
          <w:rFonts w:cs="Times New Roman"/>
        </w:rPr>
        <w:t>”</w:t>
      </w:r>
      <w:r w:rsidRPr="00364EF3">
        <w:rPr>
          <w:rFonts w:cs="Times New Roman"/>
        </w:rPr>
        <w:t xml:space="preserve"> has been concentrated in </w:t>
      </w:r>
      <w:r w:rsidR="00D93834" w:rsidRPr="00364EF3">
        <w:rPr>
          <w:rFonts w:cs="Times New Roman"/>
        </w:rPr>
        <w:t xml:space="preserve">disease areas that rank low </w:t>
      </w:r>
      <w:r w:rsidR="00D93834" w:rsidRPr="00D629D3">
        <w:rPr>
          <w:rFonts w:cs="Times New Roman"/>
        </w:rPr>
        <w:t xml:space="preserve">in </w:t>
      </w:r>
      <w:r w:rsidR="00D93834" w:rsidRPr="00364EF3">
        <w:rPr>
          <w:rFonts w:cs="Times New Roman"/>
        </w:rPr>
        <w:t>terms of associated disease burden</w:t>
      </w:r>
      <w:r w:rsidRPr="00364EF3">
        <w:rPr>
          <w:rFonts w:cs="Times New Roman"/>
        </w:rPr>
        <w:t xml:space="preserve">. </w:t>
      </w:r>
      <w:r w:rsidR="00260B5F" w:rsidRPr="00364EF3">
        <w:rPr>
          <w:rFonts w:cs="Times New Roman"/>
        </w:rPr>
        <w:t xml:space="preserve">This result has persisted over time and our results suggest that inequality has been increasing.  Likewise, innovation targeting </w:t>
      </w:r>
      <w:r w:rsidR="002414A5">
        <w:rPr>
          <w:rFonts w:cs="Times New Roman"/>
        </w:rPr>
        <w:t>“</w:t>
      </w:r>
      <w:r w:rsidR="00260B5F" w:rsidRPr="00364EF3">
        <w:rPr>
          <w:rFonts w:cs="Times New Roman"/>
        </w:rPr>
        <w:t>neonatal disorders</w:t>
      </w:r>
      <w:r w:rsidR="002414A5">
        <w:rPr>
          <w:rFonts w:cs="Times New Roman"/>
        </w:rPr>
        <w:t>”</w:t>
      </w:r>
      <w:r w:rsidR="00260B5F" w:rsidRPr="00364EF3">
        <w:rPr>
          <w:rFonts w:cs="Times New Roman"/>
        </w:rPr>
        <w:t xml:space="preserve"> that mostly affect developing countries has been disproportionatly concentrated in disease areas with lower burden of disease. </w:t>
      </w:r>
    </w:p>
    <w:p w14:paraId="330161DC" w14:textId="623B6912" w:rsidR="005C1771" w:rsidRPr="00364EF3" w:rsidRDefault="00BC3E1D" w:rsidP="009C7054">
      <w:pPr>
        <w:spacing w:line="480" w:lineRule="auto"/>
        <w:jc w:val="both"/>
        <w:rPr>
          <w:rFonts w:cs="Times New Roman"/>
        </w:rPr>
      </w:pPr>
      <w:r w:rsidRPr="00364EF3">
        <w:rPr>
          <w:rFonts w:cs="Times New Roman"/>
        </w:rPr>
        <w:lastRenderedPageBreak/>
        <w:t>Also, and following</w:t>
      </w:r>
      <w:r w:rsidR="000E44C5" w:rsidRPr="00364EF3">
        <w:rPr>
          <w:rFonts w:cs="Times New Roman"/>
        </w:rPr>
        <w:t xml:space="preserve"> a</w:t>
      </w:r>
      <w:r w:rsidRPr="00364EF3">
        <w:rPr>
          <w:rFonts w:cs="Times New Roman"/>
        </w:rPr>
        <w:t xml:space="preserve"> similar pattern, innovation targeting </w:t>
      </w:r>
      <w:r w:rsidR="002414A5">
        <w:rPr>
          <w:rFonts w:cs="Times New Roman"/>
        </w:rPr>
        <w:t>“</w:t>
      </w:r>
      <w:r w:rsidRPr="00364EF3">
        <w:rPr>
          <w:rFonts w:cs="Times New Roman"/>
        </w:rPr>
        <w:t>NTDs and Malaria</w:t>
      </w:r>
      <w:r w:rsidR="002414A5">
        <w:rPr>
          <w:rFonts w:cs="Times New Roman"/>
        </w:rPr>
        <w:t>”</w:t>
      </w:r>
      <w:r w:rsidRPr="00364EF3">
        <w:rPr>
          <w:rFonts w:cs="Times New Roman"/>
        </w:rPr>
        <w:t xml:space="preserve"> has been unequally concentrated in diseases that </w:t>
      </w:r>
      <w:r w:rsidR="00803FD1">
        <w:rPr>
          <w:rFonts w:cs="Times New Roman"/>
        </w:rPr>
        <w:t>have a relatively low burden in</w:t>
      </w:r>
      <w:r w:rsidRPr="00364EF3">
        <w:rPr>
          <w:rFonts w:cs="Times New Roman"/>
        </w:rPr>
        <w:t xml:space="preserve"> the developing world</w:t>
      </w:r>
      <w:r w:rsidR="0089068E" w:rsidRPr="00364EF3">
        <w:rPr>
          <w:rFonts w:cs="Times New Roman"/>
        </w:rPr>
        <w:t xml:space="preserve">.  </w:t>
      </w:r>
      <w:r w:rsidR="004515A8">
        <w:rPr>
          <w:rFonts w:cs="Times New Roman"/>
        </w:rPr>
        <w:t>In fact</w:t>
      </w:r>
      <w:r w:rsidR="006C7192">
        <w:rPr>
          <w:rFonts w:cs="Times New Roman"/>
        </w:rPr>
        <w:t>, t</w:t>
      </w:r>
      <w:r w:rsidRPr="00364EF3">
        <w:rPr>
          <w:rFonts w:cs="Times New Roman"/>
        </w:rPr>
        <w:t>hese inequalities have reduced between 1990 and 2010</w:t>
      </w:r>
      <w:r w:rsidR="004515A8">
        <w:rPr>
          <w:rStyle w:val="FootnoteReference"/>
          <w:rFonts w:cs="Times New Roman"/>
        </w:rPr>
        <w:footnoteReference w:id="6"/>
      </w:r>
      <w:r w:rsidR="00C1229D">
        <w:rPr>
          <w:rFonts w:cs="Times New Roman"/>
        </w:rPr>
        <w:t xml:space="preserve">. </w:t>
      </w:r>
    </w:p>
    <w:p w14:paraId="57140552" w14:textId="06A457EA" w:rsidR="0070516E" w:rsidRPr="00364EF3" w:rsidRDefault="00BC3E1D" w:rsidP="009C7054">
      <w:pPr>
        <w:spacing w:line="480" w:lineRule="auto"/>
        <w:jc w:val="both"/>
        <w:rPr>
          <w:rFonts w:cs="Times New Roman"/>
        </w:rPr>
      </w:pPr>
      <w:r w:rsidRPr="00364EF3">
        <w:rPr>
          <w:rFonts w:eastAsia="MS Mincho" w:cs="Times New Roman"/>
        </w:rPr>
        <w:t xml:space="preserve">These results </w:t>
      </w:r>
      <w:r w:rsidR="00260B5F" w:rsidRPr="00364EF3">
        <w:rPr>
          <w:rFonts w:eastAsia="MS Mincho" w:cs="Times New Roman"/>
        </w:rPr>
        <w:t>strengthen the</w:t>
      </w:r>
      <w:r w:rsidR="0070516E" w:rsidRPr="00364EF3">
        <w:rPr>
          <w:rFonts w:cs="Times New Roman"/>
        </w:rPr>
        <w:t xml:space="preserve"> </w:t>
      </w:r>
      <w:r w:rsidR="00191D47" w:rsidRPr="00364EF3">
        <w:rPr>
          <w:rFonts w:cs="Times New Roman"/>
        </w:rPr>
        <w:t>case</w:t>
      </w:r>
      <w:r w:rsidR="0070516E" w:rsidRPr="00364EF3">
        <w:rPr>
          <w:rFonts w:cs="Times New Roman"/>
        </w:rPr>
        <w:t xml:space="preserve"> for </w:t>
      </w:r>
      <w:r w:rsidR="00267354" w:rsidRPr="00364EF3">
        <w:rPr>
          <w:rFonts w:cs="Times New Roman"/>
        </w:rPr>
        <w:t xml:space="preserve">intervention in global R&amp;D markets, in the form of </w:t>
      </w:r>
      <w:r w:rsidR="0070516E" w:rsidRPr="00364EF3">
        <w:rPr>
          <w:rFonts w:cs="Times New Roman"/>
        </w:rPr>
        <w:t xml:space="preserve">better </w:t>
      </w:r>
      <w:r w:rsidR="00260B5F" w:rsidRPr="00364EF3">
        <w:rPr>
          <w:rFonts w:cs="Times New Roman"/>
        </w:rPr>
        <w:t xml:space="preserve">alignment between </w:t>
      </w:r>
      <w:r w:rsidR="00422B76" w:rsidRPr="00364EF3">
        <w:rPr>
          <w:rFonts w:cs="Times New Roman"/>
        </w:rPr>
        <w:t xml:space="preserve">public and </w:t>
      </w:r>
      <w:r w:rsidR="0070516E" w:rsidRPr="00364EF3">
        <w:rPr>
          <w:rFonts w:cs="Times New Roman"/>
        </w:rPr>
        <w:t>priva</w:t>
      </w:r>
      <w:r w:rsidR="00260B5F" w:rsidRPr="00364EF3">
        <w:rPr>
          <w:rFonts w:cs="Times New Roman"/>
        </w:rPr>
        <w:t>t</w:t>
      </w:r>
      <w:r w:rsidR="0070516E" w:rsidRPr="00364EF3">
        <w:rPr>
          <w:rFonts w:cs="Times New Roman"/>
        </w:rPr>
        <w:t xml:space="preserve">e sector R&amp;D strategy and </w:t>
      </w:r>
      <w:r w:rsidR="00C30350" w:rsidRPr="00364EF3">
        <w:rPr>
          <w:rFonts w:cs="Times New Roman"/>
        </w:rPr>
        <w:t>health need</w:t>
      </w:r>
      <w:r w:rsidR="002F137B">
        <w:rPr>
          <w:rFonts w:cs="Times New Roman"/>
        </w:rPr>
        <w:t xml:space="preserve"> </w:t>
      </w:r>
      <w:r w:rsidR="0070516E" w:rsidRPr="00364EF3">
        <w:rPr>
          <w:rFonts w:cs="Times New Roman"/>
        </w:rPr>
        <w:fldChar w:fldCharType="begin">
          <w:fldData xml:space="preserve">PEVuZE5vdGU+PENpdGU+PEF1dGhvcj5GYXVjaTwvQXV0aG9yPjxZZWFyPjIwMTI8L1llYXI+PFJl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</w:fldData>
        </w:fldChar>
      </w:r>
      <w:r w:rsidR="00897999" w:rsidRPr="00364EF3">
        <w:rPr>
          <w:rFonts w:cs="Times New Roman"/>
        </w:rPr>
        <w:instrText xml:space="preserve"> ADDIN EN.CITE </w:instrText>
      </w:r>
      <w:r w:rsidR="00897999" w:rsidRPr="00364EF3">
        <w:rPr>
          <w:rFonts w:cs="Times New Roman"/>
        </w:rPr>
        <w:fldChar w:fldCharType="begin">
          <w:fldData xml:space="preserve">PEVuZE5vdGU+PENpdGU+PEF1dGhvcj5GYXVjaTwvQXV0aG9yPjxZZWFyPjIwMTI8L1llYXI+PFJl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</w:fldData>
        </w:fldChar>
      </w:r>
      <w:r w:rsidR="00897999" w:rsidRPr="00364EF3">
        <w:rPr>
          <w:rFonts w:cs="Times New Roman"/>
        </w:rPr>
        <w:instrText xml:space="preserve"> ADDIN EN.CITE.DATA </w:instrText>
      </w:r>
      <w:r w:rsidR="00897999" w:rsidRPr="00364EF3">
        <w:rPr>
          <w:rFonts w:cs="Times New Roman"/>
        </w:rPr>
      </w:r>
      <w:r w:rsidR="00897999" w:rsidRPr="00364EF3">
        <w:rPr>
          <w:rFonts w:cs="Times New Roman"/>
        </w:rPr>
        <w:fldChar w:fldCharType="end"/>
      </w:r>
      <w:r w:rsidR="0070516E" w:rsidRPr="00364EF3">
        <w:rPr>
          <w:rFonts w:cs="Times New Roman"/>
        </w:rPr>
      </w:r>
      <w:r w:rsidR="0070516E" w:rsidRPr="00364EF3">
        <w:rPr>
          <w:rFonts w:cs="Times New Roman"/>
        </w:rPr>
        <w:fldChar w:fldCharType="separate"/>
      </w:r>
      <w:r w:rsidR="00897999" w:rsidRPr="00364EF3">
        <w:rPr>
          <w:rFonts w:cs="Times New Roman"/>
          <w:noProof/>
        </w:rPr>
        <w:t>(Fauci &amp; Morens, 2012; Nathan, 2011)</w:t>
      </w:r>
      <w:r w:rsidR="0070516E" w:rsidRPr="00364EF3">
        <w:rPr>
          <w:rFonts w:cs="Times New Roman"/>
        </w:rPr>
        <w:fldChar w:fldCharType="end"/>
      </w:r>
      <w:r w:rsidR="0070516E" w:rsidRPr="00364EF3">
        <w:rPr>
          <w:rFonts w:cs="Times New Roman"/>
        </w:rPr>
        <w:t>, and</w:t>
      </w:r>
      <w:r w:rsidR="000E44C5" w:rsidRPr="00364EF3">
        <w:rPr>
          <w:rFonts w:cs="Times New Roman"/>
        </w:rPr>
        <w:t xml:space="preserve"> the urgent need to</w:t>
      </w:r>
      <w:r w:rsidR="0070516E" w:rsidRPr="00364EF3">
        <w:rPr>
          <w:rFonts w:cs="Times New Roman"/>
        </w:rPr>
        <w:t xml:space="preserve"> </w:t>
      </w:r>
      <w:r w:rsidRPr="00364EF3">
        <w:rPr>
          <w:rFonts w:cs="Times New Roman"/>
        </w:rPr>
        <w:t xml:space="preserve">redesign </w:t>
      </w:r>
      <w:r w:rsidR="0070516E" w:rsidRPr="00364EF3">
        <w:rPr>
          <w:rFonts w:cs="Times New Roman"/>
        </w:rPr>
        <w:t>public policies</w:t>
      </w:r>
      <w:r w:rsidR="002F137B">
        <w:rPr>
          <w:rFonts w:cs="Times New Roman"/>
        </w:rPr>
        <w:t xml:space="preserve"> </w:t>
      </w:r>
      <w:r w:rsidR="0070516E" w:rsidRPr="00364EF3">
        <w:rPr>
          <w:rFonts w:cs="Times New Roman"/>
        </w:rPr>
        <w:fldChar w:fldCharType="begin"/>
      </w:r>
      <w:r w:rsidR="00897999" w:rsidRPr="00364EF3">
        <w:rPr>
          <w:rFonts w:cs="Times New Roman"/>
        </w:rPr>
        <w:instrText xml:space="preserve"> ADDIN EN.CITE &lt;EndNote&gt;&lt;Cite&gt;&lt;Author&gt;Cech&lt;/Author&gt;&lt;Year&gt;2005&lt;/Year&gt;&lt;RecNum&gt;37&lt;/RecNum&gt;&lt;DisplayText&gt;(Cech, 2005)&lt;/DisplayText&gt;&lt;record&gt;&lt;rec-number&gt;37&lt;/rec-number&gt;&lt;foreign-keys&gt;&lt;key app="EN" db-id="2pwardppx5frwuez9rnxsfs5txxfpresw0ra" timestamp="0"&gt;37&lt;/key&gt;&lt;/foreign-keys&gt;&lt;ref-type name="Journal Article"&gt;17&lt;/ref-type&gt;&lt;contributors&gt;&lt;authors&gt;&lt;author&gt;Cech, Thomas R&lt;/author&gt;&lt;/authors&gt;&lt;/contributors&gt;&lt;titles&gt;&lt;title&gt;Fostering innovation and discovery in biomedical research&lt;/title&gt;&lt;secondary-title&gt;JAMA&lt;/secondary-title&gt;&lt;/titles&gt;&lt;pages&gt;1390-1393&lt;/pages&gt;&lt;volume&gt;294&lt;/volume&gt;&lt;number&gt;11&lt;/number&gt;&lt;dates&gt;&lt;year&gt;2005&lt;/year&gt;&lt;/dates&gt;&lt;isbn&gt;0098-7484&lt;/isbn&gt;&lt;urls&gt;&lt;related-urls&gt;&lt;url&gt;http://jama.jamanetwork.com/article.aspx?articleid=201537&lt;/url&gt;&lt;/related-urls&gt;&lt;/urls&gt;&lt;/record&gt;&lt;/Cite&gt;&lt;/EndNote&gt;</w:instrText>
      </w:r>
      <w:r w:rsidR="0070516E" w:rsidRPr="00364EF3">
        <w:rPr>
          <w:rFonts w:cs="Times New Roman"/>
        </w:rPr>
        <w:fldChar w:fldCharType="separate"/>
      </w:r>
      <w:r w:rsidR="00897999" w:rsidRPr="00364EF3">
        <w:rPr>
          <w:rFonts w:cs="Times New Roman"/>
          <w:noProof/>
        </w:rPr>
        <w:t>(Cech, 2005)</w:t>
      </w:r>
      <w:r w:rsidR="0070516E" w:rsidRPr="00364EF3">
        <w:rPr>
          <w:rFonts w:cs="Times New Roman"/>
        </w:rPr>
        <w:fldChar w:fldCharType="end"/>
      </w:r>
      <w:r w:rsidR="0070516E" w:rsidRPr="00364EF3">
        <w:rPr>
          <w:rFonts w:cs="Times New Roman"/>
        </w:rPr>
        <w:t xml:space="preserve"> </w:t>
      </w:r>
      <w:r w:rsidR="008C5AE6" w:rsidRPr="00364EF3">
        <w:rPr>
          <w:rFonts w:cs="Times New Roman"/>
        </w:rPr>
        <w:t xml:space="preserve">to </w:t>
      </w:r>
      <w:r w:rsidR="00260B5F" w:rsidRPr="00364EF3">
        <w:rPr>
          <w:rFonts w:cs="Times New Roman"/>
        </w:rPr>
        <w:t>foster innovation in neglected disease areas in both developed and developing countries</w:t>
      </w:r>
      <w:r w:rsidRPr="00364EF3">
        <w:rPr>
          <w:rFonts w:cs="Times New Roman"/>
        </w:rPr>
        <w:t>.</w:t>
      </w:r>
      <w:r w:rsidR="0070516E" w:rsidRPr="00364EF3">
        <w:rPr>
          <w:rFonts w:cs="Times New Roman"/>
        </w:rPr>
        <w:t xml:space="preserve"> </w:t>
      </w:r>
    </w:p>
    <w:p w14:paraId="361CF0CF" w14:textId="1F2D62FF" w:rsidR="002337B8" w:rsidRPr="00364EF3" w:rsidRDefault="002337B8" w:rsidP="009C7054">
      <w:pPr>
        <w:spacing w:line="480" w:lineRule="auto"/>
        <w:jc w:val="both"/>
        <w:rPr>
          <w:rFonts w:cs="Times New Roman"/>
        </w:rPr>
      </w:pPr>
    </w:p>
    <w:p w14:paraId="0F4EFCC2" w14:textId="24F3988A" w:rsidR="0060611E" w:rsidRPr="00364EF3" w:rsidRDefault="00725C7B" w:rsidP="009C7054">
      <w:pPr>
        <w:spacing w:line="480" w:lineRule="auto"/>
        <w:jc w:val="both"/>
        <w:rPr>
          <w:rFonts w:cs="Times New Roman"/>
        </w:rPr>
      </w:pPr>
      <w:r>
        <w:rPr>
          <w:rFonts w:cs="Times New Roman"/>
        </w:rPr>
        <w:t>Finally, o</w:t>
      </w:r>
      <w:r w:rsidR="002337B8" w:rsidRPr="00364EF3">
        <w:rPr>
          <w:rFonts w:cs="Times New Roman"/>
        </w:rPr>
        <w:t>ur</w:t>
      </w:r>
      <w:r w:rsidR="00BF3031" w:rsidRPr="00364EF3">
        <w:rPr>
          <w:rFonts w:cs="Times New Roman"/>
        </w:rPr>
        <w:t xml:space="preserve"> results</w:t>
      </w:r>
      <w:r w:rsidR="000C3C4D" w:rsidRPr="00364EF3">
        <w:rPr>
          <w:rFonts w:cs="Times New Roman"/>
        </w:rPr>
        <w:t xml:space="preserve"> </w:t>
      </w:r>
      <w:r w:rsidR="00EB2D46" w:rsidRPr="00364EF3">
        <w:rPr>
          <w:rFonts w:cs="Times New Roman"/>
        </w:rPr>
        <w:t>suggest some</w:t>
      </w:r>
      <w:r w:rsidR="000E44C5" w:rsidRPr="00364EF3">
        <w:rPr>
          <w:rFonts w:cs="Times New Roman"/>
        </w:rPr>
        <w:t xml:space="preserve"> inertia </w:t>
      </w:r>
      <w:r w:rsidR="0027269B" w:rsidRPr="00364EF3">
        <w:rPr>
          <w:rFonts w:cs="Times New Roman"/>
        </w:rPr>
        <w:t xml:space="preserve">in </w:t>
      </w:r>
      <w:r w:rsidR="000E44C5" w:rsidRPr="00364EF3">
        <w:rPr>
          <w:rFonts w:cs="Times New Roman"/>
        </w:rPr>
        <w:t xml:space="preserve">pharmaceutical industry </w:t>
      </w:r>
      <w:r w:rsidR="000C3C4D" w:rsidRPr="00364EF3">
        <w:rPr>
          <w:rFonts w:cs="Times New Roman"/>
        </w:rPr>
        <w:t xml:space="preserve">R&amp;D strategies </w:t>
      </w:r>
      <w:r w:rsidR="000E44C5" w:rsidRPr="00364EF3">
        <w:rPr>
          <w:rFonts w:cs="Times New Roman"/>
        </w:rPr>
        <w:t>with</w:t>
      </w:r>
      <w:r w:rsidR="000C3C4D" w:rsidRPr="00364EF3">
        <w:rPr>
          <w:rFonts w:cs="Times New Roman"/>
        </w:rPr>
        <w:t xml:space="preserve"> regards to </w:t>
      </w:r>
      <w:r w:rsidR="00EB2D46" w:rsidRPr="00364EF3">
        <w:rPr>
          <w:rFonts w:cs="Times New Roman"/>
        </w:rPr>
        <w:t xml:space="preserve">developing innovation targeted at </w:t>
      </w:r>
      <w:r w:rsidR="00182095" w:rsidRPr="00364EF3">
        <w:rPr>
          <w:rFonts w:cs="Times New Roman"/>
        </w:rPr>
        <w:t>CDs</w:t>
      </w:r>
      <w:r w:rsidR="00EB2D46" w:rsidRPr="00364EF3">
        <w:rPr>
          <w:rFonts w:cs="Times New Roman"/>
        </w:rPr>
        <w:t xml:space="preserve"> </w:t>
      </w:r>
      <w:r w:rsidR="000B02AA" w:rsidRPr="00364EF3">
        <w:rPr>
          <w:rFonts w:cs="Times New Roman"/>
        </w:rPr>
        <w:t xml:space="preserve">prevalent in </w:t>
      </w:r>
      <w:r w:rsidR="00EB2D46" w:rsidRPr="00364EF3">
        <w:rPr>
          <w:rFonts w:cs="Times New Roman"/>
        </w:rPr>
        <w:t>developing countries,</w:t>
      </w:r>
      <w:r w:rsidR="003737E5" w:rsidRPr="00364EF3">
        <w:rPr>
          <w:rFonts w:cs="Times New Roman"/>
        </w:rPr>
        <w:t xml:space="preserve"> over the last two decades</w:t>
      </w:r>
      <w:r w:rsidR="000C3C4D" w:rsidRPr="00364EF3">
        <w:rPr>
          <w:rFonts w:cs="Times New Roman"/>
        </w:rPr>
        <w:t>.</w:t>
      </w:r>
      <w:r w:rsidR="00335301" w:rsidRPr="00364EF3">
        <w:rPr>
          <w:rFonts w:cs="Times New Roman"/>
        </w:rPr>
        <w:t xml:space="preserve"> </w:t>
      </w:r>
      <w:r w:rsidR="0060611E" w:rsidRPr="00364EF3">
        <w:rPr>
          <w:rFonts w:cs="Times New Roman"/>
        </w:rPr>
        <w:t>This implies that, in those countries, morbidity and mortality associated with those diseases will remain unad</w:t>
      </w:r>
      <w:r w:rsidR="00AA10A0">
        <w:rPr>
          <w:rFonts w:cs="Times New Roman"/>
        </w:rPr>
        <w:t>d</w:t>
      </w:r>
      <w:r w:rsidR="0060611E" w:rsidRPr="00364EF3">
        <w:rPr>
          <w:rFonts w:cs="Times New Roman"/>
        </w:rPr>
        <w:t xml:space="preserve">ressed. Therefore, while those that suffer from NCDs will benefit </w:t>
      </w:r>
      <w:r w:rsidR="00313B56" w:rsidRPr="00364EF3">
        <w:rPr>
          <w:rFonts w:cs="Times New Roman"/>
        </w:rPr>
        <w:t>f</w:t>
      </w:r>
      <w:r w:rsidR="00313B56">
        <w:rPr>
          <w:rFonts w:cs="Times New Roman"/>
        </w:rPr>
        <w:t>ro</w:t>
      </w:r>
      <w:r w:rsidR="00313B56" w:rsidRPr="00364EF3">
        <w:rPr>
          <w:rFonts w:cs="Times New Roman"/>
        </w:rPr>
        <w:t xml:space="preserve">m </w:t>
      </w:r>
      <w:r w:rsidR="0060611E" w:rsidRPr="00364EF3">
        <w:rPr>
          <w:rFonts w:cs="Times New Roman"/>
        </w:rPr>
        <w:t>novel treatments, others will not have any innovation to address their needs. This may result in widening inequalities within developing countries</w:t>
      </w:r>
      <w:r w:rsidR="00AE05D0">
        <w:rPr>
          <w:rFonts w:cs="Times New Roman"/>
        </w:rPr>
        <w:t xml:space="preserve"> </w:t>
      </w:r>
      <w:r w:rsidR="00AE05D0">
        <w:rPr>
          <w:rFonts w:cs="Times New Roman"/>
        </w:rPr>
        <w:fldChar w:fldCharType="begin"/>
      </w:r>
      <w:r w:rsidR="003D5732">
        <w:rPr>
          <w:rFonts w:cs="Times New Roman"/>
        </w:rPr>
        <w:instrText xml:space="preserve"> ADDIN EN.CITE &lt;EndNote&gt;&lt;Cite&gt;&lt;Author&gt;Monteiro&lt;/Author&gt;&lt;Year&gt;2004&lt;/Year&gt;&lt;RecNum&gt;44&lt;/RecNum&gt;&lt;DisplayText&gt;(Marmot, 2005; Monteiro et al., 2004)&lt;/DisplayText&gt;&lt;record&gt;&lt;rec-number&gt;44&lt;/rec-number&gt;&lt;foreign-keys&gt;&lt;key app="EN" db-id="tv2fspxf809vs5efaz7xrz91atd02zw9ss22" timestamp="1493129582"&gt;44&lt;/key&gt;&lt;/foreign-keys&gt;&lt;ref-type name="Journal Article"&gt;17&lt;/ref-type&gt;&lt;contributors&gt;&lt;authors&gt;&lt;author&gt;Monteiro, Carlos A&lt;/author&gt;&lt;author&gt;Moura, Erly C&lt;/author&gt;&lt;author&gt;Conde, Wolney L&lt;/author&gt;&lt;author&gt;Popkin, Barry M&lt;/author&gt;&lt;/authors&gt;&lt;/contributors&gt;&lt;titles&gt;&lt;title&gt;Socioeconomic status and obesity in adult populations of developing countries: a review&lt;/title&gt;&lt;secondary-title&gt;Bulletin of the World Health Organization&lt;/secondary-title&gt;&lt;/titles&gt;&lt;periodical&gt;&lt;full-title&gt;Bulletin of the World Health Organization&lt;/full-title&gt;&lt;/periodical&gt;&lt;pages&gt;940-946&lt;/pages&gt;&lt;volume&gt;82&lt;/volume&gt;&lt;number&gt;12&lt;/number&gt;&lt;dates&gt;&lt;year&gt;2004&lt;/year&gt;&lt;/dates&gt;&lt;isbn&gt;0042-9686&lt;/isbn&gt;&lt;urls&gt;&lt;/urls&gt;&lt;/record&gt;&lt;/Cite&gt;&lt;Cite&gt;&lt;Author&gt;Marmot&lt;/Author&gt;&lt;Year&gt;2005&lt;/Year&gt;&lt;RecNum&gt;43&lt;/RecNum&gt;&lt;record&gt;&lt;rec-number&gt;43&lt;/rec-number&gt;&lt;foreign-keys&gt;&lt;key app="EN" db-id="tv2fspxf809vs5efaz7xrz91atd02zw9ss22" timestamp="1493129480"&gt;43&lt;/key&gt;&lt;/foreign-keys&gt;&lt;ref-type name="Journal Article"&gt;17&lt;/ref-type&gt;&lt;contributors&gt;&lt;authors&gt;&lt;author&gt;Marmot, Michael&lt;/author&gt;&lt;/authors&gt;&lt;/contributors&gt;&lt;titles&gt;&lt;title&gt;Social Determinants of Health Inequalities&lt;/title&gt;&lt;secondary-title&gt;The Lancet&lt;/secondary-title&gt;&lt;/titles&gt;&lt;periodical&gt;&lt;full-title&gt;The Lancet&lt;/full-title&gt;&lt;/periodical&gt;&lt;pages&gt;1099-1104&lt;/pages&gt;&lt;volume&gt;365&lt;/volume&gt;&lt;number&gt;9464&lt;/number&gt;&lt;dates&gt;&lt;year&gt;2005&lt;/year&gt;&lt;/dates&gt;&lt;isbn&gt;0140-6736&lt;/isbn&gt;&lt;urls&gt;&lt;/urls&gt;&lt;/record&gt;&lt;/Cite&gt;&lt;/EndNote&gt;</w:instrText>
      </w:r>
      <w:r w:rsidR="00AE05D0">
        <w:rPr>
          <w:rFonts w:cs="Times New Roman"/>
        </w:rPr>
        <w:fldChar w:fldCharType="separate"/>
      </w:r>
      <w:r w:rsidR="003D5732">
        <w:rPr>
          <w:rFonts w:cs="Times New Roman"/>
          <w:noProof/>
        </w:rPr>
        <w:t>(Marmot, 2005; Monteiro et al., 2004)</w:t>
      </w:r>
      <w:r w:rsidR="00AE05D0">
        <w:rPr>
          <w:rFonts w:cs="Times New Roman"/>
        </w:rPr>
        <w:fldChar w:fldCharType="end"/>
      </w:r>
      <w:r w:rsidR="0060611E" w:rsidRPr="00364EF3">
        <w:rPr>
          <w:rFonts w:cs="Times New Roman"/>
        </w:rPr>
        <w:t xml:space="preserve">. </w:t>
      </w:r>
    </w:p>
    <w:p w14:paraId="644363DC" w14:textId="77777777" w:rsidR="00182095" w:rsidRDefault="00182095" w:rsidP="009C7054">
      <w:pPr>
        <w:spacing w:line="480" w:lineRule="auto"/>
        <w:jc w:val="both"/>
        <w:rPr>
          <w:rFonts w:cs="Times New Roman"/>
        </w:rPr>
      </w:pPr>
    </w:p>
    <w:p w14:paraId="7E156CF2" w14:textId="302FA898" w:rsidR="00BA03E0" w:rsidRDefault="00BA03E0" w:rsidP="00BA03E0">
      <w:pPr>
        <w:spacing w:line="480" w:lineRule="auto"/>
        <w:jc w:val="both"/>
        <w:rPr>
          <w:rFonts w:cs="Times New Roman"/>
          <w:lang w:val="en-GB"/>
        </w:rPr>
      </w:pPr>
      <w:r>
        <w:rPr>
          <w:rFonts w:cs="Times New Roman"/>
        </w:rPr>
        <w:t xml:space="preserve">Due to the nature of our data, there are several caveats in our analysis. First, we cannot distinguish the </w:t>
      </w:r>
      <w:r w:rsidRPr="00FD79F8">
        <w:rPr>
          <w:rFonts w:cs="Times New Roman"/>
          <w:lang w:val="en-GB"/>
        </w:rPr>
        <w:t>degree of novelty</w:t>
      </w:r>
      <w:r>
        <w:rPr>
          <w:rFonts w:cs="Times New Roman"/>
          <w:lang w:val="en-GB"/>
        </w:rPr>
        <w:t xml:space="preserve"> of drugs in our data. Therefore, our measure of innovation includes both disruptive innovations, with </w:t>
      </w:r>
      <w:r w:rsidRPr="008F7C5A">
        <w:rPr>
          <w:color w:val="000000"/>
          <w:szCs w:val="17"/>
          <w:shd w:val="clear" w:color="auto" w:fill="FFFFFF"/>
        </w:rPr>
        <w:t>added value</w:t>
      </w:r>
      <w:r>
        <w:rPr>
          <w:color w:val="000000"/>
          <w:szCs w:val="17"/>
          <w:shd w:val="clear" w:color="auto" w:fill="FFFFFF"/>
        </w:rPr>
        <w:t xml:space="preserve"> with regards to other existing treatments, as well as </w:t>
      </w:r>
      <w:r w:rsidRPr="00FD79F8">
        <w:rPr>
          <w:rFonts w:cs="Times New Roman"/>
          <w:lang w:val="en-GB"/>
        </w:rPr>
        <w:t>incremental</w:t>
      </w:r>
      <w:r>
        <w:rPr>
          <w:rFonts w:cs="Times New Roman"/>
          <w:lang w:val="en-GB"/>
        </w:rPr>
        <w:t xml:space="preserve"> innovations, and those that not necessarily incrementally improve population health</w:t>
      </w:r>
      <w:r w:rsidR="004B1BF5">
        <w:rPr>
          <w:rFonts w:cs="Times New Roman"/>
          <w:lang w:val="en-GB"/>
        </w:rPr>
        <w:t>,</w:t>
      </w:r>
      <w:r>
        <w:rPr>
          <w:rFonts w:cs="Times New Roman"/>
          <w:lang w:val="en-GB"/>
        </w:rPr>
        <w:t xml:space="preserve"> </w:t>
      </w:r>
      <w:r w:rsidRPr="004B1BF5">
        <w:rPr>
          <w:rFonts w:cs="Times New Roman"/>
          <w:lang w:val="en-GB"/>
        </w:rPr>
        <w:t>i.e.</w:t>
      </w:r>
      <w:r>
        <w:rPr>
          <w:rFonts w:cs="Times New Roman"/>
          <w:lang w:val="en-GB"/>
        </w:rPr>
        <w:t xml:space="preserve"> “me-too” drugs </w:t>
      </w:r>
      <w:r>
        <w:rPr>
          <w:rFonts w:cs="Times New Roman"/>
          <w:lang w:val="en-GB"/>
        </w:rPr>
        <w:fldChar w:fldCharType="begin"/>
      </w:r>
      <w:r w:rsidR="004B1BF5">
        <w:rPr>
          <w:rFonts w:cs="Times New Roman"/>
          <w:lang w:val="en-GB"/>
        </w:rPr>
        <w:instrText xml:space="preserve"> ADDIN EN.CITE &lt;EndNote&gt;&lt;Cite&gt;&lt;Author&gt;Organisation for Economic Co-operation and Development&lt;/Author&gt;&lt;Year&gt;2005&lt;/Year&gt;&lt;RecNum&gt;57&lt;/RecNum&gt;&lt;DisplayText&gt;(Organisation for Economic Co-operation and Development, 2005)&lt;/DisplayText&gt;&lt;record&gt;&lt;rec-number&gt;57&lt;/rec-number&gt;&lt;foreign-keys&gt;&lt;key app="EN" db-id="fete5e25iazx05es5p2vwse8vftw20pp9z9z" timestamp="0"&gt;57&lt;/key&gt;&lt;/foreign-keys&gt;&lt;ref-type name="Report"&gt;27&lt;/ref-type&gt;&lt;contributors&gt;&lt;authors&gt;&lt;author&gt;Organisation for Economic Co-operation and Development,&lt;/author&gt;&lt;/authors&gt;&lt;/contributors&gt;&lt;titles&gt;&lt;title&gt;Oslo Manual: The measurement of scientific and technological activities. Proposed guidelines for collecting and interpreting innovation data.&lt;/title&gt;&lt;/titles&gt;&lt;dates&gt;&lt;year&gt;2005&lt;/year&gt;&lt;/dates&gt;&lt;pub-location&gt;http://www.oecd.org/science/inno/2367580.pdf&lt;/pub-location&gt;&lt;publisher&gt;OECD&lt;/publisher&gt;&lt;urls&gt;&lt;/urls&gt;&lt;/record&gt;&lt;/Cite&gt;&lt;/EndNote&gt;</w:instrText>
      </w:r>
      <w:r>
        <w:rPr>
          <w:rFonts w:cs="Times New Roman"/>
          <w:lang w:val="en-GB"/>
        </w:rPr>
        <w:fldChar w:fldCharType="separate"/>
      </w:r>
      <w:r>
        <w:rPr>
          <w:rFonts w:cs="Times New Roman"/>
          <w:noProof/>
          <w:lang w:val="en-GB"/>
        </w:rPr>
        <w:t>(Organisation for Economic Co-operation and Development, 2005)</w:t>
      </w:r>
      <w:r>
        <w:rPr>
          <w:rFonts w:cs="Times New Roman"/>
          <w:lang w:val="en-GB"/>
        </w:rPr>
        <w:fldChar w:fldCharType="end"/>
      </w:r>
      <w:r w:rsidRPr="00FD79F8">
        <w:rPr>
          <w:rFonts w:cs="Times New Roman"/>
          <w:lang w:val="en-GB"/>
        </w:rPr>
        <w:t xml:space="preserve">. </w:t>
      </w:r>
      <w:r>
        <w:rPr>
          <w:rFonts w:cs="Times New Roman"/>
          <w:lang w:val="en-GB"/>
        </w:rPr>
        <w:t xml:space="preserve">Given that we have no information about the efficacy of the drugs we give these different types of innovations equal weight in mitigating burden of disease in our </w:t>
      </w:r>
      <w:r>
        <w:rPr>
          <w:rFonts w:cs="Times New Roman"/>
          <w:lang w:val="en-GB"/>
        </w:rPr>
        <w:lastRenderedPageBreak/>
        <w:t xml:space="preserve">analysis. Since our results rely on disease rankings across burden of disease, this could potentially be an issue if the distribution of drugs with different efficacy differs across and within diseases. To further investigate this, we would need data on the degree of novelty and clinical evidence for each drug launched in the market. Unfortunately, these data are not available. </w:t>
      </w:r>
    </w:p>
    <w:p w14:paraId="17016C90" w14:textId="17AC5FE1" w:rsidR="00BA03E0" w:rsidRDefault="00BA03E0" w:rsidP="00BA03E0">
      <w:pPr>
        <w:spacing w:line="480" w:lineRule="auto"/>
        <w:jc w:val="both"/>
        <w:rPr>
          <w:rFonts w:cs="Times New Roman"/>
          <w:lang w:val="en-GB"/>
        </w:rPr>
      </w:pPr>
      <w:r>
        <w:rPr>
          <w:rFonts w:cs="Times New Roman"/>
          <w:lang w:val="en-GB"/>
        </w:rPr>
        <w:t>The existing efficacy data is mostly from clinical trials  reported in systematic reviews</w:t>
      </w:r>
      <w:r>
        <w:rPr>
          <w:rFonts w:cs="Times New Roman"/>
          <w:iCs/>
        </w:rPr>
        <w:t xml:space="preserve"> </w:t>
      </w:r>
      <w:r>
        <w:rPr>
          <w:rFonts w:cs="Times New Roman"/>
          <w:lang w:val="en-GB"/>
        </w:rPr>
        <w:fldChar w:fldCharType="begin"/>
      </w:r>
      <w:r w:rsidR="004B1BF5">
        <w:rPr>
          <w:rFonts w:cs="Times New Roman"/>
          <w:lang w:val="en-GB"/>
        </w:rPr>
        <w:instrText xml:space="preserve"> ADDIN EN.CITE &lt;EndNote&gt;&lt;Cite&gt;&lt;Author&gt;Kaplan et al.&lt;/Author&gt;&lt;Year&gt;2013&lt;/Year&gt;&lt;RecNum&gt;55&lt;/RecNum&gt;&lt;DisplayText&gt;(Kaplan et al., 2013; Kaplan &amp;amp; Laing, 2004)&lt;/DisplayText&gt;&lt;record&gt;&lt;rec-number&gt;55&lt;/rec-number&gt;&lt;foreign-keys&gt;&lt;key app="EN" db-id="fete5e25iazx05es5p2vwse8vftw20pp9z9z" timestamp="0"&gt;55&lt;/key&gt;&lt;/foreign-keys&gt;&lt;ref-type name="Report"&gt;27&lt;/ref-type&gt;&lt;contributors&gt;&lt;authors&gt;&lt;author&gt;Kaplan et al.,&lt;/author&gt;&lt;/authors&gt;&lt;/contributors&gt;&lt;titles&gt;&lt;title&gt;Priority Medicines for Europe and the World 2013 Update&lt;/title&gt;&lt;/titles&gt;&lt;dates&gt;&lt;year&gt;2013&lt;/year&gt;&lt;/dates&gt;&lt;pub-location&gt;Geneva&lt;/pub-location&gt;&lt;publisher&gt;World Health Organization&lt;/publisher&gt;&lt;urls&gt;&lt;/urls&gt;&lt;/record&gt;&lt;/Cite&gt;&lt;Cite&gt;&lt;Author&gt;Kaplan&lt;/Author&gt;&lt;Year&gt;2004&lt;/Year&gt;&lt;RecNum&gt;56&lt;/RecNum&gt;&lt;record&gt;&lt;rec-number&gt;56&lt;/rec-number&gt;&lt;foreign-keys&gt;&lt;key app="EN" db-id="fete5e25iazx05es5p2vwse8vftw20pp9z9z" timestamp="0"&gt;56&lt;/key&gt;&lt;/foreign-keys&gt;&lt;ref-type name="Report"&gt;27&lt;/ref-type&gt;&lt;contributors&gt;&lt;authors&gt;&lt;author&gt;Warren Kaplan&lt;/author&gt;&lt;author&gt;Richard Laing&lt;/author&gt;&lt;/authors&gt;&lt;/contributors&gt;&lt;titles&gt;&lt;title&gt;Priority Medicines for Europe and the World 2004&lt;/title&gt;&lt;/titles&gt;&lt;dates&gt;&lt;year&gt;2004&lt;/year&gt;&lt;/dates&gt;&lt;pub-location&gt;http://apps.who.int/iris/bitstream/handle/10665/68769/WHO_EDM_PAR_2004.7.pdf?sequence=1&lt;/pub-location&gt;&lt;publisher&gt;World Health Organization&lt;/publisher&gt;&lt;urls&gt;&lt;/urls&gt;&lt;/record&gt;&lt;/Cite&gt;&lt;/EndNote&gt;</w:instrText>
      </w:r>
      <w:r>
        <w:rPr>
          <w:rFonts w:cs="Times New Roman"/>
          <w:lang w:val="en-GB"/>
        </w:rPr>
        <w:fldChar w:fldCharType="separate"/>
      </w:r>
      <w:r>
        <w:rPr>
          <w:rFonts w:cs="Times New Roman"/>
          <w:noProof/>
          <w:lang w:val="en-GB"/>
        </w:rPr>
        <w:t>(Kaplan et al., 2013; Kaplan &amp; Laing, 2004)</w:t>
      </w:r>
      <w:r>
        <w:rPr>
          <w:rFonts w:cs="Times New Roman"/>
          <w:lang w:val="en-GB"/>
        </w:rPr>
        <w:fldChar w:fldCharType="end"/>
      </w:r>
      <w:r>
        <w:rPr>
          <w:rFonts w:cs="Times New Roman"/>
          <w:lang w:val="en-GB"/>
        </w:rPr>
        <w:t xml:space="preserve"> and thus does not capture comprehensively innovations ans is also subject to publication bias. Assessing innovation inequalities using the value of innovation is an important research question that can be addressed if further investment is made in data on the efficacy of drugs in clinical trials, as well as surveillance data on the effectiveness of drugs once launched in the market. </w:t>
      </w:r>
    </w:p>
    <w:p w14:paraId="2CAE927A" w14:textId="77777777" w:rsidR="00BA03E0" w:rsidRDefault="00BA03E0" w:rsidP="00BA03E0">
      <w:pPr>
        <w:spacing w:line="480" w:lineRule="auto"/>
        <w:jc w:val="both"/>
        <w:rPr>
          <w:rFonts w:cs="Times New Roman"/>
          <w:lang w:val="en-GB"/>
        </w:rPr>
      </w:pPr>
    </w:p>
    <w:p w14:paraId="403614B5" w14:textId="764FC433" w:rsidR="00BA03E0" w:rsidRDefault="00BA03E0" w:rsidP="00BA03E0">
      <w:pPr>
        <w:spacing w:line="480" w:lineRule="auto"/>
        <w:jc w:val="both"/>
        <w:rPr>
          <w:rFonts w:cs="Times New Roman"/>
        </w:rPr>
      </w:pPr>
      <w:r>
        <w:rPr>
          <w:rFonts w:cs="Times New Roman"/>
          <w:lang w:val="en-GB"/>
        </w:rPr>
        <w:t xml:space="preserve">Secondly, we have no information on the cost-effectiveness of the different drugs launched in the market, hence we weight equally drugs that might offer different value for money in comparison to existing treatment alternatives. It could be, however, that some of these innovations are not truly cost-effective and, therefore, their market launch does not bring value for money in mitigating burden of disease. </w:t>
      </w:r>
      <w:r>
        <w:rPr>
          <w:rFonts w:cs="Times New Roman"/>
        </w:rPr>
        <w:t>For these reason, and in light of our analysis, i</w:t>
      </w:r>
      <w:r w:rsidRPr="00364EF3">
        <w:rPr>
          <w:rFonts w:cs="Times New Roman"/>
        </w:rPr>
        <w:t xml:space="preserve">t should be remarked that equal distribution of drug innovation, in line with disease burden, is not necessarily desirable or expected. Even though drugs </w:t>
      </w:r>
      <w:r>
        <w:rPr>
          <w:rFonts w:cs="Times New Roman"/>
        </w:rPr>
        <w:t xml:space="preserve">deliver potentially large health benefits, </w:t>
      </w:r>
      <w:r w:rsidRPr="00364EF3">
        <w:rPr>
          <w:rFonts w:cs="Times New Roman"/>
        </w:rPr>
        <w:t>there are other alternative</w:t>
      </w:r>
      <w:r>
        <w:rPr>
          <w:rFonts w:cs="Times New Roman"/>
        </w:rPr>
        <w:t xml:space="preserve"> more cost-effective (health or non-health related) </w:t>
      </w:r>
      <w:r w:rsidRPr="00364EF3">
        <w:rPr>
          <w:rFonts w:cs="Times New Roman"/>
        </w:rPr>
        <w:t xml:space="preserve">interventions that may be more suitable to address certain types of conditions. </w:t>
      </w:r>
    </w:p>
    <w:p w14:paraId="75C53B0B" w14:textId="6D26BCDB" w:rsidR="00BA03E0" w:rsidRDefault="00BA03E0" w:rsidP="00BA03E0">
      <w:pPr>
        <w:spacing w:line="480" w:lineRule="auto"/>
        <w:jc w:val="both"/>
        <w:rPr>
          <w:rFonts w:cs="Times New Roman"/>
          <w:lang w:val="en-GB"/>
        </w:rPr>
      </w:pPr>
      <w:r>
        <w:rPr>
          <w:rFonts w:cs="Times New Roman"/>
          <w:lang w:val="en-GB"/>
        </w:rPr>
        <w:t>Embedding cost-effectiveness in inequalities analysis is an important avenue of research that requires substantial data investment. Yet, measuring cost-effectiveness for drugs across different countries is potentially even more complex than measuring efficacy and effectiveness. Indeed, the direct and indirect costs and benefits used in cost</w:t>
      </w:r>
      <w:r w:rsidR="00DC49F2">
        <w:rPr>
          <w:rFonts w:cs="Times New Roman"/>
          <w:lang w:val="en-GB"/>
        </w:rPr>
        <w:t>-</w:t>
      </w:r>
      <w:r>
        <w:rPr>
          <w:rFonts w:cs="Times New Roman"/>
          <w:lang w:val="en-GB"/>
        </w:rPr>
        <w:t xml:space="preserve">effectiveness analysis are country </w:t>
      </w:r>
      <w:r>
        <w:rPr>
          <w:rFonts w:cs="Times New Roman"/>
          <w:lang w:val="en-GB"/>
        </w:rPr>
        <w:lastRenderedPageBreak/>
        <w:t xml:space="preserve">specific and depend on the scope and organization of service delivery in the different health systems </w:t>
      </w:r>
      <w:r>
        <w:rPr>
          <w:rFonts w:cs="Times New Roman"/>
          <w:lang w:val="en-GB"/>
        </w:rPr>
        <w:fldChar w:fldCharType="begin"/>
      </w:r>
      <w:r w:rsidR="004B1BF5">
        <w:rPr>
          <w:rFonts w:cs="Times New Roman"/>
          <w:lang w:val="en-GB"/>
        </w:rPr>
        <w:instrText xml:space="preserve"> ADDIN EN.CITE &lt;EndNote&gt;&lt;Cite&gt;&lt;Author&gt;Paris&lt;/Author&gt;&lt;Year&gt;2016&lt;/Year&gt;&lt;RecNum&gt;58&lt;/RecNum&gt;&lt;DisplayText&gt;(Paris &amp;amp; Belloni, 2016)&lt;/DisplayText&gt;&lt;record&gt;&lt;rec-number&gt;58&lt;/rec-number&gt;&lt;foreign-keys&gt;&lt;key app="EN" db-id="fete5e25iazx05es5p2vwse8vftw20pp9z9z" timestamp="0"&gt;58&lt;/key&gt;&lt;/foreign-keys&gt;&lt;ref-type name="Report"&gt;27&lt;/ref-type&gt;&lt;contributors&gt;&lt;authors&gt;&lt;author&gt;Valérie Paris&lt;/author&gt;&lt;author&gt;Annalisa Belloni&lt;/author&gt;&lt;/authors&gt;&lt;/contributors&gt;&lt;titles&gt;&lt;title&gt;Value in Pharmaceutical Pricing&lt;/title&gt;&lt;/titles&gt;&lt;number&gt;63&lt;/number&gt;&lt;num-vols&gt;OECD Health Working Papers&lt;/num-vols&gt;&lt;dates&gt;&lt;year&gt;2016&lt;/year&gt;&lt;/dates&gt;&lt;pub-location&gt;http://www.oecd.org/health/pharmaceutical-pricing.htm&lt;/pub-location&gt;&lt;publisher&gt;OECD&lt;/publisher&gt;&lt;urls&gt;&lt;/urls&gt;&lt;/record&gt;&lt;/Cite&gt;&lt;/EndNote&gt;</w:instrText>
      </w:r>
      <w:r>
        <w:rPr>
          <w:rFonts w:cs="Times New Roman"/>
          <w:lang w:val="en-GB"/>
        </w:rPr>
        <w:fldChar w:fldCharType="separate"/>
      </w:r>
      <w:r>
        <w:rPr>
          <w:rFonts w:cs="Times New Roman"/>
          <w:noProof/>
          <w:lang w:val="en-GB"/>
        </w:rPr>
        <w:t>(Paris &amp; Belloni, 2016)</w:t>
      </w:r>
      <w:r>
        <w:rPr>
          <w:rFonts w:cs="Times New Roman"/>
          <w:lang w:val="en-GB"/>
        </w:rPr>
        <w:fldChar w:fldCharType="end"/>
      </w:r>
      <w:r>
        <w:rPr>
          <w:rFonts w:cs="Times New Roman"/>
          <w:lang w:val="en-GB"/>
        </w:rPr>
        <w:t xml:space="preserve">. </w:t>
      </w:r>
    </w:p>
    <w:p w14:paraId="2A77064A" w14:textId="77777777" w:rsidR="00BA03E0" w:rsidRDefault="00BA03E0" w:rsidP="00BA03E0">
      <w:pPr>
        <w:spacing w:line="480" w:lineRule="auto"/>
        <w:jc w:val="both"/>
        <w:rPr>
          <w:rFonts w:cs="Times New Roman"/>
          <w:lang w:val="en-GB"/>
        </w:rPr>
      </w:pPr>
    </w:p>
    <w:p w14:paraId="333910F0" w14:textId="3CD17BF1" w:rsidR="00BA03E0" w:rsidRDefault="00BA03E0" w:rsidP="00BA03E0">
      <w:pPr>
        <w:spacing w:line="480" w:lineRule="auto"/>
        <w:jc w:val="both"/>
        <w:rPr>
          <w:rFonts w:cs="Times New Roman"/>
        </w:rPr>
      </w:pPr>
      <w:r>
        <w:rPr>
          <w:rFonts w:cs="Times New Roman"/>
          <w:lang w:val="en-GB"/>
        </w:rPr>
        <w:t>Thirdly</w:t>
      </w:r>
      <w:r w:rsidRPr="00364EF3">
        <w:rPr>
          <w:rFonts w:cs="Times New Roman"/>
        </w:rPr>
        <w:t xml:space="preserve">, </w:t>
      </w:r>
      <w:r>
        <w:rPr>
          <w:rFonts w:cs="Times New Roman"/>
        </w:rPr>
        <w:t xml:space="preserve">the availability of new therapies in the market depends on national policies and socioeconomic realities that make the drugs more or less accessible to those that most need them. Our data </w:t>
      </w:r>
      <w:r w:rsidRPr="00364EF3">
        <w:rPr>
          <w:rFonts w:cs="Times New Roman"/>
        </w:rPr>
        <w:t xml:space="preserve">do not allow </w:t>
      </w:r>
      <w:r>
        <w:rPr>
          <w:rFonts w:cs="Times New Roman"/>
        </w:rPr>
        <w:t xml:space="preserve">us to assess utilization of drugs. It could, however, be that for certain disease areas drugs are launched in some countries and are only accessible to a subgroup of the population. Without information on drug utilization we could potentially be underestimating inequalities in our analysis. </w:t>
      </w:r>
    </w:p>
    <w:p w14:paraId="7FBB64A5" w14:textId="24BEC313" w:rsidR="00D23802" w:rsidRDefault="00D23802" w:rsidP="009C7054">
      <w:pPr>
        <w:spacing w:line="480" w:lineRule="auto"/>
        <w:jc w:val="both"/>
        <w:rPr>
          <w:rFonts w:cs="Times New Roman"/>
        </w:rPr>
      </w:pPr>
    </w:p>
    <w:p w14:paraId="7295030D" w14:textId="4B8CB23A" w:rsidR="002D7179" w:rsidRDefault="002D7179" w:rsidP="002D7179">
      <w:pPr>
        <w:spacing w:line="480" w:lineRule="auto"/>
        <w:jc w:val="both"/>
        <w:rPr>
          <w:rFonts w:cs="Times New Roman"/>
        </w:rPr>
      </w:pPr>
      <w:r>
        <w:rPr>
          <w:rFonts w:cs="Times New Roman"/>
        </w:rPr>
        <w:t xml:space="preserve">Finally, our analysis does not assess the reasons behind an unequal distribution of market launches across disease areas. It could be that differences of innovation across disease areas reflect not only strategic behaviour of the industry but also the differences in the technical and scientific risk of developing a new molecule across disease areas. Disentangling these determinants of innovation is of key importance for the design of effective innovation reward systems that seek to incentivize specific disease burdens. </w:t>
      </w:r>
    </w:p>
    <w:p w14:paraId="0A16A0FE" w14:textId="77777777" w:rsidR="00D91B4C" w:rsidRPr="00D76390" w:rsidRDefault="00D91B4C" w:rsidP="009C7054">
      <w:pPr>
        <w:spacing w:line="480" w:lineRule="auto"/>
        <w:jc w:val="both"/>
        <w:rPr>
          <w:rFonts w:cs="Times New Roman"/>
          <w:lang w:val="en-GB"/>
        </w:rPr>
      </w:pPr>
    </w:p>
    <w:p w14:paraId="0F701BA9" w14:textId="262C601E" w:rsidR="00FB5ED7" w:rsidRDefault="009D1623" w:rsidP="00276FD8">
      <w:pPr>
        <w:spacing w:line="480" w:lineRule="auto"/>
        <w:jc w:val="both"/>
        <w:rPr>
          <w:rFonts w:cs="Times New Roman"/>
        </w:rPr>
      </w:pPr>
      <w:r>
        <w:rPr>
          <w:rFonts w:cs="Times New Roman"/>
        </w:rPr>
        <w:t>Nevertheless, g</w:t>
      </w:r>
      <w:r w:rsidR="000500F9" w:rsidRPr="00364EF3">
        <w:rPr>
          <w:rFonts w:cs="Times New Roman"/>
        </w:rPr>
        <w:t xml:space="preserve">iven the substantial investment in pharmaceutical R&amp;D, for efficiency and equity reasons, it is important to assess the societal returns on such investments, and in particular, whether </w:t>
      </w:r>
      <w:r w:rsidR="00005684" w:rsidRPr="00364EF3">
        <w:rPr>
          <w:rFonts w:cs="Times New Roman"/>
        </w:rPr>
        <w:t xml:space="preserve">current </w:t>
      </w:r>
      <w:r w:rsidR="00D91B4C">
        <w:rPr>
          <w:rFonts w:cs="Times New Roman"/>
        </w:rPr>
        <w:t>R&amp;D efforts</w:t>
      </w:r>
      <w:r w:rsidR="00005684" w:rsidRPr="00364EF3">
        <w:rPr>
          <w:rFonts w:cs="Times New Roman"/>
        </w:rPr>
        <w:t xml:space="preserve"> are focusing </w:t>
      </w:r>
      <w:r w:rsidR="00005684">
        <w:rPr>
          <w:rFonts w:cs="Times New Roman"/>
        </w:rPr>
        <w:t xml:space="preserve">sufficient </w:t>
      </w:r>
      <w:r w:rsidR="00005684" w:rsidRPr="00364EF3">
        <w:rPr>
          <w:rFonts w:cs="Times New Roman"/>
        </w:rPr>
        <w:t>attention on the priority areas of need.</w:t>
      </w:r>
      <w:r w:rsidR="00083957">
        <w:rPr>
          <w:rFonts w:cs="Times New Roman"/>
        </w:rPr>
        <w:t xml:space="preserve"> </w:t>
      </w:r>
      <w:r w:rsidR="00276FD8">
        <w:rPr>
          <w:rFonts w:cs="Times New Roman"/>
        </w:rPr>
        <w:t>Therefore</w:t>
      </w:r>
      <w:r w:rsidR="00D86FB5">
        <w:rPr>
          <w:rFonts w:cs="Times New Roman"/>
        </w:rPr>
        <w:t>,</w:t>
      </w:r>
      <w:r w:rsidR="00276FD8">
        <w:rPr>
          <w:rFonts w:cs="Times New Roman"/>
        </w:rPr>
        <w:t xml:space="preserve"> </w:t>
      </w:r>
      <w:r>
        <w:rPr>
          <w:rFonts w:cs="Times New Roman"/>
        </w:rPr>
        <w:t xml:space="preserve">notwithstanding the caveats, </w:t>
      </w:r>
      <w:r w:rsidR="00276FD8">
        <w:rPr>
          <w:rFonts w:cs="Times New Roman"/>
        </w:rPr>
        <w:t xml:space="preserve">our findings are important and can be instrumental in </w:t>
      </w:r>
      <w:r w:rsidR="00FB5ED7">
        <w:rPr>
          <w:rFonts w:cs="Times New Roman"/>
        </w:rPr>
        <w:t>inform</w:t>
      </w:r>
      <w:r w:rsidR="00D91B4C">
        <w:rPr>
          <w:rFonts w:cs="Times New Roman"/>
        </w:rPr>
        <w:t>ing</w:t>
      </w:r>
      <w:r w:rsidR="00C16095">
        <w:rPr>
          <w:rFonts w:cs="Times New Roman"/>
        </w:rPr>
        <w:t xml:space="preserve"> policy</w:t>
      </w:r>
      <w:r w:rsidR="009F45D0">
        <w:rPr>
          <w:rFonts w:cs="Times New Roman"/>
        </w:rPr>
        <w:t>making</w:t>
      </w:r>
      <w:r w:rsidR="007941B3">
        <w:rPr>
          <w:rFonts w:cs="Times New Roman"/>
        </w:rPr>
        <w:t xml:space="preserve"> </w:t>
      </w:r>
      <w:r w:rsidR="00D86FB5">
        <w:rPr>
          <w:rFonts w:cs="Times New Roman"/>
        </w:rPr>
        <w:t>when prioritizing diseases for</w:t>
      </w:r>
      <w:r w:rsidR="00826A7E">
        <w:rPr>
          <w:rFonts w:cs="Times New Roman"/>
        </w:rPr>
        <w:t xml:space="preserve"> R&amp;D</w:t>
      </w:r>
      <w:r w:rsidR="00D86FB5">
        <w:rPr>
          <w:rFonts w:cs="Times New Roman"/>
        </w:rPr>
        <w:t xml:space="preserve"> investment</w:t>
      </w:r>
      <w:r w:rsidR="00826A7E">
        <w:rPr>
          <w:rFonts w:cs="Times New Roman"/>
        </w:rPr>
        <w:t xml:space="preserve"> </w:t>
      </w:r>
      <w:r>
        <w:rPr>
          <w:rFonts w:cs="Times New Roman"/>
        </w:rPr>
        <w:t>that meets global</w:t>
      </w:r>
      <w:r w:rsidR="00826A7E">
        <w:rPr>
          <w:rFonts w:cs="Times New Roman"/>
        </w:rPr>
        <w:t xml:space="preserve"> population health needs</w:t>
      </w:r>
      <w:r w:rsidR="009F45D0">
        <w:rPr>
          <w:rFonts w:cs="Times New Roman"/>
        </w:rPr>
        <w:t>.</w:t>
      </w:r>
      <w:r w:rsidR="00007E2B">
        <w:rPr>
          <w:rFonts w:cs="Times New Roman"/>
        </w:rPr>
        <w:t xml:space="preserve"> </w:t>
      </w:r>
    </w:p>
    <w:p w14:paraId="59EC7417" w14:textId="77777777" w:rsidR="005F1E10" w:rsidRPr="00364EF3" w:rsidRDefault="00243EB5" w:rsidP="009C7054">
      <w:pPr>
        <w:spacing w:line="480" w:lineRule="auto"/>
        <w:rPr>
          <w:rFonts w:cs="Times New Roman"/>
        </w:rPr>
      </w:pPr>
      <w:r w:rsidRPr="00364EF3">
        <w:rPr>
          <w:rFonts w:cs="Times New Roman"/>
        </w:rPr>
        <w:br w:type="page"/>
      </w:r>
    </w:p>
    <w:p w14:paraId="1FE0AD56" w14:textId="192E646B" w:rsidR="00897999" w:rsidRPr="00364EF3" w:rsidRDefault="00897999" w:rsidP="009C7054">
      <w:pPr>
        <w:pStyle w:val="Heading1"/>
        <w:spacing w:line="480" w:lineRule="auto"/>
        <w:rPr>
          <w:szCs w:val="24"/>
          <w:lang w:val="en-GB"/>
        </w:rPr>
      </w:pPr>
      <w:r w:rsidRPr="00364EF3">
        <w:rPr>
          <w:szCs w:val="24"/>
          <w:lang w:val="en-GB"/>
        </w:rPr>
        <w:lastRenderedPageBreak/>
        <w:t>Acknowledgements</w:t>
      </w:r>
    </w:p>
    <w:p w14:paraId="51A9AD11" w14:textId="3F25589C" w:rsidR="00A84CC1" w:rsidRPr="00696C1D" w:rsidRDefault="00364EF3" w:rsidP="00696C1D">
      <w:pPr>
        <w:pStyle w:val="Caption"/>
        <w:spacing w:line="480" w:lineRule="auto"/>
        <w:jc w:val="both"/>
        <w:rPr>
          <w:rFonts w:cs="Times New Roman"/>
          <w:b w:val="0"/>
          <w:color w:val="auto"/>
          <w:sz w:val="24"/>
          <w:szCs w:val="24"/>
          <w:lang w:val="en-GB"/>
        </w:rPr>
      </w:pPr>
      <w:r w:rsidRPr="00364EF3">
        <w:rPr>
          <w:rFonts w:cs="Times New Roman"/>
          <w:b w:val="0"/>
          <w:color w:val="auto"/>
          <w:sz w:val="24"/>
          <w:szCs w:val="24"/>
          <w:lang w:val="en-GB"/>
        </w:rPr>
        <w:t xml:space="preserve">We would like to thank </w:t>
      </w:r>
      <w:r w:rsidRPr="00364EF3">
        <w:rPr>
          <w:rFonts w:cs="Times New Roman"/>
          <w:b w:val="0"/>
          <w:color w:val="auto"/>
          <w:sz w:val="24"/>
          <w:szCs w:val="24"/>
        </w:rPr>
        <w:t>Owen O'Donnell</w:t>
      </w:r>
      <w:r w:rsidR="00A84CC1">
        <w:rPr>
          <w:rFonts w:cs="Times New Roman"/>
          <w:b w:val="0"/>
          <w:color w:val="auto"/>
          <w:sz w:val="24"/>
          <w:szCs w:val="24"/>
        </w:rPr>
        <w:t xml:space="preserve">, </w:t>
      </w:r>
      <w:r w:rsidR="004C49E0">
        <w:rPr>
          <w:rFonts w:cs="Times New Roman"/>
          <w:b w:val="0"/>
          <w:color w:val="auto"/>
          <w:sz w:val="24"/>
          <w:szCs w:val="24"/>
        </w:rPr>
        <w:t xml:space="preserve">Raf Van Gestel, </w:t>
      </w:r>
      <w:r w:rsidR="00D56FC6">
        <w:rPr>
          <w:rFonts w:cs="Times New Roman"/>
          <w:b w:val="0"/>
          <w:color w:val="auto"/>
          <w:sz w:val="24"/>
          <w:szCs w:val="24"/>
        </w:rPr>
        <w:t xml:space="preserve">Michael Head, </w:t>
      </w:r>
      <w:r w:rsidR="00A84CC1">
        <w:rPr>
          <w:rFonts w:cs="Times New Roman"/>
          <w:b w:val="0"/>
          <w:color w:val="auto"/>
          <w:sz w:val="24"/>
          <w:szCs w:val="24"/>
          <w:lang w:val="en-GB"/>
        </w:rPr>
        <w:t xml:space="preserve">Miqdad </w:t>
      </w:r>
      <w:r w:rsidR="00A84CC1" w:rsidRPr="00A84CC1">
        <w:rPr>
          <w:rFonts w:cs="Times New Roman"/>
          <w:b w:val="0"/>
          <w:color w:val="auto"/>
          <w:sz w:val="24"/>
          <w:szCs w:val="24"/>
          <w:lang w:val="en-GB"/>
        </w:rPr>
        <w:t xml:space="preserve">Asaria, Tommaso Valletti, Rifat Atun, </w:t>
      </w:r>
      <w:r w:rsidR="00A84CC1">
        <w:rPr>
          <w:rFonts w:cs="Times New Roman"/>
          <w:b w:val="0"/>
          <w:color w:val="auto"/>
          <w:sz w:val="24"/>
          <w:szCs w:val="24"/>
          <w:lang w:val="en-GB"/>
        </w:rPr>
        <w:t>Chris Chapman</w:t>
      </w:r>
      <w:r w:rsidR="00A84CC1" w:rsidRPr="00A84CC1">
        <w:rPr>
          <w:rFonts w:cs="Times New Roman"/>
          <w:b w:val="0"/>
          <w:color w:val="auto"/>
          <w:sz w:val="24"/>
          <w:szCs w:val="24"/>
          <w:lang w:val="en-GB"/>
        </w:rPr>
        <w:t xml:space="preserve">, </w:t>
      </w:r>
      <w:r w:rsidR="00A84CC1">
        <w:rPr>
          <w:rFonts w:cs="Times New Roman"/>
          <w:b w:val="0"/>
          <w:color w:val="auto"/>
          <w:sz w:val="24"/>
          <w:szCs w:val="24"/>
          <w:lang w:val="en-GB"/>
        </w:rPr>
        <w:t xml:space="preserve">Bénédicte Apouey, Fabrice Etilé, and </w:t>
      </w:r>
      <w:r w:rsidR="00A526AB">
        <w:rPr>
          <w:rFonts w:cs="Times New Roman"/>
          <w:b w:val="0"/>
          <w:color w:val="auto"/>
          <w:sz w:val="24"/>
          <w:szCs w:val="24"/>
          <w:lang w:val="en-GB"/>
        </w:rPr>
        <w:t xml:space="preserve">all </w:t>
      </w:r>
      <w:r w:rsidR="00A84CC1">
        <w:rPr>
          <w:rFonts w:cs="Times New Roman"/>
          <w:b w:val="0"/>
          <w:color w:val="auto"/>
          <w:sz w:val="24"/>
          <w:szCs w:val="24"/>
          <w:lang w:val="en-GB"/>
        </w:rPr>
        <w:t xml:space="preserve">attendants at the UK </w:t>
      </w:r>
      <w:r w:rsidR="00A84CC1" w:rsidRPr="00A84CC1">
        <w:rPr>
          <w:rFonts w:cs="Times New Roman"/>
          <w:b w:val="0"/>
          <w:color w:val="auto"/>
          <w:sz w:val="24"/>
          <w:szCs w:val="24"/>
          <w:lang w:val="en-GB"/>
        </w:rPr>
        <w:t>He</w:t>
      </w:r>
      <w:r w:rsidR="00A84CC1">
        <w:rPr>
          <w:rFonts w:cs="Times New Roman"/>
          <w:b w:val="0"/>
          <w:color w:val="auto"/>
          <w:sz w:val="24"/>
          <w:szCs w:val="24"/>
          <w:lang w:val="en-GB"/>
        </w:rPr>
        <w:t>alth Economics Study Group</w:t>
      </w:r>
      <w:r w:rsidR="00A84CC1" w:rsidRPr="00A84CC1">
        <w:rPr>
          <w:rFonts w:cs="Times New Roman"/>
          <w:b w:val="0"/>
          <w:color w:val="auto"/>
          <w:sz w:val="24"/>
          <w:szCs w:val="24"/>
          <w:lang w:val="en-GB"/>
        </w:rPr>
        <w:t xml:space="preserve">, </w:t>
      </w:r>
      <w:r w:rsidR="00A526AB">
        <w:rPr>
          <w:rFonts w:cs="Times New Roman"/>
          <w:b w:val="0"/>
          <w:color w:val="auto"/>
          <w:sz w:val="24"/>
          <w:szCs w:val="24"/>
          <w:lang w:val="en-GB"/>
        </w:rPr>
        <w:t xml:space="preserve">the </w:t>
      </w:r>
      <w:r w:rsidR="00A84CC1" w:rsidRPr="00A84CC1">
        <w:rPr>
          <w:rFonts w:cs="Times New Roman"/>
          <w:b w:val="0"/>
          <w:color w:val="auto"/>
          <w:sz w:val="24"/>
          <w:szCs w:val="24"/>
          <w:lang w:val="en-GB"/>
        </w:rPr>
        <w:t xml:space="preserve">European Health Economics Conference, </w:t>
      </w:r>
      <w:r w:rsidR="00A84CC1">
        <w:rPr>
          <w:rFonts w:cs="Times New Roman"/>
          <w:b w:val="0"/>
          <w:color w:val="auto"/>
          <w:sz w:val="24"/>
          <w:szCs w:val="24"/>
          <w:lang w:val="en-GB"/>
        </w:rPr>
        <w:t xml:space="preserve">Imperial </w:t>
      </w:r>
      <w:r w:rsidR="00A84CC1" w:rsidRPr="00A84CC1">
        <w:rPr>
          <w:rFonts w:cs="Times New Roman"/>
          <w:b w:val="0"/>
          <w:color w:val="auto"/>
          <w:sz w:val="24"/>
          <w:szCs w:val="24"/>
          <w:lang w:val="en-GB"/>
        </w:rPr>
        <w:t>College Business School</w:t>
      </w:r>
      <w:r w:rsidR="00A526AB">
        <w:rPr>
          <w:rFonts w:cs="Times New Roman"/>
          <w:b w:val="0"/>
          <w:color w:val="auto"/>
          <w:sz w:val="24"/>
          <w:szCs w:val="24"/>
          <w:lang w:val="en-GB"/>
        </w:rPr>
        <w:t xml:space="preserve"> seminar series</w:t>
      </w:r>
      <w:r w:rsidR="00A84CC1">
        <w:rPr>
          <w:rFonts w:cs="Times New Roman"/>
          <w:b w:val="0"/>
          <w:color w:val="auto"/>
          <w:sz w:val="24"/>
          <w:szCs w:val="24"/>
          <w:lang w:val="en-GB"/>
        </w:rPr>
        <w:t xml:space="preserve">, </w:t>
      </w:r>
      <w:r w:rsidR="00A526AB">
        <w:rPr>
          <w:rFonts w:cs="Times New Roman"/>
          <w:b w:val="0"/>
          <w:color w:val="auto"/>
          <w:sz w:val="24"/>
          <w:szCs w:val="24"/>
          <w:lang w:val="en-GB"/>
        </w:rPr>
        <w:t xml:space="preserve">International </w:t>
      </w:r>
      <w:r w:rsidR="00A84CC1">
        <w:rPr>
          <w:rFonts w:cs="Times New Roman"/>
          <w:b w:val="0"/>
          <w:color w:val="auto"/>
          <w:sz w:val="24"/>
          <w:szCs w:val="24"/>
          <w:lang w:val="en-GB"/>
        </w:rPr>
        <w:t>H</w:t>
      </w:r>
      <w:r w:rsidR="00A526AB">
        <w:rPr>
          <w:rFonts w:cs="Times New Roman"/>
          <w:b w:val="0"/>
          <w:color w:val="auto"/>
          <w:sz w:val="24"/>
          <w:szCs w:val="24"/>
          <w:lang w:val="en-GB"/>
        </w:rPr>
        <w:t xml:space="preserve">ealth </w:t>
      </w:r>
      <w:r w:rsidR="00A84CC1">
        <w:rPr>
          <w:rFonts w:cs="Times New Roman"/>
          <w:b w:val="0"/>
          <w:color w:val="auto"/>
          <w:sz w:val="24"/>
          <w:szCs w:val="24"/>
          <w:lang w:val="en-GB"/>
        </w:rPr>
        <w:t>E</w:t>
      </w:r>
      <w:r w:rsidR="00A526AB">
        <w:rPr>
          <w:rFonts w:cs="Times New Roman"/>
          <w:b w:val="0"/>
          <w:color w:val="auto"/>
          <w:sz w:val="24"/>
          <w:szCs w:val="24"/>
          <w:lang w:val="en-GB"/>
        </w:rPr>
        <w:t xml:space="preserve">conomics </w:t>
      </w:r>
      <w:r w:rsidR="00A84CC1">
        <w:rPr>
          <w:rFonts w:cs="Times New Roman"/>
          <w:b w:val="0"/>
          <w:color w:val="auto"/>
          <w:sz w:val="24"/>
          <w:szCs w:val="24"/>
          <w:lang w:val="en-GB"/>
        </w:rPr>
        <w:t>A</w:t>
      </w:r>
      <w:r w:rsidR="00A526AB">
        <w:rPr>
          <w:rFonts w:cs="Times New Roman"/>
          <w:b w:val="0"/>
          <w:color w:val="auto"/>
          <w:sz w:val="24"/>
          <w:szCs w:val="24"/>
          <w:lang w:val="en-GB"/>
        </w:rPr>
        <w:t xml:space="preserve">ssociation conference, and </w:t>
      </w:r>
      <w:r w:rsidR="003E1633">
        <w:rPr>
          <w:rFonts w:cs="Times New Roman"/>
          <w:b w:val="0"/>
          <w:color w:val="auto"/>
          <w:sz w:val="24"/>
          <w:szCs w:val="24"/>
          <w:lang w:val="en-GB"/>
        </w:rPr>
        <w:t>the workshop</w:t>
      </w:r>
      <w:r w:rsidR="003E1633" w:rsidRPr="003E1633">
        <w:rPr>
          <w:rFonts w:cs="Times New Roman"/>
          <w:b w:val="0"/>
          <w:color w:val="auto"/>
          <w:sz w:val="24"/>
          <w:szCs w:val="24"/>
          <w:lang w:val="en-GB"/>
        </w:rPr>
        <w:t xml:space="preserve"> </w:t>
      </w:r>
      <w:r w:rsidR="003E1633" w:rsidRPr="003E1633">
        <w:rPr>
          <w:rFonts w:cs="Times New Roman"/>
          <w:b w:val="0"/>
          <w:i/>
          <w:color w:val="auto"/>
          <w:sz w:val="24"/>
          <w:szCs w:val="24"/>
          <w:lang w:val="en-GB"/>
        </w:rPr>
        <w:t xml:space="preserve">Approches </w:t>
      </w:r>
      <w:r w:rsidR="007A3E26">
        <w:rPr>
          <w:rFonts w:cs="Times New Roman"/>
          <w:b w:val="0"/>
          <w:i/>
          <w:color w:val="auto"/>
          <w:sz w:val="24"/>
          <w:szCs w:val="24"/>
          <w:lang w:val="en-GB"/>
        </w:rPr>
        <w:t>C</w:t>
      </w:r>
      <w:r w:rsidR="003E1633" w:rsidRPr="003E1633">
        <w:rPr>
          <w:rFonts w:cs="Times New Roman"/>
          <w:b w:val="0"/>
          <w:i/>
          <w:color w:val="auto"/>
          <w:sz w:val="24"/>
          <w:szCs w:val="24"/>
          <w:lang w:val="en-GB"/>
        </w:rPr>
        <w:t xml:space="preserve">roisées des </w:t>
      </w:r>
      <w:r w:rsidR="007A3E26">
        <w:rPr>
          <w:rFonts w:cs="Times New Roman"/>
          <w:b w:val="0"/>
          <w:i/>
          <w:color w:val="auto"/>
          <w:sz w:val="24"/>
          <w:szCs w:val="24"/>
          <w:lang w:val="en-GB"/>
        </w:rPr>
        <w:t>I</w:t>
      </w:r>
      <w:r w:rsidR="003E1633" w:rsidRPr="003E1633">
        <w:rPr>
          <w:rFonts w:cs="Times New Roman"/>
          <w:b w:val="0"/>
          <w:i/>
          <w:color w:val="auto"/>
          <w:sz w:val="24"/>
          <w:szCs w:val="24"/>
          <w:lang w:val="en-GB"/>
        </w:rPr>
        <w:t xml:space="preserve">négalités de </w:t>
      </w:r>
      <w:r w:rsidR="007A3E26">
        <w:rPr>
          <w:rFonts w:cs="Times New Roman"/>
          <w:b w:val="0"/>
          <w:i/>
          <w:color w:val="auto"/>
          <w:sz w:val="24"/>
          <w:szCs w:val="24"/>
          <w:lang w:val="en-GB"/>
        </w:rPr>
        <w:t>S</w:t>
      </w:r>
      <w:r w:rsidR="003E1633" w:rsidRPr="003E1633">
        <w:rPr>
          <w:rFonts w:cs="Times New Roman"/>
          <w:b w:val="0"/>
          <w:i/>
          <w:color w:val="auto"/>
          <w:sz w:val="24"/>
          <w:szCs w:val="24"/>
          <w:lang w:val="en-GB"/>
        </w:rPr>
        <w:t xml:space="preserve">anté </w:t>
      </w:r>
      <w:r w:rsidR="003E1633">
        <w:rPr>
          <w:rFonts w:cs="Times New Roman"/>
          <w:b w:val="0"/>
          <w:color w:val="auto"/>
          <w:sz w:val="24"/>
          <w:szCs w:val="24"/>
          <w:lang w:val="en-GB"/>
        </w:rPr>
        <w:t xml:space="preserve">at the </w:t>
      </w:r>
      <w:r w:rsidR="00A526AB">
        <w:rPr>
          <w:rFonts w:cs="Times New Roman"/>
          <w:b w:val="0"/>
          <w:color w:val="auto"/>
          <w:sz w:val="24"/>
          <w:szCs w:val="24"/>
          <w:lang w:val="en-GB"/>
        </w:rPr>
        <w:t>Paris School o</w:t>
      </w:r>
      <w:r w:rsidR="00A84CC1">
        <w:rPr>
          <w:rFonts w:cs="Times New Roman"/>
          <w:b w:val="0"/>
          <w:color w:val="auto"/>
          <w:sz w:val="24"/>
          <w:szCs w:val="24"/>
          <w:lang w:val="en-GB"/>
        </w:rPr>
        <w:t>f Economics</w:t>
      </w:r>
      <w:r w:rsidR="003E1633">
        <w:rPr>
          <w:rFonts w:cs="Times New Roman"/>
          <w:b w:val="0"/>
          <w:color w:val="auto"/>
          <w:sz w:val="24"/>
          <w:szCs w:val="24"/>
          <w:lang w:val="en-GB"/>
        </w:rPr>
        <w:t>,</w:t>
      </w:r>
      <w:r w:rsidRPr="00364EF3">
        <w:rPr>
          <w:rFonts w:cs="Times New Roman"/>
          <w:b w:val="0"/>
          <w:color w:val="auto"/>
          <w:sz w:val="24"/>
          <w:szCs w:val="24"/>
        </w:rPr>
        <w:t xml:space="preserve"> for </w:t>
      </w:r>
      <w:r w:rsidR="00A84CC1">
        <w:rPr>
          <w:rFonts w:cs="Times New Roman"/>
          <w:b w:val="0"/>
          <w:color w:val="auto"/>
          <w:sz w:val="24"/>
          <w:szCs w:val="24"/>
        </w:rPr>
        <w:t>their</w:t>
      </w:r>
      <w:r w:rsidRPr="00364EF3">
        <w:rPr>
          <w:rFonts w:cs="Times New Roman"/>
          <w:b w:val="0"/>
          <w:color w:val="auto"/>
          <w:sz w:val="24"/>
          <w:szCs w:val="24"/>
        </w:rPr>
        <w:t xml:space="preserve"> comments in previous versions of this analysis.</w:t>
      </w:r>
      <w:r>
        <w:rPr>
          <w:rFonts w:cs="Times New Roman"/>
          <w:b w:val="0"/>
          <w:color w:val="auto"/>
          <w:sz w:val="24"/>
          <w:szCs w:val="24"/>
        </w:rPr>
        <w:t xml:space="preserve"> </w:t>
      </w:r>
      <w:r w:rsidR="00696C1D" w:rsidRPr="00696C1D">
        <w:rPr>
          <w:rFonts w:cs="Times New Roman"/>
          <w:b w:val="0"/>
          <w:color w:val="auto"/>
          <w:sz w:val="24"/>
          <w:szCs w:val="24"/>
          <w:lang w:val="en-GB"/>
        </w:rPr>
        <w:t>We also thank the anonymous referees for several invaluable comments that helped improving this paper.</w:t>
      </w:r>
    </w:p>
    <w:p w14:paraId="16CDE639" w14:textId="0EF4DB2E" w:rsidR="00364EF3" w:rsidRPr="00624626" w:rsidRDefault="00364EF3" w:rsidP="009C7054">
      <w:pPr>
        <w:pStyle w:val="Caption"/>
        <w:spacing w:line="480" w:lineRule="auto"/>
        <w:jc w:val="both"/>
        <w:rPr>
          <w:rFonts w:cs="Times New Roman"/>
          <w:b w:val="0"/>
          <w:color w:val="auto"/>
          <w:sz w:val="24"/>
          <w:szCs w:val="24"/>
          <w:lang w:val="en-GB"/>
        </w:rPr>
      </w:pPr>
      <w:r w:rsidRPr="00696C1D">
        <w:rPr>
          <w:rFonts w:cs="Times New Roman"/>
          <w:b w:val="0"/>
          <w:color w:val="auto"/>
          <w:sz w:val="24"/>
          <w:szCs w:val="24"/>
          <w:lang w:val="pt-PT"/>
        </w:rPr>
        <w:t>EB acknowledges financial support available fr</w:t>
      </w:r>
      <w:r w:rsidRPr="00F43DA5">
        <w:rPr>
          <w:rFonts w:cs="Times New Roman"/>
          <w:b w:val="0"/>
          <w:color w:val="auto"/>
          <w:sz w:val="24"/>
          <w:szCs w:val="24"/>
          <w:lang w:val="pt-PT"/>
        </w:rPr>
        <w:t>om Fundação para a Ciência e a Tecnologia, Ministério para a Educação e Ciência</w:t>
      </w:r>
      <w:r w:rsidR="00F43DA5" w:rsidRPr="00624626">
        <w:rPr>
          <w:rFonts w:cs="Times New Roman"/>
          <w:b w:val="0"/>
          <w:color w:val="auto"/>
          <w:sz w:val="24"/>
          <w:szCs w:val="24"/>
          <w:lang w:val="pt-PT"/>
        </w:rPr>
        <w:t xml:space="preserve"> (FCT)</w:t>
      </w:r>
      <w:r w:rsidRPr="00F43DA5">
        <w:rPr>
          <w:rFonts w:cs="Times New Roman"/>
          <w:b w:val="0"/>
          <w:color w:val="auto"/>
          <w:sz w:val="24"/>
          <w:szCs w:val="24"/>
          <w:lang w:val="pt-PT"/>
        </w:rPr>
        <w:t>, Governo da República Portuguesa, Doctoral Fellowship POPH-QREN-SFRH-BD-69131-2010.</w:t>
      </w:r>
      <w:r w:rsidR="00F43DA5" w:rsidRPr="00F43DA5">
        <w:rPr>
          <w:rFonts w:cs="Times New Roman"/>
          <w:b w:val="0"/>
          <w:color w:val="auto"/>
          <w:sz w:val="24"/>
          <w:szCs w:val="24"/>
          <w:lang w:val="pt-PT"/>
        </w:rPr>
        <w:t xml:space="preserve"> </w:t>
      </w:r>
      <w:r w:rsidR="00F43DA5">
        <w:rPr>
          <w:rFonts w:cs="Times New Roman"/>
          <w:b w:val="0"/>
          <w:color w:val="auto"/>
          <w:sz w:val="24"/>
          <w:szCs w:val="24"/>
        </w:rPr>
        <w:t>FCT had no</w:t>
      </w:r>
      <w:r w:rsidR="00F43DA5" w:rsidRPr="00F43DA5">
        <w:rPr>
          <w:rFonts w:cs="Times New Roman"/>
          <w:b w:val="0"/>
          <w:color w:val="auto"/>
          <w:sz w:val="24"/>
          <w:szCs w:val="24"/>
        </w:rPr>
        <w:t xml:space="preserve"> involvement</w:t>
      </w:r>
      <w:r w:rsidR="00F43DA5">
        <w:rPr>
          <w:rFonts w:cs="Times New Roman"/>
          <w:b w:val="0"/>
          <w:color w:val="auto"/>
          <w:sz w:val="24"/>
          <w:szCs w:val="24"/>
        </w:rPr>
        <w:t xml:space="preserve"> in the </w:t>
      </w:r>
      <w:r w:rsidR="00F43DA5" w:rsidRPr="00F43DA5">
        <w:rPr>
          <w:rFonts w:cs="Times New Roman"/>
          <w:b w:val="0"/>
          <w:color w:val="auto"/>
          <w:sz w:val="24"/>
          <w:szCs w:val="24"/>
        </w:rPr>
        <w:t>conduct of the research and/or preparation of the article.</w:t>
      </w:r>
    </w:p>
    <w:p w14:paraId="144C89F2" w14:textId="4032DC11" w:rsidR="00C43A18" w:rsidRDefault="0050612A" w:rsidP="009C7054">
      <w:pPr>
        <w:pStyle w:val="Caption"/>
        <w:spacing w:line="480" w:lineRule="auto"/>
        <w:jc w:val="both"/>
        <w:rPr>
          <w:rFonts w:cs="Times New Roman"/>
          <w:b w:val="0"/>
          <w:color w:val="auto"/>
          <w:sz w:val="24"/>
          <w:szCs w:val="24"/>
          <w:lang w:val="en-GB"/>
        </w:rPr>
      </w:pPr>
      <w:r>
        <w:rPr>
          <w:rFonts w:cs="Times New Roman"/>
          <w:b w:val="0"/>
          <w:color w:val="auto"/>
          <w:sz w:val="24"/>
          <w:szCs w:val="24"/>
          <w:lang w:val="en-GB"/>
        </w:rPr>
        <w:t xml:space="preserve">Conflicts of interest: </w:t>
      </w:r>
      <w:r w:rsidR="007A22F1">
        <w:rPr>
          <w:rFonts w:cs="Times New Roman"/>
          <w:b w:val="0"/>
          <w:color w:val="auto"/>
          <w:sz w:val="24"/>
          <w:szCs w:val="24"/>
          <w:lang w:val="en-GB"/>
        </w:rPr>
        <w:t>Authors have n</w:t>
      </w:r>
      <w:r>
        <w:rPr>
          <w:rFonts w:cs="Times New Roman"/>
          <w:b w:val="0"/>
          <w:color w:val="auto"/>
          <w:sz w:val="24"/>
          <w:szCs w:val="24"/>
          <w:lang w:val="en-GB"/>
        </w:rPr>
        <w:t>othing to declare.</w:t>
      </w:r>
    </w:p>
    <w:p w14:paraId="7E2986BF" w14:textId="77777777" w:rsidR="00C43A18" w:rsidRDefault="00C43A18" w:rsidP="009C7054">
      <w:pPr>
        <w:spacing w:line="480" w:lineRule="auto"/>
        <w:rPr>
          <w:rFonts w:cs="Times New Roman"/>
          <w:bCs/>
          <w:lang w:val="en-GB"/>
        </w:rPr>
      </w:pPr>
      <w:r>
        <w:rPr>
          <w:rFonts w:cs="Times New Roman"/>
          <w:b/>
          <w:lang w:val="en-GB"/>
        </w:rPr>
        <w:br w:type="page"/>
      </w:r>
    </w:p>
    <w:p w14:paraId="2F22BA14" w14:textId="77777777" w:rsidR="00897999" w:rsidRPr="00364EF3" w:rsidRDefault="00897999" w:rsidP="009C7054">
      <w:pPr>
        <w:pStyle w:val="Heading1"/>
        <w:spacing w:line="480" w:lineRule="auto"/>
        <w:rPr>
          <w:szCs w:val="24"/>
          <w:lang w:val="en-GB"/>
        </w:rPr>
      </w:pPr>
      <w:r w:rsidRPr="00364EF3">
        <w:rPr>
          <w:szCs w:val="24"/>
          <w:lang w:val="en-GB"/>
        </w:rPr>
        <w:lastRenderedPageBreak/>
        <w:t>References</w:t>
      </w:r>
    </w:p>
    <w:p w14:paraId="199BDAA2" w14:textId="77777777" w:rsidR="00710F5A" w:rsidRPr="007E239B" w:rsidRDefault="00897999" w:rsidP="00710F5A">
      <w:pPr>
        <w:pStyle w:val="EndNoteBibliography"/>
        <w:ind w:left="720" w:hanging="720"/>
        <w:rPr>
          <w:noProof/>
          <w:lang w:val="pt-PT"/>
        </w:rPr>
      </w:pPr>
      <w:r w:rsidRPr="00364EF3">
        <w:rPr>
          <w:b/>
        </w:rPr>
        <w:fldChar w:fldCharType="begin"/>
      </w:r>
      <w:r w:rsidRPr="008670CB">
        <w:rPr>
          <w:lang w:val="pt-PT"/>
        </w:rPr>
        <w:instrText xml:space="preserve"> ADDIN EN.REFLIST </w:instrText>
      </w:r>
      <w:r w:rsidRPr="00364EF3">
        <w:rPr>
          <w:b/>
        </w:rPr>
        <w:fldChar w:fldCharType="separate"/>
      </w:r>
      <w:r w:rsidR="00710F5A" w:rsidRPr="007E239B">
        <w:rPr>
          <w:noProof/>
          <w:lang w:val="pt-PT"/>
        </w:rPr>
        <w:t xml:space="preserve">Catalá-López, F., García-Altés, A., Álvarez-Martín, E., Gènova-Maleras, R., &amp; Morant-Ginestar, C. (2010). </w:t>
      </w:r>
      <w:r w:rsidR="00710F5A" w:rsidRPr="00710F5A">
        <w:rPr>
          <w:noProof/>
        </w:rPr>
        <w:t xml:space="preserve">Does the development of new medicinal products in the European Union address global and regional health concerns? </w:t>
      </w:r>
      <w:r w:rsidR="00710F5A" w:rsidRPr="007E239B">
        <w:rPr>
          <w:i/>
          <w:noProof/>
          <w:lang w:val="pt-PT"/>
        </w:rPr>
        <w:t>Population Health Metrics, 8</w:t>
      </w:r>
      <w:r w:rsidR="00710F5A" w:rsidRPr="007E239B">
        <w:rPr>
          <w:noProof/>
          <w:lang w:val="pt-PT"/>
        </w:rPr>
        <w:t xml:space="preserve">(1), 34. </w:t>
      </w:r>
    </w:p>
    <w:p w14:paraId="63038405" w14:textId="77777777" w:rsidR="00710F5A" w:rsidRPr="00710F5A" w:rsidRDefault="00710F5A" w:rsidP="00710F5A">
      <w:pPr>
        <w:pStyle w:val="EndNoteBibliography"/>
        <w:ind w:left="720" w:hanging="720"/>
        <w:rPr>
          <w:noProof/>
        </w:rPr>
      </w:pPr>
      <w:r w:rsidRPr="007E239B">
        <w:rPr>
          <w:noProof/>
          <w:lang w:val="pt-PT"/>
        </w:rPr>
        <w:t xml:space="preserve">Catalá-López, F., García-Altés, A., Álvarez-Martín, E., Gènova-Maleras, R., Morant-Ginestar, C., &amp; Parada, A. (2011). </w:t>
      </w:r>
      <w:r w:rsidRPr="00710F5A">
        <w:rPr>
          <w:noProof/>
        </w:rPr>
        <w:t xml:space="preserve">Burden of disease and economic evaluation of healthcare interventions: are we investigating what really matters? </w:t>
      </w:r>
      <w:r w:rsidRPr="00710F5A">
        <w:rPr>
          <w:i/>
          <w:noProof/>
        </w:rPr>
        <w:t>BMC Health Services Research, 11</w:t>
      </w:r>
      <w:r w:rsidRPr="00710F5A">
        <w:rPr>
          <w:noProof/>
        </w:rPr>
        <w:t xml:space="preserve">(1), 75. </w:t>
      </w:r>
    </w:p>
    <w:p w14:paraId="482DFEBE" w14:textId="77777777" w:rsidR="00710F5A" w:rsidRPr="00710F5A" w:rsidRDefault="00710F5A" w:rsidP="00710F5A">
      <w:pPr>
        <w:pStyle w:val="EndNoteBibliography"/>
        <w:ind w:left="720" w:hanging="720"/>
        <w:rPr>
          <w:noProof/>
        </w:rPr>
      </w:pPr>
      <w:r w:rsidRPr="00710F5A">
        <w:rPr>
          <w:noProof/>
        </w:rPr>
        <w:t xml:space="preserve">Cech, T. R. (2005). Fostering innovation and discovery in biomedical research. </w:t>
      </w:r>
      <w:r w:rsidRPr="00710F5A">
        <w:rPr>
          <w:i/>
          <w:noProof/>
        </w:rPr>
        <w:t>JAMA, 294</w:t>
      </w:r>
      <w:r w:rsidRPr="00710F5A">
        <w:rPr>
          <w:noProof/>
        </w:rPr>
        <w:t xml:space="preserve">(11), 1390-1393. </w:t>
      </w:r>
    </w:p>
    <w:p w14:paraId="6EB4EB11" w14:textId="69B4640C" w:rsidR="00710F5A" w:rsidRPr="00710F5A" w:rsidRDefault="00710F5A" w:rsidP="00710F5A">
      <w:pPr>
        <w:pStyle w:val="EndNoteBibliography"/>
        <w:ind w:left="720" w:hanging="720"/>
        <w:rPr>
          <w:noProof/>
        </w:rPr>
      </w:pPr>
      <w:r w:rsidRPr="00710F5A">
        <w:rPr>
          <w:noProof/>
        </w:rPr>
        <w:t xml:space="preserve">Centre for Diseases Control and Prevention. (2011). Neglected Tropical Diseases.   Retrieved from </w:t>
      </w:r>
      <w:hyperlink r:id="rId11" w:history="1">
        <w:r w:rsidRPr="00710F5A">
          <w:rPr>
            <w:rStyle w:val="Hyperlink"/>
            <w:noProof/>
          </w:rPr>
          <w:t>http://www.cdc.gov/globalhealth/ntd/diseases/index.html</w:t>
        </w:r>
      </w:hyperlink>
    </w:p>
    <w:p w14:paraId="10F23B8A" w14:textId="77777777" w:rsidR="00710F5A" w:rsidRPr="00710F5A" w:rsidRDefault="00710F5A" w:rsidP="00710F5A">
      <w:pPr>
        <w:pStyle w:val="EndNoteBibliography"/>
        <w:ind w:left="720" w:hanging="720"/>
        <w:rPr>
          <w:noProof/>
        </w:rPr>
      </w:pPr>
      <w:r w:rsidRPr="00710F5A">
        <w:rPr>
          <w:noProof/>
        </w:rPr>
        <w:t xml:space="preserve">Clarke, P. M., Gerdtham, U.-G., Johannesson, M., Bingefors, K., &amp; Smith, L. (2002). On the measurement of relative and absolute income-related health inequality. </w:t>
      </w:r>
      <w:r w:rsidRPr="00710F5A">
        <w:rPr>
          <w:i/>
          <w:noProof/>
        </w:rPr>
        <w:t>Social Science &amp; Medicine, 55</w:t>
      </w:r>
      <w:r w:rsidRPr="00710F5A">
        <w:rPr>
          <w:noProof/>
        </w:rPr>
        <w:t xml:space="preserve">(11), 1923-1928. </w:t>
      </w:r>
    </w:p>
    <w:p w14:paraId="15F4B7AB" w14:textId="77777777" w:rsidR="00710F5A" w:rsidRPr="00710F5A" w:rsidRDefault="00710F5A" w:rsidP="00710F5A">
      <w:pPr>
        <w:pStyle w:val="EndNoteBibliography"/>
        <w:ind w:left="720" w:hanging="720"/>
        <w:rPr>
          <w:noProof/>
        </w:rPr>
      </w:pPr>
      <w:r w:rsidRPr="00710F5A">
        <w:rPr>
          <w:noProof/>
        </w:rPr>
        <w:t xml:space="preserve">Drummond, M. F., Wilson, D. A., Kanavos, P., Ubel, P., &amp; Rovira, J. (2007). Assessing the economic challenges posed by orphan drugs. </w:t>
      </w:r>
      <w:r w:rsidRPr="00710F5A">
        <w:rPr>
          <w:i/>
          <w:noProof/>
        </w:rPr>
        <w:t>International Journal of Technology Assessment in Health Care, 23</w:t>
      </w:r>
      <w:r w:rsidRPr="00710F5A">
        <w:rPr>
          <w:noProof/>
        </w:rPr>
        <w:t xml:space="preserve">(01), 36-42. </w:t>
      </w:r>
    </w:p>
    <w:p w14:paraId="07711072" w14:textId="77777777" w:rsidR="00710F5A" w:rsidRPr="00710F5A" w:rsidRDefault="00710F5A" w:rsidP="00710F5A">
      <w:pPr>
        <w:pStyle w:val="EndNoteBibliography"/>
        <w:ind w:left="720" w:hanging="720"/>
        <w:rPr>
          <w:noProof/>
        </w:rPr>
      </w:pPr>
      <w:r w:rsidRPr="00710F5A">
        <w:rPr>
          <w:noProof/>
        </w:rPr>
        <w:t xml:space="preserve">Dukes, M. G. (2002). Accountability of the pharmaceutical industry. </w:t>
      </w:r>
      <w:r w:rsidRPr="00710F5A">
        <w:rPr>
          <w:i/>
          <w:noProof/>
        </w:rPr>
        <w:t>The Lancet, 360</w:t>
      </w:r>
      <w:r w:rsidRPr="00710F5A">
        <w:rPr>
          <w:noProof/>
        </w:rPr>
        <w:t xml:space="preserve">(9346), 1682-1684. </w:t>
      </w:r>
    </w:p>
    <w:p w14:paraId="1F4F2B22" w14:textId="77777777" w:rsidR="00710F5A" w:rsidRPr="00710F5A" w:rsidRDefault="00710F5A" w:rsidP="00710F5A">
      <w:pPr>
        <w:pStyle w:val="EndNoteBibliography"/>
        <w:ind w:left="720" w:hanging="720"/>
        <w:rPr>
          <w:noProof/>
        </w:rPr>
      </w:pPr>
      <w:r w:rsidRPr="00710F5A">
        <w:rPr>
          <w:noProof/>
        </w:rPr>
        <w:t xml:space="preserve">Erreygers, G. (2009). Correcting the concentration index. </w:t>
      </w:r>
      <w:r w:rsidRPr="00710F5A">
        <w:rPr>
          <w:i/>
          <w:noProof/>
        </w:rPr>
        <w:t>Journal of Health Economics, 28</w:t>
      </w:r>
      <w:r w:rsidRPr="00710F5A">
        <w:rPr>
          <w:noProof/>
        </w:rPr>
        <w:t xml:space="preserve">(2), 504-515. </w:t>
      </w:r>
    </w:p>
    <w:p w14:paraId="7171A343" w14:textId="77777777" w:rsidR="00710F5A" w:rsidRPr="00710F5A" w:rsidRDefault="00710F5A" w:rsidP="00710F5A">
      <w:pPr>
        <w:pStyle w:val="EndNoteBibliography"/>
        <w:ind w:left="720" w:hanging="720"/>
        <w:rPr>
          <w:noProof/>
        </w:rPr>
      </w:pPr>
      <w:r w:rsidRPr="00710F5A">
        <w:rPr>
          <w:noProof/>
        </w:rPr>
        <w:lastRenderedPageBreak/>
        <w:t xml:space="preserve">Erreygers, G., &amp; Van Ourti, T. (2011). Measuring socioeconomic inequality in health, health care and health financing by means of rank-dependent indices: a recipe for good practice. </w:t>
      </w:r>
      <w:r w:rsidRPr="00710F5A">
        <w:rPr>
          <w:i/>
          <w:noProof/>
        </w:rPr>
        <w:t>Journal of Health Economics, 30</w:t>
      </w:r>
      <w:r w:rsidRPr="00710F5A">
        <w:rPr>
          <w:noProof/>
        </w:rPr>
        <w:t xml:space="preserve">(4), 685-694. </w:t>
      </w:r>
    </w:p>
    <w:p w14:paraId="706FDB8E" w14:textId="77777777" w:rsidR="00710F5A" w:rsidRPr="00710F5A" w:rsidRDefault="00710F5A" w:rsidP="00710F5A">
      <w:pPr>
        <w:pStyle w:val="EndNoteBibliography"/>
        <w:ind w:left="720" w:hanging="720"/>
        <w:rPr>
          <w:noProof/>
        </w:rPr>
      </w:pPr>
      <w:r w:rsidRPr="00710F5A">
        <w:rPr>
          <w:noProof/>
        </w:rPr>
        <w:t xml:space="preserve">Fauci, A. S., &amp; Morens, D. M. (2012). The perpetual challenge of infectious diseases. </w:t>
      </w:r>
      <w:r w:rsidRPr="00710F5A">
        <w:rPr>
          <w:i/>
          <w:noProof/>
        </w:rPr>
        <w:t>New England Journal of Medicine, 366</w:t>
      </w:r>
      <w:r w:rsidRPr="00710F5A">
        <w:rPr>
          <w:noProof/>
        </w:rPr>
        <w:t xml:space="preserve">(5), 454-461. </w:t>
      </w:r>
    </w:p>
    <w:p w14:paraId="0B5DA4C1" w14:textId="77777777" w:rsidR="00710F5A" w:rsidRPr="00710F5A" w:rsidRDefault="00710F5A" w:rsidP="00710F5A">
      <w:pPr>
        <w:pStyle w:val="EndNoteBibliography"/>
        <w:ind w:left="720" w:hanging="720"/>
        <w:rPr>
          <w:noProof/>
        </w:rPr>
      </w:pPr>
      <w:r w:rsidRPr="00710F5A">
        <w:rPr>
          <w:noProof/>
        </w:rPr>
        <w:t xml:space="preserve">Friedman, M. (1940). A comparison of alternative tests of significance for the problem of m rankings. </w:t>
      </w:r>
      <w:r w:rsidRPr="00710F5A">
        <w:rPr>
          <w:i/>
          <w:noProof/>
        </w:rPr>
        <w:t>The Annals of Mathematical Statistics, 11</w:t>
      </w:r>
      <w:r w:rsidRPr="00710F5A">
        <w:rPr>
          <w:noProof/>
        </w:rPr>
        <w:t xml:space="preserve">(1), 86-92 %@ 0003-4851. </w:t>
      </w:r>
    </w:p>
    <w:p w14:paraId="133C2519" w14:textId="77777777" w:rsidR="00710F5A" w:rsidRPr="00710F5A" w:rsidRDefault="00710F5A" w:rsidP="00710F5A">
      <w:pPr>
        <w:pStyle w:val="EndNoteBibliography"/>
        <w:ind w:left="720" w:hanging="720"/>
        <w:rPr>
          <w:noProof/>
        </w:rPr>
      </w:pPr>
      <w:r w:rsidRPr="00710F5A">
        <w:rPr>
          <w:noProof/>
        </w:rPr>
        <w:t>IMS Health. (2012). IMS LifeCycle: Detailed Reference Manual 2012.</w:t>
      </w:r>
    </w:p>
    <w:p w14:paraId="4C4B1A47" w14:textId="77777777" w:rsidR="00710F5A" w:rsidRPr="00710F5A" w:rsidRDefault="00710F5A" w:rsidP="00710F5A">
      <w:pPr>
        <w:pStyle w:val="EndNoteBibliography"/>
        <w:ind w:left="720" w:hanging="720"/>
        <w:rPr>
          <w:noProof/>
        </w:rPr>
      </w:pPr>
      <w:r w:rsidRPr="00710F5A">
        <w:rPr>
          <w:noProof/>
        </w:rPr>
        <w:t xml:space="preserve">Kaplan et al. (2013). </w:t>
      </w:r>
      <w:r w:rsidRPr="00710F5A">
        <w:rPr>
          <w:i/>
          <w:noProof/>
        </w:rPr>
        <w:t>Priority Medicines for Europe and the World 2013 Update</w:t>
      </w:r>
      <w:r w:rsidRPr="00710F5A">
        <w:rPr>
          <w:noProof/>
        </w:rPr>
        <w:t xml:space="preserve">. Retrieved from Geneva: </w:t>
      </w:r>
    </w:p>
    <w:p w14:paraId="55512588" w14:textId="0C612F84" w:rsidR="00710F5A" w:rsidRPr="00710F5A" w:rsidRDefault="00710F5A" w:rsidP="00710F5A">
      <w:pPr>
        <w:pStyle w:val="EndNoteBibliography"/>
        <w:ind w:left="720" w:hanging="720"/>
        <w:rPr>
          <w:noProof/>
        </w:rPr>
      </w:pPr>
      <w:r w:rsidRPr="00710F5A">
        <w:rPr>
          <w:noProof/>
        </w:rPr>
        <w:t xml:space="preserve">Kaplan, W., &amp; Laing, R. (2004). </w:t>
      </w:r>
      <w:r w:rsidRPr="00710F5A">
        <w:rPr>
          <w:i/>
          <w:noProof/>
        </w:rPr>
        <w:t>Priority Medicines for Europe and the World 2004</w:t>
      </w:r>
      <w:r w:rsidRPr="00710F5A">
        <w:rPr>
          <w:noProof/>
        </w:rPr>
        <w:t xml:space="preserve">. Retrieved from </w:t>
      </w:r>
      <w:hyperlink r:id="rId12" w:history="1">
        <w:r w:rsidRPr="00710F5A">
          <w:rPr>
            <w:rStyle w:val="Hyperlink"/>
            <w:noProof/>
          </w:rPr>
          <w:t>http://apps.who.int/iris/bitstream/handle/10665/68769/WHO_EDM_PAR_2004.7.pdf?sequence=1:</w:t>
        </w:r>
      </w:hyperlink>
      <w:r w:rsidRPr="00710F5A">
        <w:rPr>
          <w:noProof/>
        </w:rPr>
        <w:t xml:space="preserve"> </w:t>
      </w:r>
    </w:p>
    <w:p w14:paraId="684D37E3" w14:textId="77777777" w:rsidR="00710F5A" w:rsidRPr="00710F5A" w:rsidRDefault="00710F5A" w:rsidP="00710F5A">
      <w:pPr>
        <w:pStyle w:val="EndNoteBibliography"/>
        <w:ind w:left="720" w:hanging="720"/>
        <w:rPr>
          <w:noProof/>
        </w:rPr>
      </w:pPr>
      <w:r w:rsidRPr="00710F5A">
        <w:rPr>
          <w:noProof/>
        </w:rPr>
        <w:t xml:space="preserve">Kremer, M. (2002). Pharmaceuticals and the Developing World. </w:t>
      </w:r>
      <w:r w:rsidRPr="00710F5A">
        <w:rPr>
          <w:i/>
          <w:noProof/>
        </w:rPr>
        <w:t>Journal of Economic Perspectives, 16</w:t>
      </w:r>
      <w:r w:rsidRPr="00710F5A">
        <w:rPr>
          <w:noProof/>
        </w:rPr>
        <w:t>(4), 67-90. doi:doi: 10.1257/089533002320950984</w:t>
      </w:r>
    </w:p>
    <w:p w14:paraId="0BD2D28A" w14:textId="77777777" w:rsidR="00710F5A" w:rsidRPr="00710F5A" w:rsidRDefault="00710F5A" w:rsidP="00710F5A">
      <w:pPr>
        <w:pStyle w:val="EndNoteBibliography"/>
        <w:ind w:left="720" w:hanging="720"/>
        <w:rPr>
          <w:noProof/>
        </w:rPr>
      </w:pPr>
      <w:r w:rsidRPr="00710F5A">
        <w:rPr>
          <w:noProof/>
        </w:rPr>
        <w:t xml:space="preserve">Kremer, M. G., R. (2004). </w:t>
      </w:r>
      <w:r w:rsidRPr="00710F5A">
        <w:rPr>
          <w:i/>
          <w:noProof/>
        </w:rPr>
        <w:t>Strong Evidence: Creating Incentives for Pharmaceutical Research on Neglected Diseases</w:t>
      </w:r>
      <w:r w:rsidRPr="00710F5A">
        <w:rPr>
          <w:noProof/>
        </w:rPr>
        <w:t>. Princeton: Princeton University Press.</w:t>
      </w:r>
    </w:p>
    <w:p w14:paraId="0785E27A" w14:textId="77777777" w:rsidR="00710F5A" w:rsidRPr="00710F5A" w:rsidRDefault="00710F5A" w:rsidP="00710F5A">
      <w:pPr>
        <w:pStyle w:val="EndNoteBibliography"/>
        <w:ind w:left="720" w:hanging="720"/>
        <w:rPr>
          <w:noProof/>
        </w:rPr>
      </w:pPr>
      <w:r w:rsidRPr="00710F5A">
        <w:rPr>
          <w:noProof/>
        </w:rPr>
        <w:t xml:space="preserve">Lanjouw, J. O., &amp; Cockburn, I. M. (2001). New pills for poor people? Empirical evidence after GATT. </w:t>
      </w:r>
      <w:r w:rsidRPr="00710F5A">
        <w:rPr>
          <w:i/>
          <w:noProof/>
        </w:rPr>
        <w:t>World Development, 29</w:t>
      </w:r>
      <w:r w:rsidRPr="00710F5A">
        <w:rPr>
          <w:noProof/>
        </w:rPr>
        <w:t xml:space="preserve">(2), 265-289. </w:t>
      </w:r>
    </w:p>
    <w:p w14:paraId="50FFEC7E" w14:textId="77777777" w:rsidR="00710F5A" w:rsidRPr="00710F5A" w:rsidRDefault="00710F5A" w:rsidP="00710F5A">
      <w:pPr>
        <w:pStyle w:val="EndNoteBibliography"/>
        <w:ind w:left="720" w:hanging="720"/>
        <w:rPr>
          <w:noProof/>
        </w:rPr>
      </w:pPr>
      <w:r w:rsidRPr="00710F5A">
        <w:rPr>
          <w:noProof/>
        </w:rPr>
        <w:t xml:space="preserve">Lichtenberg, F. R. (2005). Pharmaceutical Innovation and the Burden of Disease in Developing and Developed Countries. </w:t>
      </w:r>
      <w:r w:rsidRPr="00710F5A">
        <w:rPr>
          <w:i/>
          <w:noProof/>
        </w:rPr>
        <w:t>The Journal of Medicine and Philosophy, 30</w:t>
      </w:r>
      <w:r w:rsidRPr="00710F5A">
        <w:rPr>
          <w:noProof/>
        </w:rPr>
        <w:t>(6), 663-690. doi:10.1080/03605310500421421</w:t>
      </w:r>
    </w:p>
    <w:p w14:paraId="48DBDC3E" w14:textId="77777777" w:rsidR="00710F5A" w:rsidRPr="00710F5A" w:rsidRDefault="00710F5A" w:rsidP="00710F5A">
      <w:pPr>
        <w:pStyle w:val="EndNoteBibliography"/>
        <w:ind w:left="720" w:hanging="720"/>
        <w:rPr>
          <w:noProof/>
        </w:rPr>
      </w:pPr>
      <w:r w:rsidRPr="00710F5A">
        <w:rPr>
          <w:noProof/>
        </w:rPr>
        <w:t xml:space="preserve">Lopez, A. D., &amp; Murray, C. (1998). The global burden of disease. </w:t>
      </w:r>
      <w:r w:rsidRPr="00710F5A">
        <w:rPr>
          <w:i/>
          <w:noProof/>
        </w:rPr>
        <w:t>Nat Med, 4</w:t>
      </w:r>
      <w:r w:rsidRPr="00710F5A">
        <w:rPr>
          <w:noProof/>
        </w:rPr>
        <w:t xml:space="preserve">(11), 1241-1243. </w:t>
      </w:r>
    </w:p>
    <w:p w14:paraId="249E9A86" w14:textId="77777777" w:rsidR="00710F5A" w:rsidRPr="00710F5A" w:rsidRDefault="00710F5A" w:rsidP="00710F5A">
      <w:pPr>
        <w:pStyle w:val="EndNoteBibliography"/>
        <w:ind w:left="720" w:hanging="720"/>
        <w:rPr>
          <w:noProof/>
        </w:rPr>
      </w:pPr>
      <w:r w:rsidRPr="00710F5A">
        <w:rPr>
          <w:noProof/>
        </w:rPr>
        <w:lastRenderedPageBreak/>
        <w:t xml:space="preserve">Marmot, M. (2005). Social Determinants of Health Inequalities. </w:t>
      </w:r>
      <w:r w:rsidRPr="00710F5A">
        <w:rPr>
          <w:i/>
          <w:noProof/>
        </w:rPr>
        <w:t>The Lancet, 365</w:t>
      </w:r>
      <w:r w:rsidRPr="00710F5A">
        <w:rPr>
          <w:noProof/>
        </w:rPr>
        <w:t xml:space="preserve">(9464), 1099-1104. </w:t>
      </w:r>
    </w:p>
    <w:p w14:paraId="63F8DB6F" w14:textId="77777777" w:rsidR="00710F5A" w:rsidRPr="00710F5A" w:rsidRDefault="00710F5A" w:rsidP="00710F5A">
      <w:pPr>
        <w:pStyle w:val="EndNoteBibliography"/>
        <w:ind w:left="720" w:hanging="720"/>
        <w:rPr>
          <w:noProof/>
        </w:rPr>
      </w:pPr>
      <w:r w:rsidRPr="00710F5A">
        <w:rPr>
          <w:noProof/>
        </w:rPr>
        <w:t xml:space="preserve">Martino, O. I., Ward, D. J., Packer, C., Simpson, S., &amp; Stevens, A. (2012). Innovation and the burden of disease: retrospective observational study of new and emerging health technologies reported by the EuroScan network from 2000 to 2009. </w:t>
      </w:r>
      <w:r w:rsidRPr="00710F5A">
        <w:rPr>
          <w:i/>
          <w:noProof/>
        </w:rPr>
        <w:t>Value in Health, 15</w:t>
      </w:r>
      <w:r w:rsidRPr="00710F5A">
        <w:rPr>
          <w:noProof/>
        </w:rPr>
        <w:t xml:space="preserve">(2), 376-380. </w:t>
      </w:r>
    </w:p>
    <w:p w14:paraId="70C5BF07" w14:textId="77777777" w:rsidR="00710F5A" w:rsidRPr="00710F5A" w:rsidRDefault="00710F5A" w:rsidP="00710F5A">
      <w:pPr>
        <w:pStyle w:val="EndNoteBibliography"/>
        <w:ind w:left="720" w:hanging="720"/>
        <w:rPr>
          <w:noProof/>
        </w:rPr>
      </w:pPr>
      <w:r w:rsidRPr="00710F5A">
        <w:rPr>
          <w:noProof/>
        </w:rPr>
        <w:t xml:space="preserve">Mohs, R. C., &amp; Greig, N. H. (2017). Drug discovery and development: Role of basic biological research. </w:t>
      </w:r>
      <w:r w:rsidRPr="00710F5A">
        <w:rPr>
          <w:i/>
          <w:noProof/>
        </w:rPr>
        <w:t>Alzheimer's &amp; Dementia: Translational Research &amp; Clinical Interventions, 3</w:t>
      </w:r>
      <w:r w:rsidRPr="00710F5A">
        <w:rPr>
          <w:noProof/>
        </w:rPr>
        <w:t xml:space="preserve">(4), 651-657. </w:t>
      </w:r>
    </w:p>
    <w:p w14:paraId="0B3B7336" w14:textId="77777777" w:rsidR="00710F5A" w:rsidRPr="00710F5A" w:rsidRDefault="00710F5A" w:rsidP="00710F5A">
      <w:pPr>
        <w:pStyle w:val="EndNoteBibliography"/>
        <w:ind w:left="720" w:hanging="720"/>
        <w:rPr>
          <w:noProof/>
        </w:rPr>
      </w:pPr>
      <w:r w:rsidRPr="00710F5A">
        <w:rPr>
          <w:noProof/>
        </w:rPr>
        <w:t xml:space="preserve">Monteiro, C. A., Moura, E. C., Conde, W. L., &amp; Popkin, B. M. (2004). Socioeconomic status and obesity in adult populations of developing countries: a review. </w:t>
      </w:r>
      <w:r w:rsidRPr="00710F5A">
        <w:rPr>
          <w:i/>
          <w:noProof/>
        </w:rPr>
        <w:t>Bulletin of the World Health Organization, 82</w:t>
      </w:r>
      <w:r w:rsidRPr="00710F5A">
        <w:rPr>
          <w:noProof/>
        </w:rPr>
        <w:t xml:space="preserve">(12), 940-946. </w:t>
      </w:r>
    </w:p>
    <w:p w14:paraId="6591C973" w14:textId="77777777" w:rsidR="00710F5A" w:rsidRPr="00710F5A" w:rsidRDefault="00710F5A" w:rsidP="00710F5A">
      <w:pPr>
        <w:pStyle w:val="EndNoteBibliography"/>
        <w:ind w:left="720" w:hanging="720"/>
        <w:rPr>
          <w:noProof/>
        </w:rPr>
      </w:pPr>
      <w:r w:rsidRPr="00710F5A">
        <w:rPr>
          <w:noProof/>
        </w:rPr>
        <w:t xml:space="preserve">Murray, C. J., Vos, T., Lozano, R., Naghavi, M., Flaxman, A. D., Michaud, C., . . . Abdalla, S. (2013). Disability-adjusted life years (DALYs) for 291 diseases and injuries in 21 regions, 1990–2010: a systematic analysis for the Global Burden of Disease Study 2010. </w:t>
      </w:r>
      <w:r w:rsidRPr="00710F5A">
        <w:rPr>
          <w:i/>
          <w:noProof/>
        </w:rPr>
        <w:t>The Lancet, 380</w:t>
      </w:r>
      <w:r w:rsidRPr="00710F5A">
        <w:rPr>
          <w:noProof/>
        </w:rPr>
        <w:t xml:space="preserve">(9859), 2197-2223. </w:t>
      </w:r>
    </w:p>
    <w:p w14:paraId="44E4F758" w14:textId="77777777" w:rsidR="00710F5A" w:rsidRPr="00710F5A" w:rsidRDefault="00710F5A" w:rsidP="00710F5A">
      <w:pPr>
        <w:pStyle w:val="EndNoteBibliography"/>
        <w:ind w:left="720" w:hanging="720"/>
        <w:rPr>
          <w:noProof/>
        </w:rPr>
      </w:pPr>
      <w:r w:rsidRPr="00710F5A">
        <w:rPr>
          <w:noProof/>
        </w:rPr>
        <w:t xml:space="preserve">Nathan, C. (2011). Making space for anti-infective drug discovery. </w:t>
      </w:r>
      <w:r w:rsidRPr="00710F5A">
        <w:rPr>
          <w:i/>
          <w:noProof/>
        </w:rPr>
        <w:t>Cell host &amp; microbe, 9</w:t>
      </w:r>
      <w:r w:rsidRPr="00710F5A">
        <w:rPr>
          <w:noProof/>
        </w:rPr>
        <w:t xml:space="preserve">(5), 343-348. </w:t>
      </w:r>
    </w:p>
    <w:p w14:paraId="1CFF4827" w14:textId="77777777" w:rsidR="00710F5A" w:rsidRPr="00710F5A" w:rsidRDefault="00710F5A" w:rsidP="00710F5A">
      <w:pPr>
        <w:pStyle w:val="EndNoteBibliography"/>
        <w:ind w:left="720" w:hanging="720"/>
        <w:rPr>
          <w:noProof/>
        </w:rPr>
      </w:pPr>
      <w:r w:rsidRPr="00710F5A">
        <w:rPr>
          <w:noProof/>
        </w:rPr>
        <w:t xml:space="preserve">Neumann, P. J., Rosen, A. B., Greenberg, D., Olchanski, N. V., Pande, R., Chapman, R. H., . . . Siegel, J. E. (2005). Can we better prioritize resources for cost-utility research? </w:t>
      </w:r>
      <w:r w:rsidRPr="00710F5A">
        <w:rPr>
          <w:i/>
          <w:noProof/>
        </w:rPr>
        <w:t>Medical Decision Making, 25</w:t>
      </w:r>
      <w:r w:rsidRPr="00710F5A">
        <w:rPr>
          <w:noProof/>
        </w:rPr>
        <w:t xml:space="preserve">(4), 429-436. </w:t>
      </w:r>
    </w:p>
    <w:p w14:paraId="5D04FE23" w14:textId="71421577" w:rsidR="00710F5A" w:rsidRPr="00710F5A" w:rsidRDefault="00710F5A" w:rsidP="00710F5A">
      <w:pPr>
        <w:pStyle w:val="EndNoteBibliography"/>
        <w:ind w:left="720" w:hanging="720"/>
        <w:rPr>
          <w:noProof/>
        </w:rPr>
      </w:pPr>
      <w:r w:rsidRPr="00710F5A">
        <w:rPr>
          <w:noProof/>
        </w:rPr>
        <w:t xml:space="preserve">Organisation for Economic Co-operation and Development. (2005). </w:t>
      </w:r>
      <w:r w:rsidRPr="00710F5A">
        <w:rPr>
          <w:i/>
          <w:noProof/>
        </w:rPr>
        <w:t>Oslo Manual: The measurement of scientific and technological activities. Proposed guidelines for collecting and interpreting innovation data.</w:t>
      </w:r>
      <w:r w:rsidRPr="00710F5A">
        <w:rPr>
          <w:noProof/>
        </w:rPr>
        <w:t xml:space="preserve"> Retrieved from </w:t>
      </w:r>
      <w:hyperlink r:id="rId13" w:history="1">
        <w:r w:rsidRPr="00710F5A">
          <w:rPr>
            <w:rStyle w:val="Hyperlink"/>
            <w:noProof/>
          </w:rPr>
          <w:t>http://www.oecd.org/science/inno/2367580.pdf:</w:t>
        </w:r>
      </w:hyperlink>
      <w:r w:rsidRPr="00710F5A">
        <w:rPr>
          <w:noProof/>
        </w:rPr>
        <w:t xml:space="preserve"> </w:t>
      </w:r>
    </w:p>
    <w:p w14:paraId="594ED5D7" w14:textId="77777777" w:rsidR="00710F5A" w:rsidRPr="00710F5A" w:rsidRDefault="00710F5A" w:rsidP="00710F5A">
      <w:pPr>
        <w:pStyle w:val="EndNoteBibliography"/>
        <w:ind w:left="720" w:hanging="720"/>
        <w:rPr>
          <w:noProof/>
        </w:rPr>
      </w:pPr>
      <w:r w:rsidRPr="007E239B">
        <w:rPr>
          <w:noProof/>
          <w:lang w:val="pt-PT"/>
        </w:rPr>
        <w:lastRenderedPageBreak/>
        <w:t xml:space="preserve">Pammolli, F., Magazzini, L., &amp; Riccaboni, M. (2011). </w:t>
      </w:r>
      <w:r w:rsidRPr="00710F5A">
        <w:rPr>
          <w:noProof/>
        </w:rPr>
        <w:t xml:space="preserve">The productivity crisis in pharmaceutical R&amp;D. </w:t>
      </w:r>
      <w:r w:rsidRPr="00710F5A">
        <w:rPr>
          <w:i/>
          <w:noProof/>
        </w:rPr>
        <w:t>Nature Reviews Drug Discovery, 10</w:t>
      </w:r>
      <w:r w:rsidRPr="00710F5A">
        <w:rPr>
          <w:noProof/>
        </w:rPr>
        <w:t xml:space="preserve">(6), 428-438. </w:t>
      </w:r>
    </w:p>
    <w:p w14:paraId="6C4FF0A3" w14:textId="0EBCE8C7" w:rsidR="00710F5A" w:rsidRPr="00710F5A" w:rsidRDefault="00710F5A" w:rsidP="00710F5A">
      <w:pPr>
        <w:pStyle w:val="EndNoteBibliography"/>
        <w:ind w:left="720" w:hanging="720"/>
        <w:rPr>
          <w:noProof/>
        </w:rPr>
      </w:pPr>
      <w:r w:rsidRPr="00710F5A">
        <w:rPr>
          <w:noProof/>
        </w:rPr>
        <w:t xml:space="preserve">Paris, V., &amp; Belloni, A. (2016). </w:t>
      </w:r>
      <w:r w:rsidRPr="00710F5A">
        <w:rPr>
          <w:i/>
          <w:noProof/>
        </w:rPr>
        <w:t>Value in Pharmaceutical Pricing</w:t>
      </w:r>
      <w:r w:rsidRPr="00710F5A">
        <w:rPr>
          <w:noProof/>
        </w:rPr>
        <w:t xml:space="preserve">. Retrieved from </w:t>
      </w:r>
      <w:hyperlink r:id="rId14" w:history="1">
        <w:r w:rsidRPr="00710F5A">
          <w:rPr>
            <w:rStyle w:val="Hyperlink"/>
            <w:noProof/>
          </w:rPr>
          <w:t>http://www.oecd.org/health/pharmaceutical-pricing.htm:</w:t>
        </w:r>
      </w:hyperlink>
      <w:r w:rsidRPr="00710F5A">
        <w:rPr>
          <w:noProof/>
        </w:rPr>
        <w:t xml:space="preserve"> </w:t>
      </w:r>
    </w:p>
    <w:p w14:paraId="1810E737" w14:textId="77777777" w:rsidR="00710F5A" w:rsidRPr="00710F5A" w:rsidRDefault="00710F5A" w:rsidP="00710F5A">
      <w:pPr>
        <w:pStyle w:val="EndNoteBibliography"/>
        <w:ind w:left="720" w:hanging="720"/>
        <w:rPr>
          <w:noProof/>
        </w:rPr>
      </w:pPr>
      <w:r w:rsidRPr="00710F5A">
        <w:rPr>
          <w:noProof/>
        </w:rPr>
        <w:t xml:space="preserve">Pecoul, B., Chirac, P., Trouiller, P., &amp; Pinel, J. (1999). Access to essential drugs in poor countries: a lost battle? </w:t>
      </w:r>
      <w:r w:rsidRPr="00710F5A">
        <w:rPr>
          <w:i/>
          <w:noProof/>
        </w:rPr>
        <w:t>JAMA, 281</w:t>
      </w:r>
      <w:r w:rsidRPr="00710F5A">
        <w:rPr>
          <w:noProof/>
        </w:rPr>
        <w:t xml:space="preserve">(4), 361-367. </w:t>
      </w:r>
    </w:p>
    <w:p w14:paraId="62B27C58" w14:textId="77777777" w:rsidR="00710F5A" w:rsidRPr="00710F5A" w:rsidRDefault="00710F5A" w:rsidP="00710F5A">
      <w:pPr>
        <w:pStyle w:val="EndNoteBibliography"/>
        <w:ind w:left="720" w:hanging="720"/>
        <w:rPr>
          <w:noProof/>
        </w:rPr>
      </w:pPr>
      <w:r w:rsidRPr="00710F5A">
        <w:rPr>
          <w:noProof/>
        </w:rPr>
        <w:t xml:space="preserve">Salomon, J. A., Mathers, C. D., Chatterji, S., Sadana, R., Ustun, T. B., &amp; Murray, C. J. (2003). Quantifying individual levels of health: definitions, concepts and measurement issues. </w:t>
      </w:r>
      <w:r w:rsidRPr="00710F5A">
        <w:rPr>
          <w:i/>
          <w:noProof/>
        </w:rPr>
        <w:t>Health Systems Performance Assessment: Debate, Methods, and Empiricism</w:t>
      </w:r>
      <w:r w:rsidRPr="00710F5A">
        <w:rPr>
          <w:noProof/>
        </w:rPr>
        <w:t xml:space="preserve">, 301-318. </w:t>
      </w:r>
    </w:p>
    <w:p w14:paraId="748B5B65" w14:textId="77777777" w:rsidR="00710F5A" w:rsidRPr="00710F5A" w:rsidRDefault="00710F5A" w:rsidP="00710F5A">
      <w:pPr>
        <w:pStyle w:val="EndNoteBibliography"/>
        <w:ind w:left="720" w:hanging="720"/>
        <w:rPr>
          <w:noProof/>
        </w:rPr>
      </w:pPr>
      <w:r w:rsidRPr="00710F5A">
        <w:rPr>
          <w:noProof/>
        </w:rPr>
        <w:t xml:space="preserve">Scott Morton, F., &amp; Kyle, M. (2011). Chapter Twelve - Markets for Pharmaceutical Products1. In T. G. M. Mark V. Pauly &amp; P. B. Pedro (Eds.), </w:t>
      </w:r>
      <w:r w:rsidRPr="00710F5A">
        <w:rPr>
          <w:i/>
          <w:noProof/>
        </w:rPr>
        <w:t>Handbook of Health Economics</w:t>
      </w:r>
      <w:r w:rsidRPr="00710F5A">
        <w:rPr>
          <w:noProof/>
        </w:rPr>
        <w:t xml:space="preserve"> (Vol. Volume 2, pp. 763-823). Amsterdam: North-Holland/Elsevier.</w:t>
      </w:r>
    </w:p>
    <w:p w14:paraId="446E7111" w14:textId="4817BDD5" w:rsidR="00710F5A" w:rsidRPr="00710F5A" w:rsidRDefault="00710F5A" w:rsidP="00710F5A">
      <w:pPr>
        <w:pStyle w:val="EndNoteBibliography"/>
        <w:ind w:left="720" w:hanging="720"/>
        <w:rPr>
          <w:noProof/>
        </w:rPr>
      </w:pPr>
      <w:r w:rsidRPr="00710F5A">
        <w:rPr>
          <w:noProof/>
        </w:rPr>
        <w:t xml:space="preserve">Trouiller, P., Olliaro, P., Torreele, E., Orbinski, J., Laing, R., &amp; Ford, N. (2002). Drug development for neglected diseases: a deficient market and a public-health policy failure. </w:t>
      </w:r>
      <w:r w:rsidRPr="00710F5A">
        <w:rPr>
          <w:i/>
          <w:noProof/>
        </w:rPr>
        <w:t>The Lancet, 359</w:t>
      </w:r>
      <w:r w:rsidRPr="00710F5A">
        <w:rPr>
          <w:noProof/>
        </w:rPr>
        <w:t>(9324), 2188-2194. doi:</w:t>
      </w:r>
      <w:hyperlink r:id="rId15" w:history="1">
        <w:r w:rsidRPr="00710F5A">
          <w:rPr>
            <w:rStyle w:val="Hyperlink"/>
            <w:noProof/>
          </w:rPr>
          <w:t>https://doi.org/10.1016/S0140-6736(02)09096-7</w:t>
        </w:r>
      </w:hyperlink>
    </w:p>
    <w:p w14:paraId="3468F1EC" w14:textId="77777777" w:rsidR="00710F5A" w:rsidRPr="00710F5A" w:rsidRDefault="00710F5A" w:rsidP="00710F5A">
      <w:pPr>
        <w:pStyle w:val="EndNoteBibliography"/>
        <w:ind w:left="720" w:hanging="720"/>
        <w:rPr>
          <w:noProof/>
        </w:rPr>
      </w:pPr>
      <w:r w:rsidRPr="00710F5A">
        <w:rPr>
          <w:noProof/>
        </w:rPr>
        <w:t xml:space="preserve">Van Doorslaer, E., &amp; Van Ourti, T. (2011). Measuring inequality and inequity in health and health care. In S. Glied &amp; P. C. Smith (Eds.), </w:t>
      </w:r>
      <w:r w:rsidRPr="00710F5A">
        <w:rPr>
          <w:i/>
          <w:noProof/>
        </w:rPr>
        <w:t>Oxford Handbook on Health Economics. Oxford: Oxford University</w:t>
      </w:r>
      <w:r w:rsidRPr="00710F5A">
        <w:rPr>
          <w:noProof/>
        </w:rPr>
        <w:t xml:space="preserve"> (Vol. 1, pp. 837-869). Oxford: Oxford University Press.</w:t>
      </w:r>
    </w:p>
    <w:p w14:paraId="07D7FCC7" w14:textId="77777777" w:rsidR="00710F5A" w:rsidRPr="00710F5A" w:rsidRDefault="00710F5A" w:rsidP="00710F5A">
      <w:pPr>
        <w:pStyle w:val="EndNoteBibliography"/>
        <w:ind w:left="720" w:hanging="720"/>
        <w:rPr>
          <w:noProof/>
        </w:rPr>
      </w:pPr>
      <w:r w:rsidRPr="00710F5A">
        <w:rPr>
          <w:noProof/>
        </w:rPr>
        <w:t xml:space="preserve">Viergever, R. F., Terry, R. F., &amp; Karam, G. (2013). Use of data from registered clinical trials to identify gaps in health research and development. </w:t>
      </w:r>
      <w:r w:rsidRPr="00710F5A">
        <w:rPr>
          <w:i/>
          <w:noProof/>
        </w:rPr>
        <w:t>Bulletin of the World Health Organization, 91</w:t>
      </w:r>
      <w:r w:rsidRPr="00710F5A">
        <w:rPr>
          <w:noProof/>
        </w:rPr>
        <w:t xml:space="preserve">(6), 416-425C. </w:t>
      </w:r>
    </w:p>
    <w:p w14:paraId="691899F6" w14:textId="77777777" w:rsidR="00710F5A" w:rsidRPr="00710F5A" w:rsidRDefault="00710F5A" w:rsidP="00710F5A">
      <w:pPr>
        <w:pStyle w:val="EndNoteBibliography"/>
        <w:ind w:left="720" w:hanging="720"/>
        <w:rPr>
          <w:noProof/>
        </w:rPr>
      </w:pPr>
      <w:r w:rsidRPr="00710F5A">
        <w:rPr>
          <w:noProof/>
        </w:rPr>
        <w:lastRenderedPageBreak/>
        <w:t xml:space="preserve">Wagstaff, A. (2005). The bounds of the concentration index when the variable of interest is binary, with an application to immunization inequality. </w:t>
      </w:r>
      <w:r w:rsidRPr="00710F5A">
        <w:rPr>
          <w:i/>
          <w:noProof/>
        </w:rPr>
        <w:t>Health Economics, 14</w:t>
      </w:r>
      <w:r w:rsidRPr="00710F5A">
        <w:rPr>
          <w:noProof/>
        </w:rPr>
        <w:t xml:space="preserve">(4), 429-432. </w:t>
      </w:r>
    </w:p>
    <w:p w14:paraId="4B74BD8A" w14:textId="77777777" w:rsidR="00710F5A" w:rsidRPr="00710F5A" w:rsidRDefault="00710F5A" w:rsidP="00710F5A">
      <w:pPr>
        <w:pStyle w:val="EndNoteBibliography"/>
        <w:ind w:left="720" w:hanging="720"/>
        <w:rPr>
          <w:noProof/>
        </w:rPr>
      </w:pPr>
      <w:r w:rsidRPr="00710F5A">
        <w:rPr>
          <w:noProof/>
        </w:rPr>
        <w:t xml:space="preserve">Wagstaff, A., Paci, P., &amp; Van Doorslaer, E. (1991). On the measurement of inequalities in health. </w:t>
      </w:r>
      <w:r w:rsidRPr="00710F5A">
        <w:rPr>
          <w:i/>
          <w:noProof/>
        </w:rPr>
        <w:t>Social Science &amp; Medicine, 33</w:t>
      </w:r>
      <w:r w:rsidRPr="00710F5A">
        <w:rPr>
          <w:noProof/>
        </w:rPr>
        <w:t xml:space="preserve">(5), 545-557. </w:t>
      </w:r>
    </w:p>
    <w:p w14:paraId="60E0BA89" w14:textId="16189F55" w:rsidR="00710F5A" w:rsidRPr="00710F5A" w:rsidRDefault="00710F5A" w:rsidP="00710F5A">
      <w:pPr>
        <w:pStyle w:val="EndNoteBibliography"/>
        <w:ind w:left="720" w:hanging="720"/>
        <w:rPr>
          <w:noProof/>
        </w:rPr>
      </w:pPr>
      <w:r w:rsidRPr="00710F5A">
        <w:rPr>
          <w:noProof/>
        </w:rPr>
        <w:t xml:space="preserve">WHO. (2015). Neglected Tropical Diseases.   Retrieved from </w:t>
      </w:r>
      <w:hyperlink r:id="rId16" w:history="1">
        <w:r w:rsidRPr="00710F5A">
          <w:rPr>
            <w:rStyle w:val="Hyperlink"/>
            <w:noProof/>
          </w:rPr>
          <w:t>http://www.who.int/neglected_diseases/diseases/en/</w:t>
        </w:r>
      </w:hyperlink>
    </w:p>
    <w:p w14:paraId="7511C9FF" w14:textId="2CA1293C" w:rsidR="00710F5A" w:rsidRPr="00710F5A" w:rsidRDefault="00710F5A" w:rsidP="00710F5A">
      <w:pPr>
        <w:pStyle w:val="EndNoteBibliography"/>
        <w:ind w:left="720" w:hanging="720"/>
        <w:rPr>
          <w:noProof/>
        </w:rPr>
      </w:pPr>
      <w:r w:rsidRPr="00710F5A">
        <w:rPr>
          <w:noProof/>
        </w:rPr>
        <w:t xml:space="preserve">World Bank. (2018). World Development Indicators.  Retrieved 17-05-2017 </w:t>
      </w:r>
      <w:hyperlink r:id="rId17" w:history="1">
        <w:r w:rsidRPr="00710F5A">
          <w:rPr>
            <w:rStyle w:val="Hyperlink"/>
            <w:noProof/>
          </w:rPr>
          <w:t>http://databank.worldbank.org/data/source/world-development-indicators</w:t>
        </w:r>
      </w:hyperlink>
    </w:p>
    <w:p w14:paraId="0A757868" w14:textId="2A435B49" w:rsidR="00002605" w:rsidRPr="00364EF3" w:rsidRDefault="00897999" w:rsidP="009C7054">
      <w:pPr>
        <w:spacing w:line="480" w:lineRule="auto"/>
        <w:rPr>
          <w:rFonts w:cs="Times New Roman"/>
        </w:rPr>
      </w:pPr>
      <w:r w:rsidRPr="00364EF3">
        <w:rPr>
          <w:rFonts w:cs="Times New Roman"/>
        </w:rPr>
        <w:fldChar w:fldCharType="end"/>
      </w:r>
    </w:p>
    <w:p w14:paraId="5798F03E" w14:textId="77777777" w:rsidR="00002605" w:rsidRPr="00364EF3" w:rsidRDefault="00002605" w:rsidP="009C7054">
      <w:pPr>
        <w:spacing w:line="480" w:lineRule="auto"/>
        <w:rPr>
          <w:rFonts w:cs="Times New Roman"/>
        </w:rPr>
        <w:sectPr w:rsidR="00002605" w:rsidRPr="00364EF3" w:rsidSect="008A4E04">
          <w:footnotePr>
            <w:numFmt w:val="lowerLetter"/>
          </w:footnotePr>
          <w:type w:val="continuous"/>
          <w:pgSz w:w="11900" w:h="16840"/>
          <w:pgMar w:top="1440" w:right="1440" w:bottom="1440" w:left="1440" w:header="708" w:footer="708" w:gutter="0"/>
          <w:lnNumType w:countBy="1" w:restart="continuous"/>
          <w:cols w:space="708"/>
        </w:sectPr>
      </w:pPr>
    </w:p>
    <w:p w14:paraId="1CDD6338" w14:textId="59E4177F" w:rsidR="001023E0" w:rsidRPr="00152099" w:rsidRDefault="001023E0" w:rsidP="009C7054">
      <w:pPr>
        <w:pStyle w:val="Heading1"/>
        <w:spacing w:line="480" w:lineRule="auto"/>
      </w:pPr>
      <w:r w:rsidRPr="00152099">
        <w:lastRenderedPageBreak/>
        <w:t>Tables</w:t>
      </w:r>
    </w:p>
    <w:p w14:paraId="6E0CD94F" w14:textId="150545DC" w:rsidR="00E268E6" w:rsidRPr="00722765" w:rsidRDefault="003043C1" w:rsidP="009C7054">
      <w:pPr>
        <w:spacing w:line="480" w:lineRule="auto"/>
        <w:jc w:val="both"/>
        <w:rPr>
          <w:rFonts w:cs="Times New Roman"/>
          <w:bCs/>
          <w:sz w:val="22"/>
          <w:szCs w:val="20"/>
        </w:rPr>
      </w:pPr>
      <w:r w:rsidRPr="00722765">
        <w:rPr>
          <w:rFonts w:cs="Times New Roman"/>
          <w:bCs/>
          <w:sz w:val="22"/>
          <w:szCs w:val="20"/>
        </w:rPr>
        <w:t>Table I:</w:t>
      </w:r>
      <w:r w:rsidR="001023E0" w:rsidRPr="00722765">
        <w:rPr>
          <w:rFonts w:cs="Times New Roman"/>
          <w:bCs/>
          <w:sz w:val="22"/>
          <w:szCs w:val="20"/>
        </w:rPr>
        <w:t xml:space="preserve"> Global R&amp;D </w:t>
      </w:r>
      <w:r w:rsidR="00722765" w:rsidRPr="00722765">
        <w:rPr>
          <w:rFonts w:cs="Times New Roman"/>
          <w:bCs/>
          <w:sz w:val="22"/>
          <w:szCs w:val="20"/>
        </w:rPr>
        <w:t xml:space="preserve">activity and burden of disease </w:t>
      </w:r>
    </w:p>
    <w:tbl>
      <w:tblPr>
        <w:tblW w:w="14368" w:type="dxa"/>
        <w:tblLook w:val="04A0" w:firstRow="1" w:lastRow="0" w:firstColumn="1" w:lastColumn="0" w:noHBand="0" w:noVBand="1"/>
      </w:tblPr>
      <w:tblGrid>
        <w:gridCol w:w="381"/>
        <w:gridCol w:w="160"/>
        <w:gridCol w:w="3459"/>
        <w:gridCol w:w="1055"/>
        <w:gridCol w:w="1859"/>
        <w:gridCol w:w="381"/>
        <w:gridCol w:w="3623"/>
        <w:gridCol w:w="706"/>
        <w:gridCol w:w="91"/>
        <w:gridCol w:w="145"/>
        <w:gridCol w:w="2272"/>
        <w:gridCol w:w="91"/>
        <w:gridCol w:w="145"/>
      </w:tblGrid>
      <w:tr w:rsidR="00722765" w:rsidRPr="00722765" w14:paraId="3B1BAAE8" w14:textId="77777777" w:rsidTr="00B943EA">
        <w:trPr>
          <w:gridAfter w:val="2"/>
          <w:wAfter w:w="236" w:type="dxa"/>
          <w:trHeight w:val="300"/>
        </w:trPr>
        <w:tc>
          <w:tcPr>
            <w:tcW w:w="14132" w:type="dxa"/>
            <w:gridSpan w:val="11"/>
            <w:tcBorders>
              <w:top w:val="single" w:sz="4" w:space="0" w:color="auto"/>
              <w:left w:val="nil"/>
              <w:bottom w:val="single" w:sz="4" w:space="0" w:color="auto"/>
              <w:right w:val="nil"/>
            </w:tcBorders>
            <w:shd w:val="clear" w:color="auto" w:fill="auto"/>
            <w:noWrap/>
            <w:vAlign w:val="bottom"/>
            <w:hideMark/>
          </w:tcPr>
          <w:p w14:paraId="062E5912" w14:textId="6936403B" w:rsidR="00722765" w:rsidRPr="00722765" w:rsidRDefault="00722765" w:rsidP="009C7054">
            <w:pPr>
              <w:spacing w:line="480" w:lineRule="auto"/>
              <w:jc w:val="center"/>
              <w:rPr>
                <w:rFonts w:eastAsia="Times New Roman" w:cs="Times New Roman"/>
                <w:color w:val="000000"/>
                <w:sz w:val="22"/>
                <w:szCs w:val="22"/>
                <w:lang w:val="en-GB" w:eastAsia="en-GB"/>
              </w:rPr>
            </w:pPr>
            <w:r>
              <w:rPr>
                <w:rFonts w:eastAsia="Times New Roman" w:cs="Times New Roman"/>
                <w:color w:val="000000"/>
                <w:sz w:val="22"/>
                <w:szCs w:val="22"/>
                <w:lang w:val="en-GB" w:eastAsia="en-GB"/>
              </w:rPr>
              <w:t>G</w:t>
            </w:r>
            <w:r w:rsidRPr="00722765">
              <w:rPr>
                <w:rFonts w:eastAsia="Times New Roman" w:cs="Times New Roman"/>
                <w:color w:val="000000"/>
                <w:sz w:val="22"/>
                <w:szCs w:val="22"/>
                <w:lang w:val="en-GB" w:eastAsia="en-GB"/>
              </w:rPr>
              <w:t>lobal R&amp;D activity</w:t>
            </w:r>
          </w:p>
        </w:tc>
      </w:tr>
      <w:tr w:rsidR="00CB06C2" w:rsidRPr="00722765" w14:paraId="6706641B" w14:textId="77777777" w:rsidTr="00B943EA">
        <w:trPr>
          <w:gridAfter w:val="2"/>
          <w:wAfter w:w="236" w:type="dxa"/>
          <w:trHeight w:val="615"/>
        </w:trPr>
        <w:tc>
          <w:tcPr>
            <w:tcW w:w="5055" w:type="dxa"/>
            <w:gridSpan w:val="4"/>
            <w:tcBorders>
              <w:top w:val="single" w:sz="4" w:space="0" w:color="auto"/>
              <w:left w:val="nil"/>
              <w:bottom w:val="single" w:sz="4" w:space="0" w:color="auto"/>
              <w:right w:val="nil"/>
            </w:tcBorders>
            <w:shd w:val="clear" w:color="auto" w:fill="auto"/>
            <w:vAlign w:val="center"/>
            <w:hideMark/>
          </w:tcPr>
          <w:p w14:paraId="2F786CED"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 xml:space="preserve">Top 5 therapeutic areas (Pammolli et al., 2011) </w:t>
            </w:r>
          </w:p>
        </w:tc>
        <w:tc>
          <w:tcPr>
            <w:tcW w:w="1859" w:type="dxa"/>
            <w:tcBorders>
              <w:top w:val="nil"/>
              <w:left w:val="nil"/>
              <w:bottom w:val="single" w:sz="4" w:space="0" w:color="auto"/>
              <w:right w:val="single" w:sz="4" w:space="0" w:color="auto"/>
            </w:tcBorders>
            <w:shd w:val="clear" w:color="auto" w:fill="auto"/>
            <w:vAlign w:val="center"/>
            <w:hideMark/>
          </w:tcPr>
          <w:p w14:paraId="39F784CF" w14:textId="77777777" w:rsidR="00722765" w:rsidRPr="00722765" w:rsidRDefault="00722765" w:rsidP="009C7054">
            <w:pPr>
              <w:spacing w:line="480" w:lineRule="auto"/>
              <w:jc w:val="center"/>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Number of NCEs (1990-2007)</w:t>
            </w:r>
          </w:p>
        </w:tc>
        <w:tc>
          <w:tcPr>
            <w:tcW w:w="4710" w:type="dxa"/>
            <w:gridSpan w:val="3"/>
            <w:tcBorders>
              <w:top w:val="nil"/>
              <w:left w:val="nil"/>
              <w:bottom w:val="single" w:sz="4" w:space="0" w:color="auto"/>
              <w:right w:val="nil"/>
            </w:tcBorders>
            <w:shd w:val="clear" w:color="auto" w:fill="auto"/>
            <w:vAlign w:val="center"/>
            <w:hideMark/>
          </w:tcPr>
          <w:p w14:paraId="67AEC254"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Top 5 therapeutic areas  (Pammolli et al., 2011)</w:t>
            </w:r>
          </w:p>
        </w:tc>
        <w:tc>
          <w:tcPr>
            <w:tcW w:w="2508" w:type="dxa"/>
            <w:gridSpan w:val="3"/>
            <w:tcBorders>
              <w:top w:val="nil"/>
              <w:left w:val="nil"/>
              <w:bottom w:val="single" w:sz="4" w:space="0" w:color="auto"/>
              <w:right w:val="nil"/>
            </w:tcBorders>
            <w:shd w:val="clear" w:color="auto" w:fill="auto"/>
            <w:vAlign w:val="center"/>
            <w:hideMark/>
          </w:tcPr>
          <w:p w14:paraId="3661F525" w14:textId="77777777" w:rsidR="00722765" w:rsidRPr="00722765" w:rsidRDefault="00722765" w:rsidP="009C7054">
            <w:pPr>
              <w:spacing w:line="480" w:lineRule="auto"/>
              <w:jc w:val="center"/>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Average sales ($US million) (1990-2007)</w:t>
            </w:r>
          </w:p>
        </w:tc>
      </w:tr>
      <w:tr w:rsidR="00CB06C2" w:rsidRPr="00722765" w14:paraId="7240328A" w14:textId="77777777" w:rsidTr="00B943EA">
        <w:trPr>
          <w:gridAfter w:val="1"/>
          <w:wAfter w:w="145" w:type="dxa"/>
          <w:trHeight w:val="300"/>
        </w:trPr>
        <w:tc>
          <w:tcPr>
            <w:tcW w:w="541" w:type="dxa"/>
            <w:gridSpan w:val="2"/>
            <w:tcBorders>
              <w:top w:val="nil"/>
              <w:left w:val="nil"/>
              <w:bottom w:val="nil"/>
              <w:right w:val="nil"/>
            </w:tcBorders>
            <w:shd w:val="clear" w:color="auto" w:fill="auto"/>
            <w:noWrap/>
            <w:vAlign w:val="bottom"/>
            <w:hideMark/>
          </w:tcPr>
          <w:p w14:paraId="7B3B4D93"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1.</w:t>
            </w:r>
          </w:p>
        </w:tc>
        <w:tc>
          <w:tcPr>
            <w:tcW w:w="4514" w:type="dxa"/>
            <w:gridSpan w:val="2"/>
            <w:tcBorders>
              <w:top w:val="nil"/>
              <w:left w:val="nil"/>
              <w:bottom w:val="nil"/>
              <w:right w:val="nil"/>
            </w:tcBorders>
            <w:shd w:val="clear" w:color="auto" w:fill="auto"/>
            <w:noWrap/>
            <w:vAlign w:val="bottom"/>
            <w:hideMark/>
          </w:tcPr>
          <w:p w14:paraId="2D1C0494"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Antineoplastic and immunomodulating agents</w:t>
            </w:r>
          </w:p>
        </w:tc>
        <w:tc>
          <w:tcPr>
            <w:tcW w:w="1859" w:type="dxa"/>
            <w:tcBorders>
              <w:top w:val="nil"/>
              <w:left w:val="nil"/>
              <w:bottom w:val="nil"/>
              <w:right w:val="single" w:sz="4" w:space="0" w:color="auto"/>
            </w:tcBorders>
            <w:shd w:val="clear" w:color="auto" w:fill="auto"/>
            <w:noWrap/>
            <w:vAlign w:val="bottom"/>
            <w:hideMark/>
          </w:tcPr>
          <w:p w14:paraId="26E86521"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6,566</w:t>
            </w:r>
          </w:p>
        </w:tc>
        <w:tc>
          <w:tcPr>
            <w:tcW w:w="381" w:type="dxa"/>
            <w:tcBorders>
              <w:top w:val="nil"/>
              <w:left w:val="nil"/>
              <w:bottom w:val="nil"/>
              <w:right w:val="nil"/>
            </w:tcBorders>
            <w:shd w:val="clear" w:color="auto" w:fill="auto"/>
            <w:noWrap/>
            <w:vAlign w:val="bottom"/>
            <w:hideMark/>
          </w:tcPr>
          <w:p w14:paraId="3C7C61C7"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1.</w:t>
            </w:r>
          </w:p>
        </w:tc>
        <w:tc>
          <w:tcPr>
            <w:tcW w:w="4420" w:type="dxa"/>
            <w:gridSpan w:val="3"/>
            <w:tcBorders>
              <w:top w:val="nil"/>
              <w:left w:val="nil"/>
              <w:bottom w:val="nil"/>
              <w:right w:val="nil"/>
            </w:tcBorders>
            <w:shd w:val="clear" w:color="auto" w:fill="auto"/>
            <w:noWrap/>
            <w:vAlign w:val="bottom"/>
            <w:hideMark/>
          </w:tcPr>
          <w:p w14:paraId="0ABFF161"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Antineoplastic and immunomodulating agents</w:t>
            </w:r>
          </w:p>
        </w:tc>
        <w:tc>
          <w:tcPr>
            <w:tcW w:w="2508" w:type="dxa"/>
            <w:gridSpan w:val="3"/>
            <w:tcBorders>
              <w:top w:val="nil"/>
              <w:left w:val="nil"/>
              <w:bottom w:val="nil"/>
              <w:right w:val="nil"/>
            </w:tcBorders>
            <w:shd w:val="clear" w:color="auto" w:fill="auto"/>
            <w:noWrap/>
            <w:vAlign w:val="bottom"/>
            <w:hideMark/>
          </w:tcPr>
          <w:p w14:paraId="009BC0CD"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105.3</w:t>
            </w:r>
          </w:p>
        </w:tc>
      </w:tr>
      <w:tr w:rsidR="00CB06C2" w:rsidRPr="00722765" w14:paraId="3471E00E" w14:textId="77777777" w:rsidTr="00B943EA">
        <w:trPr>
          <w:gridAfter w:val="1"/>
          <w:wAfter w:w="145" w:type="dxa"/>
          <w:trHeight w:val="300"/>
        </w:trPr>
        <w:tc>
          <w:tcPr>
            <w:tcW w:w="541" w:type="dxa"/>
            <w:gridSpan w:val="2"/>
            <w:tcBorders>
              <w:top w:val="nil"/>
              <w:left w:val="nil"/>
              <w:bottom w:val="nil"/>
              <w:right w:val="nil"/>
            </w:tcBorders>
            <w:shd w:val="clear" w:color="auto" w:fill="auto"/>
            <w:noWrap/>
            <w:vAlign w:val="bottom"/>
            <w:hideMark/>
          </w:tcPr>
          <w:p w14:paraId="23DFCF92"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2.</w:t>
            </w:r>
          </w:p>
        </w:tc>
        <w:tc>
          <w:tcPr>
            <w:tcW w:w="4514" w:type="dxa"/>
            <w:gridSpan w:val="2"/>
            <w:tcBorders>
              <w:top w:val="nil"/>
              <w:left w:val="nil"/>
              <w:bottom w:val="nil"/>
              <w:right w:val="nil"/>
            </w:tcBorders>
            <w:shd w:val="clear" w:color="auto" w:fill="auto"/>
            <w:noWrap/>
            <w:vAlign w:val="bottom"/>
            <w:hideMark/>
          </w:tcPr>
          <w:p w14:paraId="5C2AE795"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Anti-infectives for systemic use</w:t>
            </w:r>
          </w:p>
        </w:tc>
        <w:tc>
          <w:tcPr>
            <w:tcW w:w="1859" w:type="dxa"/>
            <w:tcBorders>
              <w:top w:val="nil"/>
              <w:left w:val="nil"/>
              <w:bottom w:val="nil"/>
              <w:right w:val="single" w:sz="4" w:space="0" w:color="auto"/>
            </w:tcBorders>
            <w:shd w:val="clear" w:color="auto" w:fill="auto"/>
            <w:noWrap/>
            <w:vAlign w:val="bottom"/>
            <w:hideMark/>
          </w:tcPr>
          <w:p w14:paraId="75032D45"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4,737</w:t>
            </w:r>
          </w:p>
        </w:tc>
        <w:tc>
          <w:tcPr>
            <w:tcW w:w="381" w:type="dxa"/>
            <w:tcBorders>
              <w:top w:val="nil"/>
              <w:left w:val="nil"/>
              <w:bottom w:val="nil"/>
              <w:right w:val="nil"/>
            </w:tcBorders>
            <w:shd w:val="clear" w:color="auto" w:fill="auto"/>
            <w:noWrap/>
            <w:vAlign w:val="bottom"/>
            <w:hideMark/>
          </w:tcPr>
          <w:p w14:paraId="15ECB0B9"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2.</w:t>
            </w:r>
          </w:p>
        </w:tc>
        <w:tc>
          <w:tcPr>
            <w:tcW w:w="4420" w:type="dxa"/>
            <w:gridSpan w:val="3"/>
            <w:tcBorders>
              <w:top w:val="nil"/>
              <w:left w:val="nil"/>
              <w:bottom w:val="nil"/>
              <w:right w:val="nil"/>
            </w:tcBorders>
            <w:shd w:val="clear" w:color="auto" w:fill="auto"/>
            <w:noWrap/>
            <w:vAlign w:val="bottom"/>
            <w:hideMark/>
          </w:tcPr>
          <w:p w14:paraId="3444580A"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Anti-infectives for systemic use</w:t>
            </w:r>
          </w:p>
        </w:tc>
        <w:tc>
          <w:tcPr>
            <w:tcW w:w="2508" w:type="dxa"/>
            <w:gridSpan w:val="3"/>
            <w:tcBorders>
              <w:top w:val="nil"/>
              <w:left w:val="nil"/>
              <w:bottom w:val="nil"/>
              <w:right w:val="nil"/>
            </w:tcBorders>
            <w:shd w:val="clear" w:color="auto" w:fill="auto"/>
            <w:noWrap/>
            <w:vAlign w:val="bottom"/>
            <w:hideMark/>
          </w:tcPr>
          <w:p w14:paraId="3CF23F44"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82.4</w:t>
            </w:r>
          </w:p>
        </w:tc>
      </w:tr>
      <w:tr w:rsidR="00CB06C2" w:rsidRPr="00722765" w14:paraId="1110F8BA" w14:textId="77777777" w:rsidTr="00B943EA">
        <w:trPr>
          <w:gridAfter w:val="1"/>
          <w:wAfter w:w="145" w:type="dxa"/>
          <w:trHeight w:val="300"/>
        </w:trPr>
        <w:tc>
          <w:tcPr>
            <w:tcW w:w="541" w:type="dxa"/>
            <w:gridSpan w:val="2"/>
            <w:tcBorders>
              <w:top w:val="nil"/>
              <w:left w:val="nil"/>
              <w:bottom w:val="nil"/>
              <w:right w:val="nil"/>
            </w:tcBorders>
            <w:shd w:val="clear" w:color="auto" w:fill="auto"/>
            <w:noWrap/>
            <w:vAlign w:val="bottom"/>
            <w:hideMark/>
          </w:tcPr>
          <w:p w14:paraId="0FAD5673"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w:t>
            </w:r>
          </w:p>
        </w:tc>
        <w:tc>
          <w:tcPr>
            <w:tcW w:w="4514" w:type="dxa"/>
            <w:gridSpan w:val="2"/>
            <w:tcBorders>
              <w:top w:val="nil"/>
              <w:left w:val="nil"/>
              <w:bottom w:val="nil"/>
              <w:right w:val="nil"/>
            </w:tcBorders>
            <w:shd w:val="clear" w:color="auto" w:fill="auto"/>
            <w:noWrap/>
            <w:vAlign w:val="bottom"/>
            <w:hideMark/>
          </w:tcPr>
          <w:p w14:paraId="07DA39B2"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Nervous system</w:t>
            </w:r>
          </w:p>
        </w:tc>
        <w:tc>
          <w:tcPr>
            <w:tcW w:w="1859" w:type="dxa"/>
            <w:tcBorders>
              <w:top w:val="nil"/>
              <w:left w:val="nil"/>
              <w:bottom w:val="nil"/>
              <w:right w:val="single" w:sz="4" w:space="0" w:color="auto"/>
            </w:tcBorders>
            <w:shd w:val="clear" w:color="auto" w:fill="auto"/>
            <w:noWrap/>
            <w:vAlign w:val="bottom"/>
            <w:hideMark/>
          </w:tcPr>
          <w:p w14:paraId="59E412D1"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3,817</w:t>
            </w:r>
          </w:p>
        </w:tc>
        <w:tc>
          <w:tcPr>
            <w:tcW w:w="381" w:type="dxa"/>
            <w:tcBorders>
              <w:top w:val="nil"/>
              <w:left w:val="nil"/>
              <w:bottom w:val="nil"/>
              <w:right w:val="nil"/>
            </w:tcBorders>
            <w:shd w:val="clear" w:color="auto" w:fill="auto"/>
            <w:noWrap/>
            <w:vAlign w:val="bottom"/>
            <w:hideMark/>
          </w:tcPr>
          <w:p w14:paraId="1DB2BBC3"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w:t>
            </w:r>
          </w:p>
        </w:tc>
        <w:tc>
          <w:tcPr>
            <w:tcW w:w="4420" w:type="dxa"/>
            <w:gridSpan w:val="3"/>
            <w:tcBorders>
              <w:top w:val="nil"/>
              <w:left w:val="nil"/>
              <w:bottom w:val="nil"/>
              <w:right w:val="nil"/>
            </w:tcBorders>
            <w:shd w:val="clear" w:color="auto" w:fill="auto"/>
            <w:noWrap/>
            <w:vAlign w:val="bottom"/>
            <w:hideMark/>
          </w:tcPr>
          <w:p w14:paraId="6CD9E787"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Blood and blood-forming organs</w:t>
            </w:r>
          </w:p>
        </w:tc>
        <w:tc>
          <w:tcPr>
            <w:tcW w:w="2508" w:type="dxa"/>
            <w:gridSpan w:val="3"/>
            <w:tcBorders>
              <w:top w:val="nil"/>
              <w:left w:val="nil"/>
              <w:bottom w:val="nil"/>
              <w:right w:val="nil"/>
            </w:tcBorders>
            <w:shd w:val="clear" w:color="auto" w:fill="auto"/>
            <w:noWrap/>
            <w:vAlign w:val="bottom"/>
            <w:hideMark/>
          </w:tcPr>
          <w:p w14:paraId="7E940F04"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72.9</w:t>
            </w:r>
          </w:p>
        </w:tc>
      </w:tr>
      <w:tr w:rsidR="00CB06C2" w:rsidRPr="00722765" w14:paraId="3F557200" w14:textId="77777777" w:rsidTr="00B943EA">
        <w:trPr>
          <w:gridAfter w:val="1"/>
          <w:wAfter w:w="145" w:type="dxa"/>
          <w:trHeight w:val="300"/>
        </w:trPr>
        <w:tc>
          <w:tcPr>
            <w:tcW w:w="541" w:type="dxa"/>
            <w:gridSpan w:val="2"/>
            <w:tcBorders>
              <w:top w:val="nil"/>
              <w:left w:val="nil"/>
              <w:bottom w:val="nil"/>
              <w:right w:val="nil"/>
            </w:tcBorders>
            <w:shd w:val="clear" w:color="auto" w:fill="auto"/>
            <w:noWrap/>
            <w:vAlign w:val="bottom"/>
            <w:hideMark/>
          </w:tcPr>
          <w:p w14:paraId="5322BD2E"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w:t>
            </w:r>
          </w:p>
        </w:tc>
        <w:tc>
          <w:tcPr>
            <w:tcW w:w="4514" w:type="dxa"/>
            <w:gridSpan w:val="2"/>
            <w:tcBorders>
              <w:top w:val="nil"/>
              <w:left w:val="nil"/>
              <w:bottom w:val="nil"/>
              <w:right w:val="nil"/>
            </w:tcBorders>
            <w:shd w:val="clear" w:color="auto" w:fill="auto"/>
            <w:noWrap/>
            <w:vAlign w:val="bottom"/>
            <w:hideMark/>
          </w:tcPr>
          <w:p w14:paraId="76C05DBB"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Cardiovascular system</w:t>
            </w:r>
          </w:p>
        </w:tc>
        <w:tc>
          <w:tcPr>
            <w:tcW w:w="1859" w:type="dxa"/>
            <w:tcBorders>
              <w:top w:val="nil"/>
              <w:left w:val="nil"/>
              <w:bottom w:val="nil"/>
              <w:right w:val="single" w:sz="4" w:space="0" w:color="auto"/>
            </w:tcBorders>
            <w:shd w:val="clear" w:color="auto" w:fill="auto"/>
            <w:noWrap/>
            <w:vAlign w:val="bottom"/>
            <w:hideMark/>
          </w:tcPr>
          <w:p w14:paraId="4CD8CED6"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2,139</w:t>
            </w:r>
          </w:p>
        </w:tc>
        <w:tc>
          <w:tcPr>
            <w:tcW w:w="381" w:type="dxa"/>
            <w:tcBorders>
              <w:top w:val="nil"/>
              <w:left w:val="nil"/>
              <w:bottom w:val="nil"/>
              <w:right w:val="nil"/>
            </w:tcBorders>
            <w:shd w:val="clear" w:color="auto" w:fill="auto"/>
            <w:noWrap/>
            <w:vAlign w:val="bottom"/>
            <w:hideMark/>
          </w:tcPr>
          <w:p w14:paraId="3483C3FB"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w:t>
            </w:r>
          </w:p>
        </w:tc>
        <w:tc>
          <w:tcPr>
            <w:tcW w:w="4420" w:type="dxa"/>
            <w:gridSpan w:val="3"/>
            <w:tcBorders>
              <w:top w:val="nil"/>
              <w:left w:val="nil"/>
              <w:bottom w:val="nil"/>
              <w:right w:val="nil"/>
            </w:tcBorders>
            <w:shd w:val="clear" w:color="auto" w:fill="auto"/>
            <w:noWrap/>
            <w:vAlign w:val="bottom"/>
            <w:hideMark/>
          </w:tcPr>
          <w:p w14:paraId="3E023EAA"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 xml:space="preserve">Cardiovascular system </w:t>
            </w:r>
          </w:p>
        </w:tc>
        <w:tc>
          <w:tcPr>
            <w:tcW w:w="2508" w:type="dxa"/>
            <w:gridSpan w:val="3"/>
            <w:tcBorders>
              <w:top w:val="nil"/>
              <w:left w:val="nil"/>
              <w:bottom w:val="nil"/>
              <w:right w:val="nil"/>
            </w:tcBorders>
            <w:shd w:val="clear" w:color="auto" w:fill="auto"/>
            <w:noWrap/>
            <w:vAlign w:val="bottom"/>
            <w:hideMark/>
          </w:tcPr>
          <w:p w14:paraId="772AC85C"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45.6</w:t>
            </w:r>
          </w:p>
        </w:tc>
      </w:tr>
      <w:tr w:rsidR="00CB06C2" w:rsidRPr="00722765" w14:paraId="51514025" w14:textId="77777777" w:rsidTr="00B943EA">
        <w:trPr>
          <w:gridAfter w:val="1"/>
          <w:wAfter w:w="145" w:type="dxa"/>
          <w:trHeight w:val="300"/>
        </w:trPr>
        <w:tc>
          <w:tcPr>
            <w:tcW w:w="541" w:type="dxa"/>
            <w:gridSpan w:val="2"/>
            <w:tcBorders>
              <w:top w:val="nil"/>
              <w:left w:val="nil"/>
              <w:bottom w:val="single" w:sz="4" w:space="0" w:color="auto"/>
              <w:right w:val="nil"/>
            </w:tcBorders>
            <w:shd w:val="clear" w:color="auto" w:fill="auto"/>
            <w:noWrap/>
            <w:vAlign w:val="bottom"/>
            <w:hideMark/>
          </w:tcPr>
          <w:p w14:paraId="4C033826"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5.</w:t>
            </w:r>
          </w:p>
        </w:tc>
        <w:tc>
          <w:tcPr>
            <w:tcW w:w="4514" w:type="dxa"/>
            <w:gridSpan w:val="2"/>
            <w:tcBorders>
              <w:top w:val="nil"/>
              <w:left w:val="nil"/>
              <w:bottom w:val="single" w:sz="4" w:space="0" w:color="auto"/>
              <w:right w:val="nil"/>
            </w:tcBorders>
            <w:shd w:val="clear" w:color="auto" w:fill="auto"/>
            <w:noWrap/>
            <w:vAlign w:val="bottom"/>
            <w:hideMark/>
          </w:tcPr>
          <w:p w14:paraId="328DF4F4"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Alimentary tract and metabolism</w:t>
            </w:r>
          </w:p>
        </w:tc>
        <w:tc>
          <w:tcPr>
            <w:tcW w:w="1859" w:type="dxa"/>
            <w:tcBorders>
              <w:top w:val="nil"/>
              <w:left w:val="nil"/>
              <w:bottom w:val="single" w:sz="4" w:space="0" w:color="auto"/>
              <w:right w:val="single" w:sz="4" w:space="0" w:color="auto"/>
            </w:tcBorders>
            <w:shd w:val="clear" w:color="auto" w:fill="auto"/>
            <w:noWrap/>
            <w:vAlign w:val="bottom"/>
            <w:hideMark/>
          </w:tcPr>
          <w:p w14:paraId="0AFB04BE"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2,046</w:t>
            </w:r>
          </w:p>
        </w:tc>
        <w:tc>
          <w:tcPr>
            <w:tcW w:w="381" w:type="dxa"/>
            <w:tcBorders>
              <w:top w:val="nil"/>
              <w:left w:val="nil"/>
              <w:bottom w:val="single" w:sz="4" w:space="0" w:color="auto"/>
              <w:right w:val="nil"/>
            </w:tcBorders>
            <w:shd w:val="clear" w:color="auto" w:fill="auto"/>
            <w:noWrap/>
            <w:vAlign w:val="bottom"/>
            <w:hideMark/>
          </w:tcPr>
          <w:p w14:paraId="5AF1A72B"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5.</w:t>
            </w:r>
          </w:p>
        </w:tc>
        <w:tc>
          <w:tcPr>
            <w:tcW w:w="4420" w:type="dxa"/>
            <w:gridSpan w:val="3"/>
            <w:tcBorders>
              <w:top w:val="nil"/>
              <w:left w:val="nil"/>
              <w:bottom w:val="single" w:sz="4" w:space="0" w:color="auto"/>
              <w:right w:val="nil"/>
            </w:tcBorders>
            <w:shd w:val="clear" w:color="auto" w:fill="auto"/>
            <w:noWrap/>
            <w:vAlign w:val="bottom"/>
            <w:hideMark/>
          </w:tcPr>
          <w:p w14:paraId="03A6F4AA"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Nervous system</w:t>
            </w:r>
          </w:p>
        </w:tc>
        <w:tc>
          <w:tcPr>
            <w:tcW w:w="2508" w:type="dxa"/>
            <w:gridSpan w:val="3"/>
            <w:tcBorders>
              <w:top w:val="nil"/>
              <w:left w:val="nil"/>
              <w:bottom w:val="single" w:sz="4" w:space="0" w:color="auto"/>
              <w:right w:val="nil"/>
            </w:tcBorders>
            <w:shd w:val="clear" w:color="auto" w:fill="auto"/>
            <w:noWrap/>
            <w:vAlign w:val="bottom"/>
            <w:hideMark/>
          </w:tcPr>
          <w:p w14:paraId="3704E1A5"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43.5</w:t>
            </w:r>
          </w:p>
        </w:tc>
      </w:tr>
      <w:tr w:rsidR="00722765" w:rsidRPr="00722765" w14:paraId="4FF1B6E2" w14:textId="77777777" w:rsidTr="00B943EA">
        <w:trPr>
          <w:gridAfter w:val="2"/>
          <w:wAfter w:w="236" w:type="dxa"/>
          <w:trHeight w:val="300"/>
        </w:trPr>
        <w:tc>
          <w:tcPr>
            <w:tcW w:w="14132" w:type="dxa"/>
            <w:gridSpan w:val="11"/>
            <w:tcBorders>
              <w:top w:val="single" w:sz="4" w:space="0" w:color="auto"/>
              <w:left w:val="nil"/>
              <w:bottom w:val="nil"/>
              <w:right w:val="nil"/>
            </w:tcBorders>
            <w:shd w:val="clear" w:color="auto" w:fill="auto"/>
            <w:noWrap/>
            <w:vAlign w:val="bottom"/>
            <w:hideMark/>
          </w:tcPr>
          <w:p w14:paraId="189CBC55" w14:textId="77777777" w:rsidR="00722765" w:rsidRPr="00722765" w:rsidRDefault="00722765" w:rsidP="009C7054">
            <w:pPr>
              <w:spacing w:line="480" w:lineRule="auto"/>
              <w:jc w:val="center"/>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 xml:space="preserve">Burden of disease </w:t>
            </w:r>
          </w:p>
        </w:tc>
      </w:tr>
      <w:tr w:rsidR="00722765" w:rsidRPr="00722765" w14:paraId="622DF4F3" w14:textId="77777777" w:rsidTr="00B943EA">
        <w:trPr>
          <w:gridAfter w:val="2"/>
          <w:wAfter w:w="236" w:type="dxa"/>
          <w:trHeight w:val="614"/>
        </w:trPr>
        <w:tc>
          <w:tcPr>
            <w:tcW w:w="4000" w:type="dxa"/>
            <w:gridSpan w:val="3"/>
            <w:tcBorders>
              <w:top w:val="single" w:sz="4" w:space="0" w:color="auto"/>
              <w:left w:val="nil"/>
              <w:bottom w:val="single" w:sz="4" w:space="0" w:color="auto"/>
              <w:right w:val="nil"/>
            </w:tcBorders>
            <w:shd w:val="clear" w:color="auto" w:fill="auto"/>
            <w:vAlign w:val="bottom"/>
            <w:hideMark/>
          </w:tcPr>
          <w:p w14:paraId="0701EA2D"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Top 5 causes of disease burden in developed countries (Murray et al., 2013)</w:t>
            </w:r>
          </w:p>
        </w:tc>
        <w:tc>
          <w:tcPr>
            <w:tcW w:w="2914" w:type="dxa"/>
            <w:gridSpan w:val="2"/>
            <w:tcBorders>
              <w:top w:val="single" w:sz="4" w:space="0" w:color="auto"/>
              <w:left w:val="nil"/>
              <w:bottom w:val="single" w:sz="4" w:space="0" w:color="auto"/>
              <w:right w:val="single" w:sz="4" w:space="0" w:color="auto"/>
            </w:tcBorders>
            <w:shd w:val="clear" w:color="auto" w:fill="auto"/>
            <w:vAlign w:val="bottom"/>
            <w:hideMark/>
          </w:tcPr>
          <w:p w14:paraId="6F816D4D"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 of total DALYs in developed countries</w:t>
            </w:r>
          </w:p>
        </w:tc>
        <w:tc>
          <w:tcPr>
            <w:tcW w:w="4004" w:type="dxa"/>
            <w:gridSpan w:val="2"/>
            <w:tcBorders>
              <w:top w:val="single" w:sz="4" w:space="0" w:color="auto"/>
              <w:left w:val="nil"/>
              <w:bottom w:val="single" w:sz="4" w:space="0" w:color="auto"/>
              <w:right w:val="nil"/>
            </w:tcBorders>
            <w:shd w:val="clear" w:color="auto" w:fill="auto"/>
            <w:vAlign w:val="bottom"/>
            <w:hideMark/>
          </w:tcPr>
          <w:p w14:paraId="534B2293" w14:textId="77777777" w:rsidR="00722765" w:rsidRPr="00722765" w:rsidRDefault="00722765" w:rsidP="009C7054">
            <w:pPr>
              <w:spacing w:line="480" w:lineRule="auto"/>
              <w:jc w:val="center"/>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Top 5 causes of disease burden in developing countries (Murray et al., 2013)</w:t>
            </w:r>
          </w:p>
        </w:tc>
        <w:tc>
          <w:tcPr>
            <w:tcW w:w="3214" w:type="dxa"/>
            <w:gridSpan w:val="4"/>
            <w:tcBorders>
              <w:top w:val="single" w:sz="4" w:space="0" w:color="auto"/>
              <w:left w:val="nil"/>
              <w:bottom w:val="single" w:sz="4" w:space="0" w:color="auto"/>
              <w:right w:val="nil"/>
            </w:tcBorders>
            <w:shd w:val="clear" w:color="auto" w:fill="auto"/>
            <w:vAlign w:val="bottom"/>
            <w:hideMark/>
          </w:tcPr>
          <w:p w14:paraId="047A4822"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 of total DALYs in developing countries</w:t>
            </w:r>
          </w:p>
        </w:tc>
      </w:tr>
      <w:tr w:rsidR="00722765" w:rsidRPr="00722765" w14:paraId="59E19B83" w14:textId="77777777" w:rsidTr="00B943EA">
        <w:trPr>
          <w:trHeight w:val="300"/>
        </w:trPr>
        <w:tc>
          <w:tcPr>
            <w:tcW w:w="381" w:type="dxa"/>
            <w:tcBorders>
              <w:top w:val="nil"/>
              <w:left w:val="nil"/>
              <w:bottom w:val="nil"/>
              <w:right w:val="nil"/>
            </w:tcBorders>
            <w:shd w:val="clear" w:color="auto" w:fill="auto"/>
            <w:noWrap/>
            <w:vAlign w:val="bottom"/>
            <w:hideMark/>
          </w:tcPr>
          <w:p w14:paraId="181AFBC0"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1.</w:t>
            </w:r>
          </w:p>
        </w:tc>
        <w:tc>
          <w:tcPr>
            <w:tcW w:w="3619" w:type="dxa"/>
            <w:gridSpan w:val="2"/>
            <w:tcBorders>
              <w:top w:val="nil"/>
              <w:left w:val="nil"/>
              <w:bottom w:val="nil"/>
              <w:right w:val="nil"/>
            </w:tcBorders>
            <w:shd w:val="clear" w:color="auto" w:fill="auto"/>
            <w:noWrap/>
            <w:vAlign w:val="bottom"/>
            <w:hideMark/>
          </w:tcPr>
          <w:p w14:paraId="5E38B6AF"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Ischaemic heart disease</w:t>
            </w:r>
          </w:p>
        </w:tc>
        <w:tc>
          <w:tcPr>
            <w:tcW w:w="2914" w:type="dxa"/>
            <w:gridSpan w:val="2"/>
            <w:tcBorders>
              <w:top w:val="nil"/>
              <w:left w:val="nil"/>
              <w:bottom w:val="nil"/>
              <w:right w:val="single" w:sz="4" w:space="0" w:color="auto"/>
            </w:tcBorders>
            <w:shd w:val="clear" w:color="auto" w:fill="auto"/>
            <w:noWrap/>
            <w:vAlign w:val="bottom"/>
            <w:hideMark/>
          </w:tcPr>
          <w:p w14:paraId="40C551C8"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11.58%</w:t>
            </w:r>
          </w:p>
        </w:tc>
        <w:tc>
          <w:tcPr>
            <w:tcW w:w="381" w:type="dxa"/>
            <w:tcBorders>
              <w:top w:val="nil"/>
              <w:left w:val="nil"/>
              <w:bottom w:val="nil"/>
              <w:right w:val="nil"/>
            </w:tcBorders>
            <w:shd w:val="clear" w:color="auto" w:fill="auto"/>
            <w:noWrap/>
            <w:vAlign w:val="bottom"/>
            <w:hideMark/>
          </w:tcPr>
          <w:p w14:paraId="6CDF494F"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1.</w:t>
            </w:r>
          </w:p>
        </w:tc>
        <w:tc>
          <w:tcPr>
            <w:tcW w:w="4565" w:type="dxa"/>
            <w:gridSpan w:val="4"/>
            <w:tcBorders>
              <w:top w:val="nil"/>
              <w:left w:val="nil"/>
              <w:bottom w:val="nil"/>
              <w:right w:val="nil"/>
            </w:tcBorders>
            <w:shd w:val="clear" w:color="auto" w:fill="auto"/>
            <w:noWrap/>
            <w:vAlign w:val="bottom"/>
            <w:hideMark/>
          </w:tcPr>
          <w:p w14:paraId="4D0C4BDE"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Low respiratory infections</w:t>
            </w:r>
          </w:p>
        </w:tc>
        <w:tc>
          <w:tcPr>
            <w:tcW w:w="2508" w:type="dxa"/>
            <w:gridSpan w:val="3"/>
            <w:tcBorders>
              <w:top w:val="nil"/>
              <w:left w:val="nil"/>
              <w:bottom w:val="nil"/>
              <w:right w:val="nil"/>
            </w:tcBorders>
            <w:shd w:val="clear" w:color="auto" w:fill="auto"/>
            <w:noWrap/>
            <w:vAlign w:val="bottom"/>
            <w:hideMark/>
          </w:tcPr>
          <w:p w14:paraId="6BC75A57"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5.2%</w:t>
            </w:r>
          </w:p>
        </w:tc>
      </w:tr>
      <w:tr w:rsidR="00722765" w:rsidRPr="00722765" w14:paraId="11883467" w14:textId="77777777" w:rsidTr="00B943EA">
        <w:trPr>
          <w:trHeight w:val="300"/>
        </w:trPr>
        <w:tc>
          <w:tcPr>
            <w:tcW w:w="381" w:type="dxa"/>
            <w:tcBorders>
              <w:top w:val="nil"/>
              <w:left w:val="nil"/>
              <w:bottom w:val="nil"/>
              <w:right w:val="nil"/>
            </w:tcBorders>
            <w:shd w:val="clear" w:color="auto" w:fill="auto"/>
            <w:noWrap/>
            <w:vAlign w:val="bottom"/>
            <w:hideMark/>
          </w:tcPr>
          <w:p w14:paraId="3F17DD9C"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2.</w:t>
            </w:r>
          </w:p>
        </w:tc>
        <w:tc>
          <w:tcPr>
            <w:tcW w:w="3619" w:type="dxa"/>
            <w:gridSpan w:val="2"/>
            <w:tcBorders>
              <w:top w:val="nil"/>
              <w:left w:val="nil"/>
              <w:bottom w:val="nil"/>
              <w:right w:val="nil"/>
            </w:tcBorders>
            <w:shd w:val="clear" w:color="auto" w:fill="auto"/>
            <w:noWrap/>
            <w:vAlign w:val="bottom"/>
            <w:hideMark/>
          </w:tcPr>
          <w:p w14:paraId="119D8E87"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Stroke</w:t>
            </w:r>
          </w:p>
        </w:tc>
        <w:tc>
          <w:tcPr>
            <w:tcW w:w="2914" w:type="dxa"/>
            <w:gridSpan w:val="2"/>
            <w:tcBorders>
              <w:top w:val="nil"/>
              <w:left w:val="nil"/>
              <w:bottom w:val="nil"/>
              <w:right w:val="single" w:sz="4" w:space="0" w:color="auto"/>
            </w:tcBorders>
            <w:shd w:val="clear" w:color="auto" w:fill="auto"/>
            <w:noWrap/>
            <w:vAlign w:val="bottom"/>
            <w:hideMark/>
          </w:tcPr>
          <w:p w14:paraId="64719740"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5.97%</w:t>
            </w:r>
          </w:p>
        </w:tc>
        <w:tc>
          <w:tcPr>
            <w:tcW w:w="381" w:type="dxa"/>
            <w:tcBorders>
              <w:top w:val="nil"/>
              <w:left w:val="nil"/>
              <w:bottom w:val="nil"/>
              <w:right w:val="nil"/>
            </w:tcBorders>
            <w:shd w:val="clear" w:color="auto" w:fill="auto"/>
            <w:noWrap/>
            <w:vAlign w:val="bottom"/>
            <w:hideMark/>
          </w:tcPr>
          <w:p w14:paraId="74C453A7"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2.</w:t>
            </w:r>
          </w:p>
        </w:tc>
        <w:tc>
          <w:tcPr>
            <w:tcW w:w="4565" w:type="dxa"/>
            <w:gridSpan w:val="4"/>
            <w:tcBorders>
              <w:top w:val="nil"/>
              <w:left w:val="nil"/>
              <w:bottom w:val="nil"/>
              <w:right w:val="nil"/>
            </w:tcBorders>
            <w:shd w:val="clear" w:color="auto" w:fill="auto"/>
            <w:noWrap/>
            <w:vAlign w:val="bottom"/>
            <w:hideMark/>
          </w:tcPr>
          <w:p w14:paraId="2ACA32F8"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Diahrrea</w:t>
            </w:r>
          </w:p>
        </w:tc>
        <w:tc>
          <w:tcPr>
            <w:tcW w:w="2508" w:type="dxa"/>
            <w:gridSpan w:val="3"/>
            <w:tcBorders>
              <w:top w:val="nil"/>
              <w:left w:val="nil"/>
              <w:bottom w:val="nil"/>
              <w:right w:val="nil"/>
            </w:tcBorders>
            <w:shd w:val="clear" w:color="auto" w:fill="auto"/>
            <w:noWrap/>
            <w:vAlign w:val="bottom"/>
            <w:hideMark/>
          </w:tcPr>
          <w:p w14:paraId="2A120CF7"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4.19%</w:t>
            </w:r>
          </w:p>
        </w:tc>
      </w:tr>
      <w:tr w:rsidR="00722765" w:rsidRPr="00722765" w14:paraId="4719D0FC" w14:textId="77777777" w:rsidTr="00B943EA">
        <w:trPr>
          <w:trHeight w:val="300"/>
        </w:trPr>
        <w:tc>
          <w:tcPr>
            <w:tcW w:w="381" w:type="dxa"/>
            <w:tcBorders>
              <w:top w:val="nil"/>
              <w:left w:val="nil"/>
              <w:bottom w:val="nil"/>
              <w:right w:val="nil"/>
            </w:tcBorders>
            <w:shd w:val="clear" w:color="auto" w:fill="auto"/>
            <w:noWrap/>
            <w:vAlign w:val="bottom"/>
            <w:hideMark/>
          </w:tcPr>
          <w:p w14:paraId="314F10A3"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w:t>
            </w:r>
          </w:p>
        </w:tc>
        <w:tc>
          <w:tcPr>
            <w:tcW w:w="3619" w:type="dxa"/>
            <w:gridSpan w:val="2"/>
            <w:tcBorders>
              <w:top w:val="nil"/>
              <w:left w:val="nil"/>
              <w:bottom w:val="nil"/>
              <w:right w:val="nil"/>
            </w:tcBorders>
            <w:shd w:val="clear" w:color="auto" w:fill="auto"/>
            <w:noWrap/>
            <w:vAlign w:val="bottom"/>
            <w:hideMark/>
          </w:tcPr>
          <w:p w14:paraId="413E000D"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Low back pain</w:t>
            </w:r>
          </w:p>
        </w:tc>
        <w:tc>
          <w:tcPr>
            <w:tcW w:w="2914" w:type="dxa"/>
            <w:gridSpan w:val="2"/>
            <w:tcBorders>
              <w:top w:val="nil"/>
              <w:left w:val="nil"/>
              <w:bottom w:val="nil"/>
              <w:right w:val="single" w:sz="4" w:space="0" w:color="auto"/>
            </w:tcBorders>
            <w:shd w:val="clear" w:color="auto" w:fill="auto"/>
            <w:noWrap/>
            <w:vAlign w:val="bottom"/>
            <w:hideMark/>
          </w:tcPr>
          <w:p w14:paraId="0294CD77"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5.8%</w:t>
            </w:r>
          </w:p>
        </w:tc>
        <w:tc>
          <w:tcPr>
            <w:tcW w:w="381" w:type="dxa"/>
            <w:tcBorders>
              <w:top w:val="nil"/>
              <w:left w:val="nil"/>
              <w:bottom w:val="nil"/>
              <w:right w:val="nil"/>
            </w:tcBorders>
            <w:shd w:val="clear" w:color="auto" w:fill="auto"/>
            <w:noWrap/>
            <w:vAlign w:val="bottom"/>
            <w:hideMark/>
          </w:tcPr>
          <w:p w14:paraId="219B006F"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w:t>
            </w:r>
          </w:p>
        </w:tc>
        <w:tc>
          <w:tcPr>
            <w:tcW w:w="4565" w:type="dxa"/>
            <w:gridSpan w:val="4"/>
            <w:tcBorders>
              <w:top w:val="nil"/>
              <w:left w:val="nil"/>
              <w:bottom w:val="nil"/>
              <w:right w:val="nil"/>
            </w:tcBorders>
            <w:shd w:val="clear" w:color="auto" w:fill="auto"/>
            <w:noWrap/>
            <w:vAlign w:val="bottom"/>
            <w:hideMark/>
          </w:tcPr>
          <w:p w14:paraId="526C70A0"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Ischaemic heart disease</w:t>
            </w:r>
          </w:p>
        </w:tc>
        <w:tc>
          <w:tcPr>
            <w:tcW w:w="2508" w:type="dxa"/>
            <w:gridSpan w:val="3"/>
            <w:tcBorders>
              <w:top w:val="nil"/>
              <w:left w:val="nil"/>
              <w:bottom w:val="nil"/>
              <w:right w:val="nil"/>
            </w:tcBorders>
            <w:shd w:val="clear" w:color="auto" w:fill="auto"/>
            <w:noWrap/>
            <w:vAlign w:val="bottom"/>
            <w:hideMark/>
          </w:tcPr>
          <w:p w14:paraId="252993DA"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4.08%</w:t>
            </w:r>
          </w:p>
        </w:tc>
      </w:tr>
      <w:tr w:rsidR="00722765" w:rsidRPr="00722765" w14:paraId="4B4C77E7" w14:textId="77777777" w:rsidTr="00B943EA">
        <w:trPr>
          <w:trHeight w:val="300"/>
        </w:trPr>
        <w:tc>
          <w:tcPr>
            <w:tcW w:w="381" w:type="dxa"/>
            <w:tcBorders>
              <w:top w:val="nil"/>
              <w:left w:val="nil"/>
              <w:bottom w:val="nil"/>
              <w:right w:val="nil"/>
            </w:tcBorders>
            <w:shd w:val="clear" w:color="auto" w:fill="auto"/>
            <w:noWrap/>
            <w:vAlign w:val="bottom"/>
            <w:hideMark/>
          </w:tcPr>
          <w:p w14:paraId="447335A1"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lastRenderedPageBreak/>
              <w:t>4.</w:t>
            </w:r>
          </w:p>
        </w:tc>
        <w:tc>
          <w:tcPr>
            <w:tcW w:w="3619" w:type="dxa"/>
            <w:gridSpan w:val="2"/>
            <w:tcBorders>
              <w:top w:val="nil"/>
              <w:left w:val="nil"/>
              <w:bottom w:val="nil"/>
              <w:right w:val="nil"/>
            </w:tcBorders>
            <w:shd w:val="clear" w:color="auto" w:fill="auto"/>
            <w:noWrap/>
            <w:vAlign w:val="bottom"/>
            <w:hideMark/>
          </w:tcPr>
          <w:p w14:paraId="12DD326A"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Major depressive disorder</w:t>
            </w:r>
          </w:p>
        </w:tc>
        <w:tc>
          <w:tcPr>
            <w:tcW w:w="2914" w:type="dxa"/>
            <w:gridSpan w:val="2"/>
            <w:tcBorders>
              <w:top w:val="nil"/>
              <w:left w:val="nil"/>
              <w:bottom w:val="nil"/>
              <w:right w:val="single" w:sz="4" w:space="0" w:color="auto"/>
            </w:tcBorders>
            <w:shd w:val="clear" w:color="auto" w:fill="auto"/>
            <w:noWrap/>
            <w:vAlign w:val="bottom"/>
            <w:hideMark/>
          </w:tcPr>
          <w:p w14:paraId="4AE3C694"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3.42%</w:t>
            </w:r>
          </w:p>
        </w:tc>
        <w:tc>
          <w:tcPr>
            <w:tcW w:w="381" w:type="dxa"/>
            <w:tcBorders>
              <w:top w:val="nil"/>
              <w:left w:val="nil"/>
              <w:bottom w:val="nil"/>
              <w:right w:val="nil"/>
            </w:tcBorders>
            <w:shd w:val="clear" w:color="auto" w:fill="auto"/>
            <w:noWrap/>
            <w:vAlign w:val="bottom"/>
            <w:hideMark/>
          </w:tcPr>
          <w:p w14:paraId="1F45ECD7"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4.</w:t>
            </w:r>
          </w:p>
        </w:tc>
        <w:tc>
          <w:tcPr>
            <w:tcW w:w="4565" w:type="dxa"/>
            <w:gridSpan w:val="4"/>
            <w:tcBorders>
              <w:top w:val="nil"/>
              <w:left w:val="nil"/>
              <w:bottom w:val="nil"/>
              <w:right w:val="nil"/>
            </w:tcBorders>
            <w:shd w:val="clear" w:color="auto" w:fill="auto"/>
            <w:noWrap/>
            <w:vAlign w:val="bottom"/>
            <w:hideMark/>
          </w:tcPr>
          <w:p w14:paraId="589BBC1C"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Malaria</w:t>
            </w:r>
          </w:p>
        </w:tc>
        <w:tc>
          <w:tcPr>
            <w:tcW w:w="2508" w:type="dxa"/>
            <w:gridSpan w:val="3"/>
            <w:tcBorders>
              <w:top w:val="nil"/>
              <w:left w:val="nil"/>
              <w:bottom w:val="nil"/>
              <w:right w:val="nil"/>
            </w:tcBorders>
            <w:shd w:val="clear" w:color="auto" w:fill="auto"/>
            <w:noWrap/>
            <w:vAlign w:val="bottom"/>
            <w:hideMark/>
          </w:tcPr>
          <w:p w14:paraId="698C6D5D"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3.79%</w:t>
            </w:r>
          </w:p>
        </w:tc>
      </w:tr>
      <w:tr w:rsidR="00722765" w:rsidRPr="00722765" w14:paraId="3D4DE495" w14:textId="77777777" w:rsidTr="00B943EA">
        <w:trPr>
          <w:trHeight w:val="300"/>
        </w:trPr>
        <w:tc>
          <w:tcPr>
            <w:tcW w:w="381" w:type="dxa"/>
            <w:tcBorders>
              <w:top w:val="nil"/>
              <w:left w:val="nil"/>
              <w:bottom w:val="single" w:sz="4" w:space="0" w:color="auto"/>
              <w:right w:val="nil"/>
            </w:tcBorders>
            <w:shd w:val="clear" w:color="auto" w:fill="auto"/>
            <w:noWrap/>
            <w:vAlign w:val="bottom"/>
            <w:hideMark/>
          </w:tcPr>
          <w:p w14:paraId="4FA0C111"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5.</w:t>
            </w:r>
          </w:p>
        </w:tc>
        <w:tc>
          <w:tcPr>
            <w:tcW w:w="3619" w:type="dxa"/>
            <w:gridSpan w:val="2"/>
            <w:tcBorders>
              <w:top w:val="nil"/>
              <w:left w:val="nil"/>
              <w:bottom w:val="single" w:sz="4" w:space="0" w:color="auto"/>
              <w:right w:val="nil"/>
            </w:tcBorders>
            <w:shd w:val="clear" w:color="auto" w:fill="auto"/>
            <w:noWrap/>
            <w:vAlign w:val="bottom"/>
            <w:hideMark/>
          </w:tcPr>
          <w:p w14:paraId="651B9572"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Trachea, bronchus and lung cancers</w:t>
            </w:r>
          </w:p>
        </w:tc>
        <w:tc>
          <w:tcPr>
            <w:tcW w:w="2914" w:type="dxa"/>
            <w:gridSpan w:val="2"/>
            <w:tcBorders>
              <w:top w:val="nil"/>
              <w:left w:val="nil"/>
              <w:bottom w:val="single" w:sz="4" w:space="0" w:color="auto"/>
              <w:right w:val="single" w:sz="4" w:space="0" w:color="auto"/>
            </w:tcBorders>
            <w:shd w:val="clear" w:color="auto" w:fill="auto"/>
            <w:noWrap/>
            <w:vAlign w:val="bottom"/>
            <w:hideMark/>
          </w:tcPr>
          <w:p w14:paraId="6E41224F"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3.18%</w:t>
            </w:r>
          </w:p>
        </w:tc>
        <w:tc>
          <w:tcPr>
            <w:tcW w:w="381" w:type="dxa"/>
            <w:tcBorders>
              <w:top w:val="nil"/>
              <w:left w:val="nil"/>
              <w:bottom w:val="single" w:sz="4" w:space="0" w:color="auto"/>
              <w:right w:val="nil"/>
            </w:tcBorders>
            <w:shd w:val="clear" w:color="auto" w:fill="auto"/>
            <w:noWrap/>
            <w:vAlign w:val="bottom"/>
            <w:hideMark/>
          </w:tcPr>
          <w:p w14:paraId="53CE201E"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5.</w:t>
            </w:r>
          </w:p>
        </w:tc>
        <w:tc>
          <w:tcPr>
            <w:tcW w:w="4565" w:type="dxa"/>
            <w:gridSpan w:val="4"/>
            <w:tcBorders>
              <w:top w:val="nil"/>
              <w:left w:val="nil"/>
              <w:bottom w:val="single" w:sz="4" w:space="0" w:color="auto"/>
              <w:right w:val="nil"/>
            </w:tcBorders>
            <w:shd w:val="clear" w:color="auto" w:fill="auto"/>
            <w:noWrap/>
            <w:vAlign w:val="bottom"/>
            <w:hideMark/>
          </w:tcPr>
          <w:p w14:paraId="25B2FCA3" w14:textId="777777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HIV</w:t>
            </w:r>
          </w:p>
        </w:tc>
        <w:tc>
          <w:tcPr>
            <w:tcW w:w="2508" w:type="dxa"/>
            <w:gridSpan w:val="3"/>
            <w:tcBorders>
              <w:top w:val="nil"/>
              <w:left w:val="nil"/>
              <w:bottom w:val="single" w:sz="4" w:space="0" w:color="auto"/>
              <w:right w:val="nil"/>
            </w:tcBorders>
            <w:shd w:val="clear" w:color="auto" w:fill="auto"/>
            <w:noWrap/>
            <w:vAlign w:val="bottom"/>
            <w:hideMark/>
          </w:tcPr>
          <w:p w14:paraId="5E92B59B" w14:textId="77777777" w:rsidR="00722765" w:rsidRPr="00722765" w:rsidRDefault="00722765" w:rsidP="009C7054">
            <w:pPr>
              <w:spacing w:line="480" w:lineRule="auto"/>
              <w:jc w:val="right"/>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3.67%</w:t>
            </w:r>
          </w:p>
        </w:tc>
      </w:tr>
      <w:tr w:rsidR="00722765" w:rsidRPr="00722765" w14:paraId="70512B2F" w14:textId="77777777" w:rsidTr="00B943EA">
        <w:trPr>
          <w:gridAfter w:val="2"/>
          <w:wAfter w:w="236" w:type="dxa"/>
          <w:trHeight w:val="300"/>
        </w:trPr>
        <w:tc>
          <w:tcPr>
            <w:tcW w:w="14132" w:type="dxa"/>
            <w:gridSpan w:val="11"/>
            <w:tcBorders>
              <w:top w:val="nil"/>
              <w:left w:val="nil"/>
              <w:bottom w:val="nil"/>
              <w:right w:val="nil"/>
            </w:tcBorders>
            <w:shd w:val="clear" w:color="auto" w:fill="auto"/>
            <w:noWrap/>
            <w:vAlign w:val="bottom"/>
            <w:hideMark/>
          </w:tcPr>
          <w:p w14:paraId="704709D5" w14:textId="268FCF77" w:rsidR="00722765" w:rsidRPr="00722765" w:rsidRDefault="00722765" w:rsidP="009C7054">
            <w:pPr>
              <w:spacing w:line="480" w:lineRule="auto"/>
              <w:rPr>
                <w:rFonts w:eastAsia="Times New Roman" w:cs="Times New Roman"/>
                <w:color w:val="000000"/>
                <w:sz w:val="22"/>
                <w:szCs w:val="22"/>
                <w:lang w:val="en-GB" w:eastAsia="en-GB"/>
              </w:rPr>
            </w:pPr>
            <w:r w:rsidRPr="00722765">
              <w:rPr>
                <w:rFonts w:eastAsia="Times New Roman" w:cs="Times New Roman"/>
                <w:color w:val="000000"/>
                <w:sz w:val="22"/>
                <w:szCs w:val="22"/>
                <w:lang w:val="en-GB" w:eastAsia="en-GB"/>
              </w:rPr>
              <w:t xml:space="preserve">Note: Number of NCEs and average sales for the period between 1990 and 2007 are provided by </w:t>
            </w:r>
            <w:r w:rsidR="00917902" w:rsidRPr="00722765">
              <w:rPr>
                <w:rFonts w:eastAsia="Times New Roman" w:cs="Times New Roman"/>
                <w:color w:val="000000"/>
                <w:sz w:val="22"/>
                <w:szCs w:val="22"/>
                <w:lang w:val="en-GB" w:eastAsia="en-GB"/>
              </w:rPr>
              <w:t>Pammolli et al. (2011) in the last update  about the breakdown of  R&amp;D effort by the pharmaceutical industry</w:t>
            </w:r>
            <w:r w:rsidR="00917902">
              <w:rPr>
                <w:rFonts w:eastAsia="Times New Roman" w:cs="Times New Roman"/>
                <w:color w:val="000000"/>
                <w:sz w:val="22"/>
                <w:szCs w:val="22"/>
                <w:lang w:val="en-GB" w:eastAsia="en-GB"/>
              </w:rPr>
              <w:t xml:space="preserve"> </w:t>
            </w:r>
            <w:r w:rsidR="00917902" w:rsidRPr="00722765">
              <w:rPr>
                <w:rFonts w:eastAsia="Times New Roman" w:cs="Times New Roman"/>
                <w:color w:val="000000"/>
                <w:sz w:val="22"/>
                <w:szCs w:val="22"/>
                <w:lang w:val="en-GB" w:eastAsia="en-GB"/>
              </w:rPr>
              <w:t>at therapeutic level. Top 5 causes of disease burden for developed and developing countries are available online</w:t>
            </w:r>
            <w:r w:rsidR="00F37CAF">
              <w:rPr>
                <w:rFonts w:eastAsia="Times New Roman" w:cs="Times New Roman"/>
                <w:color w:val="000000"/>
                <w:sz w:val="22"/>
                <w:szCs w:val="22"/>
                <w:lang w:val="en-GB" w:eastAsia="en-GB"/>
              </w:rPr>
              <w:t xml:space="preserve"> </w:t>
            </w:r>
            <w:r w:rsidR="00F37CAF" w:rsidRPr="00722765">
              <w:rPr>
                <w:rFonts w:eastAsia="Times New Roman" w:cs="Times New Roman"/>
                <w:color w:val="000000"/>
                <w:sz w:val="22"/>
                <w:szCs w:val="22"/>
                <w:lang w:val="en-GB" w:eastAsia="en-GB"/>
              </w:rPr>
              <w:t>at http://vizhub.healthdata.org/gbd-compare/ Global Disease  Burden study (IHME, 2013) and documented</w:t>
            </w:r>
            <w:r w:rsidR="00F37CAF">
              <w:rPr>
                <w:rFonts w:eastAsia="Times New Roman" w:cs="Times New Roman"/>
                <w:color w:val="000000"/>
                <w:sz w:val="22"/>
                <w:szCs w:val="22"/>
                <w:lang w:val="en-GB" w:eastAsia="en-GB"/>
              </w:rPr>
              <w:t xml:space="preserve"> </w:t>
            </w:r>
            <w:r w:rsidR="00F37CAF" w:rsidRPr="00722765">
              <w:rPr>
                <w:rFonts w:eastAsia="Times New Roman" w:cs="Times New Roman"/>
                <w:color w:val="000000"/>
                <w:sz w:val="22"/>
                <w:szCs w:val="22"/>
                <w:lang w:val="en-GB" w:eastAsia="en-GB"/>
              </w:rPr>
              <w:t>in Murray et al. (2013).  The categorization of</w:t>
            </w:r>
            <w:r w:rsidR="00F37CAF">
              <w:rPr>
                <w:rFonts w:eastAsia="Times New Roman" w:cs="Times New Roman"/>
                <w:color w:val="000000"/>
                <w:sz w:val="22"/>
                <w:szCs w:val="22"/>
                <w:lang w:val="en-GB" w:eastAsia="en-GB"/>
              </w:rPr>
              <w:t xml:space="preserve"> </w:t>
            </w:r>
            <w:r w:rsidR="00F37CAF" w:rsidRPr="00722765">
              <w:rPr>
                <w:rFonts w:eastAsia="Times New Roman" w:cs="Times New Roman"/>
                <w:color w:val="000000"/>
                <w:sz w:val="22"/>
                <w:szCs w:val="22"/>
                <w:lang w:val="en-GB" w:eastAsia="en-GB"/>
              </w:rPr>
              <w:t>developed and dev</w:t>
            </w:r>
            <w:r w:rsidR="00F37CAF">
              <w:rPr>
                <w:rFonts w:eastAsia="Times New Roman" w:cs="Times New Roman"/>
                <w:color w:val="000000"/>
                <w:sz w:val="22"/>
                <w:szCs w:val="22"/>
                <w:lang w:val="en-GB" w:eastAsia="en-GB"/>
              </w:rPr>
              <w:t>e</w:t>
            </w:r>
            <w:r w:rsidR="00F37CAF" w:rsidRPr="00722765">
              <w:rPr>
                <w:rFonts w:eastAsia="Times New Roman" w:cs="Times New Roman"/>
                <w:color w:val="000000"/>
                <w:sz w:val="22"/>
                <w:szCs w:val="22"/>
                <w:lang w:val="en-GB" w:eastAsia="en-GB"/>
              </w:rPr>
              <w:t xml:space="preserve">loping </w:t>
            </w:r>
            <w:r w:rsidR="00F37CAF">
              <w:rPr>
                <w:rFonts w:eastAsia="Times New Roman" w:cs="Times New Roman"/>
                <w:color w:val="000000"/>
                <w:sz w:val="22"/>
                <w:szCs w:val="22"/>
                <w:lang w:val="en-GB" w:eastAsia="en-GB"/>
              </w:rPr>
              <w:t>countries</w:t>
            </w:r>
            <w:r w:rsidR="00F37CAF" w:rsidRPr="00722765">
              <w:rPr>
                <w:rFonts w:eastAsia="Times New Roman" w:cs="Times New Roman"/>
                <w:color w:val="000000"/>
                <w:sz w:val="22"/>
                <w:szCs w:val="22"/>
                <w:lang w:val="en-GB" w:eastAsia="en-GB"/>
              </w:rPr>
              <w:t xml:space="preserve"> follows the United Nations</w:t>
            </w:r>
            <w:r w:rsidR="00F37CAF">
              <w:rPr>
                <w:rFonts w:eastAsia="Times New Roman" w:cs="Times New Roman"/>
                <w:color w:val="000000"/>
                <w:sz w:val="22"/>
                <w:szCs w:val="22"/>
                <w:lang w:val="en-GB" w:eastAsia="en-GB"/>
              </w:rPr>
              <w:t xml:space="preserve"> (United Nations, 2017) </w:t>
            </w:r>
            <w:r w:rsidR="00F37CAF" w:rsidRPr="00722765">
              <w:rPr>
                <w:rFonts w:eastAsia="Times New Roman" w:cs="Times New Roman"/>
                <w:color w:val="000000"/>
                <w:sz w:val="22"/>
                <w:szCs w:val="22"/>
                <w:lang w:val="en-GB" w:eastAsia="en-GB"/>
              </w:rPr>
              <w:t>classification available at</w:t>
            </w:r>
            <w:r w:rsidR="00F37CAF">
              <w:rPr>
                <w:rFonts w:eastAsia="Times New Roman" w:cs="Times New Roman"/>
                <w:color w:val="000000"/>
                <w:sz w:val="22"/>
                <w:szCs w:val="22"/>
                <w:lang w:val="en-GB" w:eastAsia="en-GB"/>
              </w:rPr>
              <w:t xml:space="preserve"> </w:t>
            </w:r>
            <w:r w:rsidR="00F37CAF" w:rsidRPr="00722765">
              <w:rPr>
                <w:rFonts w:eastAsia="Times New Roman" w:cs="Times New Roman"/>
                <w:color w:val="000000"/>
                <w:sz w:val="22"/>
                <w:szCs w:val="22"/>
                <w:lang w:val="en-GB" w:eastAsia="en-GB"/>
              </w:rPr>
              <w:t>http://unstats.un.org/unsd/methods/m49/m49regin.htm#developed.</w:t>
            </w:r>
          </w:p>
        </w:tc>
      </w:tr>
    </w:tbl>
    <w:p w14:paraId="588CB199" w14:textId="77777777" w:rsidR="00E268E6" w:rsidRDefault="00E268E6" w:rsidP="009C7054">
      <w:pPr>
        <w:spacing w:line="480" w:lineRule="auto"/>
        <w:jc w:val="both"/>
        <w:rPr>
          <w:rFonts w:cs="Times New Roman"/>
          <w:sz w:val="20"/>
          <w:szCs w:val="20"/>
          <w:lang w:val="en-GB"/>
        </w:rPr>
      </w:pPr>
    </w:p>
    <w:p w14:paraId="570903C0" w14:textId="52B2E8FE" w:rsidR="003D1DCF" w:rsidRDefault="003D1DCF" w:rsidP="009C7054">
      <w:pPr>
        <w:spacing w:line="480" w:lineRule="auto"/>
        <w:rPr>
          <w:rFonts w:cs="Times New Roman"/>
          <w:sz w:val="20"/>
          <w:szCs w:val="20"/>
          <w:lang w:val="en-GB"/>
        </w:rPr>
      </w:pPr>
      <w:r>
        <w:rPr>
          <w:rFonts w:cs="Times New Roman"/>
          <w:sz w:val="20"/>
          <w:szCs w:val="20"/>
          <w:lang w:val="en-GB"/>
        </w:rPr>
        <w:br w:type="page"/>
      </w:r>
    </w:p>
    <w:p w14:paraId="7F2C0693" w14:textId="445794D3" w:rsidR="001023E0" w:rsidRPr="00F42730" w:rsidRDefault="003043C1" w:rsidP="009C7054">
      <w:pPr>
        <w:spacing w:line="480" w:lineRule="auto"/>
        <w:jc w:val="both"/>
        <w:rPr>
          <w:rFonts w:cs="Times New Roman"/>
          <w:bCs/>
          <w:sz w:val="22"/>
          <w:szCs w:val="20"/>
        </w:rPr>
      </w:pPr>
      <w:r w:rsidRPr="00F42730">
        <w:rPr>
          <w:rFonts w:cs="Times New Roman"/>
          <w:bCs/>
          <w:sz w:val="22"/>
          <w:szCs w:val="20"/>
        </w:rPr>
        <w:lastRenderedPageBreak/>
        <w:t xml:space="preserve">Table II: </w:t>
      </w:r>
      <w:r w:rsidR="00785C9D">
        <w:rPr>
          <w:rFonts w:cs="Times New Roman"/>
          <w:bCs/>
          <w:sz w:val="22"/>
          <w:szCs w:val="20"/>
        </w:rPr>
        <w:t xml:space="preserve">List of </w:t>
      </w:r>
      <w:r w:rsidR="001023E0" w:rsidRPr="00F42730">
        <w:rPr>
          <w:rFonts w:cs="Times New Roman"/>
          <w:bCs/>
          <w:sz w:val="22"/>
          <w:szCs w:val="20"/>
        </w:rPr>
        <w:t>Neglected Tropical Diseases</w:t>
      </w:r>
    </w:p>
    <w:tbl>
      <w:tblPr>
        <w:tblW w:w="5529" w:type="dxa"/>
        <w:tblLook w:val="04A0" w:firstRow="1" w:lastRow="0" w:firstColumn="1" w:lastColumn="0" w:noHBand="0" w:noVBand="1"/>
      </w:tblPr>
      <w:tblGrid>
        <w:gridCol w:w="2694"/>
        <w:gridCol w:w="2835"/>
      </w:tblGrid>
      <w:tr w:rsidR="00F42730" w:rsidRPr="00F42730" w14:paraId="0D00F922" w14:textId="77777777" w:rsidTr="00F42730">
        <w:trPr>
          <w:trHeight w:val="300"/>
        </w:trPr>
        <w:tc>
          <w:tcPr>
            <w:tcW w:w="5529" w:type="dxa"/>
            <w:gridSpan w:val="2"/>
            <w:tcBorders>
              <w:top w:val="single" w:sz="4" w:space="0" w:color="auto"/>
              <w:left w:val="nil"/>
              <w:bottom w:val="single" w:sz="4" w:space="0" w:color="auto"/>
              <w:right w:val="nil"/>
            </w:tcBorders>
            <w:shd w:val="clear" w:color="auto" w:fill="auto"/>
            <w:noWrap/>
            <w:vAlign w:val="bottom"/>
            <w:hideMark/>
          </w:tcPr>
          <w:p w14:paraId="50EC1C28" w14:textId="77777777" w:rsidR="00F42730" w:rsidRPr="00F42730" w:rsidRDefault="00F42730" w:rsidP="009C7054">
            <w:pPr>
              <w:spacing w:line="480" w:lineRule="auto"/>
              <w:jc w:val="center"/>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Neglected Tropical Diseases</w:t>
            </w:r>
          </w:p>
        </w:tc>
      </w:tr>
      <w:tr w:rsidR="00F42730" w:rsidRPr="00F42730" w14:paraId="02328B1F" w14:textId="77777777" w:rsidTr="00F42730">
        <w:trPr>
          <w:trHeight w:val="300"/>
        </w:trPr>
        <w:tc>
          <w:tcPr>
            <w:tcW w:w="2694" w:type="dxa"/>
            <w:tcBorders>
              <w:top w:val="nil"/>
              <w:left w:val="nil"/>
              <w:bottom w:val="nil"/>
              <w:right w:val="nil"/>
            </w:tcBorders>
            <w:shd w:val="clear" w:color="auto" w:fill="auto"/>
            <w:noWrap/>
            <w:vAlign w:val="bottom"/>
            <w:hideMark/>
          </w:tcPr>
          <w:p w14:paraId="79625594"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African Sleeping Sickness</w:t>
            </w:r>
          </w:p>
        </w:tc>
        <w:tc>
          <w:tcPr>
            <w:tcW w:w="2835" w:type="dxa"/>
            <w:tcBorders>
              <w:top w:val="nil"/>
              <w:left w:val="nil"/>
              <w:bottom w:val="nil"/>
              <w:right w:val="nil"/>
            </w:tcBorders>
            <w:shd w:val="clear" w:color="auto" w:fill="auto"/>
            <w:noWrap/>
            <w:vAlign w:val="bottom"/>
            <w:hideMark/>
          </w:tcPr>
          <w:p w14:paraId="4C7A12DD"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Leprosy</w:t>
            </w:r>
          </w:p>
        </w:tc>
      </w:tr>
      <w:tr w:rsidR="00F42730" w:rsidRPr="00F42730" w14:paraId="22F87590" w14:textId="77777777" w:rsidTr="00F42730">
        <w:trPr>
          <w:trHeight w:val="300"/>
        </w:trPr>
        <w:tc>
          <w:tcPr>
            <w:tcW w:w="2694" w:type="dxa"/>
            <w:tcBorders>
              <w:top w:val="nil"/>
              <w:left w:val="nil"/>
              <w:bottom w:val="nil"/>
              <w:right w:val="nil"/>
            </w:tcBorders>
            <w:shd w:val="clear" w:color="auto" w:fill="auto"/>
            <w:noWrap/>
            <w:vAlign w:val="bottom"/>
            <w:hideMark/>
          </w:tcPr>
          <w:p w14:paraId="680FC7C7"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 xml:space="preserve"> Buruli ulcer</w:t>
            </w:r>
          </w:p>
        </w:tc>
        <w:tc>
          <w:tcPr>
            <w:tcW w:w="2835" w:type="dxa"/>
            <w:tcBorders>
              <w:top w:val="nil"/>
              <w:left w:val="nil"/>
              <w:bottom w:val="nil"/>
              <w:right w:val="nil"/>
            </w:tcBorders>
            <w:shd w:val="clear" w:color="auto" w:fill="auto"/>
            <w:noWrap/>
            <w:vAlign w:val="bottom"/>
            <w:hideMark/>
          </w:tcPr>
          <w:p w14:paraId="406FFAE2"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Lymphatic filariasis</w:t>
            </w:r>
          </w:p>
        </w:tc>
      </w:tr>
      <w:tr w:rsidR="00F42730" w:rsidRPr="00F42730" w14:paraId="2D59FE28" w14:textId="77777777" w:rsidTr="00F42730">
        <w:trPr>
          <w:trHeight w:val="300"/>
        </w:trPr>
        <w:tc>
          <w:tcPr>
            <w:tcW w:w="2694" w:type="dxa"/>
            <w:tcBorders>
              <w:top w:val="nil"/>
              <w:left w:val="nil"/>
              <w:bottom w:val="nil"/>
              <w:right w:val="nil"/>
            </w:tcBorders>
            <w:shd w:val="clear" w:color="auto" w:fill="auto"/>
            <w:noWrap/>
            <w:vAlign w:val="bottom"/>
            <w:hideMark/>
          </w:tcPr>
          <w:p w14:paraId="30C2D767"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Chagas disease</w:t>
            </w:r>
          </w:p>
        </w:tc>
        <w:tc>
          <w:tcPr>
            <w:tcW w:w="2835" w:type="dxa"/>
            <w:tcBorders>
              <w:top w:val="nil"/>
              <w:left w:val="nil"/>
              <w:bottom w:val="nil"/>
              <w:right w:val="nil"/>
            </w:tcBorders>
            <w:shd w:val="clear" w:color="auto" w:fill="auto"/>
            <w:noWrap/>
            <w:vAlign w:val="bottom"/>
            <w:hideMark/>
          </w:tcPr>
          <w:p w14:paraId="3DCE45D6"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Malaria</w:t>
            </w:r>
          </w:p>
        </w:tc>
      </w:tr>
      <w:tr w:rsidR="00F42730" w:rsidRPr="00F42730" w14:paraId="765526EA" w14:textId="77777777" w:rsidTr="00F42730">
        <w:trPr>
          <w:trHeight w:val="300"/>
        </w:trPr>
        <w:tc>
          <w:tcPr>
            <w:tcW w:w="2694" w:type="dxa"/>
            <w:tcBorders>
              <w:top w:val="nil"/>
              <w:left w:val="nil"/>
              <w:bottom w:val="nil"/>
              <w:right w:val="nil"/>
            </w:tcBorders>
            <w:shd w:val="clear" w:color="auto" w:fill="auto"/>
            <w:noWrap/>
            <w:vAlign w:val="bottom"/>
            <w:hideMark/>
          </w:tcPr>
          <w:p w14:paraId="70780F15"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Cysticercosis</w:t>
            </w:r>
          </w:p>
        </w:tc>
        <w:tc>
          <w:tcPr>
            <w:tcW w:w="2835" w:type="dxa"/>
            <w:tcBorders>
              <w:top w:val="nil"/>
              <w:left w:val="nil"/>
              <w:bottom w:val="nil"/>
              <w:right w:val="nil"/>
            </w:tcBorders>
            <w:shd w:val="clear" w:color="auto" w:fill="auto"/>
            <w:noWrap/>
            <w:vAlign w:val="bottom"/>
            <w:hideMark/>
          </w:tcPr>
          <w:p w14:paraId="48E78E91"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Onchocerciasis</w:t>
            </w:r>
          </w:p>
        </w:tc>
      </w:tr>
      <w:tr w:rsidR="00F42730" w:rsidRPr="00F42730" w14:paraId="4B90E630" w14:textId="77777777" w:rsidTr="00F42730">
        <w:trPr>
          <w:trHeight w:val="300"/>
        </w:trPr>
        <w:tc>
          <w:tcPr>
            <w:tcW w:w="2694" w:type="dxa"/>
            <w:tcBorders>
              <w:top w:val="nil"/>
              <w:left w:val="nil"/>
              <w:bottom w:val="nil"/>
              <w:right w:val="nil"/>
            </w:tcBorders>
            <w:shd w:val="clear" w:color="auto" w:fill="auto"/>
            <w:noWrap/>
            <w:vAlign w:val="bottom"/>
            <w:hideMark/>
          </w:tcPr>
          <w:p w14:paraId="3BC2E1D5"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Dengue fever</w:t>
            </w:r>
          </w:p>
        </w:tc>
        <w:tc>
          <w:tcPr>
            <w:tcW w:w="2835" w:type="dxa"/>
            <w:tcBorders>
              <w:top w:val="nil"/>
              <w:left w:val="nil"/>
              <w:bottom w:val="nil"/>
              <w:right w:val="nil"/>
            </w:tcBorders>
            <w:shd w:val="clear" w:color="auto" w:fill="auto"/>
            <w:noWrap/>
            <w:vAlign w:val="bottom"/>
            <w:hideMark/>
          </w:tcPr>
          <w:p w14:paraId="3E5E87EA"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Rabies</w:t>
            </w:r>
          </w:p>
        </w:tc>
      </w:tr>
      <w:tr w:rsidR="00F42730" w:rsidRPr="00F42730" w14:paraId="2CA11676" w14:textId="77777777" w:rsidTr="00F42730">
        <w:trPr>
          <w:trHeight w:val="300"/>
        </w:trPr>
        <w:tc>
          <w:tcPr>
            <w:tcW w:w="2694" w:type="dxa"/>
            <w:tcBorders>
              <w:top w:val="nil"/>
              <w:left w:val="nil"/>
              <w:bottom w:val="nil"/>
              <w:right w:val="nil"/>
            </w:tcBorders>
            <w:shd w:val="clear" w:color="auto" w:fill="auto"/>
            <w:noWrap/>
            <w:vAlign w:val="bottom"/>
            <w:hideMark/>
          </w:tcPr>
          <w:p w14:paraId="10DB9289"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Dracunculiasis</w:t>
            </w:r>
          </w:p>
        </w:tc>
        <w:tc>
          <w:tcPr>
            <w:tcW w:w="2835" w:type="dxa"/>
            <w:tcBorders>
              <w:top w:val="nil"/>
              <w:left w:val="nil"/>
              <w:bottom w:val="nil"/>
              <w:right w:val="nil"/>
            </w:tcBorders>
            <w:shd w:val="clear" w:color="auto" w:fill="auto"/>
            <w:noWrap/>
            <w:vAlign w:val="bottom"/>
            <w:hideMark/>
          </w:tcPr>
          <w:p w14:paraId="5291561A"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Schistosomiasis</w:t>
            </w:r>
          </w:p>
        </w:tc>
      </w:tr>
      <w:tr w:rsidR="00F42730" w:rsidRPr="00F42730" w14:paraId="7E877A27" w14:textId="77777777" w:rsidTr="00F42730">
        <w:trPr>
          <w:trHeight w:val="300"/>
        </w:trPr>
        <w:tc>
          <w:tcPr>
            <w:tcW w:w="2694" w:type="dxa"/>
            <w:tcBorders>
              <w:top w:val="nil"/>
              <w:left w:val="nil"/>
              <w:bottom w:val="nil"/>
              <w:right w:val="nil"/>
            </w:tcBorders>
            <w:shd w:val="clear" w:color="auto" w:fill="auto"/>
            <w:noWrap/>
            <w:vAlign w:val="bottom"/>
            <w:hideMark/>
          </w:tcPr>
          <w:p w14:paraId="3AE77FBD"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Echinococcosis</w:t>
            </w:r>
          </w:p>
        </w:tc>
        <w:tc>
          <w:tcPr>
            <w:tcW w:w="2835" w:type="dxa"/>
            <w:tcBorders>
              <w:top w:val="nil"/>
              <w:left w:val="nil"/>
              <w:bottom w:val="nil"/>
              <w:right w:val="nil"/>
            </w:tcBorders>
            <w:shd w:val="clear" w:color="auto" w:fill="auto"/>
            <w:noWrap/>
            <w:vAlign w:val="bottom"/>
            <w:hideMark/>
          </w:tcPr>
          <w:p w14:paraId="5E1C4B74"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Soil-transmitted helminthes</w:t>
            </w:r>
          </w:p>
        </w:tc>
      </w:tr>
      <w:tr w:rsidR="00F42730" w:rsidRPr="00F42730" w14:paraId="23832825" w14:textId="77777777" w:rsidTr="00F42730">
        <w:trPr>
          <w:trHeight w:val="300"/>
        </w:trPr>
        <w:tc>
          <w:tcPr>
            <w:tcW w:w="2694" w:type="dxa"/>
            <w:tcBorders>
              <w:top w:val="nil"/>
              <w:left w:val="nil"/>
              <w:bottom w:val="nil"/>
              <w:right w:val="nil"/>
            </w:tcBorders>
            <w:shd w:val="clear" w:color="auto" w:fill="auto"/>
            <w:noWrap/>
            <w:vAlign w:val="bottom"/>
            <w:hideMark/>
          </w:tcPr>
          <w:p w14:paraId="2E662248"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Fascioliasis</w:t>
            </w:r>
          </w:p>
        </w:tc>
        <w:tc>
          <w:tcPr>
            <w:tcW w:w="2835" w:type="dxa"/>
            <w:tcBorders>
              <w:top w:val="nil"/>
              <w:left w:val="nil"/>
              <w:bottom w:val="nil"/>
              <w:right w:val="nil"/>
            </w:tcBorders>
            <w:shd w:val="clear" w:color="auto" w:fill="auto"/>
            <w:noWrap/>
            <w:vAlign w:val="bottom"/>
            <w:hideMark/>
          </w:tcPr>
          <w:p w14:paraId="1F3DDE3A"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Trachoma</w:t>
            </w:r>
          </w:p>
        </w:tc>
      </w:tr>
      <w:tr w:rsidR="00F42730" w:rsidRPr="00F42730" w14:paraId="401D906D" w14:textId="77777777" w:rsidTr="00F42730">
        <w:trPr>
          <w:trHeight w:val="300"/>
        </w:trPr>
        <w:tc>
          <w:tcPr>
            <w:tcW w:w="2694" w:type="dxa"/>
            <w:tcBorders>
              <w:top w:val="nil"/>
              <w:left w:val="nil"/>
              <w:bottom w:val="single" w:sz="4" w:space="0" w:color="auto"/>
              <w:right w:val="nil"/>
            </w:tcBorders>
            <w:shd w:val="clear" w:color="auto" w:fill="auto"/>
            <w:noWrap/>
            <w:vAlign w:val="bottom"/>
            <w:hideMark/>
          </w:tcPr>
          <w:p w14:paraId="79A7DB72"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Leishmaniasis</w:t>
            </w:r>
          </w:p>
        </w:tc>
        <w:tc>
          <w:tcPr>
            <w:tcW w:w="2835" w:type="dxa"/>
            <w:tcBorders>
              <w:top w:val="nil"/>
              <w:left w:val="nil"/>
              <w:bottom w:val="single" w:sz="4" w:space="0" w:color="auto"/>
              <w:right w:val="nil"/>
            </w:tcBorders>
            <w:shd w:val="clear" w:color="auto" w:fill="auto"/>
            <w:noWrap/>
            <w:vAlign w:val="bottom"/>
            <w:hideMark/>
          </w:tcPr>
          <w:p w14:paraId="379A939C" w14:textId="77777777" w:rsidR="00F42730" w:rsidRPr="00F42730" w:rsidRDefault="00F42730" w:rsidP="009C7054">
            <w:pPr>
              <w:spacing w:line="480" w:lineRule="auto"/>
              <w:rPr>
                <w:rFonts w:eastAsia="Times New Roman" w:cs="Times New Roman"/>
                <w:color w:val="000000"/>
                <w:sz w:val="22"/>
                <w:szCs w:val="22"/>
                <w:lang w:val="en-GB" w:eastAsia="en-GB"/>
              </w:rPr>
            </w:pPr>
            <w:r w:rsidRPr="00F42730">
              <w:rPr>
                <w:rFonts w:eastAsia="Times New Roman" w:cs="Times New Roman"/>
                <w:color w:val="000000"/>
                <w:sz w:val="22"/>
                <w:szCs w:val="22"/>
                <w:lang w:val="en-GB" w:eastAsia="en-GB"/>
              </w:rPr>
              <w:t>Yaws</w:t>
            </w:r>
          </w:p>
        </w:tc>
      </w:tr>
    </w:tbl>
    <w:p w14:paraId="5864253A" w14:textId="77777777" w:rsidR="00F42730" w:rsidRPr="00F42730" w:rsidRDefault="001023E0" w:rsidP="009C7054">
      <w:pPr>
        <w:spacing w:line="480" w:lineRule="auto"/>
        <w:jc w:val="both"/>
        <w:rPr>
          <w:rFonts w:cs="Times New Roman"/>
          <w:sz w:val="22"/>
          <w:szCs w:val="20"/>
        </w:rPr>
      </w:pPr>
      <w:r w:rsidRPr="00F42730">
        <w:rPr>
          <w:rFonts w:cs="Times New Roman"/>
          <w:sz w:val="22"/>
          <w:szCs w:val="20"/>
        </w:rPr>
        <w:t xml:space="preserve">Source: Centre for Disease Control and Prevention (CDC) </w:t>
      </w:r>
    </w:p>
    <w:p w14:paraId="698DFCF4" w14:textId="14F500B5" w:rsidR="001023E0" w:rsidRPr="00F42730" w:rsidRDefault="001023E0" w:rsidP="009C7054">
      <w:pPr>
        <w:spacing w:line="480" w:lineRule="auto"/>
        <w:jc w:val="both"/>
        <w:rPr>
          <w:rFonts w:cs="Times New Roman"/>
          <w:sz w:val="22"/>
          <w:szCs w:val="20"/>
        </w:rPr>
      </w:pPr>
      <w:r w:rsidRPr="00F42730">
        <w:rPr>
          <w:rFonts w:cs="Times New Roman"/>
          <w:sz w:val="22"/>
          <w:szCs w:val="20"/>
        </w:rPr>
        <w:fldChar w:fldCharType="begin"/>
      </w:r>
      <w:r w:rsidRPr="00F42730">
        <w:rPr>
          <w:rFonts w:cs="Times New Roman"/>
          <w:sz w:val="22"/>
          <w:szCs w:val="20"/>
        </w:rPr>
        <w:instrText xml:space="preserve"> ADDIN EN.CITE &lt;EndNote&gt;&lt;Cite&gt;&lt;Author&gt;Prevention&lt;/Author&gt;&lt;Year&gt;2011&lt;/Year&gt;&lt;RecNum&gt;31&lt;/RecNum&gt;&lt;DisplayText&gt;(Centre for Diseases Control and Prevention, 2011)&lt;/DisplayText&gt;&lt;record&gt;&lt;rec-number&gt;31&lt;/rec-number&gt;&lt;foreign-keys&gt;&lt;key app="EN" db-id="tv2fspxf809vs5efaz7xrz91atd02zw9ss22" timestamp="0"&gt;31&lt;/key&gt;&lt;/foreign-keys&gt;&lt;ref-type name="Web Page"&gt;12&lt;/ref-type&gt;&lt;contributors&gt;&lt;authors&gt;&lt;author&gt;Centre for Diseases Control and Prevention,&lt;/author&gt;&lt;/authors&gt;&lt;/contributors&gt;&lt;titles&gt;&lt;title&gt;Neglected Tropical Diseases&lt;/title&gt;&lt;/titles&gt;&lt;dates&gt;&lt;year&gt;2011&lt;/year&gt;&lt;/dates&gt;&lt;pub-location&gt;Atlanta&lt;/pub-location&gt;&lt;urls&gt;&lt;related-urls&gt;&lt;url&gt;http://www.cdc.gov/globalhealth/ntd/diseases/index.html&lt;/url&gt;&lt;/related-urls&gt;&lt;/urls&gt;&lt;/record&gt;&lt;/Cite&gt;&lt;/EndNote&gt;</w:instrText>
      </w:r>
      <w:r w:rsidRPr="00F42730">
        <w:rPr>
          <w:rFonts w:cs="Times New Roman"/>
          <w:sz w:val="22"/>
          <w:szCs w:val="20"/>
        </w:rPr>
        <w:fldChar w:fldCharType="separate"/>
      </w:r>
      <w:r w:rsidRPr="00F42730">
        <w:rPr>
          <w:rFonts w:cs="Times New Roman"/>
          <w:noProof/>
          <w:sz w:val="22"/>
          <w:szCs w:val="20"/>
        </w:rPr>
        <w:t>(Centre for Diseases Control and Prevention, 2011)</w:t>
      </w:r>
      <w:r w:rsidRPr="00F42730">
        <w:rPr>
          <w:rFonts w:cs="Times New Roman"/>
          <w:sz w:val="22"/>
          <w:szCs w:val="20"/>
        </w:rPr>
        <w:fldChar w:fldCharType="end"/>
      </w:r>
      <w:r w:rsidRPr="00F42730">
        <w:rPr>
          <w:rFonts w:cs="Times New Roman"/>
          <w:sz w:val="22"/>
          <w:szCs w:val="20"/>
        </w:rPr>
        <w:t xml:space="preserve"> and WHO </w:t>
      </w:r>
      <w:r w:rsidRPr="00F42730">
        <w:rPr>
          <w:rFonts w:cs="Times New Roman"/>
          <w:sz w:val="22"/>
          <w:szCs w:val="20"/>
        </w:rPr>
        <w:fldChar w:fldCharType="begin"/>
      </w:r>
      <w:r w:rsidR="0050612A" w:rsidRPr="00F42730">
        <w:rPr>
          <w:rFonts w:cs="Times New Roman"/>
          <w:sz w:val="22"/>
          <w:szCs w:val="20"/>
        </w:rPr>
        <w:instrText xml:space="preserve"> ADDIN EN.CITE &lt;EndNote&gt;&lt;Cite&gt;&lt;Author&gt;WHO&lt;/Author&gt;&lt;Year&gt;2015&lt;/Year&gt;&lt;RecNum&gt;32&lt;/RecNum&gt;&lt;DisplayText&gt;(WHO, 2015)&lt;/DisplayText&gt;&lt;record&gt;&lt;rec-number&gt;32&lt;/rec-number&gt;&lt;foreign-keys&gt;&lt;key app="EN" db-id="tv2fspxf809vs5efaz7xrz91atd02zw9ss22" timestamp="0"&gt;32&lt;/key&gt;&lt;/foreign-keys&gt;&lt;ref-type name="Web Page"&gt;12&lt;/ref-type&gt;&lt;contributors&gt;&lt;authors&gt;&lt;author&gt;WHO&lt;/author&gt;&lt;/authors&gt;&lt;/contributors&gt;&lt;titles&gt;&lt;title&gt;Neglected Tropical Diseases&lt;/title&gt;&lt;/titles&gt;&lt;dates&gt;&lt;year&gt;2015&lt;/year&gt;&lt;/dates&gt;&lt;urls&gt;&lt;related-urls&gt;&lt;url&gt;http://www.who.int/neglected_diseases/diseases/en/&lt;/url&gt;&lt;/related-urls&gt;&lt;/urls&gt;&lt;/record&gt;&lt;/Cite&gt;&lt;/EndNote&gt;</w:instrText>
      </w:r>
      <w:r w:rsidRPr="00F42730">
        <w:rPr>
          <w:rFonts w:cs="Times New Roman"/>
          <w:sz w:val="22"/>
          <w:szCs w:val="20"/>
        </w:rPr>
        <w:fldChar w:fldCharType="separate"/>
      </w:r>
      <w:r w:rsidRPr="00F42730">
        <w:rPr>
          <w:rFonts w:cs="Times New Roman"/>
          <w:noProof/>
          <w:sz w:val="22"/>
          <w:szCs w:val="20"/>
        </w:rPr>
        <w:t>(WHO, 2015)</w:t>
      </w:r>
      <w:r w:rsidRPr="00F42730">
        <w:rPr>
          <w:rFonts w:cs="Times New Roman"/>
          <w:sz w:val="22"/>
          <w:szCs w:val="20"/>
        </w:rPr>
        <w:fldChar w:fldCharType="end"/>
      </w:r>
      <w:r w:rsidRPr="00F42730">
        <w:rPr>
          <w:rFonts w:cs="Times New Roman"/>
          <w:sz w:val="22"/>
          <w:szCs w:val="20"/>
        </w:rPr>
        <w:t>.</w:t>
      </w:r>
    </w:p>
    <w:p w14:paraId="072DF9DB" w14:textId="77777777" w:rsidR="001023E0" w:rsidRPr="00F42730" w:rsidRDefault="001023E0" w:rsidP="009C7054">
      <w:pPr>
        <w:spacing w:line="480" w:lineRule="auto"/>
        <w:jc w:val="both"/>
        <w:rPr>
          <w:rFonts w:cs="Times New Roman"/>
          <w:b/>
          <w:sz w:val="22"/>
          <w:szCs w:val="20"/>
        </w:rPr>
        <w:sectPr w:rsidR="001023E0" w:rsidRPr="00F42730" w:rsidSect="008B68E4">
          <w:footnotePr>
            <w:numFmt w:val="lowerLetter"/>
          </w:footnotePr>
          <w:pgSz w:w="16840" w:h="11900" w:orient="landscape"/>
          <w:pgMar w:top="1440" w:right="1440" w:bottom="1440" w:left="1440" w:header="708" w:footer="708" w:gutter="0"/>
          <w:lnNumType w:countBy="1" w:restart="continuous"/>
          <w:cols w:space="708"/>
          <w:docGrid w:linePitch="326"/>
        </w:sectPr>
      </w:pPr>
    </w:p>
    <w:p w14:paraId="6E8DC97D" w14:textId="740F7C66" w:rsidR="005C4ECE" w:rsidRPr="00EC675B" w:rsidRDefault="00CC3463" w:rsidP="009C7054">
      <w:pPr>
        <w:spacing w:line="480" w:lineRule="auto"/>
        <w:jc w:val="both"/>
        <w:rPr>
          <w:rFonts w:cs="Times New Roman"/>
          <w:bCs/>
          <w:sz w:val="22"/>
          <w:szCs w:val="20"/>
        </w:rPr>
      </w:pPr>
      <w:bookmarkStart w:id="1" w:name="_Ref288851532"/>
      <w:r>
        <w:rPr>
          <w:rFonts w:cs="Times New Roman"/>
          <w:bCs/>
          <w:sz w:val="22"/>
          <w:szCs w:val="20"/>
        </w:rPr>
        <w:lastRenderedPageBreak/>
        <w:t>Table III</w:t>
      </w:r>
      <w:r w:rsidR="005C4ECE">
        <w:rPr>
          <w:rFonts w:cs="Times New Roman"/>
          <w:bCs/>
          <w:sz w:val="22"/>
          <w:szCs w:val="20"/>
        </w:rPr>
        <w:t>: Descriptive statistics on the global drug innovation across broad disease groups over time</w:t>
      </w:r>
    </w:p>
    <w:tbl>
      <w:tblPr>
        <w:tblW w:w="13596" w:type="dxa"/>
        <w:tblLook w:val="04A0" w:firstRow="1" w:lastRow="0" w:firstColumn="1" w:lastColumn="0" w:noHBand="0" w:noVBand="1"/>
      </w:tblPr>
      <w:tblGrid>
        <w:gridCol w:w="2840"/>
        <w:gridCol w:w="1112"/>
        <w:gridCol w:w="1368"/>
        <w:gridCol w:w="2495"/>
        <w:gridCol w:w="750"/>
        <w:gridCol w:w="742"/>
        <w:gridCol w:w="2495"/>
        <w:gridCol w:w="897"/>
        <w:gridCol w:w="897"/>
      </w:tblGrid>
      <w:tr w:rsidR="0098691B" w:rsidRPr="0098691B" w14:paraId="52755730" w14:textId="77777777" w:rsidTr="0098691B">
        <w:trPr>
          <w:trHeight w:val="300"/>
        </w:trPr>
        <w:tc>
          <w:tcPr>
            <w:tcW w:w="2840" w:type="dxa"/>
            <w:tcBorders>
              <w:top w:val="single" w:sz="4" w:space="0" w:color="auto"/>
              <w:left w:val="nil"/>
              <w:bottom w:val="single" w:sz="4" w:space="0" w:color="auto"/>
              <w:right w:val="nil"/>
            </w:tcBorders>
            <w:shd w:val="clear" w:color="000000" w:fill="FFFFFF"/>
            <w:noWrap/>
            <w:vAlign w:val="bottom"/>
            <w:hideMark/>
          </w:tcPr>
          <w:p w14:paraId="18A032B6"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10756" w:type="dxa"/>
            <w:gridSpan w:val="8"/>
            <w:tcBorders>
              <w:top w:val="single" w:sz="4" w:space="0" w:color="auto"/>
              <w:left w:val="nil"/>
              <w:bottom w:val="single" w:sz="4" w:space="0" w:color="auto"/>
              <w:right w:val="nil"/>
            </w:tcBorders>
            <w:shd w:val="clear" w:color="000000" w:fill="FFFFFF"/>
            <w:noWrap/>
            <w:vAlign w:val="bottom"/>
            <w:hideMark/>
          </w:tcPr>
          <w:p w14:paraId="54C631E7"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Global drug innovation: number of market launches</w:t>
            </w:r>
          </w:p>
        </w:tc>
      </w:tr>
      <w:tr w:rsidR="0098691B" w:rsidRPr="0098691B" w14:paraId="288D53BA" w14:textId="77777777" w:rsidTr="0098691B">
        <w:trPr>
          <w:trHeight w:val="300"/>
        </w:trPr>
        <w:tc>
          <w:tcPr>
            <w:tcW w:w="2840" w:type="dxa"/>
            <w:tcBorders>
              <w:top w:val="nil"/>
              <w:left w:val="nil"/>
              <w:bottom w:val="single" w:sz="4" w:space="0" w:color="auto"/>
              <w:right w:val="nil"/>
            </w:tcBorders>
            <w:shd w:val="clear" w:color="000000" w:fill="FFFFFF"/>
            <w:noWrap/>
            <w:vAlign w:val="bottom"/>
            <w:hideMark/>
          </w:tcPr>
          <w:p w14:paraId="7A9EB855"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Level of analysis</w:t>
            </w:r>
          </w:p>
        </w:tc>
        <w:tc>
          <w:tcPr>
            <w:tcW w:w="2480"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612844C"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Broad disease groups</w:t>
            </w:r>
          </w:p>
        </w:tc>
        <w:tc>
          <w:tcPr>
            <w:tcW w:w="8276" w:type="dxa"/>
            <w:gridSpan w:val="6"/>
            <w:tcBorders>
              <w:top w:val="nil"/>
              <w:left w:val="nil"/>
              <w:bottom w:val="single" w:sz="4" w:space="0" w:color="auto"/>
              <w:right w:val="nil"/>
            </w:tcBorders>
            <w:shd w:val="clear" w:color="000000" w:fill="FFFFFF"/>
            <w:noWrap/>
            <w:vAlign w:val="bottom"/>
            <w:hideMark/>
          </w:tcPr>
          <w:p w14:paraId="7F6A3557"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Diseases (individual)</w:t>
            </w:r>
          </w:p>
        </w:tc>
      </w:tr>
      <w:tr w:rsidR="0098691B" w:rsidRPr="0098691B" w14:paraId="07645EA8" w14:textId="77777777" w:rsidTr="0098691B">
        <w:trPr>
          <w:trHeight w:val="300"/>
        </w:trPr>
        <w:tc>
          <w:tcPr>
            <w:tcW w:w="2840" w:type="dxa"/>
            <w:tcBorders>
              <w:top w:val="nil"/>
              <w:left w:val="nil"/>
              <w:bottom w:val="nil"/>
              <w:right w:val="nil"/>
            </w:tcBorders>
            <w:shd w:val="clear" w:color="000000" w:fill="FFFFFF"/>
            <w:noWrap/>
            <w:vAlign w:val="bottom"/>
            <w:hideMark/>
          </w:tcPr>
          <w:p w14:paraId="50D1C9A1"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1112" w:type="dxa"/>
            <w:tcBorders>
              <w:top w:val="nil"/>
              <w:left w:val="single" w:sz="4" w:space="0" w:color="auto"/>
              <w:bottom w:val="nil"/>
              <w:right w:val="nil"/>
            </w:tcBorders>
            <w:shd w:val="clear" w:color="000000" w:fill="FFFFFF"/>
            <w:noWrap/>
            <w:vAlign w:val="center"/>
            <w:hideMark/>
          </w:tcPr>
          <w:p w14:paraId="1B311522"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1990</w:t>
            </w:r>
          </w:p>
        </w:tc>
        <w:tc>
          <w:tcPr>
            <w:tcW w:w="1368" w:type="dxa"/>
            <w:tcBorders>
              <w:top w:val="nil"/>
              <w:left w:val="nil"/>
              <w:bottom w:val="nil"/>
              <w:right w:val="single" w:sz="4" w:space="0" w:color="auto"/>
            </w:tcBorders>
            <w:shd w:val="clear" w:color="000000" w:fill="FFFFFF"/>
            <w:noWrap/>
            <w:vAlign w:val="center"/>
            <w:hideMark/>
          </w:tcPr>
          <w:p w14:paraId="4504858E"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2010</w:t>
            </w:r>
          </w:p>
        </w:tc>
        <w:tc>
          <w:tcPr>
            <w:tcW w:w="3987"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59846802"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1990</w:t>
            </w:r>
          </w:p>
        </w:tc>
        <w:tc>
          <w:tcPr>
            <w:tcW w:w="4289" w:type="dxa"/>
            <w:gridSpan w:val="3"/>
            <w:tcBorders>
              <w:top w:val="single" w:sz="4" w:space="0" w:color="auto"/>
              <w:left w:val="nil"/>
              <w:bottom w:val="single" w:sz="4" w:space="0" w:color="auto"/>
              <w:right w:val="nil"/>
            </w:tcBorders>
            <w:shd w:val="clear" w:color="000000" w:fill="FFFFFF"/>
            <w:noWrap/>
            <w:vAlign w:val="bottom"/>
            <w:hideMark/>
          </w:tcPr>
          <w:p w14:paraId="4797033F"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2010</w:t>
            </w:r>
          </w:p>
        </w:tc>
      </w:tr>
      <w:tr w:rsidR="0098691B" w:rsidRPr="0098691B" w14:paraId="64CE702A" w14:textId="77777777" w:rsidTr="0098691B">
        <w:trPr>
          <w:trHeight w:val="300"/>
        </w:trPr>
        <w:tc>
          <w:tcPr>
            <w:tcW w:w="2840" w:type="dxa"/>
            <w:tcBorders>
              <w:top w:val="single" w:sz="4" w:space="0" w:color="auto"/>
              <w:left w:val="nil"/>
              <w:bottom w:val="single" w:sz="4" w:space="0" w:color="auto"/>
              <w:right w:val="nil"/>
            </w:tcBorders>
            <w:shd w:val="clear" w:color="000000" w:fill="FFFFFF"/>
            <w:noWrap/>
            <w:vAlign w:val="bottom"/>
            <w:hideMark/>
          </w:tcPr>
          <w:p w14:paraId="3090138C"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Broad disease groups:</w:t>
            </w:r>
          </w:p>
        </w:tc>
        <w:tc>
          <w:tcPr>
            <w:tcW w:w="2480"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24AA466"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Number of market launches</w:t>
            </w:r>
          </w:p>
        </w:tc>
        <w:tc>
          <w:tcPr>
            <w:tcW w:w="2495" w:type="dxa"/>
            <w:tcBorders>
              <w:top w:val="nil"/>
              <w:left w:val="nil"/>
              <w:bottom w:val="single" w:sz="4" w:space="0" w:color="auto"/>
              <w:right w:val="nil"/>
            </w:tcBorders>
            <w:shd w:val="clear" w:color="000000" w:fill="FFFFFF"/>
            <w:noWrap/>
            <w:vAlign w:val="bottom"/>
            <w:hideMark/>
          </w:tcPr>
          <w:p w14:paraId="24919BEC"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Number of diseases</w:t>
            </w:r>
          </w:p>
        </w:tc>
        <w:tc>
          <w:tcPr>
            <w:tcW w:w="750" w:type="dxa"/>
            <w:tcBorders>
              <w:top w:val="nil"/>
              <w:left w:val="nil"/>
              <w:bottom w:val="single" w:sz="4" w:space="0" w:color="auto"/>
              <w:right w:val="nil"/>
            </w:tcBorders>
            <w:shd w:val="clear" w:color="000000" w:fill="FFFFFF"/>
            <w:noWrap/>
            <w:vAlign w:val="bottom"/>
            <w:hideMark/>
          </w:tcPr>
          <w:p w14:paraId="01176F6D"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Mean</w:t>
            </w:r>
          </w:p>
        </w:tc>
        <w:tc>
          <w:tcPr>
            <w:tcW w:w="742" w:type="dxa"/>
            <w:tcBorders>
              <w:top w:val="nil"/>
              <w:left w:val="nil"/>
              <w:bottom w:val="single" w:sz="4" w:space="0" w:color="auto"/>
              <w:right w:val="single" w:sz="4" w:space="0" w:color="auto"/>
            </w:tcBorders>
            <w:shd w:val="clear" w:color="000000" w:fill="FFFFFF"/>
            <w:noWrap/>
            <w:vAlign w:val="bottom"/>
            <w:hideMark/>
          </w:tcPr>
          <w:p w14:paraId="7B1A4F08"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SD</w:t>
            </w:r>
          </w:p>
        </w:tc>
        <w:tc>
          <w:tcPr>
            <w:tcW w:w="2495" w:type="dxa"/>
            <w:tcBorders>
              <w:top w:val="nil"/>
              <w:left w:val="nil"/>
              <w:bottom w:val="single" w:sz="4" w:space="0" w:color="auto"/>
              <w:right w:val="nil"/>
            </w:tcBorders>
            <w:shd w:val="clear" w:color="000000" w:fill="FFFFFF"/>
            <w:noWrap/>
            <w:vAlign w:val="bottom"/>
            <w:hideMark/>
          </w:tcPr>
          <w:p w14:paraId="3B56ED14"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Number of diseases</w:t>
            </w:r>
          </w:p>
        </w:tc>
        <w:tc>
          <w:tcPr>
            <w:tcW w:w="897" w:type="dxa"/>
            <w:tcBorders>
              <w:top w:val="nil"/>
              <w:left w:val="nil"/>
              <w:bottom w:val="single" w:sz="4" w:space="0" w:color="auto"/>
              <w:right w:val="nil"/>
            </w:tcBorders>
            <w:shd w:val="clear" w:color="000000" w:fill="FFFFFF"/>
            <w:noWrap/>
            <w:vAlign w:val="bottom"/>
            <w:hideMark/>
          </w:tcPr>
          <w:p w14:paraId="10D1F15C"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Mean</w:t>
            </w:r>
          </w:p>
        </w:tc>
        <w:tc>
          <w:tcPr>
            <w:tcW w:w="897" w:type="dxa"/>
            <w:tcBorders>
              <w:top w:val="nil"/>
              <w:left w:val="nil"/>
              <w:bottom w:val="single" w:sz="4" w:space="0" w:color="auto"/>
              <w:right w:val="nil"/>
            </w:tcBorders>
            <w:shd w:val="clear" w:color="000000" w:fill="FFFFFF"/>
            <w:noWrap/>
            <w:vAlign w:val="bottom"/>
            <w:hideMark/>
          </w:tcPr>
          <w:p w14:paraId="612508C6" w14:textId="77777777" w:rsidR="0098691B" w:rsidRPr="0098691B" w:rsidRDefault="0098691B" w:rsidP="009C7054">
            <w:pPr>
              <w:spacing w:line="480" w:lineRule="auto"/>
              <w:jc w:val="center"/>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SD</w:t>
            </w:r>
          </w:p>
        </w:tc>
      </w:tr>
      <w:tr w:rsidR="0098691B" w:rsidRPr="0098691B" w14:paraId="112FC00A" w14:textId="77777777" w:rsidTr="0098691B">
        <w:trPr>
          <w:trHeight w:val="300"/>
        </w:trPr>
        <w:tc>
          <w:tcPr>
            <w:tcW w:w="2840" w:type="dxa"/>
            <w:tcBorders>
              <w:top w:val="nil"/>
              <w:left w:val="nil"/>
              <w:bottom w:val="nil"/>
              <w:right w:val="nil"/>
            </w:tcBorders>
            <w:shd w:val="clear" w:color="000000" w:fill="FFFFFF"/>
            <w:noWrap/>
            <w:vAlign w:val="bottom"/>
            <w:hideMark/>
          </w:tcPr>
          <w:p w14:paraId="5EB1EC19"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Communicable diseases</w:t>
            </w:r>
          </w:p>
        </w:tc>
        <w:tc>
          <w:tcPr>
            <w:tcW w:w="1112" w:type="dxa"/>
            <w:tcBorders>
              <w:top w:val="nil"/>
              <w:left w:val="single" w:sz="4" w:space="0" w:color="auto"/>
              <w:bottom w:val="nil"/>
              <w:right w:val="nil"/>
            </w:tcBorders>
            <w:shd w:val="clear" w:color="000000" w:fill="FFFFFF"/>
            <w:noWrap/>
            <w:vAlign w:val="bottom"/>
            <w:hideMark/>
          </w:tcPr>
          <w:p w14:paraId="6ABB6A0C"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208</w:t>
            </w:r>
          </w:p>
        </w:tc>
        <w:tc>
          <w:tcPr>
            <w:tcW w:w="1368" w:type="dxa"/>
            <w:tcBorders>
              <w:top w:val="nil"/>
              <w:left w:val="nil"/>
              <w:bottom w:val="nil"/>
              <w:right w:val="single" w:sz="4" w:space="0" w:color="auto"/>
            </w:tcBorders>
            <w:shd w:val="clear" w:color="000000" w:fill="FFFFFF"/>
            <w:noWrap/>
            <w:vAlign w:val="bottom"/>
            <w:hideMark/>
          </w:tcPr>
          <w:p w14:paraId="32E04EF0" w14:textId="6504D483"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w:t>
            </w:r>
            <w:r w:rsidR="00211896">
              <w:rPr>
                <w:rFonts w:eastAsia="Times New Roman" w:cs="Times New Roman"/>
                <w:color w:val="000000"/>
                <w:sz w:val="22"/>
                <w:szCs w:val="22"/>
                <w:lang w:val="en-GB" w:eastAsia="en-GB"/>
              </w:rPr>
              <w:t>,</w:t>
            </w:r>
            <w:r w:rsidRPr="0098691B">
              <w:rPr>
                <w:rFonts w:eastAsia="Times New Roman" w:cs="Times New Roman"/>
                <w:color w:val="000000"/>
                <w:sz w:val="22"/>
                <w:szCs w:val="22"/>
                <w:lang w:val="en-GB" w:eastAsia="en-GB"/>
              </w:rPr>
              <w:t>263</w:t>
            </w:r>
          </w:p>
        </w:tc>
        <w:tc>
          <w:tcPr>
            <w:tcW w:w="2495" w:type="dxa"/>
            <w:tcBorders>
              <w:top w:val="nil"/>
              <w:left w:val="nil"/>
              <w:bottom w:val="nil"/>
              <w:right w:val="nil"/>
            </w:tcBorders>
            <w:shd w:val="clear" w:color="000000" w:fill="FFFFFF"/>
            <w:noWrap/>
            <w:vAlign w:val="bottom"/>
            <w:hideMark/>
          </w:tcPr>
          <w:p w14:paraId="62411B56"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44</w:t>
            </w:r>
          </w:p>
        </w:tc>
        <w:tc>
          <w:tcPr>
            <w:tcW w:w="750" w:type="dxa"/>
            <w:tcBorders>
              <w:top w:val="nil"/>
              <w:left w:val="nil"/>
              <w:bottom w:val="nil"/>
              <w:right w:val="nil"/>
            </w:tcBorders>
            <w:shd w:val="clear" w:color="000000" w:fill="FFFFFF"/>
            <w:noWrap/>
            <w:vAlign w:val="bottom"/>
            <w:hideMark/>
          </w:tcPr>
          <w:p w14:paraId="76C29D63"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4.73</w:t>
            </w:r>
          </w:p>
        </w:tc>
        <w:tc>
          <w:tcPr>
            <w:tcW w:w="742" w:type="dxa"/>
            <w:tcBorders>
              <w:top w:val="nil"/>
              <w:left w:val="nil"/>
              <w:bottom w:val="nil"/>
              <w:right w:val="single" w:sz="4" w:space="0" w:color="auto"/>
            </w:tcBorders>
            <w:shd w:val="clear" w:color="000000" w:fill="FFFFFF"/>
            <w:noWrap/>
            <w:vAlign w:val="bottom"/>
            <w:hideMark/>
          </w:tcPr>
          <w:p w14:paraId="231CD56E"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14.61</w:t>
            </w:r>
          </w:p>
        </w:tc>
        <w:tc>
          <w:tcPr>
            <w:tcW w:w="2495" w:type="dxa"/>
            <w:tcBorders>
              <w:top w:val="nil"/>
              <w:left w:val="nil"/>
              <w:bottom w:val="nil"/>
              <w:right w:val="nil"/>
            </w:tcBorders>
            <w:shd w:val="clear" w:color="000000" w:fill="FFFFFF"/>
            <w:noWrap/>
            <w:vAlign w:val="bottom"/>
            <w:hideMark/>
          </w:tcPr>
          <w:p w14:paraId="2434972F"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42</w:t>
            </w:r>
          </w:p>
        </w:tc>
        <w:tc>
          <w:tcPr>
            <w:tcW w:w="897" w:type="dxa"/>
            <w:tcBorders>
              <w:top w:val="nil"/>
              <w:left w:val="nil"/>
              <w:bottom w:val="nil"/>
              <w:right w:val="nil"/>
            </w:tcBorders>
            <w:shd w:val="clear" w:color="000000" w:fill="FFFFFF"/>
            <w:noWrap/>
            <w:vAlign w:val="bottom"/>
            <w:hideMark/>
          </w:tcPr>
          <w:p w14:paraId="10989EB9"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30.07</w:t>
            </w:r>
          </w:p>
        </w:tc>
        <w:tc>
          <w:tcPr>
            <w:tcW w:w="897" w:type="dxa"/>
            <w:tcBorders>
              <w:top w:val="nil"/>
              <w:left w:val="nil"/>
              <w:bottom w:val="nil"/>
              <w:right w:val="nil"/>
            </w:tcBorders>
            <w:shd w:val="clear" w:color="000000" w:fill="FFFFFF"/>
            <w:noWrap/>
            <w:vAlign w:val="bottom"/>
            <w:hideMark/>
          </w:tcPr>
          <w:p w14:paraId="4A0DDEF9"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105.85</w:t>
            </w:r>
          </w:p>
        </w:tc>
      </w:tr>
      <w:tr w:rsidR="0098691B" w:rsidRPr="0098691B" w14:paraId="235DF17E" w14:textId="77777777" w:rsidTr="0098691B">
        <w:trPr>
          <w:trHeight w:val="300"/>
        </w:trPr>
        <w:tc>
          <w:tcPr>
            <w:tcW w:w="2840" w:type="dxa"/>
            <w:tcBorders>
              <w:top w:val="nil"/>
              <w:left w:val="nil"/>
              <w:bottom w:val="nil"/>
              <w:right w:val="nil"/>
            </w:tcBorders>
            <w:shd w:val="clear" w:color="000000" w:fill="FFFFFF"/>
            <w:noWrap/>
            <w:vAlign w:val="bottom"/>
            <w:hideMark/>
          </w:tcPr>
          <w:p w14:paraId="6FE70158"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Non-communicable diseases</w:t>
            </w:r>
          </w:p>
        </w:tc>
        <w:tc>
          <w:tcPr>
            <w:tcW w:w="1112" w:type="dxa"/>
            <w:tcBorders>
              <w:top w:val="nil"/>
              <w:left w:val="single" w:sz="4" w:space="0" w:color="auto"/>
              <w:bottom w:val="nil"/>
              <w:right w:val="nil"/>
            </w:tcBorders>
            <w:shd w:val="clear" w:color="000000" w:fill="FFFFFF"/>
            <w:noWrap/>
            <w:vAlign w:val="bottom"/>
            <w:hideMark/>
          </w:tcPr>
          <w:p w14:paraId="0C2B7246"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748</w:t>
            </w:r>
          </w:p>
        </w:tc>
        <w:tc>
          <w:tcPr>
            <w:tcW w:w="1368" w:type="dxa"/>
            <w:tcBorders>
              <w:top w:val="nil"/>
              <w:left w:val="nil"/>
              <w:bottom w:val="nil"/>
              <w:right w:val="single" w:sz="4" w:space="0" w:color="auto"/>
            </w:tcBorders>
            <w:shd w:val="clear" w:color="000000" w:fill="FFFFFF"/>
            <w:noWrap/>
            <w:vAlign w:val="bottom"/>
            <w:hideMark/>
          </w:tcPr>
          <w:p w14:paraId="79CBB115" w14:textId="05598C9F"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15</w:t>
            </w:r>
            <w:r w:rsidR="00211896">
              <w:rPr>
                <w:rFonts w:eastAsia="Times New Roman" w:cs="Times New Roman"/>
                <w:color w:val="000000"/>
                <w:sz w:val="22"/>
                <w:szCs w:val="22"/>
                <w:lang w:val="en-GB" w:eastAsia="en-GB"/>
              </w:rPr>
              <w:t>,</w:t>
            </w:r>
            <w:r w:rsidRPr="0098691B">
              <w:rPr>
                <w:rFonts w:eastAsia="Times New Roman" w:cs="Times New Roman"/>
                <w:color w:val="000000"/>
                <w:sz w:val="22"/>
                <w:szCs w:val="22"/>
                <w:lang w:val="en-GB" w:eastAsia="en-GB"/>
              </w:rPr>
              <w:t>927</w:t>
            </w:r>
          </w:p>
        </w:tc>
        <w:tc>
          <w:tcPr>
            <w:tcW w:w="2495" w:type="dxa"/>
            <w:tcBorders>
              <w:top w:val="nil"/>
              <w:left w:val="nil"/>
              <w:bottom w:val="nil"/>
              <w:right w:val="nil"/>
            </w:tcBorders>
            <w:shd w:val="clear" w:color="000000" w:fill="FFFFFF"/>
            <w:noWrap/>
            <w:vAlign w:val="bottom"/>
            <w:hideMark/>
          </w:tcPr>
          <w:p w14:paraId="165561AD"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106</w:t>
            </w:r>
          </w:p>
        </w:tc>
        <w:tc>
          <w:tcPr>
            <w:tcW w:w="750" w:type="dxa"/>
            <w:tcBorders>
              <w:top w:val="nil"/>
              <w:left w:val="nil"/>
              <w:bottom w:val="nil"/>
              <w:right w:val="nil"/>
            </w:tcBorders>
            <w:shd w:val="clear" w:color="000000" w:fill="FFFFFF"/>
            <w:noWrap/>
            <w:vAlign w:val="bottom"/>
            <w:hideMark/>
          </w:tcPr>
          <w:p w14:paraId="6490E4D0"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7.06</w:t>
            </w:r>
          </w:p>
        </w:tc>
        <w:tc>
          <w:tcPr>
            <w:tcW w:w="742" w:type="dxa"/>
            <w:tcBorders>
              <w:top w:val="nil"/>
              <w:left w:val="nil"/>
              <w:bottom w:val="nil"/>
              <w:right w:val="single" w:sz="4" w:space="0" w:color="auto"/>
            </w:tcBorders>
            <w:shd w:val="clear" w:color="000000" w:fill="FFFFFF"/>
            <w:noWrap/>
            <w:vAlign w:val="bottom"/>
            <w:hideMark/>
          </w:tcPr>
          <w:p w14:paraId="25A6FDE5"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14.07</w:t>
            </w:r>
          </w:p>
        </w:tc>
        <w:tc>
          <w:tcPr>
            <w:tcW w:w="2495" w:type="dxa"/>
            <w:tcBorders>
              <w:top w:val="nil"/>
              <w:left w:val="nil"/>
              <w:bottom w:val="nil"/>
              <w:right w:val="nil"/>
            </w:tcBorders>
            <w:shd w:val="clear" w:color="000000" w:fill="FFFFFF"/>
            <w:noWrap/>
            <w:vAlign w:val="bottom"/>
            <w:hideMark/>
          </w:tcPr>
          <w:p w14:paraId="1266F71C"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104</w:t>
            </w:r>
          </w:p>
        </w:tc>
        <w:tc>
          <w:tcPr>
            <w:tcW w:w="897" w:type="dxa"/>
            <w:tcBorders>
              <w:top w:val="nil"/>
              <w:left w:val="nil"/>
              <w:bottom w:val="nil"/>
              <w:right w:val="nil"/>
            </w:tcBorders>
            <w:shd w:val="clear" w:color="000000" w:fill="FFFFFF"/>
            <w:noWrap/>
            <w:vAlign w:val="bottom"/>
            <w:hideMark/>
          </w:tcPr>
          <w:p w14:paraId="1322BA80"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153.14</w:t>
            </w:r>
          </w:p>
        </w:tc>
        <w:tc>
          <w:tcPr>
            <w:tcW w:w="897" w:type="dxa"/>
            <w:tcBorders>
              <w:top w:val="nil"/>
              <w:left w:val="nil"/>
              <w:bottom w:val="nil"/>
              <w:right w:val="nil"/>
            </w:tcBorders>
            <w:shd w:val="clear" w:color="000000" w:fill="FFFFFF"/>
            <w:noWrap/>
            <w:vAlign w:val="bottom"/>
            <w:hideMark/>
          </w:tcPr>
          <w:p w14:paraId="3659855C"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347.74</w:t>
            </w:r>
          </w:p>
        </w:tc>
      </w:tr>
      <w:tr w:rsidR="0098691B" w:rsidRPr="0098691B" w14:paraId="4E7725CB" w14:textId="77777777" w:rsidTr="0098691B">
        <w:trPr>
          <w:trHeight w:val="300"/>
        </w:trPr>
        <w:tc>
          <w:tcPr>
            <w:tcW w:w="2840" w:type="dxa"/>
            <w:tcBorders>
              <w:top w:val="nil"/>
              <w:left w:val="nil"/>
              <w:bottom w:val="single" w:sz="4" w:space="0" w:color="auto"/>
              <w:right w:val="nil"/>
            </w:tcBorders>
            <w:shd w:val="clear" w:color="000000" w:fill="FFFFFF"/>
            <w:noWrap/>
            <w:vAlign w:val="bottom"/>
            <w:hideMark/>
          </w:tcPr>
          <w:p w14:paraId="660624CB"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Total</w:t>
            </w:r>
          </w:p>
        </w:tc>
        <w:tc>
          <w:tcPr>
            <w:tcW w:w="1112" w:type="dxa"/>
            <w:tcBorders>
              <w:top w:val="nil"/>
              <w:left w:val="single" w:sz="4" w:space="0" w:color="auto"/>
              <w:bottom w:val="single" w:sz="4" w:space="0" w:color="auto"/>
              <w:right w:val="nil"/>
            </w:tcBorders>
            <w:shd w:val="clear" w:color="000000" w:fill="FFFFFF"/>
            <w:noWrap/>
            <w:vAlign w:val="bottom"/>
            <w:hideMark/>
          </w:tcPr>
          <w:p w14:paraId="14BE7E87"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956</w:t>
            </w:r>
          </w:p>
        </w:tc>
        <w:tc>
          <w:tcPr>
            <w:tcW w:w="1368" w:type="dxa"/>
            <w:tcBorders>
              <w:top w:val="nil"/>
              <w:left w:val="nil"/>
              <w:bottom w:val="single" w:sz="4" w:space="0" w:color="auto"/>
              <w:right w:val="single" w:sz="4" w:space="0" w:color="auto"/>
            </w:tcBorders>
            <w:shd w:val="clear" w:color="000000" w:fill="FFFFFF"/>
            <w:noWrap/>
            <w:vAlign w:val="bottom"/>
            <w:hideMark/>
          </w:tcPr>
          <w:p w14:paraId="6B08C167" w14:textId="577459DF"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17</w:t>
            </w:r>
            <w:r w:rsidR="00211896">
              <w:rPr>
                <w:rFonts w:eastAsia="Times New Roman" w:cs="Times New Roman"/>
                <w:color w:val="000000"/>
                <w:sz w:val="22"/>
                <w:szCs w:val="22"/>
                <w:lang w:val="en-GB" w:eastAsia="en-GB"/>
              </w:rPr>
              <w:t>,</w:t>
            </w:r>
            <w:r w:rsidRPr="0098691B">
              <w:rPr>
                <w:rFonts w:eastAsia="Times New Roman" w:cs="Times New Roman"/>
                <w:color w:val="000000"/>
                <w:sz w:val="22"/>
                <w:szCs w:val="22"/>
                <w:lang w:val="en-GB" w:eastAsia="en-GB"/>
              </w:rPr>
              <w:t>190</w:t>
            </w:r>
          </w:p>
        </w:tc>
        <w:tc>
          <w:tcPr>
            <w:tcW w:w="2495" w:type="dxa"/>
            <w:tcBorders>
              <w:top w:val="nil"/>
              <w:left w:val="nil"/>
              <w:bottom w:val="single" w:sz="4" w:space="0" w:color="auto"/>
              <w:right w:val="nil"/>
            </w:tcBorders>
            <w:shd w:val="clear" w:color="000000" w:fill="FFFFFF"/>
            <w:noWrap/>
            <w:vAlign w:val="bottom"/>
            <w:hideMark/>
          </w:tcPr>
          <w:p w14:paraId="49F08DBE"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150</w:t>
            </w:r>
          </w:p>
        </w:tc>
        <w:tc>
          <w:tcPr>
            <w:tcW w:w="750" w:type="dxa"/>
            <w:tcBorders>
              <w:top w:val="nil"/>
              <w:left w:val="nil"/>
              <w:bottom w:val="single" w:sz="4" w:space="0" w:color="auto"/>
              <w:right w:val="nil"/>
            </w:tcBorders>
            <w:shd w:val="clear" w:color="000000" w:fill="FFFFFF"/>
            <w:noWrap/>
            <w:vAlign w:val="bottom"/>
            <w:hideMark/>
          </w:tcPr>
          <w:p w14:paraId="2C7A9FA5"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6.37</w:t>
            </w:r>
          </w:p>
        </w:tc>
        <w:tc>
          <w:tcPr>
            <w:tcW w:w="742" w:type="dxa"/>
            <w:tcBorders>
              <w:top w:val="nil"/>
              <w:left w:val="nil"/>
              <w:bottom w:val="single" w:sz="4" w:space="0" w:color="auto"/>
              <w:right w:val="single" w:sz="4" w:space="0" w:color="auto"/>
            </w:tcBorders>
            <w:shd w:val="clear" w:color="000000" w:fill="FFFFFF"/>
            <w:noWrap/>
            <w:vAlign w:val="bottom"/>
            <w:hideMark/>
          </w:tcPr>
          <w:p w14:paraId="774B4CD0"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14.22</w:t>
            </w:r>
          </w:p>
        </w:tc>
        <w:tc>
          <w:tcPr>
            <w:tcW w:w="2495" w:type="dxa"/>
            <w:tcBorders>
              <w:top w:val="nil"/>
              <w:left w:val="nil"/>
              <w:bottom w:val="single" w:sz="4" w:space="0" w:color="auto"/>
              <w:right w:val="nil"/>
            </w:tcBorders>
            <w:shd w:val="clear" w:color="000000" w:fill="FFFFFF"/>
            <w:noWrap/>
            <w:vAlign w:val="bottom"/>
            <w:hideMark/>
          </w:tcPr>
          <w:p w14:paraId="1ECEB988"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146</w:t>
            </w:r>
          </w:p>
        </w:tc>
        <w:tc>
          <w:tcPr>
            <w:tcW w:w="897" w:type="dxa"/>
            <w:tcBorders>
              <w:top w:val="nil"/>
              <w:left w:val="nil"/>
              <w:bottom w:val="single" w:sz="4" w:space="0" w:color="auto"/>
              <w:right w:val="nil"/>
            </w:tcBorders>
            <w:shd w:val="clear" w:color="000000" w:fill="FFFFFF"/>
            <w:noWrap/>
            <w:vAlign w:val="bottom"/>
            <w:hideMark/>
          </w:tcPr>
          <w:p w14:paraId="7BB05485"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117.74</w:t>
            </w:r>
          </w:p>
        </w:tc>
        <w:tc>
          <w:tcPr>
            <w:tcW w:w="897" w:type="dxa"/>
            <w:tcBorders>
              <w:top w:val="nil"/>
              <w:left w:val="nil"/>
              <w:bottom w:val="single" w:sz="4" w:space="0" w:color="auto"/>
              <w:right w:val="nil"/>
            </w:tcBorders>
            <w:shd w:val="clear" w:color="000000" w:fill="FFFFFF"/>
            <w:noWrap/>
            <w:vAlign w:val="bottom"/>
            <w:hideMark/>
          </w:tcPr>
          <w:p w14:paraId="36A76269" w14:textId="77777777" w:rsidR="0098691B" w:rsidRPr="0098691B" w:rsidRDefault="0098691B" w:rsidP="009C7054">
            <w:pPr>
              <w:spacing w:line="480" w:lineRule="auto"/>
              <w:jc w:val="right"/>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303.63</w:t>
            </w:r>
          </w:p>
        </w:tc>
      </w:tr>
      <w:tr w:rsidR="0098691B" w:rsidRPr="0098691B" w14:paraId="3BFE7540" w14:textId="77777777" w:rsidTr="0098691B">
        <w:trPr>
          <w:trHeight w:val="300"/>
        </w:trPr>
        <w:tc>
          <w:tcPr>
            <w:tcW w:w="11802" w:type="dxa"/>
            <w:gridSpan w:val="7"/>
            <w:tcBorders>
              <w:top w:val="nil"/>
              <w:left w:val="nil"/>
              <w:bottom w:val="nil"/>
              <w:right w:val="nil"/>
            </w:tcBorders>
            <w:shd w:val="clear" w:color="000000" w:fill="FFFFFF"/>
            <w:noWrap/>
            <w:vAlign w:val="bottom"/>
            <w:hideMark/>
          </w:tcPr>
          <w:p w14:paraId="4BF1B9CE"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Note: Broad disease groups follow the standard disease taxonomy used by WHO and IHME (Murray et al., 2013).</w:t>
            </w:r>
          </w:p>
        </w:tc>
        <w:tc>
          <w:tcPr>
            <w:tcW w:w="897" w:type="dxa"/>
            <w:tcBorders>
              <w:top w:val="nil"/>
              <w:left w:val="nil"/>
              <w:bottom w:val="nil"/>
              <w:right w:val="nil"/>
            </w:tcBorders>
            <w:shd w:val="clear" w:color="000000" w:fill="FFFFFF"/>
            <w:noWrap/>
            <w:vAlign w:val="bottom"/>
            <w:hideMark/>
          </w:tcPr>
          <w:p w14:paraId="1372049B"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897" w:type="dxa"/>
            <w:tcBorders>
              <w:top w:val="nil"/>
              <w:left w:val="nil"/>
              <w:bottom w:val="nil"/>
              <w:right w:val="nil"/>
            </w:tcBorders>
            <w:shd w:val="clear" w:color="000000" w:fill="FFFFFF"/>
            <w:noWrap/>
            <w:vAlign w:val="bottom"/>
            <w:hideMark/>
          </w:tcPr>
          <w:p w14:paraId="18276FF3"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r>
      <w:tr w:rsidR="0098691B" w:rsidRPr="0098691B" w14:paraId="18BE7D68" w14:textId="77777777" w:rsidTr="0098691B">
        <w:trPr>
          <w:trHeight w:val="300"/>
        </w:trPr>
        <w:tc>
          <w:tcPr>
            <w:tcW w:w="11802" w:type="dxa"/>
            <w:gridSpan w:val="7"/>
            <w:tcBorders>
              <w:top w:val="nil"/>
              <w:left w:val="nil"/>
              <w:bottom w:val="nil"/>
              <w:right w:val="nil"/>
            </w:tcBorders>
            <w:shd w:val="clear" w:color="000000" w:fill="FFFFFF"/>
            <w:noWrap/>
            <w:vAlign w:val="bottom"/>
            <w:hideMark/>
          </w:tcPr>
          <w:p w14:paraId="2BE4E607"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xml:space="preserve">The broad disease group "Injuries" is excluded from this analysis for not being target for pharmaceutical innovation. </w:t>
            </w:r>
          </w:p>
        </w:tc>
        <w:tc>
          <w:tcPr>
            <w:tcW w:w="897" w:type="dxa"/>
            <w:tcBorders>
              <w:top w:val="nil"/>
              <w:left w:val="nil"/>
              <w:bottom w:val="nil"/>
              <w:right w:val="nil"/>
            </w:tcBorders>
            <w:shd w:val="clear" w:color="000000" w:fill="FFFFFF"/>
            <w:noWrap/>
            <w:vAlign w:val="bottom"/>
            <w:hideMark/>
          </w:tcPr>
          <w:p w14:paraId="075962DA"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897" w:type="dxa"/>
            <w:tcBorders>
              <w:top w:val="nil"/>
              <w:left w:val="nil"/>
              <w:bottom w:val="nil"/>
              <w:right w:val="nil"/>
            </w:tcBorders>
            <w:shd w:val="clear" w:color="000000" w:fill="FFFFFF"/>
            <w:noWrap/>
            <w:vAlign w:val="bottom"/>
            <w:hideMark/>
          </w:tcPr>
          <w:p w14:paraId="0B32038A"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r>
      <w:tr w:rsidR="0098691B" w:rsidRPr="0098691B" w14:paraId="201161AD" w14:textId="77777777" w:rsidTr="0098691B">
        <w:trPr>
          <w:trHeight w:val="300"/>
        </w:trPr>
        <w:tc>
          <w:tcPr>
            <w:tcW w:w="11802" w:type="dxa"/>
            <w:gridSpan w:val="7"/>
            <w:tcBorders>
              <w:top w:val="nil"/>
              <w:left w:val="nil"/>
              <w:bottom w:val="nil"/>
              <w:right w:val="nil"/>
            </w:tcBorders>
            <w:shd w:val="clear" w:color="000000" w:fill="FFFFFF"/>
            <w:noWrap/>
            <w:vAlign w:val="bottom"/>
            <w:hideMark/>
          </w:tcPr>
          <w:p w14:paraId="5EDDC211"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xml:space="preserve">Therefore, excluded from this analysis are the following disease subcategories:  transport injuries, unintentional injuries, </w:t>
            </w:r>
          </w:p>
        </w:tc>
        <w:tc>
          <w:tcPr>
            <w:tcW w:w="897" w:type="dxa"/>
            <w:tcBorders>
              <w:top w:val="nil"/>
              <w:left w:val="nil"/>
              <w:bottom w:val="nil"/>
              <w:right w:val="nil"/>
            </w:tcBorders>
            <w:shd w:val="clear" w:color="000000" w:fill="FFFFFF"/>
            <w:noWrap/>
            <w:vAlign w:val="bottom"/>
            <w:hideMark/>
          </w:tcPr>
          <w:p w14:paraId="7C6AE45B"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897" w:type="dxa"/>
            <w:tcBorders>
              <w:top w:val="nil"/>
              <w:left w:val="nil"/>
              <w:bottom w:val="nil"/>
              <w:right w:val="nil"/>
            </w:tcBorders>
            <w:shd w:val="clear" w:color="000000" w:fill="FFFFFF"/>
            <w:noWrap/>
            <w:vAlign w:val="bottom"/>
            <w:hideMark/>
          </w:tcPr>
          <w:p w14:paraId="2BC783A0"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r>
      <w:tr w:rsidR="0098691B" w:rsidRPr="0098691B" w14:paraId="0A486A35" w14:textId="77777777" w:rsidTr="0098691B">
        <w:trPr>
          <w:trHeight w:val="300"/>
        </w:trPr>
        <w:tc>
          <w:tcPr>
            <w:tcW w:w="7815" w:type="dxa"/>
            <w:gridSpan w:val="4"/>
            <w:tcBorders>
              <w:top w:val="nil"/>
              <w:left w:val="nil"/>
              <w:bottom w:val="nil"/>
              <w:right w:val="nil"/>
            </w:tcBorders>
            <w:shd w:val="clear" w:color="000000" w:fill="FFFFFF"/>
            <w:noWrap/>
            <w:vAlign w:val="bottom"/>
            <w:hideMark/>
          </w:tcPr>
          <w:p w14:paraId="55DCE770"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self-harm and interpersonal violence, forces of nature, war and legal intervention.</w:t>
            </w:r>
          </w:p>
        </w:tc>
        <w:tc>
          <w:tcPr>
            <w:tcW w:w="750" w:type="dxa"/>
            <w:tcBorders>
              <w:top w:val="nil"/>
              <w:left w:val="nil"/>
              <w:bottom w:val="nil"/>
              <w:right w:val="nil"/>
            </w:tcBorders>
            <w:shd w:val="clear" w:color="000000" w:fill="FFFFFF"/>
            <w:noWrap/>
            <w:vAlign w:val="bottom"/>
            <w:hideMark/>
          </w:tcPr>
          <w:p w14:paraId="16A7995E"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742" w:type="dxa"/>
            <w:tcBorders>
              <w:top w:val="nil"/>
              <w:left w:val="nil"/>
              <w:bottom w:val="nil"/>
              <w:right w:val="nil"/>
            </w:tcBorders>
            <w:shd w:val="clear" w:color="000000" w:fill="FFFFFF"/>
            <w:noWrap/>
            <w:vAlign w:val="bottom"/>
            <w:hideMark/>
          </w:tcPr>
          <w:p w14:paraId="36B37148"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2495" w:type="dxa"/>
            <w:tcBorders>
              <w:top w:val="nil"/>
              <w:left w:val="nil"/>
              <w:bottom w:val="nil"/>
              <w:right w:val="nil"/>
            </w:tcBorders>
            <w:shd w:val="clear" w:color="000000" w:fill="FFFFFF"/>
            <w:noWrap/>
            <w:vAlign w:val="bottom"/>
            <w:hideMark/>
          </w:tcPr>
          <w:p w14:paraId="1D0DB199"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897" w:type="dxa"/>
            <w:tcBorders>
              <w:top w:val="nil"/>
              <w:left w:val="nil"/>
              <w:bottom w:val="nil"/>
              <w:right w:val="nil"/>
            </w:tcBorders>
            <w:shd w:val="clear" w:color="000000" w:fill="FFFFFF"/>
            <w:noWrap/>
            <w:vAlign w:val="bottom"/>
            <w:hideMark/>
          </w:tcPr>
          <w:p w14:paraId="3162F746"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c>
          <w:tcPr>
            <w:tcW w:w="897" w:type="dxa"/>
            <w:tcBorders>
              <w:top w:val="nil"/>
              <w:left w:val="nil"/>
              <w:bottom w:val="nil"/>
              <w:right w:val="nil"/>
            </w:tcBorders>
            <w:shd w:val="clear" w:color="000000" w:fill="FFFFFF"/>
            <w:noWrap/>
            <w:vAlign w:val="bottom"/>
            <w:hideMark/>
          </w:tcPr>
          <w:p w14:paraId="3CB51737" w14:textId="77777777" w:rsidR="0098691B" w:rsidRPr="0098691B" w:rsidRDefault="0098691B" w:rsidP="009C7054">
            <w:pPr>
              <w:spacing w:line="480" w:lineRule="auto"/>
              <w:rPr>
                <w:rFonts w:eastAsia="Times New Roman" w:cs="Times New Roman"/>
                <w:color w:val="000000"/>
                <w:sz w:val="22"/>
                <w:szCs w:val="22"/>
                <w:lang w:val="en-GB" w:eastAsia="en-GB"/>
              </w:rPr>
            </w:pPr>
            <w:r w:rsidRPr="0098691B">
              <w:rPr>
                <w:rFonts w:eastAsia="Times New Roman" w:cs="Times New Roman"/>
                <w:color w:val="000000"/>
                <w:sz w:val="22"/>
                <w:szCs w:val="22"/>
                <w:lang w:val="en-GB" w:eastAsia="en-GB"/>
              </w:rPr>
              <w:t> </w:t>
            </w:r>
          </w:p>
        </w:tc>
      </w:tr>
    </w:tbl>
    <w:p w14:paraId="172B61C0" w14:textId="77777777" w:rsidR="0098691B" w:rsidRDefault="0098691B" w:rsidP="009C7054">
      <w:pPr>
        <w:spacing w:line="480" w:lineRule="auto"/>
        <w:rPr>
          <w:rFonts w:cs="Times New Roman"/>
          <w:bCs/>
          <w:sz w:val="20"/>
          <w:szCs w:val="20"/>
          <w:lang w:val="en-GB"/>
        </w:rPr>
      </w:pPr>
    </w:p>
    <w:p w14:paraId="3E457223" w14:textId="77777777" w:rsidR="005C4ECE" w:rsidRDefault="005C4ECE" w:rsidP="009C7054">
      <w:pPr>
        <w:spacing w:line="480" w:lineRule="auto"/>
        <w:rPr>
          <w:rFonts w:cs="Times New Roman"/>
          <w:bCs/>
          <w:sz w:val="20"/>
          <w:szCs w:val="20"/>
          <w:lang w:val="en-GB"/>
        </w:rPr>
      </w:pPr>
      <w:r>
        <w:rPr>
          <w:rFonts w:cs="Times New Roman"/>
          <w:bCs/>
          <w:sz w:val="20"/>
          <w:szCs w:val="20"/>
          <w:lang w:val="en-GB"/>
        </w:rPr>
        <w:br w:type="page"/>
      </w:r>
    </w:p>
    <w:p w14:paraId="09386E7A" w14:textId="38AA2DF7" w:rsidR="005C4ECE" w:rsidRPr="00EC675B" w:rsidRDefault="00CC3463" w:rsidP="009C7054">
      <w:pPr>
        <w:spacing w:line="480" w:lineRule="auto"/>
        <w:jc w:val="both"/>
        <w:rPr>
          <w:rFonts w:cs="Times New Roman"/>
          <w:bCs/>
          <w:sz w:val="22"/>
          <w:szCs w:val="20"/>
        </w:rPr>
      </w:pPr>
      <w:r>
        <w:rPr>
          <w:rFonts w:cs="Times New Roman"/>
          <w:bCs/>
          <w:sz w:val="22"/>
          <w:szCs w:val="20"/>
        </w:rPr>
        <w:lastRenderedPageBreak/>
        <w:t>Table IV</w:t>
      </w:r>
      <w:r w:rsidR="005C4ECE">
        <w:rPr>
          <w:rFonts w:cs="Times New Roman"/>
          <w:bCs/>
          <w:sz w:val="22"/>
          <w:szCs w:val="20"/>
        </w:rPr>
        <w:t>: Descriptive statistics on the global drug innovation across disease subcategories over time</w:t>
      </w:r>
    </w:p>
    <w:tbl>
      <w:tblPr>
        <w:tblW w:w="15452" w:type="dxa"/>
        <w:tblInd w:w="-567" w:type="dxa"/>
        <w:tblLook w:val="04A0" w:firstRow="1" w:lastRow="0" w:firstColumn="1" w:lastColumn="0" w:noHBand="0" w:noVBand="1"/>
      </w:tblPr>
      <w:tblGrid>
        <w:gridCol w:w="6237"/>
        <w:gridCol w:w="1276"/>
        <w:gridCol w:w="1418"/>
        <w:gridCol w:w="1276"/>
        <w:gridCol w:w="1134"/>
        <w:gridCol w:w="851"/>
        <w:gridCol w:w="1275"/>
        <w:gridCol w:w="993"/>
        <w:gridCol w:w="992"/>
      </w:tblGrid>
      <w:tr w:rsidR="00E75F90" w:rsidRPr="00E75F90" w14:paraId="6C9B1848" w14:textId="77777777" w:rsidTr="002877C1">
        <w:trPr>
          <w:trHeight w:val="300"/>
        </w:trPr>
        <w:tc>
          <w:tcPr>
            <w:tcW w:w="6237" w:type="dxa"/>
            <w:tcBorders>
              <w:top w:val="single" w:sz="4" w:space="0" w:color="auto"/>
              <w:left w:val="nil"/>
              <w:bottom w:val="nil"/>
              <w:right w:val="nil"/>
            </w:tcBorders>
            <w:shd w:val="clear" w:color="000000" w:fill="FFFFFF"/>
            <w:noWrap/>
            <w:vAlign w:val="bottom"/>
            <w:hideMark/>
          </w:tcPr>
          <w:p w14:paraId="38B1522C"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c>
          <w:tcPr>
            <w:tcW w:w="9215" w:type="dxa"/>
            <w:gridSpan w:val="8"/>
            <w:tcBorders>
              <w:top w:val="single" w:sz="4" w:space="0" w:color="auto"/>
              <w:left w:val="nil"/>
              <w:bottom w:val="nil"/>
              <w:right w:val="nil"/>
            </w:tcBorders>
            <w:shd w:val="clear" w:color="000000" w:fill="FFFFFF"/>
            <w:noWrap/>
            <w:vAlign w:val="bottom"/>
            <w:hideMark/>
          </w:tcPr>
          <w:p w14:paraId="05AA2D5E"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Global drug innovation: number of market launches</w:t>
            </w:r>
          </w:p>
        </w:tc>
      </w:tr>
      <w:tr w:rsidR="00E75F90" w:rsidRPr="00E75F90" w14:paraId="4735DA67" w14:textId="77777777" w:rsidTr="002877C1">
        <w:trPr>
          <w:trHeight w:val="300"/>
        </w:trPr>
        <w:tc>
          <w:tcPr>
            <w:tcW w:w="6237" w:type="dxa"/>
            <w:tcBorders>
              <w:top w:val="single" w:sz="4" w:space="0" w:color="auto"/>
              <w:left w:val="nil"/>
              <w:bottom w:val="single" w:sz="4" w:space="0" w:color="auto"/>
              <w:right w:val="nil"/>
            </w:tcBorders>
            <w:shd w:val="clear" w:color="000000" w:fill="FFFFFF"/>
            <w:noWrap/>
            <w:vAlign w:val="bottom"/>
            <w:hideMark/>
          </w:tcPr>
          <w:p w14:paraId="14FF77A6"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Level of analysis</w:t>
            </w:r>
          </w:p>
        </w:tc>
        <w:tc>
          <w:tcPr>
            <w:tcW w:w="2694"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79DC797"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Disease subcategories</w:t>
            </w:r>
          </w:p>
        </w:tc>
        <w:tc>
          <w:tcPr>
            <w:tcW w:w="6521" w:type="dxa"/>
            <w:gridSpan w:val="6"/>
            <w:tcBorders>
              <w:top w:val="single" w:sz="4" w:space="0" w:color="auto"/>
              <w:left w:val="nil"/>
              <w:bottom w:val="nil"/>
              <w:right w:val="nil"/>
            </w:tcBorders>
            <w:shd w:val="clear" w:color="000000" w:fill="FFFFFF"/>
            <w:noWrap/>
            <w:vAlign w:val="bottom"/>
            <w:hideMark/>
          </w:tcPr>
          <w:p w14:paraId="6AFEACBE"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Diseases (individual)</w:t>
            </w:r>
          </w:p>
        </w:tc>
      </w:tr>
      <w:tr w:rsidR="00E75F90" w:rsidRPr="00E75F90" w14:paraId="2E211090" w14:textId="77777777" w:rsidTr="002877C1">
        <w:trPr>
          <w:trHeight w:val="300"/>
        </w:trPr>
        <w:tc>
          <w:tcPr>
            <w:tcW w:w="6237" w:type="dxa"/>
            <w:tcBorders>
              <w:top w:val="nil"/>
              <w:left w:val="nil"/>
              <w:bottom w:val="nil"/>
              <w:right w:val="nil"/>
            </w:tcBorders>
            <w:shd w:val="clear" w:color="000000" w:fill="FFFFFF"/>
            <w:noWrap/>
            <w:vAlign w:val="bottom"/>
            <w:hideMark/>
          </w:tcPr>
          <w:p w14:paraId="7808721D"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c>
          <w:tcPr>
            <w:tcW w:w="1276" w:type="dxa"/>
            <w:tcBorders>
              <w:top w:val="nil"/>
              <w:left w:val="single" w:sz="4" w:space="0" w:color="auto"/>
              <w:bottom w:val="nil"/>
              <w:right w:val="nil"/>
            </w:tcBorders>
            <w:shd w:val="clear" w:color="000000" w:fill="FFFFFF"/>
            <w:noWrap/>
            <w:vAlign w:val="bottom"/>
            <w:hideMark/>
          </w:tcPr>
          <w:p w14:paraId="770EB46C"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1990</w:t>
            </w:r>
          </w:p>
        </w:tc>
        <w:tc>
          <w:tcPr>
            <w:tcW w:w="1418" w:type="dxa"/>
            <w:tcBorders>
              <w:top w:val="nil"/>
              <w:left w:val="nil"/>
              <w:bottom w:val="nil"/>
              <w:right w:val="single" w:sz="4" w:space="0" w:color="auto"/>
            </w:tcBorders>
            <w:shd w:val="clear" w:color="000000" w:fill="FFFFFF"/>
            <w:noWrap/>
            <w:vAlign w:val="bottom"/>
            <w:hideMark/>
          </w:tcPr>
          <w:p w14:paraId="0A2C9709"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2010</w:t>
            </w:r>
          </w:p>
        </w:tc>
        <w:tc>
          <w:tcPr>
            <w:tcW w:w="3261" w:type="dxa"/>
            <w:gridSpan w:val="3"/>
            <w:tcBorders>
              <w:top w:val="single" w:sz="4" w:space="0" w:color="auto"/>
              <w:left w:val="nil"/>
              <w:bottom w:val="single" w:sz="4" w:space="0" w:color="auto"/>
              <w:right w:val="nil"/>
            </w:tcBorders>
            <w:shd w:val="clear" w:color="000000" w:fill="FFFFFF"/>
            <w:noWrap/>
            <w:vAlign w:val="bottom"/>
            <w:hideMark/>
          </w:tcPr>
          <w:p w14:paraId="6BAAFB39"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1990</w:t>
            </w:r>
          </w:p>
        </w:tc>
        <w:tc>
          <w:tcPr>
            <w:tcW w:w="3260"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974BA70"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2010</w:t>
            </w:r>
          </w:p>
        </w:tc>
      </w:tr>
      <w:tr w:rsidR="002877C1" w:rsidRPr="00E75F90" w14:paraId="6572BE65" w14:textId="77777777" w:rsidTr="002877C1">
        <w:trPr>
          <w:trHeight w:val="300"/>
        </w:trPr>
        <w:tc>
          <w:tcPr>
            <w:tcW w:w="6237" w:type="dxa"/>
            <w:tcBorders>
              <w:top w:val="nil"/>
              <w:left w:val="nil"/>
              <w:bottom w:val="single" w:sz="4" w:space="0" w:color="auto"/>
              <w:right w:val="nil"/>
            </w:tcBorders>
            <w:shd w:val="clear" w:color="000000" w:fill="FFFFFF"/>
            <w:noWrap/>
            <w:vAlign w:val="bottom"/>
            <w:hideMark/>
          </w:tcPr>
          <w:p w14:paraId="45852ECB"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Disease subcategories:</w:t>
            </w:r>
          </w:p>
        </w:tc>
        <w:tc>
          <w:tcPr>
            <w:tcW w:w="2694"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160EA5B"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Number of market launches</w:t>
            </w:r>
          </w:p>
        </w:tc>
        <w:tc>
          <w:tcPr>
            <w:tcW w:w="1276" w:type="dxa"/>
            <w:tcBorders>
              <w:top w:val="nil"/>
              <w:left w:val="nil"/>
              <w:bottom w:val="single" w:sz="4" w:space="0" w:color="auto"/>
              <w:right w:val="nil"/>
            </w:tcBorders>
            <w:shd w:val="clear" w:color="000000" w:fill="FFFFFF"/>
            <w:noWrap/>
            <w:vAlign w:val="bottom"/>
            <w:hideMark/>
          </w:tcPr>
          <w:p w14:paraId="1E0B58E9"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Number of diseases</w:t>
            </w:r>
          </w:p>
        </w:tc>
        <w:tc>
          <w:tcPr>
            <w:tcW w:w="1134" w:type="dxa"/>
            <w:tcBorders>
              <w:top w:val="nil"/>
              <w:left w:val="nil"/>
              <w:bottom w:val="single" w:sz="4" w:space="0" w:color="auto"/>
              <w:right w:val="nil"/>
            </w:tcBorders>
            <w:shd w:val="clear" w:color="000000" w:fill="FFFFFF"/>
            <w:noWrap/>
            <w:vAlign w:val="bottom"/>
            <w:hideMark/>
          </w:tcPr>
          <w:p w14:paraId="345EB0CC"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Mean</w:t>
            </w:r>
          </w:p>
        </w:tc>
        <w:tc>
          <w:tcPr>
            <w:tcW w:w="851" w:type="dxa"/>
            <w:tcBorders>
              <w:top w:val="nil"/>
              <w:left w:val="nil"/>
              <w:bottom w:val="single" w:sz="4" w:space="0" w:color="auto"/>
              <w:right w:val="nil"/>
            </w:tcBorders>
            <w:shd w:val="clear" w:color="000000" w:fill="FFFFFF"/>
            <w:noWrap/>
            <w:vAlign w:val="bottom"/>
            <w:hideMark/>
          </w:tcPr>
          <w:p w14:paraId="2FB146E5"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SD</w:t>
            </w:r>
          </w:p>
        </w:tc>
        <w:tc>
          <w:tcPr>
            <w:tcW w:w="1275" w:type="dxa"/>
            <w:tcBorders>
              <w:top w:val="nil"/>
              <w:left w:val="single" w:sz="4" w:space="0" w:color="auto"/>
              <w:bottom w:val="single" w:sz="4" w:space="0" w:color="auto"/>
              <w:right w:val="nil"/>
            </w:tcBorders>
            <w:shd w:val="clear" w:color="000000" w:fill="FFFFFF"/>
            <w:noWrap/>
            <w:vAlign w:val="bottom"/>
            <w:hideMark/>
          </w:tcPr>
          <w:p w14:paraId="3EF98F4A"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Number of diseases</w:t>
            </w:r>
          </w:p>
        </w:tc>
        <w:tc>
          <w:tcPr>
            <w:tcW w:w="993" w:type="dxa"/>
            <w:tcBorders>
              <w:top w:val="nil"/>
              <w:left w:val="nil"/>
              <w:bottom w:val="single" w:sz="4" w:space="0" w:color="auto"/>
              <w:right w:val="nil"/>
            </w:tcBorders>
            <w:shd w:val="clear" w:color="000000" w:fill="FFFFFF"/>
            <w:noWrap/>
            <w:vAlign w:val="bottom"/>
            <w:hideMark/>
          </w:tcPr>
          <w:p w14:paraId="06FAEA65"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Mean</w:t>
            </w:r>
          </w:p>
        </w:tc>
        <w:tc>
          <w:tcPr>
            <w:tcW w:w="992" w:type="dxa"/>
            <w:tcBorders>
              <w:top w:val="nil"/>
              <w:left w:val="nil"/>
              <w:bottom w:val="single" w:sz="4" w:space="0" w:color="auto"/>
              <w:right w:val="nil"/>
            </w:tcBorders>
            <w:shd w:val="clear" w:color="000000" w:fill="FFFFFF"/>
            <w:noWrap/>
            <w:vAlign w:val="bottom"/>
            <w:hideMark/>
          </w:tcPr>
          <w:p w14:paraId="62FED65E" w14:textId="77777777" w:rsidR="00E75F90" w:rsidRPr="00E75F90" w:rsidRDefault="00E75F90" w:rsidP="009C7054">
            <w:pPr>
              <w:spacing w:line="480" w:lineRule="auto"/>
              <w:jc w:val="center"/>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SD</w:t>
            </w:r>
          </w:p>
        </w:tc>
      </w:tr>
      <w:tr w:rsidR="002877C1" w:rsidRPr="00E75F90" w14:paraId="1D5E193F" w14:textId="77777777" w:rsidTr="002877C1">
        <w:trPr>
          <w:trHeight w:val="300"/>
        </w:trPr>
        <w:tc>
          <w:tcPr>
            <w:tcW w:w="6237" w:type="dxa"/>
            <w:tcBorders>
              <w:top w:val="nil"/>
              <w:left w:val="nil"/>
              <w:bottom w:val="nil"/>
              <w:right w:val="nil"/>
            </w:tcBorders>
            <w:shd w:val="clear" w:color="000000" w:fill="FFFFFF"/>
            <w:noWrap/>
            <w:vAlign w:val="bottom"/>
            <w:hideMark/>
          </w:tcPr>
          <w:p w14:paraId="7DFF1842"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Cardiovascular and circulatory diseases</w:t>
            </w:r>
          </w:p>
        </w:tc>
        <w:tc>
          <w:tcPr>
            <w:tcW w:w="1276" w:type="dxa"/>
            <w:tcBorders>
              <w:top w:val="nil"/>
              <w:left w:val="single" w:sz="4" w:space="0" w:color="auto"/>
              <w:bottom w:val="nil"/>
              <w:right w:val="nil"/>
            </w:tcBorders>
            <w:shd w:val="clear" w:color="000000" w:fill="FFFFFF"/>
            <w:noWrap/>
            <w:vAlign w:val="bottom"/>
            <w:hideMark/>
          </w:tcPr>
          <w:p w14:paraId="3E52879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91</w:t>
            </w:r>
          </w:p>
        </w:tc>
        <w:tc>
          <w:tcPr>
            <w:tcW w:w="1418" w:type="dxa"/>
            <w:tcBorders>
              <w:top w:val="nil"/>
              <w:left w:val="nil"/>
              <w:bottom w:val="nil"/>
              <w:right w:val="single" w:sz="4" w:space="0" w:color="auto"/>
            </w:tcBorders>
            <w:shd w:val="clear" w:color="000000" w:fill="FFFFFF"/>
            <w:noWrap/>
            <w:vAlign w:val="bottom"/>
            <w:hideMark/>
          </w:tcPr>
          <w:p w14:paraId="7F27E5F2"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838</w:t>
            </w:r>
          </w:p>
        </w:tc>
        <w:tc>
          <w:tcPr>
            <w:tcW w:w="1276" w:type="dxa"/>
            <w:tcBorders>
              <w:top w:val="nil"/>
              <w:left w:val="nil"/>
              <w:bottom w:val="nil"/>
              <w:right w:val="nil"/>
            </w:tcBorders>
            <w:shd w:val="clear" w:color="000000" w:fill="FFFFFF"/>
            <w:noWrap/>
            <w:vAlign w:val="bottom"/>
            <w:hideMark/>
          </w:tcPr>
          <w:p w14:paraId="38AD630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w:t>
            </w:r>
          </w:p>
        </w:tc>
        <w:tc>
          <w:tcPr>
            <w:tcW w:w="1134" w:type="dxa"/>
            <w:tcBorders>
              <w:top w:val="nil"/>
              <w:left w:val="nil"/>
              <w:bottom w:val="nil"/>
              <w:right w:val="nil"/>
            </w:tcBorders>
            <w:shd w:val="clear" w:color="000000" w:fill="FFFFFF"/>
            <w:noWrap/>
            <w:vAlign w:val="bottom"/>
            <w:hideMark/>
          </w:tcPr>
          <w:p w14:paraId="6EBE10E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10.11</w:t>
            </w:r>
          </w:p>
        </w:tc>
        <w:tc>
          <w:tcPr>
            <w:tcW w:w="851" w:type="dxa"/>
            <w:tcBorders>
              <w:top w:val="nil"/>
              <w:left w:val="nil"/>
              <w:bottom w:val="nil"/>
              <w:right w:val="nil"/>
            </w:tcBorders>
            <w:shd w:val="clear" w:color="000000" w:fill="FFFFFF"/>
            <w:noWrap/>
            <w:vAlign w:val="bottom"/>
            <w:hideMark/>
          </w:tcPr>
          <w:p w14:paraId="0C9AB78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12.02</w:t>
            </w:r>
          </w:p>
        </w:tc>
        <w:tc>
          <w:tcPr>
            <w:tcW w:w="1275" w:type="dxa"/>
            <w:tcBorders>
              <w:top w:val="nil"/>
              <w:left w:val="single" w:sz="4" w:space="0" w:color="auto"/>
              <w:bottom w:val="nil"/>
              <w:right w:val="nil"/>
            </w:tcBorders>
            <w:shd w:val="clear" w:color="000000" w:fill="FFFFFF"/>
            <w:noWrap/>
            <w:vAlign w:val="bottom"/>
            <w:hideMark/>
          </w:tcPr>
          <w:p w14:paraId="267F484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w:t>
            </w:r>
          </w:p>
        </w:tc>
        <w:tc>
          <w:tcPr>
            <w:tcW w:w="993" w:type="dxa"/>
            <w:tcBorders>
              <w:top w:val="nil"/>
              <w:left w:val="nil"/>
              <w:bottom w:val="nil"/>
              <w:right w:val="nil"/>
            </w:tcBorders>
            <w:shd w:val="clear" w:color="000000" w:fill="FFFFFF"/>
            <w:noWrap/>
            <w:vAlign w:val="bottom"/>
            <w:hideMark/>
          </w:tcPr>
          <w:p w14:paraId="7C039E6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93.11</w:t>
            </w:r>
          </w:p>
        </w:tc>
        <w:tc>
          <w:tcPr>
            <w:tcW w:w="992" w:type="dxa"/>
            <w:tcBorders>
              <w:top w:val="nil"/>
              <w:left w:val="nil"/>
              <w:bottom w:val="nil"/>
              <w:right w:val="nil"/>
            </w:tcBorders>
            <w:shd w:val="clear" w:color="000000" w:fill="FFFFFF"/>
            <w:noWrap/>
            <w:vAlign w:val="bottom"/>
            <w:hideMark/>
          </w:tcPr>
          <w:p w14:paraId="31E0EFD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124.63</w:t>
            </w:r>
          </w:p>
        </w:tc>
      </w:tr>
      <w:tr w:rsidR="002877C1" w:rsidRPr="00E75F90" w14:paraId="519E66F8" w14:textId="77777777" w:rsidTr="002877C1">
        <w:trPr>
          <w:trHeight w:val="300"/>
        </w:trPr>
        <w:tc>
          <w:tcPr>
            <w:tcW w:w="6237" w:type="dxa"/>
            <w:tcBorders>
              <w:top w:val="nil"/>
              <w:left w:val="nil"/>
              <w:bottom w:val="nil"/>
              <w:right w:val="nil"/>
            </w:tcBorders>
            <w:shd w:val="clear" w:color="000000" w:fill="FFFFFF"/>
            <w:noWrap/>
            <w:vAlign w:val="bottom"/>
            <w:hideMark/>
          </w:tcPr>
          <w:p w14:paraId="3DFB4F51"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Chronic respiratory diseases</w:t>
            </w:r>
          </w:p>
        </w:tc>
        <w:tc>
          <w:tcPr>
            <w:tcW w:w="1276" w:type="dxa"/>
            <w:tcBorders>
              <w:top w:val="nil"/>
              <w:left w:val="single" w:sz="4" w:space="0" w:color="auto"/>
              <w:bottom w:val="nil"/>
              <w:right w:val="nil"/>
            </w:tcBorders>
            <w:shd w:val="clear" w:color="000000" w:fill="FFFFFF"/>
            <w:noWrap/>
            <w:vAlign w:val="bottom"/>
            <w:hideMark/>
          </w:tcPr>
          <w:p w14:paraId="6D1EB090"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5</w:t>
            </w:r>
          </w:p>
        </w:tc>
        <w:tc>
          <w:tcPr>
            <w:tcW w:w="1418" w:type="dxa"/>
            <w:tcBorders>
              <w:top w:val="nil"/>
              <w:left w:val="nil"/>
              <w:bottom w:val="nil"/>
              <w:right w:val="single" w:sz="4" w:space="0" w:color="auto"/>
            </w:tcBorders>
            <w:shd w:val="clear" w:color="000000" w:fill="FFFFFF"/>
            <w:noWrap/>
            <w:vAlign w:val="bottom"/>
            <w:hideMark/>
          </w:tcPr>
          <w:p w14:paraId="4D6871DB"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162</w:t>
            </w:r>
          </w:p>
        </w:tc>
        <w:tc>
          <w:tcPr>
            <w:tcW w:w="1276" w:type="dxa"/>
            <w:tcBorders>
              <w:top w:val="nil"/>
              <w:left w:val="nil"/>
              <w:bottom w:val="nil"/>
              <w:right w:val="nil"/>
            </w:tcBorders>
            <w:shd w:val="clear" w:color="000000" w:fill="FFFFFF"/>
            <w:noWrap/>
            <w:vAlign w:val="bottom"/>
            <w:hideMark/>
          </w:tcPr>
          <w:p w14:paraId="3AE4CDFA"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w:t>
            </w:r>
          </w:p>
        </w:tc>
        <w:tc>
          <w:tcPr>
            <w:tcW w:w="1134" w:type="dxa"/>
            <w:tcBorders>
              <w:top w:val="nil"/>
              <w:left w:val="nil"/>
              <w:bottom w:val="nil"/>
              <w:right w:val="nil"/>
            </w:tcBorders>
            <w:shd w:val="clear" w:color="000000" w:fill="FFFFFF"/>
            <w:noWrap/>
            <w:vAlign w:val="bottom"/>
            <w:hideMark/>
          </w:tcPr>
          <w:p w14:paraId="76BECD7A"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1.25</w:t>
            </w:r>
          </w:p>
        </w:tc>
        <w:tc>
          <w:tcPr>
            <w:tcW w:w="851" w:type="dxa"/>
            <w:tcBorders>
              <w:top w:val="nil"/>
              <w:left w:val="nil"/>
              <w:bottom w:val="nil"/>
              <w:right w:val="nil"/>
            </w:tcBorders>
            <w:shd w:val="clear" w:color="000000" w:fill="FFFFFF"/>
            <w:noWrap/>
            <w:vAlign w:val="bottom"/>
            <w:hideMark/>
          </w:tcPr>
          <w:p w14:paraId="10DDC37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1.5</w:t>
            </w:r>
          </w:p>
        </w:tc>
        <w:tc>
          <w:tcPr>
            <w:tcW w:w="1275" w:type="dxa"/>
            <w:tcBorders>
              <w:top w:val="nil"/>
              <w:left w:val="single" w:sz="4" w:space="0" w:color="auto"/>
              <w:bottom w:val="nil"/>
              <w:right w:val="nil"/>
            </w:tcBorders>
            <w:shd w:val="clear" w:color="000000" w:fill="FFFFFF"/>
            <w:noWrap/>
            <w:vAlign w:val="bottom"/>
            <w:hideMark/>
          </w:tcPr>
          <w:p w14:paraId="26A0C01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w:t>
            </w:r>
          </w:p>
        </w:tc>
        <w:tc>
          <w:tcPr>
            <w:tcW w:w="993" w:type="dxa"/>
            <w:tcBorders>
              <w:top w:val="nil"/>
              <w:left w:val="nil"/>
              <w:bottom w:val="nil"/>
              <w:right w:val="nil"/>
            </w:tcBorders>
            <w:shd w:val="clear" w:color="000000" w:fill="FFFFFF"/>
            <w:noWrap/>
            <w:vAlign w:val="bottom"/>
            <w:hideMark/>
          </w:tcPr>
          <w:p w14:paraId="7FF50E1C"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40.5 </w:t>
            </w:r>
          </w:p>
        </w:tc>
        <w:tc>
          <w:tcPr>
            <w:tcW w:w="992" w:type="dxa"/>
            <w:tcBorders>
              <w:top w:val="nil"/>
              <w:left w:val="nil"/>
              <w:bottom w:val="nil"/>
              <w:right w:val="nil"/>
            </w:tcBorders>
            <w:shd w:val="clear" w:color="000000" w:fill="FFFFFF"/>
            <w:noWrap/>
            <w:vAlign w:val="bottom"/>
            <w:hideMark/>
          </w:tcPr>
          <w:p w14:paraId="772B4260"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50.18</w:t>
            </w:r>
          </w:p>
        </w:tc>
      </w:tr>
      <w:tr w:rsidR="002877C1" w:rsidRPr="00E75F90" w14:paraId="1D144CFA" w14:textId="77777777" w:rsidTr="002877C1">
        <w:trPr>
          <w:trHeight w:val="300"/>
        </w:trPr>
        <w:tc>
          <w:tcPr>
            <w:tcW w:w="6237" w:type="dxa"/>
            <w:tcBorders>
              <w:top w:val="nil"/>
              <w:left w:val="nil"/>
              <w:bottom w:val="nil"/>
              <w:right w:val="nil"/>
            </w:tcBorders>
            <w:shd w:val="clear" w:color="000000" w:fill="FFFFFF"/>
            <w:noWrap/>
            <w:vAlign w:val="bottom"/>
            <w:hideMark/>
          </w:tcPr>
          <w:p w14:paraId="44E108F1"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Diabetes, urogenital, blood, and endocrine diseases</w:t>
            </w:r>
          </w:p>
        </w:tc>
        <w:tc>
          <w:tcPr>
            <w:tcW w:w="1276" w:type="dxa"/>
            <w:tcBorders>
              <w:top w:val="nil"/>
              <w:left w:val="single" w:sz="4" w:space="0" w:color="auto"/>
              <w:bottom w:val="nil"/>
              <w:right w:val="nil"/>
            </w:tcBorders>
            <w:shd w:val="clear" w:color="000000" w:fill="FFFFFF"/>
            <w:noWrap/>
            <w:vAlign w:val="bottom"/>
            <w:hideMark/>
          </w:tcPr>
          <w:p w14:paraId="0820DF0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90</w:t>
            </w:r>
          </w:p>
        </w:tc>
        <w:tc>
          <w:tcPr>
            <w:tcW w:w="1418" w:type="dxa"/>
            <w:tcBorders>
              <w:top w:val="nil"/>
              <w:left w:val="nil"/>
              <w:bottom w:val="nil"/>
              <w:right w:val="single" w:sz="4" w:space="0" w:color="auto"/>
            </w:tcBorders>
            <w:shd w:val="clear" w:color="000000" w:fill="FFFFFF"/>
            <w:noWrap/>
            <w:vAlign w:val="bottom"/>
            <w:hideMark/>
          </w:tcPr>
          <w:p w14:paraId="701871A5" w14:textId="664B4560"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w:t>
            </w:r>
            <w:r w:rsidR="00F942A8">
              <w:rPr>
                <w:rFonts w:eastAsia="Times New Roman" w:cs="Times New Roman"/>
                <w:color w:val="000000"/>
                <w:sz w:val="22"/>
                <w:szCs w:val="22"/>
                <w:lang w:val="en-GB" w:eastAsia="en-GB"/>
              </w:rPr>
              <w:t>,</w:t>
            </w:r>
            <w:r w:rsidRPr="00E75F90">
              <w:rPr>
                <w:rFonts w:eastAsia="Times New Roman" w:cs="Times New Roman"/>
                <w:color w:val="000000"/>
                <w:sz w:val="22"/>
                <w:szCs w:val="22"/>
                <w:lang w:val="en-GB" w:eastAsia="en-GB"/>
              </w:rPr>
              <w:t>721</w:t>
            </w:r>
          </w:p>
        </w:tc>
        <w:tc>
          <w:tcPr>
            <w:tcW w:w="1276" w:type="dxa"/>
            <w:tcBorders>
              <w:top w:val="nil"/>
              <w:left w:val="nil"/>
              <w:bottom w:val="nil"/>
              <w:right w:val="nil"/>
            </w:tcBorders>
            <w:shd w:val="clear" w:color="000000" w:fill="FFFFFF"/>
            <w:noWrap/>
            <w:vAlign w:val="bottom"/>
            <w:hideMark/>
          </w:tcPr>
          <w:p w14:paraId="74CCB4E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14</w:t>
            </w:r>
          </w:p>
        </w:tc>
        <w:tc>
          <w:tcPr>
            <w:tcW w:w="1134" w:type="dxa"/>
            <w:tcBorders>
              <w:top w:val="nil"/>
              <w:left w:val="nil"/>
              <w:bottom w:val="nil"/>
              <w:right w:val="nil"/>
            </w:tcBorders>
            <w:shd w:val="clear" w:color="000000" w:fill="FFFFFF"/>
            <w:noWrap/>
            <w:vAlign w:val="bottom"/>
            <w:hideMark/>
          </w:tcPr>
          <w:p w14:paraId="6C46278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6.43</w:t>
            </w:r>
          </w:p>
        </w:tc>
        <w:tc>
          <w:tcPr>
            <w:tcW w:w="851" w:type="dxa"/>
            <w:tcBorders>
              <w:top w:val="nil"/>
              <w:left w:val="nil"/>
              <w:bottom w:val="nil"/>
              <w:right w:val="nil"/>
            </w:tcBorders>
            <w:shd w:val="clear" w:color="000000" w:fill="FFFFFF"/>
            <w:noWrap/>
            <w:vAlign w:val="bottom"/>
            <w:hideMark/>
          </w:tcPr>
          <w:p w14:paraId="5A67B69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12.34</w:t>
            </w:r>
          </w:p>
        </w:tc>
        <w:tc>
          <w:tcPr>
            <w:tcW w:w="1275" w:type="dxa"/>
            <w:tcBorders>
              <w:top w:val="nil"/>
              <w:left w:val="single" w:sz="4" w:space="0" w:color="auto"/>
              <w:bottom w:val="nil"/>
              <w:right w:val="nil"/>
            </w:tcBorders>
            <w:shd w:val="clear" w:color="000000" w:fill="FFFFFF"/>
            <w:noWrap/>
            <w:vAlign w:val="bottom"/>
            <w:hideMark/>
          </w:tcPr>
          <w:p w14:paraId="57D3C5F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12</w:t>
            </w:r>
          </w:p>
        </w:tc>
        <w:tc>
          <w:tcPr>
            <w:tcW w:w="993" w:type="dxa"/>
            <w:tcBorders>
              <w:top w:val="nil"/>
              <w:left w:val="nil"/>
              <w:bottom w:val="nil"/>
              <w:right w:val="nil"/>
            </w:tcBorders>
            <w:shd w:val="clear" w:color="000000" w:fill="FFFFFF"/>
            <w:noWrap/>
            <w:vAlign w:val="bottom"/>
            <w:hideMark/>
          </w:tcPr>
          <w:p w14:paraId="725FA1F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143.42</w:t>
            </w:r>
          </w:p>
        </w:tc>
        <w:tc>
          <w:tcPr>
            <w:tcW w:w="992" w:type="dxa"/>
            <w:tcBorders>
              <w:top w:val="nil"/>
              <w:left w:val="nil"/>
              <w:bottom w:val="nil"/>
              <w:right w:val="nil"/>
            </w:tcBorders>
            <w:shd w:val="clear" w:color="000000" w:fill="FFFFFF"/>
            <w:noWrap/>
            <w:vAlign w:val="bottom"/>
            <w:hideMark/>
          </w:tcPr>
          <w:p w14:paraId="59D6B61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345.61</w:t>
            </w:r>
          </w:p>
        </w:tc>
      </w:tr>
      <w:tr w:rsidR="002877C1" w:rsidRPr="00E75F90" w14:paraId="34703742" w14:textId="77777777" w:rsidTr="002877C1">
        <w:trPr>
          <w:trHeight w:val="300"/>
        </w:trPr>
        <w:tc>
          <w:tcPr>
            <w:tcW w:w="6237" w:type="dxa"/>
            <w:tcBorders>
              <w:top w:val="nil"/>
              <w:left w:val="nil"/>
              <w:bottom w:val="nil"/>
              <w:right w:val="nil"/>
            </w:tcBorders>
            <w:shd w:val="clear" w:color="000000" w:fill="FFFFFF"/>
            <w:noWrap/>
            <w:vAlign w:val="bottom"/>
            <w:hideMark/>
          </w:tcPr>
          <w:p w14:paraId="2ED9C446"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Diarrhea, lower respiratory infections, meningitis, and other common infectious diseases</w:t>
            </w:r>
          </w:p>
        </w:tc>
        <w:tc>
          <w:tcPr>
            <w:tcW w:w="1276" w:type="dxa"/>
            <w:tcBorders>
              <w:top w:val="nil"/>
              <w:left w:val="single" w:sz="4" w:space="0" w:color="auto"/>
              <w:bottom w:val="nil"/>
              <w:right w:val="nil"/>
            </w:tcBorders>
            <w:shd w:val="clear" w:color="000000" w:fill="FFFFFF"/>
            <w:noWrap/>
            <w:vAlign w:val="bottom"/>
            <w:hideMark/>
          </w:tcPr>
          <w:p w14:paraId="734B86C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66</w:t>
            </w:r>
          </w:p>
        </w:tc>
        <w:tc>
          <w:tcPr>
            <w:tcW w:w="1418" w:type="dxa"/>
            <w:tcBorders>
              <w:top w:val="nil"/>
              <w:left w:val="nil"/>
              <w:bottom w:val="nil"/>
              <w:right w:val="single" w:sz="4" w:space="0" w:color="auto"/>
            </w:tcBorders>
            <w:shd w:val="clear" w:color="000000" w:fill="FFFFFF"/>
            <w:noWrap/>
            <w:vAlign w:val="bottom"/>
            <w:hideMark/>
          </w:tcPr>
          <w:p w14:paraId="337E2F80"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231</w:t>
            </w:r>
          </w:p>
        </w:tc>
        <w:tc>
          <w:tcPr>
            <w:tcW w:w="1276" w:type="dxa"/>
            <w:tcBorders>
              <w:top w:val="nil"/>
              <w:left w:val="nil"/>
              <w:bottom w:val="nil"/>
              <w:right w:val="nil"/>
            </w:tcBorders>
            <w:shd w:val="clear" w:color="000000" w:fill="FFFFFF"/>
            <w:noWrap/>
            <w:vAlign w:val="bottom"/>
            <w:hideMark/>
          </w:tcPr>
          <w:p w14:paraId="0AF105C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13</w:t>
            </w:r>
          </w:p>
        </w:tc>
        <w:tc>
          <w:tcPr>
            <w:tcW w:w="1134" w:type="dxa"/>
            <w:tcBorders>
              <w:top w:val="nil"/>
              <w:left w:val="nil"/>
              <w:bottom w:val="nil"/>
              <w:right w:val="nil"/>
            </w:tcBorders>
            <w:shd w:val="clear" w:color="000000" w:fill="FFFFFF"/>
            <w:noWrap/>
            <w:vAlign w:val="bottom"/>
            <w:hideMark/>
          </w:tcPr>
          <w:p w14:paraId="5B76CF8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5.08</w:t>
            </w:r>
          </w:p>
        </w:tc>
        <w:tc>
          <w:tcPr>
            <w:tcW w:w="851" w:type="dxa"/>
            <w:tcBorders>
              <w:top w:val="nil"/>
              <w:left w:val="nil"/>
              <w:bottom w:val="nil"/>
              <w:right w:val="nil"/>
            </w:tcBorders>
            <w:shd w:val="clear" w:color="000000" w:fill="FFFFFF"/>
            <w:noWrap/>
            <w:vAlign w:val="bottom"/>
            <w:hideMark/>
          </w:tcPr>
          <w:p w14:paraId="78041EAB"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9.15</w:t>
            </w:r>
          </w:p>
        </w:tc>
        <w:tc>
          <w:tcPr>
            <w:tcW w:w="1275" w:type="dxa"/>
            <w:tcBorders>
              <w:top w:val="nil"/>
              <w:left w:val="single" w:sz="4" w:space="0" w:color="auto"/>
              <w:bottom w:val="nil"/>
              <w:right w:val="nil"/>
            </w:tcBorders>
            <w:shd w:val="clear" w:color="000000" w:fill="FFFFFF"/>
            <w:noWrap/>
            <w:vAlign w:val="bottom"/>
            <w:hideMark/>
          </w:tcPr>
          <w:p w14:paraId="511981E7"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14</w:t>
            </w:r>
          </w:p>
        </w:tc>
        <w:tc>
          <w:tcPr>
            <w:tcW w:w="993" w:type="dxa"/>
            <w:tcBorders>
              <w:top w:val="nil"/>
              <w:left w:val="nil"/>
              <w:bottom w:val="nil"/>
              <w:right w:val="nil"/>
            </w:tcBorders>
            <w:shd w:val="clear" w:color="000000" w:fill="FFFFFF"/>
            <w:noWrap/>
            <w:vAlign w:val="bottom"/>
            <w:hideMark/>
          </w:tcPr>
          <w:p w14:paraId="5A99577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16.5</w:t>
            </w:r>
          </w:p>
        </w:tc>
        <w:tc>
          <w:tcPr>
            <w:tcW w:w="992" w:type="dxa"/>
            <w:tcBorders>
              <w:top w:val="nil"/>
              <w:left w:val="nil"/>
              <w:bottom w:val="nil"/>
              <w:right w:val="nil"/>
            </w:tcBorders>
            <w:shd w:val="clear" w:color="000000" w:fill="FFFFFF"/>
            <w:noWrap/>
            <w:vAlign w:val="bottom"/>
            <w:hideMark/>
          </w:tcPr>
          <w:p w14:paraId="47BCE37E"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28.89</w:t>
            </w:r>
          </w:p>
        </w:tc>
      </w:tr>
      <w:tr w:rsidR="002877C1" w:rsidRPr="00E75F90" w14:paraId="255AA29D" w14:textId="77777777" w:rsidTr="002877C1">
        <w:trPr>
          <w:trHeight w:val="300"/>
        </w:trPr>
        <w:tc>
          <w:tcPr>
            <w:tcW w:w="6237" w:type="dxa"/>
            <w:tcBorders>
              <w:top w:val="nil"/>
              <w:left w:val="nil"/>
              <w:bottom w:val="nil"/>
              <w:right w:val="nil"/>
            </w:tcBorders>
            <w:shd w:val="clear" w:color="000000" w:fill="FFFFFF"/>
            <w:noWrap/>
            <w:vAlign w:val="bottom"/>
            <w:hideMark/>
          </w:tcPr>
          <w:p w14:paraId="5004BAB0"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Digestive diseases (including cirrhosis of the liver)</w:t>
            </w:r>
          </w:p>
        </w:tc>
        <w:tc>
          <w:tcPr>
            <w:tcW w:w="1276" w:type="dxa"/>
            <w:tcBorders>
              <w:top w:val="nil"/>
              <w:left w:val="single" w:sz="4" w:space="0" w:color="auto"/>
              <w:bottom w:val="nil"/>
              <w:right w:val="nil"/>
            </w:tcBorders>
            <w:shd w:val="clear" w:color="000000" w:fill="FFFFFF"/>
            <w:noWrap/>
            <w:vAlign w:val="bottom"/>
            <w:hideMark/>
          </w:tcPr>
          <w:p w14:paraId="607AD85D" w14:textId="7616D82D"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w:t>
            </w:r>
            <w:r w:rsidR="001D37F4">
              <w:rPr>
                <w:rFonts w:eastAsia="Times New Roman" w:cs="Times New Roman"/>
                <w:color w:val="000000"/>
                <w:sz w:val="22"/>
                <w:szCs w:val="22"/>
                <w:lang w:val="en-GB" w:eastAsia="en-GB"/>
              </w:rPr>
              <w:t>6</w:t>
            </w:r>
          </w:p>
        </w:tc>
        <w:tc>
          <w:tcPr>
            <w:tcW w:w="1418" w:type="dxa"/>
            <w:tcBorders>
              <w:top w:val="nil"/>
              <w:left w:val="nil"/>
              <w:bottom w:val="nil"/>
              <w:right w:val="single" w:sz="4" w:space="0" w:color="auto"/>
            </w:tcBorders>
            <w:shd w:val="clear" w:color="000000" w:fill="FFFFFF"/>
            <w:noWrap/>
            <w:vAlign w:val="bottom"/>
            <w:hideMark/>
          </w:tcPr>
          <w:p w14:paraId="63CB4D3C" w14:textId="65702F48" w:rsidR="00E75F90" w:rsidRPr="00E75F90" w:rsidRDefault="001D37F4"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58</w:t>
            </w:r>
            <w:r>
              <w:rPr>
                <w:rFonts w:eastAsia="Times New Roman" w:cs="Times New Roman"/>
                <w:color w:val="000000"/>
                <w:sz w:val="22"/>
                <w:szCs w:val="22"/>
                <w:lang w:val="en-GB" w:eastAsia="en-GB"/>
              </w:rPr>
              <w:t>9</w:t>
            </w:r>
          </w:p>
        </w:tc>
        <w:tc>
          <w:tcPr>
            <w:tcW w:w="1276" w:type="dxa"/>
            <w:tcBorders>
              <w:top w:val="nil"/>
              <w:left w:val="nil"/>
              <w:bottom w:val="nil"/>
              <w:right w:val="nil"/>
            </w:tcBorders>
            <w:shd w:val="clear" w:color="000000" w:fill="FFFFFF"/>
            <w:noWrap/>
            <w:vAlign w:val="bottom"/>
            <w:hideMark/>
          </w:tcPr>
          <w:p w14:paraId="095EF4C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7</w:t>
            </w:r>
          </w:p>
        </w:tc>
        <w:tc>
          <w:tcPr>
            <w:tcW w:w="1134" w:type="dxa"/>
            <w:tcBorders>
              <w:top w:val="nil"/>
              <w:left w:val="nil"/>
              <w:bottom w:val="nil"/>
              <w:right w:val="nil"/>
            </w:tcBorders>
            <w:shd w:val="clear" w:color="000000" w:fill="FFFFFF"/>
            <w:noWrap/>
            <w:vAlign w:val="bottom"/>
            <w:hideMark/>
          </w:tcPr>
          <w:p w14:paraId="1AE0508E"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4.86</w:t>
            </w:r>
          </w:p>
        </w:tc>
        <w:tc>
          <w:tcPr>
            <w:tcW w:w="851" w:type="dxa"/>
            <w:tcBorders>
              <w:top w:val="nil"/>
              <w:left w:val="nil"/>
              <w:bottom w:val="nil"/>
              <w:right w:val="nil"/>
            </w:tcBorders>
            <w:shd w:val="clear" w:color="000000" w:fill="FFFFFF"/>
            <w:noWrap/>
            <w:vAlign w:val="bottom"/>
            <w:hideMark/>
          </w:tcPr>
          <w:p w14:paraId="2A7F132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9.49</w:t>
            </w:r>
          </w:p>
        </w:tc>
        <w:tc>
          <w:tcPr>
            <w:tcW w:w="1275" w:type="dxa"/>
            <w:tcBorders>
              <w:top w:val="nil"/>
              <w:left w:val="single" w:sz="4" w:space="0" w:color="auto"/>
              <w:bottom w:val="nil"/>
              <w:right w:val="nil"/>
            </w:tcBorders>
            <w:shd w:val="clear" w:color="000000" w:fill="FFFFFF"/>
            <w:noWrap/>
            <w:vAlign w:val="bottom"/>
            <w:hideMark/>
          </w:tcPr>
          <w:p w14:paraId="680EA88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11</w:t>
            </w:r>
          </w:p>
        </w:tc>
        <w:tc>
          <w:tcPr>
            <w:tcW w:w="993" w:type="dxa"/>
            <w:tcBorders>
              <w:top w:val="nil"/>
              <w:left w:val="nil"/>
              <w:bottom w:val="nil"/>
              <w:right w:val="nil"/>
            </w:tcBorders>
            <w:shd w:val="clear" w:color="000000" w:fill="FFFFFF"/>
            <w:noWrap/>
            <w:vAlign w:val="bottom"/>
            <w:hideMark/>
          </w:tcPr>
          <w:p w14:paraId="1563B8A2"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80.86</w:t>
            </w:r>
          </w:p>
        </w:tc>
        <w:tc>
          <w:tcPr>
            <w:tcW w:w="992" w:type="dxa"/>
            <w:tcBorders>
              <w:top w:val="nil"/>
              <w:left w:val="nil"/>
              <w:bottom w:val="nil"/>
              <w:right w:val="nil"/>
            </w:tcBorders>
            <w:shd w:val="clear" w:color="000000" w:fill="FFFFFF"/>
            <w:noWrap/>
            <w:vAlign w:val="bottom"/>
            <w:hideMark/>
          </w:tcPr>
          <w:p w14:paraId="2DAEC8D0"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136.26</w:t>
            </w:r>
          </w:p>
        </w:tc>
      </w:tr>
      <w:tr w:rsidR="002877C1" w:rsidRPr="00E75F90" w14:paraId="4AB31E59" w14:textId="77777777" w:rsidTr="002877C1">
        <w:trPr>
          <w:trHeight w:val="300"/>
        </w:trPr>
        <w:tc>
          <w:tcPr>
            <w:tcW w:w="6237" w:type="dxa"/>
            <w:tcBorders>
              <w:top w:val="nil"/>
              <w:left w:val="nil"/>
              <w:bottom w:val="nil"/>
              <w:right w:val="nil"/>
            </w:tcBorders>
            <w:shd w:val="clear" w:color="000000" w:fill="FFFFFF"/>
            <w:noWrap/>
            <w:vAlign w:val="bottom"/>
            <w:hideMark/>
          </w:tcPr>
          <w:p w14:paraId="211D2CB7"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HIV/AIDS and tuberculosis</w:t>
            </w:r>
          </w:p>
        </w:tc>
        <w:tc>
          <w:tcPr>
            <w:tcW w:w="1276" w:type="dxa"/>
            <w:tcBorders>
              <w:top w:val="nil"/>
              <w:left w:val="single" w:sz="4" w:space="0" w:color="auto"/>
              <w:bottom w:val="nil"/>
              <w:right w:val="nil"/>
            </w:tcBorders>
            <w:shd w:val="clear" w:color="000000" w:fill="FFFFFF"/>
            <w:noWrap/>
            <w:vAlign w:val="bottom"/>
            <w:hideMark/>
          </w:tcPr>
          <w:p w14:paraId="77492D7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w:t>
            </w:r>
          </w:p>
        </w:tc>
        <w:tc>
          <w:tcPr>
            <w:tcW w:w="1418" w:type="dxa"/>
            <w:tcBorders>
              <w:top w:val="nil"/>
              <w:left w:val="nil"/>
              <w:bottom w:val="nil"/>
              <w:right w:val="single" w:sz="4" w:space="0" w:color="auto"/>
            </w:tcBorders>
            <w:shd w:val="clear" w:color="000000" w:fill="FFFFFF"/>
            <w:noWrap/>
            <w:vAlign w:val="bottom"/>
            <w:hideMark/>
          </w:tcPr>
          <w:p w14:paraId="4D62F96A"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46</w:t>
            </w:r>
          </w:p>
        </w:tc>
        <w:tc>
          <w:tcPr>
            <w:tcW w:w="1276" w:type="dxa"/>
            <w:tcBorders>
              <w:top w:val="nil"/>
              <w:left w:val="nil"/>
              <w:bottom w:val="nil"/>
              <w:right w:val="nil"/>
            </w:tcBorders>
            <w:shd w:val="clear" w:color="000000" w:fill="FFFFFF"/>
            <w:noWrap/>
            <w:vAlign w:val="bottom"/>
            <w:hideMark/>
          </w:tcPr>
          <w:p w14:paraId="69072BA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w:t>
            </w:r>
          </w:p>
        </w:tc>
        <w:tc>
          <w:tcPr>
            <w:tcW w:w="1134" w:type="dxa"/>
            <w:tcBorders>
              <w:top w:val="nil"/>
              <w:left w:val="nil"/>
              <w:bottom w:val="nil"/>
              <w:right w:val="nil"/>
            </w:tcBorders>
            <w:shd w:val="clear" w:color="000000" w:fill="FFFFFF"/>
            <w:noWrap/>
            <w:vAlign w:val="bottom"/>
            <w:hideMark/>
          </w:tcPr>
          <w:p w14:paraId="53227ED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1.33</w:t>
            </w:r>
          </w:p>
        </w:tc>
        <w:tc>
          <w:tcPr>
            <w:tcW w:w="851" w:type="dxa"/>
            <w:tcBorders>
              <w:top w:val="nil"/>
              <w:left w:val="nil"/>
              <w:bottom w:val="nil"/>
              <w:right w:val="nil"/>
            </w:tcBorders>
            <w:shd w:val="clear" w:color="000000" w:fill="FFFFFF"/>
            <w:noWrap/>
            <w:vAlign w:val="bottom"/>
            <w:hideMark/>
          </w:tcPr>
          <w:p w14:paraId="6D68910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1.15</w:t>
            </w:r>
          </w:p>
        </w:tc>
        <w:tc>
          <w:tcPr>
            <w:tcW w:w="1275" w:type="dxa"/>
            <w:tcBorders>
              <w:top w:val="nil"/>
              <w:left w:val="single" w:sz="4" w:space="0" w:color="auto"/>
              <w:bottom w:val="nil"/>
              <w:right w:val="nil"/>
            </w:tcBorders>
            <w:shd w:val="clear" w:color="000000" w:fill="FFFFFF"/>
            <w:noWrap/>
            <w:vAlign w:val="bottom"/>
            <w:hideMark/>
          </w:tcPr>
          <w:p w14:paraId="5F91EAE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w:t>
            </w:r>
          </w:p>
        </w:tc>
        <w:tc>
          <w:tcPr>
            <w:tcW w:w="993" w:type="dxa"/>
            <w:tcBorders>
              <w:top w:val="nil"/>
              <w:left w:val="nil"/>
              <w:bottom w:val="nil"/>
              <w:right w:val="nil"/>
            </w:tcBorders>
            <w:shd w:val="clear" w:color="000000" w:fill="FFFFFF"/>
            <w:noWrap/>
            <w:vAlign w:val="bottom"/>
            <w:hideMark/>
          </w:tcPr>
          <w:p w14:paraId="7BEE7750"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15.33</w:t>
            </w:r>
          </w:p>
        </w:tc>
        <w:tc>
          <w:tcPr>
            <w:tcW w:w="992" w:type="dxa"/>
            <w:tcBorders>
              <w:top w:val="nil"/>
              <w:left w:val="nil"/>
              <w:bottom w:val="nil"/>
              <w:right w:val="nil"/>
            </w:tcBorders>
            <w:shd w:val="clear" w:color="000000" w:fill="FFFFFF"/>
            <w:noWrap/>
            <w:vAlign w:val="bottom"/>
            <w:hideMark/>
          </w:tcPr>
          <w:p w14:paraId="0664238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9.81</w:t>
            </w:r>
          </w:p>
        </w:tc>
      </w:tr>
      <w:tr w:rsidR="002877C1" w:rsidRPr="00E75F90" w14:paraId="22903676" w14:textId="77777777" w:rsidTr="002877C1">
        <w:trPr>
          <w:trHeight w:val="300"/>
        </w:trPr>
        <w:tc>
          <w:tcPr>
            <w:tcW w:w="6237" w:type="dxa"/>
            <w:tcBorders>
              <w:top w:val="nil"/>
              <w:left w:val="nil"/>
              <w:bottom w:val="nil"/>
              <w:right w:val="nil"/>
            </w:tcBorders>
            <w:shd w:val="clear" w:color="000000" w:fill="FFFFFF"/>
            <w:noWrap/>
            <w:vAlign w:val="bottom"/>
            <w:hideMark/>
          </w:tcPr>
          <w:p w14:paraId="54A01A4B"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Maternal disorders</w:t>
            </w:r>
          </w:p>
        </w:tc>
        <w:tc>
          <w:tcPr>
            <w:tcW w:w="1276" w:type="dxa"/>
            <w:tcBorders>
              <w:top w:val="nil"/>
              <w:left w:val="single" w:sz="4" w:space="0" w:color="auto"/>
              <w:bottom w:val="nil"/>
              <w:right w:val="nil"/>
            </w:tcBorders>
            <w:shd w:val="clear" w:color="000000" w:fill="FFFFFF"/>
            <w:noWrap/>
            <w:vAlign w:val="bottom"/>
            <w:hideMark/>
          </w:tcPr>
          <w:p w14:paraId="1D1D808C"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6</w:t>
            </w:r>
          </w:p>
        </w:tc>
        <w:tc>
          <w:tcPr>
            <w:tcW w:w="1418" w:type="dxa"/>
            <w:tcBorders>
              <w:top w:val="nil"/>
              <w:left w:val="nil"/>
              <w:bottom w:val="nil"/>
              <w:right w:val="single" w:sz="4" w:space="0" w:color="auto"/>
            </w:tcBorders>
            <w:shd w:val="clear" w:color="000000" w:fill="FFFFFF"/>
            <w:noWrap/>
            <w:vAlign w:val="bottom"/>
            <w:hideMark/>
          </w:tcPr>
          <w:p w14:paraId="0FD9316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24</w:t>
            </w:r>
          </w:p>
        </w:tc>
        <w:tc>
          <w:tcPr>
            <w:tcW w:w="1276" w:type="dxa"/>
            <w:tcBorders>
              <w:top w:val="nil"/>
              <w:left w:val="nil"/>
              <w:bottom w:val="nil"/>
              <w:right w:val="nil"/>
            </w:tcBorders>
            <w:shd w:val="clear" w:color="000000" w:fill="FFFFFF"/>
            <w:noWrap/>
            <w:vAlign w:val="bottom"/>
            <w:hideMark/>
          </w:tcPr>
          <w:p w14:paraId="1A49459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6</w:t>
            </w:r>
          </w:p>
        </w:tc>
        <w:tc>
          <w:tcPr>
            <w:tcW w:w="1134" w:type="dxa"/>
            <w:tcBorders>
              <w:top w:val="nil"/>
              <w:left w:val="nil"/>
              <w:bottom w:val="nil"/>
              <w:right w:val="nil"/>
            </w:tcBorders>
            <w:shd w:val="clear" w:color="000000" w:fill="FFFFFF"/>
            <w:noWrap/>
            <w:vAlign w:val="bottom"/>
            <w:hideMark/>
          </w:tcPr>
          <w:p w14:paraId="080061EB"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w:t>
            </w:r>
          </w:p>
        </w:tc>
        <w:tc>
          <w:tcPr>
            <w:tcW w:w="851" w:type="dxa"/>
            <w:tcBorders>
              <w:top w:val="nil"/>
              <w:left w:val="nil"/>
              <w:bottom w:val="nil"/>
              <w:right w:val="nil"/>
            </w:tcBorders>
            <w:shd w:val="clear" w:color="000000" w:fill="FFFFFF"/>
            <w:noWrap/>
            <w:vAlign w:val="bottom"/>
            <w:hideMark/>
          </w:tcPr>
          <w:p w14:paraId="11B92B9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c>
          <w:tcPr>
            <w:tcW w:w="1275" w:type="dxa"/>
            <w:tcBorders>
              <w:top w:val="nil"/>
              <w:left w:val="single" w:sz="4" w:space="0" w:color="auto"/>
              <w:bottom w:val="nil"/>
              <w:right w:val="nil"/>
            </w:tcBorders>
            <w:shd w:val="clear" w:color="000000" w:fill="FFFFFF"/>
            <w:noWrap/>
            <w:vAlign w:val="bottom"/>
            <w:hideMark/>
          </w:tcPr>
          <w:p w14:paraId="07CA3B0B"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6</w:t>
            </w:r>
          </w:p>
        </w:tc>
        <w:tc>
          <w:tcPr>
            <w:tcW w:w="993" w:type="dxa"/>
            <w:tcBorders>
              <w:top w:val="nil"/>
              <w:left w:val="nil"/>
              <w:bottom w:val="nil"/>
              <w:right w:val="nil"/>
            </w:tcBorders>
            <w:shd w:val="clear" w:color="000000" w:fill="FFFFFF"/>
            <w:noWrap/>
            <w:vAlign w:val="bottom"/>
            <w:hideMark/>
          </w:tcPr>
          <w:p w14:paraId="7447B9C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w:t>
            </w:r>
          </w:p>
        </w:tc>
        <w:tc>
          <w:tcPr>
            <w:tcW w:w="992" w:type="dxa"/>
            <w:tcBorders>
              <w:top w:val="nil"/>
              <w:left w:val="nil"/>
              <w:bottom w:val="nil"/>
              <w:right w:val="nil"/>
            </w:tcBorders>
            <w:shd w:val="clear" w:color="000000" w:fill="FFFFFF"/>
            <w:noWrap/>
            <w:vAlign w:val="bottom"/>
            <w:hideMark/>
          </w:tcPr>
          <w:p w14:paraId="7EAF34F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r>
      <w:tr w:rsidR="002877C1" w:rsidRPr="00E75F90" w14:paraId="4FC973C6" w14:textId="77777777" w:rsidTr="002877C1">
        <w:trPr>
          <w:trHeight w:val="300"/>
        </w:trPr>
        <w:tc>
          <w:tcPr>
            <w:tcW w:w="6237" w:type="dxa"/>
            <w:tcBorders>
              <w:top w:val="nil"/>
              <w:left w:val="nil"/>
              <w:bottom w:val="nil"/>
              <w:right w:val="nil"/>
            </w:tcBorders>
            <w:shd w:val="clear" w:color="000000" w:fill="FFFFFF"/>
            <w:noWrap/>
            <w:vAlign w:val="bottom"/>
            <w:hideMark/>
          </w:tcPr>
          <w:p w14:paraId="1186060A"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Mental and behavioral disorders</w:t>
            </w:r>
          </w:p>
        </w:tc>
        <w:tc>
          <w:tcPr>
            <w:tcW w:w="1276" w:type="dxa"/>
            <w:tcBorders>
              <w:top w:val="nil"/>
              <w:left w:val="single" w:sz="4" w:space="0" w:color="auto"/>
              <w:bottom w:val="nil"/>
              <w:right w:val="nil"/>
            </w:tcBorders>
            <w:shd w:val="clear" w:color="000000" w:fill="FFFFFF"/>
            <w:noWrap/>
            <w:vAlign w:val="bottom"/>
            <w:hideMark/>
          </w:tcPr>
          <w:p w14:paraId="5DA277C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90</w:t>
            </w:r>
          </w:p>
        </w:tc>
        <w:tc>
          <w:tcPr>
            <w:tcW w:w="1418" w:type="dxa"/>
            <w:tcBorders>
              <w:top w:val="nil"/>
              <w:left w:val="nil"/>
              <w:bottom w:val="nil"/>
              <w:right w:val="single" w:sz="4" w:space="0" w:color="auto"/>
            </w:tcBorders>
            <w:shd w:val="clear" w:color="000000" w:fill="FFFFFF"/>
            <w:noWrap/>
            <w:vAlign w:val="bottom"/>
            <w:hideMark/>
          </w:tcPr>
          <w:p w14:paraId="3CDB39A9" w14:textId="03581C88"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w:t>
            </w:r>
            <w:r w:rsidR="00F942A8">
              <w:rPr>
                <w:rFonts w:eastAsia="Times New Roman" w:cs="Times New Roman"/>
                <w:color w:val="000000"/>
                <w:sz w:val="22"/>
                <w:szCs w:val="22"/>
                <w:lang w:val="en-GB" w:eastAsia="en-GB"/>
              </w:rPr>
              <w:t>,</w:t>
            </w:r>
            <w:r w:rsidRPr="00E75F90">
              <w:rPr>
                <w:rFonts w:eastAsia="Times New Roman" w:cs="Times New Roman"/>
                <w:color w:val="000000"/>
                <w:sz w:val="22"/>
                <w:szCs w:val="22"/>
                <w:lang w:val="en-GB" w:eastAsia="en-GB"/>
              </w:rPr>
              <w:t>788</w:t>
            </w:r>
          </w:p>
        </w:tc>
        <w:tc>
          <w:tcPr>
            <w:tcW w:w="1276" w:type="dxa"/>
            <w:tcBorders>
              <w:top w:val="nil"/>
              <w:left w:val="nil"/>
              <w:bottom w:val="nil"/>
              <w:right w:val="nil"/>
            </w:tcBorders>
            <w:shd w:val="clear" w:color="000000" w:fill="FFFFFF"/>
            <w:noWrap/>
            <w:vAlign w:val="bottom"/>
            <w:hideMark/>
          </w:tcPr>
          <w:p w14:paraId="413FCCBB"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15</w:t>
            </w:r>
          </w:p>
        </w:tc>
        <w:tc>
          <w:tcPr>
            <w:tcW w:w="1134" w:type="dxa"/>
            <w:tcBorders>
              <w:top w:val="nil"/>
              <w:left w:val="nil"/>
              <w:bottom w:val="nil"/>
              <w:right w:val="nil"/>
            </w:tcBorders>
            <w:shd w:val="clear" w:color="000000" w:fill="FFFFFF"/>
            <w:noWrap/>
            <w:vAlign w:val="bottom"/>
            <w:hideMark/>
          </w:tcPr>
          <w:p w14:paraId="479DEE9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6</w:t>
            </w:r>
          </w:p>
        </w:tc>
        <w:tc>
          <w:tcPr>
            <w:tcW w:w="851" w:type="dxa"/>
            <w:tcBorders>
              <w:top w:val="nil"/>
              <w:left w:val="nil"/>
              <w:bottom w:val="nil"/>
              <w:right w:val="nil"/>
            </w:tcBorders>
            <w:shd w:val="clear" w:color="000000" w:fill="FFFFFF"/>
            <w:noWrap/>
            <w:vAlign w:val="bottom"/>
            <w:hideMark/>
          </w:tcPr>
          <w:p w14:paraId="10D6C35E"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12.83</w:t>
            </w:r>
          </w:p>
        </w:tc>
        <w:tc>
          <w:tcPr>
            <w:tcW w:w="1275" w:type="dxa"/>
            <w:tcBorders>
              <w:top w:val="nil"/>
              <w:left w:val="single" w:sz="4" w:space="0" w:color="auto"/>
              <w:bottom w:val="nil"/>
              <w:right w:val="nil"/>
            </w:tcBorders>
            <w:shd w:val="clear" w:color="000000" w:fill="FFFFFF"/>
            <w:noWrap/>
            <w:vAlign w:val="bottom"/>
            <w:hideMark/>
          </w:tcPr>
          <w:p w14:paraId="1A119C9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16</w:t>
            </w:r>
          </w:p>
        </w:tc>
        <w:tc>
          <w:tcPr>
            <w:tcW w:w="993" w:type="dxa"/>
            <w:tcBorders>
              <w:top w:val="nil"/>
              <w:left w:val="nil"/>
              <w:bottom w:val="nil"/>
              <w:right w:val="nil"/>
            </w:tcBorders>
            <w:shd w:val="clear" w:color="000000" w:fill="FFFFFF"/>
            <w:noWrap/>
            <w:vAlign w:val="bottom"/>
            <w:hideMark/>
          </w:tcPr>
          <w:p w14:paraId="30B0B2C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111.75</w:t>
            </w:r>
          </w:p>
        </w:tc>
        <w:tc>
          <w:tcPr>
            <w:tcW w:w="992" w:type="dxa"/>
            <w:tcBorders>
              <w:top w:val="nil"/>
              <w:left w:val="nil"/>
              <w:bottom w:val="nil"/>
              <w:right w:val="nil"/>
            </w:tcBorders>
            <w:shd w:val="clear" w:color="000000" w:fill="FFFFFF"/>
            <w:noWrap/>
            <w:vAlign w:val="bottom"/>
            <w:hideMark/>
          </w:tcPr>
          <w:p w14:paraId="05C7746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258.34</w:t>
            </w:r>
          </w:p>
        </w:tc>
      </w:tr>
      <w:tr w:rsidR="002877C1" w:rsidRPr="00E75F90" w14:paraId="23AEC099" w14:textId="77777777" w:rsidTr="002877C1">
        <w:trPr>
          <w:trHeight w:val="300"/>
        </w:trPr>
        <w:tc>
          <w:tcPr>
            <w:tcW w:w="6237" w:type="dxa"/>
            <w:tcBorders>
              <w:top w:val="nil"/>
              <w:left w:val="nil"/>
              <w:bottom w:val="nil"/>
              <w:right w:val="nil"/>
            </w:tcBorders>
            <w:shd w:val="clear" w:color="000000" w:fill="FFFFFF"/>
            <w:noWrap/>
            <w:vAlign w:val="bottom"/>
            <w:hideMark/>
          </w:tcPr>
          <w:p w14:paraId="7E6B6365"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Musculoskeletal disorders</w:t>
            </w:r>
          </w:p>
        </w:tc>
        <w:tc>
          <w:tcPr>
            <w:tcW w:w="1276" w:type="dxa"/>
            <w:tcBorders>
              <w:top w:val="nil"/>
              <w:left w:val="single" w:sz="4" w:space="0" w:color="auto"/>
              <w:bottom w:val="nil"/>
              <w:right w:val="nil"/>
            </w:tcBorders>
            <w:shd w:val="clear" w:color="000000" w:fill="FFFFFF"/>
            <w:noWrap/>
            <w:vAlign w:val="bottom"/>
            <w:hideMark/>
          </w:tcPr>
          <w:p w14:paraId="78D10C2E"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73</w:t>
            </w:r>
          </w:p>
        </w:tc>
        <w:tc>
          <w:tcPr>
            <w:tcW w:w="1418" w:type="dxa"/>
            <w:tcBorders>
              <w:top w:val="nil"/>
              <w:left w:val="nil"/>
              <w:bottom w:val="nil"/>
              <w:right w:val="single" w:sz="4" w:space="0" w:color="auto"/>
            </w:tcBorders>
            <w:shd w:val="clear" w:color="000000" w:fill="FFFFFF"/>
            <w:noWrap/>
            <w:vAlign w:val="bottom"/>
            <w:hideMark/>
          </w:tcPr>
          <w:p w14:paraId="06CD2F89" w14:textId="2BF8D034"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w:t>
            </w:r>
            <w:r w:rsidR="00F942A8">
              <w:rPr>
                <w:rFonts w:eastAsia="Times New Roman" w:cs="Times New Roman"/>
                <w:color w:val="000000"/>
                <w:sz w:val="22"/>
                <w:szCs w:val="22"/>
                <w:lang w:val="en-GB" w:eastAsia="en-GB"/>
              </w:rPr>
              <w:t>,</w:t>
            </w:r>
            <w:r w:rsidRPr="00E75F90">
              <w:rPr>
                <w:rFonts w:eastAsia="Times New Roman" w:cs="Times New Roman"/>
                <w:color w:val="000000"/>
                <w:sz w:val="22"/>
                <w:szCs w:val="22"/>
                <w:lang w:val="en-GB" w:eastAsia="en-GB"/>
              </w:rPr>
              <w:t>088</w:t>
            </w:r>
          </w:p>
        </w:tc>
        <w:tc>
          <w:tcPr>
            <w:tcW w:w="1276" w:type="dxa"/>
            <w:tcBorders>
              <w:top w:val="nil"/>
              <w:left w:val="nil"/>
              <w:bottom w:val="nil"/>
              <w:right w:val="nil"/>
            </w:tcBorders>
            <w:shd w:val="clear" w:color="000000" w:fill="FFFFFF"/>
            <w:noWrap/>
            <w:vAlign w:val="bottom"/>
            <w:hideMark/>
          </w:tcPr>
          <w:p w14:paraId="08A540C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w:t>
            </w:r>
          </w:p>
        </w:tc>
        <w:tc>
          <w:tcPr>
            <w:tcW w:w="1134" w:type="dxa"/>
            <w:tcBorders>
              <w:top w:val="nil"/>
              <w:left w:val="nil"/>
              <w:bottom w:val="nil"/>
              <w:right w:val="nil"/>
            </w:tcBorders>
            <w:shd w:val="clear" w:color="000000" w:fill="FFFFFF"/>
            <w:noWrap/>
            <w:vAlign w:val="bottom"/>
            <w:hideMark/>
          </w:tcPr>
          <w:p w14:paraId="46B22FD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24.33</w:t>
            </w:r>
          </w:p>
        </w:tc>
        <w:tc>
          <w:tcPr>
            <w:tcW w:w="851" w:type="dxa"/>
            <w:tcBorders>
              <w:top w:val="nil"/>
              <w:left w:val="nil"/>
              <w:bottom w:val="nil"/>
              <w:right w:val="nil"/>
            </w:tcBorders>
            <w:shd w:val="clear" w:color="000000" w:fill="FFFFFF"/>
            <w:noWrap/>
            <w:vAlign w:val="bottom"/>
            <w:hideMark/>
          </w:tcPr>
          <w:p w14:paraId="3CE20B0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17.21</w:t>
            </w:r>
          </w:p>
        </w:tc>
        <w:tc>
          <w:tcPr>
            <w:tcW w:w="1275" w:type="dxa"/>
            <w:tcBorders>
              <w:top w:val="nil"/>
              <w:left w:val="single" w:sz="4" w:space="0" w:color="auto"/>
              <w:bottom w:val="nil"/>
              <w:right w:val="nil"/>
            </w:tcBorders>
            <w:shd w:val="clear" w:color="000000" w:fill="FFFFFF"/>
            <w:noWrap/>
            <w:vAlign w:val="bottom"/>
            <w:hideMark/>
          </w:tcPr>
          <w:p w14:paraId="46CD965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w:t>
            </w:r>
          </w:p>
        </w:tc>
        <w:tc>
          <w:tcPr>
            <w:tcW w:w="993" w:type="dxa"/>
            <w:tcBorders>
              <w:top w:val="nil"/>
              <w:left w:val="nil"/>
              <w:bottom w:val="nil"/>
              <w:right w:val="nil"/>
            </w:tcBorders>
            <w:shd w:val="clear" w:color="000000" w:fill="FFFFFF"/>
            <w:noWrap/>
            <w:vAlign w:val="bottom"/>
            <w:hideMark/>
          </w:tcPr>
          <w:p w14:paraId="580D1AB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362.67</w:t>
            </w:r>
          </w:p>
        </w:tc>
        <w:tc>
          <w:tcPr>
            <w:tcW w:w="992" w:type="dxa"/>
            <w:tcBorders>
              <w:top w:val="nil"/>
              <w:left w:val="nil"/>
              <w:bottom w:val="nil"/>
              <w:right w:val="nil"/>
            </w:tcBorders>
            <w:shd w:val="clear" w:color="000000" w:fill="FFFFFF"/>
            <w:noWrap/>
            <w:vAlign w:val="bottom"/>
            <w:hideMark/>
          </w:tcPr>
          <w:p w14:paraId="09C69E2C"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324.08</w:t>
            </w:r>
          </w:p>
        </w:tc>
      </w:tr>
      <w:tr w:rsidR="002877C1" w:rsidRPr="00E75F90" w14:paraId="47AACFC9" w14:textId="77777777" w:rsidTr="002877C1">
        <w:trPr>
          <w:trHeight w:val="300"/>
        </w:trPr>
        <w:tc>
          <w:tcPr>
            <w:tcW w:w="6237" w:type="dxa"/>
            <w:tcBorders>
              <w:top w:val="nil"/>
              <w:left w:val="nil"/>
              <w:bottom w:val="nil"/>
              <w:right w:val="nil"/>
            </w:tcBorders>
            <w:shd w:val="clear" w:color="000000" w:fill="FFFFFF"/>
            <w:noWrap/>
            <w:vAlign w:val="bottom"/>
            <w:hideMark/>
          </w:tcPr>
          <w:p w14:paraId="021F736B"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Neglected tropical diseases and malaria</w:t>
            </w:r>
          </w:p>
        </w:tc>
        <w:tc>
          <w:tcPr>
            <w:tcW w:w="1276" w:type="dxa"/>
            <w:tcBorders>
              <w:top w:val="nil"/>
              <w:left w:val="single" w:sz="4" w:space="0" w:color="auto"/>
              <w:bottom w:val="nil"/>
              <w:right w:val="nil"/>
            </w:tcBorders>
            <w:shd w:val="clear" w:color="000000" w:fill="FFFFFF"/>
            <w:noWrap/>
            <w:vAlign w:val="bottom"/>
            <w:hideMark/>
          </w:tcPr>
          <w:p w14:paraId="0B9B8E7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25</w:t>
            </w:r>
          </w:p>
        </w:tc>
        <w:tc>
          <w:tcPr>
            <w:tcW w:w="1418" w:type="dxa"/>
            <w:tcBorders>
              <w:top w:val="nil"/>
              <w:left w:val="nil"/>
              <w:bottom w:val="nil"/>
              <w:right w:val="single" w:sz="4" w:space="0" w:color="auto"/>
            </w:tcBorders>
            <w:shd w:val="clear" w:color="000000" w:fill="FFFFFF"/>
            <w:noWrap/>
            <w:vAlign w:val="bottom"/>
            <w:hideMark/>
          </w:tcPr>
          <w:p w14:paraId="69B42BD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188</w:t>
            </w:r>
          </w:p>
        </w:tc>
        <w:tc>
          <w:tcPr>
            <w:tcW w:w="1276" w:type="dxa"/>
            <w:tcBorders>
              <w:top w:val="nil"/>
              <w:left w:val="nil"/>
              <w:bottom w:val="nil"/>
              <w:right w:val="nil"/>
            </w:tcBorders>
            <w:shd w:val="clear" w:color="000000" w:fill="FFFFFF"/>
            <w:noWrap/>
            <w:vAlign w:val="bottom"/>
            <w:hideMark/>
          </w:tcPr>
          <w:p w14:paraId="4003B19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w:t>
            </w:r>
          </w:p>
        </w:tc>
        <w:tc>
          <w:tcPr>
            <w:tcW w:w="1134" w:type="dxa"/>
            <w:tcBorders>
              <w:top w:val="nil"/>
              <w:left w:val="nil"/>
              <w:bottom w:val="nil"/>
              <w:right w:val="nil"/>
            </w:tcBorders>
            <w:shd w:val="clear" w:color="000000" w:fill="FFFFFF"/>
            <w:noWrap/>
            <w:vAlign w:val="bottom"/>
            <w:hideMark/>
          </w:tcPr>
          <w:p w14:paraId="68BFCEA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2.78</w:t>
            </w:r>
          </w:p>
        </w:tc>
        <w:tc>
          <w:tcPr>
            <w:tcW w:w="851" w:type="dxa"/>
            <w:tcBorders>
              <w:top w:val="nil"/>
              <w:left w:val="nil"/>
              <w:bottom w:val="nil"/>
              <w:right w:val="nil"/>
            </w:tcBorders>
            <w:shd w:val="clear" w:color="000000" w:fill="FFFFFF"/>
            <w:noWrap/>
            <w:vAlign w:val="bottom"/>
            <w:hideMark/>
          </w:tcPr>
          <w:p w14:paraId="2166F73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2.05</w:t>
            </w:r>
          </w:p>
        </w:tc>
        <w:tc>
          <w:tcPr>
            <w:tcW w:w="1275" w:type="dxa"/>
            <w:tcBorders>
              <w:top w:val="nil"/>
              <w:left w:val="single" w:sz="4" w:space="0" w:color="auto"/>
              <w:bottom w:val="nil"/>
              <w:right w:val="nil"/>
            </w:tcBorders>
            <w:shd w:val="clear" w:color="000000" w:fill="FFFFFF"/>
            <w:noWrap/>
            <w:vAlign w:val="bottom"/>
            <w:hideMark/>
          </w:tcPr>
          <w:p w14:paraId="0626D512"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8</w:t>
            </w:r>
          </w:p>
        </w:tc>
        <w:tc>
          <w:tcPr>
            <w:tcW w:w="993" w:type="dxa"/>
            <w:tcBorders>
              <w:top w:val="nil"/>
              <w:left w:val="nil"/>
              <w:bottom w:val="nil"/>
              <w:right w:val="nil"/>
            </w:tcBorders>
            <w:shd w:val="clear" w:color="000000" w:fill="FFFFFF"/>
            <w:noWrap/>
            <w:vAlign w:val="bottom"/>
            <w:hideMark/>
          </w:tcPr>
          <w:p w14:paraId="1AC8D01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23.5</w:t>
            </w:r>
          </w:p>
        </w:tc>
        <w:tc>
          <w:tcPr>
            <w:tcW w:w="992" w:type="dxa"/>
            <w:tcBorders>
              <w:top w:val="nil"/>
              <w:left w:val="nil"/>
              <w:bottom w:val="nil"/>
              <w:right w:val="nil"/>
            </w:tcBorders>
            <w:shd w:val="clear" w:color="000000" w:fill="FFFFFF"/>
            <w:noWrap/>
            <w:vAlign w:val="bottom"/>
            <w:hideMark/>
          </w:tcPr>
          <w:p w14:paraId="24E3867A"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47.70</w:t>
            </w:r>
          </w:p>
        </w:tc>
      </w:tr>
      <w:tr w:rsidR="002877C1" w:rsidRPr="003359A0" w14:paraId="08A0D9B3" w14:textId="77777777" w:rsidTr="002877C1">
        <w:trPr>
          <w:trHeight w:val="300"/>
        </w:trPr>
        <w:tc>
          <w:tcPr>
            <w:tcW w:w="6237" w:type="dxa"/>
            <w:tcBorders>
              <w:top w:val="nil"/>
              <w:left w:val="nil"/>
              <w:bottom w:val="nil"/>
              <w:right w:val="nil"/>
            </w:tcBorders>
            <w:shd w:val="clear" w:color="000000" w:fill="FFFFFF"/>
            <w:noWrap/>
            <w:vAlign w:val="bottom"/>
            <w:hideMark/>
          </w:tcPr>
          <w:p w14:paraId="7EF22736" w14:textId="77777777" w:rsidR="00E75F90" w:rsidRPr="00E75F90" w:rsidRDefault="00E75F90" w:rsidP="009C7054">
            <w:pPr>
              <w:spacing w:line="480" w:lineRule="auto"/>
              <w:rPr>
                <w:rFonts w:eastAsia="Times New Roman" w:cs="Times New Roman"/>
                <w:sz w:val="22"/>
                <w:szCs w:val="22"/>
                <w:lang w:val="en-GB" w:eastAsia="en-GB"/>
              </w:rPr>
            </w:pPr>
            <w:r w:rsidRPr="00E75F90">
              <w:rPr>
                <w:rFonts w:eastAsia="Times New Roman" w:cs="Times New Roman"/>
                <w:sz w:val="22"/>
                <w:szCs w:val="22"/>
                <w:lang w:val="en-GB" w:eastAsia="en-GB"/>
              </w:rPr>
              <w:lastRenderedPageBreak/>
              <w:t>Neonatal deficiencies</w:t>
            </w:r>
          </w:p>
        </w:tc>
        <w:tc>
          <w:tcPr>
            <w:tcW w:w="1276" w:type="dxa"/>
            <w:tcBorders>
              <w:top w:val="nil"/>
              <w:left w:val="single" w:sz="4" w:space="0" w:color="auto"/>
              <w:bottom w:val="nil"/>
              <w:right w:val="nil"/>
            </w:tcBorders>
            <w:shd w:val="clear" w:color="000000" w:fill="FFFFFF"/>
            <w:noWrap/>
            <w:vAlign w:val="bottom"/>
            <w:hideMark/>
          </w:tcPr>
          <w:p w14:paraId="2AD7309D"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0</w:t>
            </w:r>
          </w:p>
        </w:tc>
        <w:tc>
          <w:tcPr>
            <w:tcW w:w="1418" w:type="dxa"/>
            <w:tcBorders>
              <w:top w:val="nil"/>
              <w:left w:val="nil"/>
              <w:bottom w:val="nil"/>
              <w:right w:val="single" w:sz="4" w:space="0" w:color="auto"/>
            </w:tcBorders>
            <w:shd w:val="clear" w:color="000000" w:fill="FFFFFF"/>
            <w:noWrap/>
            <w:vAlign w:val="bottom"/>
            <w:hideMark/>
          </w:tcPr>
          <w:p w14:paraId="1C70C364"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7</w:t>
            </w:r>
          </w:p>
        </w:tc>
        <w:tc>
          <w:tcPr>
            <w:tcW w:w="1276" w:type="dxa"/>
            <w:tcBorders>
              <w:top w:val="nil"/>
              <w:left w:val="nil"/>
              <w:bottom w:val="nil"/>
              <w:right w:val="nil"/>
            </w:tcBorders>
            <w:shd w:val="clear" w:color="000000" w:fill="FFFFFF"/>
            <w:noWrap/>
            <w:vAlign w:val="bottom"/>
            <w:hideMark/>
          </w:tcPr>
          <w:p w14:paraId="2D048A54"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0</w:t>
            </w:r>
          </w:p>
        </w:tc>
        <w:tc>
          <w:tcPr>
            <w:tcW w:w="1134" w:type="dxa"/>
            <w:tcBorders>
              <w:top w:val="nil"/>
              <w:left w:val="nil"/>
              <w:bottom w:val="nil"/>
              <w:right w:val="nil"/>
            </w:tcBorders>
            <w:shd w:val="clear" w:color="000000" w:fill="FFFFFF"/>
            <w:noWrap/>
            <w:vAlign w:val="bottom"/>
            <w:hideMark/>
          </w:tcPr>
          <w:p w14:paraId="223B786E"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0</w:t>
            </w:r>
          </w:p>
        </w:tc>
        <w:tc>
          <w:tcPr>
            <w:tcW w:w="851" w:type="dxa"/>
            <w:tcBorders>
              <w:top w:val="nil"/>
              <w:left w:val="nil"/>
              <w:bottom w:val="nil"/>
              <w:right w:val="nil"/>
            </w:tcBorders>
            <w:shd w:val="clear" w:color="000000" w:fill="FFFFFF"/>
            <w:noWrap/>
            <w:vAlign w:val="bottom"/>
            <w:hideMark/>
          </w:tcPr>
          <w:p w14:paraId="5E87EB7A"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0</w:t>
            </w:r>
          </w:p>
        </w:tc>
        <w:tc>
          <w:tcPr>
            <w:tcW w:w="1275" w:type="dxa"/>
            <w:tcBorders>
              <w:top w:val="nil"/>
              <w:left w:val="single" w:sz="4" w:space="0" w:color="auto"/>
              <w:bottom w:val="nil"/>
              <w:right w:val="nil"/>
            </w:tcBorders>
            <w:shd w:val="clear" w:color="000000" w:fill="FFFFFF"/>
            <w:noWrap/>
            <w:vAlign w:val="bottom"/>
            <w:hideMark/>
          </w:tcPr>
          <w:p w14:paraId="1F618728"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2</w:t>
            </w:r>
          </w:p>
        </w:tc>
        <w:tc>
          <w:tcPr>
            <w:tcW w:w="993" w:type="dxa"/>
            <w:tcBorders>
              <w:top w:val="nil"/>
              <w:left w:val="nil"/>
              <w:bottom w:val="nil"/>
              <w:right w:val="nil"/>
            </w:tcBorders>
            <w:shd w:val="clear" w:color="000000" w:fill="FFFFFF"/>
            <w:noWrap/>
            <w:vAlign w:val="bottom"/>
            <w:hideMark/>
          </w:tcPr>
          <w:p w14:paraId="7B8AC938"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 xml:space="preserve"> 3.5</w:t>
            </w:r>
          </w:p>
        </w:tc>
        <w:tc>
          <w:tcPr>
            <w:tcW w:w="992" w:type="dxa"/>
            <w:tcBorders>
              <w:top w:val="nil"/>
              <w:left w:val="nil"/>
              <w:bottom w:val="nil"/>
              <w:right w:val="nil"/>
            </w:tcBorders>
            <w:shd w:val="clear" w:color="000000" w:fill="FFFFFF"/>
            <w:noWrap/>
            <w:vAlign w:val="bottom"/>
            <w:hideMark/>
          </w:tcPr>
          <w:p w14:paraId="16565252" w14:textId="77777777" w:rsidR="00E75F90" w:rsidRPr="00E75F90" w:rsidRDefault="00E75F90" w:rsidP="009C7054">
            <w:pPr>
              <w:spacing w:line="480" w:lineRule="auto"/>
              <w:jc w:val="right"/>
              <w:rPr>
                <w:rFonts w:eastAsia="Times New Roman" w:cs="Times New Roman"/>
                <w:sz w:val="22"/>
                <w:szCs w:val="22"/>
                <w:lang w:val="en-GB" w:eastAsia="en-GB"/>
              </w:rPr>
            </w:pPr>
            <w:r w:rsidRPr="00E75F90">
              <w:rPr>
                <w:rFonts w:eastAsia="Times New Roman" w:cs="Times New Roman"/>
                <w:sz w:val="22"/>
                <w:szCs w:val="22"/>
                <w:lang w:val="en-GB" w:eastAsia="en-GB"/>
              </w:rPr>
              <w:t>3.53</w:t>
            </w:r>
          </w:p>
        </w:tc>
      </w:tr>
      <w:tr w:rsidR="002877C1" w:rsidRPr="00E75F90" w14:paraId="1B72193E" w14:textId="77777777" w:rsidTr="002877C1">
        <w:trPr>
          <w:trHeight w:val="300"/>
        </w:trPr>
        <w:tc>
          <w:tcPr>
            <w:tcW w:w="6237" w:type="dxa"/>
            <w:tcBorders>
              <w:top w:val="nil"/>
              <w:left w:val="nil"/>
              <w:bottom w:val="nil"/>
              <w:right w:val="nil"/>
            </w:tcBorders>
            <w:shd w:val="clear" w:color="000000" w:fill="FFFFFF"/>
            <w:noWrap/>
            <w:vAlign w:val="bottom"/>
            <w:hideMark/>
          </w:tcPr>
          <w:p w14:paraId="1DCC6D90"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Neoplasms</w:t>
            </w:r>
          </w:p>
        </w:tc>
        <w:tc>
          <w:tcPr>
            <w:tcW w:w="1276" w:type="dxa"/>
            <w:tcBorders>
              <w:top w:val="nil"/>
              <w:left w:val="single" w:sz="4" w:space="0" w:color="auto"/>
              <w:bottom w:val="nil"/>
              <w:right w:val="nil"/>
            </w:tcBorders>
            <w:shd w:val="clear" w:color="000000" w:fill="FFFFFF"/>
            <w:noWrap/>
            <w:vAlign w:val="bottom"/>
            <w:hideMark/>
          </w:tcPr>
          <w:p w14:paraId="4693F65E"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285</w:t>
            </w:r>
          </w:p>
        </w:tc>
        <w:tc>
          <w:tcPr>
            <w:tcW w:w="1418" w:type="dxa"/>
            <w:tcBorders>
              <w:top w:val="nil"/>
              <w:left w:val="nil"/>
              <w:bottom w:val="nil"/>
              <w:right w:val="single" w:sz="4" w:space="0" w:color="auto"/>
            </w:tcBorders>
            <w:shd w:val="clear" w:color="000000" w:fill="FFFFFF"/>
            <w:noWrap/>
            <w:vAlign w:val="bottom"/>
            <w:hideMark/>
          </w:tcPr>
          <w:p w14:paraId="355F51CF" w14:textId="2F2EA83C"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7</w:t>
            </w:r>
            <w:r w:rsidR="00F942A8">
              <w:rPr>
                <w:rFonts w:eastAsia="Times New Roman" w:cs="Times New Roman"/>
                <w:color w:val="000000"/>
                <w:sz w:val="22"/>
                <w:szCs w:val="22"/>
                <w:lang w:val="en-GB" w:eastAsia="en-GB"/>
              </w:rPr>
              <w:t>,</w:t>
            </w:r>
            <w:r w:rsidRPr="00E75F90">
              <w:rPr>
                <w:rFonts w:eastAsia="Times New Roman" w:cs="Times New Roman"/>
                <w:color w:val="000000"/>
                <w:sz w:val="22"/>
                <w:szCs w:val="22"/>
                <w:lang w:val="en-GB" w:eastAsia="en-GB"/>
              </w:rPr>
              <w:t>670</w:t>
            </w:r>
          </w:p>
        </w:tc>
        <w:tc>
          <w:tcPr>
            <w:tcW w:w="1276" w:type="dxa"/>
            <w:tcBorders>
              <w:top w:val="nil"/>
              <w:left w:val="nil"/>
              <w:bottom w:val="nil"/>
              <w:right w:val="nil"/>
            </w:tcBorders>
            <w:shd w:val="clear" w:color="000000" w:fill="FFFFFF"/>
            <w:noWrap/>
            <w:vAlign w:val="bottom"/>
            <w:hideMark/>
          </w:tcPr>
          <w:p w14:paraId="24D24DF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27</w:t>
            </w:r>
          </w:p>
        </w:tc>
        <w:tc>
          <w:tcPr>
            <w:tcW w:w="1134" w:type="dxa"/>
            <w:tcBorders>
              <w:top w:val="nil"/>
              <w:left w:val="nil"/>
              <w:bottom w:val="nil"/>
              <w:right w:val="nil"/>
            </w:tcBorders>
            <w:shd w:val="clear" w:color="000000" w:fill="FFFFFF"/>
            <w:noWrap/>
            <w:vAlign w:val="bottom"/>
            <w:hideMark/>
          </w:tcPr>
          <w:p w14:paraId="3306A9F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10.56</w:t>
            </w:r>
          </w:p>
        </w:tc>
        <w:tc>
          <w:tcPr>
            <w:tcW w:w="851" w:type="dxa"/>
            <w:tcBorders>
              <w:top w:val="nil"/>
              <w:left w:val="nil"/>
              <w:bottom w:val="nil"/>
              <w:right w:val="nil"/>
            </w:tcBorders>
            <w:shd w:val="clear" w:color="000000" w:fill="FFFFFF"/>
            <w:noWrap/>
            <w:vAlign w:val="bottom"/>
            <w:hideMark/>
          </w:tcPr>
          <w:p w14:paraId="21B263E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21.20</w:t>
            </w:r>
          </w:p>
        </w:tc>
        <w:tc>
          <w:tcPr>
            <w:tcW w:w="1275" w:type="dxa"/>
            <w:tcBorders>
              <w:top w:val="nil"/>
              <w:left w:val="single" w:sz="4" w:space="0" w:color="auto"/>
              <w:bottom w:val="nil"/>
              <w:right w:val="nil"/>
            </w:tcBorders>
            <w:shd w:val="clear" w:color="000000" w:fill="FFFFFF"/>
            <w:noWrap/>
            <w:vAlign w:val="bottom"/>
            <w:hideMark/>
          </w:tcPr>
          <w:p w14:paraId="53AEAD1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27</w:t>
            </w:r>
          </w:p>
        </w:tc>
        <w:tc>
          <w:tcPr>
            <w:tcW w:w="993" w:type="dxa"/>
            <w:tcBorders>
              <w:top w:val="nil"/>
              <w:left w:val="nil"/>
              <w:bottom w:val="nil"/>
              <w:right w:val="nil"/>
            </w:tcBorders>
            <w:shd w:val="clear" w:color="000000" w:fill="FFFFFF"/>
            <w:noWrap/>
            <w:vAlign w:val="bottom"/>
            <w:hideMark/>
          </w:tcPr>
          <w:p w14:paraId="6F32487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284.07</w:t>
            </w:r>
          </w:p>
        </w:tc>
        <w:tc>
          <w:tcPr>
            <w:tcW w:w="992" w:type="dxa"/>
            <w:tcBorders>
              <w:top w:val="nil"/>
              <w:left w:val="nil"/>
              <w:bottom w:val="nil"/>
              <w:right w:val="nil"/>
            </w:tcBorders>
            <w:shd w:val="clear" w:color="000000" w:fill="FFFFFF"/>
            <w:noWrap/>
            <w:vAlign w:val="bottom"/>
            <w:hideMark/>
          </w:tcPr>
          <w:p w14:paraId="77127DD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570.66</w:t>
            </w:r>
          </w:p>
        </w:tc>
      </w:tr>
      <w:tr w:rsidR="002877C1" w:rsidRPr="00E75F90" w14:paraId="572C4A21" w14:textId="77777777" w:rsidTr="002877C1">
        <w:trPr>
          <w:trHeight w:val="300"/>
        </w:trPr>
        <w:tc>
          <w:tcPr>
            <w:tcW w:w="6237" w:type="dxa"/>
            <w:tcBorders>
              <w:top w:val="nil"/>
              <w:left w:val="nil"/>
              <w:bottom w:val="nil"/>
              <w:right w:val="nil"/>
            </w:tcBorders>
            <w:shd w:val="clear" w:color="000000" w:fill="FFFFFF"/>
            <w:noWrap/>
            <w:vAlign w:val="bottom"/>
            <w:hideMark/>
          </w:tcPr>
          <w:p w14:paraId="033F104E"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Neurological disorders</w:t>
            </w:r>
          </w:p>
        </w:tc>
        <w:tc>
          <w:tcPr>
            <w:tcW w:w="1276" w:type="dxa"/>
            <w:tcBorders>
              <w:top w:val="nil"/>
              <w:left w:val="single" w:sz="4" w:space="0" w:color="auto"/>
              <w:bottom w:val="nil"/>
              <w:right w:val="nil"/>
            </w:tcBorders>
            <w:shd w:val="clear" w:color="000000" w:fill="FFFFFF"/>
            <w:noWrap/>
            <w:vAlign w:val="bottom"/>
            <w:hideMark/>
          </w:tcPr>
          <w:p w14:paraId="25613D5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14</w:t>
            </w:r>
          </w:p>
        </w:tc>
        <w:tc>
          <w:tcPr>
            <w:tcW w:w="1418" w:type="dxa"/>
            <w:tcBorders>
              <w:top w:val="nil"/>
              <w:left w:val="nil"/>
              <w:bottom w:val="nil"/>
              <w:right w:val="single" w:sz="4" w:space="0" w:color="auto"/>
            </w:tcBorders>
            <w:shd w:val="clear" w:color="000000" w:fill="FFFFFF"/>
            <w:noWrap/>
            <w:vAlign w:val="bottom"/>
            <w:hideMark/>
          </w:tcPr>
          <w:p w14:paraId="1E7A93D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595</w:t>
            </w:r>
          </w:p>
        </w:tc>
        <w:tc>
          <w:tcPr>
            <w:tcW w:w="1276" w:type="dxa"/>
            <w:tcBorders>
              <w:top w:val="nil"/>
              <w:left w:val="nil"/>
              <w:bottom w:val="nil"/>
              <w:right w:val="nil"/>
            </w:tcBorders>
            <w:shd w:val="clear" w:color="000000" w:fill="FFFFFF"/>
            <w:noWrap/>
            <w:vAlign w:val="bottom"/>
            <w:hideMark/>
          </w:tcPr>
          <w:p w14:paraId="5F856A4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7</w:t>
            </w:r>
          </w:p>
        </w:tc>
        <w:tc>
          <w:tcPr>
            <w:tcW w:w="1134" w:type="dxa"/>
            <w:tcBorders>
              <w:top w:val="nil"/>
              <w:left w:val="nil"/>
              <w:bottom w:val="nil"/>
              <w:right w:val="nil"/>
            </w:tcBorders>
            <w:shd w:val="clear" w:color="000000" w:fill="FFFFFF"/>
            <w:noWrap/>
            <w:vAlign w:val="bottom"/>
            <w:hideMark/>
          </w:tcPr>
          <w:p w14:paraId="1C4C00B7"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w:t>
            </w:r>
          </w:p>
        </w:tc>
        <w:tc>
          <w:tcPr>
            <w:tcW w:w="851" w:type="dxa"/>
            <w:tcBorders>
              <w:top w:val="nil"/>
              <w:left w:val="nil"/>
              <w:bottom w:val="nil"/>
              <w:right w:val="nil"/>
            </w:tcBorders>
            <w:shd w:val="clear" w:color="000000" w:fill="FFFFFF"/>
            <w:noWrap/>
            <w:vAlign w:val="bottom"/>
            <w:hideMark/>
          </w:tcPr>
          <w:p w14:paraId="2AC41FC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2.16</w:t>
            </w:r>
          </w:p>
        </w:tc>
        <w:tc>
          <w:tcPr>
            <w:tcW w:w="1275" w:type="dxa"/>
            <w:tcBorders>
              <w:top w:val="nil"/>
              <w:left w:val="single" w:sz="4" w:space="0" w:color="auto"/>
              <w:bottom w:val="nil"/>
              <w:right w:val="nil"/>
            </w:tcBorders>
            <w:shd w:val="clear" w:color="000000" w:fill="FFFFFF"/>
            <w:noWrap/>
            <w:vAlign w:val="bottom"/>
            <w:hideMark/>
          </w:tcPr>
          <w:p w14:paraId="41050BEF"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7</w:t>
            </w:r>
          </w:p>
        </w:tc>
        <w:tc>
          <w:tcPr>
            <w:tcW w:w="993" w:type="dxa"/>
            <w:tcBorders>
              <w:top w:val="nil"/>
              <w:left w:val="nil"/>
              <w:bottom w:val="nil"/>
              <w:right w:val="nil"/>
            </w:tcBorders>
            <w:shd w:val="clear" w:color="000000" w:fill="FFFFFF"/>
            <w:noWrap/>
            <w:vAlign w:val="bottom"/>
            <w:hideMark/>
          </w:tcPr>
          <w:p w14:paraId="79A7B17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85</w:t>
            </w:r>
          </w:p>
        </w:tc>
        <w:tc>
          <w:tcPr>
            <w:tcW w:w="992" w:type="dxa"/>
            <w:tcBorders>
              <w:top w:val="nil"/>
              <w:left w:val="nil"/>
              <w:bottom w:val="nil"/>
              <w:right w:val="nil"/>
            </w:tcBorders>
            <w:shd w:val="clear" w:color="000000" w:fill="FFFFFF"/>
            <w:noWrap/>
            <w:vAlign w:val="bottom"/>
            <w:hideMark/>
          </w:tcPr>
          <w:p w14:paraId="314FA2FB"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93.85</w:t>
            </w:r>
          </w:p>
        </w:tc>
      </w:tr>
      <w:tr w:rsidR="002877C1" w:rsidRPr="00E75F90" w14:paraId="0B16EA79" w14:textId="77777777" w:rsidTr="002877C1">
        <w:trPr>
          <w:trHeight w:val="300"/>
        </w:trPr>
        <w:tc>
          <w:tcPr>
            <w:tcW w:w="6237" w:type="dxa"/>
            <w:tcBorders>
              <w:top w:val="nil"/>
              <w:left w:val="nil"/>
              <w:bottom w:val="nil"/>
              <w:right w:val="nil"/>
            </w:tcBorders>
            <w:shd w:val="clear" w:color="000000" w:fill="FFFFFF"/>
            <w:noWrap/>
            <w:vAlign w:val="bottom"/>
            <w:hideMark/>
          </w:tcPr>
          <w:p w14:paraId="5924B0C0"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Nutritional deficiencies</w:t>
            </w:r>
          </w:p>
        </w:tc>
        <w:tc>
          <w:tcPr>
            <w:tcW w:w="1276" w:type="dxa"/>
            <w:tcBorders>
              <w:top w:val="nil"/>
              <w:left w:val="single" w:sz="4" w:space="0" w:color="auto"/>
              <w:bottom w:val="nil"/>
              <w:right w:val="nil"/>
            </w:tcBorders>
            <w:shd w:val="clear" w:color="000000" w:fill="FFFFFF"/>
            <w:noWrap/>
            <w:vAlign w:val="bottom"/>
            <w:hideMark/>
          </w:tcPr>
          <w:p w14:paraId="6F9D8AA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c>
          <w:tcPr>
            <w:tcW w:w="1418" w:type="dxa"/>
            <w:tcBorders>
              <w:top w:val="nil"/>
              <w:left w:val="nil"/>
              <w:bottom w:val="nil"/>
              <w:right w:val="single" w:sz="4" w:space="0" w:color="auto"/>
            </w:tcBorders>
            <w:shd w:val="clear" w:color="000000" w:fill="FFFFFF"/>
            <w:noWrap/>
            <w:vAlign w:val="bottom"/>
            <w:hideMark/>
          </w:tcPr>
          <w:p w14:paraId="09DCAE1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c>
          <w:tcPr>
            <w:tcW w:w="1276" w:type="dxa"/>
            <w:tcBorders>
              <w:top w:val="nil"/>
              <w:left w:val="nil"/>
              <w:bottom w:val="nil"/>
              <w:right w:val="nil"/>
            </w:tcBorders>
            <w:shd w:val="clear" w:color="000000" w:fill="FFFFFF"/>
            <w:noWrap/>
            <w:vAlign w:val="bottom"/>
            <w:hideMark/>
          </w:tcPr>
          <w:p w14:paraId="720E78A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w:t>
            </w:r>
          </w:p>
        </w:tc>
        <w:tc>
          <w:tcPr>
            <w:tcW w:w="1134" w:type="dxa"/>
            <w:tcBorders>
              <w:top w:val="nil"/>
              <w:left w:val="nil"/>
              <w:bottom w:val="nil"/>
              <w:right w:val="nil"/>
            </w:tcBorders>
            <w:shd w:val="clear" w:color="000000" w:fill="FFFFFF"/>
            <w:noWrap/>
            <w:vAlign w:val="bottom"/>
            <w:hideMark/>
          </w:tcPr>
          <w:p w14:paraId="3037542B"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c>
          <w:tcPr>
            <w:tcW w:w="851" w:type="dxa"/>
            <w:tcBorders>
              <w:top w:val="nil"/>
              <w:left w:val="nil"/>
              <w:bottom w:val="nil"/>
              <w:right w:val="nil"/>
            </w:tcBorders>
            <w:shd w:val="clear" w:color="000000" w:fill="FFFFFF"/>
            <w:noWrap/>
            <w:vAlign w:val="bottom"/>
            <w:hideMark/>
          </w:tcPr>
          <w:p w14:paraId="55A4C3C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c>
          <w:tcPr>
            <w:tcW w:w="1275" w:type="dxa"/>
            <w:tcBorders>
              <w:top w:val="nil"/>
              <w:left w:val="single" w:sz="4" w:space="0" w:color="auto"/>
              <w:bottom w:val="nil"/>
              <w:right w:val="nil"/>
            </w:tcBorders>
            <w:shd w:val="clear" w:color="000000" w:fill="FFFFFF"/>
            <w:noWrap/>
            <w:vAlign w:val="bottom"/>
            <w:hideMark/>
          </w:tcPr>
          <w:p w14:paraId="2CF747B7"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w:t>
            </w:r>
          </w:p>
        </w:tc>
        <w:tc>
          <w:tcPr>
            <w:tcW w:w="993" w:type="dxa"/>
            <w:tcBorders>
              <w:top w:val="nil"/>
              <w:left w:val="nil"/>
              <w:bottom w:val="nil"/>
              <w:right w:val="nil"/>
            </w:tcBorders>
            <w:shd w:val="clear" w:color="000000" w:fill="FFFFFF"/>
            <w:noWrap/>
            <w:vAlign w:val="bottom"/>
            <w:hideMark/>
          </w:tcPr>
          <w:p w14:paraId="2587079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c>
          <w:tcPr>
            <w:tcW w:w="992" w:type="dxa"/>
            <w:tcBorders>
              <w:top w:val="nil"/>
              <w:left w:val="nil"/>
              <w:bottom w:val="nil"/>
              <w:right w:val="nil"/>
            </w:tcBorders>
            <w:shd w:val="clear" w:color="000000" w:fill="FFFFFF"/>
            <w:noWrap/>
            <w:vAlign w:val="bottom"/>
            <w:hideMark/>
          </w:tcPr>
          <w:p w14:paraId="483A994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0</w:t>
            </w:r>
          </w:p>
        </w:tc>
      </w:tr>
      <w:tr w:rsidR="002877C1" w:rsidRPr="00E75F90" w14:paraId="27BBE89A" w14:textId="77777777" w:rsidTr="002877C1">
        <w:trPr>
          <w:trHeight w:val="300"/>
        </w:trPr>
        <w:tc>
          <w:tcPr>
            <w:tcW w:w="6237" w:type="dxa"/>
            <w:tcBorders>
              <w:top w:val="nil"/>
              <w:left w:val="nil"/>
              <w:bottom w:val="nil"/>
              <w:right w:val="nil"/>
            </w:tcBorders>
            <w:shd w:val="clear" w:color="000000" w:fill="FFFFFF"/>
            <w:noWrap/>
            <w:vAlign w:val="bottom"/>
            <w:hideMark/>
          </w:tcPr>
          <w:p w14:paraId="092DE7D9"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Other communicable, maternal, neonatal, and nutritional disorders (inc. infectious and parasitic diseases)</w:t>
            </w:r>
          </w:p>
        </w:tc>
        <w:tc>
          <w:tcPr>
            <w:tcW w:w="1276" w:type="dxa"/>
            <w:tcBorders>
              <w:top w:val="nil"/>
              <w:left w:val="single" w:sz="4" w:space="0" w:color="auto"/>
              <w:bottom w:val="nil"/>
              <w:right w:val="nil"/>
            </w:tcBorders>
            <w:shd w:val="clear" w:color="000000" w:fill="FFFFFF"/>
            <w:noWrap/>
            <w:vAlign w:val="bottom"/>
            <w:hideMark/>
          </w:tcPr>
          <w:p w14:paraId="412412A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105</w:t>
            </w:r>
          </w:p>
        </w:tc>
        <w:tc>
          <w:tcPr>
            <w:tcW w:w="1418" w:type="dxa"/>
            <w:tcBorders>
              <w:top w:val="nil"/>
              <w:left w:val="nil"/>
              <w:bottom w:val="nil"/>
              <w:right w:val="single" w:sz="4" w:space="0" w:color="auto"/>
            </w:tcBorders>
            <w:shd w:val="clear" w:color="000000" w:fill="FFFFFF"/>
            <w:noWrap/>
            <w:vAlign w:val="bottom"/>
            <w:hideMark/>
          </w:tcPr>
          <w:p w14:paraId="1FED3C15"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760</w:t>
            </w:r>
          </w:p>
        </w:tc>
        <w:tc>
          <w:tcPr>
            <w:tcW w:w="1276" w:type="dxa"/>
            <w:tcBorders>
              <w:top w:val="nil"/>
              <w:left w:val="nil"/>
              <w:bottom w:val="nil"/>
              <w:right w:val="nil"/>
            </w:tcBorders>
            <w:shd w:val="clear" w:color="000000" w:fill="FFFFFF"/>
            <w:noWrap/>
            <w:vAlign w:val="bottom"/>
            <w:hideMark/>
          </w:tcPr>
          <w:p w14:paraId="6B26C52C"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10</w:t>
            </w:r>
          </w:p>
        </w:tc>
        <w:tc>
          <w:tcPr>
            <w:tcW w:w="1134" w:type="dxa"/>
            <w:tcBorders>
              <w:top w:val="nil"/>
              <w:left w:val="nil"/>
              <w:bottom w:val="nil"/>
              <w:right w:val="nil"/>
            </w:tcBorders>
            <w:shd w:val="clear" w:color="000000" w:fill="FFFFFF"/>
            <w:noWrap/>
            <w:vAlign w:val="bottom"/>
            <w:hideMark/>
          </w:tcPr>
          <w:p w14:paraId="4967172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10.5</w:t>
            </w:r>
          </w:p>
        </w:tc>
        <w:tc>
          <w:tcPr>
            <w:tcW w:w="851" w:type="dxa"/>
            <w:tcBorders>
              <w:top w:val="nil"/>
              <w:left w:val="nil"/>
              <w:bottom w:val="nil"/>
              <w:right w:val="nil"/>
            </w:tcBorders>
            <w:shd w:val="clear" w:color="000000" w:fill="FFFFFF"/>
            <w:noWrap/>
            <w:vAlign w:val="bottom"/>
            <w:hideMark/>
          </w:tcPr>
          <w:p w14:paraId="12EF276E"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29.06</w:t>
            </w:r>
          </w:p>
        </w:tc>
        <w:tc>
          <w:tcPr>
            <w:tcW w:w="1275" w:type="dxa"/>
            <w:tcBorders>
              <w:top w:val="nil"/>
              <w:left w:val="single" w:sz="4" w:space="0" w:color="auto"/>
              <w:bottom w:val="nil"/>
              <w:right w:val="nil"/>
            </w:tcBorders>
            <w:shd w:val="clear" w:color="000000" w:fill="FFFFFF"/>
            <w:noWrap/>
            <w:vAlign w:val="bottom"/>
            <w:hideMark/>
          </w:tcPr>
          <w:p w14:paraId="7BC863A6"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8</w:t>
            </w:r>
          </w:p>
        </w:tc>
        <w:tc>
          <w:tcPr>
            <w:tcW w:w="993" w:type="dxa"/>
            <w:tcBorders>
              <w:top w:val="nil"/>
              <w:left w:val="nil"/>
              <w:bottom w:val="nil"/>
              <w:right w:val="nil"/>
            </w:tcBorders>
            <w:shd w:val="clear" w:color="000000" w:fill="FFFFFF"/>
            <w:noWrap/>
            <w:vAlign w:val="bottom"/>
            <w:hideMark/>
          </w:tcPr>
          <w:p w14:paraId="51A3DC7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95</w:t>
            </w:r>
          </w:p>
        </w:tc>
        <w:tc>
          <w:tcPr>
            <w:tcW w:w="992" w:type="dxa"/>
            <w:tcBorders>
              <w:top w:val="nil"/>
              <w:left w:val="nil"/>
              <w:bottom w:val="nil"/>
              <w:right w:val="nil"/>
            </w:tcBorders>
            <w:shd w:val="clear" w:color="000000" w:fill="FFFFFF"/>
            <w:noWrap/>
            <w:vAlign w:val="bottom"/>
            <w:hideMark/>
          </w:tcPr>
          <w:p w14:paraId="164D1F7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235.77</w:t>
            </w:r>
          </w:p>
        </w:tc>
      </w:tr>
      <w:tr w:rsidR="002877C1" w:rsidRPr="00E75F90" w14:paraId="3AE0B51F" w14:textId="77777777" w:rsidTr="002877C1">
        <w:trPr>
          <w:trHeight w:val="300"/>
        </w:trPr>
        <w:tc>
          <w:tcPr>
            <w:tcW w:w="6237" w:type="dxa"/>
            <w:tcBorders>
              <w:top w:val="nil"/>
              <w:left w:val="nil"/>
              <w:bottom w:val="nil"/>
              <w:right w:val="nil"/>
            </w:tcBorders>
            <w:shd w:val="clear" w:color="000000" w:fill="FFFFFF"/>
            <w:noWrap/>
            <w:vAlign w:val="bottom"/>
            <w:hideMark/>
          </w:tcPr>
          <w:p w14:paraId="6ED71869"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Other non-communicable diseases: congenital disorders, skin diseases, sense organ diseases, oral conditions</w:t>
            </w:r>
          </w:p>
        </w:tc>
        <w:tc>
          <w:tcPr>
            <w:tcW w:w="1276" w:type="dxa"/>
            <w:tcBorders>
              <w:top w:val="nil"/>
              <w:left w:val="single" w:sz="4" w:space="0" w:color="auto"/>
              <w:bottom w:val="nil"/>
              <w:right w:val="nil"/>
            </w:tcBorders>
            <w:shd w:val="clear" w:color="000000" w:fill="FFFFFF"/>
            <w:noWrap/>
            <w:vAlign w:val="bottom"/>
            <w:hideMark/>
          </w:tcPr>
          <w:p w14:paraId="4CD0646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66</w:t>
            </w:r>
          </w:p>
        </w:tc>
        <w:tc>
          <w:tcPr>
            <w:tcW w:w="1418" w:type="dxa"/>
            <w:tcBorders>
              <w:top w:val="nil"/>
              <w:left w:val="nil"/>
              <w:bottom w:val="nil"/>
              <w:right w:val="single" w:sz="4" w:space="0" w:color="auto"/>
            </w:tcBorders>
            <w:shd w:val="clear" w:color="000000" w:fill="FFFFFF"/>
            <w:noWrap/>
            <w:vAlign w:val="bottom"/>
            <w:hideMark/>
          </w:tcPr>
          <w:p w14:paraId="71A807B3" w14:textId="46686D1C"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w:t>
            </w:r>
            <w:r w:rsidR="00F942A8">
              <w:rPr>
                <w:rFonts w:eastAsia="Times New Roman" w:cs="Times New Roman"/>
                <w:color w:val="000000"/>
                <w:sz w:val="22"/>
                <w:szCs w:val="22"/>
                <w:lang w:val="en-GB" w:eastAsia="en-GB"/>
              </w:rPr>
              <w:t>,</w:t>
            </w:r>
            <w:r w:rsidRPr="00E75F90">
              <w:rPr>
                <w:rFonts w:eastAsia="Times New Roman" w:cs="Times New Roman"/>
                <w:color w:val="000000"/>
                <w:sz w:val="22"/>
                <w:szCs w:val="22"/>
                <w:lang w:val="en-GB" w:eastAsia="en-GB"/>
              </w:rPr>
              <w:t>483</w:t>
            </w:r>
          </w:p>
        </w:tc>
        <w:tc>
          <w:tcPr>
            <w:tcW w:w="1276" w:type="dxa"/>
            <w:tcBorders>
              <w:top w:val="nil"/>
              <w:left w:val="nil"/>
              <w:bottom w:val="nil"/>
              <w:right w:val="nil"/>
            </w:tcBorders>
            <w:shd w:val="clear" w:color="000000" w:fill="FFFFFF"/>
            <w:noWrap/>
            <w:vAlign w:val="bottom"/>
            <w:hideMark/>
          </w:tcPr>
          <w:p w14:paraId="563C40C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16</w:t>
            </w:r>
          </w:p>
        </w:tc>
        <w:tc>
          <w:tcPr>
            <w:tcW w:w="1134" w:type="dxa"/>
            <w:tcBorders>
              <w:top w:val="nil"/>
              <w:left w:val="nil"/>
              <w:bottom w:val="nil"/>
              <w:right w:val="nil"/>
            </w:tcBorders>
            <w:shd w:val="clear" w:color="000000" w:fill="FFFFFF"/>
            <w:noWrap/>
            <w:vAlign w:val="bottom"/>
            <w:hideMark/>
          </w:tcPr>
          <w:p w14:paraId="608E2214"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4.13</w:t>
            </w:r>
          </w:p>
        </w:tc>
        <w:tc>
          <w:tcPr>
            <w:tcW w:w="851" w:type="dxa"/>
            <w:tcBorders>
              <w:top w:val="nil"/>
              <w:left w:val="nil"/>
              <w:bottom w:val="nil"/>
              <w:right w:val="nil"/>
            </w:tcBorders>
            <w:shd w:val="clear" w:color="000000" w:fill="FFFFFF"/>
            <w:noWrap/>
            <w:vAlign w:val="bottom"/>
            <w:hideMark/>
          </w:tcPr>
          <w:p w14:paraId="47BE48E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5.61</w:t>
            </w:r>
          </w:p>
        </w:tc>
        <w:tc>
          <w:tcPr>
            <w:tcW w:w="1275" w:type="dxa"/>
            <w:tcBorders>
              <w:top w:val="nil"/>
              <w:left w:val="single" w:sz="4" w:space="0" w:color="auto"/>
              <w:bottom w:val="nil"/>
              <w:right w:val="nil"/>
            </w:tcBorders>
            <w:shd w:val="clear" w:color="000000" w:fill="FFFFFF"/>
            <w:noWrap/>
            <w:vAlign w:val="bottom"/>
            <w:hideMark/>
          </w:tcPr>
          <w:p w14:paraId="69FFDED8"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15</w:t>
            </w:r>
          </w:p>
        </w:tc>
        <w:tc>
          <w:tcPr>
            <w:tcW w:w="993" w:type="dxa"/>
            <w:tcBorders>
              <w:top w:val="nil"/>
              <w:left w:val="nil"/>
              <w:bottom w:val="nil"/>
              <w:right w:val="nil"/>
            </w:tcBorders>
            <w:shd w:val="clear" w:color="000000" w:fill="FFFFFF"/>
            <w:noWrap/>
            <w:vAlign w:val="bottom"/>
            <w:hideMark/>
          </w:tcPr>
          <w:p w14:paraId="1814FA42"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98.87</w:t>
            </w:r>
          </w:p>
        </w:tc>
        <w:tc>
          <w:tcPr>
            <w:tcW w:w="992" w:type="dxa"/>
            <w:tcBorders>
              <w:top w:val="nil"/>
              <w:left w:val="nil"/>
              <w:bottom w:val="nil"/>
              <w:right w:val="nil"/>
            </w:tcBorders>
            <w:shd w:val="clear" w:color="000000" w:fill="FFFFFF"/>
            <w:noWrap/>
            <w:vAlign w:val="bottom"/>
            <w:hideMark/>
          </w:tcPr>
          <w:p w14:paraId="77D17E21"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135.85</w:t>
            </w:r>
          </w:p>
        </w:tc>
      </w:tr>
      <w:tr w:rsidR="002877C1" w:rsidRPr="00E75F90" w14:paraId="3CD4520A" w14:textId="77777777" w:rsidTr="002877C1">
        <w:trPr>
          <w:trHeight w:val="300"/>
        </w:trPr>
        <w:tc>
          <w:tcPr>
            <w:tcW w:w="6237" w:type="dxa"/>
            <w:tcBorders>
              <w:top w:val="nil"/>
              <w:left w:val="nil"/>
              <w:bottom w:val="single" w:sz="4" w:space="0" w:color="auto"/>
              <w:right w:val="nil"/>
            </w:tcBorders>
            <w:shd w:val="clear" w:color="000000" w:fill="FFFFFF"/>
            <w:noWrap/>
            <w:vAlign w:val="bottom"/>
            <w:hideMark/>
          </w:tcPr>
          <w:p w14:paraId="599126EC"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Total </w:t>
            </w:r>
          </w:p>
        </w:tc>
        <w:tc>
          <w:tcPr>
            <w:tcW w:w="1276" w:type="dxa"/>
            <w:tcBorders>
              <w:top w:val="nil"/>
              <w:left w:val="single" w:sz="4" w:space="0" w:color="auto"/>
              <w:bottom w:val="single" w:sz="4" w:space="0" w:color="auto"/>
              <w:right w:val="nil"/>
            </w:tcBorders>
            <w:shd w:val="clear" w:color="000000" w:fill="FFFFFF"/>
            <w:noWrap/>
            <w:vAlign w:val="bottom"/>
            <w:hideMark/>
          </w:tcPr>
          <w:p w14:paraId="308F2292" w14:textId="1BD2BD9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95</w:t>
            </w:r>
            <w:r w:rsidR="001D37F4">
              <w:rPr>
                <w:rFonts w:eastAsia="Times New Roman" w:cs="Times New Roman"/>
                <w:color w:val="000000"/>
                <w:sz w:val="22"/>
                <w:szCs w:val="22"/>
                <w:lang w:val="en-GB" w:eastAsia="en-GB"/>
              </w:rPr>
              <w:t>6</w:t>
            </w:r>
          </w:p>
        </w:tc>
        <w:tc>
          <w:tcPr>
            <w:tcW w:w="1418" w:type="dxa"/>
            <w:tcBorders>
              <w:top w:val="nil"/>
              <w:left w:val="nil"/>
              <w:bottom w:val="single" w:sz="4" w:space="0" w:color="auto"/>
              <w:right w:val="single" w:sz="4" w:space="0" w:color="auto"/>
            </w:tcBorders>
            <w:shd w:val="clear" w:color="000000" w:fill="FFFFFF"/>
            <w:noWrap/>
            <w:vAlign w:val="bottom"/>
            <w:hideMark/>
          </w:tcPr>
          <w:p w14:paraId="7E2E1806" w14:textId="7EC01AED" w:rsidR="00E75F90" w:rsidRPr="00E75F90" w:rsidRDefault="001D37F4"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17</w:t>
            </w:r>
            <w:r w:rsidR="00F942A8">
              <w:rPr>
                <w:rFonts w:eastAsia="Times New Roman" w:cs="Times New Roman"/>
                <w:color w:val="000000"/>
                <w:sz w:val="22"/>
                <w:szCs w:val="22"/>
                <w:lang w:val="en-GB" w:eastAsia="en-GB"/>
              </w:rPr>
              <w:t>,</w:t>
            </w:r>
            <w:r>
              <w:rPr>
                <w:rFonts w:eastAsia="Times New Roman" w:cs="Times New Roman"/>
                <w:color w:val="000000"/>
                <w:sz w:val="22"/>
                <w:szCs w:val="22"/>
                <w:lang w:val="en-GB" w:eastAsia="en-GB"/>
              </w:rPr>
              <w:t>190</w:t>
            </w:r>
          </w:p>
        </w:tc>
        <w:tc>
          <w:tcPr>
            <w:tcW w:w="1276" w:type="dxa"/>
            <w:tcBorders>
              <w:top w:val="nil"/>
              <w:left w:val="nil"/>
              <w:bottom w:val="single" w:sz="4" w:space="0" w:color="auto"/>
              <w:right w:val="nil"/>
            </w:tcBorders>
            <w:shd w:val="clear" w:color="000000" w:fill="FFFFFF"/>
            <w:noWrap/>
            <w:vAlign w:val="bottom"/>
            <w:hideMark/>
          </w:tcPr>
          <w:p w14:paraId="495C87FA"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150</w:t>
            </w:r>
          </w:p>
        </w:tc>
        <w:tc>
          <w:tcPr>
            <w:tcW w:w="1134" w:type="dxa"/>
            <w:tcBorders>
              <w:top w:val="nil"/>
              <w:left w:val="nil"/>
              <w:bottom w:val="single" w:sz="4" w:space="0" w:color="auto"/>
              <w:right w:val="nil"/>
            </w:tcBorders>
            <w:shd w:val="clear" w:color="000000" w:fill="FFFFFF"/>
            <w:noWrap/>
            <w:vAlign w:val="bottom"/>
            <w:hideMark/>
          </w:tcPr>
          <w:p w14:paraId="7DD96DF0"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6.37</w:t>
            </w:r>
          </w:p>
        </w:tc>
        <w:tc>
          <w:tcPr>
            <w:tcW w:w="851" w:type="dxa"/>
            <w:tcBorders>
              <w:top w:val="nil"/>
              <w:left w:val="nil"/>
              <w:bottom w:val="single" w:sz="4" w:space="0" w:color="auto"/>
              <w:right w:val="nil"/>
            </w:tcBorders>
            <w:shd w:val="clear" w:color="000000" w:fill="FFFFFF"/>
            <w:noWrap/>
            <w:vAlign w:val="bottom"/>
            <w:hideMark/>
          </w:tcPr>
          <w:p w14:paraId="195B9483"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14.22</w:t>
            </w:r>
          </w:p>
        </w:tc>
        <w:tc>
          <w:tcPr>
            <w:tcW w:w="1275" w:type="dxa"/>
            <w:tcBorders>
              <w:top w:val="nil"/>
              <w:left w:val="single" w:sz="4" w:space="0" w:color="auto"/>
              <w:bottom w:val="single" w:sz="4" w:space="0" w:color="auto"/>
              <w:right w:val="nil"/>
            </w:tcBorders>
            <w:shd w:val="clear" w:color="000000" w:fill="FFFFFF"/>
            <w:noWrap/>
            <w:vAlign w:val="bottom"/>
            <w:hideMark/>
          </w:tcPr>
          <w:p w14:paraId="695D3709"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146</w:t>
            </w:r>
          </w:p>
        </w:tc>
        <w:tc>
          <w:tcPr>
            <w:tcW w:w="993" w:type="dxa"/>
            <w:tcBorders>
              <w:top w:val="nil"/>
              <w:left w:val="nil"/>
              <w:bottom w:val="single" w:sz="4" w:space="0" w:color="auto"/>
              <w:right w:val="nil"/>
            </w:tcBorders>
            <w:shd w:val="clear" w:color="000000" w:fill="FFFFFF"/>
            <w:noWrap/>
            <w:vAlign w:val="bottom"/>
            <w:hideMark/>
          </w:tcPr>
          <w:p w14:paraId="38153F1E"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117.74</w:t>
            </w:r>
          </w:p>
        </w:tc>
        <w:tc>
          <w:tcPr>
            <w:tcW w:w="992" w:type="dxa"/>
            <w:tcBorders>
              <w:top w:val="nil"/>
              <w:left w:val="nil"/>
              <w:bottom w:val="single" w:sz="4" w:space="0" w:color="auto"/>
              <w:right w:val="nil"/>
            </w:tcBorders>
            <w:shd w:val="clear" w:color="000000" w:fill="FFFFFF"/>
            <w:noWrap/>
            <w:vAlign w:val="bottom"/>
            <w:hideMark/>
          </w:tcPr>
          <w:p w14:paraId="22233C7D" w14:textId="77777777" w:rsidR="00E75F90" w:rsidRPr="00E75F90" w:rsidRDefault="00E75F90" w:rsidP="009C7054">
            <w:pPr>
              <w:spacing w:line="480" w:lineRule="auto"/>
              <w:jc w:val="right"/>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 303.63</w:t>
            </w:r>
          </w:p>
        </w:tc>
      </w:tr>
      <w:tr w:rsidR="00E75F90" w:rsidRPr="00E75F90" w14:paraId="15CDEF40" w14:textId="77777777" w:rsidTr="002877C1">
        <w:trPr>
          <w:trHeight w:val="300"/>
        </w:trPr>
        <w:tc>
          <w:tcPr>
            <w:tcW w:w="12192" w:type="dxa"/>
            <w:gridSpan w:val="6"/>
            <w:tcBorders>
              <w:top w:val="nil"/>
              <w:left w:val="nil"/>
              <w:bottom w:val="nil"/>
              <w:right w:val="nil"/>
            </w:tcBorders>
            <w:shd w:val="clear" w:color="000000" w:fill="FFFFFF"/>
            <w:noWrap/>
            <w:vAlign w:val="bottom"/>
            <w:hideMark/>
          </w:tcPr>
          <w:p w14:paraId="385C202D" w14:textId="27BAB97B"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xml:space="preserve">Note: Broad disease groups follow the standard disease taxonomy used by WHO and IHME (Murray et al., 2013). The broad disease group "Injuries" is excluded from this analysis </w:t>
            </w:r>
            <w:r w:rsidR="0054072A" w:rsidRPr="00E75F90">
              <w:rPr>
                <w:rFonts w:eastAsia="Times New Roman" w:cs="Times New Roman"/>
                <w:color w:val="000000"/>
                <w:sz w:val="22"/>
                <w:szCs w:val="22"/>
                <w:lang w:val="en-GB" w:eastAsia="en-GB"/>
              </w:rPr>
              <w:t>for not being target for pharmaceutical innovation.  Therefore, excluded from this analysis are the following disease subcategories:  transport injuries</w:t>
            </w:r>
          </w:p>
        </w:tc>
        <w:tc>
          <w:tcPr>
            <w:tcW w:w="1275" w:type="dxa"/>
            <w:tcBorders>
              <w:top w:val="nil"/>
              <w:left w:val="nil"/>
              <w:bottom w:val="nil"/>
              <w:right w:val="nil"/>
            </w:tcBorders>
            <w:shd w:val="clear" w:color="000000" w:fill="FFFFFF"/>
            <w:noWrap/>
            <w:vAlign w:val="bottom"/>
            <w:hideMark/>
          </w:tcPr>
          <w:p w14:paraId="414B3052"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c>
          <w:tcPr>
            <w:tcW w:w="993" w:type="dxa"/>
            <w:tcBorders>
              <w:top w:val="nil"/>
              <w:left w:val="nil"/>
              <w:bottom w:val="nil"/>
              <w:right w:val="nil"/>
            </w:tcBorders>
            <w:shd w:val="clear" w:color="000000" w:fill="FFFFFF"/>
            <w:noWrap/>
            <w:vAlign w:val="bottom"/>
            <w:hideMark/>
          </w:tcPr>
          <w:p w14:paraId="7C8988AF"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c>
          <w:tcPr>
            <w:tcW w:w="992" w:type="dxa"/>
            <w:tcBorders>
              <w:top w:val="nil"/>
              <w:left w:val="nil"/>
              <w:bottom w:val="nil"/>
              <w:right w:val="nil"/>
            </w:tcBorders>
            <w:shd w:val="clear" w:color="000000" w:fill="FFFFFF"/>
            <w:noWrap/>
            <w:vAlign w:val="bottom"/>
            <w:hideMark/>
          </w:tcPr>
          <w:p w14:paraId="434DAC0B"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r>
      <w:tr w:rsidR="00E75F90" w:rsidRPr="00E75F90" w14:paraId="421E6632" w14:textId="77777777" w:rsidTr="002877C1">
        <w:trPr>
          <w:trHeight w:val="300"/>
        </w:trPr>
        <w:tc>
          <w:tcPr>
            <w:tcW w:w="11341" w:type="dxa"/>
            <w:gridSpan w:val="5"/>
            <w:tcBorders>
              <w:top w:val="nil"/>
              <w:left w:val="nil"/>
              <w:bottom w:val="nil"/>
              <w:right w:val="nil"/>
            </w:tcBorders>
            <w:shd w:val="clear" w:color="000000" w:fill="FFFFFF"/>
            <w:noWrap/>
            <w:vAlign w:val="bottom"/>
            <w:hideMark/>
          </w:tcPr>
          <w:p w14:paraId="18602825" w14:textId="2AD5E478" w:rsidR="00E75F90" w:rsidRPr="00E75F90" w:rsidRDefault="0054072A"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unintentional injuries, self-harm and interpersonal violence, forces of nature, war and legal intervention.</w:t>
            </w:r>
            <w:r w:rsidR="00E75F90" w:rsidRPr="00E75F90">
              <w:rPr>
                <w:rFonts w:eastAsia="Times New Roman" w:cs="Times New Roman"/>
                <w:color w:val="000000"/>
                <w:sz w:val="22"/>
                <w:szCs w:val="22"/>
                <w:lang w:val="en-GB" w:eastAsia="en-GB"/>
              </w:rPr>
              <w:t xml:space="preserve"> </w:t>
            </w:r>
          </w:p>
        </w:tc>
        <w:tc>
          <w:tcPr>
            <w:tcW w:w="851" w:type="dxa"/>
            <w:tcBorders>
              <w:top w:val="nil"/>
              <w:left w:val="nil"/>
              <w:bottom w:val="nil"/>
              <w:right w:val="nil"/>
            </w:tcBorders>
            <w:shd w:val="clear" w:color="000000" w:fill="FFFFFF"/>
            <w:noWrap/>
            <w:vAlign w:val="bottom"/>
            <w:hideMark/>
          </w:tcPr>
          <w:p w14:paraId="3BF0C844"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c>
          <w:tcPr>
            <w:tcW w:w="1275" w:type="dxa"/>
            <w:tcBorders>
              <w:top w:val="nil"/>
              <w:left w:val="nil"/>
              <w:bottom w:val="nil"/>
              <w:right w:val="nil"/>
            </w:tcBorders>
            <w:shd w:val="clear" w:color="000000" w:fill="FFFFFF"/>
            <w:noWrap/>
            <w:vAlign w:val="bottom"/>
            <w:hideMark/>
          </w:tcPr>
          <w:p w14:paraId="1F3FB4B8"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c>
          <w:tcPr>
            <w:tcW w:w="993" w:type="dxa"/>
            <w:tcBorders>
              <w:top w:val="nil"/>
              <w:left w:val="nil"/>
              <w:bottom w:val="nil"/>
              <w:right w:val="nil"/>
            </w:tcBorders>
            <w:shd w:val="clear" w:color="000000" w:fill="FFFFFF"/>
            <w:noWrap/>
            <w:vAlign w:val="bottom"/>
            <w:hideMark/>
          </w:tcPr>
          <w:p w14:paraId="6A04AC6A"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c>
          <w:tcPr>
            <w:tcW w:w="992" w:type="dxa"/>
            <w:tcBorders>
              <w:top w:val="nil"/>
              <w:left w:val="nil"/>
              <w:bottom w:val="nil"/>
              <w:right w:val="nil"/>
            </w:tcBorders>
            <w:shd w:val="clear" w:color="000000" w:fill="FFFFFF"/>
            <w:noWrap/>
            <w:vAlign w:val="bottom"/>
            <w:hideMark/>
          </w:tcPr>
          <w:p w14:paraId="505759D7" w14:textId="77777777" w:rsidR="00E75F90" w:rsidRPr="00E75F90" w:rsidRDefault="00E75F90" w:rsidP="009C7054">
            <w:pPr>
              <w:spacing w:line="480" w:lineRule="auto"/>
              <w:rPr>
                <w:rFonts w:eastAsia="Times New Roman" w:cs="Times New Roman"/>
                <w:color w:val="000000"/>
                <w:sz w:val="22"/>
                <w:szCs w:val="22"/>
                <w:lang w:val="en-GB" w:eastAsia="en-GB"/>
              </w:rPr>
            </w:pPr>
            <w:r w:rsidRPr="00E75F90">
              <w:rPr>
                <w:rFonts w:eastAsia="Times New Roman" w:cs="Times New Roman"/>
                <w:color w:val="000000"/>
                <w:sz w:val="22"/>
                <w:szCs w:val="22"/>
                <w:lang w:val="en-GB" w:eastAsia="en-GB"/>
              </w:rPr>
              <w:t> </w:t>
            </w:r>
          </w:p>
        </w:tc>
      </w:tr>
    </w:tbl>
    <w:p w14:paraId="61CD4DB5" w14:textId="77777777" w:rsidR="00D567B5" w:rsidRDefault="00D567B5" w:rsidP="009C7054">
      <w:pPr>
        <w:spacing w:line="480" w:lineRule="auto"/>
      </w:pPr>
      <w:r>
        <w:br w:type="page"/>
      </w:r>
    </w:p>
    <w:p w14:paraId="6AE6383D" w14:textId="77777777" w:rsidR="00667231" w:rsidRPr="00785C9D" w:rsidRDefault="00667231" w:rsidP="009C7054">
      <w:pPr>
        <w:spacing w:line="480" w:lineRule="auto"/>
        <w:jc w:val="both"/>
        <w:rPr>
          <w:rFonts w:cs="Times New Roman"/>
          <w:bCs/>
          <w:sz w:val="22"/>
          <w:szCs w:val="20"/>
        </w:rPr>
      </w:pPr>
      <w:r w:rsidRPr="00785C9D">
        <w:rPr>
          <w:rFonts w:cs="Times New Roman"/>
          <w:bCs/>
          <w:sz w:val="22"/>
          <w:szCs w:val="20"/>
        </w:rPr>
        <w:lastRenderedPageBreak/>
        <w:t xml:space="preserve">Table </w:t>
      </w:r>
      <w:r>
        <w:rPr>
          <w:rFonts w:cs="Times New Roman"/>
          <w:bCs/>
          <w:sz w:val="22"/>
          <w:szCs w:val="20"/>
        </w:rPr>
        <w:t>V</w:t>
      </w:r>
      <w:r w:rsidRPr="00785C9D">
        <w:rPr>
          <w:rFonts w:cs="Times New Roman"/>
          <w:bCs/>
          <w:sz w:val="22"/>
          <w:szCs w:val="20"/>
        </w:rPr>
        <w:t xml:space="preserve">: Top 4 causes of DALYs and deaths in 1990 and 2010 across regions </w:t>
      </w:r>
    </w:p>
    <w:tbl>
      <w:tblPr>
        <w:tblW w:w="14459" w:type="dxa"/>
        <w:tblLook w:val="04A0" w:firstRow="1" w:lastRow="0" w:firstColumn="1" w:lastColumn="0" w:noHBand="0" w:noVBand="1"/>
      </w:tblPr>
      <w:tblGrid>
        <w:gridCol w:w="3828"/>
        <w:gridCol w:w="3118"/>
        <w:gridCol w:w="3969"/>
        <w:gridCol w:w="3544"/>
      </w:tblGrid>
      <w:tr w:rsidR="00667231" w:rsidRPr="00785C9D" w14:paraId="66C92DDD" w14:textId="77777777" w:rsidTr="004029A4">
        <w:trPr>
          <w:trHeight w:val="300"/>
        </w:trPr>
        <w:tc>
          <w:tcPr>
            <w:tcW w:w="14459" w:type="dxa"/>
            <w:gridSpan w:val="4"/>
            <w:tcBorders>
              <w:top w:val="single" w:sz="4" w:space="0" w:color="auto"/>
              <w:left w:val="nil"/>
              <w:bottom w:val="single" w:sz="4" w:space="0" w:color="auto"/>
              <w:right w:val="nil"/>
            </w:tcBorders>
            <w:shd w:val="clear" w:color="auto" w:fill="auto"/>
            <w:noWrap/>
            <w:vAlign w:val="bottom"/>
            <w:hideMark/>
          </w:tcPr>
          <w:p w14:paraId="1D0869A2"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Top 4 causes of DALYs and deaths in 1990 and 2010 across regions</w:t>
            </w:r>
          </w:p>
        </w:tc>
      </w:tr>
      <w:tr w:rsidR="00667231" w:rsidRPr="00785C9D" w14:paraId="3AA53F94" w14:textId="77777777" w:rsidTr="004029A4">
        <w:trPr>
          <w:trHeight w:val="300"/>
        </w:trPr>
        <w:tc>
          <w:tcPr>
            <w:tcW w:w="6946" w:type="dxa"/>
            <w:gridSpan w:val="2"/>
            <w:tcBorders>
              <w:top w:val="single" w:sz="4" w:space="0" w:color="auto"/>
              <w:left w:val="nil"/>
              <w:bottom w:val="single" w:sz="4" w:space="0" w:color="auto"/>
              <w:right w:val="nil"/>
            </w:tcBorders>
            <w:shd w:val="clear" w:color="auto" w:fill="auto"/>
            <w:noWrap/>
            <w:vAlign w:val="bottom"/>
            <w:hideMark/>
          </w:tcPr>
          <w:p w14:paraId="4EF15219"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DALYs</w:t>
            </w:r>
          </w:p>
        </w:tc>
        <w:tc>
          <w:tcPr>
            <w:tcW w:w="7513" w:type="dxa"/>
            <w:gridSpan w:val="2"/>
            <w:tcBorders>
              <w:top w:val="single" w:sz="4" w:space="0" w:color="auto"/>
              <w:left w:val="nil"/>
              <w:bottom w:val="single" w:sz="4" w:space="0" w:color="auto"/>
              <w:right w:val="nil"/>
            </w:tcBorders>
            <w:shd w:val="clear" w:color="auto" w:fill="auto"/>
            <w:noWrap/>
            <w:vAlign w:val="bottom"/>
            <w:hideMark/>
          </w:tcPr>
          <w:p w14:paraId="1AE7689E"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Deaths</w:t>
            </w:r>
          </w:p>
        </w:tc>
      </w:tr>
      <w:tr w:rsidR="00667231" w:rsidRPr="00785C9D" w14:paraId="4B907D08"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7084E3DC"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1990</w:t>
            </w:r>
          </w:p>
        </w:tc>
        <w:tc>
          <w:tcPr>
            <w:tcW w:w="3118" w:type="dxa"/>
            <w:tcBorders>
              <w:top w:val="nil"/>
              <w:left w:val="nil"/>
              <w:bottom w:val="single" w:sz="4" w:space="0" w:color="auto"/>
              <w:right w:val="nil"/>
            </w:tcBorders>
            <w:shd w:val="clear" w:color="auto" w:fill="auto"/>
            <w:noWrap/>
            <w:vAlign w:val="bottom"/>
            <w:hideMark/>
          </w:tcPr>
          <w:p w14:paraId="3526599F"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2010</w:t>
            </w:r>
          </w:p>
        </w:tc>
        <w:tc>
          <w:tcPr>
            <w:tcW w:w="3969" w:type="dxa"/>
            <w:tcBorders>
              <w:top w:val="nil"/>
              <w:left w:val="nil"/>
              <w:bottom w:val="single" w:sz="4" w:space="0" w:color="auto"/>
              <w:right w:val="nil"/>
            </w:tcBorders>
            <w:shd w:val="clear" w:color="auto" w:fill="auto"/>
            <w:noWrap/>
            <w:vAlign w:val="bottom"/>
            <w:hideMark/>
          </w:tcPr>
          <w:p w14:paraId="1B48F56A"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1990</w:t>
            </w:r>
          </w:p>
        </w:tc>
        <w:tc>
          <w:tcPr>
            <w:tcW w:w="3544" w:type="dxa"/>
            <w:tcBorders>
              <w:top w:val="nil"/>
              <w:left w:val="nil"/>
              <w:bottom w:val="single" w:sz="4" w:space="0" w:color="auto"/>
              <w:right w:val="nil"/>
            </w:tcBorders>
            <w:shd w:val="clear" w:color="auto" w:fill="auto"/>
            <w:noWrap/>
            <w:vAlign w:val="bottom"/>
            <w:hideMark/>
          </w:tcPr>
          <w:p w14:paraId="58FBB661"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2010</w:t>
            </w:r>
          </w:p>
        </w:tc>
      </w:tr>
      <w:tr w:rsidR="00667231" w:rsidRPr="00785C9D" w14:paraId="48A7537B" w14:textId="77777777" w:rsidTr="004029A4">
        <w:trPr>
          <w:trHeight w:val="300"/>
        </w:trPr>
        <w:tc>
          <w:tcPr>
            <w:tcW w:w="14459" w:type="dxa"/>
            <w:gridSpan w:val="4"/>
            <w:tcBorders>
              <w:top w:val="single" w:sz="4" w:space="0" w:color="auto"/>
              <w:left w:val="nil"/>
              <w:bottom w:val="single" w:sz="4" w:space="0" w:color="auto"/>
              <w:right w:val="nil"/>
            </w:tcBorders>
            <w:shd w:val="clear" w:color="auto" w:fill="auto"/>
            <w:noWrap/>
            <w:vAlign w:val="bottom"/>
            <w:hideMark/>
          </w:tcPr>
          <w:p w14:paraId="011974ED"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Developed Countries</w:t>
            </w:r>
          </w:p>
        </w:tc>
      </w:tr>
      <w:tr w:rsidR="00667231" w:rsidRPr="00785C9D" w14:paraId="1BCF5991"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563A760B"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 xml:space="preserve">Central Europe </w:t>
            </w:r>
          </w:p>
        </w:tc>
      </w:tr>
      <w:tr w:rsidR="00667231" w:rsidRPr="00785C9D" w14:paraId="63EE1674" w14:textId="77777777" w:rsidTr="004029A4">
        <w:trPr>
          <w:trHeight w:val="300"/>
        </w:trPr>
        <w:tc>
          <w:tcPr>
            <w:tcW w:w="3828" w:type="dxa"/>
            <w:tcBorders>
              <w:top w:val="nil"/>
              <w:left w:val="nil"/>
              <w:bottom w:val="nil"/>
              <w:right w:val="nil"/>
            </w:tcBorders>
            <w:shd w:val="clear" w:color="auto" w:fill="auto"/>
            <w:noWrap/>
            <w:vAlign w:val="bottom"/>
            <w:hideMark/>
          </w:tcPr>
          <w:p w14:paraId="7CABD3C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Ischaemic Heart Disease (IHD)</w:t>
            </w:r>
          </w:p>
        </w:tc>
        <w:tc>
          <w:tcPr>
            <w:tcW w:w="3118" w:type="dxa"/>
            <w:tcBorders>
              <w:top w:val="nil"/>
              <w:left w:val="nil"/>
              <w:bottom w:val="nil"/>
              <w:right w:val="nil"/>
            </w:tcBorders>
            <w:shd w:val="clear" w:color="auto" w:fill="auto"/>
            <w:noWrap/>
            <w:vAlign w:val="bottom"/>
            <w:hideMark/>
          </w:tcPr>
          <w:p w14:paraId="66E8A42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969" w:type="dxa"/>
            <w:tcBorders>
              <w:top w:val="nil"/>
              <w:left w:val="nil"/>
              <w:bottom w:val="nil"/>
              <w:right w:val="nil"/>
            </w:tcBorders>
            <w:shd w:val="clear" w:color="auto" w:fill="auto"/>
            <w:noWrap/>
            <w:vAlign w:val="bottom"/>
            <w:hideMark/>
          </w:tcPr>
          <w:p w14:paraId="05ED653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7F51105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1804EFC8" w14:textId="77777777" w:rsidTr="004029A4">
        <w:trPr>
          <w:trHeight w:val="300"/>
        </w:trPr>
        <w:tc>
          <w:tcPr>
            <w:tcW w:w="3828" w:type="dxa"/>
            <w:tcBorders>
              <w:top w:val="nil"/>
              <w:left w:val="nil"/>
              <w:bottom w:val="nil"/>
              <w:right w:val="nil"/>
            </w:tcBorders>
            <w:shd w:val="clear" w:color="auto" w:fill="auto"/>
            <w:noWrap/>
            <w:vAlign w:val="bottom"/>
            <w:hideMark/>
          </w:tcPr>
          <w:p w14:paraId="3FE0496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118" w:type="dxa"/>
            <w:tcBorders>
              <w:top w:val="nil"/>
              <w:left w:val="nil"/>
              <w:bottom w:val="nil"/>
              <w:right w:val="nil"/>
            </w:tcBorders>
            <w:shd w:val="clear" w:color="auto" w:fill="auto"/>
            <w:noWrap/>
            <w:vAlign w:val="bottom"/>
            <w:hideMark/>
          </w:tcPr>
          <w:p w14:paraId="1A6D493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969" w:type="dxa"/>
            <w:tcBorders>
              <w:top w:val="nil"/>
              <w:left w:val="nil"/>
              <w:bottom w:val="nil"/>
              <w:right w:val="nil"/>
            </w:tcBorders>
            <w:shd w:val="clear" w:color="auto" w:fill="auto"/>
            <w:noWrap/>
            <w:vAlign w:val="bottom"/>
            <w:hideMark/>
          </w:tcPr>
          <w:p w14:paraId="6D9E976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7823FF4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505C935A" w14:textId="77777777" w:rsidTr="004029A4">
        <w:trPr>
          <w:trHeight w:val="300"/>
        </w:trPr>
        <w:tc>
          <w:tcPr>
            <w:tcW w:w="3828" w:type="dxa"/>
            <w:tcBorders>
              <w:top w:val="nil"/>
              <w:left w:val="nil"/>
              <w:bottom w:val="nil"/>
              <w:right w:val="nil"/>
            </w:tcBorders>
            <w:shd w:val="clear" w:color="auto" w:fill="auto"/>
            <w:noWrap/>
            <w:vAlign w:val="bottom"/>
            <w:hideMark/>
          </w:tcPr>
          <w:p w14:paraId="106F8CE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Low Back Pain</w:t>
            </w:r>
          </w:p>
        </w:tc>
        <w:tc>
          <w:tcPr>
            <w:tcW w:w="3118" w:type="dxa"/>
            <w:tcBorders>
              <w:top w:val="nil"/>
              <w:left w:val="nil"/>
              <w:bottom w:val="nil"/>
              <w:right w:val="nil"/>
            </w:tcBorders>
            <w:shd w:val="clear" w:color="auto" w:fill="auto"/>
            <w:noWrap/>
            <w:vAlign w:val="bottom"/>
            <w:hideMark/>
          </w:tcPr>
          <w:p w14:paraId="227DF53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Low back pain</w:t>
            </w:r>
          </w:p>
        </w:tc>
        <w:tc>
          <w:tcPr>
            <w:tcW w:w="3969" w:type="dxa"/>
            <w:tcBorders>
              <w:top w:val="nil"/>
              <w:left w:val="nil"/>
              <w:bottom w:val="nil"/>
              <w:right w:val="nil"/>
            </w:tcBorders>
            <w:shd w:val="clear" w:color="auto" w:fill="auto"/>
            <w:noWrap/>
            <w:vAlign w:val="bottom"/>
            <w:hideMark/>
          </w:tcPr>
          <w:p w14:paraId="55359473"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c>
          <w:tcPr>
            <w:tcW w:w="3544" w:type="dxa"/>
            <w:tcBorders>
              <w:top w:val="nil"/>
              <w:left w:val="nil"/>
              <w:bottom w:val="nil"/>
              <w:right w:val="nil"/>
            </w:tcBorders>
            <w:shd w:val="clear" w:color="auto" w:fill="auto"/>
            <w:noWrap/>
            <w:vAlign w:val="bottom"/>
            <w:hideMark/>
          </w:tcPr>
          <w:p w14:paraId="038CEC9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r>
      <w:tr w:rsidR="00667231" w:rsidRPr="00785C9D" w14:paraId="0FFC8FC2"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0A8DB64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Trachea, Bronchus and Lung Cancer (TBLC)</w:t>
            </w:r>
          </w:p>
        </w:tc>
        <w:tc>
          <w:tcPr>
            <w:tcW w:w="3118" w:type="dxa"/>
            <w:tcBorders>
              <w:top w:val="nil"/>
              <w:left w:val="nil"/>
              <w:bottom w:val="single" w:sz="4" w:space="0" w:color="auto"/>
              <w:right w:val="nil"/>
            </w:tcBorders>
            <w:shd w:val="clear" w:color="auto" w:fill="auto"/>
            <w:noWrap/>
            <w:vAlign w:val="bottom"/>
            <w:hideMark/>
          </w:tcPr>
          <w:p w14:paraId="79962EF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TBLC</w:t>
            </w:r>
          </w:p>
        </w:tc>
        <w:tc>
          <w:tcPr>
            <w:tcW w:w="3969" w:type="dxa"/>
            <w:tcBorders>
              <w:top w:val="nil"/>
              <w:left w:val="nil"/>
              <w:bottom w:val="single" w:sz="4" w:space="0" w:color="auto"/>
              <w:right w:val="nil"/>
            </w:tcBorders>
            <w:shd w:val="clear" w:color="auto" w:fill="auto"/>
            <w:noWrap/>
            <w:vAlign w:val="bottom"/>
            <w:hideMark/>
          </w:tcPr>
          <w:p w14:paraId="1195630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Lower respiratory infections (LRI)</w:t>
            </w:r>
          </w:p>
        </w:tc>
        <w:tc>
          <w:tcPr>
            <w:tcW w:w="3544" w:type="dxa"/>
            <w:tcBorders>
              <w:top w:val="nil"/>
              <w:left w:val="nil"/>
              <w:bottom w:val="single" w:sz="4" w:space="0" w:color="auto"/>
              <w:right w:val="nil"/>
            </w:tcBorders>
            <w:shd w:val="clear" w:color="auto" w:fill="auto"/>
            <w:noWrap/>
            <w:vAlign w:val="bottom"/>
            <w:hideMark/>
          </w:tcPr>
          <w:p w14:paraId="2B05939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Hypertensive heart disease (HHD)</w:t>
            </w:r>
          </w:p>
        </w:tc>
      </w:tr>
      <w:tr w:rsidR="00667231" w:rsidRPr="00785C9D" w14:paraId="5EFA0BA4"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6723AEE9"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Eastern Europe</w:t>
            </w:r>
          </w:p>
        </w:tc>
      </w:tr>
      <w:tr w:rsidR="00667231" w:rsidRPr="00785C9D" w14:paraId="5E7DC360" w14:textId="77777777" w:rsidTr="004029A4">
        <w:trPr>
          <w:trHeight w:val="300"/>
        </w:trPr>
        <w:tc>
          <w:tcPr>
            <w:tcW w:w="3828" w:type="dxa"/>
            <w:tcBorders>
              <w:top w:val="nil"/>
              <w:left w:val="nil"/>
              <w:bottom w:val="nil"/>
              <w:right w:val="nil"/>
            </w:tcBorders>
            <w:shd w:val="clear" w:color="auto" w:fill="auto"/>
            <w:noWrap/>
            <w:vAlign w:val="bottom"/>
            <w:hideMark/>
          </w:tcPr>
          <w:p w14:paraId="399D7B1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118" w:type="dxa"/>
            <w:tcBorders>
              <w:top w:val="nil"/>
              <w:left w:val="nil"/>
              <w:bottom w:val="nil"/>
              <w:right w:val="nil"/>
            </w:tcBorders>
            <w:shd w:val="clear" w:color="auto" w:fill="auto"/>
            <w:noWrap/>
            <w:vAlign w:val="bottom"/>
            <w:hideMark/>
          </w:tcPr>
          <w:p w14:paraId="69887D3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969" w:type="dxa"/>
            <w:tcBorders>
              <w:top w:val="nil"/>
              <w:left w:val="nil"/>
              <w:bottom w:val="nil"/>
              <w:right w:val="nil"/>
            </w:tcBorders>
            <w:shd w:val="clear" w:color="auto" w:fill="auto"/>
            <w:noWrap/>
            <w:vAlign w:val="bottom"/>
            <w:hideMark/>
          </w:tcPr>
          <w:p w14:paraId="3437BE7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5992596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087D5A2E" w14:textId="77777777" w:rsidTr="004029A4">
        <w:trPr>
          <w:trHeight w:val="300"/>
        </w:trPr>
        <w:tc>
          <w:tcPr>
            <w:tcW w:w="3828" w:type="dxa"/>
            <w:tcBorders>
              <w:top w:val="nil"/>
              <w:left w:val="nil"/>
              <w:bottom w:val="nil"/>
              <w:right w:val="nil"/>
            </w:tcBorders>
            <w:shd w:val="clear" w:color="auto" w:fill="auto"/>
            <w:noWrap/>
            <w:vAlign w:val="bottom"/>
            <w:hideMark/>
          </w:tcPr>
          <w:p w14:paraId="19BD21B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118" w:type="dxa"/>
            <w:tcBorders>
              <w:top w:val="nil"/>
              <w:left w:val="nil"/>
              <w:bottom w:val="nil"/>
              <w:right w:val="nil"/>
            </w:tcBorders>
            <w:shd w:val="clear" w:color="auto" w:fill="auto"/>
            <w:noWrap/>
            <w:vAlign w:val="bottom"/>
            <w:hideMark/>
          </w:tcPr>
          <w:p w14:paraId="07C3ACF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969" w:type="dxa"/>
            <w:tcBorders>
              <w:top w:val="nil"/>
              <w:left w:val="nil"/>
              <w:bottom w:val="nil"/>
              <w:right w:val="nil"/>
            </w:tcBorders>
            <w:shd w:val="clear" w:color="auto" w:fill="auto"/>
            <w:noWrap/>
            <w:vAlign w:val="bottom"/>
            <w:hideMark/>
          </w:tcPr>
          <w:p w14:paraId="78CF7C1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4AD92C17"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5E373CD7" w14:textId="77777777" w:rsidTr="004029A4">
        <w:trPr>
          <w:trHeight w:val="300"/>
        </w:trPr>
        <w:tc>
          <w:tcPr>
            <w:tcW w:w="3828" w:type="dxa"/>
            <w:tcBorders>
              <w:top w:val="nil"/>
              <w:left w:val="nil"/>
              <w:bottom w:val="nil"/>
              <w:right w:val="nil"/>
            </w:tcBorders>
            <w:shd w:val="clear" w:color="auto" w:fill="auto"/>
            <w:noWrap/>
            <w:vAlign w:val="bottom"/>
            <w:hideMark/>
          </w:tcPr>
          <w:p w14:paraId="4BF958C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Low Back pain</w:t>
            </w:r>
          </w:p>
        </w:tc>
        <w:tc>
          <w:tcPr>
            <w:tcW w:w="3118" w:type="dxa"/>
            <w:tcBorders>
              <w:top w:val="nil"/>
              <w:left w:val="nil"/>
              <w:bottom w:val="nil"/>
              <w:right w:val="nil"/>
            </w:tcBorders>
            <w:shd w:val="clear" w:color="auto" w:fill="auto"/>
            <w:noWrap/>
            <w:vAlign w:val="bottom"/>
            <w:hideMark/>
          </w:tcPr>
          <w:p w14:paraId="37D06BE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Low back pain</w:t>
            </w:r>
          </w:p>
        </w:tc>
        <w:tc>
          <w:tcPr>
            <w:tcW w:w="3969" w:type="dxa"/>
            <w:tcBorders>
              <w:top w:val="nil"/>
              <w:left w:val="nil"/>
              <w:bottom w:val="nil"/>
              <w:right w:val="nil"/>
            </w:tcBorders>
            <w:shd w:val="clear" w:color="auto" w:fill="auto"/>
            <w:noWrap/>
            <w:vAlign w:val="bottom"/>
            <w:hideMark/>
          </w:tcPr>
          <w:p w14:paraId="51C7E53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c>
          <w:tcPr>
            <w:tcW w:w="3544" w:type="dxa"/>
            <w:tcBorders>
              <w:top w:val="nil"/>
              <w:left w:val="nil"/>
              <w:bottom w:val="nil"/>
              <w:right w:val="nil"/>
            </w:tcBorders>
            <w:shd w:val="clear" w:color="auto" w:fill="auto"/>
            <w:noWrap/>
            <w:vAlign w:val="bottom"/>
            <w:hideMark/>
          </w:tcPr>
          <w:p w14:paraId="7CB24613"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r>
      <w:tr w:rsidR="00667231" w:rsidRPr="00785C9D" w14:paraId="2CA27D8F"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0825DA5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Major Depressive Disorder (MDD)</w:t>
            </w:r>
          </w:p>
        </w:tc>
        <w:tc>
          <w:tcPr>
            <w:tcW w:w="3118" w:type="dxa"/>
            <w:tcBorders>
              <w:top w:val="nil"/>
              <w:left w:val="nil"/>
              <w:bottom w:val="single" w:sz="4" w:space="0" w:color="auto"/>
              <w:right w:val="nil"/>
            </w:tcBorders>
            <w:shd w:val="clear" w:color="auto" w:fill="auto"/>
            <w:noWrap/>
            <w:vAlign w:val="bottom"/>
            <w:hideMark/>
          </w:tcPr>
          <w:p w14:paraId="2F3664C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HIV</w:t>
            </w:r>
          </w:p>
        </w:tc>
        <w:tc>
          <w:tcPr>
            <w:tcW w:w="3969" w:type="dxa"/>
            <w:tcBorders>
              <w:top w:val="nil"/>
              <w:left w:val="nil"/>
              <w:bottom w:val="single" w:sz="4" w:space="0" w:color="auto"/>
              <w:right w:val="nil"/>
            </w:tcBorders>
            <w:shd w:val="clear" w:color="auto" w:fill="auto"/>
            <w:noWrap/>
            <w:vAlign w:val="bottom"/>
            <w:hideMark/>
          </w:tcPr>
          <w:p w14:paraId="54C59F2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Chronic Obstructive Pulmonary Disease (COPD)</w:t>
            </w:r>
          </w:p>
        </w:tc>
        <w:tc>
          <w:tcPr>
            <w:tcW w:w="3544" w:type="dxa"/>
            <w:tcBorders>
              <w:top w:val="nil"/>
              <w:left w:val="nil"/>
              <w:bottom w:val="single" w:sz="4" w:space="0" w:color="auto"/>
              <w:right w:val="nil"/>
            </w:tcBorders>
            <w:shd w:val="clear" w:color="auto" w:fill="auto"/>
            <w:noWrap/>
            <w:vAlign w:val="bottom"/>
            <w:hideMark/>
          </w:tcPr>
          <w:p w14:paraId="3C76979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HIV</w:t>
            </w:r>
          </w:p>
        </w:tc>
      </w:tr>
      <w:tr w:rsidR="00667231" w:rsidRPr="00785C9D" w14:paraId="4EB04D77"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70B79A88"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lastRenderedPageBreak/>
              <w:t>Western Europe</w:t>
            </w:r>
          </w:p>
        </w:tc>
      </w:tr>
      <w:tr w:rsidR="00667231" w:rsidRPr="00785C9D" w14:paraId="79E75577" w14:textId="77777777" w:rsidTr="004029A4">
        <w:trPr>
          <w:trHeight w:val="300"/>
        </w:trPr>
        <w:tc>
          <w:tcPr>
            <w:tcW w:w="3828" w:type="dxa"/>
            <w:tcBorders>
              <w:top w:val="nil"/>
              <w:left w:val="nil"/>
              <w:bottom w:val="nil"/>
              <w:right w:val="nil"/>
            </w:tcBorders>
            <w:shd w:val="clear" w:color="auto" w:fill="auto"/>
            <w:noWrap/>
            <w:vAlign w:val="bottom"/>
            <w:hideMark/>
          </w:tcPr>
          <w:p w14:paraId="5C98A40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118" w:type="dxa"/>
            <w:tcBorders>
              <w:top w:val="nil"/>
              <w:left w:val="nil"/>
              <w:bottom w:val="nil"/>
              <w:right w:val="nil"/>
            </w:tcBorders>
            <w:shd w:val="clear" w:color="auto" w:fill="auto"/>
            <w:noWrap/>
            <w:vAlign w:val="bottom"/>
            <w:hideMark/>
          </w:tcPr>
          <w:p w14:paraId="66D9533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969" w:type="dxa"/>
            <w:tcBorders>
              <w:top w:val="nil"/>
              <w:left w:val="nil"/>
              <w:bottom w:val="nil"/>
              <w:right w:val="nil"/>
            </w:tcBorders>
            <w:shd w:val="clear" w:color="auto" w:fill="auto"/>
            <w:noWrap/>
            <w:vAlign w:val="bottom"/>
            <w:hideMark/>
          </w:tcPr>
          <w:p w14:paraId="3A5976E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1533A90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4061B389" w14:textId="77777777" w:rsidTr="004029A4">
        <w:trPr>
          <w:trHeight w:val="300"/>
        </w:trPr>
        <w:tc>
          <w:tcPr>
            <w:tcW w:w="3828" w:type="dxa"/>
            <w:tcBorders>
              <w:top w:val="nil"/>
              <w:left w:val="nil"/>
              <w:bottom w:val="nil"/>
              <w:right w:val="nil"/>
            </w:tcBorders>
            <w:shd w:val="clear" w:color="auto" w:fill="auto"/>
            <w:noWrap/>
            <w:vAlign w:val="bottom"/>
            <w:hideMark/>
          </w:tcPr>
          <w:p w14:paraId="3AC6A8B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Low back pain</w:t>
            </w:r>
          </w:p>
        </w:tc>
        <w:tc>
          <w:tcPr>
            <w:tcW w:w="3118" w:type="dxa"/>
            <w:tcBorders>
              <w:top w:val="nil"/>
              <w:left w:val="nil"/>
              <w:bottom w:val="nil"/>
              <w:right w:val="nil"/>
            </w:tcBorders>
            <w:shd w:val="clear" w:color="auto" w:fill="auto"/>
            <w:noWrap/>
            <w:vAlign w:val="bottom"/>
            <w:hideMark/>
          </w:tcPr>
          <w:p w14:paraId="724389A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Low back pain</w:t>
            </w:r>
          </w:p>
        </w:tc>
        <w:tc>
          <w:tcPr>
            <w:tcW w:w="3969" w:type="dxa"/>
            <w:tcBorders>
              <w:top w:val="nil"/>
              <w:left w:val="nil"/>
              <w:bottom w:val="nil"/>
              <w:right w:val="nil"/>
            </w:tcBorders>
            <w:shd w:val="clear" w:color="auto" w:fill="auto"/>
            <w:noWrap/>
            <w:vAlign w:val="bottom"/>
            <w:hideMark/>
          </w:tcPr>
          <w:p w14:paraId="24050B0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70852EC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7C5528B3" w14:textId="77777777" w:rsidTr="004029A4">
        <w:trPr>
          <w:trHeight w:val="300"/>
        </w:trPr>
        <w:tc>
          <w:tcPr>
            <w:tcW w:w="3828" w:type="dxa"/>
            <w:tcBorders>
              <w:top w:val="nil"/>
              <w:left w:val="nil"/>
              <w:bottom w:val="nil"/>
              <w:right w:val="nil"/>
            </w:tcBorders>
            <w:shd w:val="clear" w:color="auto" w:fill="auto"/>
            <w:noWrap/>
            <w:vAlign w:val="bottom"/>
            <w:hideMark/>
          </w:tcPr>
          <w:p w14:paraId="7F315DD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Stroke</w:t>
            </w:r>
          </w:p>
        </w:tc>
        <w:tc>
          <w:tcPr>
            <w:tcW w:w="3118" w:type="dxa"/>
            <w:tcBorders>
              <w:top w:val="nil"/>
              <w:left w:val="nil"/>
              <w:bottom w:val="nil"/>
              <w:right w:val="nil"/>
            </w:tcBorders>
            <w:shd w:val="clear" w:color="auto" w:fill="auto"/>
            <w:noWrap/>
            <w:vAlign w:val="bottom"/>
            <w:hideMark/>
          </w:tcPr>
          <w:p w14:paraId="23E90CF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Stroke</w:t>
            </w:r>
          </w:p>
        </w:tc>
        <w:tc>
          <w:tcPr>
            <w:tcW w:w="3969" w:type="dxa"/>
            <w:tcBorders>
              <w:top w:val="nil"/>
              <w:left w:val="nil"/>
              <w:bottom w:val="nil"/>
              <w:right w:val="nil"/>
            </w:tcBorders>
            <w:shd w:val="clear" w:color="auto" w:fill="auto"/>
            <w:noWrap/>
            <w:vAlign w:val="bottom"/>
            <w:hideMark/>
          </w:tcPr>
          <w:p w14:paraId="3EA34B4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c>
          <w:tcPr>
            <w:tcW w:w="3544" w:type="dxa"/>
            <w:tcBorders>
              <w:top w:val="nil"/>
              <w:left w:val="nil"/>
              <w:bottom w:val="nil"/>
              <w:right w:val="nil"/>
            </w:tcBorders>
            <w:shd w:val="clear" w:color="auto" w:fill="auto"/>
            <w:noWrap/>
            <w:vAlign w:val="bottom"/>
            <w:hideMark/>
          </w:tcPr>
          <w:p w14:paraId="198AC93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r>
      <w:tr w:rsidR="00667231" w:rsidRPr="00785C9D" w14:paraId="398B5E3C"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6A075B4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TBLC</w:t>
            </w:r>
          </w:p>
        </w:tc>
        <w:tc>
          <w:tcPr>
            <w:tcW w:w="3118" w:type="dxa"/>
            <w:tcBorders>
              <w:top w:val="nil"/>
              <w:left w:val="nil"/>
              <w:bottom w:val="single" w:sz="4" w:space="0" w:color="auto"/>
              <w:right w:val="nil"/>
            </w:tcBorders>
            <w:shd w:val="clear" w:color="auto" w:fill="auto"/>
            <w:noWrap/>
            <w:vAlign w:val="bottom"/>
            <w:hideMark/>
          </w:tcPr>
          <w:p w14:paraId="374697F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MDD</w:t>
            </w:r>
          </w:p>
        </w:tc>
        <w:tc>
          <w:tcPr>
            <w:tcW w:w="3969" w:type="dxa"/>
            <w:tcBorders>
              <w:top w:val="nil"/>
              <w:left w:val="nil"/>
              <w:bottom w:val="single" w:sz="4" w:space="0" w:color="auto"/>
              <w:right w:val="nil"/>
            </w:tcBorders>
            <w:shd w:val="clear" w:color="auto" w:fill="auto"/>
            <w:noWrap/>
            <w:vAlign w:val="bottom"/>
            <w:hideMark/>
          </w:tcPr>
          <w:p w14:paraId="2A412717"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COPD</w:t>
            </w:r>
          </w:p>
        </w:tc>
        <w:tc>
          <w:tcPr>
            <w:tcW w:w="3544" w:type="dxa"/>
            <w:tcBorders>
              <w:top w:val="nil"/>
              <w:left w:val="nil"/>
              <w:bottom w:val="single" w:sz="4" w:space="0" w:color="auto"/>
              <w:right w:val="nil"/>
            </w:tcBorders>
            <w:shd w:val="clear" w:color="auto" w:fill="auto"/>
            <w:noWrap/>
            <w:vAlign w:val="bottom"/>
            <w:hideMark/>
          </w:tcPr>
          <w:p w14:paraId="20856BF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COPD</w:t>
            </w:r>
          </w:p>
        </w:tc>
      </w:tr>
      <w:tr w:rsidR="00667231" w:rsidRPr="00785C9D" w14:paraId="6566A129"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32AB0189"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 xml:space="preserve">High-income Asia Pacific </w:t>
            </w:r>
          </w:p>
        </w:tc>
      </w:tr>
      <w:tr w:rsidR="00667231" w:rsidRPr="00785C9D" w14:paraId="36804559" w14:textId="77777777" w:rsidTr="004029A4">
        <w:trPr>
          <w:trHeight w:val="300"/>
        </w:trPr>
        <w:tc>
          <w:tcPr>
            <w:tcW w:w="3828" w:type="dxa"/>
            <w:tcBorders>
              <w:top w:val="nil"/>
              <w:left w:val="nil"/>
              <w:bottom w:val="nil"/>
              <w:right w:val="nil"/>
            </w:tcBorders>
            <w:shd w:val="clear" w:color="auto" w:fill="auto"/>
            <w:noWrap/>
            <w:vAlign w:val="bottom"/>
            <w:hideMark/>
          </w:tcPr>
          <w:p w14:paraId="2D418B2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 xml:space="preserve">1. Stroke </w:t>
            </w:r>
          </w:p>
        </w:tc>
        <w:tc>
          <w:tcPr>
            <w:tcW w:w="3118" w:type="dxa"/>
            <w:tcBorders>
              <w:top w:val="nil"/>
              <w:left w:val="nil"/>
              <w:bottom w:val="nil"/>
              <w:right w:val="nil"/>
            </w:tcBorders>
            <w:shd w:val="clear" w:color="auto" w:fill="auto"/>
            <w:noWrap/>
            <w:vAlign w:val="bottom"/>
            <w:hideMark/>
          </w:tcPr>
          <w:p w14:paraId="4684D25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Low back pain</w:t>
            </w:r>
          </w:p>
        </w:tc>
        <w:tc>
          <w:tcPr>
            <w:tcW w:w="3969" w:type="dxa"/>
            <w:tcBorders>
              <w:top w:val="nil"/>
              <w:left w:val="nil"/>
              <w:bottom w:val="nil"/>
              <w:right w:val="nil"/>
            </w:tcBorders>
            <w:shd w:val="clear" w:color="auto" w:fill="auto"/>
            <w:noWrap/>
            <w:vAlign w:val="bottom"/>
            <w:hideMark/>
          </w:tcPr>
          <w:p w14:paraId="7085B4F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 xml:space="preserve">1. Stroke </w:t>
            </w:r>
          </w:p>
        </w:tc>
        <w:tc>
          <w:tcPr>
            <w:tcW w:w="3544" w:type="dxa"/>
            <w:tcBorders>
              <w:top w:val="nil"/>
              <w:left w:val="nil"/>
              <w:bottom w:val="nil"/>
              <w:right w:val="nil"/>
            </w:tcBorders>
            <w:shd w:val="clear" w:color="auto" w:fill="auto"/>
            <w:noWrap/>
            <w:vAlign w:val="bottom"/>
            <w:hideMark/>
          </w:tcPr>
          <w:p w14:paraId="547C100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Stroke</w:t>
            </w:r>
          </w:p>
        </w:tc>
      </w:tr>
      <w:tr w:rsidR="00667231" w:rsidRPr="00785C9D" w14:paraId="7C94D91B" w14:textId="77777777" w:rsidTr="004029A4">
        <w:trPr>
          <w:trHeight w:val="300"/>
        </w:trPr>
        <w:tc>
          <w:tcPr>
            <w:tcW w:w="3828" w:type="dxa"/>
            <w:tcBorders>
              <w:top w:val="nil"/>
              <w:left w:val="nil"/>
              <w:bottom w:val="nil"/>
              <w:right w:val="nil"/>
            </w:tcBorders>
            <w:shd w:val="clear" w:color="auto" w:fill="auto"/>
            <w:noWrap/>
            <w:vAlign w:val="bottom"/>
            <w:hideMark/>
          </w:tcPr>
          <w:p w14:paraId="71F1288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Low back pain</w:t>
            </w:r>
          </w:p>
        </w:tc>
        <w:tc>
          <w:tcPr>
            <w:tcW w:w="3118" w:type="dxa"/>
            <w:tcBorders>
              <w:top w:val="nil"/>
              <w:left w:val="nil"/>
              <w:bottom w:val="nil"/>
              <w:right w:val="nil"/>
            </w:tcBorders>
            <w:shd w:val="clear" w:color="auto" w:fill="auto"/>
            <w:noWrap/>
            <w:vAlign w:val="bottom"/>
            <w:hideMark/>
          </w:tcPr>
          <w:p w14:paraId="4BAC513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969" w:type="dxa"/>
            <w:tcBorders>
              <w:top w:val="nil"/>
              <w:left w:val="nil"/>
              <w:bottom w:val="nil"/>
              <w:right w:val="nil"/>
            </w:tcBorders>
            <w:shd w:val="clear" w:color="auto" w:fill="auto"/>
            <w:noWrap/>
            <w:vAlign w:val="bottom"/>
            <w:hideMark/>
          </w:tcPr>
          <w:p w14:paraId="2CB41E7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IHD</w:t>
            </w:r>
          </w:p>
        </w:tc>
        <w:tc>
          <w:tcPr>
            <w:tcW w:w="3544" w:type="dxa"/>
            <w:tcBorders>
              <w:top w:val="nil"/>
              <w:left w:val="nil"/>
              <w:bottom w:val="nil"/>
              <w:right w:val="nil"/>
            </w:tcBorders>
            <w:shd w:val="clear" w:color="auto" w:fill="auto"/>
            <w:noWrap/>
            <w:vAlign w:val="bottom"/>
            <w:hideMark/>
          </w:tcPr>
          <w:p w14:paraId="1501AE9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IHD</w:t>
            </w:r>
          </w:p>
        </w:tc>
      </w:tr>
      <w:tr w:rsidR="00667231" w:rsidRPr="00785C9D" w14:paraId="33F635F8" w14:textId="77777777" w:rsidTr="004029A4">
        <w:trPr>
          <w:trHeight w:val="300"/>
        </w:trPr>
        <w:tc>
          <w:tcPr>
            <w:tcW w:w="3828" w:type="dxa"/>
            <w:tcBorders>
              <w:top w:val="nil"/>
              <w:left w:val="nil"/>
              <w:bottom w:val="nil"/>
              <w:right w:val="nil"/>
            </w:tcBorders>
            <w:shd w:val="clear" w:color="auto" w:fill="auto"/>
            <w:noWrap/>
            <w:vAlign w:val="bottom"/>
            <w:hideMark/>
          </w:tcPr>
          <w:p w14:paraId="7559EEB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IHD</w:t>
            </w:r>
          </w:p>
        </w:tc>
        <w:tc>
          <w:tcPr>
            <w:tcW w:w="3118" w:type="dxa"/>
            <w:tcBorders>
              <w:top w:val="nil"/>
              <w:left w:val="nil"/>
              <w:bottom w:val="nil"/>
              <w:right w:val="nil"/>
            </w:tcBorders>
            <w:shd w:val="clear" w:color="auto" w:fill="auto"/>
            <w:noWrap/>
            <w:vAlign w:val="bottom"/>
            <w:hideMark/>
          </w:tcPr>
          <w:p w14:paraId="16280A3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IHD</w:t>
            </w:r>
          </w:p>
        </w:tc>
        <w:tc>
          <w:tcPr>
            <w:tcW w:w="3969" w:type="dxa"/>
            <w:tcBorders>
              <w:top w:val="nil"/>
              <w:left w:val="nil"/>
              <w:bottom w:val="nil"/>
              <w:right w:val="nil"/>
            </w:tcBorders>
            <w:shd w:val="clear" w:color="auto" w:fill="auto"/>
            <w:noWrap/>
            <w:vAlign w:val="bottom"/>
            <w:hideMark/>
          </w:tcPr>
          <w:p w14:paraId="191DE10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c>
          <w:tcPr>
            <w:tcW w:w="3544" w:type="dxa"/>
            <w:tcBorders>
              <w:top w:val="nil"/>
              <w:left w:val="nil"/>
              <w:bottom w:val="nil"/>
              <w:right w:val="nil"/>
            </w:tcBorders>
            <w:shd w:val="clear" w:color="auto" w:fill="auto"/>
            <w:noWrap/>
            <w:vAlign w:val="bottom"/>
            <w:hideMark/>
          </w:tcPr>
          <w:p w14:paraId="2A4F016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r>
      <w:tr w:rsidR="00667231" w:rsidRPr="00785C9D" w14:paraId="0EE49EAA"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07814B9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Stomach cancer</w:t>
            </w:r>
          </w:p>
        </w:tc>
        <w:tc>
          <w:tcPr>
            <w:tcW w:w="3118" w:type="dxa"/>
            <w:tcBorders>
              <w:top w:val="nil"/>
              <w:left w:val="nil"/>
              <w:bottom w:val="single" w:sz="4" w:space="0" w:color="auto"/>
              <w:right w:val="nil"/>
            </w:tcBorders>
            <w:shd w:val="clear" w:color="auto" w:fill="auto"/>
            <w:noWrap/>
            <w:vAlign w:val="bottom"/>
            <w:hideMark/>
          </w:tcPr>
          <w:p w14:paraId="063E2AF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Other musculoskeletal disorders</w:t>
            </w:r>
          </w:p>
        </w:tc>
        <w:tc>
          <w:tcPr>
            <w:tcW w:w="3969" w:type="dxa"/>
            <w:tcBorders>
              <w:top w:val="nil"/>
              <w:left w:val="nil"/>
              <w:bottom w:val="single" w:sz="4" w:space="0" w:color="auto"/>
              <w:right w:val="nil"/>
            </w:tcBorders>
            <w:shd w:val="clear" w:color="auto" w:fill="auto"/>
            <w:noWrap/>
            <w:vAlign w:val="bottom"/>
            <w:hideMark/>
          </w:tcPr>
          <w:p w14:paraId="1A03EFC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Stomach cancer</w:t>
            </w:r>
          </w:p>
        </w:tc>
        <w:tc>
          <w:tcPr>
            <w:tcW w:w="3544" w:type="dxa"/>
            <w:tcBorders>
              <w:top w:val="nil"/>
              <w:left w:val="nil"/>
              <w:bottom w:val="single" w:sz="4" w:space="0" w:color="auto"/>
              <w:right w:val="nil"/>
            </w:tcBorders>
            <w:shd w:val="clear" w:color="auto" w:fill="auto"/>
            <w:noWrap/>
            <w:vAlign w:val="bottom"/>
            <w:hideMark/>
          </w:tcPr>
          <w:p w14:paraId="24132E5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TBLC</w:t>
            </w:r>
          </w:p>
        </w:tc>
      </w:tr>
      <w:tr w:rsidR="00667231" w:rsidRPr="00785C9D" w14:paraId="7DD6C154"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73A78CF0"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North America</w:t>
            </w:r>
          </w:p>
        </w:tc>
      </w:tr>
      <w:tr w:rsidR="00667231" w:rsidRPr="00785C9D" w14:paraId="1ABC1B13" w14:textId="77777777" w:rsidTr="004029A4">
        <w:trPr>
          <w:trHeight w:val="300"/>
        </w:trPr>
        <w:tc>
          <w:tcPr>
            <w:tcW w:w="3828" w:type="dxa"/>
            <w:tcBorders>
              <w:top w:val="nil"/>
              <w:left w:val="nil"/>
              <w:bottom w:val="nil"/>
              <w:right w:val="nil"/>
            </w:tcBorders>
            <w:shd w:val="clear" w:color="auto" w:fill="auto"/>
            <w:noWrap/>
            <w:vAlign w:val="bottom"/>
            <w:hideMark/>
          </w:tcPr>
          <w:p w14:paraId="32C3B452"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118" w:type="dxa"/>
            <w:tcBorders>
              <w:top w:val="nil"/>
              <w:left w:val="nil"/>
              <w:bottom w:val="nil"/>
              <w:right w:val="nil"/>
            </w:tcBorders>
            <w:shd w:val="clear" w:color="auto" w:fill="auto"/>
            <w:noWrap/>
            <w:vAlign w:val="bottom"/>
            <w:hideMark/>
          </w:tcPr>
          <w:p w14:paraId="18E96A8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969" w:type="dxa"/>
            <w:tcBorders>
              <w:top w:val="nil"/>
              <w:left w:val="nil"/>
              <w:bottom w:val="nil"/>
              <w:right w:val="nil"/>
            </w:tcBorders>
            <w:shd w:val="clear" w:color="auto" w:fill="auto"/>
            <w:noWrap/>
            <w:vAlign w:val="bottom"/>
            <w:hideMark/>
          </w:tcPr>
          <w:p w14:paraId="4DA9AF57"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01B869B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5109CD5F" w14:textId="77777777" w:rsidTr="004029A4">
        <w:trPr>
          <w:trHeight w:val="300"/>
        </w:trPr>
        <w:tc>
          <w:tcPr>
            <w:tcW w:w="3828" w:type="dxa"/>
            <w:tcBorders>
              <w:top w:val="nil"/>
              <w:left w:val="nil"/>
              <w:bottom w:val="nil"/>
              <w:right w:val="nil"/>
            </w:tcBorders>
            <w:shd w:val="clear" w:color="auto" w:fill="auto"/>
            <w:noWrap/>
            <w:vAlign w:val="bottom"/>
            <w:hideMark/>
          </w:tcPr>
          <w:p w14:paraId="3D6764F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TBLC</w:t>
            </w:r>
          </w:p>
        </w:tc>
        <w:tc>
          <w:tcPr>
            <w:tcW w:w="3118" w:type="dxa"/>
            <w:tcBorders>
              <w:top w:val="nil"/>
              <w:left w:val="nil"/>
              <w:bottom w:val="nil"/>
              <w:right w:val="nil"/>
            </w:tcBorders>
            <w:shd w:val="clear" w:color="auto" w:fill="auto"/>
            <w:noWrap/>
            <w:vAlign w:val="bottom"/>
            <w:hideMark/>
          </w:tcPr>
          <w:p w14:paraId="4299705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COPD</w:t>
            </w:r>
          </w:p>
        </w:tc>
        <w:tc>
          <w:tcPr>
            <w:tcW w:w="3969" w:type="dxa"/>
            <w:tcBorders>
              <w:top w:val="nil"/>
              <w:left w:val="nil"/>
              <w:bottom w:val="nil"/>
              <w:right w:val="nil"/>
            </w:tcBorders>
            <w:shd w:val="clear" w:color="auto" w:fill="auto"/>
            <w:noWrap/>
            <w:vAlign w:val="bottom"/>
            <w:hideMark/>
          </w:tcPr>
          <w:p w14:paraId="13785357"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0A21E2E3"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3E1B844A" w14:textId="77777777" w:rsidTr="004029A4">
        <w:trPr>
          <w:trHeight w:val="300"/>
        </w:trPr>
        <w:tc>
          <w:tcPr>
            <w:tcW w:w="3828" w:type="dxa"/>
            <w:tcBorders>
              <w:top w:val="nil"/>
              <w:left w:val="nil"/>
              <w:bottom w:val="nil"/>
              <w:right w:val="nil"/>
            </w:tcBorders>
            <w:shd w:val="clear" w:color="auto" w:fill="auto"/>
            <w:noWrap/>
            <w:vAlign w:val="bottom"/>
            <w:hideMark/>
          </w:tcPr>
          <w:p w14:paraId="0018841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Low Back Pain</w:t>
            </w:r>
          </w:p>
        </w:tc>
        <w:tc>
          <w:tcPr>
            <w:tcW w:w="3118" w:type="dxa"/>
            <w:tcBorders>
              <w:top w:val="nil"/>
              <w:left w:val="nil"/>
              <w:bottom w:val="nil"/>
              <w:right w:val="nil"/>
            </w:tcBorders>
            <w:shd w:val="clear" w:color="auto" w:fill="auto"/>
            <w:noWrap/>
            <w:vAlign w:val="bottom"/>
            <w:hideMark/>
          </w:tcPr>
          <w:p w14:paraId="479114C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Low back pain</w:t>
            </w:r>
          </w:p>
        </w:tc>
        <w:tc>
          <w:tcPr>
            <w:tcW w:w="3969" w:type="dxa"/>
            <w:tcBorders>
              <w:top w:val="nil"/>
              <w:left w:val="nil"/>
              <w:bottom w:val="nil"/>
              <w:right w:val="nil"/>
            </w:tcBorders>
            <w:shd w:val="clear" w:color="auto" w:fill="auto"/>
            <w:noWrap/>
            <w:vAlign w:val="bottom"/>
            <w:hideMark/>
          </w:tcPr>
          <w:p w14:paraId="23D680F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c>
          <w:tcPr>
            <w:tcW w:w="3544" w:type="dxa"/>
            <w:tcBorders>
              <w:top w:val="nil"/>
              <w:left w:val="nil"/>
              <w:bottom w:val="nil"/>
              <w:right w:val="nil"/>
            </w:tcBorders>
            <w:shd w:val="clear" w:color="auto" w:fill="auto"/>
            <w:noWrap/>
            <w:vAlign w:val="bottom"/>
            <w:hideMark/>
          </w:tcPr>
          <w:p w14:paraId="771D679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r>
      <w:tr w:rsidR="00667231" w:rsidRPr="00785C9D" w14:paraId="0A2F67CB"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40AED78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COPD</w:t>
            </w:r>
          </w:p>
        </w:tc>
        <w:tc>
          <w:tcPr>
            <w:tcW w:w="3118" w:type="dxa"/>
            <w:tcBorders>
              <w:top w:val="nil"/>
              <w:left w:val="nil"/>
              <w:bottom w:val="single" w:sz="4" w:space="0" w:color="auto"/>
              <w:right w:val="nil"/>
            </w:tcBorders>
            <w:shd w:val="clear" w:color="auto" w:fill="auto"/>
            <w:noWrap/>
            <w:vAlign w:val="bottom"/>
            <w:hideMark/>
          </w:tcPr>
          <w:p w14:paraId="0E8F75A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TBLC</w:t>
            </w:r>
          </w:p>
        </w:tc>
        <w:tc>
          <w:tcPr>
            <w:tcW w:w="3969" w:type="dxa"/>
            <w:tcBorders>
              <w:top w:val="nil"/>
              <w:left w:val="nil"/>
              <w:bottom w:val="single" w:sz="4" w:space="0" w:color="auto"/>
              <w:right w:val="nil"/>
            </w:tcBorders>
            <w:shd w:val="clear" w:color="auto" w:fill="auto"/>
            <w:noWrap/>
            <w:vAlign w:val="bottom"/>
            <w:hideMark/>
          </w:tcPr>
          <w:p w14:paraId="30A0EA5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COPD</w:t>
            </w:r>
          </w:p>
        </w:tc>
        <w:tc>
          <w:tcPr>
            <w:tcW w:w="3544" w:type="dxa"/>
            <w:tcBorders>
              <w:top w:val="nil"/>
              <w:left w:val="nil"/>
              <w:bottom w:val="single" w:sz="4" w:space="0" w:color="auto"/>
              <w:right w:val="nil"/>
            </w:tcBorders>
            <w:shd w:val="clear" w:color="auto" w:fill="auto"/>
            <w:noWrap/>
            <w:vAlign w:val="bottom"/>
            <w:hideMark/>
          </w:tcPr>
          <w:p w14:paraId="284C1787"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Alzheimer diseases and other dementia</w:t>
            </w:r>
          </w:p>
        </w:tc>
      </w:tr>
      <w:tr w:rsidR="00667231" w:rsidRPr="00785C9D" w14:paraId="38969321"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57AD90BD"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lastRenderedPageBreak/>
              <w:t>Australasia</w:t>
            </w:r>
          </w:p>
        </w:tc>
      </w:tr>
      <w:tr w:rsidR="00667231" w:rsidRPr="00785C9D" w14:paraId="4BBE2540" w14:textId="77777777" w:rsidTr="004029A4">
        <w:trPr>
          <w:trHeight w:val="300"/>
        </w:trPr>
        <w:tc>
          <w:tcPr>
            <w:tcW w:w="3828" w:type="dxa"/>
            <w:tcBorders>
              <w:top w:val="nil"/>
              <w:left w:val="nil"/>
              <w:bottom w:val="nil"/>
              <w:right w:val="nil"/>
            </w:tcBorders>
            <w:shd w:val="clear" w:color="auto" w:fill="auto"/>
            <w:noWrap/>
            <w:vAlign w:val="bottom"/>
            <w:hideMark/>
          </w:tcPr>
          <w:p w14:paraId="0397251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118" w:type="dxa"/>
            <w:tcBorders>
              <w:top w:val="nil"/>
              <w:left w:val="nil"/>
              <w:bottom w:val="nil"/>
              <w:right w:val="nil"/>
            </w:tcBorders>
            <w:shd w:val="clear" w:color="auto" w:fill="auto"/>
            <w:noWrap/>
            <w:vAlign w:val="bottom"/>
            <w:hideMark/>
          </w:tcPr>
          <w:p w14:paraId="5877B85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969" w:type="dxa"/>
            <w:tcBorders>
              <w:top w:val="nil"/>
              <w:left w:val="nil"/>
              <w:bottom w:val="nil"/>
              <w:right w:val="nil"/>
            </w:tcBorders>
            <w:shd w:val="clear" w:color="auto" w:fill="auto"/>
            <w:noWrap/>
            <w:vAlign w:val="bottom"/>
            <w:hideMark/>
          </w:tcPr>
          <w:p w14:paraId="03E84757"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010584A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0DB8CA38" w14:textId="77777777" w:rsidTr="004029A4">
        <w:trPr>
          <w:trHeight w:val="300"/>
        </w:trPr>
        <w:tc>
          <w:tcPr>
            <w:tcW w:w="3828" w:type="dxa"/>
            <w:tcBorders>
              <w:top w:val="nil"/>
              <w:left w:val="nil"/>
              <w:bottom w:val="nil"/>
              <w:right w:val="nil"/>
            </w:tcBorders>
            <w:shd w:val="clear" w:color="auto" w:fill="auto"/>
            <w:noWrap/>
            <w:vAlign w:val="bottom"/>
            <w:hideMark/>
          </w:tcPr>
          <w:p w14:paraId="58A7DF6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Low back pain</w:t>
            </w:r>
          </w:p>
        </w:tc>
        <w:tc>
          <w:tcPr>
            <w:tcW w:w="3118" w:type="dxa"/>
            <w:tcBorders>
              <w:top w:val="nil"/>
              <w:left w:val="nil"/>
              <w:bottom w:val="nil"/>
              <w:right w:val="nil"/>
            </w:tcBorders>
            <w:shd w:val="clear" w:color="auto" w:fill="auto"/>
            <w:noWrap/>
            <w:vAlign w:val="bottom"/>
            <w:hideMark/>
          </w:tcPr>
          <w:p w14:paraId="3B31EE2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Low back pain</w:t>
            </w:r>
          </w:p>
        </w:tc>
        <w:tc>
          <w:tcPr>
            <w:tcW w:w="3969" w:type="dxa"/>
            <w:tcBorders>
              <w:top w:val="nil"/>
              <w:left w:val="nil"/>
              <w:bottom w:val="nil"/>
              <w:right w:val="nil"/>
            </w:tcBorders>
            <w:shd w:val="clear" w:color="auto" w:fill="auto"/>
            <w:noWrap/>
            <w:vAlign w:val="bottom"/>
            <w:hideMark/>
          </w:tcPr>
          <w:p w14:paraId="0589F41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1865A00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1231D7BC" w14:textId="77777777" w:rsidTr="004029A4">
        <w:trPr>
          <w:trHeight w:val="300"/>
        </w:trPr>
        <w:tc>
          <w:tcPr>
            <w:tcW w:w="3828" w:type="dxa"/>
            <w:tcBorders>
              <w:top w:val="nil"/>
              <w:left w:val="nil"/>
              <w:bottom w:val="nil"/>
              <w:right w:val="nil"/>
            </w:tcBorders>
            <w:shd w:val="clear" w:color="auto" w:fill="auto"/>
            <w:noWrap/>
            <w:vAlign w:val="bottom"/>
            <w:hideMark/>
          </w:tcPr>
          <w:p w14:paraId="05327720"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Road injuries</w:t>
            </w:r>
          </w:p>
        </w:tc>
        <w:tc>
          <w:tcPr>
            <w:tcW w:w="3118" w:type="dxa"/>
            <w:tcBorders>
              <w:top w:val="nil"/>
              <w:left w:val="nil"/>
              <w:bottom w:val="nil"/>
              <w:right w:val="nil"/>
            </w:tcBorders>
            <w:shd w:val="clear" w:color="auto" w:fill="auto"/>
            <w:noWrap/>
            <w:vAlign w:val="bottom"/>
            <w:hideMark/>
          </w:tcPr>
          <w:p w14:paraId="7C10C39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COPD</w:t>
            </w:r>
          </w:p>
        </w:tc>
        <w:tc>
          <w:tcPr>
            <w:tcW w:w="3969" w:type="dxa"/>
            <w:tcBorders>
              <w:top w:val="nil"/>
              <w:left w:val="nil"/>
              <w:bottom w:val="nil"/>
              <w:right w:val="nil"/>
            </w:tcBorders>
            <w:shd w:val="clear" w:color="auto" w:fill="auto"/>
            <w:noWrap/>
            <w:vAlign w:val="bottom"/>
            <w:hideMark/>
          </w:tcPr>
          <w:p w14:paraId="2A2D58B2"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 xml:space="preserve">3. TBLC </w:t>
            </w:r>
          </w:p>
        </w:tc>
        <w:tc>
          <w:tcPr>
            <w:tcW w:w="3544" w:type="dxa"/>
            <w:tcBorders>
              <w:top w:val="nil"/>
              <w:left w:val="nil"/>
              <w:bottom w:val="nil"/>
              <w:right w:val="nil"/>
            </w:tcBorders>
            <w:shd w:val="clear" w:color="auto" w:fill="auto"/>
            <w:noWrap/>
            <w:vAlign w:val="bottom"/>
            <w:hideMark/>
          </w:tcPr>
          <w:p w14:paraId="28B0657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TBLC</w:t>
            </w:r>
          </w:p>
        </w:tc>
      </w:tr>
      <w:tr w:rsidR="00667231" w:rsidRPr="00785C9D" w14:paraId="7BCA7F40"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1D2DF5A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Stroke</w:t>
            </w:r>
          </w:p>
        </w:tc>
        <w:tc>
          <w:tcPr>
            <w:tcW w:w="3118" w:type="dxa"/>
            <w:tcBorders>
              <w:top w:val="nil"/>
              <w:left w:val="nil"/>
              <w:bottom w:val="single" w:sz="4" w:space="0" w:color="auto"/>
              <w:right w:val="nil"/>
            </w:tcBorders>
            <w:shd w:val="clear" w:color="auto" w:fill="auto"/>
            <w:noWrap/>
            <w:vAlign w:val="bottom"/>
            <w:hideMark/>
          </w:tcPr>
          <w:p w14:paraId="0736D86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MDD</w:t>
            </w:r>
          </w:p>
        </w:tc>
        <w:tc>
          <w:tcPr>
            <w:tcW w:w="3969" w:type="dxa"/>
            <w:tcBorders>
              <w:top w:val="nil"/>
              <w:left w:val="nil"/>
              <w:bottom w:val="single" w:sz="4" w:space="0" w:color="auto"/>
              <w:right w:val="nil"/>
            </w:tcBorders>
            <w:shd w:val="clear" w:color="auto" w:fill="auto"/>
            <w:noWrap/>
            <w:vAlign w:val="bottom"/>
            <w:hideMark/>
          </w:tcPr>
          <w:p w14:paraId="5E187FC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COPD</w:t>
            </w:r>
          </w:p>
        </w:tc>
        <w:tc>
          <w:tcPr>
            <w:tcW w:w="3544" w:type="dxa"/>
            <w:tcBorders>
              <w:top w:val="nil"/>
              <w:left w:val="nil"/>
              <w:bottom w:val="single" w:sz="4" w:space="0" w:color="auto"/>
              <w:right w:val="nil"/>
            </w:tcBorders>
            <w:shd w:val="clear" w:color="auto" w:fill="auto"/>
            <w:noWrap/>
            <w:vAlign w:val="bottom"/>
            <w:hideMark/>
          </w:tcPr>
          <w:p w14:paraId="6CEA83A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Alzheimer diseases and other dementia</w:t>
            </w:r>
          </w:p>
        </w:tc>
      </w:tr>
      <w:tr w:rsidR="00667231" w:rsidRPr="00785C9D" w14:paraId="2F042E9A" w14:textId="77777777" w:rsidTr="004029A4">
        <w:trPr>
          <w:trHeight w:val="300"/>
        </w:trPr>
        <w:tc>
          <w:tcPr>
            <w:tcW w:w="3828" w:type="dxa"/>
            <w:tcBorders>
              <w:top w:val="nil"/>
              <w:left w:val="nil"/>
              <w:bottom w:val="nil"/>
              <w:right w:val="nil"/>
            </w:tcBorders>
            <w:shd w:val="clear" w:color="auto" w:fill="auto"/>
            <w:noWrap/>
            <w:vAlign w:val="bottom"/>
            <w:hideMark/>
          </w:tcPr>
          <w:p w14:paraId="2280C0C0" w14:textId="77777777" w:rsidR="00667231" w:rsidRPr="00785C9D" w:rsidRDefault="00667231" w:rsidP="009C7054">
            <w:pPr>
              <w:spacing w:line="480" w:lineRule="auto"/>
              <w:rPr>
                <w:rFonts w:eastAsia="Times New Roman" w:cs="Times New Roman"/>
                <w:color w:val="000000"/>
                <w:sz w:val="22"/>
                <w:szCs w:val="22"/>
                <w:lang w:val="en-GB" w:eastAsia="en-GB"/>
              </w:rPr>
            </w:pPr>
          </w:p>
        </w:tc>
        <w:tc>
          <w:tcPr>
            <w:tcW w:w="3118" w:type="dxa"/>
            <w:tcBorders>
              <w:top w:val="nil"/>
              <w:left w:val="nil"/>
              <w:bottom w:val="nil"/>
              <w:right w:val="nil"/>
            </w:tcBorders>
            <w:shd w:val="clear" w:color="auto" w:fill="auto"/>
            <w:noWrap/>
            <w:vAlign w:val="bottom"/>
            <w:hideMark/>
          </w:tcPr>
          <w:p w14:paraId="406F3B06" w14:textId="77777777" w:rsidR="00667231" w:rsidRPr="00785C9D" w:rsidRDefault="00667231" w:rsidP="009C7054">
            <w:pPr>
              <w:spacing w:line="480" w:lineRule="auto"/>
              <w:rPr>
                <w:rFonts w:eastAsia="Times New Roman" w:cs="Times New Roman"/>
                <w:sz w:val="20"/>
                <w:szCs w:val="20"/>
                <w:lang w:val="en-GB" w:eastAsia="en-GB"/>
              </w:rPr>
            </w:pPr>
          </w:p>
        </w:tc>
        <w:tc>
          <w:tcPr>
            <w:tcW w:w="3969" w:type="dxa"/>
            <w:tcBorders>
              <w:top w:val="nil"/>
              <w:left w:val="nil"/>
              <w:bottom w:val="nil"/>
              <w:right w:val="nil"/>
            </w:tcBorders>
            <w:shd w:val="clear" w:color="auto" w:fill="auto"/>
            <w:noWrap/>
            <w:vAlign w:val="bottom"/>
            <w:hideMark/>
          </w:tcPr>
          <w:p w14:paraId="063834A4" w14:textId="77777777" w:rsidR="00667231" w:rsidRPr="00785C9D" w:rsidRDefault="00667231" w:rsidP="009C7054">
            <w:pPr>
              <w:spacing w:line="480" w:lineRule="auto"/>
              <w:rPr>
                <w:rFonts w:eastAsia="Times New Roman" w:cs="Times New Roman"/>
                <w:sz w:val="20"/>
                <w:szCs w:val="20"/>
                <w:lang w:val="en-GB" w:eastAsia="en-GB"/>
              </w:rPr>
            </w:pPr>
          </w:p>
        </w:tc>
        <w:tc>
          <w:tcPr>
            <w:tcW w:w="3544" w:type="dxa"/>
            <w:tcBorders>
              <w:top w:val="nil"/>
              <w:left w:val="nil"/>
              <w:bottom w:val="nil"/>
              <w:right w:val="nil"/>
            </w:tcBorders>
            <w:shd w:val="clear" w:color="auto" w:fill="auto"/>
            <w:noWrap/>
            <w:vAlign w:val="bottom"/>
            <w:hideMark/>
          </w:tcPr>
          <w:p w14:paraId="35483ACA" w14:textId="77777777" w:rsidR="00667231" w:rsidRPr="00785C9D" w:rsidRDefault="00667231" w:rsidP="009C7054">
            <w:pPr>
              <w:spacing w:line="480" w:lineRule="auto"/>
              <w:rPr>
                <w:rFonts w:eastAsia="Times New Roman" w:cs="Times New Roman"/>
                <w:sz w:val="20"/>
                <w:szCs w:val="20"/>
                <w:lang w:val="en-GB" w:eastAsia="en-GB"/>
              </w:rPr>
            </w:pPr>
          </w:p>
        </w:tc>
      </w:tr>
      <w:tr w:rsidR="00667231" w:rsidRPr="00785C9D" w14:paraId="1B5CCD75" w14:textId="77777777" w:rsidTr="004029A4">
        <w:trPr>
          <w:trHeight w:val="300"/>
        </w:trPr>
        <w:tc>
          <w:tcPr>
            <w:tcW w:w="14459" w:type="dxa"/>
            <w:gridSpan w:val="4"/>
            <w:tcBorders>
              <w:top w:val="nil"/>
              <w:left w:val="nil"/>
              <w:bottom w:val="single" w:sz="4" w:space="0" w:color="auto"/>
              <w:right w:val="nil"/>
            </w:tcBorders>
            <w:shd w:val="clear" w:color="auto" w:fill="auto"/>
            <w:noWrap/>
            <w:vAlign w:val="bottom"/>
            <w:hideMark/>
          </w:tcPr>
          <w:p w14:paraId="4E7C8DE8"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Developing Countries</w:t>
            </w:r>
          </w:p>
        </w:tc>
      </w:tr>
      <w:tr w:rsidR="00667231" w:rsidRPr="00785C9D" w14:paraId="6630FB51"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5242C29E"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Sub-Saharan Africa</w:t>
            </w:r>
          </w:p>
        </w:tc>
      </w:tr>
      <w:tr w:rsidR="00667231" w:rsidRPr="00785C9D" w14:paraId="74B22809" w14:textId="77777777" w:rsidTr="004029A4">
        <w:trPr>
          <w:trHeight w:val="300"/>
        </w:trPr>
        <w:tc>
          <w:tcPr>
            <w:tcW w:w="3828" w:type="dxa"/>
            <w:tcBorders>
              <w:top w:val="nil"/>
              <w:left w:val="nil"/>
              <w:bottom w:val="nil"/>
              <w:right w:val="nil"/>
            </w:tcBorders>
            <w:shd w:val="clear" w:color="auto" w:fill="auto"/>
            <w:noWrap/>
            <w:vAlign w:val="bottom"/>
            <w:hideMark/>
          </w:tcPr>
          <w:p w14:paraId="00263D0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LRI</w:t>
            </w:r>
          </w:p>
        </w:tc>
        <w:tc>
          <w:tcPr>
            <w:tcW w:w="3118" w:type="dxa"/>
            <w:tcBorders>
              <w:top w:val="nil"/>
              <w:left w:val="nil"/>
              <w:bottom w:val="nil"/>
              <w:right w:val="nil"/>
            </w:tcBorders>
            <w:shd w:val="clear" w:color="auto" w:fill="auto"/>
            <w:noWrap/>
            <w:vAlign w:val="bottom"/>
            <w:hideMark/>
          </w:tcPr>
          <w:p w14:paraId="5600E168" w14:textId="7585EBE0"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Malaria</w:t>
            </w:r>
          </w:p>
        </w:tc>
        <w:tc>
          <w:tcPr>
            <w:tcW w:w="3969" w:type="dxa"/>
            <w:tcBorders>
              <w:top w:val="nil"/>
              <w:left w:val="nil"/>
              <w:bottom w:val="nil"/>
              <w:right w:val="nil"/>
            </w:tcBorders>
            <w:shd w:val="clear" w:color="auto" w:fill="auto"/>
            <w:noWrap/>
            <w:vAlign w:val="bottom"/>
            <w:hideMark/>
          </w:tcPr>
          <w:p w14:paraId="7AD429C5" w14:textId="349376C3"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LRI</w:t>
            </w:r>
          </w:p>
        </w:tc>
        <w:tc>
          <w:tcPr>
            <w:tcW w:w="3544" w:type="dxa"/>
            <w:tcBorders>
              <w:top w:val="nil"/>
              <w:left w:val="nil"/>
              <w:bottom w:val="nil"/>
              <w:right w:val="nil"/>
            </w:tcBorders>
            <w:shd w:val="clear" w:color="auto" w:fill="auto"/>
            <w:noWrap/>
            <w:vAlign w:val="bottom"/>
            <w:hideMark/>
          </w:tcPr>
          <w:p w14:paraId="385374BC" w14:textId="2EC6EE51"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Malaria</w:t>
            </w:r>
          </w:p>
        </w:tc>
      </w:tr>
      <w:tr w:rsidR="00667231" w:rsidRPr="00785C9D" w14:paraId="4DB86453" w14:textId="77777777" w:rsidTr="004029A4">
        <w:trPr>
          <w:trHeight w:val="300"/>
        </w:trPr>
        <w:tc>
          <w:tcPr>
            <w:tcW w:w="3828" w:type="dxa"/>
            <w:tcBorders>
              <w:top w:val="nil"/>
              <w:left w:val="nil"/>
              <w:bottom w:val="nil"/>
              <w:right w:val="nil"/>
            </w:tcBorders>
            <w:shd w:val="clear" w:color="auto" w:fill="auto"/>
            <w:noWrap/>
            <w:vAlign w:val="bottom"/>
            <w:hideMark/>
          </w:tcPr>
          <w:p w14:paraId="71B6D60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Diahrrea</w:t>
            </w:r>
          </w:p>
        </w:tc>
        <w:tc>
          <w:tcPr>
            <w:tcW w:w="3118" w:type="dxa"/>
            <w:tcBorders>
              <w:top w:val="nil"/>
              <w:left w:val="nil"/>
              <w:bottom w:val="nil"/>
              <w:right w:val="nil"/>
            </w:tcBorders>
            <w:shd w:val="clear" w:color="auto" w:fill="auto"/>
            <w:noWrap/>
            <w:vAlign w:val="bottom"/>
            <w:hideMark/>
          </w:tcPr>
          <w:p w14:paraId="0E3CE492" w14:textId="2DB6EFFB"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HIV</w:t>
            </w:r>
          </w:p>
        </w:tc>
        <w:tc>
          <w:tcPr>
            <w:tcW w:w="3969" w:type="dxa"/>
            <w:tcBorders>
              <w:top w:val="nil"/>
              <w:left w:val="nil"/>
              <w:bottom w:val="nil"/>
              <w:right w:val="nil"/>
            </w:tcBorders>
            <w:shd w:val="clear" w:color="auto" w:fill="auto"/>
            <w:noWrap/>
            <w:vAlign w:val="bottom"/>
            <w:hideMark/>
          </w:tcPr>
          <w:p w14:paraId="5119606C" w14:textId="183FD8C8"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Diahrrea</w:t>
            </w:r>
          </w:p>
        </w:tc>
        <w:tc>
          <w:tcPr>
            <w:tcW w:w="3544" w:type="dxa"/>
            <w:tcBorders>
              <w:top w:val="nil"/>
              <w:left w:val="nil"/>
              <w:bottom w:val="nil"/>
              <w:right w:val="nil"/>
            </w:tcBorders>
            <w:shd w:val="clear" w:color="auto" w:fill="auto"/>
            <w:noWrap/>
            <w:vAlign w:val="bottom"/>
            <w:hideMark/>
          </w:tcPr>
          <w:p w14:paraId="5594EF97" w14:textId="20B1700C"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HIV</w:t>
            </w:r>
          </w:p>
        </w:tc>
      </w:tr>
      <w:tr w:rsidR="00667231" w:rsidRPr="00785C9D" w14:paraId="13AF4848" w14:textId="77777777" w:rsidTr="004029A4">
        <w:trPr>
          <w:trHeight w:val="300"/>
        </w:trPr>
        <w:tc>
          <w:tcPr>
            <w:tcW w:w="3828" w:type="dxa"/>
            <w:tcBorders>
              <w:top w:val="nil"/>
              <w:left w:val="nil"/>
              <w:bottom w:val="nil"/>
              <w:right w:val="nil"/>
            </w:tcBorders>
            <w:shd w:val="clear" w:color="auto" w:fill="auto"/>
            <w:noWrap/>
            <w:vAlign w:val="bottom"/>
            <w:hideMark/>
          </w:tcPr>
          <w:p w14:paraId="35ED904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Malaria</w:t>
            </w:r>
          </w:p>
        </w:tc>
        <w:tc>
          <w:tcPr>
            <w:tcW w:w="3118" w:type="dxa"/>
            <w:tcBorders>
              <w:top w:val="nil"/>
              <w:left w:val="nil"/>
              <w:bottom w:val="nil"/>
              <w:right w:val="nil"/>
            </w:tcBorders>
            <w:shd w:val="clear" w:color="auto" w:fill="auto"/>
            <w:noWrap/>
            <w:vAlign w:val="bottom"/>
            <w:hideMark/>
          </w:tcPr>
          <w:p w14:paraId="75C4E29C" w14:textId="5E21308C"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c>
          <w:tcPr>
            <w:tcW w:w="3969" w:type="dxa"/>
            <w:tcBorders>
              <w:top w:val="nil"/>
              <w:left w:val="nil"/>
              <w:bottom w:val="nil"/>
              <w:right w:val="nil"/>
            </w:tcBorders>
            <w:shd w:val="clear" w:color="auto" w:fill="auto"/>
            <w:noWrap/>
            <w:vAlign w:val="bottom"/>
            <w:hideMark/>
          </w:tcPr>
          <w:p w14:paraId="1D366D51" w14:textId="646C1E23"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Malaria</w:t>
            </w:r>
          </w:p>
        </w:tc>
        <w:tc>
          <w:tcPr>
            <w:tcW w:w="3544" w:type="dxa"/>
            <w:tcBorders>
              <w:top w:val="nil"/>
              <w:left w:val="nil"/>
              <w:bottom w:val="nil"/>
              <w:right w:val="nil"/>
            </w:tcBorders>
            <w:shd w:val="clear" w:color="auto" w:fill="auto"/>
            <w:noWrap/>
            <w:vAlign w:val="bottom"/>
            <w:hideMark/>
          </w:tcPr>
          <w:p w14:paraId="4C0C6C9B" w14:textId="52242EEF"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r>
      <w:tr w:rsidR="00667231" w:rsidRPr="00785C9D" w14:paraId="43679F02"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4674C10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Protein energy malnutitrion (PEM)</w:t>
            </w:r>
          </w:p>
        </w:tc>
        <w:tc>
          <w:tcPr>
            <w:tcW w:w="3118" w:type="dxa"/>
            <w:tcBorders>
              <w:top w:val="nil"/>
              <w:left w:val="nil"/>
              <w:bottom w:val="single" w:sz="4" w:space="0" w:color="auto"/>
              <w:right w:val="nil"/>
            </w:tcBorders>
            <w:shd w:val="clear" w:color="auto" w:fill="auto"/>
            <w:noWrap/>
            <w:vAlign w:val="bottom"/>
            <w:hideMark/>
          </w:tcPr>
          <w:p w14:paraId="081F1A32" w14:textId="3A5045D3"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Diahrrea</w:t>
            </w:r>
          </w:p>
        </w:tc>
        <w:tc>
          <w:tcPr>
            <w:tcW w:w="3969" w:type="dxa"/>
            <w:tcBorders>
              <w:top w:val="nil"/>
              <w:left w:val="nil"/>
              <w:bottom w:val="single" w:sz="4" w:space="0" w:color="auto"/>
              <w:right w:val="nil"/>
            </w:tcBorders>
            <w:shd w:val="clear" w:color="auto" w:fill="auto"/>
            <w:noWrap/>
            <w:vAlign w:val="bottom"/>
            <w:hideMark/>
          </w:tcPr>
          <w:p w14:paraId="2C3C970E" w14:textId="22CD085F"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PEM</w:t>
            </w:r>
          </w:p>
        </w:tc>
        <w:tc>
          <w:tcPr>
            <w:tcW w:w="3544" w:type="dxa"/>
            <w:tcBorders>
              <w:top w:val="nil"/>
              <w:left w:val="nil"/>
              <w:bottom w:val="single" w:sz="4" w:space="0" w:color="auto"/>
              <w:right w:val="nil"/>
            </w:tcBorders>
            <w:shd w:val="clear" w:color="auto" w:fill="auto"/>
            <w:noWrap/>
            <w:vAlign w:val="bottom"/>
            <w:hideMark/>
          </w:tcPr>
          <w:p w14:paraId="2B7BB1FA" w14:textId="512977F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Diahrrea</w:t>
            </w:r>
          </w:p>
        </w:tc>
      </w:tr>
      <w:tr w:rsidR="00667231" w:rsidRPr="00785C9D" w14:paraId="709F8D98" w14:textId="77777777" w:rsidTr="004029A4">
        <w:trPr>
          <w:trHeight w:val="300"/>
        </w:trPr>
        <w:tc>
          <w:tcPr>
            <w:tcW w:w="14459" w:type="dxa"/>
            <w:gridSpan w:val="4"/>
            <w:tcBorders>
              <w:top w:val="nil"/>
              <w:left w:val="nil"/>
              <w:bottom w:val="nil"/>
              <w:right w:val="nil"/>
            </w:tcBorders>
            <w:shd w:val="clear" w:color="auto" w:fill="auto"/>
            <w:noWrap/>
            <w:vAlign w:val="bottom"/>
            <w:hideMark/>
          </w:tcPr>
          <w:p w14:paraId="794BEBBC"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Latin America and Caribbean</w:t>
            </w:r>
          </w:p>
        </w:tc>
      </w:tr>
      <w:tr w:rsidR="00667231" w:rsidRPr="00785C9D" w14:paraId="119E9389" w14:textId="77777777" w:rsidTr="004029A4">
        <w:trPr>
          <w:trHeight w:val="300"/>
        </w:trPr>
        <w:tc>
          <w:tcPr>
            <w:tcW w:w="3828" w:type="dxa"/>
            <w:tcBorders>
              <w:top w:val="nil"/>
              <w:left w:val="nil"/>
              <w:bottom w:val="nil"/>
              <w:right w:val="nil"/>
            </w:tcBorders>
            <w:shd w:val="clear" w:color="auto" w:fill="auto"/>
            <w:noWrap/>
            <w:vAlign w:val="bottom"/>
            <w:hideMark/>
          </w:tcPr>
          <w:p w14:paraId="3407FBA0"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Diahrrea</w:t>
            </w:r>
          </w:p>
        </w:tc>
        <w:tc>
          <w:tcPr>
            <w:tcW w:w="3118" w:type="dxa"/>
            <w:tcBorders>
              <w:top w:val="nil"/>
              <w:left w:val="nil"/>
              <w:bottom w:val="nil"/>
              <w:right w:val="nil"/>
            </w:tcBorders>
            <w:shd w:val="clear" w:color="auto" w:fill="auto"/>
            <w:noWrap/>
            <w:vAlign w:val="bottom"/>
            <w:hideMark/>
          </w:tcPr>
          <w:p w14:paraId="314D0942"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Disasters</w:t>
            </w:r>
          </w:p>
        </w:tc>
        <w:tc>
          <w:tcPr>
            <w:tcW w:w="3969" w:type="dxa"/>
            <w:tcBorders>
              <w:top w:val="nil"/>
              <w:left w:val="nil"/>
              <w:bottom w:val="nil"/>
              <w:right w:val="nil"/>
            </w:tcBorders>
            <w:shd w:val="clear" w:color="auto" w:fill="auto"/>
            <w:noWrap/>
            <w:vAlign w:val="bottom"/>
            <w:hideMark/>
          </w:tcPr>
          <w:p w14:paraId="7369048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1EDFFAA0"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21C0736F" w14:textId="77777777" w:rsidTr="004029A4">
        <w:trPr>
          <w:trHeight w:val="300"/>
        </w:trPr>
        <w:tc>
          <w:tcPr>
            <w:tcW w:w="3828" w:type="dxa"/>
            <w:tcBorders>
              <w:top w:val="nil"/>
              <w:left w:val="nil"/>
              <w:bottom w:val="nil"/>
              <w:right w:val="nil"/>
            </w:tcBorders>
            <w:shd w:val="clear" w:color="auto" w:fill="auto"/>
            <w:noWrap/>
            <w:vAlign w:val="bottom"/>
            <w:hideMark/>
          </w:tcPr>
          <w:p w14:paraId="0B8EA63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LRI</w:t>
            </w:r>
          </w:p>
        </w:tc>
        <w:tc>
          <w:tcPr>
            <w:tcW w:w="3118" w:type="dxa"/>
            <w:tcBorders>
              <w:top w:val="nil"/>
              <w:left w:val="nil"/>
              <w:bottom w:val="nil"/>
              <w:right w:val="nil"/>
            </w:tcBorders>
            <w:shd w:val="clear" w:color="auto" w:fill="auto"/>
            <w:noWrap/>
            <w:vAlign w:val="bottom"/>
            <w:hideMark/>
          </w:tcPr>
          <w:p w14:paraId="7A8B75B3"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IHD</w:t>
            </w:r>
          </w:p>
        </w:tc>
        <w:tc>
          <w:tcPr>
            <w:tcW w:w="3969" w:type="dxa"/>
            <w:tcBorders>
              <w:top w:val="nil"/>
              <w:left w:val="nil"/>
              <w:bottom w:val="nil"/>
              <w:right w:val="nil"/>
            </w:tcBorders>
            <w:shd w:val="clear" w:color="auto" w:fill="auto"/>
            <w:noWrap/>
            <w:vAlign w:val="bottom"/>
            <w:hideMark/>
          </w:tcPr>
          <w:p w14:paraId="532F5F8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5B7139B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14B8CAF2" w14:textId="77777777" w:rsidTr="004029A4">
        <w:trPr>
          <w:trHeight w:val="300"/>
        </w:trPr>
        <w:tc>
          <w:tcPr>
            <w:tcW w:w="3828" w:type="dxa"/>
            <w:tcBorders>
              <w:top w:val="nil"/>
              <w:left w:val="nil"/>
              <w:bottom w:val="nil"/>
              <w:right w:val="nil"/>
            </w:tcBorders>
            <w:shd w:val="clear" w:color="auto" w:fill="auto"/>
            <w:noWrap/>
            <w:vAlign w:val="bottom"/>
            <w:hideMark/>
          </w:tcPr>
          <w:p w14:paraId="6F191B2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Preterm birth complications</w:t>
            </w:r>
          </w:p>
        </w:tc>
        <w:tc>
          <w:tcPr>
            <w:tcW w:w="3118" w:type="dxa"/>
            <w:tcBorders>
              <w:top w:val="nil"/>
              <w:left w:val="nil"/>
              <w:bottom w:val="nil"/>
              <w:right w:val="nil"/>
            </w:tcBorders>
            <w:shd w:val="clear" w:color="auto" w:fill="auto"/>
            <w:noWrap/>
            <w:vAlign w:val="bottom"/>
            <w:hideMark/>
          </w:tcPr>
          <w:p w14:paraId="313378F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Violence</w:t>
            </w:r>
          </w:p>
        </w:tc>
        <w:tc>
          <w:tcPr>
            <w:tcW w:w="3969" w:type="dxa"/>
            <w:tcBorders>
              <w:top w:val="nil"/>
              <w:left w:val="nil"/>
              <w:bottom w:val="nil"/>
              <w:right w:val="nil"/>
            </w:tcBorders>
            <w:shd w:val="clear" w:color="auto" w:fill="auto"/>
            <w:noWrap/>
            <w:vAlign w:val="bottom"/>
            <w:hideMark/>
          </w:tcPr>
          <w:p w14:paraId="1EB5693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c>
          <w:tcPr>
            <w:tcW w:w="3544" w:type="dxa"/>
            <w:tcBorders>
              <w:top w:val="nil"/>
              <w:left w:val="nil"/>
              <w:bottom w:val="nil"/>
              <w:right w:val="nil"/>
            </w:tcBorders>
            <w:shd w:val="clear" w:color="auto" w:fill="auto"/>
            <w:noWrap/>
            <w:vAlign w:val="bottom"/>
            <w:hideMark/>
          </w:tcPr>
          <w:p w14:paraId="30930F2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Natural disasters</w:t>
            </w:r>
          </w:p>
        </w:tc>
      </w:tr>
      <w:tr w:rsidR="00667231" w:rsidRPr="00785C9D" w14:paraId="3D268A64"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104E6AD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lastRenderedPageBreak/>
              <w:t>4. Interpersonal violence</w:t>
            </w:r>
          </w:p>
        </w:tc>
        <w:tc>
          <w:tcPr>
            <w:tcW w:w="3118" w:type="dxa"/>
            <w:tcBorders>
              <w:top w:val="nil"/>
              <w:left w:val="nil"/>
              <w:bottom w:val="single" w:sz="4" w:space="0" w:color="auto"/>
              <w:right w:val="nil"/>
            </w:tcBorders>
            <w:shd w:val="clear" w:color="auto" w:fill="auto"/>
            <w:noWrap/>
            <w:vAlign w:val="bottom"/>
            <w:hideMark/>
          </w:tcPr>
          <w:p w14:paraId="2B65E4D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Road injuries</w:t>
            </w:r>
          </w:p>
        </w:tc>
        <w:tc>
          <w:tcPr>
            <w:tcW w:w="3969" w:type="dxa"/>
            <w:tcBorders>
              <w:top w:val="nil"/>
              <w:left w:val="nil"/>
              <w:bottom w:val="single" w:sz="4" w:space="0" w:color="auto"/>
              <w:right w:val="nil"/>
            </w:tcBorders>
            <w:shd w:val="clear" w:color="auto" w:fill="auto"/>
            <w:noWrap/>
            <w:vAlign w:val="bottom"/>
            <w:hideMark/>
          </w:tcPr>
          <w:p w14:paraId="7F09F0E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Diahrrea</w:t>
            </w:r>
          </w:p>
        </w:tc>
        <w:tc>
          <w:tcPr>
            <w:tcW w:w="3544" w:type="dxa"/>
            <w:tcBorders>
              <w:top w:val="nil"/>
              <w:left w:val="nil"/>
              <w:bottom w:val="single" w:sz="4" w:space="0" w:color="auto"/>
              <w:right w:val="nil"/>
            </w:tcBorders>
            <w:shd w:val="clear" w:color="auto" w:fill="auto"/>
            <w:noWrap/>
            <w:vAlign w:val="bottom"/>
            <w:hideMark/>
          </w:tcPr>
          <w:p w14:paraId="3B6C19C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LRI</w:t>
            </w:r>
          </w:p>
        </w:tc>
      </w:tr>
      <w:tr w:rsidR="00667231" w:rsidRPr="00785C9D" w14:paraId="013850E5"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0A97EBA8"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Southeast Asia, East Asia and Oceania</w:t>
            </w:r>
          </w:p>
        </w:tc>
      </w:tr>
      <w:tr w:rsidR="00667231" w:rsidRPr="00785C9D" w14:paraId="7E3023EB" w14:textId="77777777" w:rsidTr="004029A4">
        <w:trPr>
          <w:trHeight w:val="300"/>
        </w:trPr>
        <w:tc>
          <w:tcPr>
            <w:tcW w:w="3828" w:type="dxa"/>
            <w:tcBorders>
              <w:top w:val="nil"/>
              <w:left w:val="nil"/>
              <w:bottom w:val="nil"/>
              <w:right w:val="nil"/>
            </w:tcBorders>
            <w:shd w:val="clear" w:color="auto" w:fill="auto"/>
            <w:noWrap/>
            <w:vAlign w:val="bottom"/>
            <w:hideMark/>
          </w:tcPr>
          <w:p w14:paraId="688411E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LRI</w:t>
            </w:r>
          </w:p>
        </w:tc>
        <w:tc>
          <w:tcPr>
            <w:tcW w:w="3118" w:type="dxa"/>
            <w:tcBorders>
              <w:top w:val="nil"/>
              <w:left w:val="nil"/>
              <w:bottom w:val="nil"/>
              <w:right w:val="nil"/>
            </w:tcBorders>
            <w:shd w:val="clear" w:color="auto" w:fill="auto"/>
            <w:noWrap/>
            <w:vAlign w:val="bottom"/>
            <w:hideMark/>
          </w:tcPr>
          <w:p w14:paraId="2DAF5A9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1.Stroke</w:t>
            </w:r>
          </w:p>
        </w:tc>
        <w:tc>
          <w:tcPr>
            <w:tcW w:w="3969" w:type="dxa"/>
            <w:tcBorders>
              <w:top w:val="nil"/>
              <w:left w:val="nil"/>
              <w:bottom w:val="nil"/>
              <w:right w:val="nil"/>
            </w:tcBorders>
            <w:shd w:val="clear" w:color="auto" w:fill="auto"/>
            <w:noWrap/>
            <w:vAlign w:val="bottom"/>
            <w:hideMark/>
          </w:tcPr>
          <w:p w14:paraId="3B32C3A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Stroke</w:t>
            </w:r>
          </w:p>
        </w:tc>
        <w:tc>
          <w:tcPr>
            <w:tcW w:w="3544" w:type="dxa"/>
            <w:tcBorders>
              <w:top w:val="nil"/>
              <w:left w:val="nil"/>
              <w:bottom w:val="nil"/>
              <w:right w:val="nil"/>
            </w:tcBorders>
            <w:shd w:val="clear" w:color="auto" w:fill="auto"/>
            <w:noWrap/>
            <w:vAlign w:val="bottom"/>
            <w:hideMark/>
          </w:tcPr>
          <w:p w14:paraId="25886FA7"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Stroke</w:t>
            </w:r>
          </w:p>
        </w:tc>
      </w:tr>
      <w:tr w:rsidR="00667231" w:rsidRPr="00785C9D" w14:paraId="4DAD6039" w14:textId="77777777" w:rsidTr="004029A4">
        <w:trPr>
          <w:trHeight w:val="300"/>
        </w:trPr>
        <w:tc>
          <w:tcPr>
            <w:tcW w:w="3828" w:type="dxa"/>
            <w:tcBorders>
              <w:top w:val="nil"/>
              <w:left w:val="nil"/>
              <w:bottom w:val="nil"/>
              <w:right w:val="nil"/>
            </w:tcBorders>
            <w:shd w:val="clear" w:color="auto" w:fill="auto"/>
            <w:noWrap/>
            <w:vAlign w:val="bottom"/>
            <w:hideMark/>
          </w:tcPr>
          <w:p w14:paraId="17DEEEC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118" w:type="dxa"/>
            <w:tcBorders>
              <w:top w:val="nil"/>
              <w:left w:val="nil"/>
              <w:bottom w:val="nil"/>
              <w:right w:val="nil"/>
            </w:tcBorders>
            <w:shd w:val="clear" w:color="auto" w:fill="auto"/>
            <w:noWrap/>
            <w:vAlign w:val="bottom"/>
            <w:hideMark/>
          </w:tcPr>
          <w:p w14:paraId="5E7BEED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2.IHD</w:t>
            </w:r>
          </w:p>
        </w:tc>
        <w:tc>
          <w:tcPr>
            <w:tcW w:w="3969" w:type="dxa"/>
            <w:tcBorders>
              <w:top w:val="nil"/>
              <w:left w:val="nil"/>
              <w:bottom w:val="nil"/>
              <w:right w:val="nil"/>
            </w:tcBorders>
            <w:shd w:val="clear" w:color="auto" w:fill="auto"/>
            <w:noWrap/>
            <w:vAlign w:val="bottom"/>
            <w:hideMark/>
          </w:tcPr>
          <w:p w14:paraId="538662B4"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COPD</w:t>
            </w:r>
          </w:p>
        </w:tc>
        <w:tc>
          <w:tcPr>
            <w:tcW w:w="3544" w:type="dxa"/>
            <w:tcBorders>
              <w:top w:val="nil"/>
              <w:left w:val="nil"/>
              <w:bottom w:val="nil"/>
              <w:right w:val="nil"/>
            </w:tcBorders>
            <w:shd w:val="clear" w:color="auto" w:fill="auto"/>
            <w:noWrap/>
            <w:vAlign w:val="bottom"/>
            <w:hideMark/>
          </w:tcPr>
          <w:p w14:paraId="658580D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IHD</w:t>
            </w:r>
          </w:p>
        </w:tc>
      </w:tr>
      <w:tr w:rsidR="00667231" w:rsidRPr="00785C9D" w14:paraId="397E4B7A" w14:textId="77777777" w:rsidTr="004029A4">
        <w:trPr>
          <w:trHeight w:val="300"/>
        </w:trPr>
        <w:tc>
          <w:tcPr>
            <w:tcW w:w="3828" w:type="dxa"/>
            <w:tcBorders>
              <w:top w:val="nil"/>
              <w:left w:val="nil"/>
              <w:bottom w:val="nil"/>
              <w:right w:val="nil"/>
            </w:tcBorders>
            <w:shd w:val="clear" w:color="auto" w:fill="auto"/>
            <w:noWrap/>
            <w:vAlign w:val="bottom"/>
            <w:hideMark/>
          </w:tcPr>
          <w:p w14:paraId="0F513E8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COPD</w:t>
            </w:r>
          </w:p>
        </w:tc>
        <w:tc>
          <w:tcPr>
            <w:tcW w:w="3118" w:type="dxa"/>
            <w:tcBorders>
              <w:top w:val="nil"/>
              <w:left w:val="nil"/>
              <w:bottom w:val="nil"/>
              <w:right w:val="nil"/>
            </w:tcBorders>
            <w:shd w:val="clear" w:color="auto" w:fill="auto"/>
            <w:noWrap/>
            <w:vAlign w:val="bottom"/>
            <w:hideMark/>
          </w:tcPr>
          <w:p w14:paraId="3AD98AE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3.COPD</w:t>
            </w:r>
          </w:p>
        </w:tc>
        <w:tc>
          <w:tcPr>
            <w:tcW w:w="3969" w:type="dxa"/>
            <w:tcBorders>
              <w:top w:val="nil"/>
              <w:left w:val="nil"/>
              <w:bottom w:val="nil"/>
              <w:right w:val="nil"/>
            </w:tcBorders>
            <w:shd w:val="clear" w:color="auto" w:fill="auto"/>
            <w:noWrap/>
            <w:vAlign w:val="bottom"/>
            <w:hideMark/>
          </w:tcPr>
          <w:p w14:paraId="46B1A38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c>
          <w:tcPr>
            <w:tcW w:w="3544" w:type="dxa"/>
            <w:tcBorders>
              <w:top w:val="nil"/>
              <w:left w:val="nil"/>
              <w:bottom w:val="nil"/>
              <w:right w:val="nil"/>
            </w:tcBorders>
            <w:shd w:val="clear" w:color="auto" w:fill="auto"/>
            <w:noWrap/>
            <w:vAlign w:val="bottom"/>
            <w:hideMark/>
          </w:tcPr>
          <w:p w14:paraId="27DBE21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COPD</w:t>
            </w:r>
          </w:p>
        </w:tc>
      </w:tr>
      <w:tr w:rsidR="00667231" w:rsidRPr="00785C9D" w14:paraId="3BD40714" w14:textId="77777777" w:rsidTr="004029A4">
        <w:trPr>
          <w:trHeight w:val="300"/>
        </w:trPr>
        <w:tc>
          <w:tcPr>
            <w:tcW w:w="3828" w:type="dxa"/>
            <w:tcBorders>
              <w:top w:val="nil"/>
              <w:left w:val="nil"/>
              <w:bottom w:val="nil"/>
              <w:right w:val="nil"/>
            </w:tcBorders>
            <w:shd w:val="clear" w:color="auto" w:fill="auto"/>
            <w:noWrap/>
            <w:vAlign w:val="bottom"/>
            <w:hideMark/>
          </w:tcPr>
          <w:p w14:paraId="3D22521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Diahrrea</w:t>
            </w:r>
          </w:p>
        </w:tc>
        <w:tc>
          <w:tcPr>
            <w:tcW w:w="3118" w:type="dxa"/>
            <w:tcBorders>
              <w:top w:val="nil"/>
              <w:left w:val="nil"/>
              <w:bottom w:val="nil"/>
              <w:right w:val="nil"/>
            </w:tcBorders>
            <w:shd w:val="clear" w:color="auto" w:fill="auto"/>
            <w:noWrap/>
            <w:vAlign w:val="bottom"/>
            <w:hideMark/>
          </w:tcPr>
          <w:p w14:paraId="68B46D8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Road injuries</w:t>
            </w:r>
          </w:p>
        </w:tc>
        <w:tc>
          <w:tcPr>
            <w:tcW w:w="3969" w:type="dxa"/>
            <w:tcBorders>
              <w:top w:val="nil"/>
              <w:left w:val="nil"/>
              <w:bottom w:val="nil"/>
              <w:right w:val="nil"/>
            </w:tcBorders>
            <w:shd w:val="clear" w:color="auto" w:fill="auto"/>
            <w:noWrap/>
            <w:vAlign w:val="bottom"/>
            <w:hideMark/>
          </w:tcPr>
          <w:p w14:paraId="6CDBF70A"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IHD</w:t>
            </w:r>
          </w:p>
        </w:tc>
        <w:tc>
          <w:tcPr>
            <w:tcW w:w="3544" w:type="dxa"/>
            <w:tcBorders>
              <w:top w:val="nil"/>
              <w:left w:val="nil"/>
              <w:bottom w:val="nil"/>
              <w:right w:val="nil"/>
            </w:tcBorders>
            <w:shd w:val="clear" w:color="auto" w:fill="auto"/>
            <w:noWrap/>
            <w:vAlign w:val="bottom"/>
            <w:hideMark/>
          </w:tcPr>
          <w:p w14:paraId="4DA130A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TBLC</w:t>
            </w:r>
          </w:p>
        </w:tc>
      </w:tr>
      <w:tr w:rsidR="00667231" w:rsidRPr="00785C9D" w14:paraId="04686019"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50205BA3"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North Africa and Middle East</w:t>
            </w:r>
          </w:p>
        </w:tc>
      </w:tr>
      <w:tr w:rsidR="00667231" w:rsidRPr="00785C9D" w14:paraId="0230ED6F" w14:textId="77777777" w:rsidTr="004029A4">
        <w:trPr>
          <w:trHeight w:val="300"/>
        </w:trPr>
        <w:tc>
          <w:tcPr>
            <w:tcW w:w="3828" w:type="dxa"/>
            <w:tcBorders>
              <w:top w:val="nil"/>
              <w:left w:val="nil"/>
              <w:bottom w:val="nil"/>
              <w:right w:val="nil"/>
            </w:tcBorders>
            <w:shd w:val="clear" w:color="auto" w:fill="auto"/>
            <w:noWrap/>
            <w:vAlign w:val="bottom"/>
            <w:hideMark/>
          </w:tcPr>
          <w:p w14:paraId="333B576E"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LRI</w:t>
            </w:r>
          </w:p>
        </w:tc>
        <w:tc>
          <w:tcPr>
            <w:tcW w:w="3118" w:type="dxa"/>
            <w:tcBorders>
              <w:top w:val="nil"/>
              <w:left w:val="nil"/>
              <w:bottom w:val="nil"/>
              <w:right w:val="nil"/>
            </w:tcBorders>
            <w:shd w:val="clear" w:color="auto" w:fill="auto"/>
            <w:noWrap/>
            <w:vAlign w:val="bottom"/>
            <w:hideMark/>
          </w:tcPr>
          <w:p w14:paraId="0695E13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969" w:type="dxa"/>
            <w:tcBorders>
              <w:top w:val="nil"/>
              <w:left w:val="nil"/>
              <w:bottom w:val="nil"/>
              <w:right w:val="nil"/>
            </w:tcBorders>
            <w:shd w:val="clear" w:color="auto" w:fill="auto"/>
            <w:noWrap/>
            <w:vAlign w:val="bottom"/>
            <w:hideMark/>
          </w:tcPr>
          <w:p w14:paraId="3EEDD50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4512ED93"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12BF73D7" w14:textId="77777777" w:rsidTr="004029A4">
        <w:trPr>
          <w:trHeight w:val="300"/>
        </w:trPr>
        <w:tc>
          <w:tcPr>
            <w:tcW w:w="3828" w:type="dxa"/>
            <w:tcBorders>
              <w:top w:val="nil"/>
              <w:left w:val="nil"/>
              <w:bottom w:val="nil"/>
              <w:right w:val="nil"/>
            </w:tcBorders>
            <w:shd w:val="clear" w:color="auto" w:fill="auto"/>
            <w:noWrap/>
            <w:vAlign w:val="bottom"/>
            <w:hideMark/>
          </w:tcPr>
          <w:p w14:paraId="2A116450"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Diahrrea</w:t>
            </w:r>
          </w:p>
        </w:tc>
        <w:tc>
          <w:tcPr>
            <w:tcW w:w="3118" w:type="dxa"/>
            <w:tcBorders>
              <w:top w:val="nil"/>
              <w:left w:val="nil"/>
              <w:bottom w:val="nil"/>
              <w:right w:val="nil"/>
            </w:tcBorders>
            <w:shd w:val="clear" w:color="auto" w:fill="auto"/>
            <w:noWrap/>
            <w:vAlign w:val="bottom"/>
            <w:hideMark/>
          </w:tcPr>
          <w:p w14:paraId="78421240"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MDD</w:t>
            </w:r>
          </w:p>
        </w:tc>
        <w:tc>
          <w:tcPr>
            <w:tcW w:w="3969" w:type="dxa"/>
            <w:tcBorders>
              <w:top w:val="nil"/>
              <w:left w:val="nil"/>
              <w:bottom w:val="nil"/>
              <w:right w:val="nil"/>
            </w:tcBorders>
            <w:shd w:val="clear" w:color="auto" w:fill="auto"/>
            <w:noWrap/>
            <w:vAlign w:val="bottom"/>
            <w:hideMark/>
          </w:tcPr>
          <w:p w14:paraId="19C3132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6BC22983"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08D46DDA" w14:textId="77777777" w:rsidTr="004029A4">
        <w:trPr>
          <w:trHeight w:val="300"/>
        </w:trPr>
        <w:tc>
          <w:tcPr>
            <w:tcW w:w="3828" w:type="dxa"/>
            <w:tcBorders>
              <w:top w:val="nil"/>
              <w:left w:val="nil"/>
              <w:bottom w:val="nil"/>
              <w:right w:val="nil"/>
            </w:tcBorders>
            <w:shd w:val="clear" w:color="auto" w:fill="auto"/>
            <w:noWrap/>
            <w:vAlign w:val="bottom"/>
            <w:hideMark/>
          </w:tcPr>
          <w:p w14:paraId="55CBAC4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Congenital anomalies</w:t>
            </w:r>
          </w:p>
        </w:tc>
        <w:tc>
          <w:tcPr>
            <w:tcW w:w="3118" w:type="dxa"/>
            <w:tcBorders>
              <w:top w:val="nil"/>
              <w:left w:val="nil"/>
              <w:bottom w:val="nil"/>
              <w:right w:val="nil"/>
            </w:tcBorders>
            <w:shd w:val="clear" w:color="auto" w:fill="auto"/>
            <w:noWrap/>
            <w:vAlign w:val="bottom"/>
            <w:hideMark/>
          </w:tcPr>
          <w:p w14:paraId="019D5AA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Stroke</w:t>
            </w:r>
          </w:p>
        </w:tc>
        <w:tc>
          <w:tcPr>
            <w:tcW w:w="3969" w:type="dxa"/>
            <w:tcBorders>
              <w:top w:val="nil"/>
              <w:left w:val="nil"/>
              <w:bottom w:val="nil"/>
              <w:right w:val="nil"/>
            </w:tcBorders>
            <w:shd w:val="clear" w:color="auto" w:fill="auto"/>
            <w:noWrap/>
            <w:vAlign w:val="bottom"/>
            <w:hideMark/>
          </w:tcPr>
          <w:p w14:paraId="0CAC060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c>
          <w:tcPr>
            <w:tcW w:w="3544" w:type="dxa"/>
            <w:tcBorders>
              <w:top w:val="nil"/>
              <w:left w:val="nil"/>
              <w:bottom w:val="nil"/>
              <w:right w:val="nil"/>
            </w:tcBorders>
            <w:shd w:val="clear" w:color="auto" w:fill="auto"/>
            <w:noWrap/>
            <w:vAlign w:val="bottom"/>
            <w:hideMark/>
          </w:tcPr>
          <w:p w14:paraId="3E70CF7B"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r>
      <w:tr w:rsidR="00667231" w:rsidRPr="00785C9D" w14:paraId="76467151"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5886FCF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IHD</w:t>
            </w:r>
          </w:p>
        </w:tc>
        <w:tc>
          <w:tcPr>
            <w:tcW w:w="3118" w:type="dxa"/>
            <w:tcBorders>
              <w:top w:val="nil"/>
              <w:left w:val="nil"/>
              <w:bottom w:val="single" w:sz="4" w:space="0" w:color="auto"/>
              <w:right w:val="nil"/>
            </w:tcBorders>
            <w:shd w:val="clear" w:color="auto" w:fill="auto"/>
            <w:noWrap/>
            <w:vAlign w:val="bottom"/>
            <w:hideMark/>
          </w:tcPr>
          <w:p w14:paraId="4DA469F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Low back pain</w:t>
            </w:r>
          </w:p>
        </w:tc>
        <w:tc>
          <w:tcPr>
            <w:tcW w:w="3969" w:type="dxa"/>
            <w:tcBorders>
              <w:top w:val="nil"/>
              <w:left w:val="nil"/>
              <w:bottom w:val="single" w:sz="4" w:space="0" w:color="auto"/>
              <w:right w:val="nil"/>
            </w:tcBorders>
            <w:shd w:val="clear" w:color="auto" w:fill="auto"/>
            <w:noWrap/>
            <w:vAlign w:val="bottom"/>
            <w:hideMark/>
          </w:tcPr>
          <w:p w14:paraId="37825D2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Diahrrea</w:t>
            </w:r>
          </w:p>
        </w:tc>
        <w:tc>
          <w:tcPr>
            <w:tcW w:w="3544" w:type="dxa"/>
            <w:tcBorders>
              <w:top w:val="nil"/>
              <w:left w:val="nil"/>
              <w:bottom w:val="single" w:sz="4" w:space="0" w:color="auto"/>
              <w:right w:val="nil"/>
            </w:tcBorders>
            <w:shd w:val="clear" w:color="auto" w:fill="auto"/>
            <w:noWrap/>
            <w:vAlign w:val="bottom"/>
            <w:hideMark/>
          </w:tcPr>
          <w:p w14:paraId="1F3CB05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Road injuries</w:t>
            </w:r>
          </w:p>
        </w:tc>
      </w:tr>
      <w:tr w:rsidR="00667231" w:rsidRPr="00785C9D" w14:paraId="595A4315" w14:textId="77777777" w:rsidTr="004029A4">
        <w:trPr>
          <w:trHeight w:val="300"/>
        </w:trPr>
        <w:tc>
          <w:tcPr>
            <w:tcW w:w="14459" w:type="dxa"/>
            <w:gridSpan w:val="4"/>
            <w:tcBorders>
              <w:top w:val="single" w:sz="4" w:space="0" w:color="auto"/>
              <w:left w:val="nil"/>
              <w:bottom w:val="nil"/>
              <w:right w:val="nil"/>
            </w:tcBorders>
            <w:shd w:val="clear" w:color="auto" w:fill="auto"/>
            <w:noWrap/>
            <w:vAlign w:val="bottom"/>
            <w:hideMark/>
          </w:tcPr>
          <w:p w14:paraId="07761D9A" w14:textId="77777777" w:rsidR="00667231" w:rsidRPr="00785C9D" w:rsidRDefault="00667231" w:rsidP="009C7054">
            <w:pPr>
              <w:spacing w:line="480" w:lineRule="auto"/>
              <w:jc w:val="center"/>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Central Asia</w:t>
            </w:r>
          </w:p>
        </w:tc>
      </w:tr>
      <w:tr w:rsidR="00667231" w:rsidRPr="00785C9D" w14:paraId="159B9D89" w14:textId="77777777" w:rsidTr="004029A4">
        <w:trPr>
          <w:trHeight w:val="300"/>
        </w:trPr>
        <w:tc>
          <w:tcPr>
            <w:tcW w:w="3828" w:type="dxa"/>
            <w:tcBorders>
              <w:top w:val="nil"/>
              <w:left w:val="nil"/>
              <w:bottom w:val="nil"/>
              <w:right w:val="nil"/>
            </w:tcBorders>
            <w:shd w:val="clear" w:color="auto" w:fill="auto"/>
            <w:noWrap/>
            <w:vAlign w:val="bottom"/>
            <w:hideMark/>
          </w:tcPr>
          <w:p w14:paraId="76CC67E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LRI</w:t>
            </w:r>
          </w:p>
        </w:tc>
        <w:tc>
          <w:tcPr>
            <w:tcW w:w="3118" w:type="dxa"/>
            <w:tcBorders>
              <w:top w:val="nil"/>
              <w:left w:val="nil"/>
              <w:bottom w:val="nil"/>
              <w:right w:val="nil"/>
            </w:tcBorders>
            <w:shd w:val="clear" w:color="auto" w:fill="auto"/>
            <w:noWrap/>
            <w:vAlign w:val="bottom"/>
            <w:hideMark/>
          </w:tcPr>
          <w:p w14:paraId="1ABBCD23"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969" w:type="dxa"/>
            <w:tcBorders>
              <w:top w:val="nil"/>
              <w:left w:val="nil"/>
              <w:bottom w:val="nil"/>
              <w:right w:val="nil"/>
            </w:tcBorders>
            <w:shd w:val="clear" w:color="auto" w:fill="auto"/>
            <w:noWrap/>
            <w:vAlign w:val="bottom"/>
            <w:hideMark/>
          </w:tcPr>
          <w:p w14:paraId="31B969B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c>
          <w:tcPr>
            <w:tcW w:w="3544" w:type="dxa"/>
            <w:tcBorders>
              <w:top w:val="nil"/>
              <w:left w:val="nil"/>
              <w:bottom w:val="nil"/>
              <w:right w:val="nil"/>
            </w:tcBorders>
            <w:shd w:val="clear" w:color="auto" w:fill="auto"/>
            <w:noWrap/>
            <w:vAlign w:val="bottom"/>
            <w:hideMark/>
          </w:tcPr>
          <w:p w14:paraId="31188B0F"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1. IHD</w:t>
            </w:r>
          </w:p>
        </w:tc>
      </w:tr>
      <w:tr w:rsidR="00667231" w:rsidRPr="00785C9D" w14:paraId="3A8094F7" w14:textId="77777777" w:rsidTr="004029A4">
        <w:trPr>
          <w:trHeight w:val="300"/>
        </w:trPr>
        <w:tc>
          <w:tcPr>
            <w:tcW w:w="3828" w:type="dxa"/>
            <w:tcBorders>
              <w:top w:val="nil"/>
              <w:left w:val="nil"/>
              <w:bottom w:val="nil"/>
              <w:right w:val="nil"/>
            </w:tcBorders>
            <w:shd w:val="clear" w:color="auto" w:fill="auto"/>
            <w:noWrap/>
            <w:vAlign w:val="bottom"/>
            <w:hideMark/>
          </w:tcPr>
          <w:p w14:paraId="0DF7578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IHD</w:t>
            </w:r>
          </w:p>
        </w:tc>
        <w:tc>
          <w:tcPr>
            <w:tcW w:w="3118" w:type="dxa"/>
            <w:tcBorders>
              <w:top w:val="nil"/>
              <w:left w:val="nil"/>
              <w:bottom w:val="nil"/>
              <w:right w:val="nil"/>
            </w:tcBorders>
            <w:shd w:val="clear" w:color="auto" w:fill="auto"/>
            <w:noWrap/>
            <w:vAlign w:val="bottom"/>
            <w:hideMark/>
          </w:tcPr>
          <w:p w14:paraId="64E4B552"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LRI</w:t>
            </w:r>
          </w:p>
        </w:tc>
        <w:tc>
          <w:tcPr>
            <w:tcW w:w="3969" w:type="dxa"/>
            <w:tcBorders>
              <w:top w:val="nil"/>
              <w:left w:val="nil"/>
              <w:bottom w:val="nil"/>
              <w:right w:val="nil"/>
            </w:tcBorders>
            <w:shd w:val="clear" w:color="auto" w:fill="auto"/>
            <w:noWrap/>
            <w:vAlign w:val="bottom"/>
            <w:hideMark/>
          </w:tcPr>
          <w:p w14:paraId="350CF33D"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c>
          <w:tcPr>
            <w:tcW w:w="3544" w:type="dxa"/>
            <w:tcBorders>
              <w:top w:val="nil"/>
              <w:left w:val="nil"/>
              <w:bottom w:val="nil"/>
              <w:right w:val="nil"/>
            </w:tcBorders>
            <w:shd w:val="clear" w:color="auto" w:fill="auto"/>
            <w:noWrap/>
            <w:vAlign w:val="bottom"/>
            <w:hideMark/>
          </w:tcPr>
          <w:p w14:paraId="4CDC4CF1"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2. Stroke</w:t>
            </w:r>
          </w:p>
        </w:tc>
      </w:tr>
      <w:tr w:rsidR="00667231" w:rsidRPr="00785C9D" w14:paraId="518A2966" w14:textId="77777777" w:rsidTr="004029A4">
        <w:trPr>
          <w:trHeight w:val="300"/>
        </w:trPr>
        <w:tc>
          <w:tcPr>
            <w:tcW w:w="3828" w:type="dxa"/>
            <w:tcBorders>
              <w:top w:val="nil"/>
              <w:left w:val="nil"/>
              <w:bottom w:val="nil"/>
              <w:right w:val="nil"/>
            </w:tcBorders>
            <w:shd w:val="clear" w:color="auto" w:fill="auto"/>
            <w:noWrap/>
            <w:vAlign w:val="bottom"/>
            <w:hideMark/>
          </w:tcPr>
          <w:p w14:paraId="71DF924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Diahrrea</w:t>
            </w:r>
          </w:p>
        </w:tc>
        <w:tc>
          <w:tcPr>
            <w:tcW w:w="3118" w:type="dxa"/>
            <w:tcBorders>
              <w:top w:val="nil"/>
              <w:left w:val="nil"/>
              <w:bottom w:val="nil"/>
              <w:right w:val="nil"/>
            </w:tcBorders>
            <w:shd w:val="clear" w:color="auto" w:fill="auto"/>
            <w:noWrap/>
            <w:vAlign w:val="bottom"/>
            <w:hideMark/>
          </w:tcPr>
          <w:p w14:paraId="28FBCA18"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Stroke</w:t>
            </w:r>
          </w:p>
        </w:tc>
        <w:tc>
          <w:tcPr>
            <w:tcW w:w="3969" w:type="dxa"/>
            <w:tcBorders>
              <w:top w:val="nil"/>
              <w:left w:val="nil"/>
              <w:bottom w:val="nil"/>
              <w:right w:val="nil"/>
            </w:tcBorders>
            <w:shd w:val="clear" w:color="auto" w:fill="auto"/>
            <w:noWrap/>
            <w:vAlign w:val="bottom"/>
            <w:hideMark/>
          </w:tcPr>
          <w:p w14:paraId="5E84D0F6"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c>
          <w:tcPr>
            <w:tcW w:w="3544" w:type="dxa"/>
            <w:tcBorders>
              <w:top w:val="nil"/>
              <w:left w:val="nil"/>
              <w:bottom w:val="nil"/>
              <w:right w:val="nil"/>
            </w:tcBorders>
            <w:shd w:val="clear" w:color="auto" w:fill="auto"/>
            <w:noWrap/>
            <w:vAlign w:val="bottom"/>
            <w:hideMark/>
          </w:tcPr>
          <w:p w14:paraId="285149D5"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3. LRI</w:t>
            </w:r>
          </w:p>
        </w:tc>
      </w:tr>
      <w:tr w:rsidR="00667231" w:rsidRPr="00785C9D" w14:paraId="33FD51D4" w14:textId="77777777" w:rsidTr="004029A4">
        <w:trPr>
          <w:trHeight w:val="300"/>
        </w:trPr>
        <w:tc>
          <w:tcPr>
            <w:tcW w:w="3828" w:type="dxa"/>
            <w:tcBorders>
              <w:top w:val="nil"/>
              <w:left w:val="nil"/>
              <w:bottom w:val="single" w:sz="4" w:space="0" w:color="auto"/>
              <w:right w:val="nil"/>
            </w:tcBorders>
            <w:shd w:val="clear" w:color="auto" w:fill="auto"/>
            <w:noWrap/>
            <w:vAlign w:val="bottom"/>
            <w:hideMark/>
          </w:tcPr>
          <w:p w14:paraId="3C6310A9"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Neonatal encephalopathy</w:t>
            </w:r>
          </w:p>
        </w:tc>
        <w:tc>
          <w:tcPr>
            <w:tcW w:w="3118" w:type="dxa"/>
            <w:tcBorders>
              <w:top w:val="nil"/>
              <w:left w:val="nil"/>
              <w:bottom w:val="single" w:sz="4" w:space="0" w:color="auto"/>
              <w:right w:val="nil"/>
            </w:tcBorders>
            <w:shd w:val="clear" w:color="auto" w:fill="auto"/>
            <w:noWrap/>
            <w:vAlign w:val="bottom"/>
            <w:hideMark/>
          </w:tcPr>
          <w:p w14:paraId="3F82FEB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Neonatal encephalopathy</w:t>
            </w:r>
          </w:p>
        </w:tc>
        <w:tc>
          <w:tcPr>
            <w:tcW w:w="3969" w:type="dxa"/>
            <w:tcBorders>
              <w:top w:val="nil"/>
              <w:left w:val="nil"/>
              <w:bottom w:val="single" w:sz="4" w:space="0" w:color="auto"/>
              <w:right w:val="nil"/>
            </w:tcBorders>
            <w:shd w:val="clear" w:color="auto" w:fill="auto"/>
            <w:noWrap/>
            <w:vAlign w:val="bottom"/>
            <w:hideMark/>
          </w:tcPr>
          <w:p w14:paraId="1F7335E2"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COPD</w:t>
            </w:r>
          </w:p>
        </w:tc>
        <w:tc>
          <w:tcPr>
            <w:tcW w:w="3544" w:type="dxa"/>
            <w:tcBorders>
              <w:top w:val="nil"/>
              <w:left w:val="nil"/>
              <w:bottom w:val="single" w:sz="4" w:space="0" w:color="auto"/>
              <w:right w:val="nil"/>
            </w:tcBorders>
            <w:shd w:val="clear" w:color="auto" w:fill="auto"/>
            <w:noWrap/>
            <w:vAlign w:val="bottom"/>
            <w:hideMark/>
          </w:tcPr>
          <w:p w14:paraId="21E6F2CC" w14:textId="77777777" w:rsidR="00667231" w:rsidRPr="00785C9D" w:rsidRDefault="00667231" w:rsidP="009C7054">
            <w:pPr>
              <w:spacing w:line="480" w:lineRule="auto"/>
              <w:rPr>
                <w:rFonts w:eastAsia="Times New Roman" w:cs="Times New Roman"/>
                <w:color w:val="000000"/>
                <w:sz w:val="22"/>
                <w:szCs w:val="22"/>
                <w:lang w:val="en-GB" w:eastAsia="en-GB"/>
              </w:rPr>
            </w:pPr>
            <w:r w:rsidRPr="00785C9D">
              <w:rPr>
                <w:rFonts w:eastAsia="Times New Roman" w:cs="Times New Roman"/>
                <w:color w:val="000000"/>
                <w:sz w:val="22"/>
                <w:szCs w:val="22"/>
                <w:lang w:val="en-GB" w:eastAsia="en-GB"/>
              </w:rPr>
              <w:t>4. Cirrhosis</w:t>
            </w:r>
          </w:p>
        </w:tc>
      </w:tr>
    </w:tbl>
    <w:p w14:paraId="597F0DCA" w14:textId="12C4B79D" w:rsidR="00E75F90" w:rsidRPr="00152099" w:rsidRDefault="00667231" w:rsidP="009C7054">
      <w:pPr>
        <w:spacing w:line="480" w:lineRule="auto"/>
        <w:jc w:val="both"/>
        <w:rPr>
          <w:rFonts w:cs="Times New Roman"/>
          <w:sz w:val="20"/>
          <w:szCs w:val="20"/>
        </w:rPr>
        <w:sectPr w:rsidR="00E75F90" w:rsidRPr="00152099" w:rsidSect="008B68E4">
          <w:footnotePr>
            <w:numFmt w:val="lowerLetter"/>
          </w:footnotePr>
          <w:pgSz w:w="16840" w:h="11900" w:orient="landscape"/>
          <w:pgMar w:top="1440" w:right="1440" w:bottom="1440" w:left="1440" w:header="708" w:footer="708" w:gutter="0"/>
          <w:lnNumType w:countBy="1" w:restart="continuous"/>
          <w:cols w:space="708"/>
          <w:docGrid w:linePitch="326"/>
        </w:sectPr>
      </w:pPr>
      <w:r w:rsidRPr="00785C9D">
        <w:rPr>
          <w:rFonts w:cs="Times New Roman"/>
          <w:sz w:val="22"/>
          <w:szCs w:val="20"/>
        </w:rPr>
        <w:t xml:space="preserve">Note: </w:t>
      </w:r>
      <w:r>
        <w:rPr>
          <w:rFonts w:cs="Times New Roman"/>
          <w:sz w:val="22"/>
          <w:szCs w:val="20"/>
        </w:rPr>
        <w:t>information provided</w:t>
      </w:r>
      <w:r w:rsidRPr="00785C9D">
        <w:rPr>
          <w:rFonts w:cs="Times New Roman"/>
          <w:sz w:val="22"/>
          <w:szCs w:val="20"/>
        </w:rPr>
        <w:t xml:space="preserve"> the 2013 G</w:t>
      </w:r>
      <w:r>
        <w:rPr>
          <w:rFonts w:cs="Times New Roman"/>
          <w:sz w:val="22"/>
          <w:szCs w:val="20"/>
        </w:rPr>
        <w:t>lobal Burden of Disease</w:t>
      </w:r>
      <w:r w:rsidRPr="00785C9D">
        <w:rPr>
          <w:rFonts w:cs="Times New Roman"/>
          <w:sz w:val="22"/>
          <w:szCs w:val="20"/>
        </w:rPr>
        <w:t xml:space="preserve"> study </w:t>
      </w:r>
      <w:r w:rsidRPr="00785C9D">
        <w:rPr>
          <w:rFonts w:cs="Times New Roman"/>
          <w:sz w:val="22"/>
          <w:szCs w:val="20"/>
        </w:rPr>
        <w:fldChar w:fldCharType="begin"/>
      </w:r>
      <w:r w:rsidRPr="00785C9D">
        <w:rPr>
          <w:rFonts w:cs="Times New Roman"/>
          <w:sz w:val="22"/>
          <w:szCs w:val="20"/>
        </w:rPr>
        <w:instrText xml:space="preserve"> ADDIN EN.CITE &lt;EndNote&gt;&lt;Cite&gt;&lt;Author&gt;Murray&lt;/Author&gt;&lt;Year&gt;2013&lt;/Year&gt;&lt;RecNum&gt;3&lt;/RecNum&gt;&lt;DisplayText&gt;(Murray et al., 2013)&lt;/DisplayText&gt;&lt;record&gt;&lt;rec-number&gt;3&lt;/rec-number&gt;&lt;foreign-keys&gt;&lt;key app="EN" db-id="tv2fspxf809vs5efaz7xrz91atd02zw9ss22" timestamp="0"&gt;3&lt;/key&gt;&lt;/foreign-keys&gt;&lt;ref-type name="Journal Article"&gt;17&lt;/ref-type&gt;&lt;contributors&gt;&lt;authors&gt;&lt;author&gt;Murray, Christopher JL&lt;/author&gt;&lt;author&gt;Vos, Theo&lt;/author&gt;&lt;author&gt;Lozano, Rafael&lt;/author&gt;&lt;author&gt;Naghavi, Mohsen&lt;/author&gt;&lt;author&gt;Flaxman, Abraham D&lt;/author&gt;&lt;author&gt;Michaud, Catherine&lt;/author&gt;&lt;author&gt;Ezzati, Majid&lt;/author&gt;&lt;author&gt;Shibuya, Kenji&lt;/author&gt;&lt;author&gt;Salomon, Joshua A&lt;/author&gt;&lt;author&gt;Abdalla, Safa&lt;/author&gt;&lt;/authors&gt;&lt;/contributors&gt;&lt;titles&gt;&lt;title&gt;Disability-adjusted life years (DALYs) for 291 diseases and injuries in 21 regions, 1990–2010: a systematic analysis for the Global Burden of Disease Study 2010&lt;/title&gt;&lt;secondary-title&gt;The lancet&lt;/secondary-title&gt;&lt;/titles&gt;&lt;periodical&gt;&lt;full-title&gt;The Lancet&lt;/full-title&gt;&lt;/periodical&gt;&lt;pages&gt;2197-2223&lt;/pages&gt;&lt;volume&gt;380&lt;/volume&gt;&lt;number&gt;9859&lt;/number&gt;&lt;dates&gt;&lt;year&gt;2013&lt;/year&gt;&lt;/dates&gt;&lt;isbn&gt;0140-6736&lt;/isbn&gt;&lt;urls&gt;&lt;related-urls&gt;&lt;url&gt;http://www.thelancet.com/journals/lancet/article/PIIS0140-6736(12)61689-4/abstract&lt;/url&gt;&lt;/related-urls&gt;&lt;/urls&gt;&lt;/record&gt;&lt;/Cite&gt;&lt;/EndNote&gt;</w:instrText>
      </w:r>
      <w:r w:rsidRPr="00785C9D">
        <w:rPr>
          <w:rFonts w:cs="Times New Roman"/>
          <w:sz w:val="22"/>
          <w:szCs w:val="20"/>
        </w:rPr>
        <w:fldChar w:fldCharType="separate"/>
      </w:r>
      <w:r w:rsidRPr="00785C9D">
        <w:rPr>
          <w:rFonts w:cs="Times New Roman"/>
          <w:noProof/>
          <w:sz w:val="22"/>
          <w:szCs w:val="20"/>
        </w:rPr>
        <w:t>(Murray et al., 2013)</w:t>
      </w:r>
      <w:r w:rsidRPr="00785C9D">
        <w:rPr>
          <w:rFonts w:cs="Times New Roman"/>
          <w:sz w:val="22"/>
          <w:szCs w:val="20"/>
        </w:rPr>
        <w:fldChar w:fldCharType="end"/>
      </w:r>
      <w:r>
        <w:rPr>
          <w:rFonts w:cs="Times New Roman"/>
          <w:sz w:val="22"/>
          <w:szCs w:val="20"/>
        </w:rPr>
        <w:t xml:space="preserve">. </w:t>
      </w:r>
      <w:r w:rsidRPr="00BF15E4">
        <w:rPr>
          <w:rFonts w:cs="Times New Roman"/>
          <w:sz w:val="22"/>
          <w:szCs w:val="20"/>
        </w:rPr>
        <w:t>The categorization of developed and dev</w:t>
      </w:r>
      <w:r w:rsidR="00F40A31">
        <w:rPr>
          <w:rFonts w:cs="Times New Roman"/>
          <w:sz w:val="22"/>
          <w:szCs w:val="20"/>
        </w:rPr>
        <w:t>e</w:t>
      </w:r>
      <w:r w:rsidRPr="00BF15E4">
        <w:rPr>
          <w:rFonts w:cs="Times New Roman"/>
          <w:sz w:val="22"/>
          <w:szCs w:val="20"/>
        </w:rPr>
        <w:t xml:space="preserve">loping </w:t>
      </w:r>
      <w:r w:rsidR="00F40A31">
        <w:rPr>
          <w:rFonts w:cs="Times New Roman"/>
          <w:sz w:val="22"/>
          <w:szCs w:val="20"/>
        </w:rPr>
        <w:t>countries</w:t>
      </w:r>
      <w:r w:rsidR="00F40A31" w:rsidRPr="00BF15E4">
        <w:rPr>
          <w:rFonts w:cs="Times New Roman"/>
          <w:sz w:val="22"/>
          <w:szCs w:val="20"/>
        </w:rPr>
        <w:t xml:space="preserve"> </w:t>
      </w:r>
      <w:r w:rsidRPr="00BF15E4">
        <w:rPr>
          <w:rFonts w:cs="Times New Roman"/>
          <w:sz w:val="22"/>
          <w:szCs w:val="20"/>
        </w:rPr>
        <w:t>follows the United Nations</w:t>
      </w:r>
      <w:r>
        <w:rPr>
          <w:rFonts w:cs="Times New Roman"/>
          <w:sz w:val="22"/>
          <w:szCs w:val="20"/>
        </w:rPr>
        <w:t xml:space="preserve"> (United Nations, 2017) </w:t>
      </w:r>
      <w:r w:rsidRPr="00BF15E4">
        <w:rPr>
          <w:rFonts w:cs="Times New Roman"/>
          <w:sz w:val="22"/>
          <w:szCs w:val="20"/>
        </w:rPr>
        <w:t>classification available at http://unstats.un.org/unsd/methods/m49/m49regin.htm#developed.</w:t>
      </w:r>
    </w:p>
    <w:p w14:paraId="779D1B60" w14:textId="6DD23EDC" w:rsidR="001023E0" w:rsidRPr="00117ECC" w:rsidRDefault="005F69C3" w:rsidP="009C7054">
      <w:pPr>
        <w:spacing w:line="480" w:lineRule="auto"/>
        <w:jc w:val="both"/>
        <w:rPr>
          <w:rFonts w:cs="Times New Roman"/>
          <w:sz w:val="22"/>
          <w:szCs w:val="20"/>
        </w:rPr>
      </w:pPr>
      <w:r>
        <w:rPr>
          <w:rFonts w:cs="Times New Roman"/>
          <w:sz w:val="22"/>
          <w:szCs w:val="20"/>
        </w:rPr>
        <w:lastRenderedPageBreak/>
        <w:t xml:space="preserve">Table </w:t>
      </w:r>
      <w:r w:rsidR="003043C1" w:rsidRPr="00117ECC">
        <w:rPr>
          <w:rFonts w:cs="Times New Roman"/>
          <w:sz w:val="22"/>
          <w:szCs w:val="20"/>
        </w:rPr>
        <w:t>V</w:t>
      </w:r>
      <w:r>
        <w:rPr>
          <w:rFonts w:cs="Times New Roman"/>
          <w:sz w:val="22"/>
          <w:szCs w:val="20"/>
        </w:rPr>
        <w:t>I</w:t>
      </w:r>
      <w:r w:rsidR="003043C1" w:rsidRPr="00117ECC">
        <w:rPr>
          <w:rFonts w:cs="Times New Roman"/>
          <w:sz w:val="22"/>
          <w:szCs w:val="20"/>
        </w:rPr>
        <w:t>:</w:t>
      </w:r>
      <w:r w:rsidR="001023E0" w:rsidRPr="00117ECC">
        <w:rPr>
          <w:rFonts w:cs="Times New Roman"/>
          <w:sz w:val="22"/>
          <w:szCs w:val="20"/>
        </w:rPr>
        <w:t xml:space="preserve"> Erreygers indices </w:t>
      </w:r>
    </w:p>
    <w:tbl>
      <w:tblPr>
        <w:tblW w:w="10708" w:type="dxa"/>
        <w:tblInd w:w="-567" w:type="dxa"/>
        <w:tblLook w:val="04A0" w:firstRow="1" w:lastRow="0" w:firstColumn="1" w:lastColumn="0" w:noHBand="0" w:noVBand="1"/>
      </w:tblPr>
      <w:tblGrid>
        <w:gridCol w:w="5529"/>
        <w:gridCol w:w="1134"/>
        <w:gridCol w:w="141"/>
        <w:gridCol w:w="993"/>
        <w:gridCol w:w="141"/>
        <w:gridCol w:w="1134"/>
        <w:gridCol w:w="141"/>
        <w:gridCol w:w="1354"/>
        <w:gridCol w:w="141"/>
      </w:tblGrid>
      <w:tr w:rsidR="00117ECC" w:rsidRPr="00117ECC" w14:paraId="4F7C7E90" w14:textId="77777777" w:rsidTr="00AC133D">
        <w:trPr>
          <w:gridAfter w:val="1"/>
          <w:wAfter w:w="141" w:type="dxa"/>
          <w:trHeight w:val="300"/>
        </w:trPr>
        <w:tc>
          <w:tcPr>
            <w:tcW w:w="5529" w:type="dxa"/>
            <w:tcBorders>
              <w:top w:val="single" w:sz="4" w:space="0" w:color="auto"/>
              <w:left w:val="nil"/>
              <w:bottom w:val="nil"/>
              <w:right w:val="nil"/>
            </w:tcBorders>
            <w:shd w:val="clear" w:color="auto" w:fill="auto"/>
            <w:noWrap/>
            <w:vAlign w:val="bottom"/>
            <w:hideMark/>
          </w:tcPr>
          <w:p w14:paraId="4C3385AF"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Broad diseases groups</w:t>
            </w:r>
          </w:p>
        </w:tc>
        <w:tc>
          <w:tcPr>
            <w:tcW w:w="2268" w:type="dxa"/>
            <w:gridSpan w:val="3"/>
            <w:tcBorders>
              <w:top w:val="single" w:sz="4" w:space="0" w:color="auto"/>
              <w:left w:val="nil"/>
              <w:bottom w:val="nil"/>
              <w:right w:val="single" w:sz="4" w:space="0" w:color="auto"/>
            </w:tcBorders>
            <w:shd w:val="clear" w:color="auto" w:fill="auto"/>
            <w:noWrap/>
            <w:vAlign w:val="bottom"/>
            <w:hideMark/>
          </w:tcPr>
          <w:p w14:paraId="6F9C5BDE"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Disease burden</w:t>
            </w:r>
          </w:p>
        </w:tc>
        <w:tc>
          <w:tcPr>
            <w:tcW w:w="2770" w:type="dxa"/>
            <w:gridSpan w:val="4"/>
            <w:tcBorders>
              <w:top w:val="single" w:sz="4" w:space="0" w:color="auto"/>
              <w:left w:val="single" w:sz="4" w:space="0" w:color="auto"/>
              <w:right w:val="nil"/>
            </w:tcBorders>
            <w:shd w:val="clear" w:color="auto" w:fill="auto"/>
            <w:noWrap/>
            <w:vAlign w:val="bottom"/>
            <w:hideMark/>
          </w:tcPr>
          <w:p w14:paraId="5C7D56EC"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Market size</w:t>
            </w:r>
          </w:p>
        </w:tc>
      </w:tr>
      <w:tr w:rsidR="00117ECC" w:rsidRPr="00117ECC" w14:paraId="15F638A0" w14:textId="77777777" w:rsidTr="00AC133D">
        <w:trPr>
          <w:gridAfter w:val="1"/>
          <w:wAfter w:w="141" w:type="dxa"/>
          <w:trHeight w:val="300"/>
        </w:trPr>
        <w:tc>
          <w:tcPr>
            <w:tcW w:w="5529" w:type="dxa"/>
            <w:tcBorders>
              <w:top w:val="nil"/>
              <w:left w:val="nil"/>
              <w:bottom w:val="single" w:sz="4" w:space="0" w:color="auto"/>
              <w:right w:val="nil"/>
            </w:tcBorders>
            <w:shd w:val="clear" w:color="auto" w:fill="auto"/>
            <w:noWrap/>
            <w:vAlign w:val="bottom"/>
            <w:hideMark/>
          </w:tcPr>
          <w:p w14:paraId="76104A8D"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 </w:t>
            </w:r>
          </w:p>
        </w:tc>
        <w:tc>
          <w:tcPr>
            <w:tcW w:w="1134" w:type="dxa"/>
            <w:tcBorders>
              <w:top w:val="nil"/>
              <w:left w:val="nil"/>
              <w:bottom w:val="single" w:sz="4" w:space="0" w:color="auto"/>
              <w:right w:val="nil"/>
            </w:tcBorders>
            <w:shd w:val="clear" w:color="auto" w:fill="auto"/>
            <w:noWrap/>
            <w:vAlign w:val="bottom"/>
            <w:hideMark/>
          </w:tcPr>
          <w:p w14:paraId="6A09072B"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DALYs</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764F7E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SE</w:t>
            </w:r>
          </w:p>
        </w:tc>
        <w:tc>
          <w:tcPr>
            <w:tcW w:w="1275" w:type="dxa"/>
            <w:gridSpan w:val="2"/>
            <w:tcBorders>
              <w:top w:val="nil"/>
              <w:left w:val="single" w:sz="4" w:space="0" w:color="auto"/>
              <w:bottom w:val="single" w:sz="4" w:space="0" w:color="auto"/>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960"/>
            </w:tblGrid>
            <w:tr w:rsidR="00117ECC" w:rsidRPr="00117ECC" w14:paraId="7CE75669" w14:textId="77777777">
              <w:trPr>
                <w:trHeight w:val="300"/>
                <w:tblCellSpacing w:w="0" w:type="dxa"/>
              </w:trPr>
              <w:tc>
                <w:tcPr>
                  <w:tcW w:w="960" w:type="dxa"/>
                  <w:tcBorders>
                    <w:top w:val="nil"/>
                    <w:left w:val="nil"/>
                    <w:bottom w:val="single" w:sz="4" w:space="0" w:color="auto"/>
                    <w:right w:val="nil"/>
                  </w:tcBorders>
                  <w:shd w:val="clear" w:color="auto" w:fill="auto"/>
                  <w:noWrap/>
                  <w:vAlign w:val="bottom"/>
                  <w:hideMark/>
                </w:tcPr>
                <w:p w14:paraId="750C88C1" w14:textId="308B5D13" w:rsidR="00117ECC" w:rsidRPr="00117ECC" w:rsidRDefault="00117ECC" w:rsidP="009C7054">
                  <w:pPr>
                    <w:spacing w:line="480" w:lineRule="auto"/>
                    <w:rPr>
                      <w:rFonts w:eastAsia="Times New Roman" w:cs="Times New Roman"/>
                      <w:color w:val="000000"/>
                      <w:sz w:val="22"/>
                      <w:szCs w:val="22"/>
                      <w:lang w:val="en-GB" w:eastAsia="en-GB"/>
                    </w:rPr>
                  </w:pPr>
                  <w:r w:rsidRPr="00117ECC">
                    <w:rPr>
                      <w:rFonts w:ascii="Calibri" w:eastAsia="Times New Roman" w:hAnsi="Calibri" w:cs="Times New Roman"/>
                      <w:noProof/>
                      <w:color w:val="000000"/>
                      <w:sz w:val="22"/>
                      <w:szCs w:val="22"/>
                      <w:lang w:val="en-GB" w:eastAsia="en-GB"/>
                    </w:rPr>
                    <w:drawing>
                      <wp:anchor distT="0" distB="0" distL="114300" distR="114300" simplePos="0" relativeHeight="251657216" behindDoc="0" locked="0" layoutInCell="1" allowOverlap="1" wp14:anchorId="163A15C7" wp14:editId="0573B789">
                        <wp:simplePos x="0" y="0"/>
                        <wp:positionH relativeFrom="column">
                          <wp:posOffset>201295</wp:posOffset>
                        </wp:positionH>
                        <wp:positionV relativeFrom="paragraph">
                          <wp:posOffset>-43815</wp:posOffset>
                        </wp:positionV>
                        <wp:extent cx="133350" cy="180975"/>
                        <wp:effectExtent l="0" t="0" r="0" b="9525"/>
                        <wp:wrapNone/>
                        <wp:docPr id="11" name="Picture 1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extLst/>
                              </pic:spPr>
                            </pic:pic>
                          </a:graphicData>
                        </a:graphic>
                        <wp14:sizeRelH relativeFrom="page">
                          <wp14:pctWidth>0</wp14:pctWidth>
                        </wp14:sizeRelH>
                        <wp14:sizeRelV relativeFrom="page">
                          <wp14:pctHeight>0</wp14:pctHeight>
                        </wp14:sizeRelV>
                      </wp:anchor>
                    </w:drawing>
                  </w:r>
                  <w:r w:rsidRPr="00117ECC">
                    <w:rPr>
                      <w:rFonts w:eastAsia="Times New Roman" w:cs="Times New Roman"/>
                      <w:color w:val="000000"/>
                      <w:sz w:val="22"/>
                      <w:szCs w:val="22"/>
                      <w:lang w:val="en-GB" w:eastAsia="en-GB"/>
                    </w:rPr>
                    <w:t> </w:t>
                  </w:r>
                </w:p>
              </w:tc>
            </w:tr>
          </w:tbl>
          <w:p w14:paraId="51EAF58D" w14:textId="237A93F8" w:rsidR="00117ECC" w:rsidRPr="00117ECC" w:rsidRDefault="00117ECC" w:rsidP="009C7054">
            <w:pPr>
              <w:spacing w:line="480" w:lineRule="auto"/>
              <w:rPr>
                <w:rFonts w:ascii="Calibri" w:eastAsia="Times New Roman" w:hAnsi="Calibri" w:cs="Times New Roman"/>
                <w:color w:val="000000"/>
                <w:sz w:val="22"/>
                <w:szCs w:val="22"/>
                <w:lang w:val="en-GB" w:eastAsia="en-GB"/>
              </w:rPr>
            </w:pPr>
          </w:p>
        </w:tc>
        <w:tc>
          <w:tcPr>
            <w:tcW w:w="1495" w:type="dxa"/>
            <w:gridSpan w:val="2"/>
            <w:tcBorders>
              <w:top w:val="nil"/>
              <w:left w:val="nil"/>
              <w:bottom w:val="single" w:sz="4" w:space="0" w:color="auto"/>
              <w:right w:val="nil"/>
            </w:tcBorders>
            <w:shd w:val="clear" w:color="auto" w:fill="auto"/>
            <w:noWrap/>
            <w:vAlign w:val="bottom"/>
            <w:hideMark/>
          </w:tcPr>
          <w:p w14:paraId="3DDB025B"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SE</w:t>
            </w:r>
          </w:p>
        </w:tc>
      </w:tr>
      <w:tr w:rsidR="00117ECC" w:rsidRPr="00117ECC" w14:paraId="39DA4800"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21E7044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Communicable diseases</w:t>
            </w:r>
          </w:p>
        </w:tc>
        <w:tc>
          <w:tcPr>
            <w:tcW w:w="1134" w:type="dxa"/>
            <w:tcBorders>
              <w:top w:val="single" w:sz="4" w:space="0" w:color="auto"/>
              <w:left w:val="single" w:sz="4" w:space="0" w:color="auto"/>
              <w:bottom w:val="nil"/>
              <w:right w:val="nil"/>
            </w:tcBorders>
            <w:shd w:val="clear" w:color="auto" w:fill="auto"/>
            <w:noWrap/>
            <w:vAlign w:val="bottom"/>
            <w:hideMark/>
          </w:tcPr>
          <w:p w14:paraId="369AF8F2"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single" w:sz="4" w:space="0" w:color="auto"/>
              <w:left w:val="nil"/>
              <w:bottom w:val="nil"/>
              <w:right w:val="single" w:sz="4" w:space="0" w:color="auto"/>
            </w:tcBorders>
            <w:shd w:val="clear" w:color="auto" w:fill="auto"/>
            <w:noWrap/>
            <w:vAlign w:val="bottom"/>
            <w:hideMark/>
          </w:tcPr>
          <w:p w14:paraId="724D32C1"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single" w:sz="4" w:space="0" w:color="auto"/>
              <w:left w:val="single" w:sz="4" w:space="0" w:color="auto"/>
              <w:bottom w:val="nil"/>
              <w:right w:val="nil"/>
            </w:tcBorders>
            <w:shd w:val="clear" w:color="auto" w:fill="auto"/>
            <w:noWrap/>
            <w:vAlign w:val="bottom"/>
            <w:hideMark/>
          </w:tcPr>
          <w:p w14:paraId="16A103F6" w14:textId="58E1220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single" w:sz="4" w:space="0" w:color="auto"/>
              <w:left w:val="nil"/>
              <w:bottom w:val="nil"/>
              <w:right w:val="nil"/>
            </w:tcBorders>
            <w:shd w:val="clear" w:color="auto" w:fill="auto"/>
            <w:noWrap/>
            <w:vAlign w:val="bottom"/>
            <w:hideMark/>
          </w:tcPr>
          <w:p w14:paraId="3A21B2EF" w14:textId="2C1F7FBD"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6A8E92BE"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0609054A"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134" w:type="dxa"/>
            <w:tcBorders>
              <w:top w:val="nil"/>
              <w:left w:val="single" w:sz="4" w:space="0" w:color="auto"/>
              <w:bottom w:val="nil"/>
              <w:right w:val="nil"/>
            </w:tcBorders>
            <w:shd w:val="clear" w:color="auto" w:fill="auto"/>
            <w:noWrap/>
            <w:vAlign w:val="bottom"/>
            <w:hideMark/>
          </w:tcPr>
          <w:p w14:paraId="231CA0D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0.050</w:t>
            </w:r>
          </w:p>
        </w:tc>
        <w:tc>
          <w:tcPr>
            <w:tcW w:w="1134" w:type="dxa"/>
            <w:gridSpan w:val="2"/>
            <w:tcBorders>
              <w:top w:val="nil"/>
              <w:left w:val="nil"/>
              <w:bottom w:val="nil"/>
              <w:right w:val="single" w:sz="4" w:space="0" w:color="auto"/>
            </w:tcBorders>
            <w:shd w:val="clear" w:color="auto" w:fill="auto"/>
            <w:noWrap/>
            <w:vAlign w:val="bottom"/>
            <w:hideMark/>
          </w:tcPr>
          <w:p w14:paraId="1C52C0A8"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(0.038)</w:t>
            </w:r>
          </w:p>
        </w:tc>
        <w:tc>
          <w:tcPr>
            <w:tcW w:w="1275" w:type="dxa"/>
            <w:gridSpan w:val="2"/>
            <w:tcBorders>
              <w:top w:val="nil"/>
              <w:left w:val="single" w:sz="4" w:space="0" w:color="auto"/>
              <w:bottom w:val="nil"/>
              <w:right w:val="nil"/>
            </w:tcBorders>
            <w:shd w:val="clear" w:color="auto" w:fill="auto"/>
            <w:noWrap/>
            <w:vAlign w:val="bottom"/>
            <w:hideMark/>
          </w:tcPr>
          <w:p w14:paraId="2DB5A62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0.001***</w:t>
            </w:r>
          </w:p>
        </w:tc>
        <w:tc>
          <w:tcPr>
            <w:tcW w:w="1495" w:type="dxa"/>
            <w:gridSpan w:val="2"/>
            <w:tcBorders>
              <w:top w:val="nil"/>
              <w:left w:val="nil"/>
              <w:bottom w:val="nil"/>
              <w:right w:val="nil"/>
            </w:tcBorders>
            <w:shd w:val="clear" w:color="auto" w:fill="auto"/>
            <w:noWrap/>
            <w:vAlign w:val="bottom"/>
            <w:hideMark/>
          </w:tcPr>
          <w:p w14:paraId="2CB30333"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(0.000)</w:t>
            </w:r>
          </w:p>
        </w:tc>
      </w:tr>
      <w:tr w:rsidR="00117ECC" w:rsidRPr="00117ECC" w14:paraId="0FFAC352"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7AA06D58"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134" w:type="dxa"/>
            <w:tcBorders>
              <w:top w:val="nil"/>
              <w:left w:val="single" w:sz="4" w:space="0" w:color="auto"/>
              <w:bottom w:val="nil"/>
              <w:right w:val="nil"/>
            </w:tcBorders>
            <w:shd w:val="clear" w:color="auto" w:fill="auto"/>
            <w:noWrap/>
            <w:vAlign w:val="bottom"/>
            <w:hideMark/>
          </w:tcPr>
          <w:p w14:paraId="778FBF8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0.068</w:t>
            </w:r>
          </w:p>
        </w:tc>
        <w:tc>
          <w:tcPr>
            <w:tcW w:w="1134" w:type="dxa"/>
            <w:gridSpan w:val="2"/>
            <w:tcBorders>
              <w:top w:val="nil"/>
              <w:left w:val="nil"/>
              <w:bottom w:val="nil"/>
              <w:right w:val="single" w:sz="4" w:space="0" w:color="auto"/>
            </w:tcBorders>
            <w:shd w:val="clear" w:color="auto" w:fill="auto"/>
            <w:noWrap/>
            <w:vAlign w:val="bottom"/>
            <w:hideMark/>
          </w:tcPr>
          <w:p w14:paraId="60B29F7D"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w:t>
            </w:r>
          </w:p>
        </w:tc>
        <w:tc>
          <w:tcPr>
            <w:tcW w:w="1275" w:type="dxa"/>
            <w:gridSpan w:val="2"/>
            <w:tcBorders>
              <w:top w:val="nil"/>
              <w:left w:val="single" w:sz="4" w:space="0" w:color="auto"/>
              <w:bottom w:val="nil"/>
              <w:right w:val="nil"/>
            </w:tcBorders>
            <w:shd w:val="clear" w:color="auto" w:fill="auto"/>
            <w:noWrap/>
            <w:vAlign w:val="bottom"/>
            <w:hideMark/>
          </w:tcPr>
          <w:p w14:paraId="3F9D6057"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0.008</w:t>
            </w:r>
          </w:p>
        </w:tc>
        <w:tc>
          <w:tcPr>
            <w:tcW w:w="1495" w:type="dxa"/>
            <w:gridSpan w:val="2"/>
            <w:tcBorders>
              <w:top w:val="nil"/>
              <w:left w:val="nil"/>
              <w:bottom w:val="nil"/>
              <w:right w:val="nil"/>
            </w:tcBorders>
            <w:shd w:val="clear" w:color="auto" w:fill="auto"/>
            <w:noWrap/>
            <w:vAlign w:val="bottom"/>
            <w:hideMark/>
          </w:tcPr>
          <w:p w14:paraId="1385D2F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(0.008)</w:t>
            </w:r>
          </w:p>
        </w:tc>
      </w:tr>
      <w:tr w:rsidR="00117ECC" w:rsidRPr="00117ECC" w14:paraId="67E636D6"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2223CAC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Non-communicable diseases</w:t>
            </w:r>
          </w:p>
        </w:tc>
        <w:tc>
          <w:tcPr>
            <w:tcW w:w="1134" w:type="dxa"/>
            <w:tcBorders>
              <w:top w:val="nil"/>
              <w:left w:val="single" w:sz="4" w:space="0" w:color="auto"/>
              <w:bottom w:val="nil"/>
              <w:right w:val="nil"/>
            </w:tcBorders>
            <w:shd w:val="clear" w:color="auto" w:fill="auto"/>
            <w:noWrap/>
            <w:vAlign w:val="bottom"/>
            <w:hideMark/>
          </w:tcPr>
          <w:p w14:paraId="5225F6CC"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1579E227"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7FE5B72C"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2AB11E5A"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778235E2"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05D2AF46"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134" w:type="dxa"/>
            <w:tcBorders>
              <w:top w:val="nil"/>
              <w:left w:val="single" w:sz="4" w:space="0" w:color="auto"/>
              <w:bottom w:val="nil"/>
              <w:right w:val="nil"/>
            </w:tcBorders>
            <w:shd w:val="clear" w:color="auto" w:fill="auto"/>
            <w:noWrap/>
            <w:vAlign w:val="bottom"/>
            <w:hideMark/>
          </w:tcPr>
          <w:p w14:paraId="7E9AC9BF"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0.009**</w:t>
            </w:r>
          </w:p>
        </w:tc>
        <w:tc>
          <w:tcPr>
            <w:tcW w:w="1134" w:type="dxa"/>
            <w:gridSpan w:val="2"/>
            <w:tcBorders>
              <w:top w:val="nil"/>
              <w:left w:val="nil"/>
              <w:bottom w:val="nil"/>
              <w:right w:val="single" w:sz="4" w:space="0" w:color="auto"/>
            </w:tcBorders>
            <w:shd w:val="clear" w:color="auto" w:fill="auto"/>
            <w:noWrap/>
            <w:vAlign w:val="bottom"/>
            <w:hideMark/>
          </w:tcPr>
          <w:p w14:paraId="133AA2DE"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(0.030)</w:t>
            </w:r>
          </w:p>
        </w:tc>
        <w:tc>
          <w:tcPr>
            <w:tcW w:w="1275" w:type="dxa"/>
            <w:gridSpan w:val="2"/>
            <w:tcBorders>
              <w:top w:val="nil"/>
              <w:left w:val="single" w:sz="4" w:space="0" w:color="auto"/>
              <w:bottom w:val="nil"/>
              <w:right w:val="nil"/>
            </w:tcBorders>
            <w:shd w:val="clear" w:color="auto" w:fill="auto"/>
            <w:noWrap/>
            <w:vAlign w:val="bottom"/>
            <w:hideMark/>
          </w:tcPr>
          <w:p w14:paraId="4B86E98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0.001***</w:t>
            </w:r>
          </w:p>
        </w:tc>
        <w:tc>
          <w:tcPr>
            <w:tcW w:w="1495" w:type="dxa"/>
            <w:gridSpan w:val="2"/>
            <w:tcBorders>
              <w:top w:val="nil"/>
              <w:left w:val="nil"/>
              <w:bottom w:val="nil"/>
              <w:right w:val="nil"/>
            </w:tcBorders>
            <w:shd w:val="clear" w:color="auto" w:fill="auto"/>
            <w:noWrap/>
            <w:vAlign w:val="bottom"/>
            <w:hideMark/>
          </w:tcPr>
          <w:p w14:paraId="11B8BEF3"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(0.000)</w:t>
            </w:r>
          </w:p>
        </w:tc>
      </w:tr>
      <w:tr w:rsidR="00117ECC" w:rsidRPr="00117ECC" w14:paraId="2A07AF20" w14:textId="77777777" w:rsidTr="00AC133D">
        <w:trPr>
          <w:gridAfter w:val="1"/>
          <w:wAfter w:w="141" w:type="dxa"/>
          <w:trHeight w:val="300"/>
        </w:trPr>
        <w:tc>
          <w:tcPr>
            <w:tcW w:w="5529" w:type="dxa"/>
            <w:tcBorders>
              <w:top w:val="nil"/>
              <w:left w:val="nil"/>
              <w:bottom w:val="single" w:sz="4" w:space="0" w:color="auto"/>
              <w:right w:val="single" w:sz="4" w:space="0" w:color="auto"/>
            </w:tcBorders>
            <w:shd w:val="clear" w:color="auto" w:fill="auto"/>
            <w:noWrap/>
            <w:vAlign w:val="bottom"/>
            <w:hideMark/>
          </w:tcPr>
          <w:p w14:paraId="595A157D"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134" w:type="dxa"/>
            <w:tcBorders>
              <w:top w:val="nil"/>
              <w:left w:val="single" w:sz="4" w:space="0" w:color="auto"/>
              <w:bottom w:val="single" w:sz="4" w:space="0" w:color="auto"/>
              <w:right w:val="nil"/>
            </w:tcBorders>
            <w:shd w:val="clear" w:color="auto" w:fill="auto"/>
            <w:noWrap/>
            <w:vAlign w:val="bottom"/>
            <w:hideMark/>
          </w:tcPr>
          <w:p w14:paraId="6FF735F2"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9DD877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(0.019)</w:t>
            </w:r>
          </w:p>
        </w:tc>
        <w:tc>
          <w:tcPr>
            <w:tcW w:w="1275" w:type="dxa"/>
            <w:gridSpan w:val="2"/>
            <w:tcBorders>
              <w:top w:val="nil"/>
              <w:left w:val="single" w:sz="4" w:space="0" w:color="auto"/>
              <w:bottom w:val="single" w:sz="4" w:space="0" w:color="auto"/>
              <w:right w:val="nil"/>
            </w:tcBorders>
            <w:shd w:val="clear" w:color="auto" w:fill="auto"/>
            <w:noWrap/>
            <w:vAlign w:val="bottom"/>
            <w:hideMark/>
          </w:tcPr>
          <w:p w14:paraId="42A1BDB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0.039**</w:t>
            </w:r>
          </w:p>
        </w:tc>
        <w:tc>
          <w:tcPr>
            <w:tcW w:w="1495" w:type="dxa"/>
            <w:gridSpan w:val="2"/>
            <w:tcBorders>
              <w:top w:val="nil"/>
              <w:left w:val="nil"/>
              <w:bottom w:val="single" w:sz="4" w:space="0" w:color="auto"/>
              <w:right w:val="nil"/>
            </w:tcBorders>
            <w:shd w:val="clear" w:color="auto" w:fill="auto"/>
            <w:noWrap/>
            <w:vAlign w:val="bottom"/>
            <w:hideMark/>
          </w:tcPr>
          <w:p w14:paraId="51F7C9DB"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(0.019)</w:t>
            </w:r>
          </w:p>
        </w:tc>
      </w:tr>
      <w:tr w:rsidR="00117ECC" w:rsidRPr="00117ECC" w14:paraId="67A60EB2" w14:textId="77777777" w:rsidTr="00AC133D">
        <w:trPr>
          <w:gridAfter w:val="1"/>
          <w:wAfter w:w="141" w:type="dxa"/>
          <w:trHeight w:val="300"/>
        </w:trPr>
        <w:tc>
          <w:tcPr>
            <w:tcW w:w="5529" w:type="dxa"/>
            <w:tcBorders>
              <w:top w:val="nil"/>
              <w:left w:val="nil"/>
              <w:bottom w:val="nil"/>
              <w:right w:val="nil"/>
            </w:tcBorders>
            <w:shd w:val="clear" w:color="auto" w:fill="auto"/>
            <w:noWrap/>
            <w:vAlign w:val="bottom"/>
            <w:hideMark/>
          </w:tcPr>
          <w:p w14:paraId="03D62CEE"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Disease subcategories</w:t>
            </w:r>
          </w:p>
        </w:tc>
        <w:tc>
          <w:tcPr>
            <w:tcW w:w="2268" w:type="dxa"/>
            <w:gridSpan w:val="3"/>
            <w:tcBorders>
              <w:top w:val="single" w:sz="4" w:space="0" w:color="auto"/>
              <w:left w:val="nil"/>
              <w:bottom w:val="nil"/>
              <w:right w:val="single" w:sz="4" w:space="0" w:color="auto"/>
            </w:tcBorders>
            <w:shd w:val="clear" w:color="auto" w:fill="auto"/>
            <w:noWrap/>
            <w:vAlign w:val="bottom"/>
            <w:hideMark/>
          </w:tcPr>
          <w:p w14:paraId="4A8652D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Disease burden</w:t>
            </w:r>
          </w:p>
        </w:tc>
        <w:tc>
          <w:tcPr>
            <w:tcW w:w="2770" w:type="dxa"/>
            <w:gridSpan w:val="4"/>
            <w:tcBorders>
              <w:top w:val="single" w:sz="4" w:space="0" w:color="auto"/>
              <w:left w:val="single" w:sz="4" w:space="0" w:color="auto"/>
              <w:bottom w:val="nil"/>
              <w:right w:val="nil"/>
            </w:tcBorders>
            <w:shd w:val="clear" w:color="auto" w:fill="auto"/>
            <w:noWrap/>
            <w:vAlign w:val="bottom"/>
            <w:hideMark/>
          </w:tcPr>
          <w:p w14:paraId="1E240A26" w14:textId="6127B094"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Market size</w:t>
            </w:r>
          </w:p>
        </w:tc>
      </w:tr>
      <w:tr w:rsidR="00117ECC" w:rsidRPr="00117ECC" w14:paraId="72628D91" w14:textId="77777777" w:rsidTr="00AC133D">
        <w:trPr>
          <w:gridAfter w:val="1"/>
          <w:wAfter w:w="141" w:type="dxa"/>
          <w:trHeight w:val="300"/>
        </w:trPr>
        <w:tc>
          <w:tcPr>
            <w:tcW w:w="5529" w:type="dxa"/>
            <w:tcBorders>
              <w:top w:val="nil"/>
              <w:left w:val="nil"/>
              <w:bottom w:val="single" w:sz="4" w:space="0" w:color="auto"/>
              <w:right w:val="nil"/>
            </w:tcBorders>
            <w:shd w:val="clear" w:color="auto" w:fill="auto"/>
            <w:noWrap/>
            <w:vAlign w:val="bottom"/>
            <w:hideMark/>
          </w:tcPr>
          <w:p w14:paraId="688EBA0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 </w:t>
            </w:r>
          </w:p>
        </w:tc>
        <w:tc>
          <w:tcPr>
            <w:tcW w:w="1134" w:type="dxa"/>
            <w:tcBorders>
              <w:top w:val="nil"/>
              <w:left w:val="nil"/>
              <w:bottom w:val="single" w:sz="4" w:space="0" w:color="auto"/>
              <w:right w:val="nil"/>
            </w:tcBorders>
            <w:shd w:val="clear" w:color="auto" w:fill="auto"/>
            <w:noWrap/>
            <w:vAlign w:val="bottom"/>
            <w:hideMark/>
          </w:tcPr>
          <w:p w14:paraId="46835F9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DALYs</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8F6A41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SE</w:t>
            </w:r>
          </w:p>
        </w:tc>
        <w:tc>
          <w:tcPr>
            <w:tcW w:w="1275" w:type="dxa"/>
            <w:gridSpan w:val="2"/>
            <w:tcBorders>
              <w:top w:val="nil"/>
              <w:left w:val="single" w:sz="4" w:space="0" w:color="auto"/>
              <w:bottom w:val="single" w:sz="4" w:space="0" w:color="auto"/>
              <w:right w:val="nil"/>
            </w:tcBorders>
            <w:shd w:val="clear" w:color="auto" w:fill="auto"/>
            <w:noWrap/>
            <w:vAlign w:val="bottom"/>
            <w:hideMark/>
          </w:tcPr>
          <w:p w14:paraId="69018202" w14:textId="270FD32D" w:rsidR="00117ECC" w:rsidRPr="00117ECC" w:rsidRDefault="00117ECC" w:rsidP="009C7054">
            <w:pPr>
              <w:spacing w:line="480" w:lineRule="auto"/>
              <w:rPr>
                <w:rFonts w:eastAsia="Times New Roman" w:cs="Times New Roman"/>
                <w:color w:val="000000"/>
                <w:sz w:val="22"/>
                <w:szCs w:val="22"/>
                <w:lang w:val="en-GB" w:eastAsia="en-GB"/>
              </w:rPr>
            </w:pPr>
          </w:p>
        </w:tc>
        <w:tc>
          <w:tcPr>
            <w:tcW w:w="1495" w:type="dxa"/>
            <w:gridSpan w:val="2"/>
            <w:tcBorders>
              <w:top w:val="nil"/>
              <w:left w:val="nil"/>
              <w:bottom w:val="single" w:sz="4" w:space="0" w:color="auto"/>
              <w:right w:val="nil"/>
            </w:tcBorders>
            <w:shd w:val="clear" w:color="auto" w:fill="auto"/>
            <w:noWrap/>
            <w:vAlign w:val="bottom"/>
            <w:hideMark/>
          </w:tcPr>
          <w:p w14:paraId="79E57265" w14:textId="662A68CD"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SE</w:t>
            </w:r>
          </w:p>
        </w:tc>
      </w:tr>
      <w:tr w:rsidR="00117ECC" w:rsidRPr="00117ECC" w14:paraId="5F8EF6C4" w14:textId="77777777" w:rsidTr="00AC133D">
        <w:trPr>
          <w:gridAfter w:val="1"/>
          <w:wAfter w:w="141" w:type="dxa"/>
          <w:trHeight w:val="300"/>
        </w:trPr>
        <w:tc>
          <w:tcPr>
            <w:tcW w:w="10567" w:type="dxa"/>
            <w:gridSpan w:val="8"/>
            <w:tcBorders>
              <w:top w:val="single" w:sz="4" w:space="0" w:color="auto"/>
              <w:left w:val="nil"/>
              <w:bottom w:val="nil"/>
              <w:right w:val="nil"/>
            </w:tcBorders>
            <w:shd w:val="clear" w:color="auto" w:fill="auto"/>
            <w:noWrap/>
            <w:vAlign w:val="bottom"/>
            <w:hideMark/>
          </w:tcPr>
          <w:p w14:paraId="49DDDDB3" w14:textId="17F24D39" w:rsidR="00117ECC" w:rsidRPr="00117ECC" w:rsidRDefault="00117ECC" w:rsidP="009C7054">
            <w:pPr>
              <w:spacing w:line="480" w:lineRule="auto"/>
              <w:jc w:val="center"/>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TOP4 subcategories of causes of morbidity in the developed countries</w:t>
            </w:r>
          </w:p>
        </w:tc>
      </w:tr>
      <w:tr w:rsidR="00117ECC" w:rsidRPr="00117ECC" w14:paraId="11DC6CEF"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0A9D95C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Cardiovascular and circulatory diseases</w:t>
            </w:r>
          </w:p>
        </w:tc>
        <w:tc>
          <w:tcPr>
            <w:tcW w:w="1134" w:type="dxa"/>
            <w:tcBorders>
              <w:top w:val="nil"/>
              <w:left w:val="single" w:sz="4" w:space="0" w:color="auto"/>
              <w:right w:val="nil"/>
            </w:tcBorders>
            <w:shd w:val="clear" w:color="auto" w:fill="auto"/>
            <w:noWrap/>
            <w:vAlign w:val="bottom"/>
            <w:hideMark/>
          </w:tcPr>
          <w:p w14:paraId="5A8774DD"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right w:val="single" w:sz="4" w:space="0" w:color="auto"/>
            </w:tcBorders>
            <w:shd w:val="clear" w:color="auto" w:fill="auto"/>
            <w:noWrap/>
            <w:vAlign w:val="bottom"/>
            <w:hideMark/>
          </w:tcPr>
          <w:p w14:paraId="199B3B5F"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right w:val="nil"/>
            </w:tcBorders>
            <w:shd w:val="clear" w:color="auto" w:fill="auto"/>
            <w:noWrap/>
            <w:vAlign w:val="bottom"/>
            <w:hideMark/>
          </w:tcPr>
          <w:p w14:paraId="7341735D"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right w:val="nil"/>
            </w:tcBorders>
            <w:shd w:val="clear" w:color="auto" w:fill="auto"/>
            <w:noWrap/>
            <w:vAlign w:val="bottom"/>
            <w:hideMark/>
          </w:tcPr>
          <w:p w14:paraId="30F3BE68"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141FA2DC"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504BB56F"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134" w:type="dxa"/>
            <w:tcBorders>
              <w:top w:val="nil"/>
              <w:left w:val="single" w:sz="4" w:space="0" w:color="auto"/>
              <w:bottom w:val="nil"/>
              <w:right w:val="nil"/>
            </w:tcBorders>
            <w:shd w:val="clear" w:color="auto" w:fill="auto"/>
            <w:noWrap/>
            <w:vAlign w:val="bottom"/>
            <w:hideMark/>
          </w:tcPr>
          <w:p w14:paraId="037C4E67"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0.081***</w:t>
            </w:r>
          </w:p>
        </w:tc>
        <w:tc>
          <w:tcPr>
            <w:tcW w:w="1134" w:type="dxa"/>
            <w:gridSpan w:val="2"/>
            <w:tcBorders>
              <w:top w:val="nil"/>
              <w:left w:val="nil"/>
              <w:bottom w:val="nil"/>
              <w:right w:val="single" w:sz="4" w:space="0" w:color="auto"/>
            </w:tcBorders>
            <w:shd w:val="clear" w:color="auto" w:fill="auto"/>
            <w:noWrap/>
            <w:vAlign w:val="bottom"/>
            <w:hideMark/>
          </w:tcPr>
          <w:p w14:paraId="52D8682F"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(0.030)</w:t>
            </w:r>
          </w:p>
        </w:tc>
        <w:tc>
          <w:tcPr>
            <w:tcW w:w="1275" w:type="dxa"/>
            <w:gridSpan w:val="2"/>
            <w:tcBorders>
              <w:top w:val="nil"/>
              <w:left w:val="single" w:sz="4" w:space="0" w:color="auto"/>
              <w:bottom w:val="nil"/>
              <w:right w:val="nil"/>
            </w:tcBorders>
            <w:shd w:val="clear" w:color="auto" w:fill="auto"/>
            <w:noWrap/>
            <w:vAlign w:val="bottom"/>
            <w:hideMark/>
          </w:tcPr>
          <w:p w14:paraId="5321B7B4"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0.062***</w:t>
            </w:r>
          </w:p>
        </w:tc>
        <w:tc>
          <w:tcPr>
            <w:tcW w:w="1495" w:type="dxa"/>
            <w:gridSpan w:val="2"/>
            <w:tcBorders>
              <w:top w:val="nil"/>
              <w:left w:val="nil"/>
              <w:bottom w:val="nil"/>
              <w:right w:val="nil"/>
            </w:tcBorders>
            <w:shd w:val="clear" w:color="auto" w:fill="auto"/>
            <w:noWrap/>
            <w:vAlign w:val="bottom"/>
            <w:hideMark/>
          </w:tcPr>
          <w:p w14:paraId="4F914C0E"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(0.006)</w:t>
            </w:r>
          </w:p>
        </w:tc>
      </w:tr>
      <w:tr w:rsidR="00117ECC" w:rsidRPr="00117ECC" w14:paraId="47B9367A"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1CB7895F"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134" w:type="dxa"/>
            <w:tcBorders>
              <w:top w:val="nil"/>
              <w:left w:val="single" w:sz="4" w:space="0" w:color="auto"/>
              <w:bottom w:val="nil"/>
              <w:right w:val="nil"/>
            </w:tcBorders>
            <w:shd w:val="clear" w:color="auto" w:fill="auto"/>
            <w:noWrap/>
            <w:vAlign w:val="bottom"/>
            <w:hideMark/>
          </w:tcPr>
          <w:p w14:paraId="481DC4DF"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0.048***</w:t>
            </w:r>
          </w:p>
        </w:tc>
        <w:tc>
          <w:tcPr>
            <w:tcW w:w="1134" w:type="dxa"/>
            <w:gridSpan w:val="2"/>
            <w:tcBorders>
              <w:top w:val="nil"/>
              <w:left w:val="nil"/>
              <w:bottom w:val="nil"/>
              <w:right w:val="single" w:sz="4" w:space="0" w:color="auto"/>
            </w:tcBorders>
            <w:shd w:val="clear" w:color="auto" w:fill="auto"/>
            <w:noWrap/>
            <w:vAlign w:val="bottom"/>
            <w:hideMark/>
          </w:tcPr>
          <w:p w14:paraId="3916842A"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(0.048)</w:t>
            </w:r>
          </w:p>
        </w:tc>
        <w:tc>
          <w:tcPr>
            <w:tcW w:w="1275" w:type="dxa"/>
            <w:gridSpan w:val="2"/>
            <w:tcBorders>
              <w:top w:val="nil"/>
              <w:left w:val="single" w:sz="4" w:space="0" w:color="auto"/>
              <w:bottom w:val="nil"/>
              <w:right w:val="nil"/>
            </w:tcBorders>
            <w:shd w:val="clear" w:color="auto" w:fill="auto"/>
            <w:noWrap/>
            <w:vAlign w:val="bottom"/>
            <w:hideMark/>
          </w:tcPr>
          <w:p w14:paraId="2FD92157"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0.044***</w:t>
            </w:r>
          </w:p>
        </w:tc>
        <w:tc>
          <w:tcPr>
            <w:tcW w:w="1495" w:type="dxa"/>
            <w:gridSpan w:val="2"/>
            <w:tcBorders>
              <w:top w:val="nil"/>
              <w:left w:val="nil"/>
              <w:bottom w:val="nil"/>
              <w:right w:val="nil"/>
            </w:tcBorders>
            <w:shd w:val="clear" w:color="auto" w:fill="auto"/>
            <w:noWrap/>
            <w:vAlign w:val="bottom"/>
            <w:hideMark/>
          </w:tcPr>
          <w:p w14:paraId="37E0D787"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(0.001)</w:t>
            </w:r>
          </w:p>
        </w:tc>
      </w:tr>
      <w:tr w:rsidR="00117ECC" w:rsidRPr="00117ECC" w14:paraId="6B5C62E8"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276BB76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Neoplasms</w:t>
            </w:r>
          </w:p>
        </w:tc>
        <w:tc>
          <w:tcPr>
            <w:tcW w:w="1134" w:type="dxa"/>
            <w:tcBorders>
              <w:top w:val="nil"/>
              <w:left w:val="single" w:sz="4" w:space="0" w:color="auto"/>
              <w:bottom w:val="nil"/>
              <w:right w:val="nil"/>
            </w:tcBorders>
            <w:shd w:val="clear" w:color="auto" w:fill="auto"/>
            <w:noWrap/>
            <w:vAlign w:val="bottom"/>
            <w:hideMark/>
          </w:tcPr>
          <w:p w14:paraId="6A6765B2"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1BB54CDC"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15525CAE"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13BA4100"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768CAA27"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524B4A2D"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134" w:type="dxa"/>
            <w:tcBorders>
              <w:top w:val="nil"/>
              <w:left w:val="single" w:sz="4" w:space="0" w:color="auto"/>
              <w:bottom w:val="nil"/>
              <w:right w:val="nil"/>
            </w:tcBorders>
            <w:shd w:val="clear" w:color="auto" w:fill="auto"/>
            <w:noWrap/>
            <w:vAlign w:val="bottom"/>
            <w:hideMark/>
          </w:tcPr>
          <w:p w14:paraId="2D698FC4"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0.098***</w:t>
            </w:r>
          </w:p>
        </w:tc>
        <w:tc>
          <w:tcPr>
            <w:tcW w:w="1134" w:type="dxa"/>
            <w:gridSpan w:val="2"/>
            <w:tcBorders>
              <w:top w:val="nil"/>
              <w:left w:val="nil"/>
              <w:bottom w:val="nil"/>
              <w:right w:val="single" w:sz="4" w:space="0" w:color="auto"/>
            </w:tcBorders>
            <w:shd w:val="clear" w:color="auto" w:fill="auto"/>
            <w:noWrap/>
            <w:vAlign w:val="bottom"/>
            <w:hideMark/>
          </w:tcPr>
          <w:p w14:paraId="45BD2FDD"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(0.016)</w:t>
            </w:r>
          </w:p>
        </w:tc>
        <w:tc>
          <w:tcPr>
            <w:tcW w:w="1275" w:type="dxa"/>
            <w:gridSpan w:val="2"/>
            <w:tcBorders>
              <w:top w:val="nil"/>
              <w:left w:val="single" w:sz="4" w:space="0" w:color="auto"/>
              <w:bottom w:val="nil"/>
              <w:right w:val="nil"/>
            </w:tcBorders>
            <w:shd w:val="clear" w:color="auto" w:fill="auto"/>
            <w:noWrap/>
            <w:vAlign w:val="bottom"/>
            <w:hideMark/>
          </w:tcPr>
          <w:p w14:paraId="05E20D14"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0.103***</w:t>
            </w:r>
          </w:p>
        </w:tc>
        <w:tc>
          <w:tcPr>
            <w:tcW w:w="1495" w:type="dxa"/>
            <w:gridSpan w:val="2"/>
            <w:tcBorders>
              <w:top w:val="nil"/>
              <w:left w:val="nil"/>
              <w:bottom w:val="nil"/>
              <w:right w:val="nil"/>
            </w:tcBorders>
            <w:shd w:val="clear" w:color="auto" w:fill="auto"/>
            <w:noWrap/>
            <w:vAlign w:val="bottom"/>
            <w:hideMark/>
          </w:tcPr>
          <w:p w14:paraId="4C1C58EF"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(0.004)</w:t>
            </w:r>
          </w:p>
        </w:tc>
      </w:tr>
      <w:tr w:rsidR="00117ECC" w:rsidRPr="00117ECC" w14:paraId="211F953F"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0D689880"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134" w:type="dxa"/>
            <w:tcBorders>
              <w:top w:val="nil"/>
              <w:left w:val="single" w:sz="4" w:space="0" w:color="auto"/>
              <w:bottom w:val="nil"/>
              <w:right w:val="nil"/>
            </w:tcBorders>
            <w:shd w:val="clear" w:color="auto" w:fill="auto"/>
            <w:noWrap/>
            <w:vAlign w:val="bottom"/>
            <w:hideMark/>
          </w:tcPr>
          <w:p w14:paraId="00AF2392"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0.141***</w:t>
            </w:r>
          </w:p>
        </w:tc>
        <w:tc>
          <w:tcPr>
            <w:tcW w:w="1134" w:type="dxa"/>
            <w:gridSpan w:val="2"/>
            <w:tcBorders>
              <w:top w:val="nil"/>
              <w:left w:val="nil"/>
              <w:bottom w:val="nil"/>
              <w:right w:val="single" w:sz="4" w:space="0" w:color="auto"/>
            </w:tcBorders>
            <w:shd w:val="clear" w:color="auto" w:fill="auto"/>
            <w:noWrap/>
            <w:vAlign w:val="bottom"/>
            <w:hideMark/>
          </w:tcPr>
          <w:p w14:paraId="59F44CF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(0.022)</w:t>
            </w:r>
          </w:p>
        </w:tc>
        <w:tc>
          <w:tcPr>
            <w:tcW w:w="1275" w:type="dxa"/>
            <w:gridSpan w:val="2"/>
            <w:tcBorders>
              <w:top w:val="nil"/>
              <w:left w:val="single" w:sz="4" w:space="0" w:color="auto"/>
              <w:bottom w:val="nil"/>
              <w:right w:val="nil"/>
            </w:tcBorders>
            <w:shd w:val="clear" w:color="auto" w:fill="auto"/>
            <w:noWrap/>
            <w:vAlign w:val="bottom"/>
            <w:hideMark/>
          </w:tcPr>
          <w:p w14:paraId="0C38762C"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0.150***</w:t>
            </w:r>
          </w:p>
        </w:tc>
        <w:tc>
          <w:tcPr>
            <w:tcW w:w="1495" w:type="dxa"/>
            <w:gridSpan w:val="2"/>
            <w:tcBorders>
              <w:top w:val="nil"/>
              <w:left w:val="nil"/>
              <w:bottom w:val="nil"/>
              <w:right w:val="nil"/>
            </w:tcBorders>
            <w:shd w:val="clear" w:color="auto" w:fill="auto"/>
            <w:noWrap/>
            <w:vAlign w:val="bottom"/>
            <w:hideMark/>
          </w:tcPr>
          <w:p w14:paraId="6D1A32E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(0.005)</w:t>
            </w:r>
          </w:p>
        </w:tc>
      </w:tr>
      <w:tr w:rsidR="00117ECC" w:rsidRPr="00117ECC" w14:paraId="72981A65"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53AD56BF"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Musculoskeletal disorders</w:t>
            </w:r>
          </w:p>
        </w:tc>
        <w:tc>
          <w:tcPr>
            <w:tcW w:w="1134" w:type="dxa"/>
            <w:tcBorders>
              <w:top w:val="nil"/>
              <w:left w:val="single" w:sz="4" w:space="0" w:color="auto"/>
              <w:bottom w:val="nil"/>
              <w:right w:val="nil"/>
            </w:tcBorders>
            <w:shd w:val="clear" w:color="auto" w:fill="auto"/>
            <w:noWrap/>
            <w:vAlign w:val="bottom"/>
            <w:hideMark/>
          </w:tcPr>
          <w:p w14:paraId="3BE5B474"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7648A286"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5B8FED75"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3B95883B"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176C79C5"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50398229"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134" w:type="dxa"/>
            <w:tcBorders>
              <w:top w:val="nil"/>
              <w:left w:val="single" w:sz="4" w:space="0" w:color="auto"/>
              <w:bottom w:val="nil"/>
              <w:right w:val="nil"/>
            </w:tcBorders>
            <w:shd w:val="clear" w:color="auto" w:fill="auto"/>
            <w:noWrap/>
            <w:vAlign w:val="bottom"/>
            <w:hideMark/>
          </w:tcPr>
          <w:p w14:paraId="4943474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0.267***</w:t>
            </w:r>
          </w:p>
        </w:tc>
        <w:tc>
          <w:tcPr>
            <w:tcW w:w="1134" w:type="dxa"/>
            <w:gridSpan w:val="2"/>
            <w:tcBorders>
              <w:top w:val="nil"/>
              <w:left w:val="nil"/>
              <w:bottom w:val="nil"/>
              <w:right w:val="single" w:sz="4" w:space="0" w:color="auto"/>
            </w:tcBorders>
            <w:shd w:val="clear" w:color="auto" w:fill="auto"/>
            <w:noWrap/>
            <w:vAlign w:val="bottom"/>
            <w:hideMark/>
          </w:tcPr>
          <w:p w14:paraId="3511FCE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(0.029)</w:t>
            </w:r>
          </w:p>
        </w:tc>
        <w:tc>
          <w:tcPr>
            <w:tcW w:w="1275" w:type="dxa"/>
            <w:gridSpan w:val="2"/>
            <w:tcBorders>
              <w:top w:val="nil"/>
              <w:left w:val="single" w:sz="4" w:space="0" w:color="auto"/>
              <w:bottom w:val="nil"/>
              <w:right w:val="nil"/>
            </w:tcBorders>
            <w:shd w:val="clear" w:color="auto" w:fill="auto"/>
            <w:noWrap/>
            <w:vAlign w:val="bottom"/>
            <w:hideMark/>
          </w:tcPr>
          <w:p w14:paraId="0E1F234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-0.003</w:t>
            </w:r>
          </w:p>
        </w:tc>
        <w:tc>
          <w:tcPr>
            <w:tcW w:w="1495" w:type="dxa"/>
            <w:gridSpan w:val="2"/>
            <w:tcBorders>
              <w:top w:val="nil"/>
              <w:left w:val="nil"/>
              <w:bottom w:val="nil"/>
              <w:right w:val="nil"/>
            </w:tcBorders>
            <w:shd w:val="clear" w:color="auto" w:fill="auto"/>
            <w:noWrap/>
            <w:vAlign w:val="bottom"/>
            <w:hideMark/>
          </w:tcPr>
          <w:p w14:paraId="5B98FE9B"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(0.010)</w:t>
            </w:r>
          </w:p>
        </w:tc>
      </w:tr>
      <w:tr w:rsidR="00117ECC" w:rsidRPr="00117ECC" w14:paraId="02570319"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37883EE7"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134" w:type="dxa"/>
            <w:tcBorders>
              <w:top w:val="nil"/>
              <w:left w:val="single" w:sz="4" w:space="0" w:color="auto"/>
              <w:bottom w:val="nil"/>
              <w:right w:val="nil"/>
            </w:tcBorders>
            <w:shd w:val="clear" w:color="auto" w:fill="auto"/>
            <w:noWrap/>
            <w:vAlign w:val="bottom"/>
            <w:hideMark/>
          </w:tcPr>
          <w:p w14:paraId="00E1F093"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0.663***</w:t>
            </w:r>
          </w:p>
        </w:tc>
        <w:tc>
          <w:tcPr>
            <w:tcW w:w="1134" w:type="dxa"/>
            <w:gridSpan w:val="2"/>
            <w:tcBorders>
              <w:top w:val="nil"/>
              <w:left w:val="nil"/>
              <w:bottom w:val="nil"/>
              <w:right w:val="single" w:sz="4" w:space="0" w:color="auto"/>
            </w:tcBorders>
            <w:shd w:val="clear" w:color="auto" w:fill="auto"/>
            <w:noWrap/>
            <w:vAlign w:val="bottom"/>
            <w:hideMark/>
          </w:tcPr>
          <w:p w14:paraId="76D6E3E8"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(0.082)</w:t>
            </w:r>
          </w:p>
        </w:tc>
        <w:tc>
          <w:tcPr>
            <w:tcW w:w="1275" w:type="dxa"/>
            <w:gridSpan w:val="2"/>
            <w:tcBorders>
              <w:top w:val="nil"/>
              <w:left w:val="single" w:sz="4" w:space="0" w:color="auto"/>
              <w:bottom w:val="nil"/>
              <w:right w:val="nil"/>
            </w:tcBorders>
            <w:shd w:val="clear" w:color="auto" w:fill="auto"/>
            <w:noWrap/>
            <w:vAlign w:val="bottom"/>
            <w:hideMark/>
          </w:tcPr>
          <w:p w14:paraId="2CF2377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0.011</w:t>
            </w:r>
          </w:p>
        </w:tc>
        <w:tc>
          <w:tcPr>
            <w:tcW w:w="1495" w:type="dxa"/>
            <w:gridSpan w:val="2"/>
            <w:tcBorders>
              <w:top w:val="nil"/>
              <w:left w:val="nil"/>
              <w:bottom w:val="nil"/>
              <w:right w:val="nil"/>
            </w:tcBorders>
            <w:shd w:val="clear" w:color="auto" w:fill="auto"/>
            <w:noWrap/>
            <w:vAlign w:val="bottom"/>
            <w:hideMark/>
          </w:tcPr>
          <w:p w14:paraId="6345A85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(0.024)</w:t>
            </w:r>
          </w:p>
        </w:tc>
      </w:tr>
      <w:tr w:rsidR="00117ECC" w:rsidRPr="00117ECC" w14:paraId="0A1835A9"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5F1E772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Mental and behavioural disorders</w:t>
            </w:r>
          </w:p>
        </w:tc>
        <w:tc>
          <w:tcPr>
            <w:tcW w:w="1134" w:type="dxa"/>
            <w:tcBorders>
              <w:top w:val="nil"/>
              <w:left w:val="single" w:sz="4" w:space="0" w:color="auto"/>
              <w:bottom w:val="nil"/>
              <w:right w:val="nil"/>
            </w:tcBorders>
            <w:shd w:val="clear" w:color="auto" w:fill="auto"/>
            <w:noWrap/>
            <w:vAlign w:val="bottom"/>
            <w:hideMark/>
          </w:tcPr>
          <w:p w14:paraId="2ECCE470"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0564770E"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7A3809CE"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52DD2D1B"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7D9BF3EB"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5DCF477E"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134" w:type="dxa"/>
            <w:tcBorders>
              <w:top w:val="nil"/>
              <w:left w:val="single" w:sz="4" w:space="0" w:color="auto"/>
              <w:bottom w:val="nil"/>
              <w:right w:val="nil"/>
            </w:tcBorders>
            <w:shd w:val="clear" w:color="auto" w:fill="auto"/>
            <w:noWrap/>
            <w:vAlign w:val="bottom"/>
            <w:hideMark/>
          </w:tcPr>
          <w:p w14:paraId="73F6A854"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-0.019</w:t>
            </w:r>
          </w:p>
        </w:tc>
        <w:tc>
          <w:tcPr>
            <w:tcW w:w="1134" w:type="dxa"/>
            <w:gridSpan w:val="2"/>
            <w:tcBorders>
              <w:top w:val="nil"/>
              <w:left w:val="nil"/>
              <w:bottom w:val="nil"/>
              <w:right w:val="single" w:sz="4" w:space="0" w:color="auto"/>
            </w:tcBorders>
            <w:shd w:val="clear" w:color="auto" w:fill="auto"/>
            <w:noWrap/>
            <w:vAlign w:val="bottom"/>
            <w:hideMark/>
          </w:tcPr>
          <w:p w14:paraId="58A48C82"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(0.016)</w:t>
            </w:r>
          </w:p>
        </w:tc>
        <w:tc>
          <w:tcPr>
            <w:tcW w:w="1275" w:type="dxa"/>
            <w:gridSpan w:val="2"/>
            <w:tcBorders>
              <w:top w:val="nil"/>
              <w:left w:val="single" w:sz="4" w:space="0" w:color="auto"/>
              <w:bottom w:val="nil"/>
              <w:right w:val="nil"/>
            </w:tcBorders>
            <w:shd w:val="clear" w:color="auto" w:fill="auto"/>
            <w:noWrap/>
            <w:vAlign w:val="bottom"/>
            <w:hideMark/>
          </w:tcPr>
          <w:p w14:paraId="3BAF49F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-0.056***</w:t>
            </w:r>
          </w:p>
        </w:tc>
        <w:tc>
          <w:tcPr>
            <w:tcW w:w="1495" w:type="dxa"/>
            <w:gridSpan w:val="2"/>
            <w:tcBorders>
              <w:top w:val="nil"/>
              <w:left w:val="nil"/>
              <w:bottom w:val="nil"/>
              <w:right w:val="nil"/>
            </w:tcBorders>
            <w:shd w:val="clear" w:color="auto" w:fill="auto"/>
            <w:noWrap/>
            <w:vAlign w:val="bottom"/>
            <w:hideMark/>
          </w:tcPr>
          <w:p w14:paraId="4EB47FE9"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(0.005)</w:t>
            </w:r>
          </w:p>
        </w:tc>
      </w:tr>
      <w:tr w:rsidR="00117ECC" w:rsidRPr="00117ECC" w14:paraId="7F01FCFE" w14:textId="77777777" w:rsidTr="00AC133D">
        <w:trPr>
          <w:gridAfter w:val="1"/>
          <w:wAfter w:w="141" w:type="dxa"/>
          <w:trHeight w:val="300"/>
        </w:trPr>
        <w:tc>
          <w:tcPr>
            <w:tcW w:w="5529" w:type="dxa"/>
            <w:tcBorders>
              <w:top w:val="nil"/>
              <w:left w:val="nil"/>
              <w:bottom w:val="single" w:sz="4" w:space="0" w:color="auto"/>
              <w:right w:val="single" w:sz="4" w:space="0" w:color="auto"/>
            </w:tcBorders>
            <w:shd w:val="clear" w:color="auto" w:fill="auto"/>
            <w:noWrap/>
            <w:vAlign w:val="bottom"/>
            <w:hideMark/>
          </w:tcPr>
          <w:p w14:paraId="62E97C40"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134" w:type="dxa"/>
            <w:tcBorders>
              <w:top w:val="nil"/>
              <w:left w:val="single" w:sz="4" w:space="0" w:color="auto"/>
              <w:bottom w:val="single" w:sz="4" w:space="0" w:color="auto"/>
              <w:right w:val="nil"/>
            </w:tcBorders>
            <w:shd w:val="clear" w:color="auto" w:fill="auto"/>
            <w:noWrap/>
            <w:vAlign w:val="bottom"/>
            <w:hideMark/>
          </w:tcPr>
          <w:p w14:paraId="3250831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-0.115***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5C1A2AE"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(0.028)</w:t>
            </w:r>
          </w:p>
        </w:tc>
        <w:tc>
          <w:tcPr>
            <w:tcW w:w="1275" w:type="dxa"/>
            <w:gridSpan w:val="2"/>
            <w:tcBorders>
              <w:top w:val="nil"/>
              <w:left w:val="single" w:sz="4" w:space="0" w:color="auto"/>
              <w:bottom w:val="single" w:sz="4" w:space="0" w:color="auto"/>
              <w:right w:val="nil"/>
            </w:tcBorders>
            <w:shd w:val="clear" w:color="auto" w:fill="auto"/>
            <w:noWrap/>
            <w:vAlign w:val="bottom"/>
            <w:hideMark/>
          </w:tcPr>
          <w:p w14:paraId="008AD63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-0.123***</w:t>
            </w:r>
          </w:p>
        </w:tc>
        <w:tc>
          <w:tcPr>
            <w:tcW w:w="1495" w:type="dxa"/>
            <w:gridSpan w:val="2"/>
            <w:tcBorders>
              <w:top w:val="nil"/>
              <w:left w:val="nil"/>
              <w:bottom w:val="single" w:sz="4" w:space="0" w:color="auto"/>
              <w:right w:val="nil"/>
            </w:tcBorders>
            <w:shd w:val="clear" w:color="auto" w:fill="auto"/>
            <w:noWrap/>
            <w:vAlign w:val="bottom"/>
            <w:hideMark/>
          </w:tcPr>
          <w:p w14:paraId="6947B54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(0.009)</w:t>
            </w:r>
          </w:p>
        </w:tc>
      </w:tr>
      <w:tr w:rsidR="00117ECC" w:rsidRPr="00117ECC" w14:paraId="4478C823" w14:textId="77777777" w:rsidTr="00AC133D">
        <w:trPr>
          <w:gridAfter w:val="1"/>
          <w:wAfter w:w="141" w:type="dxa"/>
          <w:trHeight w:val="300"/>
        </w:trPr>
        <w:tc>
          <w:tcPr>
            <w:tcW w:w="10567" w:type="dxa"/>
            <w:gridSpan w:val="8"/>
            <w:tcBorders>
              <w:top w:val="single" w:sz="4" w:space="0" w:color="auto"/>
              <w:left w:val="nil"/>
              <w:bottom w:val="nil"/>
              <w:right w:val="nil"/>
            </w:tcBorders>
            <w:shd w:val="clear" w:color="auto" w:fill="auto"/>
            <w:noWrap/>
            <w:vAlign w:val="bottom"/>
            <w:hideMark/>
          </w:tcPr>
          <w:p w14:paraId="0A539B48" w14:textId="77777777" w:rsidR="00117ECC" w:rsidRPr="00117ECC" w:rsidRDefault="00117ECC" w:rsidP="009C7054">
            <w:pPr>
              <w:spacing w:line="480" w:lineRule="auto"/>
              <w:jc w:val="center"/>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TOP4 subcategories of causes of morbidity in the developing countries</w:t>
            </w:r>
          </w:p>
        </w:tc>
      </w:tr>
      <w:tr w:rsidR="00117ECC" w:rsidRPr="00117ECC" w14:paraId="112F9ACD" w14:textId="77777777" w:rsidTr="00AC133D">
        <w:trPr>
          <w:gridAfter w:val="1"/>
          <w:wAfter w:w="141" w:type="dxa"/>
          <w:trHeight w:val="300"/>
        </w:trPr>
        <w:tc>
          <w:tcPr>
            <w:tcW w:w="5529" w:type="dxa"/>
            <w:tcBorders>
              <w:top w:val="nil"/>
              <w:left w:val="nil"/>
              <w:bottom w:val="nil"/>
              <w:right w:val="single" w:sz="4" w:space="0" w:color="auto"/>
            </w:tcBorders>
            <w:shd w:val="clear" w:color="auto" w:fill="auto"/>
            <w:noWrap/>
            <w:vAlign w:val="bottom"/>
            <w:hideMark/>
          </w:tcPr>
          <w:p w14:paraId="68A2BC48"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Diarr+LRI+others</w:t>
            </w:r>
          </w:p>
        </w:tc>
        <w:tc>
          <w:tcPr>
            <w:tcW w:w="1134" w:type="dxa"/>
            <w:tcBorders>
              <w:top w:val="nil"/>
              <w:left w:val="single" w:sz="4" w:space="0" w:color="auto"/>
              <w:right w:val="nil"/>
            </w:tcBorders>
            <w:shd w:val="clear" w:color="auto" w:fill="auto"/>
            <w:noWrap/>
            <w:vAlign w:val="bottom"/>
            <w:hideMark/>
          </w:tcPr>
          <w:p w14:paraId="461E00A1"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right w:val="single" w:sz="4" w:space="0" w:color="auto"/>
            </w:tcBorders>
            <w:shd w:val="clear" w:color="auto" w:fill="auto"/>
            <w:noWrap/>
            <w:vAlign w:val="bottom"/>
            <w:hideMark/>
          </w:tcPr>
          <w:p w14:paraId="080AFE9A"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right w:val="nil"/>
            </w:tcBorders>
            <w:shd w:val="clear" w:color="auto" w:fill="auto"/>
            <w:noWrap/>
            <w:vAlign w:val="bottom"/>
            <w:hideMark/>
          </w:tcPr>
          <w:p w14:paraId="28D612D1"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right w:val="nil"/>
            </w:tcBorders>
            <w:shd w:val="clear" w:color="auto" w:fill="auto"/>
            <w:noWrap/>
            <w:vAlign w:val="bottom"/>
            <w:hideMark/>
          </w:tcPr>
          <w:p w14:paraId="379CB098"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2D35CA93"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6A526D4E"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275" w:type="dxa"/>
            <w:gridSpan w:val="2"/>
            <w:tcBorders>
              <w:top w:val="nil"/>
              <w:left w:val="single" w:sz="4" w:space="0" w:color="auto"/>
              <w:bottom w:val="nil"/>
              <w:right w:val="nil"/>
            </w:tcBorders>
            <w:shd w:val="clear" w:color="auto" w:fill="auto"/>
            <w:noWrap/>
            <w:vAlign w:val="bottom"/>
            <w:hideMark/>
          </w:tcPr>
          <w:p w14:paraId="77384A6F"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0.012</w:t>
            </w:r>
          </w:p>
        </w:tc>
        <w:tc>
          <w:tcPr>
            <w:tcW w:w="1134" w:type="dxa"/>
            <w:gridSpan w:val="2"/>
            <w:tcBorders>
              <w:top w:val="nil"/>
              <w:left w:val="nil"/>
              <w:bottom w:val="nil"/>
              <w:right w:val="single" w:sz="4" w:space="0" w:color="auto"/>
            </w:tcBorders>
            <w:shd w:val="clear" w:color="auto" w:fill="auto"/>
            <w:noWrap/>
            <w:vAlign w:val="bottom"/>
            <w:hideMark/>
          </w:tcPr>
          <w:p w14:paraId="458C834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(0.008)</w:t>
            </w:r>
          </w:p>
        </w:tc>
        <w:tc>
          <w:tcPr>
            <w:tcW w:w="1275" w:type="dxa"/>
            <w:gridSpan w:val="2"/>
            <w:tcBorders>
              <w:top w:val="nil"/>
              <w:left w:val="single" w:sz="4" w:space="0" w:color="auto"/>
              <w:bottom w:val="nil"/>
              <w:right w:val="nil"/>
            </w:tcBorders>
            <w:shd w:val="clear" w:color="auto" w:fill="auto"/>
            <w:noWrap/>
            <w:vAlign w:val="bottom"/>
            <w:hideMark/>
          </w:tcPr>
          <w:p w14:paraId="3A94231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0.009***</w:t>
            </w:r>
          </w:p>
        </w:tc>
        <w:tc>
          <w:tcPr>
            <w:tcW w:w="1495" w:type="dxa"/>
            <w:gridSpan w:val="2"/>
            <w:tcBorders>
              <w:top w:val="nil"/>
              <w:left w:val="nil"/>
              <w:bottom w:val="nil"/>
              <w:right w:val="nil"/>
            </w:tcBorders>
            <w:shd w:val="clear" w:color="auto" w:fill="auto"/>
            <w:noWrap/>
            <w:vAlign w:val="bottom"/>
            <w:hideMark/>
          </w:tcPr>
          <w:p w14:paraId="6011FD78"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(0.002)</w:t>
            </w:r>
          </w:p>
        </w:tc>
      </w:tr>
      <w:tr w:rsidR="00117ECC" w:rsidRPr="00117ECC" w14:paraId="079C49FB"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03A9250D"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lastRenderedPageBreak/>
              <w:t>2010</w:t>
            </w:r>
          </w:p>
        </w:tc>
        <w:tc>
          <w:tcPr>
            <w:tcW w:w="1275" w:type="dxa"/>
            <w:gridSpan w:val="2"/>
            <w:tcBorders>
              <w:top w:val="nil"/>
              <w:left w:val="single" w:sz="4" w:space="0" w:color="auto"/>
              <w:bottom w:val="nil"/>
              <w:right w:val="nil"/>
            </w:tcBorders>
            <w:shd w:val="clear" w:color="auto" w:fill="auto"/>
            <w:noWrap/>
            <w:vAlign w:val="bottom"/>
            <w:hideMark/>
          </w:tcPr>
          <w:p w14:paraId="0AFF075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0.007***</w:t>
            </w:r>
          </w:p>
        </w:tc>
        <w:tc>
          <w:tcPr>
            <w:tcW w:w="1134" w:type="dxa"/>
            <w:gridSpan w:val="2"/>
            <w:tcBorders>
              <w:top w:val="nil"/>
              <w:left w:val="nil"/>
              <w:bottom w:val="nil"/>
              <w:right w:val="single" w:sz="4" w:space="0" w:color="auto"/>
            </w:tcBorders>
            <w:shd w:val="clear" w:color="auto" w:fill="auto"/>
            <w:noWrap/>
            <w:vAlign w:val="bottom"/>
            <w:hideMark/>
          </w:tcPr>
          <w:p w14:paraId="74C86C9D"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(0.001)</w:t>
            </w:r>
          </w:p>
        </w:tc>
        <w:tc>
          <w:tcPr>
            <w:tcW w:w="1275" w:type="dxa"/>
            <w:gridSpan w:val="2"/>
            <w:tcBorders>
              <w:top w:val="nil"/>
              <w:left w:val="single" w:sz="4" w:space="0" w:color="auto"/>
              <w:bottom w:val="nil"/>
              <w:right w:val="nil"/>
            </w:tcBorders>
            <w:shd w:val="clear" w:color="auto" w:fill="auto"/>
            <w:noWrap/>
            <w:vAlign w:val="bottom"/>
            <w:hideMark/>
          </w:tcPr>
          <w:p w14:paraId="47FBBA19"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0.008***</w:t>
            </w:r>
          </w:p>
        </w:tc>
        <w:tc>
          <w:tcPr>
            <w:tcW w:w="1495" w:type="dxa"/>
            <w:gridSpan w:val="2"/>
            <w:tcBorders>
              <w:top w:val="nil"/>
              <w:left w:val="nil"/>
              <w:bottom w:val="nil"/>
              <w:right w:val="nil"/>
            </w:tcBorders>
            <w:shd w:val="clear" w:color="auto" w:fill="auto"/>
            <w:noWrap/>
            <w:vAlign w:val="bottom"/>
            <w:hideMark/>
          </w:tcPr>
          <w:p w14:paraId="1F1F1CB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(0.000)</w:t>
            </w:r>
          </w:p>
        </w:tc>
      </w:tr>
      <w:tr w:rsidR="00117ECC" w:rsidRPr="00117ECC" w14:paraId="121B2F74"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11CEE4F3"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Neonatal disorders</w:t>
            </w:r>
          </w:p>
        </w:tc>
        <w:tc>
          <w:tcPr>
            <w:tcW w:w="1275" w:type="dxa"/>
            <w:gridSpan w:val="2"/>
            <w:tcBorders>
              <w:top w:val="nil"/>
              <w:left w:val="single" w:sz="4" w:space="0" w:color="auto"/>
              <w:bottom w:val="nil"/>
              <w:right w:val="nil"/>
            </w:tcBorders>
            <w:shd w:val="clear" w:color="auto" w:fill="auto"/>
            <w:noWrap/>
            <w:vAlign w:val="bottom"/>
            <w:hideMark/>
          </w:tcPr>
          <w:p w14:paraId="4931EBAF"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1B2B7543"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6D3E5943"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0BF35BF3"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60073CA7"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37F8352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  (no obs)</w:t>
            </w:r>
          </w:p>
        </w:tc>
        <w:tc>
          <w:tcPr>
            <w:tcW w:w="1275" w:type="dxa"/>
            <w:gridSpan w:val="2"/>
            <w:tcBorders>
              <w:top w:val="nil"/>
              <w:left w:val="single" w:sz="4" w:space="0" w:color="auto"/>
              <w:bottom w:val="nil"/>
              <w:right w:val="nil"/>
            </w:tcBorders>
            <w:shd w:val="clear" w:color="auto" w:fill="auto"/>
            <w:noWrap/>
            <w:vAlign w:val="bottom"/>
            <w:hideMark/>
          </w:tcPr>
          <w:p w14:paraId="481B1179"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missing</w:t>
            </w:r>
          </w:p>
        </w:tc>
        <w:tc>
          <w:tcPr>
            <w:tcW w:w="1134" w:type="dxa"/>
            <w:gridSpan w:val="2"/>
            <w:tcBorders>
              <w:top w:val="nil"/>
              <w:left w:val="nil"/>
              <w:bottom w:val="nil"/>
              <w:right w:val="single" w:sz="4" w:space="0" w:color="auto"/>
            </w:tcBorders>
            <w:shd w:val="clear" w:color="auto" w:fill="auto"/>
            <w:noWrap/>
            <w:vAlign w:val="bottom"/>
            <w:hideMark/>
          </w:tcPr>
          <w:p w14:paraId="517A2AAB"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56C3C88C"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missing</w:t>
            </w:r>
          </w:p>
        </w:tc>
        <w:tc>
          <w:tcPr>
            <w:tcW w:w="1495" w:type="dxa"/>
            <w:gridSpan w:val="2"/>
            <w:tcBorders>
              <w:top w:val="nil"/>
              <w:left w:val="nil"/>
              <w:bottom w:val="nil"/>
              <w:right w:val="nil"/>
            </w:tcBorders>
            <w:shd w:val="clear" w:color="auto" w:fill="auto"/>
            <w:noWrap/>
            <w:vAlign w:val="bottom"/>
            <w:hideMark/>
          </w:tcPr>
          <w:p w14:paraId="2FF18850" w14:textId="77777777" w:rsidR="00117ECC" w:rsidRPr="00117ECC" w:rsidRDefault="00117ECC" w:rsidP="009C7054">
            <w:pPr>
              <w:spacing w:line="480" w:lineRule="auto"/>
              <w:rPr>
                <w:rFonts w:eastAsia="Times New Roman" w:cs="Times New Roman"/>
                <w:color w:val="000000"/>
                <w:sz w:val="22"/>
                <w:szCs w:val="22"/>
                <w:lang w:val="en-GB" w:eastAsia="en-GB"/>
              </w:rPr>
            </w:pPr>
          </w:p>
        </w:tc>
      </w:tr>
      <w:tr w:rsidR="00117ECC" w:rsidRPr="00117ECC" w14:paraId="4538582C"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10AEB979"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275" w:type="dxa"/>
            <w:gridSpan w:val="2"/>
            <w:tcBorders>
              <w:top w:val="nil"/>
              <w:left w:val="single" w:sz="4" w:space="0" w:color="auto"/>
              <w:bottom w:val="nil"/>
              <w:right w:val="nil"/>
            </w:tcBorders>
            <w:shd w:val="clear" w:color="auto" w:fill="auto"/>
            <w:noWrap/>
            <w:vAlign w:val="bottom"/>
            <w:hideMark/>
          </w:tcPr>
          <w:p w14:paraId="1A0E1287"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-0.347**</w:t>
            </w:r>
          </w:p>
        </w:tc>
        <w:tc>
          <w:tcPr>
            <w:tcW w:w="1134" w:type="dxa"/>
            <w:gridSpan w:val="2"/>
            <w:tcBorders>
              <w:top w:val="nil"/>
              <w:left w:val="nil"/>
              <w:bottom w:val="nil"/>
              <w:right w:val="single" w:sz="4" w:space="0" w:color="auto"/>
            </w:tcBorders>
            <w:shd w:val="clear" w:color="auto" w:fill="auto"/>
            <w:noWrap/>
            <w:vAlign w:val="bottom"/>
            <w:hideMark/>
          </w:tcPr>
          <w:p w14:paraId="28E98808"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(0.140)</w:t>
            </w:r>
          </w:p>
        </w:tc>
        <w:tc>
          <w:tcPr>
            <w:tcW w:w="1275" w:type="dxa"/>
            <w:gridSpan w:val="2"/>
            <w:tcBorders>
              <w:top w:val="nil"/>
              <w:left w:val="single" w:sz="4" w:space="0" w:color="auto"/>
              <w:bottom w:val="nil"/>
              <w:right w:val="nil"/>
            </w:tcBorders>
            <w:shd w:val="clear" w:color="auto" w:fill="auto"/>
            <w:noWrap/>
            <w:vAlign w:val="bottom"/>
            <w:hideMark/>
          </w:tcPr>
          <w:p w14:paraId="22145D38"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-0.125***</w:t>
            </w:r>
          </w:p>
        </w:tc>
        <w:tc>
          <w:tcPr>
            <w:tcW w:w="1495" w:type="dxa"/>
            <w:gridSpan w:val="2"/>
            <w:tcBorders>
              <w:top w:val="nil"/>
              <w:left w:val="nil"/>
              <w:bottom w:val="nil"/>
              <w:right w:val="nil"/>
            </w:tcBorders>
            <w:shd w:val="clear" w:color="auto" w:fill="auto"/>
            <w:noWrap/>
            <w:vAlign w:val="bottom"/>
            <w:hideMark/>
          </w:tcPr>
          <w:p w14:paraId="0248FDAC"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(0.028)</w:t>
            </w:r>
          </w:p>
        </w:tc>
      </w:tr>
      <w:tr w:rsidR="00117ECC" w:rsidRPr="00117ECC" w14:paraId="560A0C12"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1D9B5BAB"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Cardiovascular and circulatory diseases</w:t>
            </w:r>
          </w:p>
        </w:tc>
        <w:tc>
          <w:tcPr>
            <w:tcW w:w="1275" w:type="dxa"/>
            <w:gridSpan w:val="2"/>
            <w:tcBorders>
              <w:top w:val="nil"/>
              <w:left w:val="single" w:sz="4" w:space="0" w:color="auto"/>
              <w:bottom w:val="nil"/>
              <w:right w:val="nil"/>
            </w:tcBorders>
            <w:shd w:val="clear" w:color="auto" w:fill="auto"/>
            <w:noWrap/>
            <w:vAlign w:val="bottom"/>
            <w:hideMark/>
          </w:tcPr>
          <w:p w14:paraId="6C1864C4"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7EDEB580"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40E5EAE8"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4F71A66A"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16509E7E"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5A7DE707"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275" w:type="dxa"/>
            <w:gridSpan w:val="2"/>
            <w:tcBorders>
              <w:top w:val="nil"/>
              <w:left w:val="single" w:sz="4" w:space="0" w:color="auto"/>
              <w:bottom w:val="nil"/>
              <w:right w:val="nil"/>
            </w:tcBorders>
            <w:shd w:val="clear" w:color="auto" w:fill="auto"/>
            <w:noWrap/>
            <w:vAlign w:val="bottom"/>
            <w:hideMark/>
          </w:tcPr>
          <w:p w14:paraId="2B14E53D"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0.081***</w:t>
            </w:r>
          </w:p>
        </w:tc>
        <w:tc>
          <w:tcPr>
            <w:tcW w:w="1134" w:type="dxa"/>
            <w:gridSpan w:val="2"/>
            <w:tcBorders>
              <w:top w:val="nil"/>
              <w:left w:val="nil"/>
              <w:bottom w:val="nil"/>
              <w:right w:val="single" w:sz="4" w:space="0" w:color="auto"/>
            </w:tcBorders>
            <w:shd w:val="clear" w:color="auto" w:fill="auto"/>
            <w:noWrap/>
            <w:vAlign w:val="bottom"/>
            <w:hideMark/>
          </w:tcPr>
          <w:p w14:paraId="5BAB2C0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(0.030)</w:t>
            </w:r>
          </w:p>
        </w:tc>
        <w:tc>
          <w:tcPr>
            <w:tcW w:w="1275" w:type="dxa"/>
            <w:gridSpan w:val="2"/>
            <w:tcBorders>
              <w:top w:val="nil"/>
              <w:left w:val="single" w:sz="4" w:space="0" w:color="auto"/>
              <w:bottom w:val="nil"/>
              <w:right w:val="nil"/>
            </w:tcBorders>
            <w:shd w:val="clear" w:color="auto" w:fill="auto"/>
            <w:noWrap/>
            <w:vAlign w:val="bottom"/>
            <w:hideMark/>
          </w:tcPr>
          <w:p w14:paraId="50C3E9D8"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0.062***</w:t>
            </w:r>
          </w:p>
        </w:tc>
        <w:tc>
          <w:tcPr>
            <w:tcW w:w="1495" w:type="dxa"/>
            <w:gridSpan w:val="2"/>
            <w:tcBorders>
              <w:top w:val="nil"/>
              <w:left w:val="nil"/>
              <w:bottom w:val="nil"/>
              <w:right w:val="nil"/>
            </w:tcBorders>
            <w:shd w:val="clear" w:color="auto" w:fill="auto"/>
            <w:noWrap/>
            <w:vAlign w:val="bottom"/>
            <w:hideMark/>
          </w:tcPr>
          <w:p w14:paraId="06EEE84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(0.006)</w:t>
            </w:r>
          </w:p>
        </w:tc>
      </w:tr>
      <w:tr w:rsidR="00117ECC" w:rsidRPr="00117ECC" w14:paraId="3F4454BC"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2DDD06F0"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275" w:type="dxa"/>
            <w:gridSpan w:val="2"/>
            <w:tcBorders>
              <w:top w:val="nil"/>
              <w:left w:val="single" w:sz="4" w:space="0" w:color="auto"/>
              <w:bottom w:val="nil"/>
              <w:right w:val="nil"/>
            </w:tcBorders>
            <w:shd w:val="clear" w:color="auto" w:fill="auto"/>
            <w:noWrap/>
            <w:vAlign w:val="bottom"/>
            <w:hideMark/>
          </w:tcPr>
          <w:p w14:paraId="136003C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0.048***</w:t>
            </w:r>
          </w:p>
        </w:tc>
        <w:tc>
          <w:tcPr>
            <w:tcW w:w="1134" w:type="dxa"/>
            <w:gridSpan w:val="2"/>
            <w:tcBorders>
              <w:top w:val="nil"/>
              <w:left w:val="nil"/>
              <w:bottom w:val="nil"/>
              <w:right w:val="single" w:sz="4" w:space="0" w:color="auto"/>
            </w:tcBorders>
            <w:shd w:val="clear" w:color="auto" w:fill="auto"/>
            <w:noWrap/>
            <w:vAlign w:val="bottom"/>
            <w:hideMark/>
          </w:tcPr>
          <w:p w14:paraId="657C9911"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(0.048)</w:t>
            </w:r>
          </w:p>
        </w:tc>
        <w:tc>
          <w:tcPr>
            <w:tcW w:w="1275" w:type="dxa"/>
            <w:gridSpan w:val="2"/>
            <w:tcBorders>
              <w:top w:val="nil"/>
              <w:left w:val="single" w:sz="4" w:space="0" w:color="auto"/>
              <w:bottom w:val="nil"/>
              <w:right w:val="nil"/>
            </w:tcBorders>
            <w:shd w:val="clear" w:color="auto" w:fill="auto"/>
            <w:noWrap/>
            <w:vAlign w:val="bottom"/>
            <w:hideMark/>
          </w:tcPr>
          <w:p w14:paraId="7809037B"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0.044***</w:t>
            </w:r>
          </w:p>
        </w:tc>
        <w:tc>
          <w:tcPr>
            <w:tcW w:w="1495" w:type="dxa"/>
            <w:gridSpan w:val="2"/>
            <w:tcBorders>
              <w:top w:val="nil"/>
              <w:left w:val="nil"/>
              <w:bottom w:val="nil"/>
              <w:right w:val="nil"/>
            </w:tcBorders>
            <w:shd w:val="clear" w:color="auto" w:fill="auto"/>
            <w:noWrap/>
            <w:vAlign w:val="bottom"/>
            <w:hideMark/>
          </w:tcPr>
          <w:p w14:paraId="0CD76B84"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(0.001)</w:t>
            </w:r>
          </w:p>
        </w:tc>
      </w:tr>
      <w:tr w:rsidR="00117ECC" w:rsidRPr="00117ECC" w14:paraId="7BF6313F"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3B73897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Nutritional deficiencies (no obs)</w:t>
            </w:r>
          </w:p>
        </w:tc>
        <w:tc>
          <w:tcPr>
            <w:tcW w:w="1275" w:type="dxa"/>
            <w:gridSpan w:val="2"/>
            <w:tcBorders>
              <w:top w:val="nil"/>
              <w:left w:val="single" w:sz="4" w:space="0" w:color="auto"/>
              <w:bottom w:val="nil"/>
              <w:right w:val="nil"/>
            </w:tcBorders>
            <w:shd w:val="clear" w:color="auto" w:fill="auto"/>
            <w:noWrap/>
            <w:vAlign w:val="bottom"/>
            <w:hideMark/>
          </w:tcPr>
          <w:p w14:paraId="5A6D538D"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2F2B2057"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24847476"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087497F4"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08E4EB57"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2ECC3446"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275" w:type="dxa"/>
            <w:gridSpan w:val="2"/>
            <w:tcBorders>
              <w:top w:val="nil"/>
              <w:left w:val="single" w:sz="4" w:space="0" w:color="auto"/>
              <w:bottom w:val="nil"/>
              <w:right w:val="nil"/>
            </w:tcBorders>
            <w:shd w:val="clear" w:color="auto" w:fill="auto"/>
            <w:noWrap/>
            <w:vAlign w:val="bottom"/>
            <w:hideMark/>
          </w:tcPr>
          <w:p w14:paraId="6AFE3AF7"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missing</w:t>
            </w:r>
          </w:p>
        </w:tc>
        <w:tc>
          <w:tcPr>
            <w:tcW w:w="1134" w:type="dxa"/>
            <w:gridSpan w:val="2"/>
            <w:tcBorders>
              <w:top w:val="nil"/>
              <w:left w:val="nil"/>
              <w:bottom w:val="nil"/>
              <w:right w:val="single" w:sz="4" w:space="0" w:color="auto"/>
            </w:tcBorders>
            <w:shd w:val="clear" w:color="auto" w:fill="auto"/>
            <w:noWrap/>
            <w:vAlign w:val="bottom"/>
            <w:hideMark/>
          </w:tcPr>
          <w:p w14:paraId="36291842"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61945FA3"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missing</w:t>
            </w:r>
          </w:p>
        </w:tc>
        <w:tc>
          <w:tcPr>
            <w:tcW w:w="1495" w:type="dxa"/>
            <w:gridSpan w:val="2"/>
            <w:tcBorders>
              <w:top w:val="nil"/>
              <w:left w:val="nil"/>
              <w:bottom w:val="nil"/>
              <w:right w:val="nil"/>
            </w:tcBorders>
            <w:shd w:val="clear" w:color="auto" w:fill="auto"/>
            <w:noWrap/>
            <w:vAlign w:val="bottom"/>
            <w:hideMark/>
          </w:tcPr>
          <w:p w14:paraId="1425CAE2" w14:textId="77777777" w:rsidR="00117ECC" w:rsidRPr="00117ECC" w:rsidRDefault="00117ECC" w:rsidP="009C7054">
            <w:pPr>
              <w:spacing w:line="480" w:lineRule="auto"/>
              <w:rPr>
                <w:rFonts w:eastAsia="Times New Roman" w:cs="Times New Roman"/>
                <w:color w:val="000000"/>
                <w:sz w:val="22"/>
                <w:szCs w:val="22"/>
                <w:lang w:val="en-GB" w:eastAsia="en-GB"/>
              </w:rPr>
            </w:pPr>
          </w:p>
        </w:tc>
      </w:tr>
      <w:tr w:rsidR="00117ECC" w:rsidRPr="00117ECC" w14:paraId="291080B6"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512514AA"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275" w:type="dxa"/>
            <w:gridSpan w:val="2"/>
            <w:tcBorders>
              <w:top w:val="nil"/>
              <w:left w:val="single" w:sz="4" w:space="0" w:color="auto"/>
              <w:bottom w:val="nil"/>
              <w:right w:val="nil"/>
            </w:tcBorders>
            <w:shd w:val="clear" w:color="auto" w:fill="auto"/>
            <w:noWrap/>
            <w:vAlign w:val="bottom"/>
            <w:hideMark/>
          </w:tcPr>
          <w:p w14:paraId="1696901B"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missing</w:t>
            </w:r>
          </w:p>
        </w:tc>
        <w:tc>
          <w:tcPr>
            <w:tcW w:w="1134" w:type="dxa"/>
            <w:gridSpan w:val="2"/>
            <w:tcBorders>
              <w:top w:val="nil"/>
              <w:left w:val="nil"/>
              <w:bottom w:val="nil"/>
              <w:right w:val="single" w:sz="4" w:space="0" w:color="auto"/>
            </w:tcBorders>
            <w:shd w:val="clear" w:color="auto" w:fill="auto"/>
            <w:noWrap/>
            <w:vAlign w:val="bottom"/>
            <w:hideMark/>
          </w:tcPr>
          <w:p w14:paraId="29232730"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44A32BF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missing</w:t>
            </w:r>
          </w:p>
        </w:tc>
        <w:tc>
          <w:tcPr>
            <w:tcW w:w="1495" w:type="dxa"/>
            <w:gridSpan w:val="2"/>
            <w:tcBorders>
              <w:top w:val="nil"/>
              <w:left w:val="nil"/>
              <w:bottom w:val="nil"/>
              <w:right w:val="nil"/>
            </w:tcBorders>
            <w:shd w:val="clear" w:color="auto" w:fill="auto"/>
            <w:noWrap/>
            <w:vAlign w:val="bottom"/>
            <w:hideMark/>
          </w:tcPr>
          <w:p w14:paraId="42D96550" w14:textId="77777777" w:rsidR="00117ECC" w:rsidRPr="00117ECC" w:rsidRDefault="00117ECC" w:rsidP="009C7054">
            <w:pPr>
              <w:spacing w:line="480" w:lineRule="auto"/>
              <w:rPr>
                <w:rFonts w:eastAsia="Times New Roman" w:cs="Times New Roman"/>
                <w:color w:val="000000"/>
                <w:sz w:val="22"/>
                <w:szCs w:val="22"/>
                <w:lang w:val="en-GB" w:eastAsia="en-GB"/>
              </w:rPr>
            </w:pPr>
          </w:p>
        </w:tc>
      </w:tr>
      <w:tr w:rsidR="00117ECC" w:rsidRPr="00117ECC" w14:paraId="27633F2E"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7926870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Neglected tropical diseases + Malaria</w:t>
            </w:r>
          </w:p>
        </w:tc>
        <w:tc>
          <w:tcPr>
            <w:tcW w:w="1275" w:type="dxa"/>
            <w:gridSpan w:val="2"/>
            <w:tcBorders>
              <w:top w:val="nil"/>
              <w:left w:val="single" w:sz="4" w:space="0" w:color="auto"/>
              <w:bottom w:val="nil"/>
              <w:right w:val="nil"/>
            </w:tcBorders>
            <w:shd w:val="clear" w:color="auto" w:fill="auto"/>
            <w:noWrap/>
            <w:vAlign w:val="bottom"/>
            <w:hideMark/>
          </w:tcPr>
          <w:p w14:paraId="561616BE"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134" w:type="dxa"/>
            <w:gridSpan w:val="2"/>
            <w:tcBorders>
              <w:top w:val="nil"/>
              <w:left w:val="nil"/>
              <w:bottom w:val="nil"/>
              <w:right w:val="single" w:sz="4" w:space="0" w:color="auto"/>
            </w:tcBorders>
            <w:shd w:val="clear" w:color="auto" w:fill="auto"/>
            <w:noWrap/>
            <w:vAlign w:val="bottom"/>
            <w:hideMark/>
          </w:tcPr>
          <w:p w14:paraId="287347B9" w14:textId="77777777" w:rsidR="00117ECC" w:rsidRPr="00117ECC" w:rsidRDefault="00117ECC" w:rsidP="009C7054">
            <w:pPr>
              <w:spacing w:line="480" w:lineRule="auto"/>
              <w:rPr>
                <w:rFonts w:eastAsia="Times New Roman" w:cs="Times New Roman"/>
                <w:sz w:val="20"/>
                <w:szCs w:val="20"/>
                <w:lang w:val="en-GB" w:eastAsia="en-GB"/>
              </w:rPr>
            </w:pPr>
          </w:p>
        </w:tc>
        <w:tc>
          <w:tcPr>
            <w:tcW w:w="1275" w:type="dxa"/>
            <w:gridSpan w:val="2"/>
            <w:tcBorders>
              <w:top w:val="nil"/>
              <w:left w:val="single" w:sz="4" w:space="0" w:color="auto"/>
              <w:bottom w:val="nil"/>
              <w:right w:val="nil"/>
            </w:tcBorders>
            <w:shd w:val="clear" w:color="auto" w:fill="auto"/>
            <w:noWrap/>
            <w:vAlign w:val="bottom"/>
            <w:hideMark/>
          </w:tcPr>
          <w:p w14:paraId="69934FBC" w14:textId="77777777" w:rsidR="00117ECC" w:rsidRPr="00117ECC" w:rsidRDefault="00117ECC" w:rsidP="009C7054">
            <w:pPr>
              <w:spacing w:line="480" w:lineRule="auto"/>
              <w:rPr>
                <w:rFonts w:eastAsia="Times New Roman" w:cs="Times New Roman"/>
                <w:sz w:val="20"/>
                <w:szCs w:val="20"/>
                <w:lang w:val="en-GB" w:eastAsia="en-GB"/>
              </w:rPr>
            </w:pPr>
          </w:p>
        </w:tc>
        <w:tc>
          <w:tcPr>
            <w:tcW w:w="1495" w:type="dxa"/>
            <w:gridSpan w:val="2"/>
            <w:tcBorders>
              <w:top w:val="nil"/>
              <w:left w:val="nil"/>
              <w:bottom w:val="nil"/>
              <w:right w:val="nil"/>
            </w:tcBorders>
            <w:shd w:val="clear" w:color="auto" w:fill="auto"/>
            <w:noWrap/>
            <w:vAlign w:val="bottom"/>
            <w:hideMark/>
          </w:tcPr>
          <w:p w14:paraId="5366BCBB" w14:textId="77777777" w:rsidR="00117ECC" w:rsidRPr="00117ECC" w:rsidRDefault="00117ECC" w:rsidP="009C7054">
            <w:pPr>
              <w:spacing w:line="480" w:lineRule="auto"/>
              <w:rPr>
                <w:rFonts w:eastAsia="Times New Roman" w:cs="Times New Roman"/>
                <w:sz w:val="20"/>
                <w:szCs w:val="20"/>
                <w:lang w:val="en-GB" w:eastAsia="en-GB"/>
              </w:rPr>
            </w:pPr>
          </w:p>
        </w:tc>
      </w:tr>
      <w:tr w:rsidR="00117ECC" w:rsidRPr="00117ECC" w14:paraId="23EF9697" w14:textId="77777777" w:rsidTr="00AC133D">
        <w:trPr>
          <w:trHeight w:val="300"/>
        </w:trPr>
        <w:tc>
          <w:tcPr>
            <w:tcW w:w="5529" w:type="dxa"/>
            <w:tcBorders>
              <w:top w:val="nil"/>
              <w:left w:val="nil"/>
              <w:bottom w:val="nil"/>
              <w:right w:val="single" w:sz="4" w:space="0" w:color="auto"/>
            </w:tcBorders>
            <w:shd w:val="clear" w:color="auto" w:fill="auto"/>
            <w:noWrap/>
            <w:vAlign w:val="bottom"/>
            <w:hideMark/>
          </w:tcPr>
          <w:p w14:paraId="257B9B1C"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1990</w:t>
            </w:r>
          </w:p>
        </w:tc>
        <w:tc>
          <w:tcPr>
            <w:tcW w:w="1275" w:type="dxa"/>
            <w:gridSpan w:val="2"/>
            <w:tcBorders>
              <w:top w:val="nil"/>
              <w:left w:val="single" w:sz="4" w:space="0" w:color="auto"/>
              <w:bottom w:val="nil"/>
              <w:right w:val="nil"/>
            </w:tcBorders>
            <w:shd w:val="clear" w:color="auto" w:fill="auto"/>
            <w:noWrap/>
            <w:vAlign w:val="bottom"/>
            <w:hideMark/>
          </w:tcPr>
          <w:p w14:paraId="11FA3B05"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-0.048***</w:t>
            </w:r>
          </w:p>
        </w:tc>
        <w:tc>
          <w:tcPr>
            <w:tcW w:w="1134" w:type="dxa"/>
            <w:gridSpan w:val="2"/>
            <w:tcBorders>
              <w:top w:val="nil"/>
              <w:left w:val="nil"/>
              <w:bottom w:val="nil"/>
              <w:right w:val="single" w:sz="4" w:space="0" w:color="auto"/>
            </w:tcBorders>
            <w:shd w:val="clear" w:color="auto" w:fill="auto"/>
            <w:noWrap/>
            <w:vAlign w:val="bottom"/>
            <w:hideMark/>
          </w:tcPr>
          <w:p w14:paraId="47B6EAFC"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(0.004)</w:t>
            </w:r>
          </w:p>
        </w:tc>
        <w:tc>
          <w:tcPr>
            <w:tcW w:w="1275" w:type="dxa"/>
            <w:gridSpan w:val="2"/>
            <w:tcBorders>
              <w:top w:val="nil"/>
              <w:left w:val="single" w:sz="4" w:space="0" w:color="auto"/>
              <w:bottom w:val="nil"/>
              <w:right w:val="nil"/>
            </w:tcBorders>
            <w:shd w:val="clear" w:color="auto" w:fill="auto"/>
            <w:noWrap/>
            <w:vAlign w:val="bottom"/>
            <w:hideMark/>
          </w:tcPr>
          <w:p w14:paraId="4F6199EA"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-0.003***</w:t>
            </w:r>
          </w:p>
        </w:tc>
        <w:tc>
          <w:tcPr>
            <w:tcW w:w="1495" w:type="dxa"/>
            <w:gridSpan w:val="2"/>
            <w:tcBorders>
              <w:top w:val="nil"/>
              <w:left w:val="nil"/>
              <w:bottom w:val="nil"/>
              <w:right w:val="nil"/>
            </w:tcBorders>
            <w:shd w:val="clear" w:color="auto" w:fill="auto"/>
            <w:noWrap/>
            <w:vAlign w:val="bottom"/>
            <w:hideMark/>
          </w:tcPr>
          <w:p w14:paraId="6E5A9413"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(0.001)</w:t>
            </w:r>
          </w:p>
        </w:tc>
      </w:tr>
      <w:tr w:rsidR="00117ECC" w:rsidRPr="00117ECC" w14:paraId="2CD90272" w14:textId="77777777" w:rsidTr="00AC133D">
        <w:trPr>
          <w:trHeight w:val="300"/>
        </w:trPr>
        <w:tc>
          <w:tcPr>
            <w:tcW w:w="5529" w:type="dxa"/>
            <w:tcBorders>
              <w:top w:val="nil"/>
              <w:left w:val="nil"/>
              <w:bottom w:val="single" w:sz="4" w:space="0" w:color="auto"/>
              <w:right w:val="single" w:sz="4" w:space="0" w:color="auto"/>
            </w:tcBorders>
            <w:shd w:val="clear" w:color="auto" w:fill="auto"/>
            <w:noWrap/>
            <w:vAlign w:val="bottom"/>
            <w:hideMark/>
          </w:tcPr>
          <w:p w14:paraId="3970D1BC" w14:textId="77777777" w:rsidR="00117ECC" w:rsidRPr="00117ECC" w:rsidRDefault="00117ECC" w:rsidP="009C7054">
            <w:pPr>
              <w:spacing w:line="480" w:lineRule="auto"/>
              <w:jc w:val="right"/>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2010</w:t>
            </w:r>
          </w:p>
        </w:tc>
        <w:tc>
          <w:tcPr>
            <w:tcW w:w="1275" w:type="dxa"/>
            <w:gridSpan w:val="2"/>
            <w:tcBorders>
              <w:top w:val="nil"/>
              <w:left w:val="single" w:sz="4" w:space="0" w:color="auto"/>
              <w:bottom w:val="single" w:sz="4" w:space="0" w:color="auto"/>
              <w:right w:val="nil"/>
            </w:tcBorders>
            <w:shd w:val="clear" w:color="auto" w:fill="auto"/>
            <w:noWrap/>
            <w:vAlign w:val="bottom"/>
            <w:hideMark/>
          </w:tcPr>
          <w:p w14:paraId="382AD996"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 xml:space="preserve"> -0.024***</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EEA237C"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(0.005)</w:t>
            </w:r>
          </w:p>
        </w:tc>
        <w:tc>
          <w:tcPr>
            <w:tcW w:w="1275" w:type="dxa"/>
            <w:gridSpan w:val="2"/>
            <w:tcBorders>
              <w:top w:val="nil"/>
              <w:left w:val="single" w:sz="4" w:space="0" w:color="auto"/>
              <w:bottom w:val="single" w:sz="4" w:space="0" w:color="auto"/>
              <w:right w:val="nil"/>
            </w:tcBorders>
            <w:shd w:val="clear" w:color="auto" w:fill="auto"/>
            <w:noWrap/>
            <w:vAlign w:val="bottom"/>
            <w:hideMark/>
          </w:tcPr>
          <w:p w14:paraId="57603DA3"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 xml:space="preserve"> -0.005***</w:t>
            </w:r>
          </w:p>
        </w:tc>
        <w:tc>
          <w:tcPr>
            <w:tcW w:w="1495" w:type="dxa"/>
            <w:gridSpan w:val="2"/>
            <w:tcBorders>
              <w:top w:val="nil"/>
              <w:left w:val="nil"/>
              <w:bottom w:val="single" w:sz="4" w:space="0" w:color="auto"/>
              <w:right w:val="nil"/>
            </w:tcBorders>
            <w:shd w:val="clear" w:color="auto" w:fill="auto"/>
            <w:noWrap/>
            <w:vAlign w:val="bottom"/>
            <w:hideMark/>
          </w:tcPr>
          <w:p w14:paraId="22297E24"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(0.001)</w:t>
            </w:r>
          </w:p>
        </w:tc>
      </w:tr>
      <w:tr w:rsidR="00117ECC" w:rsidRPr="00117ECC" w14:paraId="4EA01C60" w14:textId="77777777" w:rsidTr="00AC133D">
        <w:trPr>
          <w:gridAfter w:val="1"/>
          <w:wAfter w:w="141" w:type="dxa"/>
          <w:trHeight w:val="300"/>
        </w:trPr>
        <w:tc>
          <w:tcPr>
            <w:tcW w:w="7797" w:type="dxa"/>
            <w:gridSpan w:val="4"/>
            <w:tcBorders>
              <w:top w:val="nil"/>
              <w:left w:val="nil"/>
              <w:bottom w:val="nil"/>
              <w:right w:val="nil"/>
            </w:tcBorders>
            <w:shd w:val="clear" w:color="auto" w:fill="auto"/>
            <w:noWrap/>
            <w:vAlign w:val="bottom"/>
            <w:hideMark/>
          </w:tcPr>
          <w:p w14:paraId="1C3FA150" w14:textId="77777777" w:rsidR="00117ECC" w:rsidRPr="00117ECC" w:rsidRDefault="00117ECC" w:rsidP="009C7054">
            <w:pPr>
              <w:spacing w:line="480" w:lineRule="auto"/>
              <w:rPr>
                <w:rFonts w:eastAsia="Times New Roman" w:cs="Times New Roman"/>
                <w:color w:val="000000"/>
                <w:sz w:val="22"/>
                <w:szCs w:val="22"/>
                <w:lang w:val="en-GB" w:eastAsia="en-GB"/>
              </w:rPr>
            </w:pPr>
            <w:r w:rsidRPr="00117ECC">
              <w:rPr>
                <w:rFonts w:eastAsia="Times New Roman" w:cs="Times New Roman"/>
                <w:color w:val="000000"/>
                <w:sz w:val="22"/>
                <w:szCs w:val="22"/>
                <w:lang w:val="en-GB" w:eastAsia="en-GB"/>
              </w:rPr>
              <w:t>Note: results from Kawkani index and Modified Wagstaff index are qualitatively similar.</w:t>
            </w:r>
          </w:p>
        </w:tc>
        <w:tc>
          <w:tcPr>
            <w:tcW w:w="1275" w:type="dxa"/>
            <w:gridSpan w:val="2"/>
            <w:tcBorders>
              <w:top w:val="nil"/>
              <w:left w:val="nil"/>
              <w:bottom w:val="nil"/>
              <w:right w:val="nil"/>
            </w:tcBorders>
            <w:shd w:val="clear" w:color="auto" w:fill="auto"/>
            <w:noWrap/>
            <w:vAlign w:val="bottom"/>
            <w:hideMark/>
          </w:tcPr>
          <w:p w14:paraId="501C41FE" w14:textId="77777777" w:rsidR="00117ECC" w:rsidRPr="00117ECC" w:rsidRDefault="00117ECC" w:rsidP="009C7054">
            <w:pPr>
              <w:spacing w:line="480" w:lineRule="auto"/>
              <w:rPr>
                <w:rFonts w:eastAsia="Times New Roman" w:cs="Times New Roman"/>
                <w:color w:val="000000"/>
                <w:sz w:val="22"/>
                <w:szCs w:val="22"/>
                <w:lang w:val="en-GB" w:eastAsia="en-GB"/>
              </w:rPr>
            </w:pPr>
          </w:p>
        </w:tc>
        <w:tc>
          <w:tcPr>
            <w:tcW w:w="1495" w:type="dxa"/>
            <w:gridSpan w:val="2"/>
            <w:tcBorders>
              <w:top w:val="nil"/>
              <w:left w:val="nil"/>
              <w:bottom w:val="nil"/>
              <w:right w:val="nil"/>
            </w:tcBorders>
            <w:shd w:val="clear" w:color="auto" w:fill="auto"/>
            <w:noWrap/>
            <w:vAlign w:val="bottom"/>
            <w:hideMark/>
          </w:tcPr>
          <w:p w14:paraId="671C957F" w14:textId="77777777" w:rsidR="00117ECC" w:rsidRPr="00117ECC" w:rsidRDefault="00117ECC" w:rsidP="009C7054">
            <w:pPr>
              <w:spacing w:line="480" w:lineRule="auto"/>
              <w:rPr>
                <w:rFonts w:eastAsia="Times New Roman" w:cs="Times New Roman"/>
                <w:sz w:val="20"/>
                <w:szCs w:val="20"/>
                <w:lang w:val="en-GB" w:eastAsia="en-GB"/>
              </w:rPr>
            </w:pPr>
          </w:p>
        </w:tc>
      </w:tr>
      <w:tr w:rsidR="00BF15E4" w:rsidRPr="00117ECC" w14:paraId="1C40A6C4" w14:textId="77777777" w:rsidTr="00AC133D">
        <w:trPr>
          <w:gridAfter w:val="1"/>
          <w:wAfter w:w="141" w:type="dxa"/>
          <w:trHeight w:val="300"/>
        </w:trPr>
        <w:tc>
          <w:tcPr>
            <w:tcW w:w="10567" w:type="dxa"/>
            <w:gridSpan w:val="8"/>
            <w:tcBorders>
              <w:top w:val="nil"/>
              <w:left w:val="nil"/>
              <w:bottom w:val="nil"/>
              <w:right w:val="nil"/>
            </w:tcBorders>
            <w:shd w:val="clear" w:color="auto" w:fill="auto"/>
            <w:noWrap/>
            <w:vAlign w:val="bottom"/>
            <w:hideMark/>
          </w:tcPr>
          <w:p w14:paraId="3FCCAC53" w14:textId="2DA9363A" w:rsidR="00BF15E4" w:rsidRDefault="00BF15E4" w:rsidP="009C7054">
            <w:pPr>
              <w:spacing w:line="480" w:lineRule="auto"/>
              <w:rPr>
                <w:rFonts w:eastAsia="Times New Roman" w:cs="Times New Roman"/>
                <w:color w:val="000000"/>
                <w:sz w:val="22"/>
                <w:szCs w:val="22"/>
                <w:lang w:val="en-GB" w:eastAsia="en-GB"/>
              </w:rPr>
            </w:pPr>
            <w:r w:rsidRPr="00BF15E4">
              <w:rPr>
                <w:rFonts w:cs="Times New Roman"/>
                <w:sz w:val="22"/>
                <w:szCs w:val="20"/>
              </w:rPr>
              <w:t>The categorization of developed and dev</w:t>
            </w:r>
            <w:r w:rsidR="00F40A31">
              <w:rPr>
                <w:rFonts w:cs="Times New Roman"/>
                <w:sz w:val="22"/>
                <w:szCs w:val="20"/>
              </w:rPr>
              <w:t>e</w:t>
            </w:r>
            <w:r w:rsidRPr="00BF15E4">
              <w:rPr>
                <w:rFonts w:cs="Times New Roman"/>
                <w:sz w:val="22"/>
                <w:szCs w:val="20"/>
              </w:rPr>
              <w:t xml:space="preserve">loping </w:t>
            </w:r>
            <w:r w:rsidR="00F40A31">
              <w:rPr>
                <w:rFonts w:cs="Times New Roman"/>
                <w:sz w:val="22"/>
                <w:szCs w:val="20"/>
              </w:rPr>
              <w:t>countries</w:t>
            </w:r>
            <w:r w:rsidR="00F40A31" w:rsidRPr="00BF15E4">
              <w:rPr>
                <w:rFonts w:cs="Times New Roman"/>
                <w:sz w:val="22"/>
                <w:szCs w:val="20"/>
              </w:rPr>
              <w:t xml:space="preserve"> </w:t>
            </w:r>
            <w:r w:rsidRPr="00BF15E4">
              <w:rPr>
                <w:rFonts w:cs="Times New Roman"/>
                <w:sz w:val="22"/>
                <w:szCs w:val="20"/>
              </w:rPr>
              <w:t>follows the United Nations</w:t>
            </w:r>
            <w:r>
              <w:rPr>
                <w:rFonts w:cs="Times New Roman"/>
                <w:sz w:val="22"/>
                <w:szCs w:val="20"/>
              </w:rPr>
              <w:t xml:space="preserve"> (United Nations, 2017) </w:t>
            </w:r>
            <w:r w:rsidRPr="00BF15E4">
              <w:rPr>
                <w:rFonts w:cs="Times New Roman"/>
                <w:sz w:val="22"/>
                <w:szCs w:val="20"/>
              </w:rPr>
              <w:t>classification available at http://unstats.un.org/unsd/methods/m49/m49regin.htm#developed.</w:t>
            </w:r>
          </w:p>
          <w:p w14:paraId="0904E7E3" w14:textId="29FBB7E8" w:rsidR="00BF15E4" w:rsidRPr="00117ECC" w:rsidRDefault="00BF15E4" w:rsidP="009C7054">
            <w:pPr>
              <w:spacing w:line="480" w:lineRule="auto"/>
              <w:rPr>
                <w:rFonts w:eastAsia="Times New Roman" w:cs="Times New Roman"/>
                <w:sz w:val="20"/>
                <w:szCs w:val="20"/>
                <w:lang w:val="en-GB" w:eastAsia="en-GB"/>
              </w:rPr>
            </w:pPr>
            <w:r w:rsidRPr="00117ECC">
              <w:rPr>
                <w:rFonts w:eastAsia="Times New Roman" w:cs="Times New Roman"/>
                <w:color w:val="000000"/>
                <w:sz w:val="22"/>
                <w:szCs w:val="22"/>
                <w:lang w:val="en-GB" w:eastAsia="en-GB"/>
              </w:rPr>
              <w:t>Standard Errors in parentheses.** p&lt;0.05, *** p&lt;0.01</w:t>
            </w:r>
          </w:p>
        </w:tc>
      </w:tr>
    </w:tbl>
    <w:p w14:paraId="6DD3421B" w14:textId="442CDBF4" w:rsidR="00117ECC" w:rsidRDefault="00117ECC" w:rsidP="009C7054">
      <w:pPr>
        <w:spacing w:line="480" w:lineRule="auto"/>
        <w:rPr>
          <w:rFonts w:cs="Times New Roman"/>
          <w:sz w:val="20"/>
          <w:szCs w:val="20"/>
        </w:rPr>
      </w:pPr>
      <w:r>
        <w:rPr>
          <w:rFonts w:cs="Times New Roman"/>
          <w:sz w:val="20"/>
          <w:szCs w:val="20"/>
        </w:rPr>
        <w:br w:type="page"/>
      </w:r>
    </w:p>
    <w:p w14:paraId="475A841E" w14:textId="1CD5F0CD" w:rsidR="001023E0" w:rsidRPr="007330C2" w:rsidRDefault="003043C1" w:rsidP="009C7054">
      <w:pPr>
        <w:spacing w:line="480" w:lineRule="auto"/>
        <w:jc w:val="both"/>
        <w:rPr>
          <w:rFonts w:cs="Times New Roman"/>
          <w:sz w:val="22"/>
          <w:szCs w:val="20"/>
        </w:rPr>
      </w:pPr>
      <w:r w:rsidRPr="007330C2">
        <w:rPr>
          <w:rFonts w:cs="Times New Roman"/>
          <w:sz w:val="22"/>
          <w:szCs w:val="20"/>
        </w:rPr>
        <w:lastRenderedPageBreak/>
        <w:t>Table V</w:t>
      </w:r>
      <w:r w:rsidR="005F69C3">
        <w:rPr>
          <w:rFonts w:cs="Times New Roman"/>
          <w:sz w:val="22"/>
          <w:szCs w:val="20"/>
        </w:rPr>
        <w:t>II</w:t>
      </w:r>
      <w:r w:rsidRPr="007330C2">
        <w:rPr>
          <w:rFonts w:cs="Times New Roman"/>
          <w:sz w:val="22"/>
          <w:szCs w:val="20"/>
        </w:rPr>
        <w:t>:</w:t>
      </w:r>
      <w:r w:rsidR="001023E0" w:rsidRPr="007330C2">
        <w:rPr>
          <w:rFonts w:cs="Times New Roman"/>
          <w:sz w:val="22"/>
          <w:szCs w:val="20"/>
        </w:rPr>
        <w:t xml:space="preserve"> Friedman test for diseases ranking: 1990 versus 2010</w:t>
      </w:r>
    </w:p>
    <w:tbl>
      <w:tblPr>
        <w:tblW w:w="9688" w:type="dxa"/>
        <w:tblInd w:w="-567" w:type="dxa"/>
        <w:tblLook w:val="04A0" w:firstRow="1" w:lastRow="0" w:firstColumn="1" w:lastColumn="0" w:noHBand="0" w:noVBand="1"/>
      </w:tblPr>
      <w:tblGrid>
        <w:gridCol w:w="5245"/>
        <w:gridCol w:w="1701"/>
        <w:gridCol w:w="1371"/>
        <w:gridCol w:w="1371"/>
      </w:tblGrid>
      <w:tr w:rsidR="00C32823" w:rsidRPr="00C32823" w14:paraId="7CD87EFD" w14:textId="77777777" w:rsidTr="00EF30C7">
        <w:trPr>
          <w:trHeight w:val="300"/>
        </w:trPr>
        <w:tc>
          <w:tcPr>
            <w:tcW w:w="9688" w:type="dxa"/>
            <w:gridSpan w:val="4"/>
            <w:tcBorders>
              <w:top w:val="single" w:sz="4" w:space="0" w:color="auto"/>
              <w:left w:val="nil"/>
              <w:bottom w:val="nil"/>
              <w:right w:val="nil"/>
            </w:tcBorders>
            <w:shd w:val="clear" w:color="auto" w:fill="auto"/>
            <w:noWrap/>
            <w:vAlign w:val="bottom"/>
            <w:hideMark/>
          </w:tcPr>
          <w:p w14:paraId="6F933155" w14:textId="77777777" w:rsidR="00C32823" w:rsidRPr="00C32823" w:rsidRDefault="00C32823" w:rsidP="009C7054">
            <w:pPr>
              <w:spacing w:line="480" w:lineRule="auto"/>
              <w:jc w:val="center"/>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Friedman test</w:t>
            </w:r>
          </w:p>
        </w:tc>
      </w:tr>
      <w:tr w:rsidR="00C32823" w:rsidRPr="00C32823" w14:paraId="554FAFDD" w14:textId="77777777" w:rsidTr="00EF30C7">
        <w:trPr>
          <w:trHeight w:val="300"/>
        </w:trPr>
        <w:tc>
          <w:tcPr>
            <w:tcW w:w="5245" w:type="dxa"/>
            <w:tcBorders>
              <w:top w:val="nil"/>
              <w:left w:val="nil"/>
              <w:bottom w:val="single" w:sz="4" w:space="0" w:color="auto"/>
              <w:right w:val="nil"/>
            </w:tcBorders>
            <w:shd w:val="clear" w:color="auto" w:fill="auto"/>
            <w:noWrap/>
            <w:vAlign w:val="bottom"/>
            <w:hideMark/>
          </w:tcPr>
          <w:p w14:paraId="188CAC85"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Disease ranking 1990 versus disease ranking 2010</w:t>
            </w:r>
          </w:p>
        </w:tc>
        <w:tc>
          <w:tcPr>
            <w:tcW w:w="1701" w:type="dxa"/>
            <w:tcBorders>
              <w:top w:val="nil"/>
              <w:left w:val="nil"/>
              <w:bottom w:val="single" w:sz="4" w:space="0" w:color="auto"/>
              <w:right w:val="nil"/>
            </w:tcBorders>
            <w:shd w:val="clear" w:color="auto" w:fill="auto"/>
            <w:noWrap/>
            <w:vAlign w:val="bottom"/>
            <w:hideMark/>
          </w:tcPr>
          <w:p w14:paraId="67C3207D"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Disease burden</w:t>
            </w:r>
          </w:p>
        </w:tc>
        <w:tc>
          <w:tcPr>
            <w:tcW w:w="1371" w:type="dxa"/>
            <w:tcBorders>
              <w:top w:val="nil"/>
              <w:left w:val="nil"/>
              <w:bottom w:val="single" w:sz="4" w:space="0" w:color="auto"/>
              <w:right w:val="nil"/>
            </w:tcBorders>
            <w:shd w:val="clear" w:color="auto" w:fill="auto"/>
            <w:noWrap/>
            <w:vAlign w:val="bottom"/>
            <w:hideMark/>
          </w:tcPr>
          <w:p w14:paraId="43C241C3"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Market Size</w:t>
            </w:r>
          </w:p>
        </w:tc>
        <w:tc>
          <w:tcPr>
            <w:tcW w:w="1371" w:type="dxa"/>
            <w:tcBorders>
              <w:top w:val="nil"/>
              <w:left w:val="nil"/>
              <w:bottom w:val="single" w:sz="4" w:space="0" w:color="auto"/>
              <w:right w:val="nil"/>
            </w:tcBorders>
            <w:shd w:val="clear" w:color="auto" w:fill="auto"/>
            <w:noWrap/>
            <w:vAlign w:val="bottom"/>
            <w:hideMark/>
          </w:tcPr>
          <w:p w14:paraId="0E61B454"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Innovation</w:t>
            </w:r>
          </w:p>
        </w:tc>
      </w:tr>
      <w:tr w:rsidR="00C32823" w:rsidRPr="00C32823" w14:paraId="303B0692" w14:textId="77777777" w:rsidTr="00EF30C7">
        <w:trPr>
          <w:trHeight w:val="300"/>
        </w:trPr>
        <w:tc>
          <w:tcPr>
            <w:tcW w:w="9688" w:type="dxa"/>
            <w:gridSpan w:val="4"/>
            <w:tcBorders>
              <w:top w:val="single" w:sz="4" w:space="0" w:color="auto"/>
              <w:left w:val="nil"/>
              <w:bottom w:val="nil"/>
              <w:right w:val="nil"/>
            </w:tcBorders>
            <w:shd w:val="clear" w:color="auto" w:fill="auto"/>
            <w:noWrap/>
            <w:vAlign w:val="bottom"/>
            <w:hideMark/>
          </w:tcPr>
          <w:p w14:paraId="6D1A97B6" w14:textId="77777777" w:rsidR="00C32823" w:rsidRPr="00C32823" w:rsidRDefault="00C32823" w:rsidP="009C7054">
            <w:pPr>
              <w:spacing w:line="480" w:lineRule="auto"/>
              <w:jc w:val="center"/>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Global</w:t>
            </w:r>
          </w:p>
        </w:tc>
      </w:tr>
      <w:tr w:rsidR="00C32823" w:rsidRPr="00C32823" w14:paraId="7EF4670E" w14:textId="77777777" w:rsidTr="00EF30C7">
        <w:trPr>
          <w:trHeight w:val="300"/>
        </w:trPr>
        <w:tc>
          <w:tcPr>
            <w:tcW w:w="5245" w:type="dxa"/>
            <w:tcBorders>
              <w:top w:val="nil"/>
              <w:left w:val="nil"/>
              <w:bottom w:val="nil"/>
              <w:right w:val="nil"/>
            </w:tcBorders>
            <w:shd w:val="clear" w:color="auto" w:fill="auto"/>
            <w:noWrap/>
            <w:vAlign w:val="bottom"/>
            <w:hideMark/>
          </w:tcPr>
          <w:p w14:paraId="6377E6C7"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All diseases</w:t>
            </w:r>
          </w:p>
        </w:tc>
        <w:tc>
          <w:tcPr>
            <w:tcW w:w="1701" w:type="dxa"/>
            <w:tcBorders>
              <w:top w:val="nil"/>
              <w:left w:val="nil"/>
              <w:bottom w:val="nil"/>
              <w:right w:val="nil"/>
            </w:tcBorders>
            <w:shd w:val="clear" w:color="auto" w:fill="auto"/>
            <w:noWrap/>
            <w:vAlign w:val="bottom"/>
            <w:hideMark/>
          </w:tcPr>
          <w:p w14:paraId="09DD5509"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400.338***</w:t>
            </w:r>
          </w:p>
        </w:tc>
        <w:tc>
          <w:tcPr>
            <w:tcW w:w="1371" w:type="dxa"/>
            <w:tcBorders>
              <w:top w:val="nil"/>
              <w:left w:val="nil"/>
              <w:bottom w:val="nil"/>
              <w:right w:val="nil"/>
            </w:tcBorders>
            <w:shd w:val="clear" w:color="auto" w:fill="auto"/>
            <w:noWrap/>
            <w:vAlign w:val="bottom"/>
            <w:hideMark/>
          </w:tcPr>
          <w:p w14:paraId="0B13ED99"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401.6232***</w:t>
            </w:r>
          </w:p>
        </w:tc>
        <w:tc>
          <w:tcPr>
            <w:tcW w:w="1371" w:type="dxa"/>
            <w:tcBorders>
              <w:top w:val="nil"/>
              <w:left w:val="nil"/>
              <w:bottom w:val="nil"/>
              <w:right w:val="nil"/>
            </w:tcBorders>
            <w:shd w:val="clear" w:color="auto" w:fill="auto"/>
            <w:noWrap/>
            <w:vAlign w:val="bottom"/>
            <w:hideMark/>
          </w:tcPr>
          <w:p w14:paraId="168ECA52"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316.1118***</w:t>
            </w:r>
          </w:p>
        </w:tc>
      </w:tr>
      <w:tr w:rsidR="00C32823" w:rsidRPr="00C32823" w14:paraId="51A321D1" w14:textId="77777777" w:rsidTr="00EF30C7">
        <w:trPr>
          <w:trHeight w:val="300"/>
        </w:trPr>
        <w:tc>
          <w:tcPr>
            <w:tcW w:w="5245" w:type="dxa"/>
            <w:tcBorders>
              <w:top w:val="nil"/>
              <w:left w:val="nil"/>
              <w:bottom w:val="nil"/>
              <w:right w:val="nil"/>
            </w:tcBorders>
            <w:shd w:val="clear" w:color="auto" w:fill="auto"/>
            <w:noWrap/>
            <w:vAlign w:val="bottom"/>
            <w:hideMark/>
          </w:tcPr>
          <w:p w14:paraId="012277EE"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Communicable diseases</w:t>
            </w:r>
          </w:p>
        </w:tc>
        <w:tc>
          <w:tcPr>
            <w:tcW w:w="1701" w:type="dxa"/>
            <w:tcBorders>
              <w:top w:val="nil"/>
              <w:left w:val="nil"/>
              <w:bottom w:val="nil"/>
              <w:right w:val="nil"/>
            </w:tcBorders>
            <w:shd w:val="clear" w:color="auto" w:fill="auto"/>
            <w:noWrap/>
            <w:vAlign w:val="bottom"/>
            <w:hideMark/>
          </w:tcPr>
          <w:p w14:paraId="225F920C"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119.1889***</w:t>
            </w:r>
          </w:p>
        </w:tc>
        <w:tc>
          <w:tcPr>
            <w:tcW w:w="1371" w:type="dxa"/>
            <w:tcBorders>
              <w:top w:val="nil"/>
              <w:left w:val="nil"/>
              <w:bottom w:val="nil"/>
              <w:right w:val="nil"/>
            </w:tcBorders>
            <w:shd w:val="clear" w:color="auto" w:fill="auto"/>
            <w:noWrap/>
            <w:vAlign w:val="bottom"/>
            <w:hideMark/>
          </w:tcPr>
          <w:p w14:paraId="47728CC2"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119.6436***</w:t>
            </w:r>
          </w:p>
        </w:tc>
        <w:tc>
          <w:tcPr>
            <w:tcW w:w="1371" w:type="dxa"/>
            <w:tcBorders>
              <w:top w:val="nil"/>
              <w:left w:val="nil"/>
              <w:bottom w:val="nil"/>
              <w:right w:val="nil"/>
            </w:tcBorders>
            <w:shd w:val="clear" w:color="auto" w:fill="auto"/>
            <w:noWrap/>
            <w:vAlign w:val="bottom"/>
            <w:hideMark/>
          </w:tcPr>
          <w:p w14:paraId="108ECEE0"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87.6866**</w:t>
            </w:r>
          </w:p>
        </w:tc>
      </w:tr>
      <w:tr w:rsidR="00C32823" w:rsidRPr="00C32823" w14:paraId="7CF30AE7" w14:textId="77777777" w:rsidTr="00EF30C7">
        <w:trPr>
          <w:trHeight w:val="300"/>
        </w:trPr>
        <w:tc>
          <w:tcPr>
            <w:tcW w:w="5245" w:type="dxa"/>
            <w:tcBorders>
              <w:top w:val="nil"/>
              <w:left w:val="nil"/>
              <w:bottom w:val="nil"/>
              <w:right w:val="nil"/>
            </w:tcBorders>
            <w:shd w:val="clear" w:color="auto" w:fill="auto"/>
            <w:noWrap/>
            <w:vAlign w:val="bottom"/>
            <w:hideMark/>
          </w:tcPr>
          <w:p w14:paraId="7A5542D6"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Non-communicable diseases</w:t>
            </w:r>
          </w:p>
        </w:tc>
        <w:tc>
          <w:tcPr>
            <w:tcW w:w="1701" w:type="dxa"/>
            <w:tcBorders>
              <w:top w:val="nil"/>
              <w:left w:val="nil"/>
              <w:bottom w:val="nil"/>
              <w:right w:val="nil"/>
            </w:tcBorders>
            <w:shd w:val="clear" w:color="auto" w:fill="auto"/>
            <w:noWrap/>
            <w:vAlign w:val="bottom"/>
            <w:hideMark/>
          </w:tcPr>
          <w:p w14:paraId="33F20BDF"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282.0664***</w:t>
            </w:r>
          </w:p>
        </w:tc>
        <w:tc>
          <w:tcPr>
            <w:tcW w:w="1371" w:type="dxa"/>
            <w:tcBorders>
              <w:top w:val="nil"/>
              <w:left w:val="nil"/>
              <w:bottom w:val="nil"/>
              <w:right w:val="nil"/>
            </w:tcBorders>
            <w:shd w:val="clear" w:color="auto" w:fill="auto"/>
            <w:noWrap/>
            <w:vAlign w:val="bottom"/>
            <w:hideMark/>
          </w:tcPr>
          <w:p w14:paraId="67BE34DD"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249.2209***</w:t>
            </w:r>
          </w:p>
        </w:tc>
        <w:tc>
          <w:tcPr>
            <w:tcW w:w="1371" w:type="dxa"/>
            <w:tcBorders>
              <w:top w:val="nil"/>
              <w:left w:val="nil"/>
              <w:bottom w:val="nil"/>
              <w:right w:val="nil"/>
            </w:tcBorders>
            <w:shd w:val="clear" w:color="auto" w:fill="auto"/>
            <w:noWrap/>
            <w:vAlign w:val="bottom"/>
            <w:hideMark/>
          </w:tcPr>
          <w:p w14:paraId="06FEEDBC"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236.5554***</w:t>
            </w:r>
          </w:p>
        </w:tc>
      </w:tr>
      <w:tr w:rsidR="00C32823" w:rsidRPr="00C32823" w14:paraId="0A8E27E1" w14:textId="77777777" w:rsidTr="00EF30C7">
        <w:trPr>
          <w:trHeight w:val="300"/>
        </w:trPr>
        <w:tc>
          <w:tcPr>
            <w:tcW w:w="9688" w:type="dxa"/>
            <w:gridSpan w:val="4"/>
            <w:tcBorders>
              <w:top w:val="nil"/>
              <w:left w:val="nil"/>
              <w:bottom w:val="nil"/>
              <w:right w:val="nil"/>
            </w:tcBorders>
            <w:shd w:val="clear" w:color="auto" w:fill="auto"/>
            <w:noWrap/>
            <w:vAlign w:val="bottom"/>
            <w:hideMark/>
          </w:tcPr>
          <w:p w14:paraId="12F6364F" w14:textId="77777777" w:rsidR="00C32823" w:rsidRPr="00C32823" w:rsidRDefault="00C32823" w:rsidP="009C7054">
            <w:pPr>
              <w:spacing w:line="480" w:lineRule="auto"/>
              <w:jc w:val="center"/>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Developed countries</w:t>
            </w:r>
          </w:p>
        </w:tc>
      </w:tr>
      <w:tr w:rsidR="00C32823" w:rsidRPr="00C32823" w14:paraId="2275270B" w14:textId="77777777" w:rsidTr="00EF30C7">
        <w:trPr>
          <w:trHeight w:val="300"/>
        </w:trPr>
        <w:tc>
          <w:tcPr>
            <w:tcW w:w="5245" w:type="dxa"/>
            <w:tcBorders>
              <w:top w:val="nil"/>
              <w:left w:val="nil"/>
              <w:bottom w:val="nil"/>
              <w:right w:val="nil"/>
            </w:tcBorders>
            <w:shd w:val="clear" w:color="auto" w:fill="auto"/>
            <w:noWrap/>
            <w:vAlign w:val="bottom"/>
            <w:hideMark/>
          </w:tcPr>
          <w:p w14:paraId="0A9C988A"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All diseases</w:t>
            </w:r>
          </w:p>
        </w:tc>
        <w:tc>
          <w:tcPr>
            <w:tcW w:w="1701" w:type="dxa"/>
            <w:tcBorders>
              <w:top w:val="nil"/>
              <w:left w:val="nil"/>
              <w:bottom w:val="nil"/>
              <w:right w:val="nil"/>
            </w:tcBorders>
            <w:shd w:val="clear" w:color="auto" w:fill="auto"/>
            <w:noWrap/>
            <w:vAlign w:val="bottom"/>
            <w:hideMark/>
          </w:tcPr>
          <w:p w14:paraId="3494A9A5"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400.64***</w:t>
            </w:r>
          </w:p>
        </w:tc>
        <w:tc>
          <w:tcPr>
            <w:tcW w:w="1371" w:type="dxa"/>
            <w:tcBorders>
              <w:top w:val="nil"/>
              <w:left w:val="nil"/>
              <w:bottom w:val="nil"/>
              <w:right w:val="nil"/>
            </w:tcBorders>
            <w:shd w:val="clear" w:color="auto" w:fill="auto"/>
            <w:noWrap/>
            <w:vAlign w:val="bottom"/>
            <w:hideMark/>
          </w:tcPr>
          <w:p w14:paraId="463CEBAB"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401.7718***</w:t>
            </w:r>
          </w:p>
        </w:tc>
        <w:tc>
          <w:tcPr>
            <w:tcW w:w="1371" w:type="dxa"/>
            <w:tcBorders>
              <w:top w:val="nil"/>
              <w:left w:val="nil"/>
              <w:bottom w:val="nil"/>
              <w:right w:val="nil"/>
            </w:tcBorders>
            <w:shd w:val="clear" w:color="auto" w:fill="auto"/>
            <w:noWrap/>
            <w:vAlign w:val="bottom"/>
            <w:hideMark/>
          </w:tcPr>
          <w:p w14:paraId="2A29D8F6"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317.3405***</w:t>
            </w:r>
          </w:p>
        </w:tc>
      </w:tr>
      <w:tr w:rsidR="00C32823" w:rsidRPr="00C32823" w14:paraId="09FF1846" w14:textId="77777777" w:rsidTr="00EF30C7">
        <w:trPr>
          <w:trHeight w:val="300"/>
        </w:trPr>
        <w:tc>
          <w:tcPr>
            <w:tcW w:w="5245" w:type="dxa"/>
            <w:tcBorders>
              <w:top w:val="nil"/>
              <w:left w:val="nil"/>
              <w:bottom w:val="nil"/>
              <w:right w:val="nil"/>
            </w:tcBorders>
            <w:shd w:val="clear" w:color="auto" w:fill="auto"/>
            <w:noWrap/>
            <w:vAlign w:val="bottom"/>
            <w:hideMark/>
          </w:tcPr>
          <w:p w14:paraId="03678407"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Communicable diseases</w:t>
            </w:r>
          </w:p>
        </w:tc>
        <w:tc>
          <w:tcPr>
            <w:tcW w:w="1701" w:type="dxa"/>
            <w:tcBorders>
              <w:top w:val="nil"/>
              <w:left w:val="nil"/>
              <w:bottom w:val="nil"/>
              <w:right w:val="nil"/>
            </w:tcBorders>
            <w:shd w:val="clear" w:color="auto" w:fill="auto"/>
            <w:noWrap/>
            <w:vAlign w:val="bottom"/>
            <w:hideMark/>
          </w:tcPr>
          <w:p w14:paraId="3540A868"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119.7481***</w:t>
            </w:r>
          </w:p>
        </w:tc>
        <w:tc>
          <w:tcPr>
            <w:tcW w:w="1371" w:type="dxa"/>
            <w:tcBorders>
              <w:top w:val="nil"/>
              <w:left w:val="nil"/>
              <w:bottom w:val="nil"/>
              <w:right w:val="nil"/>
            </w:tcBorders>
            <w:shd w:val="clear" w:color="auto" w:fill="auto"/>
            <w:noWrap/>
            <w:vAlign w:val="bottom"/>
            <w:hideMark/>
          </w:tcPr>
          <w:p w14:paraId="0C89698A"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119.6467***</w:t>
            </w:r>
          </w:p>
        </w:tc>
        <w:tc>
          <w:tcPr>
            <w:tcW w:w="1371" w:type="dxa"/>
            <w:tcBorders>
              <w:top w:val="nil"/>
              <w:left w:val="nil"/>
              <w:bottom w:val="nil"/>
              <w:right w:val="nil"/>
            </w:tcBorders>
            <w:shd w:val="clear" w:color="auto" w:fill="auto"/>
            <w:noWrap/>
            <w:vAlign w:val="bottom"/>
            <w:hideMark/>
          </w:tcPr>
          <w:p w14:paraId="0EA278C0"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92.5469***</w:t>
            </w:r>
          </w:p>
        </w:tc>
      </w:tr>
      <w:tr w:rsidR="00C32823" w:rsidRPr="00C32823" w14:paraId="7423D0B8" w14:textId="77777777" w:rsidTr="00EF30C7">
        <w:trPr>
          <w:trHeight w:val="300"/>
        </w:trPr>
        <w:tc>
          <w:tcPr>
            <w:tcW w:w="5245" w:type="dxa"/>
            <w:tcBorders>
              <w:top w:val="nil"/>
              <w:left w:val="nil"/>
              <w:bottom w:val="nil"/>
              <w:right w:val="nil"/>
            </w:tcBorders>
            <w:shd w:val="clear" w:color="auto" w:fill="auto"/>
            <w:noWrap/>
            <w:vAlign w:val="bottom"/>
            <w:hideMark/>
          </w:tcPr>
          <w:p w14:paraId="1A52E397"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Non-communicable diseases</w:t>
            </w:r>
          </w:p>
        </w:tc>
        <w:tc>
          <w:tcPr>
            <w:tcW w:w="1701" w:type="dxa"/>
            <w:tcBorders>
              <w:top w:val="nil"/>
              <w:left w:val="nil"/>
              <w:bottom w:val="nil"/>
              <w:right w:val="nil"/>
            </w:tcBorders>
            <w:shd w:val="clear" w:color="auto" w:fill="auto"/>
            <w:noWrap/>
            <w:vAlign w:val="bottom"/>
            <w:hideMark/>
          </w:tcPr>
          <w:p w14:paraId="78F1C722"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281.1107***</w:t>
            </w:r>
          </w:p>
        </w:tc>
        <w:tc>
          <w:tcPr>
            <w:tcW w:w="1371" w:type="dxa"/>
            <w:tcBorders>
              <w:top w:val="nil"/>
              <w:left w:val="nil"/>
              <w:bottom w:val="nil"/>
              <w:right w:val="nil"/>
            </w:tcBorders>
            <w:shd w:val="clear" w:color="auto" w:fill="auto"/>
            <w:noWrap/>
            <w:vAlign w:val="bottom"/>
            <w:hideMark/>
          </w:tcPr>
          <w:p w14:paraId="6E7154CA"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254.1428***</w:t>
            </w:r>
          </w:p>
        </w:tc>
        <w:tc>
          <w:tcPr>
            <w:tcW w:w="1371" w:type="dxa"/>
            <w:tcBorders>
              <w:top w:val="nil"/>
              <w:left w:val="nil"/>
              <w:bottom w:val="nil"/>
              <w:right w:val="nil"/>
            </w:tcBorders>
            <w:shd w:val="clear" w:color="auto" w:fill="auto"/>
            <w:noWrap/>
            <w:vAlign w:val="bottom"/>
            <w:hideMark/>
          </w:tcPr>
          <w:p w14:paraId="0CCEC9E3"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229.2669***</w:t>
            </w:r>
          </w:p>
        </w:tc>
      </w:tr>
      <w:tr w:rsidR="00C32823" w:rsidRPr="00C32823" w14:paraId="4DCE0662" w14:textId="77777777" w:rsidTr="00EF30C7">
        <w:trPr>
          <w:trHeight w:val="300"/>
        </w:trPr>
        <w:tc>
          <w:tcPr>
            <w:tcW w:w="9688" w:type="dxa"/>
            <w:gridSpan w:val="4"/>
            <w:tcBorders>
              <w:top w:val="nil"/>
              <w:left w:val="nil"/>
              <w:bottom w:val="nil"/>
              <w:right w:val="nil"/>
            </w:tcBorders>
            <w:shd w:val="clear" w:color="auto" w:fill="auto"/>
            <w:noWrap/>
            <w:vAlign w:val="bottom"/>
            <w:hideMark/>
          </w:tcPr>
          <w:p w14:paraId="1D0B1915" w14:textId="77777777" w:rsidR="00C32823" w:rsidRPr="00C32823" w:rsidRDefault="00C32823" w:rsidP="009C7054">
            <w:pPr>
              <w:spacing w:line="480" w:lineRule="auto"/>
              <w:jc w:val="center"/>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Developing countries</w:t>
            </w:r>
          </w:p>
        </w:tc>
      </w:tr>
      <w:tr w:rsidR="00C32823" w:rsidRPr="00C32823" w14:paraId="60EA4F94" w14:textId="77777777" w:rsidTr="00EF30C7">
        <w:trPr>
          <w:trHeight w:val="300"/>
        </w:trPr>
        <w:tc>
          <w:tcPr>
            <w:tcW w:w="5245" w:type="dxa"/>
            <w:tcBorders>
              <w:top w:val="nil"/>
              <w:left w:val="nil"/>
              <w:bottom w:val="nil"/>
              <w:right w:val="nil"/>
            </w:tcBorders>
            <w:shd w:val="clear" w:color="auto" w:fill="auto"/>
            <w:noWrap/>
            <w:vAlign w:val="bottom"/>
            <w:hideMark/>
          </w:tcPr>
          <w:p w14:paraId="73D7A993"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All diseases</w:t>
            </w:r>
          </w:p>
        </w:tc>
        <w:tc>
          <w:tcPr>
            <w:tcW w:w="1701" w:type="dxa"/>
            <w:tcBorders>
              <w:top w:val="nil"/>
              <w:left w:val="nil"/>
              <w:bottom w:val="nil"/>
              <w:right w:val="nil"/>
            </w:tcBorders>
            <w:shd w:val="clear" w:color="auto" w:fill="auto"/>
            <w:noWrap/>
            <w:vAlign w:val="bottom"/>
            <w:hideMark/>
          </w:tcPr>
          <w:p w14:paraId="339173A6"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400.4457***</w:t>
            </w:r>
          </w:p>
        </w:tc>
        <w:tc>
          <w:tcPr>
            <w:tcW w:w="1371" w:type="dxa"/>
            <w:tcBorders>
              <w:top w:val="nil"/>
              <w:left w:val="nil"/>
              <w:bottom w:val="nil"/>
              <w:right w:val="nil"/>
            </w:tcBorders>
            <w:shd w:val="clear" w:color="auto" w:fill="auto"/>
            <w:noWrap/>
            <w:vAlign w:val="bottom"/>
            <w:hideMark/>
          </w:tcPr>
          <w:p w14:paraId="6E0E7BE5"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400.4025***</w:t>
            </w:r>
          </w:p>
        </w:tc>
        <w:tc>
          <w:tcPr>
            <w:tcW w:w="1371" w:type="dxa"/>
            <w:tcBorders>
              <w:top w:val="nil"/>
              <w:left w:val="nil"/>
              <w:bottom w:val="nil"/>
              <w:right w:val="nil"/>
            </w:tcBorders>
            <w:shd w:val="clear" w:color="auto" w:fill="auto"/>
            <w:noWrap/>
            <w:vAlign w:val="bottom"/>
            <w:hideMark/>
          </w:tcPr>
          <w:p w14:paraId="3CB4032B"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312.9943***</w:t>
            </w:r>
          </w:p>
        </w:tc>
      </w:tr>
      <w:tr w:rsidR="00C32823" w:rsidRPr="00C32823" w14:paraId="5431E7D3" w14:textId="77777777" w:rsidTr="00EF30C7">
        <w:trPr>
          <w:trHeight w:val="300"/>
        </w:trPr>
        <w:tc>
          <w:tcPr>
            <w:tcW w:w="5245" w:type="dxa"/>
            <w:tcBorders>
              <w:top w:val="nil"/>
              <w:left w:val="nil"/>
              <w:bottom w:val="nil"/>
              <w:right w:val="nil"/>
            </w:tcBorders>
            <w:shd w:val="clear" w:color="auto" w:fill="auto"/>
            <w:noWrap/>
            <w:vAlign w:val="bottom"/>
            <w:hideMark/>
          </w:tcPr>
          <w:p w14:paraId="17FBBB22"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Communicable diseases</w:t>
            </w:r>
          </w:p>
        </w:tc>
        <w:tc>
          <w:tcPr>
            <w:tcW w:w="1701" w:type="dxa"/>
            <w:tcBorders>
              <w:top w:val="nil"/>
              <w:left w:val="nil"/>
              <w:bottom w:val="nil"/>
              <w:right w:val="nil"/>
            </w:tcBorders>
            <w:shd w:val="clear" w:color="auto" w:fill="auto"/>
            <w:noWrap/>
            <w:vAlign w:val="bottom"/>
            <w:hideMark/>
          </w:tcPr>
          <w:p w14:paraId="2F46BD14"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119.0353***</w:t>
            </w:r>
          </w:p>
        </w:tc>
        <w:tc>
          <w:tcPr>
            <w:tcW w:w="1371" w:type="dxa"/>
            <w:tcBorders>
              <w:top w:val="nil"/>
              <w:left w:val="nil"/>
              <w:bottom w:val="nil"/>
              <w:right w:val="nil"/>
            </w:tcBorders>
            <w:shd w:val="clear" w:color="auto" w:fill="auto"/>
            <w:noWrap/>
            <w:vAlign w:val="bottom"/>
            <w:hideMark/>
          </w:tcPr>
          <w:p w14:paraId="47D064CF"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119.1214***</w:t>
            </w:r>
          </w:p>
        </w:tc>
        <w:tc>
          <w:tcPr>
            <w:tcW w:w="1371" w:type="dxa"/>
            <w:tcBorders>
              <w:top w:val="nil"/>
              <w:left w:val="nil"/>
              <w:bottom w:val="nil"/>
              <w:right w:val="nil"/>
            </w:tcBorders>
            <w:shd w:val="clear" w:color="auto" w:fill="auto"/>
            <w:noWrap/>
            <w:vAlign w:val="bottom"/>
            <w:hideMark/>
          </w:tcPr>
          <w:p w14:paraId="20B82A0D" w14:textId="77777777" w:rsidR="00C32823" w:rsidRPr="00C32823" w:rsidRDefault="00C32823" w:rsidP="009C7054">
            <w:pPr>
              <w:spacing w:line="480" w:lineRule="auto"/>
              <w:jc w:val="right"/>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799.816</w:t>
            </w:r>
          </w:p>
        </w:tc>
      </w:tr>
      <w:tr w:rsidR="00C32823" w:rsidRPr="00C32823" w14:paraId="51C011B0" w14:textId="77777777" w:rsidTr="00EF30C7">
        <w:trPr>
          <w:trHeight w:val="300"/>
        </w:trPr>
        <w:tc>
          <w:tcPr>
            <w:tcW w:w="5245" w:type="dxa"/>
            <w:tcBorders>
              <w:top w:val="nil"/>
              <w:left w:val="nil"/>
              <w:bottom w:val="single" w:sz="4" w:space="0" w:color="auto"/>
              <w:right w:val="nil"/>
            </w:tcBorders>
            <w:shd w:val="clear" w:color="auto" w:fill="auto"/>
            <w:noWrap/>
            <w:vAlign w:val="bottom"/>
            <w:hideMark/>
          </w:tcPr>
          <w:p w14:paraId="19975ED9"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Non-communicable diseases</w:t>
            </w:r>
          </w:p>
        </w:tc>
        <w:tc>
          <w:tcPr>
            <w:tcW w:w="1701" w:type="dxa"/>
            <w:tcBorders>
              <w:top w:val="nil"/>
              <w:left w:val="nil"/>
              <w:bottom w:val="single" w:sz="4" w:space="0" w:color="auto"/>
              <w:right w:val="nil"/>
            </w:tcBorders>
            <w:shd w:val="clear" w:color="auto" w:fill="auto"/>
            <w:noWrap/>
            <w:vAlign w:val="bottom"/>
            <w:hideMark/>
          </w:tcPr>
          <w:p w14:paraId="5F1E7276"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281.0868***</w:t>
            </w:r>
          </w:p>
        </w:tc>
        <w:tc>
          <w:tcPr>
            <w:tcW w:w="1371" w:type="dxa"/>
            <w:tcBorders>
              <w:top w:val="nil"/>
              <w:left w:val="nil"/>
              <w:bottom w:val="single" w:sz="4" w:space="0" w:color="auto"/>
              <w:right w:val="nil"/>
            </w:tcBorders>
            <w:shd w:val="clear" w:color="auto" w:fill="auto"/>
            <w:noWrap/>
            <w:vAlign w:val="bottom"/>
            <w:hideMark/>
          </w:tcPr>
          <w:p w14:paraId="2E1A0B95"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235.6801***</w:t>
            </w:r>
          </w:p>
        </w:tc>
        <w:tc>
          <w:tcPr>
            <w:tcW w:w="1371" w:type="dxa"/>
            <w:tcBorders>
              <w:top w:val="nil"/>
              <w:left w:val="nil"/>
              <w:bottom w:val="single" w:sz="4" w:space="0" w:color="auto"/>
              <w:right w:val="nil"/>
            </w:tcBorders>
            <w:shd w:val="clear" w:color="auto" w:fill="auto"/>
            <w:noWrap/>
            <w:vAlign w:val="bottom"/>
            <w:hideMark/>
          </w:tcPr>
          <w:p w14:paraId="383B307E" w14:textId="77777777" w:rsidR="00C32823" w:rsidRPr="00C32823" w:rsidRDefault="00C32823" w:rsidP="009C7054">
            <w:pPr>
              <w:spacing w:line="480" w:lineRule="auto"/>
              <w:rPr>
                <w:rFonts w:eastAsia="Times New Roman" w:cs="Times New Roman"/>
                <w:color w:val="000000"/>
                <w:sz w:val="22"/>
                <w:szCs w:val="22"/>
                <w:lang w:val="en-GB" w:eastAsia="en-GB"/>
              </w:rPr>
            </w:pPr>
            <w:r w:rsidRPr="00C32823">
              <w:rPr>
                <w:rFonts w:eastAsia="Times New Roman" w:cs="Times New Roman"/>
                <w:color w:val="000000"/>
                <w:sz w:val="22"/>
                <w:szCs w:val="22"/>
                <w:lang w:val="en-GB" w:eastAsia="en-GB"/>
              </w:rPr>
              <w:t>230.1946***</w:t>
            </w:r>
          </w:p>
        </w:tc>
      </w:tr>
    </w:tbl>
    <w:p w14:paraId="7C5520E2" w14:textId="4F920CBC" w:rsidR="001023E0" w:rsidRPr="00BF15E4" w:rsidRDefault="001023E0" w:rsidP="009C7054">
      <w:pPr>
        <w:spacing w:line="480" w:lineRule="auto"/>
        <w:jc w:val="both"/>
        <w:rPr>
          <w:rFonts w:cs="Times New Roman"/>
          <w:sz w:val="22"/>
          <w:szCs w:val="20"/>
        </w:rPr>
      </w:pPr>
      <w:r w:rsidRPr="00BF15E4">
        <w:rPr>
          <w:rFonts w:cs="Times New Roman"/>
          <w:sz w:val="22"/>
          <w:szCs w:val="20"/>
        </w:rPr>
        <w:t>Note: The null hypothesis (Friedman) is that the rankings are equal.</w:t>
      </w:r>
      <w:r w:rsidR="00BF15E4">
        <w:rPr>
          <w:rFonts w:cs="Times New Roman"/>
          <w:sz w:val="22"/>
          <w:szCs w:val="20"/>
        </w:rPr>
        <w:t xml:space="preserve"> </w:t>
      </w:r>
      <w:r w:rsidR="00BF15E4" w:rsidRPr="00BF15E4">
        <w:rPr>
          <w:rFonts w:cs="Times New Roman"/>
          <w:sz w:val="22"/>
          <w:szCs w:val="20"/>
        </w:rPr>
        <w:t>The categorization of developed and dev</w:t>
      </w:r>
      <w:r w:rsidR="00F40A31">
        <w:rPr>
          <w:rFonts w:cs="Times New Roman"/>
          <w:sz w:val="22"/>
          <w:szCs w:val="20"/>
        </w:rPr>
        <w:t>e</w:t>
      </w:r>
      <w:r w:rsidR="00BF15E4" w:rsidRPr="00BF15E4">
        <w:rPr>
          <w:rFonts w:cs="Times New Roman"/>
          <w:sz w:val="22"/>
          <w:szCs w:val="20"/>
        </w:rPr>
        <w:t xml:space="preserve">loping </w:t>
      </w:r>
      <w:r w:rsidR="00F40A31">
        <w:rPr>
          <w:rFonts w:cs="Times New Roman"/>
          <w:sz w:val="22"/>
          <w:szCs w:val="20"/>
        </w:rPr>
        <w:t>countries</w:t>
      </w:r>
      <w:r w:rsidR="00F40A31" w:rsidRPr="00BF15E4">
        <w:rPr>
          <w:rFonts w:cs="Times New Roman"/>
          <w:sz w:val="22"/>
          <w:szCs w:val="20"/>
        </w:rPr>
        <w:t xml:space="preserve"> </w:t>
      </w:r>
      <w:r w:rsidR="00BF15E4" w:rsidRPr="00BF15E4">
        <w:rPr>
          <w:rFonts w:cs="Times New Roman"/>
          <w:sz w:val="22"/>
          <w:szCs w:val="20"/>
        </w:rPr>
        <w:t>follows the United Nations</w:t>
      </w:r>
      <w:r w:rsidR="00BF15E4">
        <w:rPr>
          <w:rFonts w:cs="Times New Roman"/>
          <w:sz w:val="22"/>
          <w:szCs w:val="20"/>
        </w:rPr>
        <w:t xml:space="preserve"> (United Nations, 2017) </w:t>
      </w:r>
      <w:r w:rsidR="00BF15E4" w:rsidRPr="00BF15E4">
        <w:rPr>
          <w:rFonts w:cs="Times New Roman"/>
          <w:sz w:val="22"/>
          <w:szCs w:val="20"/>
        </w:rPr>
        <w:t>classification available at http://unstats.un.org/unsd/methods/m49/m49regin.htm#developed.</w:t>
      </w:r>
      <w:r w:rsidRPr="00BF15E4">
        <w:rPr>
          <w:rFonts w:cs="Times New Roman"/>
          <w:sz w:val="22"/>
          <w:szCs w:val="20"/>
        </w:rPr>
        <w:t xml:space="preserve"> </w:t>
      </w:r>
      <w:r w:rsidR="00BF15E4">
        <w:rPr>
          <w:rFonts w:cs="Times New Roman"/>
          <w:sz w:val="22"/>
          <w:szCs w:val="20"/>
        </w:rPr>
        <w:t xml:space="preserve">* p&lt;0.10 </w:t>
      </w:r>
      <w:r w:rsidRPr="00BF15E4">
        <w:rPr>
          <w:rFonts w:cs="Times New Roman"/>
          <w:sz w:val="22"/>
          <w:szCs w:val="20"/>
        </w:rPr>
        <w:t>** p&lt;0.05, *** p&lt;0.01</w:t>
      </w:r>
      <w:r w:rsidR="00BF15E4">
        <w:rPr>
          <w:rFonts w:cs="Times New Roman"/>
          <w:sz w:val="22"/>
          <w:szCs w:val="20"/>
        </w:rPr>
        <w:t xml:space="preserve">. </w:t>
      </w:r>
    </w:p>
    <w:p w14:paraId="68DB734A" w14:textId="77777777" w:rsidR="001023E0" w:rsidRDefault="001023E0" w:rsidP="009C7054">
      <w:pPr>
        <w:spacing w:line="480" w:lineRule="auto"/>
        <w:jc w:val="both"/>
        <w:rPr>
          <w:rFonts w:cs="Times New Roman"/>
          <w:sz w:val="20"/>
          <w:szCs w:val="20"/>
        </w:rPr>
      </w:pPr>
    </w:p>
    <w:p w14:paraId="45E2BB05" w14:textId="77777777" w:rsidR="001023E0" w:rsidRDefault="001023E0" w:rsidP="009C7054">
      <w:pPr>
        <w:spacing w:line="480" w:lineRule="auto"/>
        <w:jc w:val="both"/>
        <w:rPr>
          <w:rFonts w:cs="Times New Roman"/>
          <w:sz w:val="20"/>
          <w:szCs w:val="20"/>
        </w:rPr>
      </w:pPr>
    </w:p>
    <w:p w14:paraId="5DFD370B" w14:textId="77777777" w:rsidR="00A06A83" w:rsidRPr="00152099" w:rsidRDefault="00A06A83" w:rsidP="009C7054">
      <w:pPr>
        <w:spacing w:line="480" w:lineRule="auto"/>
        <w:jc w:val="both"/>
        <w:rPr>
          <w:rFonts w:cs="Times New Roman"/>
          <w:sz w:val="20"/>
          <w:szCs w:val="20"/>
        </w:rPr>
        <w:sectPr w:rsidR="00A06A83" w:rsidRPr="00152099" w:rsidSect="008B68E4">
          <w:footnotePr>
            <w:numFmt w:val="lowerLetter"/>
          </w:footnotePr>
          <w:pgSz w:w="11900" w:h="16840"/>
          <w:pgMar w:top="1440" w:right="1440" w:bottom="1440" w:left="1440" w:header="708" w:footer="708" w:gutter="0"/>
          <w:lnNumType w:countBy="1" w:restart="continuous"/>
          <w:cols w:space="708"/>
          <w:docGrid w:linePitch="326"/>
        </w:sectPr>
      </w:pPr>
    </w:p>
    <w:bookmarkEnd w:id="1"/>
    <w:p w14:paraId="3A9B9551" w14:textId="7C1B1799" w:rsidR="001023E0" w:rsidRDefault="005C4420" w:rsidP="005C4420">
      <w:pPr>
        <w:pStyle w:val="Heading1"/>
      </w:pPr>
      <w:r>
        <w:t xml:space="preserve">Legends </w:t>
      </w:r>
    </w:p>
    <w:p w14:paraId="78108A7A" w14:textId="77777777" w:rsidR="002954D7" w:rsidRPr="00722765" w:rsidRDefault="002954D7" w:rsidP="002954D7">
      <w:pPr>
        <w:spacing w:line="480" w:lineRule="auto"/>
        <w:jc w:val="both"/>
        <w:rPr>
          <w:rFonts w:cs="Times New Roman"/>
          <w:bCs/>
          <w:sz w:val="22"/>
          <w:szCs w:val="20"/>
        </w:rPr>
      </w:pPr>
      <w:r w:rsidRPr="00722765">
        <w:rPr>
          <w:rFonts w:cs="Times New Roman"/>
          <w:bCs/>
          <w:sz w:val="22"/>
          <w:szCs w:val="20"/>
        </w:rPr>
        <w:t xml:space="preserve">Table I: Global R&amp;D activity and burden of disease </w:t>
      </w:r>
    </w:p>
    <w:p w14:paraId="55968D77" w14:textId="77777777" w:rsidR="002954D7" w:rsidRPr="00F42730" w:rsidRDefault="002954D7" w:rsidP="002954D7">
      <w:pPr>
        <w:spacing w:line="480" w:lineRule="auto"/>
        <w:jc w:val="both"/>
        <w:rPr>
          <w:rFonts w:cs="Times New Roman"/>
          <w:bCs/>
          <w:sz w:val="22"/>
          <w:szCs w:val="20"/>
        </w:rPr>
      </w:pPr>
      <w:r w:rsidRPr="00F42730">
        <w:rPr>
          <w:rFonts w:cs="Times New Roman"/>
          <w:bCs/>
          <w:sz w:val="22"/>
          <w:szCs w:val="20"/>
        </w:rPr>
        <w:t xml:space="preserve">Table II: </w:t>
      </w:r>
      <w:r>
        <w:rPr>
          <w:rFonts w:cs="Times New Roman"/>
          <w:bCs/>
          <w:sz w:val="22"/>
          <w:szCs w:val="20"/>
        </w:rPr>
        <w:t xml:space="preserve">List of </w:t>
      </w:r>
      <w:r w:rsidRPr="00F42730">
        <w:rPr>
          <w:rFonts w:cs="Times New Roman"/>
          <w:bCs/>
          <w:sz w:val="22"/>
          <w:szCs w:val="20"/>
        </w:rPr>
        <w:t>Neglected Tropical Diseases</w:t>
      </w:r>
    </w:p>
    <w:p w14:paraId="3BA3EC67" w14:textId="77777777" w:rsidR="002954D7" w:rsidRPr="00EC675B" w:rsidRDefault="002954D7" w:rsidP="002954D7">
      <w:pPr>
        <w:spacing w:line="480" w:lineRule="auto"/>
        <w:jc w:val="both"/>
        <w:rPr>
          <w:rFonts w:cs="Times New Roman"/>
          <w:bCs/>
          <w:sz w:val="22"/>
          <w:szCs w:val="20"/>
        </w:rPr>
      </w:pPr>
      <w:r>
        <w:rPr>
          <w:rFonts w:cs="Times New Roman"/>
          <w:bCs/>
          <w:sz w:val="22"/>
          <w:szCs w:val="20"/>
        </w:rPr>
        <w:t>Table III: Descriptive statistics on the global drug innovation across broad disease groups over time</w:t>
      </w:r>
    </w:p>
    <w:p w14:paraId="5F0558F2" w14:textId="77777777" w:rsidR="002954D7" w:rsidRPr="00EC675B" w:rsidRDefault="002954D7" w:rsidP="002954D7">
      <w:pPr>
        <w:spacing w:line="480" w:lineRule="auto"/>
        <w:jc w:val="both"/>
        <w:rPr>
          <w:rFonts w:cs="Times New Roman"/>
          <w:bCs/>
          <w:sz w:val="22"/>
          <w:szCs w:val="20"/>
        </w:rPr>
      </w:pPr>
      <w:r>
        <w:rPr>
          <w:rFonts w:cs="Times New Roman"/>
          <w:bCs/>
          <w:sz w:val="22"/>
          <w:szCs w:val="20"/>
        </w:rPr>
        <w:t>Table IV: Descriptive statistics on the global drug innovation across disease subcategories over time</w:t>
      </w:r>
    </w:p>
    <w:p w14:paraId="426A38EF" w14:textId="77777777" w:rsidR="002954D7" w:rsidRPr="00785C9D" w:rsidRDefault="002954D7" w:rsidP="002954D7">
      <w:pPr>
        <w:spacing w:line="480" w:lineRule="auto"/>
        <w:jc w:val="both"/>
        <w:rPr>
          <w:rFonts w:cs="Times New Roman"/>
          <w:bCs/>
          <w:sz w:val="22"/>
          <w:szCs w:val="20"/>
        </w:rPr>
      </w:pPr>
      <w:r w:rsidRPr="00785C9D">
        <w:rPr>
          <w:rFonts w:cs="Times New Roman"/>
          <w:bCs/>
          <w:sz w:val="22"/>
          <w:szCs w:val="20"/>
        </w:rPr>
        <w:t xml:space="preserve">Table </w:t>
      </w:r>
      <w:r>
        <w:rPr>
          <w:rFonts w:cs="Times New Roman"/>
          <w:bCs/>
          <w:sz w:val="22"/>
          <w:szCs w:val="20"/>
        </w:rPr>
        <w:t>V</w:t>
      </w:r>
      <w:r w:rsidRPr="00785C9D">
        <w:rPr>
          <w:rFonts w:cs="Times New Roman"/>
          <w:bCs/>
          <w:sz w:val="22"/>
          <w:szCs w:val="20"/>
        </w:rPr>
        <w:t xml:space="preserve">: Top 4 causes of DALYs and deaths in 1990 and 2010 across regions </w:t>
      </w:r>
    </w:p>
    <w:p w14:paraId="50EE9325" w14:textId="77777777" w:rsidR="002954D7" w:rsidRDefault="002954D7" w:rsidP="002954D7">
      <w:pPr>
        <w:spacing w:line="480" w:lineRule="auto"/>
        <w:jc w:val="both"/>
        <w:rPr>
          <w:rFonts w:cs="Times New Roman"/>
          <w:sz w:val="22"/>
          <w:szCs w:val="20"/>
        </w:rPr>
      </w:pPr>
      <w:r>
        <w:rPr>
          <w:rFonts w:cs="Times New Roman"/>
          <w:sz w:val="22"/>
          <w:szCs w:val="20"/>
        </w:rPr>
        <w:t xml:space="preserve">Table </w:t>
      </w:r>
      <w:r w:rsidRPr="00117ECC">
        <w:rPr>
          <w:rFonts w:cs="Times New Roman"/>
          <w:sz w:val="22"/>
          <w:szCs w:val="20"/>
        </w:rPr>
        <w:t>V</w:t>
      </w:r>
      <w:r>
        <w:rPr>
          <w:rFonts w:cs="Times New Roman"/>
          <w:sz w:val="22"/>
          <w:szCs w:val="20"/>
        </w:rPr>
        <w:t>I</w:t>
      </w:r>
      <w:r w:rsidRPr="00117ECC">
        <w:rPr>
          <w:rFonts w:cs="Times New Roman"/>
          <w:sz w:val="22"/>
          <w:szCs w:val="20"/>
        </w:rPr>
        <w:t xml:space="preserve">: Erreygers indices </w:t>
      </w:r>
    </w:p>
    <w:p w14:paraId="21120A14" w14:textId="77777777" w:rsidR="002954D7" w:rsidRPr="007330C2" w:rsidRDefault="002954D7" w:rsidP="002954D7">
      <w:pPr>
        <w:spacing w:line="480" w:lineRule="auto"/>
        <w:jc w:val="both"/>
        <w:rPr>
          <w:rFonts w:cs="Times New Roman"/>
          <w:sz w:val="22"/>
          <w:szCs w:val="20"/>
        </w:rPr>
      </w:pPr>
      <w:r w:rsidRPr="007330C2">
        <w:rPr>
          <w:rFonts w:cs="Times New Roman"/>
          <w:sz w:val="22"/>
          <w:szCs w:val="20"/>
        </w:rPr>
        <w:lastRenderedPageBreak/>
        <w:t>Table V</w:t>
      </w:r>
      <w:r>
        <w:rPr>
          <w:rFonts w:cs="Times New Roman"/>
          <w:sz w:val="22"/>
          <w:szCs w:val="20"/>
        </w:rPr>
        <w:t>II</w:t>
      </w:r>
      <w:r w:rsidRPr="007330C2">
        <w:rPr>
          <w:rFonts w:cs="Times New Roman"/>
          <w:sz w:val="22"/>
          <w:szCs w:val="20"/>
        </w:rPr>
        <w:t>: Friedman test for diseases ranking: 1990 versus 2010</w:t>
      </w:r>
    </w:p>
    <w:p w14:paraId="770BFCBD" w14:textId="77777777" w:rsidR="004E33E6" w:rsidRPr="004E33E6" w:rsidRDefault="004E33E6" w:rsidP="004E33E6">
      <w:pPr>
        <w:spacing w:line="480" w:lineRule="auto"/>
        <w:jc w:val="both"/>
        <w:rPr>
          <w:rFonts w:cs="Times New Roman"/>
          <w:bCs/>
          <w:sz w:val="22"/>
          <w:szCs w:val="20"/>
        </w:rPr>
      </w:pPr>
      <w:r w:rsidRPr="004E33E6">
        <w:rPr>
          <w:rFonts w:cs="Times New Roman"/>
          <w:bCs/>
          <w:sz w:val="22"/>
          <w:szCs w:val="20"/>
        </w:rPr>
        <w:t xml:space="preserve">Figure </w:t>
      </w:r>
      <w:r w:rsidRPr="004E33E6">
        <w:rPr>
          <w:rFonts w:cs="Times New Roman"/>
          <w:sz w:val="22"/>
          <w:szCs w:val="20"/>
        </w:rPr>
        <w:t>1</w:t>
      </w:r>
      <w:r w:rsidRPr="004E33E6">
        <w:rPr>
          <w:rFonts w:cs="Times New Roman"/>
          <w:bCs/>
          <w:sz w:val="22"/>
          <w:szCs w:val="20"/>
        </w:rPr>
        <w:t>: Inequalities in the drug innovation activity in terms of disease burden in all diseases in 1990 (1a) and 2010 (1b)</w:t>
      </w:r>
    </w:p>
    <w:p w14:paraId="30D063C1" w14:textId="77777777" w:rsidR="004E33E6" w:rsidRPr="004E33E6" w:rsidRDefault="004E33E6" w:rsidP="004E33E6">
      <w:pPr>
        <w:spacing w:line="480" w:lineRule="auto"/>
        <w:jc w:val="both"/>
        <w:rPr>
          <w:rFonts w:cs="Times New Roman"/>
          <w:b/>
          <w:bCs/>
          <w:sz w:val="22"/>
          <w:szCs w:val="20"/>
        </w:rPr>
      </w:pPr>
      <w:r w:rsidRPr="004E33E6">
        <w:rPr>
          <w:rFonts w:cs="Times New Roman"/>
          <w:bCs/>
          <w:sz w:val="22"/>
          <w:szCs w:val="20"/>
        </w:rPr>
        <w:t xml:space="preserve">Figure </w:t>
      </w:r>
      <w:r w:rsidRPr="004E33E6">
        <w:rPr>
          <w:rFonts w:cs="Times New Roman"/>
          <w:sz w:val="22"/>
          <w:szCs w:val="20"/>
        </w:rPr>
        <w:t>2</w:t>
      </w:r>
      <w:r w:rsidRPr="004E33E6">
        <w:rPr>
          <w:rFonts w:cs="Times New Roman"/>
          <w:bCs/>
          <w:sz w:val="22"/>
          <w:szCs w:val="20"/>
        </w:rPr>
        <w:t>: Inequalities in the drug innovation activity in terms of disease burden in communicable diseases and non-communicable diseases in 1990 (2a) and 2010 (2b)</w:t>
      </w:r>
    </w:p>
    <w:p w14:paraId="33B008BB" w14:textId="11821018" w:rsidR="006539C8" w:rsidRPr="006539C8" w:rsidRDefault="006539C8" w:rsidP="006539C8">
      <w:pPr>
        <w:spacing w:line="480" w:lineRule="auto"/>
        <w:jc w:val="both"/>
        <w:rPr>
          <w:rFonts w:cs="Times New Roman"/>
          <w:bCs/>
          <w:sz w:val="22"/>
          <w:szCs w:val="20"/>
        </w:rPr>
      </w:pPr>
      <w:r w:rsidRPr="006539C8">
        <w:rPr>
          <w:rFonts w:cs="Times New Roman"/>
          <w:bCs/>
          <w:sz w:val="22"/>
          <w:szCs w:val="20"/>
        </w:rPr>
        <w:t>Figure 3: Inequality in the drug innovation activity</w:t>
      </w:r>
      <w:r w:rsidR="00D86FB5">
        <w:rPr>
          <w:rFonts w:cs="Times New Roman"/>
          <w:bCs/>
          <w:sz w:val="22"/>
          <w:szCs w:val="20"/>
        </w:rPr>
        <w:t xml:space="preserve"> in terms of</w:t>
      </w:r>
      <w:r w:rsidRPr="006539C8">
        <w:rPr>
          <w:rFonts w:cs="Times New Roman"/>
          <w:bCs/>
          <w:sz w:val="22"/>
          <w:szCs w:val="20"/>
        </w:rPr>
        <w:t xml:space="preserve"> market size in communicable diseases and non-communicable diseases in 1990 (3a) and 2010 (3b)</w:t>
      </w:r>
    </w:p>
    <w:p w14:paraId="70894264" w14:textId="77777777" w:rsidR="006539C8" w:rsidRPr="006539C8" w:rsidRDefault="006539C8" w:rsidP="006539C8">
      <w:pPr>
        <w:spacing w:line="480" w:lineRule="auto"/>
        <w:jc w:val="both"/>
        <w:rPr>
          <w:rFonts w:cs="Times New Roman"/>
          <w:bCs/>
          <w:sz w:val="22"/>
          <w:szCs w:val="20"/>
        </w:rPr>
      </w:pPr>
      <w:r w:rsidRPr="006539C8">
        <w:rPr>
          <w:rFonts w:cs="Times New Roman"/>
          <w:bCs/>
          <w:sz w:val="22"/>
          <w:szCs w:val="20"/>
        </w:rPr>
        <w:t>Figure 4: Inequalities in innovation in terms of disease burden in the top four main causes of disease burden in developed countries: cardiovascular and circulatory diseases (4a), neoplasms (4b), musculoskeletal disorders (4c) and mental and behavioural disorders (4d)</w:t>
      </w:r>
    </w:p>
    <w:p w14:paraId="1CD1DE2B" w14:textId="77777777" w:rsidR="006539C8" w:rsidRPr="006539C8" w:rsidRDefault="006539C8" w:rsidP="006539C8">
      <w:pPr>
        <w:spacing w:line="480" w:lineRule="auto"/>
        <w:jc w:val="both"/>
        <w:rPr>
          <w:rFonts w:cs="Times New Roman"/>
          <w:bCs/>
          <w:sz w:val="22"/>
          <w:szCs w:val="20"/>
        </w:rPr>
      </w:pPr>
      <w:r w:rsidRPr="006539C8">
        <w:rPr>
          <w:rFonts w:cs="Times New Roman"/>
          <w:bCs/>
          <w:sz w:val="22"/>
          <w:szCs w:val="20"/>
        </w:rPr>
        <w:t>Figure 5: Inequalities in innovation in terms of market size in the top four main causes of disease burden in developed countries: cardiovascular and circulatory diseases (5a), neoplasms (5b), musculoskeletal disorders (5c) and mental and behavioural disorders (5d)</w:t>
      </w:r>
    </w:p>
    <w:p w14:paraId="3677BA9F" w14:textId="77777777" w:rsidR="006539C8" w:rsidRPr="006539C8" w:rsidRDefault="006539C8" w:rsidP="006539C8">
      <w:pPr>
        <w:spacing w:line="480" w:lineRule="auto"/>
        <w:jc w:val="both"/>
        <w:rPr>
          <w:rFonts w:cs="Times New Roman"/>
          <w:bCs/>
          <w:sz w:val="22"/>
          <w:szCs w:val="20"/>
        </w:rPr>
      </w:pPr>
      <w:r w:rsidRPr="006539C8">
        <w:rPr>
          <w:rFonts w:cs="Times New Roman"/>
          <w:bCs/>
          <w:sz w:val="22"/>
          <w:szCs w:val="20"/>
        </w:rPr>
        <w:t>Figure 6: Inequalities in innovation activity in terms of disease burden in the top causes of disease burden in developing countries: diarrhea, lower respiratory infections and others (6a), neonatal disorders (6b), and cardiovascular and circulatory disorders (6c).</w:t>
      </w:r>
    </w:p>
    <w:p w14:paraId="25960D47" w14:textId="77777777" w:rsidR="006539C8" w:rsidRPr="006539C8" w:rsidRDefault="006539C8" w:rsidP="006539C8">
      <w:pPr>
        <w:spacing w:line="480" w:lineRule="auto"/>
        <w:jc w:val="both"/>
        <w:rPr>
          <w:rFonts w:cs="Times New Roman"/>
          <w:bCs/>
          <w:sz w:val="22"/>
          <w:szCs w:val="20"/>
        </w:rPr>
      </w:pPr>
      <w:r w:rsidRPr="006539C8">
        <w:rPr>
          <w:rFonts w:cs="Times New Roman"/>
          <w:bCs/>
          <w:sz w:val="22"/>
          <w:szCs w:val="20"/>
        </w:rPr>
        <w:t xml:space="preserve">Figure 7: Inequalities in innovation in terms of market size in the top four main causes of disease burden in developing countries: diarrhea, lower respiratory infections and others (7a), neonatal disorders (7b), and cardiovascular and circulatory disorders (7c). </w:t>
      </w:r>
    </w:p>
    <w:p w14:paraId="0FEDA0CA" w14:textId="77777777" w:rsidR="006539C8" w:rsidRPr="006539C8" w:rsidRDefault="006539C8" w:rsidP="006539C8">
      <w:pPr>
        <w:spacing w:line="480" w:lineRule="auto"/>
        <w:jc w:val="both"/>
        <w:rPr>
          <w:rFonts w:cs="Times New Roman"/>
          <w:sz w:val="22"/>
          <w:szCs w:val="20"/>
        </w:rPr>
      </w:pPr>
      <w:r w:rsidRPr="006539C8">
        <w:rPr>
          <w:rFonts w:cs="Times New Roman"/>
          <w:sz w:val="22"/>
          <w:szCs w:val="20"/>
        </w:rPr>
        <w:t>Figure 8: Inequality in innovation for Neglected Tropical Diseases and Malaria in terms of disease burden (8a) and market size (8b)</w:t>
      </w:r>
    </w:p>
    <w:p w14:paraId="766CAE5B" w14:textId="77777777" w:rsidR="002954D7" w:rsidRPr="005C4420" w:rsidRDefault="002954D7" w:rsidP="005C4420"/>
    <w:p w14:paraId="521124B3" w14:textId="20977724" w:rsidR="005C4420" w:rsidRDefault="005C4420">
      <w:pPr>
        <w:rPr>
          <w:rFonts w:cs="Times New Roman"/>
          <w:sz w:val="20"/>
          <w:szCs w:val="20"/>
        </w:rPr>
      </w:pPr>
      <w:r>
        <w:rPr>
          <w:rFonts w:cs="Times New Roman"/>
          <w:sz w:val="20"/>
          <w:szCs w:val="20"/>
        </w:rPr>
        <w:br w:type="page"/>
      </w:r>
    </w:p>
    <w:p w14:paraId="6DC25FC4" w14:textId="77777777" w:rsidR="005C4420" w:rsidRDefault="005C4420" w:rsidP="009C7054">
      <w:pPr>
        <w:spacing w:line="480" w:lineRule="auto"/>
        <w:rPr>
          <w:rFonts w:cs="Times New Roman"/>
          <w:sz w:val="20"/>
          <w:szCs w:val="20"/>
        </w:rPr>
      </w:pPr>
    </w:p>
    <w:p w14:paraId="4D0E921D" w14:textId="6467CBB3" w:rsidR="00231102" w:rsidRPr="00E13E1F" w:rsidRDefault="00231102" w:rsidP="00231102">
      <w:pPr>
        <w:pStyle w:val="Heading1"/>
      </w:pPr>
      <w:r>
        <w:t>Figures</w:t>
      </w:r>
    </w:p>
    <w:p w14:paraId="7DBC2322" w14:textId="77777777" w:rsidR="001023E0" w:rsidRPr="005C2262" w:rsidRDefault="001023E0" w:rsidP="009C7054">
      <w:pPr>
        <w:pStyle w:val="Caption"/>
        <w:spacing w:line="480" w:lineRule="auto"/>
        <w:ind w:left="357"/>
        <w:jc w:val="both"/>
        <w:rPr>
          <w:rFonts w:cs="Times New Roman"/>
          <w:color w:val="auto"/>
          <w:sz w:val="22"/>
          <w:szCs w:val="20"/>
        </w:rPr>
      </w:pPr>
      <w:r w:rsidRPr="005C2262">
        <w:rPr>
          <w:rFonts w:cs="Times New Roman"/>
          <w:color w:val="auto"/>
          <w:sz w:val="22"/>
          <w:szCs w:val="20"/>
        </w:rPr>
        <w:t xml:space="preserve">Figure </w:t>
      </w:r>
      <w:r w:rsidRPr="005C2262">
        <w:rPr>
          <w:rFonts w:cs="Times New Roman"/>
          <w:bCs w:val="0"/>
          <w:color w:val="auto"/>
          <w:sz w:val="22"/>
          <w:szCs w:val="20"/>
        </w:rPr>
        <w:t>1</w:t>
      </w:r>
      <w:r w:rsidRPr="005C2262">
        <w:rPr>
          <w:rFonts w:cs="Times New Roman"/>
          <w:color w:val="auto"/>
          <w:sz w:val="22"/>
          <w:szCs w:val="20"/>
        </w:rPr>
        <w:t>: Inequalities in the drug innovation activity in terms of disease burden in all diseases in 1990 (1a) and 2010 (1b)</w:t>
      </w:r>
    </w:p>
    <w:p w14:paraId="10DA8737" w14:textId="21DCC365" w:rsidR="00941F06" w:rsidRPr="004A7D5B" w:rsidRDefault="001023E0" w:rsidP="004A7D5B">
      <w:pPr>
        <w:ind w:left="426" w:hanging="142"/>
      </w:pPr>
      <w:r w:rsidRPr="005C2262">
        <w:rPr>
          <w:rFonts w:cs="Times New Roman"/>
          <w:b/>
          <w:bCs/>
          <w:sz w:val="22"/>
          <w:szCs w:val="20"/>
        </w:rPr>
        <w:t>(1a)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t>(1b)</w:t>
      </w:r>
      <w:r w:rsidR="002C28B0" w:rsidRPr="002C28B0">
        <w:rPr>
          <w:noProof/>
          <w:lang w:val="en-GB" w:eastAsia="en-GB"/>
        </w:rPr>
        <w:t xml:space="preserve"> </w:t>
      </w:r>
    </w:p>
    <w:p w14:paraId="5DCAD8F0" w14:textId="73454A4F" w:rsidR="008C49F0" w:rsidRPr="002C28B0" w:rsidRDefault="002C28B0" w:rsidP="002C28B0">
      <w:pPr>
        <w:ind w:left="284"/>
      </w:pPr>
      <w:r>
        <w:rPr>
          <w:noProof/>
          <w:lang w:val="en-GB" w:eastAsia="en-GB"/>
        </w:rPr>
        <w:drawing>
          <wp:inline distT="0" distB="0" distL="0" distR="0" wp14:anchorId="40F24108" wp14:editId="300955D4">
            <wp:extent cx="2603900" cy="29916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a 17june2018.png"/>
                    <pic:cNvPicPr/>
                  </pic:nvPicPr>
                  <pic:blipFill>
                    <a:blip r:embed="rId19">
                      <a:extLst>
                        <a:ext uri="{28A0092B-C50C-407E-A947-70E740481C1C}">
                          <a14:useLocalDpi xmlns:a14="http://schemas.microsoft.com/office/drawing/2010/main" val="0"/>
                        </a:ext>
                      </a:extLst>
                    </a:blip>
                    <a:stretch>
                      <a:fillRect/>
                    </a:stretch>
                  </pic:blipFill>
                  <pic:spPr>
                    <a:xfrm>
                      <a:off x="0" y="0"/>
                      <a:ext cx="2603900" cy="2991600"/>
                    </a:xfrm>
                    <a:prstGeom prst="rect">
                      <a:avLst/>
                    </a:prstGeom>
                  </pic:spPr>
                </pic:pic>
              </a:graphicData>
            </a:graphic>
          </wp:inline>
        </w:drawing>
      </w:r>
      <w:r>
        <w:rPr>
          <w:noProof/>
          <w:lang w:val="en-GB" w:eastAsia="en-GB"/>
        </w:rPr>
        <w:drawing>
          <wp:inline distT="0" distB="0" distL="0" distR="0" wp14:anchorId="44409EC0" wp14:editId="62DC74E7">
            <wp:extent cx="2603900" cy="29916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b 17june2018.png"/>
                    <pic:cNvPicPr/>
                  </pic:nvPicPr>
                  <pic:blipFill>
                    <a:blip r:embed="rId20">
                      <a:extLst>
                        <a:ext uri="{28A0092B-C50C-407E-A947-70E740481C1C}">
                          <a14:useLocalDpi xmlns:a14="http://schemas.microsoft.com/office/drawing/2010/main" val="0"/>
                        </a:ext>
                      </a:extLst>
                    </a:blip>
                    <a:stretch>
                      <a:fillRect/>
                    </a:stretch>
                  </pic:blipFill>
                  <pic:spPr>
                    <a:xfrm>
                      <a:off x="0" y="0"/>
                      <a:ext cx="2603900" cy="2991600"/>
                    </a:xfrm>
                    <a:prstGeom prst="rect">
                      <a:avLst/>
                    </a:prstGeom>
                  </pic:spPr>
                </pic:pic>
              </a:graphicData>
            </a:graphic>
          </wp:inline>
        </w:drawing>
      </w:r>
    </w:p>
    <w:p w14:paraId="3AEE2FFB" w14:textId="0C2D4E41" w:rsidR="004E33E6" w:rsidRDefault="004E33E6">
      <w:pPr>
        <w:rPr>
          <w:rFonts w:cs="Times New Roman"/>
          <w:bCs/>
          <w:sz w:val="20"/>
          <w:szCs w:val="20"/>
        </w:rPr>
      </w:pPr>
      <w:r>
        <w:rPr>
          <w:rFonts w:cs="Times New Roman"/>
          <w:b/>
          <w:sz w:val="20"/>
          <w:szCs w:val="20"/>
        </w:rPr>
        <w:br w:type="page"/>
      </w:r>
    </w:p>
    <w:p w14:paraId="411FB7F4" w14:textId="77777777" w:rsidR="001023E0" w:rsidRPr="001C3886" w:rsidRDefault="001023E0" w:rsidP="009C7054">
      <w:pPr>
        <w:pStyle w:val="Caption"/>
        <w:spacing w:line="480" w:lineRule="auto"/>
        <w:ind w:left="357"/>
        <w:jc w:val="both"/>
        <w:rPr>
          <w:rFonts w:cs="Times New Roman"/>
          <w:b w:val="0"/>
          <w:color w:val="auto"/>
          <w:sz w:val="20"/>
          <w:szCs w:val="20"/>
        </w:rPr>
      </w:pPr>
    </w:p>
    <w:p w14:paraId="5EB37916" w14:textId="77777777" w:rsidR="001023E0" w:rsidRPr="005C2262" w:rsidRDefault="001023E0" w:rsidP="009C7054">
      <w:pPr>
        <w:pStyle w:val="Caption"/>
        <w:spacing w:line="480" w:lineRule="auto"/>
        <w:ind w:left="357"/>
        <w:jc w:val="both"/>
        <w:rPr>
          <w:rFonts w:cs="Times New Roman"/>
          <w:color w:val="auto"/>
          <w:sz w:val="22"/>
          <w:szCs w:val="20"/>
        </w:rPr>
      </w:pPr>
      <w:r w:rsidRPr="00380413">
        <w:rPr>
          <w:rFonts w:cs="Times New Roman"/>
          <w:color w:val="auto"/>
          <w:sz w:val="22"/>
          <w:szCs w:val="20"/>
        </w:rPr>
        <w:t xml:space="preserve">Figure </w:t>
      </w:r>
      <w:r w:rsidRPr="002C5E98">
        <w:rPr>
          <w:rFonts w:cs="Times New Roman"/>
          <w:bCs w:val="0"/>
          <w:color w:val="auto"/>
          <w:sz w:val="22"/>
          <w:szCs w:val="20"/>
        </w:rPr>
        <w:t>2</w:t>
      </w:r>
      <w:r w:rsidRPr="00380413">
        <w:rPr>
          <w:rFonts w:cs="Times New Roman"/>
          <w:color w:val="auto"/>
          <w:sz w:val="22"/>
          <w:szCs w:val="20"/>
        </w:rPr>
        <w:t>: Inequalities in the drug innovation activity in terms of disease burden</w:t>
      </w:r>
      <w:r w:rsidRPr="005C2262">
        <w:rPr>
          <w:rFonts w:cs="Times New Roman"/>
          <w:color w:val="auto"/>
          <w:sz w:val="22"/>
          <w:szCs w:val="20"/>
        </w:rPr>
        <w:t xml:space="preserve"> in communicable diseases and non-communicable diseases in 1990 (2a) and 2010 (2b)</w:t>
      </w:r>
    </w:p>
    <w:p w14:paraId="26393715" w14:textId="77777777" w:rsidR="001023E0" w:rsidRPr="005C2262" w:rsidRDefault="001023E0" w:rsidP="009C7054">
      <w:pPr>
        <w:spacing w:line="480" w:lineRule="auto"/>
        <w:ind w:left="357"/>
        <w:rPr>
          <w:rFonts w:cs="Times New Roman"/>
          <w:b/>
          <w:sz w:val="22"/>
          <w:szCs w:val="20"/>
        </w:rPr>
      </w:pPr>
      <w:r w:rsidRPr="005C2262">
        <w:rPr>
          <w:rFonts w:cs="Times New Roman"/>
          <w:b/>
          <w:bCs/>
          <w:sz w:val="22"/>
          <w:szCs w:val="20"/>
        </w:rPr>
        <w:t>(2a)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t>(2b)</w:t>
      </w:r>
    </w:p>
    <w:p w14:paraId="13CB27ED" w14:textId="0A9C3B14" w:rsidR="005220EE" w:rsidRDefault="009E6B38"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7B699AF6" wp14:editId="6E854928">
            <wp:extent cx="2603902" cy="2991600"/>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e 2a 17june2018.png"/>
                    <pic:cNvPicPr/>
                  </pic:nvPicPr>
                  <pic:blipFill>
                    <a:blip r:embed="rId21">
                      <a:extLst>
                        <a:ext uri="{28A0092B-C50C-407E-A947-70E740481C1C}">
                          <a14:useLocalDpi xmlns:a14="http://schemas.microsoft.com/office/drawing/2010/main" val="0"/>
                        </a:ext>
                      </a:extLst>
                    </a:blip>
                    <a:stretch>
                      <a:fillRect/>
                    </a:stretch>
                  </pic:blipFill>
                  <pic:spPr>
                    <a:xfrm>
                      <a:off x="0" y="0"/>
                      <a:ext cx="2603902" cy="29916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44F31537" wp14:editId="58BD73D0">
            <wp:extent cx="2603902" cy="2991600"/>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e 2b 17june2018.png"/>
                    <pic:cNvPicPr/>
                  </pic:nvPicPr>
                  <pic:blipFill>
                    <a:blip r:embed="rId22">
                      <a:extLst>
                        <a:ext uri="{28A0092B-C50C-407E-A947-70E740481C1C}">
                          <a14:useLocalDpi xmlns:a14="http://schemas.microsoft.com/office/drawing/2010/main" val="0"/>
                        </a:ext>
                      </a:extLst>
                    </a:blip>
                    <a:stretch>
                      <a:fillRect/>
                    </a:stretch>
                  </pic:blipFill>
                  <pic:spPr>
                    <a:xfrm>
                      <a:off x="0" y="0"/>
                      <a:ext cx="2603902" cy="2991600"/>
                    </a:xfrm>
                    <a:prstGeom prst="rect">
                      <a:avLst/>
                    </a:prstGeom>
                  </pic:spPr>
                </pic:pic>
              </a:graphicData>
            </a:graphic>
          </wp:inline>
        </w:drawing>
      </w:r>
    </w:p>
    <w:p w14:paraId="5A2208C1" w14:textId="1FCE33A0" w:rsidR="009A3B1B" w:rsidRPr="001C3886" w:rsidRDefault="009A3B1B" w:rsidP="009C7054">
      <w:pPr>
        <w:spacing w:line="480" w:lineRule="auto"/>
        <w:ind w:left="357"/>
        <w:jc w:val="both"/>
        <w:rPr>
          <w:rFonts w:cs="Times New Roman"/>
          <w:sz w:val="20"/>
          <w:szCs w:val="20"/>
        </w:rPr>
      </w:pPr>
    </w:p>
    <w:p w14:paraId="1516CFE5" w14:textId="4FEA5F52" w:rsidR="006539C8" w:rsidRDefault="006539C8">
      <w:pPr>
        <w:rPr>
          <w:rFonts w:cs="Times New Roman"/>
          <w:bCs/>
          <w:sz w:val="22"/>
          <w:szCs w:val="20"/>
        </w:rPr>
      </w:pPr>
      <w:r>
        <w:rPr>
          <w:rFonts w:cs="Times New Roman"/>
          <w:b/>
          <w:sz w:val="22"/>
          <w:szCs w:val="20"/>
        </w:rPr>
        <w:br w:type="page"/>
      </w:r>
    </w:p>
    <w:p w14:paraId="2732465B" w14:textId="1391638B" w:rsidR="001023E0" w:rsidRPr="005C2262" w:rsidRDefault="001023E0" w:rsidP="009C7054">
      <w:pPr>
        <w:pStyle w:val="Caption"/>
        <w:spacing w:line="480" w:lineRule="auto"/>
        <w:ind w:left="357"/>
        <w:rPr>
          <w:rFonts w:cs="Times New Roman"/>
          <w:color w:val="auto"/>
          <w:sz w:val="22"/>
          <w:szCs w:val="20"/>
        </w:rPr>
      </w:pPr>
      <w:r w:rsidRPr="005C2262">
        <w:rPr>
          <w:rFonts w:cs="Times New Roman"/>
          <w:color w:val="auto"/>
          <w:sz w:val="22"/>
          <w:szCs w:val="20"/>
        </w:rPr>
        <w:lastRenderedPageBreak/>
        <w:t xml:space="preserve">Figure 3: Inequality in the drug innovation activity </w:t>
      </w:r>
      <w:r w:rsidR="00D86FB5">
        <w:rPr>
          <w:rFonts w:cs="Times New Roman"/>
          <w:color w:val="auto"/>
          <w:sz w:val="22"/>
          <w:szCs w:val="20"/>
        </w:rPr>
        <w:t>in terms of</w:t>
      </w:r>
      <w:r w:rsidR="00D86FB5" w:rsidRPr="005C2262">
        <w:rPr>
          <w:rFonts w:cs="Times New Roman"/>
          <w:color w:val="auto"/>
          <w:sz w:val="22"/>
          <w:szCs w:val="20"/>
        </w:rPr>
        <w:t xml:space="preserve"> </w:t>
      </w:r>
      <w:r w:rsidRPr="005C2262">
        <w:rPr>
          <w:rFonts w:cs="Times New Roman"/>
          <w:color w:val="auto"/>
          <w:sz w:val="22"/>
          <w:szCs w:val="20"/>
        </w:rPr>
        <w:t>market size in communicable diseases and non-communicable diseases in 1990 (3a) and 2010 (3b)</w:t>
      </w:r>
    </w:p>
    <w:p w14:paraId="1F12B9E6" w14:textId="77E09CFB" w:rsidR="009A3B1B" w:rsidRPr="004A7D5B" w:rsidRDefault="001023E0" w:rsidP="000F227A">
      <w:pPr>
        <w:spacing w:line="480" w:lineRule="auto"/>
        <w:ind w:left="357"/>
        <w:rPr>
          <w:sz w:val="20"/>
        </w:rPr>
      </w:pPr>
      <w:r w:rsidRPr="005C2262">
        <w:rPr>
          <w:rFonts w:cs="Times New Roman"/>
          <w:b/>
          <w:bCs/>
          <w:sz w:val="22"/>
          <w:szCs w:val="20"/>
        </w:rPr>
        <w:t>(3a)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t>(3b)</w:t>
      </w:r>
    </w:p>
    <w:p w14:paraId="7C006599" w14:textId="09412FAA" w:rsidR="009A3B1B" w:rsidRDefault="005220EE"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7AA180F6" wp14:editId="702BF66D">
            <wp:extent cx="2531832" cy="2908800"/>
            <wp:effectExtent l="0" t="0" r="190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3a 17june2018.png"/>
                    <pic:cNvPicPr/>
                  </pic:nvPicPr>
                  <pic:blipFill>
                    <a:blip r:embed="rId23">
                      <a:extLst>
                        <a:ext uri="{28A0092B-C50C-407E-A947-70E740481C1C}">
                          <a14:useLocalDpi xmlns:a14="http://schemas.microsoft.com/office/drawing/2010/main" val="0"/>
                        </a:ext>
                      </a:extLst>
                    </a:blip>
                    <a:stretch>
                      <a:fillRect/>
                    </a:stretch>
                  </pic:blipFill>
                  <pic:spPr>
                    <a:xfrm>
                      <a:off x="0" y="0"/>
                      <a:ext cx="2531832" cy="29088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575E2AD1" wp14:editId="6EDA7C2B">
            <wp:extent cx="2531832" cy="2908800"/>
            <wp:effectExtent l="0" t="0" r="1905"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3b 17june2018.png"/>
                    <pic:cNvPicPr/>
                  </pic:nvPicPr>
                  <pic:blipFill>
                    <a:blip r:embed="rId24">
                      <a:extLst>
                        <a:ext uri="{28A0092B-C50C-407E-A947-70E740481C1C}">
                          <a14:useLocalDpi xmlns:a14="http://schemas.microsoft.com/office/drawing/2010/main" val="0"/>
                        </a:ext>
                      </a:extLst>
                    </a:blip>
                    <a:stretch>
                      <a:fillRect/>
                    </a:stretch>
                  </pic:blipFill>
                  <pic:spPr>
                    <a:xfrm>
                      <a:off x="0" y="0"/>
                      <a:ext cx="2531832" cy="2908800"/>
                    </a:xfrm>
                    <a:prstGeom prst="rect">
                      <a:avLst/>
                    </a:prstGeom>
                  </pic:spPr>
                </pic:pic>
              </a:graphicData>
            </a:graphic>
          </wp:inline>
        </w:drawing>
      </w:r>
    </w:p>
    <w:p w14:paraId="4467EBCC" w14:textId="77777777" w:rsidR="009A3B1B" w:rsidRDefault="009A3B1B" w:rsidP="009C7054">
      <w:pPr>
        <w:spacing w:line="480" w:lineRule="auto"/>
        <w:ind w:left="357"/>
        <w:jc w:val="both"/>
        <w:rPr>
          <w:rFonts w:cs="Times New Roman"/>
          <w:sz w:val="20"/>
          <w:szCs w:val="20"/>
        </w:rPr>
      </w:pPr>
    </w:p>
    <w:p w14:paraId="7CD993B4" w14:textId="2C72717E" w:rsidR="001023E0" w:rsidRPr="001C3886" w:rsidRDefault="001023E0" w:rsidP="009C7054">
      <w:pPr>
        <w:spacing w:line="480" w:lineRule="auto"/>
        <w:ind w:left="357"/>
        <w:jc w:val="both"/>
        <w:rPr>
          <w:rFonts w:cs="Times New Roman"/>
          <w:sz w:val="20"/>
          <w:szCs w:val="20"/>
        </w:rPr>
      </w:pPr>
      <w:r w:rsidRPr="001C3886">
        <w:rPr>
          <w:rFonts w:cs="Times New Roman"/>
          <w:sz w:val="20"/>
          <w:szCs w:val="20"/>
        </w:rPr>
        <w:br w:type="page"/>
      </w:r>
    </w:p>
    <w:p w14:paraId="420451AF" w14:textId="77777777" w:rsidR="001023E0" w:rsidRPr="005C2262" w:rsidRDefault="001023E0" w:rsidP="009C7054">
      <w:pPr>
        <w:pStyle w:val="Caption"/>
        <w:spacing w:line="480" w:lineRule="auto"/>
        <w:ind w:left="357"/>
        <w:jc w:val="both"/>
        <w:rPr>
          <w:rFonts w:cs="Times New Roman"/>
          <w:color w:val="auto"/>
          <w:sz w:val="22"/>
          <w:szCs w:val="20"/>
        </w:rPr>
      </w:pPr>
      <w:r w:rsidRPr="005C2262">
        <w:rPr>
          <w:rFonts w:cs="Times New Roman"/>
          <w:color w:val="auto"/>
          <w:sz w:val="22"/>
          <w:szCs w:val="20"/>
        </w:rPr>
        <w:lastRenderedPageBreak/>
        <w:t>Figure 4:</w:t>
      </w:r>
      <w:r w:rsidRPr="005C2262">
        <w:rPr>
          <w:rFonts w:cs="Times New Roman"/>
          <w:sz w:val="22"/>
          <w:szCs w:val="20"/>
        </w:rPr>
        <w:t xml:space="preserve"> </w:t>
      </w:r>
      <w:r w:rsidRPr="005C2262">
        <w:rPr>
          <w:rFonts w:cs="Times New Roman"/>
          <w:color w:val="auto"/>
          <w:sz w:val="22"/>
          <w:szCs w:val="20"/>
        </w:rPr>
        <w:t>Inequalities in innovation in terms of disease burden in the top four main causes of disease burden in developed countries: cardiovascular and circulatory diseases (4a), neoplasms (4b), musculoskeletal disorders (4c) and mental and behavioural disorders (4d)</w:t>
      </w:r>
    </w:p>
    <w:p w14:paraId="37404BFA" w14:textId="068B23E9" w:rsidR="001023E0" w:rsidRPr="004A7D5B" w:rsidRDefault="001023E0" w:rsidP="00A72989">
      <w:pPr>
        <w:spacing w:line="480" w:lineRule="auto"/>
        <w:ind w:left="357"/>
        <w:rPr>
          <w:sz w:val="20"/>
        </w:rPr>
      </w:pPr>
      <w:r w:rsidRPr="005C2262">
        <w:rPr>
          <w:rFonts w:cs="Times New Roman"/>
          <w:b/>
          <w:bCs/>
          <w:sz w:val="22"/>
          <w:szCs w:val="20"/>
        </w:rPr>
        <w:t>(4a)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t>(4b)</w:t>
      </w:r>
    </w:p>
    <w:p w14:paraId="38B8DE24" w14:textId="0950ECF8" w:rsidR="00116BC3" w:rsidRPr="001C3886" w:rsidRDefault="00116BC3" w:rsidP="009C7054">
      <w:pPr>
        <w:spacing w:line="480" w:lineRule="auto"/>
        <w:ind w:left="357"/>
        <w:rPr>
          <w:rFonts w:cs="Times New Roman"/>
          <w:sz w:val="20"/>
          <w:szCs w:val="20"/>
        </w:rPr>
      </w:pPr>
      <w:r w:rsidRPr="004B1BF5">
        <w:rPr>
          <w:rFonts w:cs="Times New Roman"/>
          <w:noProof/>
          <w:sz w:val="20"/>
          <w:szCs w:val="20"/>
          <w:lang w:val="en-GB" w:eastAsia="en-GB"/>
        </w:rPr>
        <w:drawing>
          <wp:inline distT="0" distB="0" distL="0" distR="0" wp14:anchorId="2B13DBA7" wp14:editId="2BF9A90F">
            <wp:extent cx="2635236" cy="3027600"/>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4a 17june2018.png"/>
                    <pic:cNvPicPr/>
                  </pic:nvPicPr>
                  <pic:blipFill>
                    <a:blip r:embed="rId25">
                      <a:extLst>
                        <a:ext uri="{28A0092B-C50C-407E-A947-70E740481C1C}">
                          <a14:useLocalDpi xmlns:a14="http://schemas.microsoft.com/office/drawing/2010/main" val="0"/>
                        </a:ext>
                      </a:extLst>
                    </a:blip>
                    <a:stretch>
                      <a:fillRect/>
                    </a:stretch>
                  </pic:blipFill>
                  <pic:spPr>
                    <a:xfrm>
                      <a:off x="0" y="0"/>
                      <a:ext cx="2635236" cy="30276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39F954D9" wp14:editId="50092E40">
            <wp:extent cx="2635236" cy="3027600"/>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e 4b 17june2018.png"/>
                    <pic:cNvPicPr/>
                  </pic:nvPicPr>
                  <pic:blipFill>
                    <a:blip r:embed="rId26">
                      <a:extLst>
                        <a:ext uri="{28A0092B-C50C-407E-A947-70E740481C1C}">
                          <a14:useLocalDpi xmlns:a14="http://schemas.microsoft.com/office/drawing/2010/main" val="0"/>
                        </a:ext>
                      </a:extLst>
                    </a:blip>
                    <a:stretch>
                      <a:fillRect/>
                    </a:stretch>
                  </pic:blipFill>
                  <pic:spPr>
                    <a:xfrm>
                      <a:off x="0" y="0"/>
                      <a:ext cx="2635236" cy="3027600"/>
                    </a:xfrm>
                    <a:prstGeom prst="rect">
                      <a:avLst/>
                    </a:prstGeom>
                  </pic:spPr>
                </pic:pic>
              </a:graphicData>
            </a:graphic>
          </wp:inline>
        </w:drawing>
      </w:r>
    </w:p>
    <w:p w14:paraId="40BCE85D" w14:textId="19E695AF" w:rsidR="001023E0" w:rsidRPr="004A7D5B" w:rsidRDefault="001023E0" w:rsidP="00AA38C4">
      <w:pPr>
        <w:spacing w:line="480" w:lineRule="auto"/>
        <w:ind w:left="357"/>
        <w:rPr>
          <w:b/>
          <w:sz w:val="22"/>
        </w:rPr>
      </w:pPr>
      <w:r w:rsidRPr="004A7D5B">
        <w:rPr>
          <w:b/>
          <w:sz w:val="22"/>
        </w:rPr>
        <w:t>(4c)</w:t>
      </w:r>
      <w:r w:rsidRPr="004A7D5B">
        <w:rPr>
          <w:b/>
          <w:sz w:val="22"/>
        </w:rPr>
        <w:tab/>
      </w:r>
      <w:r w:rsidRPr="004A7D5B">
        <w:rPr>
          <w:b/>
          <w:sz w:val="22"/>
        </w:rPr>
        <w:tab/>
      </w:r>
      <w:r w:rsidRPr="004A7D5B">
        <w:rPr>
          <w:b/>
          <w:sz w:val="22"/>
        </w:rPr>
        <w:tab/>
      </w:r>
      <w:r w:rsidRPr="004A7D5B">
        <w:rPr>
          <w:b/>
          <w:sz w:val="22"/>
        </w:rPr>
        <w:tab/>
      </w:r>
      <w:r w:rsidRPr="004A7D5B">
        <w:rPr>
          <w:b/>
          <w:sz w:val="22"/>
        </w:rPr>
        <w:tab/>
      </w:r>
      <w:r w:rsidRPr="004A7D5B">
        <w:rPr>
          <w:b/>
          <w:sz w:val="22"/>
        </w:rPr>
        <w:tab/>
      </w:r>
      <w:r w:rsidR="00AA38C4">
        <w:rPr>
          <w:rFonts w:cs="Times New Roman"/>
          <w:b/>
          <w:bCs/>
          <w:sz w:val="22"/>
          <w:szCs w:val="20"/>
        </w:rPr>
        <w:tab/>
      </w:r>
      <w:r w:rsidRPr="004A7D5B">
        <w:rPr>
          <w:b/>
          <w:sz w:val="22"/>
        </w:rPr>
        <w:t>(4d</w:t>
      </w:r>
      <w:r w:rsidR="00AA38C4" w:rsidRPr="004A7D5B">
        <w:rPr>
          <w:b/>
          <w:sz w:val="22"/>
        </w:rPr>
        <w:t>)</w:t>
      </w:r>
    </w:p>
    <w:p w14:paraId="6867C761" w14:textId="6D377146" w:rsidR="00A72989" w:rsidRDefault="00AA38C4"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4FAE60CF" wp14:editId="50D3D1D3">
            <wp:extent cx="2638370" cy="3031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e 4c 17june2018.png"/>
                    <pic:cNvPicPr/>
                  </pic:nvPicPr>
                  <pic:blipFill>
                    <a:blip r:embed="rId27">
                      <a:extLst>
                        <a:ext uri="{28A0092B-C50C-407E-A947-70E740481C1C}">
                          <a14:useLocalDpi xmlns:a14="http://schemas.microsoft.com/office/drawing/2010/main" val="0"/>
                        </a:ext>
                      </a:extLst>
                    </a:blip>
                    <a:stretch>
                      <a:fillRect/>
                    </a:stretch>
                  </pic:blipFill>
                  <pic:spPr>
                    <a:xfrm>
                      <a:off x="0" y="0"/>
                      <a:ext cx="2638370" cy="30312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03016A1E" wp14:editId="44D279D5">
            <wp:extent cx="2635236" cy="3027600"/>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e 4d 17june2018.png"/>
                    <pic:cNvPicPr/>
                  </pic:nvPicPr>
                  <pic:blipFill>
                    <a:blip r:embed="rId28">
                      <a:extLst>
                        <a:ext uri="{28A0092B-C50C-407E-A947-70E740481C1C}">
                          <a14:useLocalDpi xmlns:a14="http://schemas.microsoft.com/office/drawing/2010/main" val="0"/>
                        </a:ext>
                      </a:extLst>
                    </a:blip>
                    <a:stretch>
                      <a:fillRect/>
                    </a:stretch>
                  </pic:blipFill>
                  <pic:spPr>
                    <a:xfrm>
                      <a:off x="0" y="0"/>
                      <a:ext cx="2635236" cy="3027600"/>
                    </a:xfrm>
                    <a:prstGeom prst="rect">
                      <a:avLst/>
                    </a:prstGeom>
                  </pic:spPr>
                </pic:pic>
              </a:graphicData>
            </a:graphic>
          </wp:inline>
        </w:drawing>
      </w:r>
    </w:p>
    <w:p w14:paraId="2A2AFF58" w14:textId="630D282B" w:rsidR="001023E0" w:rsidRPr="001C3886" w:rsidRDefault="001023E0" w:rsidP="00E8086D">
      <w:pPr>
        <w:spacing w:line="480" w:lineRule="auto"/>
        <w:ind w:left="357"/>
        <w:jc w:val="both"/>
        <w:rPr>
          <w:rFonts w:cs="Times New Roman"/>
          <w:sz w:val="20"/>
          <w:szCs w:val="20"/>
        </w:rPr>
      </w:pPr>
      <w:r w:rsidRPr="001C3886">
        <w:rPr>
          <w:rFonts w:cs="Times New Roman"/>
          <w:sz w:val="20"/>
          <w:szCs w:val="20"/>
        </w:rPr>
        <w:t xml:space="preserve">Note: The concentration curves in Figures 4a and 4c start from a point other than the origin, meaning that the first disease in the distribution (i.e. the one that has the lowest disease burden, the lowest on the rank) is responsible for non-zero drugs launched in the market. Curves in Figure 4d show that the first disease in the </w:t>
      </w:r>
      <w:r w:rsidRPr="001C3886">
        <w:rPr>
          <w:rFonts w:cs="Times New Roman"/>
          <w:sz w:val="20"/>
          <w:szCs w:val="20"/>
        </w:rPr>
        <w:lastRenderedPageBreak/>
        <w:t>distribution is responsible for zero drugs launched in the market.</w:t>
      </w:r>
      <w:r w:rsidR="00D16E90">
        <w:rPr>
          <w:rFonts w:cs="Times New Roman"/>
          <w:sz w:val="20"/>
          <w:szCs w:val="20"/>
        </w:rPr>
        <w:t xml:space="preserve"> </w:t>
      </w:r>
      <w:r w:rsidR="00D16E90" w:rsidRPr="00D16E90">
        <w:rPr>
          <w:rFonts w:cs="Times New Roman"/>
          <w:sz w:val="20"/>
          <w:szCs w:val="20"/>
        </w:rPr>
        <w:t>The categorization of developed and developing countries follows the United Nations (United Nations, 2017) classification available at http://unstats.un.org/unsd/methods/m49/m49regin.htm#developed.</w:t>
      </w:r>
    </w:p>
    <w:p w14:paraId="4E92985A" w14:textId="77777777" w:rsidR="001023E0" w:rsidRDefault="001023E0" w:rsidP="009C7054">
      <w:pPr>
        <w:spacing w:line="480" w:lineRule="auto"/>
        <w:rPr>
          <w:rFonts w:cs="Times New Roman"/>
          <w:bCs/>
          <w:sz w:val="20"/>
          <w:szCs w:val="20"/>
        </w:rPr>
      </w:pPr>
      <w:r>
        <w:rPr>
          <w:rFonts w:cs="Times New Roman"/>
          <w:b/>
          <w:sz w:val="20"/>
          <w:szCs w:val="20"/>
        </w:rPr>
        <w:br w:type="page"/>
      </w:r>
    </w:p>
    <w:p w14:paraId="68EB962D" w14:textId="77777777" w:rsidR="001023E0" w:rsidRPr="005C2262" w:rsidRDefault="001023E0" w:rsidP="009C7054">
      <w:pPr>
        <w:pStyle w:val="Caption"/>
        <w:spacing w:line="480" w:lineRule="auto"/>
        <w:ind w:left="357"/>
        <w:jc w:val="both"/>
        <w:rPr>
          <w:rFonts w:cs="Times New Roman"/>
          <w:color w:val="auto"/>
          <w:sz w:val="22"/>
          <w:szCs w:val="20"/>
        </w:rPr>
      </w:pPr>
      <w:r w:rsidRPr="005C2262">
        <w:rPr>
          <w:rFonts w:cs="Times New Roman"/>
          <w:color w:val="auto"/>
          <w:sz w:val="22"/>
          <w:szCs w:val="20"/>
        </w:rPr>
        <w:lastRenderedPageBreak/>
        <w:t>Figure 5:</w:t>
      </w:r>
      <w:r w:rsidRPr="005C2262">
        <w:rPr>
          <w:rFonts w:cs="Times New Roman"/>
          <w:sz w:val="22"/>
          <w:szCs w:val="20"/>
        </w:rPr>
        <w:t xml:space="preserve"> </w:t>
      </w:r>
      <w:r w:rsidRPr="005C2262">
        <w:rPr>
          <w:rFonts w:cs="Times New Roman"/>
          <w:color w:val="auto"/>
          <w:sz w:val="22"/>
          <w:szCs w:val="20"/>
        </w:rPr>
        <w:t>Inequalities in innovation in terms of market size in the top four main causes of disease burden in developed countries: cardiovascular and circulatory diseases (5a), neoplasms (5b), musculoskeletal disorders (5c) and mental and behavioural disorders (5d)</w:t>
      </w:r>
    </w:p>
    <w:p w14:paraId="1447CC4A" w14:textId="7BEB696C" w:rsidR="001023E0" w:rsidRPr="00E8086D" w:rsidRDefault="001023E0" w:rsidP="00E8086D">
      <w:pPr>
        <w:spacing w:line="480" w:lineRule="auto"/>
        <w:ind w:left="357"/>
        <w:rPr>
          <w:rFonts w:cs="Times New Roman"/>
          <w:b/>
          <w:bCs/>
          <w:sz w:val="22"/>
          <w:szCs w:val="20"/>
        </w:rPr>
      </w:pPr>
      <w:r w:rsidRPr="005C2262">
        <w:rPr>
          <w:rFonts w:cs="Times New Roman"/>
          <w:b/>
          <w:bCs/>
          <w:sz w:val="22"/>
          <w:szCs w:val="20"/>
        </w:rPr>
        <w:t>(5a)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00E8086D">
        <w:rPr>
          <w:rFonts w:cs="Times New Roman"/>
          <w:b/>
          <w:bCs/>
          <w:sz w:val="22"/>
          <w:szCs w:val="20"/>
        </w:rPr>
        <w:t>(5b)</w:t>
      </w:r>
    </w:p>
    <w:p w14:paraId="5C870B21" w14:textId="13086F51" w:rsidR="00E8086D" w:rsidRPr="001C3886" w:rsidRDefault="00E8086D"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530B8FA7" wp14:editId="57729A6F">
            <wp:extent cx="2588234" cy="297360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e 5a 17june2018.png"/>
                    <pic:cNvPicPr/>
                  </pic:nvPicPr>
                  <pic:blipFill>
                    <a:blip r:embed="rId29">
                      <a:extLst>
                        <a:ext uri="{28A0092B-C50C-407E-A947-70E740481C1C}">
                          <a14:useLocalDpi xmlns:a14="http://schemas.microsoft.com/office/drawing/2010/main" val="0"/>
                        </a:ext>
                      </a:extLst>
                    </a:blip>
                    <a:stretch>
                      <a:fillRect/>
                    </a:stretch>
                  </pic:blipFill>
                  <pic:spPr>
                    <a:xfrm>
                      <a:off x="0" y="0"/>
                      <a:ext cx="2588234" cy="29736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45A3360A" wp14:editId="5EB9ED71">
            <wp:extent cx="2588234" cy="297360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e 5b 17june2018.png"/>
                    <pic:cNvPicPr/>
                  </pic:nvPicPr>
                  <pic:blipFill>
                    <a:blip r:embed="rId30">
                      <a:extLst>
                        <a:ext uri="{28A0092B-C50C-407E-A947-70E740481C1C}">
                          <a14:useLocalDpi xmlns:a14="http://schemas.microsoft.com/office/drawing/2010/main" val="0"/>
                        </a:ext>
                      </a:extLst>
                    </a:blip>
                    <a:stretch>
                      <a:fillRect/>
                    </a:stretch>
                  </pic:blipFill>
                  <pic:spPr>
                    <a:xfrm>
                      <a:off x="0" y="0"/>
                      <a:ext cx="2588234" cy="2973600"/>
                    </a:xfrm>
                    <a:prstGeom prst="rect">
                      <a:avLst/>
                    </a:prstGeom>
                  </pic:spPr>
                </pic:pic>
              </a:graphicData>
            </a:graphic>
          </wp:inline>
        </w:drawing>
      </w:r>
    </w:p>
    <w:p w14:paraId="20B29B2F" w14:textId="1550AD3E" w:rsidR="001023E0" w:rsidRPr="00E8086D" w:rsidRDefault="001023E0" w:rsidP="00E8086D">
      <w:pPr>
        <w:spacing w:line="480" w:lineRule="auto"/>
        <w:ind w:left="357"/>
        <w:rPr>
          <w:rFonts w:cs="Times New Roman"/>
          <w:b/>
          <w:bCs/>
          <w:sz w:val="20"/>
          <w:szCs w:val="20"/>
        </w:rPr>
      </w:pPr>
      <w:r w:rsidRPr="001C3886">
        <w:rPr>
          <w:rFonts w:cs="Times New Roman"/>
          <w:b/>
          <w:bCs/>
          <w:sz w:val="20"/>
          <w:szCs w:val="20"/>
        </w:rPr>
        <w:t>(5c)</w:t>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00E8086D">
        <w:rPr>
          <w:rFonts w:cs="Times New Roman"/>
          <w:b/>
          <w:bCs/>
          <w:sz w:val="20"/>
          <w:szCs w:val="20"/>
        </w:rPr>
        <w:t>(5d)</w:t>
      </w:r>
    </w:p>
    <w:p w14:paraId="1FFE7845" w14:textId="27DEE579" w:rsidR="00E8086D" w:rsidRPr="001C3886" w:rsidRDefault="00E8086D"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0EA8C72C" wp14:editId="5DF15283">
            <wp:extent cx="2588234" cy="297360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e 5c 17june2018.png"/>
                    <pic:cNvPicPr/>
                  </pic:nvPicPr>
                  <pic:blipFill>
                    <a:blip r:embed="rId31">
                      <a:extLst>
                        <a:ext uri="{28A0092B-C50C-407E-A947-70E740481C1C}">
                          <a14:useLocalDpi xmlns:a14="http://schemas.microsoft.com/office/drawing/2010/main" val="0"/>
                        </a:ext>
                      </a:extLst>
                    </a:blip>
                    <a:stretch>
                      <a:fillRect/>
                    </a:stretch>
                  </pic:blipFill>
                  <pic:spPr>
                    <a:xfrm>
                      <a:off x="0" y="0"/>
                      <a:ext cx="2588234" cy="29736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2D1613B2" wp14:editId="1A91F87F">
            <wp:extent cx="2588234" cy="297360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e 5d 17june2018.png"/>
                    <pic:cNvPicPr/>
                  </pic:nvPicPr>
                  <pic:blipFill>
                    <a:blip r:embed="rId32">
                      <a:extLst>
                        <a:ext uri="{28A0092B-C50C-407E-A947-70E740481C1C}">
                          <a14:useLocalDpi xmlns:a14="http://schemas.microsoft.com/office/drawing/2010/main" val="0"/>
                        </a:ext>
                      </a:extLst>
                    </a:blip>
                    <a:stretch>
                      <a:fillRect/>
                    </a:stretch>
                  </pic:blipFill>
                  <pic:spPr>
                    <a:xfrm>
                      <a:off x="0" y="0"/>
                      <a:ext cx="2588234" cy="2973600"/>
                    </a:xfrm>
                    <a:prstGeom prst="rect">
                      <a:avLst/>
                    </a:prstGeom>
                  </pic:spPr>
                </pic:pic>
              </a:graphicData>
            </a:graphic>
          </wp:inline>
        </w:drawing>
      </w:r>
    </w:p>
    <w:p w14:paraId="7EF82E4A" w14:textId="7A65BD5A" w:rsidR="001023E0" w:rsidRPr="001C3886" w:rsidRDefault="001023E0" w:rsidP="009C7054">
      <w:pPr>
        <w:spacing w:line="480" w:lineRule="auto"/>
        <w:ind w:left="357"/>
        <w:jc w:val="both"/>
        <w:rPr>
          <w:rFonts w:cs="Times New Roman"/>
          <w:sz w:val="20"/>
          <w:szCs w:val="20"/>
        </w:rPr>
      </w:pPr>
      <w:r w:rsidRPr="001C3886">
        <w:rPr>
          <w:rFonts w:cs="Times New Roman"/>
          <w:sz w:val="20"/>
          <w:szCs w:val="20"/>
        </w:rPr>
        <w:t xml:space="preserve">Note: Curves in Figure 5c and 5d start from a point other than the origin, meaning that the first disease in the distribution is responsible for zero drugs launched in the market. </w:t>
      </w:r>
      <w:r w:rsidR="00D16E90" w:rsidRPr="00D16E90">
        <w:rPr>
          <w:rFonts w:cs="Times New Roman"/>
          <w:sz w:val="20"/>
          <w:szCs w:val="20"/>
        </w:rPr>
        <w:t xml:space="preserve">The categorization of developed and </w:t>
      </w:r>
      <w:r w:rsidR="00D16E90" w:rsidRPr="00D16E90">
        <w:rPr>
          <w:rFonts w:cs="Times New Roman"/>
          <w:sz w:val="20"/>
          <w:szCs w:val="20"/>
        </w:rPr>
        <w:lastRenderedPageBreak/>
        <w:t>developing countries follows the United Nations (United Nations, 2017) classification available at http://unstats.un.org/unsd/methods/m49/m49regin.htm#developed.</w:t>
      </w:r>
    </w:p>
    <w:p w14:paraId="1214D362" w14:textId="77777777" w:rsidR="001023E0" w:rsidRPr="001C3886" w:rsidRDefault="001023E0" w:rsidP="009C7054">
      <w:pPr>
        <w:spacing w:line="480" w:lineRule="auto"/>
        <w:ind w:left="357"/>
        <w:jc w:val="both"/>
        <w:rPr>
          <w:rFonts w:cs="Times New Roman"/>
          <w:sz w:val="20"/>
          <w:szCs w:val="20"/>
        </w:rPr>
      </w:pPr>
    </w:p>
    <w:p w14:paraId="43FE0BE0" w14:textId="77777777" w:rsidR="001023E0" w:rsidRPr="005C2262" w:rsidRDefault="001023E0" w:rsidP="009C7054">
      <w:pPr>
        <w:pStyle w:val="Caption"/>
        <w:spacing w:line="480" w:lineRule="auto"/>
        <w:ind w:left="357"/>
        <w:jc w:val="both"/>
        <w:rPr>
          <w:rFonts w:cs="Times New Roman"/>
          <w:color w:val="auto"/>
          <w:sz w:val="22"/>
          <w:szCs w:val="20"/>
        </w:rPr>
      </w:pPr>
      <w:r w:rsidRPr="001C3886">
        <w:rPr>
          <w:rFonts w:cs="Times New Roman"/>
          <w:sz w:val="20"/>
          <w:szCs w:val="20"/>
        </w:rPr>
        <w:br w:type="page"/>
      </w:r>
      <w:r w:rsidRPr="005C2262">
        <w:rPr>
          <w:rFonts w:cs="Times New Roman"/>
          <w:color w:val="auto"/>
          <w:sz w:val="22"/>
          <w:szCs w:val="20"/>
        </w:rPr>
        <w:lastRenderedPageBreak/>
        <w:t>Figure 6:</w:t>
      </w:r>
      <w:r w:rsidRPr="005C2262">
        <w:rPr>
          <w:rFonts w:cs="Times New Roman"/>
          <w:sz w:val="22"/>
          <w:szCs w:val="20"/>
        </w:rPr>
        <w:t xml:space="preserve"> </w:t>
      </w:r>
      <w:r w:rsidRPr="005C2262">
        <w:rPr>
          <w:rFonts w:cs="Times New Roman"/>
          <w:color w:val="auto"/>
          <w:sz w:val="22"/>
          <w:szCs w:val="20"/>
        </w:rPr>
        <w:t>Inequalities in innovation activity in terms of disease burden in the top causes of disease burden in developing countries: diarrhea, lower respiratory infections and others (6a), neonatal disorders (6b), and cardiovascular and circulatory disorders (6c).</w:t>
      </w:r>
    </w:p>
    <w:p w14:paraId="054127F5" w14:textId="255CF87D" w:rsidR="001023E0" w:rsidRPr="005F1410" w:rsidRDefault="001023E0" w:rsidP="005F1410">
      <w:pPr>
        <w:spacing w:line="480" w:lineRule="auto"/>
        <w:ind w:left="357"/>
        <w:rPr>
          <w:rFonts w:cs="Times New Roman"/>
          <w:b/>
          <w:bCs/>
          <w:sz w:val="22"/>
          <w:szCs w:val="20"/>
        </w:rPr>
      </w:pPr>
      <w:r w:rsidRPr="005C2262">
        <w:rPr>
          <w:rFonts w:cs="Times New Roman"/>
          <w:b/>
          <w:bCs/>
          <w:sz w:val="22"/>
          <w:szCs w:val="20"/>
        </w:rPr>
        <w:t>(6a)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005F1410">
        <w:rPr>
          <w:rFonts w:cs="Times New Roman"/>
          <w:b/>
          <w:bCs/>
          <w:sz w:val="22"/>
          <w:szCs w:val="20"/>
        </w:rPr>
        <w:t>(6b)</w:t>
      </w:r>
    </w:p>
    <w:p w14:paraId="530DFC2F" w14:textId="6961B37E" w:rsidR="005F1410" w:rsidRPr="001C3886" w:rsidRDefault="005F1410"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5784C3B9" wp14:editId="5A7497B1">
            <wp:extent cx="2581967" cy="2966400"/>
            <wp:effectExtent l="0" t="0" r="889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e 6a 17june2018.png"/>
                    <pic:cNvPicPr/>
                  </pic:nvPicPr>
                  <pic:blipFill>
                    <a:blip r:embed="rId33">
                      <a:extLst>
                        <a:ext uri="{28A0092B-C50C-407E-A947-70E740481C1C}">
                          <a14:useLocalDpi xmlns:a14="http://schemas.microsoft.com/office/drawing/2010/main" val="0"/>
                        </a:ext>
                      </a:extLst>
                    </a:blip>
                    <a:stretch>
                      <a:fillRect/>
                    </a:stretch>
                  </pic:blipFill>
                  <pic:spPr>
                    <a:xfrm>
                      <a:off x="0" y="0"/>
                      <a:ext cx="2581967" cy="29664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642FCEAD" wp14:editId="2375E0BA">
            <wp:extent cx="2581967" cy="2966400"/>
            <wp:effectExtent l="0" t="0" r="889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e 6b 17june2018.png"/>
                    <pic:cNvPicPr/>
                  </pic:nvPicPr>
                  <pic:blipFill>
                    <a:blip r:embed="rId34">
                      <a:extLst>
                        <a:ext uri="{28A0092B-C50C-407E-A947-70E740481C1C}">
                          <a14:useLocalDpi xmlns:a14="http://schemas.microsoft.com/office/drawing/2010/main" val="0"/>
                        </a:ext>
                      </a:extLst>
                    </a:blip>
                    <a:stretch>
                      <a:fillRect/>
                    </a:stretch>
                  </pic:blipFill>
                  <pic:spPr>
                    <a:xfrm>
                      <a:off x="0" y="0"/>
                      <a:ext cx="2581967" cy="2966400"/>
                    </a:xfrm>
                    <a:prstGeom prst="rect">
                      <a:avLst/>
                    </a:prstGeom>
                  </pic:spPr>
                </pic:pic>
              </a:graphicData>
            </a:graphic>
          </wp:inline>
        </w:drawing>
      </w:r>
    </w:p>
    <w:p w14:paraId="2FA692DC" w14:textId="77777777" w:rsidR="001023E0" w:rsidRPr="001C3886" w:rsidRDefault="001023E0" w:rsidP="009C7054">
      <w:pPr>
        <w:spacing w:line="480" w:lineRule="auto"/>
        <w:ind w:left="357"/>
        <w:rPr>
          <w:rFonts w:cs="Times New Roman"/>
          <w:b/>
          <w:bCs/>
          <w:sz w:val="20"/>
          <w:szCs w:val="20"/>
        </w:rPr>
      </w:pPr>
      <w:r w:rsidRPr="001C3886">
        <w:rPr>
          <w:rFonts w:cs="Times New Roman"/>
          <w:b/>
          <w:bCs/>
          <w:sz w:val="20"/>
          <w:szCs w:val="20"/>
        </w:rPr>
        <w:t>(6c)</w:t>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p>
    <w:p w14:paraId="245CC5E2" w14:textId="110AD613" w:rsidR="001023E0" w:rsidRPr="001C3886" w:rsidRDefault="00A404DC"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67C358E9" wp14:editId="78B70A01">
            <wp:extent cx="2588234" cy="297360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e 4a 17june2018.png"/>
                    <pic:cNvPicPr/>
                  </pic:nvPicPr>
                  <pic:blipFill>
                    <a:blip r:embed="rId25">
                      <a:extLst>
                        <a:ext uri="{28A0092B-C50C-407E-A947-70E740481C1C}">
                          <a14:useLocalDpi xmlns:a14="http://schemas.microsoft.com/office/drawing/2010/main" val="0"/>
                        </a:ext>
                      </a:extLst>
                    </a:blip>
                    <a:stretch>
                      <a:fillRect/>
                    </a:stretch>
                  </pic:blipFill>
                  <pic:spPr>
                    <a:xfrm>
                      <a:off x="0" y="0"/>
                      <a:ext cx="2588234" cy="2973600"/>
                    </a:xfrm>
                    <a:prstGeom prst="rect">
                      <a:avLst/>
                    </a:prstGeom>
                  </pic:spPr>
                </pic:pic>
              </a:graphicData>
            </a:graphic>
          </wp:inline>
        </w:drawing>
      </w:r>
    </w:p>
    <w:p w14:paraId="16203F47" w14:textId="29995AB1" w:rsidR="001023E0" w:rsidRPr="001C3886" w:rsidRDefault="001023E0" w:rsidP="009C7054">
      <w:pPr>
        <w:spacing w:line="480" w:lineRule="auto"/>
        <w:ind w:left="357"/>
        <w:jc w:val="both"/>
        <w:rPr>
          <w:rFonts w:cs="Times New Roman"/>
          <w:sz w:val="20"/>
          <w:szCs w:val="20"/>
        </w:rPr>
      </w:pPr>
      <w:r w:rsidRPr="001C3886">
        <w:rPr>
          <w:rFonts w:cs="Times New Roman"/>
          <w:sz w:val="20"/>
          <w:szCs w:val="20"/>
        </w:rPr>
        <w:t xml:space="preserve">Note: nutritional deficiencies are top ranking in disease burden in developing countries however they do not show any innovation activity. Therefore this disease subcategory is not part of this analysis. There is no innovation activity in year 1990 for any diseases part of neonatal deficiencies. Curves in Figure 6c start from </w:t>
      </w:r>
      <w:r w:rsidRPr="001C3886">
        <w:rPr>
          <w:rFonts w:cs="Times New Roman"/>
          <w:sz w:val="20"/>
          <w:szCs w:val="20"/>
        </w:rPr>
        <w:lastRenderedPageBreak/>
        <w:t>a point other than the origin, meaning that the first disease in the distribution (i.e. the one that has the lowest disease burden, the lowest on the rank) is responsible for non-zero drugs launched in the market. Also, Figures 6a and 6b show distributions for which the first disease in the distribution has zero drugs launched in the market.</w:t>
      </w:r>
      <w:r w:rsidR="00D16E90">
        <w:rPr>
          <w:rFonts w:cs="Times New Roman"/>
          <w:sz w:val="20"/>
          <w:szCs w:val="20"/>
        </w:rPr>
        <w:t xml:space="preserve"> </w:t>
      </w:r>
      <w:r w:rsidR="00D16E90" w:rsidRPr="00D16E90">
        <w:rPr>
          <w:rFonts w:cs="Times New Roman"/>
          <w:sz w:val="20"/>
          <w:szCs w:val="20"/>
        </w:rPr>
        <w:t>The categorization of developed and developing countries follows the United Nations (United Nations, 2017) classification available at http://unstats.un.org/unsd/methods/m49/m49regin.htm#developed.</w:t>
      </w:r>
    </w:p>
    <w:p w14:paraId="6E2847E7" w14:textId="77777777" w:rsidR="001023E0" w:rsidRPr="001C3886" w:rsidRDefault="001023E0" w:rsidP="009C7054">
      <w:pPr>
        <w:spacing w:line="480" w:lineRule="auto"/>
        <w:ind w:left="357"/>
        <w:jc w:val="both"/>
        <w:rPr>
          <w:rFonts w:cs="Times New Roman"/>
          <w:sz w:val="20"/>
          <w:szCs w:val="20"/>
        </w:rPr>
      </w:pPr>
      <w:r w:rsidRPr="001C3886">
        <w:rPr>
          <w:rFonts w:cs="Times New Roman"/>
          <w:sz w:val="20"/>
          <w:szCs w:val="20"/>
        </w:rPr>
        <w:br w:type="page"/>
      </w:r>
    </w:p>
    <w:p w14:paraId="1A5B6334" w14:textId="77777777" w:rsidR="001023E0" w:rsidRPr="005C2262" w:rsidRDefault="001023E0" w:rsidP="009C7054">
      <w:pPr>
        <w:pStyle w:val="Caption"/>
        <w:spacing w:line="480" w:lineRule="auto"/>
        <w:ind w:left="357"/>
        <w:jc w:val="both"/>
        <w:rPr>
          <w:rFonts w:cs="Times New Roman"/>
          <w:color w:val="auto"/>
          <w:sz w:val="22"/>
          <w:szCs w:val="20"/>
        </w:rPr>
      </w:pPr>
      <w:r w:rsidRPr="005C2262">
        <w:rPr>
          <w:rFonts w:cs="Times New Roman"/>
          <w:color w:val="auto"/>
          <w:sz w:val="22"/>
          <w:szCs w:val="20"/>
        </w:rPr>
        <w:lastRenderedPageBreak/>
        <w:t>Figure 7:</w:t>
      </w:r>
      <w:r w:rsidRPr="005C2262">
        <w:rPr>
          <w:rFonts w:cs="Times New Roman"/>
          <w:sz w:val="22"/>
          <w:szCs w:val="20"/>
        </w:rPr>
        <w:t xml:space="preserve"> </w:t>
      </w:r>
      <w:r w:rsidRPr="005C2262">
        <w:rPr>
          <w:rFonts w:cs="Times New Roman"/>
          <w:color w:val="auto"/>
          <w:sz w:val="22"/>
          <w:szCs w:val="20"/>
        </w:rPr>
        <w:t xml:space="preserve">Inequalities in innovation in terms of market size in the top four main causes of disease burden in developing countries: diarrhea, lower respiratory infections and others (7a), neonatal disorders (7b), and cardiovascular and circulatory disorders (7c). </w:t>
      </w:r>
    </w:p>
    <w:p w14:paraId="15A983BE" w14:textId="1A5D2C74" w:rsidR="005F1410" w:rsidRPr="005F1410" w:rsidRDefault="001023E0" w:rsidP="005F1410">
      <w:pPr>
        <w:spacing w:line="480" w:lineRule="auto"/>
        <w:ind w:left="357"/>
        <w:rPr>
          <w:rFonts w:cs="Times New Roman"/>
          <w:b/>
          <w:bCs/>
          <w:sz w:val="22"/>
          <w:szCs w:val="20"/>
        </w:rPr>
      </w:pPr>
      <w:r w:rsidRPr="005C2262">
        <w:rPr>
          <w:rFonts w:cs="Times New Roman"/>
          <w:b/>
          <w:bCs/>
          <w:sz w:val="22"/>
          <w:szCs w:val="20"/>
        </w:rPr>
        <w:t>(7a)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005F1410">
        <w:rPr>
          <w:rFonts w:cs="Times New Roman"/>
          <w:b/>
          <w:bCs/>
          <w:sz w:val="22"/>
          <w:szCs w:val="20"/>
        </w:rPr>
        <w:t>(7b)</w:t>
      </w:r>
    </w:p>
    <w:p w14:paraId="5F5FCB62" w14:textId="2A8B1AD1" w:rsidR="005F1410" w:rsidRPr="001C3886" w:rsidRDefault="005F1410"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241A830E" wp14:editId="68DD3FF9">
            <wp:extent cx="2553766" cy="2934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e 7a 17june2018.png"/>
                    <pic:cNvPicPr/>
                  </pic:nvPicPr>
                  <pic:blipFill>
                    <a:blip r:embed="rId35">
                      <a:extLst>
                        <a:ext uri="{28A0092B-C50C-407E-A947-70E740481C1C}">
                          <a14:useLocalDpi xmlns:a14="http://schemas.microsoft.com/office/drawing/2010/main" val="0"/>
                        </a:ext>
                      </a:extLst>
                    </a:blip>
                    <a:stretch>
                      <a:fillRect/>
                    </a:stretch>
                  </pic:blipFill>
                  <pic:spPr>
                    <a:xfrm>
                      <a:off x="0" y="0"/>
                      <a:ext cx="2553766" cy="2934000"/>
                    </a:xfrm>
                    <a:prstGeom prst="rect">
                      <a:avLst/>
                    </a:prstGeom>
                  </pic:spPr>
                </pic:pic>
              </a:graphicData>
            </a:graphic>
          </wp:inline>
        </w:drawing>
      </w:r>
      <w:r w:rsidRPr="004B1BF5">
        <w:rPr>
          <w:rFonts w:cs="Times New Roman"/>
          <w:noProof/>
          <w:sz w:val="20"/>
          <w:szCs w:val="20"/>
          <w:lang w:val="en-GB" w:eastAsia="en-GB"/>
        </w:rPr>
        <w:drawing>
          <wp:inline distT="0" distB="0" distL="0" distR="0" wp14:anchorId="359083C4" wp14:editId="6ECCDDF5">
            <wp:extent cx="2553766" cy="2934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e 7b 17june2018.png"/>
                    <pic:cNvPicPr/>
                  </pic:nvPicPr>
                  <pic:blipFill>
                    <a:blip r:embed="rId36">
                      <a:extLst>
                        <a:ext uri="{28A0092B-C50C-407E-A947-70E740481C1C}">
                          <a14:useLocalDpi xmlns:a14="http://schemas.microsoft.com/office/drawing/2010/main" val="0"/>
                        </a:ext>
                      </a:extLst>
                    </a:blip>
                    <a:stretch>
                      <a:fillRect/>
                    </a:stretch>
                  </pic:blipFill>
                  <pic:spPr>
                    <a:xfrm>
                      <a:off x="0" y="0"/>
                      <a:ext cx="2553766" cy="2934000"/>
                    </a:xfrm>
                    <a:prstGeom prst="rect">
                      <a:avLst/>
                    </a:prstGeom>
                  </pic:spPr>
                </pic:pic>
              </a:graphicData>
            </a:graphic>
          </wp:inline>
        </w:drawing>
      </w:r>
    </w:p>
    <w:p w14:paraId="5816C130" w14:textId="77777777" w:rsidR="001023E0" w:rsidRPr="001C3886" w:rsidRDefault="001023E0" w:rsidP="009C7054">
      <w:pPr>
        <w:spacing w:line="480" w:lineRule="auto"/>
        <w:ind w:left="357"/>
        <w:rPr>
          <w:rFonts w:cs="Times New Roman"/>
          <w:b/>
          <w:bCs/>
          <w:sz w:val="20"/>
          <w:szCs w:val="20"/>
        </w:rPr>
      </w:pPr>
      <w:r w:rsidRPr="001C3886">
        <w:rPr>
          <w:rFonts w:cs="Times New Roman"/>
          <w:b/>
          <w:bCs/>
          <w:sz w:val="20"/>
          <w:szCs w:val="20"/>
        </w:rPr>
        <w:t>(7c)</w:t>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r w:rsidRPr="001C3886">
        <w:rPr>
          <w:rFonts w:cs="Times New Roman"/>
          <w:b/>
          <w:bCs/>
          <w:sz w:val="20"/>
          <w:szCs w:val="20"/>
        </w:rPr>
        <w:tab/>
      </w:r>
    </w:p>
    <w:p w14:paraId="7BFE23DA" w14:textId="1F85947E" w:rsidR="001023E0" w:rsidRPr="001C3886" w:rsidRDefault="00A404DC" w:rsidP="009C7054">
      <w:pPr>
        <w:spacing w:line="480" w:lineRule="auto"/>
        <w:ind w:left="357"/>
        <w:jc w:val="both"/>
        <w:rPr>
          <w:rFonts w:cs="Times New Roman"/>
          <w:sz w:val="20"/>
          <w:szCs w:val="20"/>
        </w:rPr>
      </w:pPr>
      <w:r w:rsidRPr="004B1BF5">
        <w:rPr>
          <w:rFonts w:cs="Times New Roman"/>
          <w:noProof/>
          <w:sz w:val="20"/>
          <w:szCs w:val="20"/>
          <w:lang w:val="en-GB" w:eastAsia="en-GB"/>
        </w:rPr>
        <w:drawing>
          <wp:inline distT="0" distB="0" distL="0" distR="0" wp14:anchorId="629E72A6" wp14:editId="4141202F">
            <wp:extent cx="2588234" cy="297360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e 5a 17june2018.png"/>
                    <pic:cNvPicPr/>
                  </pic:nvPicPr>
                  <pic:blipFill>
                    <a:blip r:embed="rId29">
                      <a:extLst>
                        <a:ext uri="{28A0092B-C50C-407E-A947-70E740481C1C}">
                          <a14:useLocalDpi xmlns:a14="http://schemas.microsoft.com/office/drawing/2010/main" val="0"/>
                        </a:ext>
                      </a:extLst>
                    </a:blip>
                    <a:stretch>
                      <a:fillRect/>
                    </a:stretch>
                  </pic:blipFill>
                  <pic:spPr>
                    <a:xfrm>
                      <a:off x="0" y="0"/>
                      <a:ext cx="2588234" cy="2973600"/>
                    </a:xfrm>
                    <a:prstGeom prst="rect">
                      <a:avLst/>
                    </a:prstGeom>
                  </pic:spPr>
                </pic:pic>
              </a:graphicData>
            </a:graphic>
          </wp:inline>
        </w:drawing>
      </w:r>
    </w:p>
    <w:p w14:paraId="5FB26518" w14:textId="1F1C810C" w:rsidR="001023E0" w:rsidRPr="001C3886" w:rsidRDefault="001023E0" w:rsidP="009C7054">
      <w:pPr>
        <w:spacing w:line="480" w:lineRule="auto"/>
        <w:ind w:left="357"/>
        <w:jc w:val="both"/>
        <w:rPr>
          <w:rFonts w:cs="Times New Roman"/>
          <w:sz w:val="20"/>
          <w:szCs w:val="20"/>
        </w:rPr>
      </w:pPr>
      <w:r w:rsidRPr="001C3886">
        <w:rPr>
          <w:rFonts w:cs="Times New Roman"/>
          <w:sz w:val="20"/>
          <w:szCs w:val="20"/>
        </w:rPr>
        <w:t xml:space="preserve">Note: nutritional deficiencies are top ranking in disease burden in developing countries however they do not show any innovation activity. Therefore this disease subcategory is not part of this analysis. There is no innovation activity in year 1990 for any diseases part of neonatal deficiencies. Figures 7a and 7b show curves </w:t>
      </w:r>
      <w:r w:rsidRPr="001C3886">
        <w:rPr>
          <w:rFonts w:cs="Times New Roman"/>
          <w:sz w:val="20"/>
          <w:szCs w:val="20"/>
        </w:rPr>
        <w:lastRenderedPageBreak/>
        <w:t>starting from a point other than the origin, meaning that the first disease in the distribution has zero drugs launched in the market.</w:t>
      </w:r>
      <w:r w:rsidR="00D16E90">
        <w:rPr>
          <w:rFonts w:cs="Times New Roman"/>
          <w:sz w:val="20"/>
          <w:szCs w:val="20"/>
        </w:rPr>
        <w:t xml:space="preserve"> </w:t>
      </w:r>
      <w:r w:rsidR="00D16E90" w:rsidRPr="00D16E90">
        <w:rPr>
          <w:rFonts w:cs="Times New Roman"/>
          <w:sz w:val="20"/>
          <w:szCs w:val="20"/>
        </w:rPr>
        <w:t>The categorization of developed and developing countries follows the United Nations (United Nations, 2017) classification available at http://unstats.un.org/unsd/methods/m49/m49regin.htm#developed.</w:t>
      </w:r>
    </w:p>
    <w:p w14:paraId="36C915E0" w14:textId="77777777" w:rsidR="00633E62" w:rsidRDefault="00633E62" w:rsidP="009C7054">
      <w:pPr>
        <w:spacing w:line="480" w:lineRule="auto"/>
        <w:ind w:left="357"/>
        <w:jc w:val="both"/>
        <w:rPr>
          <w:rFonts w:cs="Times New Roman"/>
          <w:sz w:val="20"/>
          <w:szCs w:val="20"/>
        </w:rPr>
      </w:pPr>
    </w:p>
    <w:p w14:paraId="59DD3025" w14:textId="77777777" w:rsidR="001023E0" w:rsidRPr="005C2262" w:rsidRDefault="001023E0" w:rsidP="009C7054">
      <w:pPr>
        <w:spacing w:line="480" w:lineRule="auto"/>
        <w:ind w:left="357"/>
        <w:jc w:val="both"/>
        <w:rPr>
          <w:rFonts w:cs="Times New Roman"/>
          <w:b/>
          <w:sz w:val="22"/>
          <w:szCs w:val="20"/>
        </w:rPr>
      </w:pPr>
      <w:r w:rsidRPr="001C3886">
        <w:rPr>
          <w:rFonts w:cs="Times New Roman"/>
          <w:sz w:val="20"/>
          <w:szCs w:val="20"/>
        </w:rPr>
        <w:br w:type="page"/>
      </w:r>
      <w:r w:rsidRPr="005C2262">
        <w:rPr>
          <w:rFonts w:cs="Times New Roman"/>
          <w:b/>
          <w:sz w:val="22"/>
          <w:szCs w:val="20"/>
        </w:rPr>
        <w:lastRenderedPageBreak/>
        <w:t>Figure 8: Inequality in innovation for Neglected Tropical Diseases and Malaria in terms of disease burden (8a) and market size (8b)</w:t>
      </w:r>
    </w:p>
    <w:p w14:paraId="589C88C8" w14:textId="06385048" w:rsidR="001023E0" w:rsidRPr="004D4CCA" w:rsidRDefault="001023E0" w:rsidP="004D4CCA">
      <w:pPr>
        <w:spacing w:line="480" w:lineRule="auto"/>
        <w:ind w:left="357"/>
        <w:rPr>
          <w:rFonts w:cs="Times New Roman"/>
          <w:b/>
          <w:bCs/>
          <w:sz w:val="22"/>
          <w:szCs w:val="20"/>
        </w:rPr>
      </w:pPr>
      <w:r w:rsidRPr="005C2262">
        <w:rPr>
          <w:rFonts w:cs="Times New Roman"/>
          <w:b/>
          <w:bCs/>
          <w:sz w:val="22"/>
          <w:szCs w:val="20"/>
        </w:rPr>
        <w:t>(8a)</w:t>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Pr="005C2262">
        <w:rPr>
          <w:rFonts w:cs="Times New Roman"/>
          <w:b/>
          <w:bCs/>
          <w:sz w:val="22"/>
          <w:szCs w:val="20"/>
        </w:rPr>
        <w:tab/>
      </w:r>
      <w:r w:rsidR="004D4CCA">
        <w:rPr>
          <w:rFonts w:cs="Times New Roman"/>
          <w:b/>
          <w:bCs/>
          <w:sz w:val="22"/>
          <w:szCs w:val="20"/>
        </w:rPr>
        <w:t>(8b)</w:t>
      </w:r>
    </w:p>
    <w:p w14:paraId="048E5B9B" w14:textId="102B61D1" w:rsidR="004D4CCA" w:rsidRPr="001C3886" w:rsidRDefault="004D4CCA" w:rsidP="009C7054">
      <w:pPr>
        <w:spacing w:line="480" w:lineRule="auto"/>
        <w:ind w:left="357"/>
        <w:rPr>
          <w:sz w:val="20"/>
          <w:szCs w:val="20"/>
        </w:rPr>
      </w:pPr>
      <w:r w:rsidRPr="004B1BF5">
        <w:rPr>
          <w:noProof/>
          <w:sz w:val="20"/>
          <w:szCs w:val="20"/>
          <w:lang w:val="en-GB" w:eastAsia="en-GB"/>
        </w:rPr>
        <w:drawing>
          <wp:inline distT="0" distB="0" distL="0" distR="0" wp14:anchorId="5E3984DD" wp14:editId="3353241F">
            <wp:extent cx="2578834" cy="2962800"/>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e 8a 17june2018.png"/>
                    <pic:cNvPicPr/>
                  </pic:nvPicPr>
                  <pic:blipFill>
                    <a:blip r:embed="rId37">
                      <a:extLst>
                        <a:ext uri="{28A0092B-C50C-407E-A947-70E740481C1C}">
                          <a14:useLocalDpi xmlns:a14="http://schemas.microsoft.com/office/drawing/2010/main" val="0"/>
                        </a:ext>
                      </a:extLst>
                    </a:blip>
                    <a:stretch>
                      <a:fillRect/>
                    </a:stretch>
                  </pic:blipFill>
                  <pic:spPr>
                    <a:xfrm>
                      <a:off x="0" y="0"/>
                      <a:ext cx="2578834" cy="2962800"/>
                    </a:xfrm>
                    <a:prstGeom prst="rect">
                      <a:avLst/>
                    </a:prstGeom>
                  </pic:spPr>
                </pic:pic>
              </a:graphicData>
            </a:graphic>
          </wp:inline>
        </w:drawing>
      </w:r>
      <w:r w:rsidRPr="004B1BF5">
        <w:rPr>
          <w:noProof/>
          <w:sz w:val="20"/>
          <w:szCs w:val="20"/>
          <w:lang w:val="en-GB" w:eastAsia="en-GB"/>
        </w:rPr>
        <w:drawing>
          <wp:inline distT="0" distB="0" distL="0" distR="0" wp14:anchorId="6B544492" wp14:editId="1889BDB8">
            <wp:extent cx="2581967" cy="2966400"/>
            <wp:effectExtent l="0" t="0" r="889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e 8b 17june2018.png"/>
                    <pic:cNvPicPr/>
                  </pic:nvPicPr>
                  <pic:blipFill>
                    <a:blip r:embed="rId38">
                      <a:extLst>
                        <a:ext uri="{28A0092B-C50C-407E-A947-70E740481C1C}">
                          <a14:useLocalDpi xmlns:a14="http://schemas.microsoft.com/office/drawing/2010/main" val="0"/>
                        </a:ext>
                      </a:extLst>
                    </a:blip>
                    <a:stretch>
                      <a:fillRect/>
                    </a:stretch>
                  </pic:blipFill>
                  <pic:spPr>
                    <a:xfrm>
                      <a:off x="0" y="0"/>
                      <a:ext cx="2581967" cy="2966400"/>
                    </a:xfrm>
                    <a:prstGeom prst="rect">
                      <a:avLst/>
                    </a:prstGeom>
                  </pic:spPr>
                </pic:pic>
              </a:graphicData>
            </a:graphic>
          </wp:inline>
        </w:drawing>
      </w:r>
    </w:p>
    <w:p w14:paraId="08384776" w14:textId="77777777" w:rsidR="001023E0" w:rsidRPr="001C3886" w:rsidRDefault="001023E0" w:rsidP="009C7054">
      <w:pPr>
        <w:spacing w:line="480" w:lineRule="auto"/>
        <w:ind w:left="357"/>
        <w:jc w:val="both"/>
        <w:rPr>
          <w:sz w:val="20"/>
          <w:szCs w:val="20"/>
        </w:rPr>
      </w:pPr>
      <w:r w:rsidRPr="001C3886">
        <w:rPr>
          <w:rFonts w:cs="Times New Roman"/>
          <w:sz w:val="20"/>
          <w:szCs w:val="20"/>
        </w:rPr>
        <w:t>Note: Curves in Figure 8b start from a point other than the origin, meaning that the first disease in the distribution of NTDs (i.e. the one that has the lowest disease burden, the lowest on the rank) has zero drugs launched in the market.</w:t>
      </w:r>
    </w:p>
    <w:p w14:paraId="721A356F" w14:textId="77777777" w:rsidR="001023E0" w:rsidRPr="001C3886" w:rsidRDefault="001023E0" w:rsidP="009C7054">
      <w:pPr>
        <w:spacing w:line="480" w:lineRule="auto"/>
        <w:ind w:left="357"/>
        <w:rPr>
          <w:rFonts w:cs="Times New Roman"/>
          <w:sz w:val="20"/>
          <w:szCs w:val="20"/>
        </w:rPr>
      </w:pPr>
    </w:p>
    <w:p w14:paraId="6FBE08B3" w14:textId="5C967411" w:rsidR="000551A2" w:rsidRPr="001023E0" w:rsidRDefault="000551A2" w:rsidP="009C7054">
      <w:pPr>
        <w:spacing w:line="480" w:lineRule="auto"/>
        <w:ind w:left="357"/>
        <w:rPr>
          <w:rFonts w:cs="Times New Roman"/>
          <w:sz w:val="20"/>
          <w:szCs w:val="20"/>
        </w:rPr>
      </w:pPr>
    </w:p>
    <w:sectPr w:rsidR="000551A2" w:rsidRPr="001023E0" w:rsidSect="008A4E04">
      <w:footnotePr>
        <w:numFmt w:val="lowerLetter"/>
      </w:footnotePr>
      <w:type w:val="continuous"/>
      <w:pgSz w:w="11900" w:h="16840"/>
      <w:pgMar w:top="1440" w:right="1440" w:bottom="1440" w:left="1440" w:header="708" w:footer="708" w:gutter="0"/>
      <w:lnNumType w:countBy="1" w:restart="continuou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1F8090" w14:textId="77777777" w:rsidR="000F00E8" w:rsidRDefault="000F00E8" w:rsidP="00501A1E">
      <w:r>
        <w:separator/>
      </w:r>
    </w:p>
  </w:endnote>
  <w:endnote w:type="continuationSeparator" w:id="0">
    <w:p w14:paraId="072BE5FB" w14:textId="77777777" w:rsidR="000F00E8" w:rsidRDefault="000F00E8" w:rsidP="00501A1E">
      <w:r>
        <w:continuationSeparator/>
      </w:r>
    </w:p>
  </w:endnote>
  <w:endnote w:type="continuationNotice" w:id="1">
    <w:p w14:paraId="5919FEF6" w14:textId="77777777" w:rsidR="000F00E8" w:rsidRDefault="000F0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95F35" w14:textId="77777777" w:rsidR="00D23802" w:rsidRDefault="00D23802" w:rsidP="009B78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066194" w14:textId="77777777" w:rsidR="00D23802" w:rsidRDefault="00D23802" w:rsidP="009B78C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B214A" w14:textId="17BFE7BB" w:rsidR="00D23802" w:rsidRDefault="00D23802" w:rsidP="009B78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2C49">
      <w:rPr>
        <w:rStyle w:val="PageNumber"/>
        <w:noProof/>
      </w:rPr>
      <w:t>58</w:t>
    </w:r>
    <w:r>
      <w:rPr>
        <w:rStyle w:val="PageNumber"/>
      </w:rPr>
      <w:fldChar w:fldCharType="end"/>
    </w:r>
  </w:p>
  <w:p w14:paraId="3A98F6CA" w14:textId="77777777" w:rsidR="00D23802" w:rsidRDefault="00D23802" w:rsidP="009B78C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C9AB1" w14:textId="77777777" w:rsidR="000F00E8" w:rsidRDefault="000F00E8" w:rsidP="00501A1E">
      <w:r>
        <w:separator/>
      </w:r>
    </w:p>
  </w:footnote>
  <w:footnote w:type="continuationSeparator" w:id="0">
    <w:p w14:paraId="219F84B8" w14:textId="77777777" w:rsidR="000F00E8" w:rsidRDefault="000F00E8" w:rsidP="00501A1E">
      <w:r>
        <w:continuationSeparator/>
      </w:r>
    </w:p>
  </w:footnote>
  <w:footnote w:type="continuationNotice" w:id="1">
    <w:p w14:paraId="1D71A3B1" w14:textId="77777777" w:rsidR="000F00E8" w:rsidRDefault="000F00E8"/>
  </w:footnote>
  <w:footnote w:id="2">
    <w:p w14:paraId="7493E372" w14:textId="646BE59F" w:rsidR="00D23802" w:rsidRPr="00730EAA" w:rsidRDefault="00D23802" w:rsidP="00710F5A">
      <w:pPr>
        <w:pStyle w:val="FootnoteText"/>
        <w:jc w:val="both"/>
      </w:pPr>
      <w:r>
        <w:rPr>
          <w:rStyle w:val="FootnoteReference"/>
        </w:rPr>
        <w:footnoteRef/>
      </w:r>
      <w:r>
        <w:t xml:space="preserve"> </w:t>
      </w:r>
      <w:r w:rsidRPr="00DC4928">
        <w:rPr>
          <w:sz w:val="18"/>
        </w:rPr>
        <w:t xml:space="preserve">Disease subcategories are the following: </w:t>
      </w:r>
      <w:r>
        <w:rPr>
          <w:sz w:val="18"/>
        </w:rPr>
        <w:t>C</w:t>
      </w:r>
      <w:r w:rsidRPr="00DC4928">
        <w:rPr>
          <w:sz w:val="18"/>
        </w:rPr>
        <w:t xml:space="preserve">ardiovascular and circulatory diseases; Chronic respiratory diseases; Diabetes, urogenital, </w:t>
      </w:r>
      <w:r>
        <w:rPr>
          <w:sz w:val="18"/>
        </w:rPr>
        <w:t>B</w:t>
      </w:r>
      <w:r w:rsidRPr="00DC4928">
        <w:rPr>
          <w:sz w:val="18"/>
        </w:rPr>
        <w:t xml:space="preserve">lood and </w:t>
      </w:r>
      <w:r>
        <w:rPr>
          <w:sz w:val="18"/>
        </w:rPr>
        <w:t>E</w:t>
      </w:r>
      <w:r w:rsidRPr="00DC4928">
        <w:rPr>
          <w:sz w:val="18"/>
        </w:rPr>
        <w:t xml:space="preserve">ndrocrine diseases; Diahrrea, </w:t>
      </w:r>
      <w:r>
        <w:rPr>
          <w:sz w:val="18"/>
        </w:rPr>
        <w:t>L</w:t>
      </w:r>
      <w:r w:rsidRPr="00DC4928">
        <w:rPr>
          <w:sz w:val="18"/>
        </w:rPr>
        <w:t xml:space="preserve">ower respiratory infections, </w:t>
      </w:r>
      <w:r>
        <w:rPr>
          <w:sz w:val="18"/>
        </w:rPr>
        <w:t>M</w:t>
      </w:r>
      <w:r w:rsidRPr="00DC4928">
        <w:rPr>
          <w:sz w:val="18"/>
        </w:rPr>
        <w:t xml:space="preserve">eningitis, and other common infections; Digestive diseases and Cirrhosis of the </w:t>
      </w:r>
      <w:r>
        <w:rPr>
          <w:sz w:val="18"/>
        </w:rPr>
        <w:t>L</w:t>
      </w:r>
      <w:r w:rsidRPr="00DC4928">
        <w:rPr>
          <w:sz w:val="18"/>
        </w:rPr>
        <w:t xml:space="preserve">iver; HIV/AIDS and </w:t>
      </w:r>
      <w:r>
        <w:rPr>
          <w:sz w:val="18"/>
        </w:rPr>
        <w:t>T</w:t>
      </w:r>
      <w:r w:rsidRPr="00DC4928">
        <w:rPr>
          <w:sz w:val="18"/>
        </w:rPr>
        <w:t xml:space="preserve">uberculosis; Maternal disorders; Mental and behavioral disorders; Musculoskeletal disorders; Neglected tropical diseases and </w:t>
      </w:r>
      <w:r>
        <w:rPr>
          <w:sz w:val="18"/>
        </w:rPr>
        <w:t>M</w:t>
      </w:r>
      <w:r w:rsidRPr="00DC4928">
        <w:rPr>
          <w:sz w:val="18"/>
        </w:rPr>
        <w:t xml:space="preserve">alaria; Neonatal disorders; Neoplasms; Neurological disorders; Nutritional deficiencies; Other communicable, </w:t>
      </w:r>
      <w:r>
        <w:rPr>
          <w:sz w:val="18"/>
        </w:rPr>
        <w:t>M</w:t>
      </w:r>
      <w:r w:rsidRPr="00DC4928">
        <w:rPr>
          <w:sz w:val="18"/>
        </w:rPr>
        <w:t xml:space="preserve">aternal, </w:t>
      </w:r>
      <w:r>
        <w:rPr>
          <w:sz w:val="18"/>
        </w:rPr>
        <w:t>N</w:t>
      </w:r>
      <w:r w:rsidRPr="00DC4928">
        <w:rPr>
          <w:sz w:val="18"/>
        </w:rPr>
        <w:t xml:space="preserve">eonatal, and </w:t>
      </w:r>
      <w:r>
        <w:rPr>
          <w:sz w:val="18"/>
        </w:rPr>
        <w:t>N</w:t>
      </w:r>
      <w:r w:rsidRPr="00DC4928">
        <w:rPr>
          <w:sz w:val="18"/>
        </w:rPr>
        <w:t>utritional disorders; and other non-communicable diseases.</w:t>
      </w:r>
    </w:p>
  </w:footnote>
  <w:footnote w:id="3">
    <w:p w14:paraId="495E0D3E" w14:textId="462051FB" w:rsidR="00D23802" w:rsidRPr="005A44B0" w:rsidRDefault="00D23802">
      <w:pPr>
        <w:pStyle w:val="FootnoteText"/>
        <w:rPr>
          <w:rFonts w:eastAsia="MS Mincho" w:cs="Times New Roman"/>
          <w:sz w:val="18"/>
          <w:szCs w:val="20"/>
        </w:rPr>
      </w:pPr>
      <w:r>
        <w:rPr>
          <w:rStyle w:val="FootnoteReference"/>
        </w:rPr>
        <w:footnoteRef/>
      </w:r>
      <w:r>
        <w:t xml:space="preserve"> </w:t>
      </w:r>
      <w:r w:rsidRPr="005A44B0">
        <w:rPr>
          <w:rFonts w:eastAsia="MS Mincho" w:cs="Times New Roman"/>
          <w:sz w:val="18"/>
          <w:szCs w:val="20"/>
        </w:rPr>
        <w:t>The categorization of developed and dev</w:t>
      </w:r>
      <w:r>
        <w:rPr>
          <w:rFonts w:eastAsia="MS Mincho" w:cs="Times New Roman"/>
          <w:sz w:val="18"/>
          <w:szCs w:val="20"/>
        </w:rPr>
        <w:t>e</w:t>
      </w:r>
      <w:r w:rsidRPr="005A44B0">
        <w:rPr>
          <w:rFonts w:eastAsia="MS Mincho" w:cs="Times New Roman"/>
          <w:sz w:val="18"/>
          <w:szCs w:val="20"/>
        </w:rPr>
        <w:t xml:space="preserve">loping </w:t>
      </w:r>
      <w:r>
        <w:rPr>
          <w:rFonts w:eastAsia="MS Mincho" w:cs="Times New Roman"/>
          <w:sz w:val="18"/>
          <w:szCs w:val="20"/>
        </w:rPr>
        <w:t>countries</w:t>
      </w:r>
      <w:r w:rsidRPr="005A44B0">
        <w:rPr>
          <w:rFonts w:eastAsia="MS Mincho" w:cs="Times New Roman"/>
          <w:sz w:val="18"/>
          <w:szCs w:val="20"/>
        </w:rPr>
        <w:t xml:space="preserve"> follows the United Nations (United Nations, 2017) classification available at http://unstats.un.org/unsd/methods/m49/m49regin.htm#developed.</w:t>
      </w:r>
    </w:p>
  </w:footnote>
  <w:footnote w:id="4">
    <w:p w14:paraId="1F6F50C0" w14:textId="77777777" w:rsidR="00D23802" w:rsidRPr="001C16B2" w:rsidRDefault="00D23802" w:rsidP="00295556">
      <w:pPr>
        <w:jc w:val="both"/>
        <w:rPr>
          <w:rFonts w:eastAsia="MS Mincho" w:cs="Times New Roman"/>
        </w:rPr>
      </w:pPr>
      <w:r>
        <w:rPr>
          <w:rStyle w:val="FootnoteReference"/>
        </w:rPr>
        <w:footnoteRef/>
      </w:r>
      <w:r>
        <w:t xml:space="preserve"> </w:t>
      </w:r>
      <w:r w:rsidRPr="001C16B2">
        <w:rPr>
          <w:rFonts w:eastAsia="MS Mincho" w:cs="Times New Roman"/>
          <w:sz w:val="18"/>
          <w:szCs w:val="20"/>
        </w:rPr>
        <w:t>Note that we have excluded nutritional deficiencies from the analysis given the absence of any pharmaceutical innovation activity in this area. Given the nature of these diseases, the lack of innovation may simply signal that pharmaceutical innovation is not the most appropriate strategy for addressing need in this area.</w:t>
      </w:r>
    </w:p>
  </w:footnote>
  <w:footnote w:id="5">
    <w:p w14:paraId="0C799D63" w14:textId="0F7FA5E0" w:rsidR="00D23802" w:rsidRDefault="00D23802" w:rsidP="00B943EA">
      <w:pPr>
        <w:pStyle w:val="FootnoteText"/>
        <w:jc w:val="both"/>
      </w:pPr>
      <w:r w:rsidRPr="001C16B2">
        <w:rPr>
          <w:rStyle w:val="FootnoteReference"/>
          <w:rFonts w:cs="Times New Roman"/>
          <w:sz w:val="20"/>
          <w:szCs w:val="20"/>
        </w:rPr>
        <w:footnoteRef/>
      </w:r>
      <w:r w:rsidRPr="001C16B2">
        <w:rPr>
          <w:rFonts w:cs="Times New Roman"/>
          <w:sz w:val="20"/>
          <w:szCs w:val="20"/>
        </w:rPr>
        <w:t xml:space="preserve"> </w:t>
      </w:r>
      <w:r w:rsidRPr="001C16B2">
        <w:rPr>
          <w:rFonts w:cs="Times New Roman"/>
          <w:sz w:val="18"/>
          <w:szCs w:val="20"/>
        </w:rPr>
        <w:t>We have performed the analysis for NTDs only excluding Malaria and while results for 2010 remain qualitatively the same, for 1990 the concentration indices are not significant suggesting that we can not reject the hypothesis of distribution of innovation according to disease burden and market size. Results available from the authors upon request</w:t>
      </w:r>
      <w:r w:rsidRPr="001C16B2">
        <w:rPr>
          <w:rFonts w:cs="Times New Roman"/>
          <w:sz w:val="20"/>
          <w:szCs w:val="20"/>
        </w:rPr>
        <w:t>.</w:t>
      </w:r>
    </w:p>
  </w:footnote>
  <w:footnote w:id="6">
    <w:p w14:paraId="45EED4ED" w14:textId="6BD45A0A" w:rsidR="00D23802" w:rsidRPr="00B943EA" w:rsidRDefault="00D23802">
      <w:pPr>
        <w:pStyle w:val="FootnoteText"/>
        <w:rPr>
          <w:lang w:val="en-GB"/>
        </w:rPr>
      </w:pPr>
      <w:r>
        <w:rPr>
          <w:rStyle w:val="FootnoteReference"/>
        </w:rPr>
        <w:footnoteRef/>
      </w:r>
      <w:r>
        <w:t xml:space="preserve"> </w:t>
      </w:r>
      <w:r w:rsidRPr="00B943EA">
        <w:rPr>
          <w:rFonts w:cs="Times New Roman"/>
          <w:sz w:val="18"/>
          <w:szCs w:val="20"/>
        </w:rPr>
        <w:t>However, when we perform analysis over time for the NTDs alone (i.e. excluding malaria from the analysis) inequalities have increased.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D1689" w14:textId="77777777" w:rsidR="00D23802" w:rsidRDefault="00D23802">
    <w:pPr>
      <w:pStyle w:val="Header"/>
    </w:pPr>
  </w:p>
  <w:p w14:paraId="45462A42" w14:textId="77777777" w:rsidR="00D23802" w:rsidRDefault="00D23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66BC4"/>
    <w:multiLevelType w:val="hybridMultilevel"/>
    <w:tmpl w:val="37C2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97943"/>
    <w:multiLevelType w:val="hybridMultilevel"/>
    <w:tmpl w:val="98DA5FCA"/>
    <w:lvl w:ilvl="0" w:tplc="49081AE6">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A82A52"/>
    <w:multiLevelType w:val="hybridMultilevel"/>
    <w:tmpl w:val="E9BC62F8"/>
    <w:lvl w:ilvl="0" w:tplc="99B65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41D66"/>
    <w:multiLevelType w:val="hybridMultilevel"/>
    <w:tmpl w:val="17EC3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8D7557"/>
    <w:multiLevelType w:val="hybridMultilevel"/>
    <w:tmpl w:val="06461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697CAE"/>
    <w:multiLevelType w:val="hybridMultilevel"/>
    <w:tmpl w:val="0A047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52185A"/>
    <w:multiLevelType w:val="hybridMultilevel"/>
    <w:tmpl w:val="BC626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5F3315"/>
    <w:multiLevelType w:val="hybridMultilevel"/>
    <w:tmpl w:val="2EACC37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2024C1"/>
    <w:multiLevelType w:val="hybridMultilevel"/>
    <w:tmpl w:val="E9BC62F8"/>
    <w:lvl w:ilvl="0" w:tplc="99B65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763270"/>
    <w:multiLevelType w:val="hybridMultilevel"/>
    <w:tmpl w:val="7ACA1964"/>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10" w15:restartNumberingAfterBreak="0">
    <w:nsid w:val="4E776C3B"/>
    <w:multiLevelType w:val="hybridMultilevel"/>
    <w:tmpl w:val="D11CD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B053D8"/>
    <w:multiLevelType w:val="hybridMultilevel"/>
    <w:tmpl w:val="C73A89F4"/>
    <w:lvl w:ilvl="0" w:tplc="2696A3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26118F"/>
    <w:multiLevelType w:val="multilevel"/>
    <w:tmpl w:val="B6D6B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662DD4"/>
    <w:multiLevelType w:val="hybridMultilevel"/>
    <w:tmpl w:val="D6E4AA0A"/>
    <w:lvl w:ilvl="0" w:tplc="B27E34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8F35B6"/>
    <w:multiLevelType w:val="hybridMultilevel"/>
    <w:tmpl w:val="06461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E1655E"/>
    <w:multiLevelType w:val="hybridMultilevel"/>
    <w:tmpl w:val="070A5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E566A0"/>
    <w:multiLevelType w:val="hybridMultilevel"/>
    <w:tmpl w:val="6E5AD2C8"/>
    <w:lvl w:ilvl="0" w:tplc="B928B9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08760D"/>
    <w:multiLevelType w:val="hybridMultilevel"/>
    <w:tmpl w:val="E9BC62F8"/>
    <w:lvl w:ilvl="0" w:tplc="99B65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3769"/>
    <w:multiLevelType w:val="hybridMultilevel"/>
    <w:tmpl w:val="C698402A"/>
    <w:lvl w:ilvl="0" w:tplc="D5C6CA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180F3E"/>
    <w:multiLevelType w:val="hybridMultilevel"/>
    <w:tmpl w:val="1682F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CE0D1B"/>
    <w:multiLevelType w:val="hybridMultilevel"/>
    <w:tmpl w:val="CDC0D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8F4EA7"/>
    <w:multiLevelType w:val="hybridMultilevel"/>
    <w:tmpl w:val="3906F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B117EA"/>
    <w:multiLevelType w:val="hybridMultilevel"/>
    <w:tmpl w:val="5CB64022"/>
    <w:lvl w:ilvl="0" w:tplc="D5C6CA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9"/>
  </w:num>
  <w:num w:numId="3">
    <w:abstractNumId w:val="1"/>
  </w:num>
  <w:num w:numId="4">
    <w:abstractNumId w:val="3"/>
  </w:num>
  <w:num w:numId="5">
    <w:abstractNumId w:val="10"/>
  </w:num>
  <w:num w:numId="6">
    <w:abstractNumId w:val="6"/>
  </w:num>
  <w:num w:numId="7">
    <w:abstractNumId w:val="21"/>
  </w:num>
  <w:num w:numId="8">
    <w:abstractNumId w:val="4"/>
  </w:num>
  <w:num w:numId="9">
    <w:abstractNumId w:val="14"/>
  </w:num>
  <w:num w:numId="10">
    <w:abstractNumId w:val="0"/>
  </w:num>
  <w:num w:numId="11">
    <w:abstractNumId w:val="2"/>
  </w:num>
  <w:num w:numId="12">
    <w:abstractNumId w:val="8"/>
  </w:num>
  <w:num w:numId="13">
    <w:abstractNumId w:val="17"/>
  </w:num>
  <w:num w:numId="14">
    <w:abstractNumId w:val="15"/>
  </w:num>
  <w:num w:numId="15">
    <w:abstractNumId w:val="12"/>
  </w:num>
  <w:num w:numId="16">
    <w:abstractNumId w:val="22"/>
  </w:num>
  <w:num w:numId="17">
    <w:abstractNumId w:val="13"/>
  </w:num>
  <w:num w:numId="18">
    <w:abstractNumId w:val="18"/>
  </w:num>
  <w:num w:numId="19">
    <w:abstractNumId w:val="1"/>
  </w:num>
  <w:num w:numId="20">
    <w:abstractNumId w:val="1"/>
  </w:num>
  <w:num w:numId="21">
    <w:abstractNumId w:val="1"/>
    <w:lvlOverride w:ilvl="0">
      <w:startOverride w:val="1"/>
    </w:lvlOverride>
  </w:num>
  <w:num w:numId="22">
    <w:abstractNumId w:val="5"/>
  </w:num>
  <w:num w:numId="23">
    <w:abstractNumId w:val="16"/>
  </w:num>
  <w:num w:numId="24">
    <w:abstractNumId w:val="7"/>
  </w:num>
  <w:num w:numId="25">
    <w:abstractNumId w:val="11"/>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trackRevisions/>
  <w:doNotTrackFormatting/>
  <w:defaultTabStop w:val="720"/>
  <w:hyphenationZone w:val="425"/>
  <w:drawingGridHorizontalSpacing w:val="360"/>
  <w:drawingGridVerticalSpacing w:val="360"/>
  <w:displayHorizontalDrawingGridEvery w:val="0"/>
  <w:displayVerticalDrawingGridEvery w:val="0"/>
  <w:characterSpacingControl w:val="doNotCompress"/>
  <w:footnotePr>
    <w:numFmt w:val="lowerLette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only 3 nam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F33CDC"/>
    <w:rsid w:val="000001D5"/>
    <w:rsid w:val="00001DAF"/>
    <w:rsid w:val="00002605"/>
    <w:rsid w:val="0000358C"/>
    <w:rsid w:val="00004C6E"/>
    <w:rsid w:val="00005684"/>
    <w:rsid w:val="00005BEC"/>
    <w:rsid w:val="00006B8D"/>
    <w:rsid w:val="00006BD4"/>
    <w:rsid w:val="000073AA"/>
    <w:rsid w:val="00007E2B"/>
    <w:rsid w:val="00011686"/>
    <w:rsid w:val="00011893"/>
    <w:rsid w:val="000128B7"/>
    <w:rsid w:val="00012E42"/>
    <w:rsid w:val="00013350"/>
    <w:rsid w:val="00015EE6"/>
    <w:rsid w:val="000164F0"/>
    <w:rsid w:val="000202FB"/>
    <w:rsid w:val="00020F00"/>
    <w:rsid w:val="0002226B"/>
    <w:rsid w:val="00022890"/>
    <w:rsid w:val="00022DDE"/>
    <w:rsid w:val="00023687"/>
    <w:rsid w:val="000237A2"/>
    <w:rsid w:val="00023958"/>
    <w:rsid w:val="000239E4"/>
    <w:rsid w:val="00023F29"/>
    <w:rsid w:val="0002484C"/>
    <w:rsid w:val="000253AB"/>
    <w:rsid w:val="00025909"/>
    <w:rsid w:val="000263AA"/>
    <w:rsid w:val="000305E9"/>
    <w:rsid w:val="000306D4"/>
    <w:rsid w:val="000308D5"/>
    <w:rsid w:val="00030B14"/>
    <w:rsid w:val="00030DF8"/>
    <w:rsid w:val="00032576"/>
    <w:rsid w:val="0003344F"/>
    <w:rsid w:val="00033AEB"/>
    <w:rsid w:val="00033F2A"/>
    <w:rsid w:val="00033FF2"/>
    <w:rsid w:val="00034266"/>
    <w:rsid w:val="0003531E"/>
    <w:rsid w:val="000364A3"/>
    <w:rsid w:val="00037D5A"/>
    <w:rsid w:val="00042166"/>
    <w:rsid w:val="0004273C"/>
    <w:rsid w:val="00043325"/>
    <w:rsid w:val="000438AD"/>
    <w:rsid w:val="00043EF2"/>
    <w:rsid w:val="000449AA"/>
    <w:rsid w:val="00045167"/>
    <w:rsid w:val="00045D42"/>
    <w:rsid w:val="000500CE"/>
    <w:rsid w:val="000500F9"/>
    <w:rsid w:val="00050626"/>
    <w:rsid w:val="000518A8"/>
    <w:rsid w:val="00051EAA"/>
    <w:rsid w:val="00052355"/>
    <w:rsid w:val="00052D2C"/>
    <w:rsid w:val="00052FB0"/>
    <w:rsid w:val="000539B1"/>
    <w:rsid w:val="000539C6"/>
    <w:rsid w:val="00053CB9"/>
    <w:rsid w:val="00053FDF"/>
    <w:rsid w:val="000548D5"/>
    <w:rsid w:val="000551A2"/>
    <w:rsid w:val="00055DE5"/>
    <w:rsid w:val="0005695E"/>
    <w:rsid w:val="000575CA"/>
    <w:rsid w:val="000575EF"/>
    <w:rsid w:val="00060496"/>
    <w:rsid w:val="00060591"/>
    <w:rsid w:val="00061E66"/>
    <w:rsid w:val="00062380"/>
    <w:rsid w:val="00063872"/>
    <w:rsid w:val="00063FB2"/>
    <w:rsid w:val="00064367"/>
    <w:rsid w:val="00065783"/>
    <w:rsid w:val="00065817"/>
    <w:rsid w:val="00065984"/>
    <w:rsid w:val="000663D1"/>
    <w:rsid w:val="00066D12"/>
    <w:rsid w:val="000706E0"/>
    <w:rsid w:val="00070BB8"/>
    <w:rsid w:val="00070D57"/>
    <w:rsid w:val="000719E6"/>
    <w:rsid w:val="00071E06"/>
    <w:rsid w:val="00072D7C"/>
    <w:rsid w:val="00073BB0"/>
    <w:rsid w:val="00073BCA"/>
    <w:rsid w:val="00073CCE"/>
    <w:rsid w:val="000743DE"/>
    <w:rsid w:val="00074D5B"/>
    <w:rsid w:val="00074FA5"/>
    <w:rsid w:val="00075005"/>
    <w:rsid w:val="00075434"/>
    <w:rsid w:val="000755B8"/>
    <w:rsid w:val="00075E99"/>
    <w:rsid w:val="000764C5"/>
    <w:rsid w:val="00076E23"/>
    <w:rsid w:val="00077151"/>
    <w:rsid w:val="00080C2C"/>
    <w:rsid w:val="0008180D"/>
    <w:rsid w:val="00081895"/>
    <w:rsid w:val="0008204D"/>
    <w:rsid w:val="00082F6F"/>
    <w:rsid w:val="00082FB8"/>
    <w:rsid w:val="0008364D"/>
    <w:rsid w:val="00083957"/>
    <w:rsid w:val="0008398D"/>
    <w:rsid w:val="00083D9E"/>
    <w:rsid w:val="00084215"/>
    <w:rsid w:val="0008450A"/>
    <w:rsid w:val="00084EF4"/>
    <w:rsid w:val="000853DB"/>
    <w:rsid w:val="00085C25"/>
    <w:rsid w:val="00086247"/>
    <w:rsid w:val="0008682F"/>
    <w:rsid w:val="000901D8"/>
    <w:rsid w:val="0009050B"/>
    <w:rsid w:val="000909D7"/>
    <w:rsid w:val="00091250"/>
    <w:rsid w:val="00094610"/>
    <w:rsid w:val="000954D4"/>
    <w:rsid w:val="0009673C"/>
    <w:rsid w:val="00096DD9"/>
    <w:rsid w:val="00097047"/>
    <w:rsid w:val="0009735D"/>
    <w:rsid w:val="00097775"/>
    <w:rsid w:val="00097E6F"/>
    <w:rsid w:val="00097EB2"/>
    <w:rsid w:val="000A0642"/>
    <w:rsid w:val="000A1362"/>
    <w:rsid w:val="000A3251"/>
    <w:rsid w:val="000A4322"/>
    <w:rsid w:val="000A5B17"/>
    <w:rsid w:val="000A7285"/>
    <w:rsid w:val="000A72FA"/>
    <w:rsid w:val="000A79B0"/>
    <w:rsid w:val="000B0113"/>
    <w:rsid w:val="000B02AA"/>
    <w:rsid w:val="000B09AB"/>
    <w:rsid w:val="000B0C18"/>
    <w:rsid w:val="000B3212"/>
    <w:rsid w:val="000B3AA4"/>
    <w:rsid w:val="000B3F78"/>
    <w:rsid w:val="000B4B4E"/>
    <w:rsid w:val="000B612B"/>
    <w:rsid w:val="000B65C0"/>
    <w:rsid w:val="000B6A39"/>
    <w:rsid w:val="000B7A95"/>
    <w:rsid w:val="000C017B"/>
    <w:rsid w:val="000C16CF"/>
    <w:rsid w:val="000C177F"/>
    <w:rsid w:val="000C1C3E"/>
    <w:rsid w:val="000C1CF1"/>
    <w:rsid w:val="000C2000"/>
    <w:rsid w:val="000C21A0"/>
    <w:rsid w:val="000C2EBD"/>
    <w:rsid w:val="000C304B"/>
    <w:rsid w:val="000C38F4"/>
    <w:rsid w:val="000C3C4D"/>
    <w:rsid w:val="000C426D"/>
    <w:rsid w:val="000C4F55"/>
    <w:rsid w:val="000C63D7"/>
    <w:rsid w:val="000C6A29"/>
    <w:rsid w:val="000C7BC0"/>
    <w:rsid w:val="000D10FF"/>
    <w:rsid w:val="000D1C0D"/>
    <w:rsid w:val="000D23CA"/>
    <w:rsid w:val="000D362C"/>
    <w:rsid w:val="000D4A0B"/>
    <w:rsid w:val="000E0260"/>
    <w:rsid w:val="000E0422"/>
    <w:rsid w:val="000E148C"/>
    <w:rsid w:val="000E173B"/>
    <w:rsid w:val="000E291F"/>
    <w:rsid w:val="000E35D1"/>
    <w:rsid w:val="000E3D5C"/>
    <w:rsid w:val="000E430F"/>
    <w:rsid w:val="000E44C5"/>
    <w:rsid w:val="000E44C8"/>
    <w:rsid w:val="000E481E"/>
    <w:rsid w:val="000E4828"/>
    <w:rsid w:val="000E54C9"/>
    <w:rsid w:val="000E73C8"/>
    <w:rsid w:val="000E7A76"/>
    <w:rsid w:val="000E7B74"/>
    <w:rsid w:val="000F00E8"/>
    <w:rsid w:val="000F03AE"/>
    <w:rsid w:val="000F1647"/>
    <w:rsid w:val="000F227A"/>
    <w:rsid w:val="000F3402"/>
    <w:rsid w:val="000F55F4"/>
    <w:rsid w:val="000F5CC4"/>
    <w:rsid w:val="000F5D3E"/>
    <w:rsid w:val="000F7215"/>
    <w:rsid w:val="000F7873"/>
    <w:rsid w:val="001000D2"/>
    <w:rsid w:val="001011ED"/>
    <w:rsid w:val="00101E15"/>
    <w:rsid w:val="001023E0"/>
    <w:rsid w:val="00102B89"/>
    <w:rsid w:val="0010446D"/>
    <w:rsid w:val="001044D5"/>
    <w:rsid w:val="00104857"/>
    <w:rsid w:val="001049BE"/>
    <w:rsid w:val="0010705F"/>
    <w:rsid w:val="00110777"/>
    <w:rsid w:val="001112DB"/>
    <w:rsid w:val="00111C25"/>
    <w:rsid w:val="00112008"/>
    <w:rsid w:val="0011285E"/>
    <w:rsid w:val="00113014"/>
    <w:rsid w:val="00113CC5"/>
    <w:rsid w:val="001143F0"/>
    <w:rsid w:val="00114CEB"/>
    <w:rsid w:val="00114F0F"/>
    <w:rsid w:val="00114FD2"/>
    <w:rsid w:val="00115AA8"/>
    <w:rsid w:val="00116A08"/>
    <w:rsid w:val="00116BC3"/>
    <w:rsid w:val="00117ECC"/>
    <w:rsid w:val="00120A21"/>
    <w:rsid w:val="0012113D"/>
    <w:rsid w:val="00121F09"/>
    <w:rsid w:val="00122836"/>
    <w:rsid w:val="001228AA"/>
    <w:rsid w:val="001240A0"/>
    <w:rsid w:val="00124D9E"/>
    <w:rsid w:val="00125225"/>
    <w:rsid w:val="0012590C"/>
    <w:rsid w:val="0012607C"/>
    <w:rsid w:val="00127315"/>
    <w:rsid w:val="0012783C"/>
    <w:rsid w:val="00127B24"/>
    <w:rsid w:val="00127E15"/>
    <w:rsid w:val="00130563"/>
    <w:rsid w:val="00131781"/>
    <w:rsid w:val="0013279B"/>
    <w:rsid w:val="00132881"/>
    <w:rsid w:val="0013342A"/>
    <w:rsid w:val="001349B9"/>
    <w:rsid w:val="0013530D"/>
    <w:rsid w:val="00135326"/>
    <w:rsid w:val="001358B8"/>
    <w:rsid w:val="00136A42"/>
    <w:rsid w:val="00136D1C"/>
    <w:rsid w:val="00137296"/>
    <w:rsid w:val="00137732"/>
    <w:rsid w:val="0014020D"/>
    <w:rsid w:val="00140BB2"/>
    <w:rsid w:val="0014109F"/>
    <w:rsid w:val="001444BA"/>
    <w:rsid w:val="0014455A"/>
    <w:rsid w:val="001450E9"/>
    <w:rsid w:val="00145182"/>
    <w:rsid w:val="0014542E"/>
    <w:rsid w:val="00146CAE"/>
    <w:rsid w:val="00147BDE"/>
    <w:rsid w:val="00150A3A"/>
    <w:rsid w:val="0015145D"/>
    <w:rsid w:val="00154B8F"/>
    <w:rsid w:val="001557F7"/>
    <w:rsid w:val="0015607E"/>
    <w:rsid w:val="0015615A"/>
    <w:rsid w:val="00156F9A"/>
    <w:rsid w:val="00157C78"/>
    <w:rsid w:val="00160D86"/>
    <w:rsid w:val="00161133"/>
    <w:rsid w:val="0016159A"/>
    <w:rsid w:val="00161C51"/>
    <w:rsid w:val="00161E68"/>
    <w:rsid w:val="0016242A"/>
    <w:rsid w:val="0016247B"/>
    <w:rsid w:val="001628A9"/>
    <w:rsid w:val="00164D62"/>
    <w:rsid w:val="0016575A"/>
    <w:rsid w:val="0016693B"/>
    <w:rsid w:val="00166B39"/>
    <w:rsid w:val="00167372"/>
    <w:rsid w:val="001710AD"/>
    <w:rsid w:val="001722C7"/>
    <w:rsid w:val="00172BC8"/>
    <w:rsid w:val="001734E2"/>
    <w:rsid w:val="00175850"/>
    <w:rsid w:val="00175BD8"/>
    <w:rsid w:val="0017752F"/>
    <w:rsid w:val="00177CE1"/>
    <w:rsid w:val="00180342"/>
    <w:rsid w:val="00180632"/>
    <w:rsid w:val="0018078A"/>
    <w:rsid w:val="00181ACA"/>
    <w:rsid w:val="00181E71"/>
    <w:rsid w:val="00182095"/>
    <w:rsid w:val="001823D3"/>
    <w:rsid w:val="0018315D"/>
    <w:rsid w:val="00183408"/>
    <w:rsid w:val="001837FE"/>
    <w:rsid w:val="00183C0D"/>
    <w:rsid w:val="00184F30"/>
    <w:rsid w:val="00185E05"/>
    <w:rsid w:val="00185ECC"/>
    <w:rsid w:val="00186052"/>
    <w:rsid w:val="001872CC"/>
    <w:rsid w:val="00187A65"/>
    <w:rsid w:val="00190E1C"/>
    <w:rsid w:val="00191566"/>
    <w:rsid w:val="00191A6F"/>
    <w:rsid w:val="00191D47"/>
    <w:rsid w:val="0019273D"/>
    <w:rsid w:val="00192DD1"/>
    <w:rsid w:val="00194C2C"/>
    <w:rsid w:val="001956F7"/>
    <w:rsid w:val="00197532"/>
    <w:rsid w:val="00197E6C"/>
    <w:rsid w:val="001A02BD"/>
    <w:rsid w:val="001A0460"/>
    <w:rsid w:val="001A063B"/>
    <w:rsid w:val="001A075B"/>
    <w:rsid w:val="001A0E4F"/>
    <w:rsid w:val="001A121F"/>
    <w:rsid w:val="001A184C"/>
    <w:rsid w:val="001A2595"/>
    <w:rsid w:val="001A264D"/>
    <w:rsid w:val="001A4085"/>
    <w:rsid w:val="001A5B24"/>
    <w:rsid w:val="001A5F63"/>
    <w:rsid w:val="001A6E7F"/>
    <w:rsid w:val="001A7568"/>
    <w:rsid w:val="001A7C66"/>
    <w:rsid w:val="001B1F00"/>
    <w:rsid w:val="001B2DD8"/>
    <w:rsid w:val="001B2F12"/>
    <w:rsid w:val="001B44D5"/>
    <w:rsid w:val="001B4B7C"/>
    <w:rsid w:val="001B4EAE"/>
    <w:rsid w:val="001B5BD9"/>
    <w:rsid w:val="001B6554"/>
    <w:rsid w:val="001B6CDA"/>
    <w:rsid w:val="001C06B2"/>
    <w:rsid w:val="001C0ED7"/>
    <w:rsid w:val="001C11FD"/>
    <w:rsid w:val="001C16B2"/>
    <w:rsid w:val="001C16FD"/>
    <w:rsid w:val="001C18C0"/>
    <w:rsid w:val="001C19A8"/>
    <w:rsid w:val="001C1D83"/>
    <w:rsid w:val="001C2D1F"/>
    <w:rsid w:val="001C2D81"/>
    <w:rsid w:val="001C3345"/>
    <w:rsid w:val="001C436A"/>
    <w:rsid w:val="001C4C33"/>
    <w:rsid w:val="001C5A43"/>
    <w:rsid w:val="001C5E4B"/>
    <w:rsid w:val="001C5F9A"/>
    <w:rsid w:val="001C60BF"/>
    <w:rsid w:val="001C68D5"/>
    <w:rsid w:val="001C7955"/>
    <w:rsid w:val="001D1FF5"/>
    <w:rsid w:val="001D3791"/>
    <w:rsid w:val="001D37F4"/>
    <w:rsid w:val="001D3B76"/>
    <w:rsid w:val="001D3D72"/>
    <w:rsid w:val="001D445C"/>
    <w:rsid w:val="001D5656"/>
    <w:rsid w:val="001D5F1C"/>
    <w:rsid w:val="001D6F42"/>
    <w:rsid w:val="001D700A"/>
    <w:rsid w:val="001D73DE"/>
    <w:rsid w:val="001D757B"/>
    <w:rsid w:val="001D7FB6"/>
    <w:rsid w:val="001E02E6"/>
    <w:rsid w:val="001E086A"/>
    <w:rsid w:val="001E195F"/>
    <w:rsid w:val="001E3603"/>
    <w:rsid w:val="001E3E1E"/>
    <w:rsid w:val="001E5463"/>
    <w:rsid w:val="001E54C1"/>
    <w:rsid w:val="001E5A32"/>
    <w:rsid w:val="001E6E3B"/>
    <w:rsid w:val="001E7A81"/>
    <w:rsid w:val="001F062C"/>
    <w:rsid w:val="001F0770"/>
    <w:rsid w:val="001F0C15"/>
    <w:rsid w:val="001F1200"/>
    <w:rsid w:val="001F2BD9"/>
    <w:rsid w:val="001F3FFA"/>
    <w:rsid w:val="001F40B3"/>
    <w:rsid w:val="001F438D"/>
    <w:rsid w:val="001F4518"/>
    <w:rsid w:val="001F48FE"/>
    <w:rsid w:val="001F59AE"/>
    <w:rsid w:val="001F5CFA"/>
    <w:rsid w:val="001F700A"/>
    <w:rsid w:val="001F72A8"/>
    <w:rsid w:val="001F752D"/>
    <w:rsid w:val="00200B11"/>
    <w:rsid w:val="00201429"/>
    <w:rsid w:val="002017BB"/>
    <w:rsid w:val="00203155"/>
    <w:rsid w:val="002039CC"/>
    <w:rsid w:val="00203EA6"/>
    <w:rsid w:val="0020484E"/>
    <w:rsid w:val="002057B7"/>
    <w:rsid w:val="00205AE0"/>
    <w:rsid w:val="00205E4C"/>
    <w:rsid w:val="002067EE"/>
    <w:rsid w:val="00206819"/>
    <w:rsid w:val="00211896"/>
    <w:rsid w:val="00211F03"/>
    <w:rsid w:val="00212C9D"/>
    <w:rsid w:val="002138C7"/>
    <w:rsid w:val="00214158"/>
    <w:rsid w:val="0021485C"/>
    <w:rsid w:val="00215CA1"/>
    <w:rsid w:val="00215EB5"/>
    <w:rsid w:val="00216331"/>
    <w:rsid w:val="00216385"/>
    <w:rsid w:val="002167A4"/>
    <w:rsid w:val="00217DBC"/>
    <w:rsid w:val="00217DE6"/>
    <w:rsid w:val="00221426"/>
    <w:rsid w:val="002240EF"/>
    <w:rsid w:val="002245F7"/>
    <w:rsid w:val="00224AAB"/>
    <w:rsid w:val="002279E5"/>
    <w:rsid w:val="00231102"/>
    <w:rsid w:val="002329F6"/>
    <w:rsid w:val="00232F03"/>
    <w:rsid w:val="00233600"/>
    <w:rsid w:val="002337B8"/>
    <w:rsid w:val="002337CA"/>
    <w:rsid w:val="00234AB0"/>
    <w:rsid w:val="00234AE3"/>
    <w:rsid w:val="00234B3F"/>
    <w:rsid w:val="002375AB"/>
    <w:rsid w:val="00237ED5"/>
    <w:rsid w:val="00237F91"/>
    <w:rsid w:val="002401F2"/>
    <w:rsid w:val="0024126B"/>
    <w:rsid w:val="002414A5"/>
    <w:rsid w:val="00243EB5"/>
    <w:rsid w:val="002454EC"/>
    <w:rsid w:val="00245A24"/>
    <w:rsid w:val="00247A51"/>
    <w:rsid w:val="002504D5"/>
    <w:rsid w:val="002511A4"/>
    <w:rsid w:val="00252D7A"/>
    <w:rsid w:val="0025358D"/>
    <w:rsid w:val="00253ACC"/>
    <w:rsid w:val="0025449B"/>
    <w:rsid w:val="00254684"/>
    <w:rsid w:val="00254A0A"/>
    <w:rsid w:val="00254BDF"/>
    <w:rsid w:val="0025511D"/>
    <w:rsid w:val="00255267"/>
    <w:rsid w:val="002567C4"/>
    <w:rsid w:val="00256B3D"/>
    <w:rsid w:val="002571D4"/>
    <w:rsid w:val="0025769F"/>
    <w:rsid w:val="00257BA8"/>
    <w:rsid w:val="00260477"/>
    <w:rsid w:val="00260B5F"/>
    <w:rsid w:val="00261BC4"/>
    <w:rsid w:val="00262787"/>
    <w:rsid w:val="00262BC4"/>
    <w:rsid w:val="00263831"/>
    <w:rsid w:val="002642A3"/>
    <w:rsid w:val="00264A7D"/>
    <w:rsid w:val="0026592A"/>
    <w:rsid w:val="002663F8"/>
    <w:rsid w:val="00267354"/>
    <w:rsid w:val="00267845"/>
    <w:rsid w:val="00271BBF"/>
    <w:rsid w:val="00271FC8"/>
    <w:rsid w:val="0027208A"/>
    <w:rsid w:val="0027267E"/>
    <w:rsid w:val="0027269B"/>
    <w:rsid w:val="002733C2"/>
    <w:rsid w:val="00274711"/>
    <w:rsid w:val="00275EDA"/>
    <w:rsid w:val="00276FD8"/>
    <w:rsid w:val="00277A94"/>
    <w:rsid w:val="002805C8"/>
    <w:rsid w:val="0028152A"/>
    <w:rsid w:val="0028315B"/>
    <w:rsid w:val="002847B2"/>
    <w:rsid w:val="0028673E"/>
    <w:rsid w:val="00286D9A"/>
    <w:rsid w:val="002877C1"/>
    <w:rsid w:val="002901A4"/>
    <w:rsid w:val="002913A4"/>
    <w:rsid w:val="00293B51"/>
    <w:rsid w:val="00294F39"/>
    <w:rsid w:val="002954D7"/>
    <w:rsid w:val="00295556"/>
    <w:rsid w:val="00296696"/>
    <w:rsid w:val="00296A00"/>
    <w:rsid w:val="002A1145"/>
    <w:rsid w:val="002A1189"/>
    <w:rsid w:val="002A13D3"/>
    <w:rsid w:val="002A1741"/>
    <w:rsid w:val="002A1E2A"/>
    <w:rsid w:val="002A26A4"/>
    <w:rsid w:val="002A311E"/>
    <w:rsid w:val="002A36B6"/>
    <w:rsid w:val="002A386F"/>
    <w:rsid w:val="002A4028"/>
    <w:rsid w:val="002A466C"/>
    <w:rsid w:val="002A530A"/>
    <w:rsid w:val="002A5553"/>
    <w:rsid w:val="002A5CC6"/>
    <w:rsid w:val="002A61A8"/>
    <w:rsid w:val="002A6410"/>
    <w:rsid w:val="002B230F"/>
    <w:rsid w:val="002B252D"/>
    <w:rsid w:val="002B2E85"/>
    <w:rsid w:val="002B37D6"/>
    <w:rsid w:val="002B3FC8"/>
    <w:rsid w:val="002B418C"/>
    <w:rsid w:val="002B41A6"/>
    <w:rsid w:val="002B43CE"/>
    <w:rsid w:val="002B44FE"/>
    <w:rsid w:val="002B7842"/>
    <w:rsid w:val="002C28B0"/>
    <w:rsid w:val="002C3A6F"/>
    <w:rsid w:val="002C3C6B"/>
    <w:rsid w:val="002C3CF5"/>
    <w:rsid w:val="002C400C"/>
    <w:rsid w:val="002C481D"/>
    <w:rsid w:val="002C5E98"/>
    <w:rsid w:val="002C668D"/>
    <w:rsid w:val="002C6B4B"/>
    <w:rsid w:val="002C6C27"/>
    <w:rsid w:val="002C7E72"/>
    <w:rsid w:val="002D1163"/>
    <w:rsid w:val="002D2155"/>
    <w:rsid w:val="002D293C"/>
    <w:rsid w:val="002D2AC7"/>
    <w:rsid w:val="002D2C3A"/>
    <w:rsid w:val="002D335B"/>
    <w:rsid w:val="002D3A6F"/>
    <w:rsid w:val="002D454C"/>
    <w:rsid w:val="002D4B50"/>
    <w:rsid w:val="002D4BFA"/>
    <w:rsid w:val="002D6199"/>
    <w:rsid w:val="002D67A0"/>
    <w:rsid w:val="002D68E7"/>
    <w:rsid w:val="002D6CB6"/>
    <w:rsid w:val="002D7179"/>
    <w:rsid w:val="002E0204"/>
    <w:rsid w:val="002E0548"/>
    <w:rsid w:val="002E0B83"/>
    <w:rsid w:val="002E117B"/>
    <w:rsid w:val="002E22EC"/>
    <w:rsid w:val="002E2F65"/>
    <w:rsid w:val="002E2FA4"/>
    <w:rsid w:val="002E4A81"/>
    <w:rsid w:val="002E4C60"/>
    <w:rsid w:val="002E4F2F"/>
    <w:rsid w:val="002E6CEF"/>
    <w:rsid w:val="002E7258"/>
    <w:rsid w:val="002E790D"/>
    <w:rsid w:val="002E7A9C"/>
    <w:rsid w:val="002F101B"/>
    <w:rsid w:val="002F137B"/>
    <w:rsid w:val="002F28EB"/>
    <w:rsid w:val="002F3129"/>
    <w:rsid w:val="002F38D8"/>
    <w:rsid w:val="002F5B68"/>
    <w:rsid w:val="002F6920"/>
    <w:rsid w:val="002F7169"/>
    <w:rsid w:val="002F75D8"/>
    <w:rsid w:val="003006B3"/>
    <w:rsid w:val="00300D38"/>
    <w:rsid w:val="003021FD"/>
    <w:rsid w:val="003043C1"/>
    <w:rsid w:val="00304FF3"/>
    <w:rsid w:val="00305436"/>
    <w:rsid w:val="00307200"/>
    <w:rsid w:val="003074E0"/>
    <w:rsid w:val="003105AD"/>
    <w:rsid w:val="003117BA"/>
    <w:rsid w:val="00311945"/>
    <w:rsid w:val="00312772"/>
    <w:rsid w:val="00312C5D"/>
    <w:rsid w:val="00312E07"/>
    <w:rsid w:val="00313B56"/>
    <w:rsid w:val="00313E4A"/>
    <w:rsid w:val="00317484"/>
    <w:rsid w:val="003202DF"/>
    <w:rsid w:val="00320C0B"/>
    <w:rsid w:val="00320F5B"/>
    <w:rsid w:val="003214A1"/>
    <w:rsid w:val="0032198A"/>
    <w:rsid w:val="00322268"/>
    <w:rsid w:val="00322456"/>
    <w:rsid w:val="0032394F"/>
    <w:rsid w:val="00323BC1"/>
    <w:rsid w:val="003240BA"/>
    <w:rsid w:val="0032463E"/>
    <w:rsid w:val="003255E1"/>
    <w:rsid w:val="0032580C"/>
    <w:rsid w:val="00327ACB"/>
    <w:rsid w:val="00327B8C"/>
    <w:rsid w:val="003301C7"/>
    <w:rsid w:val="003302AF"/>
    <w:rsid w:val="0033068B"/>
    <w:rsid w:val="0033435A"/>
    <w:rsid w:val="003348F7"/>
    <w:rsid w:val="00335301"/>
    <w:rsid w:val="003359A0"/>
    <w:rsid w:val="003368A8"/>
    <w:rsid w:val="00336B70"/>
    <w:rsid w:val="003373A1"/>
    <w:rsid w:val="0034064E"/>
    <w:rsid w:val="003406CE"/>
    <w:rsid w:val="00340D4B"/>
    <w:rsid w:val="00341767"/>
    <w:rsid w:val="00341AFB"/>
    <w:rsid w:val="0034287D"/>
    <w:rsid w:val="00342AC9"/>
    <w:rsid w:val="003443C1"/>
    <w:rsid w:val="00345FBF"/>
    <w:rsid w:val="00346090"/>
    <w:rsid w:val="00346395"/>
    <w:rsid w:val="003468C2"/>
    <w:rsid w:val="00346AB8"/>
    <w:rsid w:val="003471CC"/>
    <w:rsid w:val="00347C3C"/>
    <w:rsid w:val="003545A1"/>
    <w:rsid w:val="00354B90"/>
    <w:rsid w:val="00355233"/>
    <w:rsid w:val="0035674F"/>
    <w:rsid w:val="00360D10"/>
    <w:rsid w:val="00361171"/>
    <w:rsid w:val="0036137E"/>
    <w:rsid w:val="003615E0"/>
    <w:rsid w:val="00361606"/>
    <w:rsid w:val="00361D0D"/>
    <w:rsid w:val="00362EAE"/>
    <w:rsid w:val="00362F77"/>
    <w:rsid w:val="00363553"/>
    <w:rsid w:val="00363EAD"/>
    <w:rsid w:val="003643CA"/>
    <w:rsid w:val="003647E8"/>
    <w:rsid w:val="00364EF3"/>
    <w:rsid w:val="00364FDC"/>
    <w:rsid w:val="00365330"/>
    <w:rsid w:val="00365FDA"/>
    <w:rsid w:val="003662FA"/>
    <w:rsid w:val="00366A23"/>
    <w:rsid w:val="00366A35"/>
    <w:rsid w:val="00367B7B"/>
    <w:rsid w:val="00367CDE"/>
    <w:rsid w:val="00370B75"/>
    <w:rsid w:val="003713DC"/>
    <w:rsid w:val="00372F19"/>
    <w:rsid w:val="003737E5"/>
    <w:rsid w:val="003738A2"/>
    <w:rsid w:val="00373939"/>
    <w:rsid w:val="00373F8A"/>
    <w:rsid w:val="00374429"/>
    <w:rsid w:val="0037558E"/>
    <w:rsid w:val="003761F3"/>
    <w:rsid w:val="00380413"/>
    <w:rsid w:val="003809FF"/>
    <w:rsid w:val="00380A0E"/>
    <w:rsid w:val="00380A2B"/>
    <w:rsid w:val="003816F1"/>
    <w:rsid w:val="003834BD"/>
    <w:rsid w:val="0038417A"/>
    <w:rsid w:val="00384D56"/>
    <w:rsid w:val="00385EEB"/>
    <w:rsid w:val="00386359"/>
    <w:rsid w:val="00386567"/>
    <w:rsid w:val="00386828"/>
    <w:rsid w:val="00386EDD"/>
    <w:rsid w:val="0038724E"/>
    <w:rsid w:val="00387380"/>
    <w:rsid w:val="003901B1"/>
    <w:rsid w:val="003903C4"/>
    <w:rsid w:val="0039113C"/>
    <w:rsid w:val="00391D42"/>
    <w:rsid w:val="00391EAE"/>
    <w:rsid w:val="00392E14"/>
    <w:rsid w:val="003935C5"/>
    <w:rsid w:val="003937A0"/>
    <w:rsid w:val="003949B8"/>
    <w:rsid w:val="00394E7D"/>
    <w:rsid w:val="00394FA1"/>
    <w:rsid w:val="00396990"/>
    <w:rsid w:val="003A02A7"/>
    <w:rsid w:val="003A0EC8"/>
    <w:rsid w:val="003A1BF3"/>
    <w:rsid w:val="003A3118"/>
    <w:rsid w:val="003A36EB"/>
    <w:rsid w:val="003A3DDA"/>
    <w:rsid w:val="003A4262"/>
    <w:rsid w:val="003A5321"/>
    <w:rsid w:val="003A6282"/>
    <w:rsid w:val="003A721D"/>
    <w:rsid w:val="003B09A6"/>
    <w:rsid w:val="003B123B"/>
    <w:rsid w:val="003B1FC9"/>
    <w:rsid w:val="003B2622"/>
    <w:rsid w:val="003B4B17"/>
    <w:rsid w:val="003B4BC1"/>
    <w:rsid w:val="003B50DF"/>
    <w:rsid w:val="003B568D"/>
    <w:rsid w:val="003B57A6"/>
    <w:rsid w:val="003B661C"/>
    <w:rsid w:val="003B6AD3"/>
    <w:rsid w:val="003B72D2"/>
    <w:rsid w:val="003C03A5"/>
    <w:rsid w:val="003C04B9"/>
    <w:rsid w:val="003C0C08"/>
    <w:rsid w:val="003C0D47"/>
    <w:rsid w:val="003C10E3"/>
    <w:rsid w:val="003C11BD"/>
    <w:rsid w:val="003C1219"/>
    <w:rsid w:val="003C2272"/>
    <w:rsid w:val="003C22EA"/>
    <w:rsid w:val="003C2F3A"/>
    <w:rsid w:val="003C38C2"/>
    <w:rsid w:val="003C530A"/>
    <w:rsid w:val="003C621D"/>
    <w:rsid w:val="003C70D1"/>
    <w:rsid w:val="003C78D7"/>
    <w:rsid w:val="003D0F3D"/>
    <w:rsid w:val="003D1DCF"/>
    <w:rsid w:val="003D217D"/>
    <w:rsid w:val="003D2879"/>
    <w:rsid w:val="003D2B5F"/>
    <w:rsid w:val="003D2E72"/>
    <w:rsid w:val="003D3C4C"/>
    <w:rsid w:val="003D42B4"/>
    <w:rsid w:val="003D448F"/>
    <w:rsid w:val="003D5732"/>
    <w:rsid w:val="003D5F4F"/>
    <w:rsid w:val="003D79AC"/>
    <w:rsid w:val="003D7AF5"/>
    <w:rsid w:val="003E1362"/>
    <w:rsid w:val="003E1633"/>
    <w:rsid w:val="003E1D5E"/>
    <w:rsid w:val="003E1DED"/>
    <w:rsid w:val="003E23D1"/>
    <w:rsid w:val="003E285F"/>
    <w:rsid w:val="003E2EF7"/>
    <w:rsid w:val="003E3414"/>
    <w:rsid w:val="003E386E"/>
    <w:rsid w:val="003E76F8"/>
    <w:rsid w:val="003F1142"/>
    <w:rsid w:val="003F145A"/>
    <w:rsid w:val="003F1A0C"/>
    <w:rsid w:val="003F28E4"/>
    <w:rsid w:val="003F35B9"/>
    <w:rsid w:val="003F4027"/>
    <w:rsid w:val="003F4E33"/>
    <w:rsid w:val="003F6A92"/>
    <w:rsid w:val="00400377"/>
    <w:rsid w:val="00401FEA"/>
    <w:rsid w:val="004029A4"/>
    <w:rsid w:val="00403328"/>
    <w:rsid w:val="00403CB6"/>
    <w:rsid w:val="00403E97"/>
    <w:rsid w:val="0040436A"/>
    <w:rsid w:val="004048CE"/>
    <w:rsid w:val="00407D7D"/>
    <w:rsid w:val="00411371"/>
    <w:rsid w:val="0041189A"/>
    <w:rsid w:val="00414602"/>
    <w:rsid w:val="004148B4"/>
    <w:rsid w:val="00414E96"/>
    <w:rsid w:val="004153D6"/>
    <w:rsid w:val="004156F4"/>
    <w:rsid w:val="004157AD"/>
    <w:rsid w:val="0041582B"/>
    <w:rsid w:val="00417402"/>
    <w:rsid w:val="00422B76"/>
    <w:rsid w:val="00422CAD"/>
    <w:rsid w:val="00422E85"/>
    <w:rsid w:val="00426B81"/>
    <w:rsid w:val="00430EB0"/>
    <w:rsid w:val="00432781"/>
    <w:rsid w:val="00432AAA"/>
    <w:rsid w:val="00432DBE"/>
    <w:rsid w:val="004331E9"/>
    <w:rsid w:val="0043347B"/>
    <w:rsid w:val="00435854"/>
    <w:rsid w:val="00436FD7"/>
    <w:rsid w:val="004372E3"/>
    <w:rsid w:val="00437A2C"/>
    <w:rsid w:val="00437BAD"/>
    <w:rsid w:val="00441524"/>
    <w:rsid w:val="0044155C"/>
    <w:rsid w:val="004429E3"/>
    <w:rsid w:val="00443249"/>
    <w:rsid w:val="00443790"/>
    <w:rsid w:val="004437B5"/>
    <w:rsid w:val="004438BB"/>
    <w:rsid w:val="00443D14"/>
    <w:rsid w:val="00443E67"/>
    <w:rsid w:val="00444164"/>
    <w:rsid w:val="00444569"/>
    <w:rsid w:val="004445D9"/>
    <w:rsid w:val="00444F1F"/>
    <w:rsid w:val="00445407"/>
    <w:rsid w:val="0044605A"/>
    <w:rsid w:val="004469E6"/>
    <w:rsid w:val="00447DD0"/>
    <w:rsid w:val="004504A2"/>
    <w:rsid w:val="00451458"/>
    <w:rsid w:val="004515A8"/>
    <w:rsid w:val="004517BD"/>
    <w:rsid w:val="00451BF4"/>
    <w:rsid w:val="0045287A"/>
    <w:rsid w:val="004533CF"/>
    <w:rsid w:val="00453631"/>
    <w:rsid w:val="00454375"/>
    <w:rsid w:val="004560D7"/>
    <w:rsid w:val="00456E19"/>
    <w:rsid w:val="00456EED"/>
    <w:rsid w:val="00457593"/>
    <w:rsid w:val="00457627"/>
    <w:rsid w:val="00460BBB"/>
    <w:rsid w:val="00461385"/>
    <w:rsid w:val="00462CF9"/>
    <w:rsid w:val="00463102"/>
    <w:rsid w:val="004635BB"/>
    <w:rsid w:val="004640E1"/>
    <w:rsid w:val="00464C3C"/>
    <w:rsid w:val="00465E54"/>
    <w:rsid w:val="004664A4"/>
    <w:rsid w:val="004664D2"/>
    <w:rsid w:val="00466972"/>
    <w:rsid w:val="00467471"/>
    <w:rsid w:val="004700E6"/>
    <w:rsid w:val="0047026B"/>
    <w:rsid w:val="0047039E"/>
    <w:rsid w:val="00474BD7"/>
    <w:rsid w:val="00474F4C"/>
    <w:rsid w:val="00475EE6"/>
    <w:rsid w:val="004760AD"/>
    <w:rsid w:val="004761A2"/>
    <w:rsid w:val="004800CF"/>
    <w:rsid w:val="00480B5E"/>
    <w:rsid w:val="00480D77"/>
    <w:rsid w:val="00481B37"/>
    <w:rsid w:val="00481C3E"/>
    <w:rsid w:val="0048209C"/>
    <w:rsid w:val="00483D08"/>
    <w:rsid w:val="00483EA0"/>
    <w:rsid w:val="00484669"/>
    <w:rsid w:val="004846B4"/>
    <w:rsid w:val="00484A3A"/>
    <w:rsid w:val="004869C7"/>
    <w:rsid w:val="00490157"/>
    <w:rsid w:val="0049086F"/>
    <w:rsid w:val="00493857"/>
    <w:rsid w:val="00494545"/>
    <w:rsid w:val="00495966"/>
    <w:rsid w:val="00496781"/>
    <w:rsid w:val="0049680E"/>
    <w:rsid w:val="00496AC5"/>
    <w:rsid w:val="004970A7"/>
    <w:rsid w:val="004976F0"/>
    <w:rsid w:val="00497884"/>
    <w:rsid w:val="004A11A7"/>
    <w:rsid w:val="004A1B9E"/>
    <w:rsid w:val="004A204B"/>
    <w:rsid w:val="004A2E86"/>
    <w:rsid w:val="004A34AF"/>
    <w:rsid w:val="004A4853"/>
    <w:rsid w:val="004A5445"/>
    <w:rsid w:val="004A7028"/>
    <w:rsid w:val="004A7D5B"/>
    <w:rsid w:val="004B01C1"/>
    <w:rsid w:val="004B1BF5"/>
    <w:rsid w:val="004B1C47"/>
    <w:rsid w:val="004B20C4"/>
    <w:rsid w:val="004B2335"/>
    <w:rsid w:val="004B31AF"/>
    <w:rsid w:val="004B487B"/>
    <w:rsid w:val="004B5F63"/>
    <w:rsid w:val="004B60AD"/>
    <w:rsid w:val="004C0640"/>
    <w:rsid w:val="004C06FB"/>
    <w:rsid w:val="004C2C19"/>
    <w:rsid w:val="004C2C44"/>
    <w:rsid w:val="004C429D"/>
    <w:rsid w:val="004C462C"/>
    <w:rsid w:val="004C49E0"/>
    <w:rsid w:val="004C4FA8"/>
    <w:rsid w:val="004C5330"/>
    <w:rsid w:val="004C5D74"/>
    <w:rsid w:val="004C67FA"/>
    <w:rsid w:val="004C70C5"/>
    <w:rsid w:val="004C7BB1"/>
    <w:rsid w:val="004D0494"/>
    <w:rsid w:val="004D0C79"/>
    <w:rsid w:val="004D14C4"/>
    <w:rsid w:val="004D1BDA"/>
    <w:rsid w:val="004D1F3D"/>
    <w:rsid w:val="004D2F46"/>
    <w:rsid w:val="004D37F9"/>
    <w:rsid w:val="004D3C10"/>
    <w:rsid w:val="004D4CCA"/>
    <w:rsid w:val="004D4FF0"/>
    <w:rsid w:val="004D5555"/>
    <w:rsid w:val="004D5DD1"/>
    <w:rsid w:val="004D66A2"/>
    <w:rsid w:val="004D7064"/>
    <w:rsid w:val="004D70AF"/>
    <w:rsid w:val="004D7706"/>
    <w:rsid w:val="004E20E3"/>
    <w:rsid w:val="004E2EA0"/>
    <w:rsid w:val="004E33E6"/>
    <w:rsid w:val="004E459E"/>
    <w:rsid w:val="004E56C9"/>
    <w:rsid w:val="004E5807"/>
    <w:rsid w:val="004E59A5"/>
    <w:rsid w:val="004E5DE5"/>
    <w:rsid w:val="004F0FA5"/>
    <w:rsid w:val="004F1CBD"/>
    <w:rsid w:val="004F290D"/>
    <w:rsid w:val="004F3730"/>
    <w:rsid w:val="004F3E7C"/>
    <w:rsid w:val="004F4006"/>
    <w:rsid w:val="004F41FB"/>
    <w:rsid w:val="004F50FA"/>
    <w:rsid w:val="004F58F2"/>
    <w:rsid w:val="004F6DC5"/>
    <w:rsid w:val="004F7405"/>
    <w:rsid w:val="005002A1"/>
    <w:rsid w:val="00500F10"/>
    <w:rsid w:val="00501817"/>
    <w:rsid w:val="00501A1E"/>
    <w:rsid w:val="005046EE"/>
    <w:rsid w:val="00505290"/>
    <w:rsid w:val="005059D4"/>
    <w:rsid w:val="00505D59"/>
    <w:rsid w:val="0050612A"/>
    <w:rsid w:val="005063A2"/>
    <w:rsid w:val="0051022D"/>
    <w:rsid w:val="00511911"/>
    <w:rsid w:val="00512088"/>
    <w:rsid w:val="00512427"/>
    <w:rsid w:val="00513ADB"/>
    <w:rsid w:val="00513C53"/>
    <w:rsid w:val="00514BDF"/>
    <w:rsid w:val="00514EAC"/>
    <w:rsid w:val="005162D0"/>
    <w:rsid w:val="005168E5"/>
    <w:rsid w:val="00516E89"/>
    <w:rsid w:val="00517408"/>
    <w:rsid w:val="005175E6"/>
    <w:rsid w:val="00517718"/>
    <w:rsid w:val="00517C2D"/>
    <w:rsid w:val="005202F1"/>
    <w:rsid w:val="00520B5E"/>
    <w:rsid w:val="005220EE"/>
    <w:rsid w:val="005221A9"/>
    <w:rsid w:val="005234A9"/>
    <w:rsid w:val="00523859"/>
    <w:rsid w:val="005267B6"/>
    <w:rsid w:val="005269B2"/>
    <w:rsid w:val="00526DAD"/>
    <w:rsid w:val="005273F7"/>
    <w:rsid w:val="0052762F"/>
    <w:rsid w:val="005279F0"/>
    <w:rsid w:val="00527B99"/>
    <w:rsid w:val="00530005"/>
    <w:rsid w:val="00530569"/>
    <w:rsid w:val="00530C13"/>
    <w:rsid w:val="00530CAC"/>
    <w:rsid w:val="005314C8"/>
    <w:rsid w:val="00531D2F"/>
    <w:rsid w:val="005323F6"/>
    <w:rsid w:val="0053357D"/>
    <w:rsid w:val="00535729"/>
    <w:rsid w:val="005377BD"/>
    <w:rsid w:val="00537819"/>
    <w:rsid w:val="0054072A"/>
    <w:rsid w:val="00540B70"/>
    <w:rsid w:val="00541F36"/>
    <w:rsid w:val="00543673"/>
    <w:rsid w:val="00545C20"/>
    <w:rsid w:val="00545C6A"/>
    <w:rsid w:val="00545D24"/>
    <w:rsid w:val="005508C2"/>
    <w:rsid w:val="00551EC8"/>
    <w:rsid w:val="00552359"/>
    <w:rsid w:val="00553698"/>
    <w:rsid w:val="0055406D"/>
    <w:rsid w:val="005548D6"/>
    <w:rsid w:val="005550D2"/>
    <w:rsid w:val="00557450"/>
    <w:rsid w:val="00557CFF"/>
    <w:rsid w:val="00561D3C"/>
    <w:rsid w:val="00562854"/>
    <w:rsid w:val="005635EE"/>
    <w:rsid w:val="00563BE4"/>
    <w:rsid w:val="00564360"/>
    <w:rsid w:val="0056509B"/>
    <w:rsid w:val="005657C7"/>
    <w:rsid w:val="00565B1A"/>
    <w:rsid w:val="00565F1C"/>
    <w:rsid w:val="00566656"/>
    <w:rsid w:val="00567290"/>
    <w:rsid w:val="005672B8"/>
    <w:rsid w:val="00571C1C"/>
    <w:rsid w:val="00571FAF"/>
    <w:rsid w:val="0057246E"/>
    <w:rsid w:val="00572D29"/>
    <w:rsid w:val="00572D7F"/>
    <w:rsid w:val="00573E3B"/>
    <w:rsid w:val="00574AEB"/>
    <w:rsid w:val="00574D8D"/>
    <w:rsid w:val="005755AE"/>
    <w:rsid w:val="00575DDD"/>
    <w:rsid w:val="00580C7B"/>
    <w:rsid w:val="00581F1C"/>
    <w:rsid w:val="0058228E"/>
    <w:rsid w:val="00582552"/>
    <w:rsid w:val="00583D29"/>
    <w:rsid w:val="0058578E"/>
    <w:rsid w:val="00587F26"/>
    <w:rsid w:val="00590A25"/>
    <w:rsid w:val="00592E30"/>
    <w:rsid w:val="00597310"/>
    <w:rsid w:val="00597D53"/>
    <w:rsid w:val="005A0331"/>
    <w:rsid w:val="005A038D"/>
    <w:rsid w:val="005A0B35"/>
    <w:rsid w:val="005A0EC5"/>
    <w:rsid w:val="005A2206"/>
    <w:rsid w:val="005A2849"/>
    <w:rsid w:val="005A3514"/>
    <w:rsid w:val="005A379B"/>
    <w:rsid w:val="005A44B0"/>
    <w:rsid w:val="005A4ACB"/>
    <w:rsid w:val="005A4C82"/>
    <w:rsid w:val="005A4D80"/>
    <w:rsid w:val="005A56EB"/>
    <w:rsid w:val="005B04DC"/>
    <w:rsid w:val="005B1136"/>
    <w:rsid w:val="005B21A5"/>
    <w:rsid w:val="005B26B4"/>
    <w:rsid w:val="005B3498"/>
    <w:rsid w:val="005B3975"/>
    <w:rsid w:val="005B6AEE"/>
    <w:rsid w:val="005B7171"/>
    <w:rsid w:val="005C03AE"/>
    <w:rsid w:val="005C0A19"/>
    <w:rsid w:val="005C117A"/>
    <w:rsid w:val="005C1656"/>
    <w:rsid w:val="005C1771"/>
    <w:rsid w:val="005C2262"/>
    <w:rsid w:val="005C278F"/>
    <w:rsid w:val="005C2822"/>
    <w:rsid w:val="005C28A5"/>
    <w:rsid w:val="005C3055"/>
    <w:rsid w:val="005C3810"/>
    <w:rsid w:val="005C39AD"/>
    <w:rsid w:val="005C3C5E"/>
    <w:rsid w:val="005C4420"/>
    <w:rsid w:val="005C4ECE"/>
    <w:rsid w:val="005C6A05"/>
    <w:rsid w:val="005C71C6"/>
    <w:rsid w:val="005C7E58"/>
    <w:rsid w:val="005D0375"/>
    <w:rsid w:val="005D6701"/>
    <w:rsid w:val="005D77BA"/>
    <w:rsid w:val="005E00C0"/>
    <w:rsid w:val="005E00F3"/>
    <w:rsid w:val="005E081E"/>
    <w:rsid w:val="005E0A72"/>
    <w:rsid w:val="005E0AF9"/>
    <w:rsid w:val="005E0AFB"/>
    <w:rsid w:val="005E0E1B"/>
    <w:rsid w:val="005E0E23"/>
    <w:rsid w:val="005E0FCD"/>
    <w:rsid w:val="005E12EE"/>
    <w:rsid w:val="005E1457"/>
    <w:rsid w:val="005E247D"/>
    <w:rsid w:val="005E2BFF"/>
    <w:rsid w:val="005E31CA"/>
    <w:rsid w:val="005E326E"/>
    <w:rsid w:val="005E402C"/>
    <w:rsid w:val="005E540E"/>
    <w:rsid w:val="005E54BA"/>
    <w:rsid w:val="005E6B64"/>
    <w:rsid w:val="005E7543"/>
    <w:rsid w:val="005E7E93"/>
    <w:rsid w:val="005E7ECD"/>
    <w:rsid w:val="005F1410"/>
    <w:rsid w:val="005F1E10"/>
    <w:rsid w:val="005F296D"/>
    <w:rsid w:val="005F2993"/>
    <w:rsid w:val="005F3BED"/>
    <w:rsid w:val="005F3F79"/>
    <w:rsid w:val="005F4821"/>
    <w:rsid w:val="005F4CB0"/>
    <w:rsid w:val="005F55D2"/>
    <w:rsid w:val="005F5DD1"/>
    <w:rsid w:val="005F6369"/>
    <w:rsid w:val="005F6798"/>
    <w:rsid w:val="005F69C3"/>
    <w:rsid w:val="005F7C05"/>
    <w:rsid w:val="005F7E33"/>
    <w:rsid w:val="00600275"/>
    <w:rsid w:val="00600ED4"/>
    <w:rsid w:val="00603FAF"/>
    <w:rsid w:val="0060400B"/>
    <w:rsid w:val="0060407E"/>
    <w:rsid w:val="0060611E"/>
    <w:rsid w:val="006108E0"/>
    <w:rsid w:val="00611CE1"/>
    <w:rsid w:val="00612078"/>
    <w:rsid w:val="00612599"/>
    <w:rsid w:val="00612907"/>
    <w:rsid w:val="00612C46"/>
    <w:rsid w:val="0061381A"/>
    <w:rsid w:val="00615CE6"/>
    <w:rsid w:val="006160BB"/>
    <w:rsid w:val="00616E87"/>
    <w:rsid w:val="00616FD5"/>
    <w:rsid w:val="00617F71"/>
    <w:rsid w:val="0062355A"/>
    <w:rsid w:val="0062376D"/>
    <w:rsid w:val="00623781"/>
    <w:rsid w:val="00624626"/>
    <w:rsid w:val="0062490D"/>
    <w:rsid w:val="00624CFC"/>
    <w:rsid w:val="00624E77"/>
    <w:rsid w:val="00627C17"/>
    <w:rsid w:val="00630A92"/>
    <w:rsid w:val="00631816"/>
    <w:rsid w:val="00632A1B"/>
    <w:rsid w:val="00632D2C"/>
    <w:rsid w:val="00633378"/>
    <w:rsid w:val="00633503"/>
    <w:rsid w:val="00633BF6"/>
    <w:rsid w:val="00633DAD"/>
    <w:rsid w:val="00633E62"/>
    <w:rsid w:val="00634928"/>
    <w:rsid w:val="006350B3"/>
    <w:rsid w:val="00635860"/>
    <w:rsid w:val="00635E54"/>
    <w:rsid w:val="00636440"/>
    <w:rsid w:val="006367AA"/>
    <w:rsid w:val="006400B7"/>
    <w:rsid w:val="006401F4"/>
    <w:rsid w:val="0064085A"/>
    <w:rsid w:val="00640D2C"/>
    <w:rsid w:val="00642B28"/>
    <w:rsid w:val="00644197"/>
    <w:rsid w:val="006449DB"/>
    <w:rsid w:val="00645873"/>
    <w:rsid w:val="00646229"/>
    <w:rsid w:val="00647035"/>
    <w:rsid w:val="006473A8"/>
    <w:rsid w:val="0065173F"/>
    <w:rsid w:val="00651FF4"/>
    <w:rsid w:val="006531B7"/>
    <w:rsid w:val="006539C8"/>
    <w:rsid w:val="00653BF7"/>
    <w:rsid w:val="00653E50"/>
    <w:rsid w:val="00654146"/>
    <w:rsid w:val="00655443"/>
    <w:rsid w:val="00655693"/>
    <w:rsid w:val="0065644C"/>
    <w:rsid w:val="00656ED7"/>
    <w:rsid w:val="00657897"/>
    <w:rsid w:val="006602E7"/>
    <w:rsid w:val="0066039C"/>
    <w:rsid w:val="00661F69"/>
    <w:rsid w:val="006627E3"/>
    <w:rsid w:val="00662AD0"/>
    <w:rsid w:val="0066385F"/>
    <w:rsid w:val="0066443E"/>
    <w:rsid w:val="00665252"/>
    <w:rsid w:val="00666BCA"/>
    <w:rsid w:val="00667069"/>
    <w:rsid w:val="00667231"/>
    <w:rsid w:val="006675BE"/>
    <w:rsid w:val="00667842"/>
    <w:rsid w:val="006679A9"/>
    <w:rsid w:val="00670A31"/>
    <w:rsid w:val="00670BBC"/>
    <w:rsid w:val="00670BF5"/>
    <w:rsid w:val="00671B8C"/>
    <w:rsid w:val="006723BB"/>
    <w:rsid w:val="00674D79"/>
    <w:rsid w:val="00674D95"/>
    <w:rsid w:val="0067571D"/>
    <w:rsid w:val="00675854"/>
    <w:rsid w:val="006769C8"/>
    <w:rsid w:val="0067726C"/>
    <w:rsid w:val="006775CF"/>
    <w:rsid w:val="00682B3B"/>
    <w:rsid w:val="0068314B"/>
    <w:rsid w:val="006835E4"/>
    <w:rsid w:val="00683876"/>
    <w:rsid w:val="00684172"/>
    <w:rsid w:val="00686990"/>
    <w:rsid w:val="006873AB"/>
    <w:rsid w:val="00687B91"/>
    <w:rsid w:val="006917CE"/>
    <w:rsid w:val="00691A19"/>
    <w:rsid w:val="00691C96"/>
    <w:rsid w:val="00691F56"/>
    <w:rsid w:val="00691FC0"/>
    <w:rsid w:val="0069404C"/>
    <w:rsid w:val="00695D5C"/>
    <w:rsid w:val="00695EC0"/>
    <w:rsid w:val="00696C1D"/>
    <w:rsid w:val="00696D21"/>
    <w:rsid w:val="00696F08"/>
    <w:rsid w:val="006976A4"/>
    <w:rsid w:val="006A0587"/>
    <w:rsid w:val="006A109A"/>
    <w:rsid w:val="006A1676"/>
    <w:rsid w:val="006A20D2"/>
    <w:rsid w:val="006A3BEA"/>
    <w:rsid w:val="006A45EA"/>
    <w:rsid w:val="006A5E6F"/>
    <w:rsid w:val="006A7E81"/>
    <w:rsid w:val="006A7F45"/>
    <w:rsid w:val="006B0241"/>
    <w:rsid w:val="006B02BC"/>
    <w:rsid w:val="006B1D8F"/>
    <w:rsid w:val="006B2745"/>
    <w:rsid w:val="006B2D34"/>
    <w:rsid w:val="006B2D93"/>
    <w:rsid w:val="006B3495"/>
    <w:rsid w:val="006B3656"/>
    <w:rsid w:val="006B369B"/>
    <w:rsid w:val="006B42B0"/>
    <w:rsid w:val="006B44E7"/>
    <w:rsid w:val="006B4D8B"/>
    <w:rsid w:val="006B684F"/>
    <w:rsid w:val="006B688E"/>
    <w:rsid w:val="006C05DF"/>
    <w:rsid w:val="006C06AC"/>
    <w:rsid w:val="006C0726"/>
    <w:rsid w:val="006C08EA"/>
    <w:rsid w:val="006C3904"/>
    <w:rsid w:val="006C5626"/>
    <w:rsid w:val="006C5830"/>
    <w:rsid w:val="006C5D68"/>
    <w:rsid w:val="006C68B2"/>
    <w:rsid w:val="006C6FB7"/>
    <w:rsid w:val="006C7192"/>
    <w:rsid w:val="006C720A"/>
    <w:rsid w:val="006C738D"/>
    <w:rsid w:val="006D0077"/>
    <w:rsid w:val="006D03A2"/>
    <w:rsid w:val="006D08FD"/>
    <w:rsid w:val="006D413D"/>
    <w:rsid w:val="006D44D0"/>
    <w:rsid w:val="006D4A1A"/>
    <w:rsid w:val="006D4E70"/>
    <w:rsid w:val="006D5AE0"/>
    <w:rsid w:val="006D6833"/>
    <w:rsid w:val="006D6EA3"/>
    <w:rsid w:val="006D799B"/>
    <w:rsid w:val="006E06E5"/>
    <w:rsid w:val="006E1411"/>
    <w:rsid w:val="006E303A"/>
    <w:rsid w:val="006E3EED"/>
    <w:rsid w:val="006E4EF1"/>
    <w:rsid w:val="006E6FD6"/>
    <w:rsid w:val="006E746A"/>
    <w:rsid w:val="006E7F29"/>
    <w:rsid w:val="006F07A1"/>
    <w:rsid w:val="006F1BCE"/>
    <w:rsid w:val="006F2184"/>
    <w:rsid w:val="006F29B8"/>
    <w:rsid w:val="006F3453"/>
    <w:rsid w:val="006F421D"/>
    <w:rsid w:val="006F4F5F"/>
    <w:rsid w:val="006F65E2"/>
    <w:rsid w:val="006F7462"/>
    <w:rsid w:val="006F7B94"/>
    <w:rsid w:val="007009B1"/>
    <w:rsid w:val="007018C1"/>
    <w:rsid w:val="00701CD0"/>
    <w:rsid w:val="007037F9"/>
    <w:rsid w:val="00703BB1"/>
    <w:rsid w:val="007041EE"/>
    <w:rsid w:val="0070516E"/>
    <w:rsid w:val="00705233"/>
    <w:rsid w:val="00705251"/>
    <w:rsid w:val="00705256"/>
    <w:rsid w:val="007053BD"/>
    <w:rsid w:val="0070568E"/>
    <w:rsid w:val="00705A41"/>
    <w:rsid w:val="00705C0E"/>
    <w:rsid w:val="00705EF4"/>
    <w:rsid w:val="00705F8D"/>
    <w:rsid w:val="007060BB"/>
    <w:rsid w:val="00706384"/>
    <w:rsid w:val="007063A0"/>
    <w:rsid w:val="00706900"/>
    <w:rsid w:val="00706FB4"/>
    <w:rsid w:val="0070700D"/>
    <w:rsid w:val="00707095"/>
    <w:rsid w:val="00707272"/>
    <w:rsid w:val="00707BFA"/>
    <w:rsid w:val="00710F5A"/>
    <w:rsid w:val="00711E46"/>
    <w:rsid w:val="00714C3B"/>
    <w:rsid w:val="00714EF8"/>
    <w:rsid w:val="00716E5E"/>
    <w:rsid w:val="00717CD0"/>
    <w:rsid w:val="00720237"/>
    <w:rsid w:val="007204AD"/>
    <w:rsid w:val="00720B1A"/>
    <w:rsid w:val="007217BA"/>
    <w:rsid w:val="00722765"/>
    <w:rsid w:val="0072335E"/>
    <w:rsid w:val="00723627"/>
    <w:rsid w:val="00725C7B"/>
    <w:rsid w:val="007278CA"/>
    <w:rsid w:val="007279BA"/>
    <w:rsid w:val="00730659"/>
    <w:rsid w:val="007307DC"/>
    <w:rsid w:val="00730BF2"/>
    <w:rsid w:val="00730EAA"/>
    <w:rsid w:val="0073141B"/>
    <w:rsid w:val="007319E6"/>
    <w:rsid w:val="00732CDA"/>
    <w:rsid w:val="007330C2"/>
    <w:rsid w:val="00733423"/>
    <w:rsid w:val="00733702"/>
    <w:rsid w:val="00734651"/>
    <w:rsid w:val="007367C3"/>
    <w:rsid w:val="00737F23"/>
    <w:rsid w:val="00740705"/>
    <w:rsid w:val="007423AD"/>
    <w:rsid w:val="00742D91"/>
    <w:rsid w:val="007433C0"/>
    <w:rsid w:val="00745059"/>
    <w:rsid w:val="00746677"/>
    <w:rsid w:val="00746A56"/>
    <w:rsid w:val="00750838"/>
    <w:rsid w:val="00750A6E"/>
    <w:rsid w:val="00751A97"/>
    <w:rsid w:val="00751AAA"/>
    <w:rsid w:val="00751C79"/>
    <w:rsid w:val="00752521"/>
    <w:rsid w:val="00752D93"/>
    <w:rsid w:val="00752F5C"/>
    <w:rsid w:val="0075343E"/>
    <w:rsid w:val="0075464E"/>
    <w:rsid w:val="00754660"/>
    <w:rsid w:val="007558AA"/>
    <w:rsid w:val="0075598F"/>
    <w:rsid w:val="00755AB9"/>
    <w:rsid w:val="007567AF"/>
    <w:rsid w:val="00756B7F"/>
    <w:rsid w:val="00761B19"/>
    <w:rsid w:val="007635EA"/>
    <w:rsid w:val="00763A97"/>
    <w:rsid w:val="00764B02"/>
    <w:rsid w:val="00764F29"/>
    <w:rsid w:val="00765101"/>
    <w:rsid w:val="00765ABA"/>
    <w:rsid w:val="00765D88"/>
    <w:rsid w:val="00765E59"/>
    <w:rsid w:val="0076644A"/>
    <w:rsid w:val="0076662E"/>
    <w:rsid w:val="007675B2"/>
    <w:rsid w:val="00770FD9"/>
    <w:rsid w:val="007720E5"/>
    <w:rsid w:val="00774DDB"/>
    <w:rsid w:val="00774DF3"/>
    <w:rsid w:val="00775601"/>
    <w:rsid w:val="007767DD"/>
    <w:rsid w:val="0077739B"/>
    <w:rsid w:val="007807AC"/>
    <w:rsid w:val="007825CE"/>
    <w:rsid w:val="00782F52"/>
    <w:rsid w:val="00784F6E"/>
    <w:rsid w:val="007853C4"/>
    <w:rsid w:val="00785C9D"/>
    <w:rsid w:val="00785CF6"/>
    <w:rsid w:val="00786D6D"/>
    <w:rsid w:val="007870B8"/>
    <w:rsid w:val="00787EC4"/>
    <w:rsid w:val="00793563"/>
    <w:rsid w:val="00793A63"/>
    <w:rsid w:val="007941B3"/>
    <w:rsid w:val="00794228"/>
    <w:rsid w:val="00794A7A"/>
    <w:rsid w:val="00795A36"/>
    <w:rsid w:val="007963EB"/>
    <w:rsid w:val="007A0305"/>
    <w:rsid w:val="007A0C51"/>
    <w:rsid w:val="007A1638"/>
    <w:rsid w:val="007A1AB5"/>
    <w:rsid w:val="007A20ED"/>
    <w:rsid w:val="007A22F1"/>
    <w:rsid w:val="007A27C8"/>
    <w:rsid w:val="007A2D5F"/>
    <w:rsid w:val="007A385D"/>
    <w:rsid w:val="007A3E26"/>
    <w:rsid w:val="007A4229"/>
    <w:rsid w:val="007A64FE"/>
    <w:rsid w:val="007A6B0A"/>
    <w:rsid w:val="007A6B9E"/>
    <w:rsid w:val="007A7125"/>
    <w:rsid w:val="007B0D4F"/>
    <w:rsid w:val="007B0E87"/>
    <w:rsid w:val="007B3063"/>
    <w:rsid w:val="007B3257"/>
    <w:rsid w:val="007B3F21"/>
    <w:rsid w:val="007B60B4"/>
    <w:rsid w:val="007B67FE"/>
    <w:rsid w:val="007B6D85"/>
    <w:rsid w:val="007B6EA6"/>
    <w:rsid w:val="007B6FB5"/>
    <w:rsid w:val="007B7DE9"/>
    <w:rsid w:val="007C10F2"/>
    <w:rsid w:val="007C30E5"/>
    <w:rsid w:val="007C3669"/>
    <w:rsid w:val="007C4012"/>
    <w:rsid w:val="007C4245"/>
    <w:rsid w:val="007C4A7B"/>
    <w:rsid w:val="007C5D33"/>
    <w:rsid w:val="007C60ED"/>
    <w:rsid w:val="007C6175"/>
    <w:rsid w:val="007C6D51"/>
    <w:rsid w:val="007C6F5B"/>
    <w:rsid w:val="007C74DD"/>
    <w:rsid w:val="007D0068"/>
    <w:rsid w:val="007D0219"/>
    <w:rsid w:val="007D06F5"/>
    <w:rsid w:val="007D1521"/>
    <w:rsid w:val="007D16CB"/>
    <w:rsid w:val="007D230E"/>
    <w:rsid w:val="007D278A"/>
    <w:rsid w:val="007D36B8"/>
    <w:rsid w:val="007D5FDF"/>
    <w:rsid w:val="007D7259"/>
    <w:rsid w:val="007E0032"/>
    <w:rsid w:val="007E0624"/>
    <w:rsid w:val="007E0FCD"/>
    <w:rsid w:val="007E1863"/>
    <w:rsid w:val="007E191A"/>
    <w:rsid w:val="007E2208"/>
    <w:rsid w:val="007E239B"/>
    <w:rsid w:val="007E241F"/>
    <w:rsid w:val="007E2A29"/>
    <w:rsid w:val="007E3148"/>
    <w:rsid w:val="007E4030"/>
    <w:rsid w:val="007E415A"/>
    <w:rsid w:val="007E61B2"/>
    <w:rsid w:val="007E61DC"/>
    <w:rsid w:val="007F04C5"/>
    <w:rsid w:val="007F0CFC"/>
    <w:rsid w:val="007F127C"/>
    <w:rsid w:val="007F2232"/>
    <w:rsid w:val="007F35B1"/>
    <w:rsid w:val="007F419B"/>
    <w:rsid w:val="007F534F"/>
    <w:rsid w:val="007F5F60"/>
    <w:rsid w:val="007F603B"/>
    <w:rsid w:val="007F7DD0"/>
    <w:rsid w:val="00800122"/>
    <w:rsid w:val="008004F0"/>
    <w:rsid w:val="008005B8"/>
    <w:rsid w:val="00800F70"/>
    <w:rsid w:val="0080112C"/>
    <w:rsid w:val="00801869"/>
    <w:rsid w:val="00801A3B"/>
    <w:rsid w:val="00802103"/>
    <w:rsid w:val="0080252D"/>
    <w:rsid w:val="0080281F"/>
    <w:rsid w:val="00803876"/>
    <w:rsid w:val="00803FC5"/>
    <w:rsid w:val="00803FD1"/>
    <w:rsid w:val="008061E6"/>
    <w:rsid w:val="00806334"/>
    <w:rsid w:val="00806B07"/>
    <w:rsid w:val="00806B08"/>
    <w:rsid w:val="008072E6"/>
    <w:rsid w:val="008109BB"/>
    <w:rsid w:val="00810FE5"/>
    <w:rsid w:val="0081144E"/>
    <w:rsid w:val="00811779"/>
    <w:rsid w:val="008124DE"/>
    <w:rsid w:val="00813826"/>
    <w:rsid w:val="0081484D"/>
    <w:rsid w:val="0081614C"/>
    <w:rsid w:val="00817334"/>
    <w:rsid w:val="00817C8E"/>
    <w:rsid w:val="00820B2D"/>
    <w:rsid w:val="00820E07"/>
    <w:rsid w:val="00821068"/>
    <w:rsid w:val="008214D1"/>
    <w:rsid w:val="0082173E"/>
    <w:rsid w:val="00821D8B"/>
    <w:rsid w:val="00821EE2"/>
    <w:rsid w:val="0082406A"/>
    <w:rsid w:val="00824428"/>
    <w:rsid w:val="0082455B"/>
    <w:rsid w:val="00825B2E"/>
    <w:rsid w:val="00825D7F"/>
    <w:rsid w:val="00825EB5"/>
    <w:rsid w:val="00826A7E"/>
    <w:rsid w:val="00826DB4"/>
    <w:rsid w:val="008309BA"/>
    <w:rsid w:val="00831136"/>
    <w:rsid w:val="00831283"/>
    <w:rsid w:val="008314BA"/>
    <w:rsid w:val="008324F9"/>
    <w:rsid w:val="00833A35"/>
    <w:rsid w:val="00833D73"/>
    <w:rsid w:val="008347B9"/>
    <w:rsid w:val="00837516"/>
    <w:rsid w:val="00837CD4"/>
    <w:rsid w:val="0084019B"/>
    <w:rsid w:val="008405B2"/>
    <w:rsid w:val="00840930"/>
    <w:rsid w:val="008409F7"/>
    <w:rsid w:val="00841103"/>
    <w:rsid w:val="008412E9"/>
    <w:rsid w:val="00841DA2"/>
    <w:rsid w:val="00841E09"/>
    <w:rsid w:val="00842330"/>
    <w:rsid w:val="00842899"/>
    <w:rsid w:val="008432FD"/>
    <w:rsid w:val="00843479"/>
    <w:rsid w:val="0084365E"/>
    <w:rsid w:val="00843A5F"/>
    <w:rsid w:val="00844396"/>
    <w:rsid w:val="0084441C"/>
    <w:rsid w:val="008448E4"/>
    <w:rsid w:val="00844FCE"/>
    <w:rsid w:val="0084525E"/>
    <w:rsid w:val="00845361"/>
    <w:rsid w:val="00845C39"/>
    <w:rsid w:val="00846D0D"/>
    <w:rsid w:val="00846DAE"/>
    <w:rsid w:val="0084740C"/>
    <w:rsid w:val="0084755C"/>
    <w:rsid w:val="008506B0"/>
    <w:rsid w:val="00851581"/>
    <w:rsid w:val="00851B9E"/>
    <w:rsid w:val="00852A6D"/>
    <w:rsid w:val="00852E47"/>
    <w:rsid w:val="008537E8"/>
    <w:rsid w:val="00853875"/>
    <w:rsid w:val="00853E35"/>
    <w:rsid w:val="00854818"/>
    <w:rsid w:val="00854A4D"/>
    <w:rsid w:val="00855199"/>
    <w:rsid w:val="0085525D"/>
    <w:rsid w:val="0085606B"/>
    <w:rsid w:val="008564AB"/>
    <w:rsid w:val="00856575"/>
    <w:rsid w:val="0085683C"/>
    <w:rsid w:val="00856B8A"/>
    <w:rsid w:val="00856E15"/>
    <w:rsid w:val="0085719F"/>
    <w:rsid w:val="00857881"/>
    <w:rsid w:val="008578D9"/>
    <w:rsid w:val="00857B9D"/>
    <w:rsid w:val="00860B2F"/>
    <w:rsid w:val="00860CE5"/>
    <w:rsid w:val="008617A5"/>
    <w:rsid w:val="00863F49"/>
    <w:rsid w:val="00864484"/>
    <w:rsid w:val="00864489"/>
    <w:rsid w:val="00864F16"/>
    <w:rsid w:val="00865926"/>
    <w:rsid w:val="0086706C"/>
    <w:rsid w:val="008670CB"/>
    <w:rsid w:val="008678F2"/>
    <w:rsid w:val="00867BA0"/>
    <w:rsid w:val="00870429"/>
    <w:rsid w:val="00870CCA"/>
    <w:rsid w:val="008716BF"/>
    <w:rsid w:val="008734D4"/>
    <w:rsid w:val="00874C97"/>
    <w:rsid w:val="008758F8"/>
    <w:rsid w:val="00876163"/>
    <w:rsid w:val="008778C1"/>
    <w:rsid w:val="00877CD6"/>
    <w:rsid w:val="00880016"/>
    <w:rsid w:val="0088013C"/>
    <w:rsid w:val="008805D1"/>
    <w:rsid w:val="008829E3"/>
    <w:rsid w:val="008830E5"/>
    <w:rsid w:val="008831CA"/>
    <w:rsid w:val="00883F4B"/>
    <w:rsid w:val="008840C5"/>
    <w:rsid w:val="00884ACA"/>
    <w:rsid w:val="00885D71"/>
    <w:rsid w:val="00885EA2"/>
    <w:rsid w:val="00885F41"/>
    <w:rsid w:val="00886162"/>
    <w:rsid w:val="00886B27"/>
    <w:rsid w:val="00886D67"/>
    <w:rsid w:val="00886EDD"/>
    <w:rsid w:val="008870EC"/>
    <w:rsid w:val="008871F8"/>
    <w:rsid w:val="00887599"/>
    <w:rsid w:val="0089068E"/>
    <w:rsid w:val="008909F7"/>
    <w:rsid w:val="00891178"/>
    <w:rsid w:val="008929F4"/>
    <w:rsid w:val="00892A15"/>
    <w:rsid w:val="00892DB1"/>
    <w:rsid w:val="008935BA"/>
    <w:rsid w:val="00893F1B"/>
    <w:rsid w:val="008948AB"/>
    <w:rsid w:val="00895EC9"/>
    <w:rsid w:val="00896934"/>
    <w:rsid w:val="00896C1D"/>
    <w:rsid w:val="00897999"/>
    <w:rsid w:val="008A06A6"/>
    <w:rsid w:val="008A1087"/>
    <w:rsid w:val="008A1CB9"/>
    <w:rsid w:val="008A2352"/>
    <w:rsid w:val="008A2398"/>
    <w:rsid w:val="008A23CA"/>
    <w:rsid w:val="008A2802"/>
    <w:rsid w:val="008A2C35"/>
    <w:rsid w:val="008A3BEC"/>
    <w:rsid w:val="008A4E04"/>
    <w:rsid w:val="008A59CC"/>
    <w:rsid w:val="008A6E87"/>
    <w:rsid w:val="008A726E"/>
    <w:rsid w:val="008A7364"/>
    <w:rsid w:val="008A77CA"/>
    <w:rsid w:val="008A78C7"/>
    <w:rsid w:val="008A7F64"/>
    <w:rsid w:val="008B03C9"/>
    <w:rsid w:val="008B0571"/>
    <w:rsid w:val="008B1706"/>
    <w:rsid w:val="008B210B"/>
    <w:rsid w:val="008B25BB"/>
    <w:rsid w:val="008B38CB"/>
    <w:rsid w:val="008B4745"/>
    <w:rsid w:val="008B4BDF"/>
    <w:rsid w:val="008B53F0"/>
    <w:rsid w:val="008B5754"/>
    <w:rsid w:val="008B5AB3"/>
    <w:rsid w:val="008B68E4"/>
    <w:rsid w:val="008B6AD8"/>
    <w:rsid w:val="008B6B77"/>
    <w:rsid w:val="008B6FD0"/>
    <w:rsid w:val="008B7F3C"/>
    <w:rsid w:val="008C0B7F"/>
    <w:rsid w:val="008C0C71"/>
    <w:rsid w:val="008C1CAF"/>
    <w:rsid w:val="008C22D1"/>
    <w:rsid w:val="008C2542"/>
    <w:rsid w:val="008C395A"/>
    <w:rsid w:val="008C4744"/>
    <w:rsid w:val="008C49F0"/>
    <w:rsid w:val="008C5297"/>
    <w:rsid w:val="008C5AE6"/>
    <w:rsid w:val="008C5E17"/>
    <w:rsid w:val="008C73AB"/>
    <w:rsid w:val="008C79D6"/>
    <w:rsid w:val="008D00CF"/>
    <w:rsid w:val="008D3468"/>
    <w:rsid w:val="008D3CD3"/>
    <w:rsid w:val="008D5196"/>
    <w:rsid w:val="008D6B9A"/>
    <w:rsid w:val="008D76AA"/>
    <w:rsid w:val="008D7F02"/>
    <w:rsid w:val="008E0379"/>
    <w:rsid w:val="008E0B7B"/>
    <w:rsid w:val="008E12ED"/>
    <w:rsid w:val="008E365E"/>
    <w:rsid w:val="008E3D31"/>
    <w:rsid w:val="008E4AEB"/>
    <w:rsid w:val="008E5EB0"/>
    <w:rsid w:val="008E6393"/>
    <w:rsid w:val="008E732B"/>
    <w:rsid w:val="008F0419"/>
    <w:rsid w:val="008F1B59"/>
    <w:rsid w:val="008F29CB"/>
    <w:rsid w:val="008F3036"/>
    <w:rsid w:val="008F3259"/>
    <w:rsid w:val="008F549A"/>
    <w:rsid w:val="008F709E"/>
    <w:rsid w:val="008F7C5A"/>
    <w:rsid w:val="009002C6"/>
    <w:rsid w:val="00900472"/>
    <w:rsid w:val="00901076"/>
    <w:rsid w:val="009014CE"/>
    <w:rsid w:val="009015C2"/>
    <w:rsid w:val="00901755"/>
    <w:rsid w:val="009017C4"/>
    <w:rsid w:val="00901EAA"/>
    <w:rsid w:val="009030C3"/>
    <w:rsid w:val="009043BE"/>
    <w:rsid w:val="009059A2"/>
    <w:rsid w:val="00906810"/>
    <w:rsid w:val="00907532"/>
    <w:rsid w:val="00907F6C"/>
    <w:rsid w:val="00911446"/>
    <w:rsid w:val="00911FA4"/>
    <w:rsid w:val="009145F6"/>
    <w:rsid w:val="00915E2C"/>
    <w:rsid w:val="00916304"/>
    <w:rsid w:val="00916672"/>
    <w:rsid w:val="009166DA"/>
    <w:rsid w:val="009167D8"/>
    <w:rsid w:val="00916F64"/>
    <w:rsid w:val="0091741C"/>
    <w:rsid w:val="009178F4"/>
    <w:rsid w:val="00917902"/>
    <w:rsid w:val="00917CAC"/>
    <w:rsid w:val="0092022E"/>
    <w:rsid w:val="0092187C"/>
    <w:rsid w:val="009220A4"/>
    <w:rsid w:val="0092213F"/>
    <w:rsid w:val="00922C9F"/>
    <w:rsid w:val="0092351D"/>
    <w:rsid w:val="00923ED9"/>
    <w:rsid w:val="009240BC"/>
    <w:rsid w:val="00925073"/>
    <w:rsid w:val="009250C9"/>
    <w:rsid w:val="00926461"/>
    <w:rsid w:val="00926964"/>
    <w:rsid w:val="00927905"/>
    <w:rsid w:val="00927BB9"/>
    <w:rsid w:val="00930D6C"/>
    <w:rsid w:val="0093349B"/>
    <w:rsid w:val="00933B89"/>
    <w:rsid w:val="00933CE1"/>
    <w:rsid w:val="00934644"/>
    <w:rsid w:val="009350FA"/>
    <w:rsid w:val="009353F2"/>
    <w:rsid w:val="009371F4"/>
    <w:rsid w:val="00937208"/>
    <w:rsid w:val="009411AC"/>
    <w:rsid w:val="00941F06"/>
    <w:rsid w:val="00942AD6"/>
    <w:rsid w:val="00942AF9"/>
    <w:rsid w:val="00942BF0"/>
    <w:rsid w:val="00944D28"/>
    <w:rsid w:val="00945167"/>
    <w:rsid w:val="0094584E"/>
    <w:rsid w:val="0094615D"/>
    <w:rsid w:val="0094634E"/>
    <w:rsid w:val="00947F7C"/>
    <w:rsid w:val="00950055"/>
    <w:rsid w:val="00950931"/>
    <w:rsid w:val="00951A93"/>
    <w:rsid w:val="00952F74"/>
    <w:rsid w:val="00953EBD"/>
    <w:rsid w:val="00953F1F"/>
    <w:rsid w:val="0095425E"/>
    <w:rsid w:val="0095427D"/>
    <w:rsid w:val="0095442B"/>
    <w:rsid w:val="009549BC"/>
    <w:rsid w:val="0095545D"/>
    <w:rsid w:val="00955CB9"/>
    <w:rsid w:val="0096015F"/>
    <w:rsid w:val="0096056F"/>
    <w:rsid w:val="009609E0"/>
    <w:rsid w:val="00960CDD"/>
    <w:rsid w:val="00961988"/>
    <w:rsid w:val="00961FE2"/>
    <w:rsid w:val="0096214F"/>
    <w:rsid w:val="009639E9"/>
    <w:rsid w:val="009646AC"/>
    <w:rsid w:val="009647A6"/>
    <w:rsid w:val="0096547D"/>
    <w:rsid w:val="00967C37"/>
    <w:rsid w:val="00970119"/>
    <w:rsid w:val="0097125E"/>
    <w:rsid w:val="009720FD"/>
    <w:rsid w:val="009722B1"/>
    <w:rsid w:val="009739FD"/>
    <w:rsid w:val="00973C07"/>
    <w:rsid w:val="00974416"/>
    <w:rsid w:val="00974D96"/>
    <w:rsid w:val="00975AE2"/>
    <w:rsid w:val="00975B24"/>
    <w:rsid w:val="00975EDB"/>
    <w:rsid w:val="00976548"/>
    <w:rsid w:val="00976BDD"/>
    <w:rsid w:val="00976F45"/>
    <w:rsid w:val="00977729"/>
    <w:rsid w:val="00977A2C"/>
    <w:rsid w:val="00980EF1"/>
    <w:rsid w:val="0098187F"/>
    <w:rsid w:val="009818E4"/>
    <w:rsid w:val="00981941"/>
    <w:rsid w:val="00981B52"/>
    <w:rsid w:val="00983724"/>
    <w:rsid w:val="009839D2"/>
    <w:rsid w:val="00983E3E"/>
    <w:rsid w:val="00983F2D"/>
    <w:rsid w:val="009855B7"/>
    <w:rsid w:val="0098691B"/>
    <w:rsid w:val="00986E38"/>
    <w:rsid w:val="0098776A"/>
    <w:rsid w:val="009878BB"/>
    <w:rsid w:val="009919FF"/>
    <w:rsid w:val="00992071"/>
    <w:rsid w:val="00992BC0"/>
    <w:rsid w:val="009932EE"/>
    <w:rsid w:val="00994054"/>
    <w:rsid w:val="009962F7"/>
    <w:rsid w:val="00996E12"/>
    <w:rsid w:val="0099705E"/>
    <w:rsid w:val="009A00AB"/>
    <w:rsid w:val="009A01DA"/>
    <w:rsid w:val="009A0719"/>
    <w:rsid w:val="009A0CF5"/>
    <w:rsid w:val="009A152F"/>
    <w:rsid w:val="009A165B"/>
    <w:rsid w:val="009A176D"/>
    <w:rsid w:val="009A1B85"/>
    <w:rsid w:val="009A1D63"/>
    <w:rsid w:val="009A1E9B"/>
    <w:rsid w:val="009A2DCA"/>
    <w:rsid w:val="009A31E5"/>
    <w:rsid w:val="009A33FF"/>
    <w:rsid w:val="009A37E4"/>
    <w:rsid w:val="009A38A2"/>
    <w:rsid w:val="009A3B1B"/>
    <w:rsid w:val="009A4081"/>
    <w:rsid w:val="009A4439"/>
    <w:rsid w:val="009A45CC"/>
    <w:rsid w:val="009A7E18"/>
    <w:rsid w:val="009B03DB"/>
    <w:rsid w:val="009B05BB"/>
    <w:rsid w:val="009B1255"/>
    <w:rsid w:val="009B16BB"/>
    <w:rsid w:val="009B283E"/>
    <w:rsid w:val="009B2D71"/>
    <w:rsid w:val="009B4A09"/>
    <w:rsid w:val="009B4B2C"/>
    <w:rsid w:val="009B5DFF"/>
    <w:rsid w:val="009B6334"/>
    <w:rsid w:val="009B6E40"/>
    <w:rsid w:val="009B758B"/>
    <w:rsid w:val="009B78C2"/>
    <w:rsid w:val="009C20EB"/>
    <w:rsid w:val="009C2BAB"/>
    <w:rsid w:val="009C334D"/>
    <w:rsid w:val="009C3BE5"/>
    <w:rsid w:val="009C3EDD"/>
    <w:rsid w:val="009C46E3"/>
    <w:rsid w:val="009C4810"/>
    <w:rsid w:val="009C4A88"/>
    <w:rsid w:val="009C4EC3"/>
    <w:rsid w:val="009C5062"/>
    <w:rsid w:val="009C5205"/>
    <w:rsid w:val="009C53B9"/>
    <w:rsid w:val="009C5E0A"/>
    <w:rsid w:val="009C7054"/>
    <w:rsid w:val="009C7B29"/>
    <w:rsid w:val="009D11C3"/>
    <w:rsid w:val="009D1623"/>
    <w:rsid w:val="009D1A9D"/>
    <w:rsid w:val="009D1AA9"/>
    <w:rsid w:val="009D314D"/>
    <w:rsid w:val="009D3FA4"/>
    <w:rsid w:val="009D4C62"/>
    <w:rsid w:val="009D6C54"/>
    <w:rsid w:val="009D6FAD"/>
    <w:rsid w:val="009D7B58"/>
    <w:rsid w:val="009D7C83"/>
    <w:rsid w:val="009E0DA5"/>
    <w:rsid w:val="009E114C"/>
    <w:rsid w:val="009E1210"/>
    <w:rsid w:val="009E164F"/>
    <w:rsid w:val="009E1A2E"/>
    <w:rsid w:val="009E2D2C"/>
    <w:rsid w:val="009E31EE"/>
    <w:rsid w:val="009E355A"/>
    <w:rsid w:val="009E4845"/>
    <w:rsid w:val="009E4DF0"/>
    <w:rsid w:val="009E559A"/>
    <w:rsid w:val="009E59F6"/>
    <w:rsid w:val="009E628E"/>
    <w:rsid w:val="009E6416"/>
    <w:rsid w:val="009E6848"/>
    <w:rsid w:val="009E6B38"/>
    <w:rsid w:val="009E705A"/>
    <w:rsid w:val="009E72ED"/>
    <w:rsid w:val="009F05F9"/>
    <w:rsid w:val="009F08CB"/>
    <w:rsid w:val="009F203B"/>
    <w:rsid w:val="009F216D"/>
    <w:rsid w:val="009F2C09"/>
    <w:rsid w:val="009F2C49"/>
    <w:rsid w:val="009F3022"/>
    <w:rsid w:val="009F3163"/>
    <w:rsid w:val="009F45D0"/>
    <w:rsid w:val="009F48B2"/>
    <w:rsid w:val="009F555F"/>
    <w:rsid w:val="009F57D8"/>
    <w:rsid w:val="009F67AF"/>
    <w:rsid w:val="009F6EA1"/>
    <w:rsid w:val="009F74DD"/>
    <w:rsid w:val="00A00B78"/>
    <w:rsid w:val="00A00FC9"/>
    <w:rsid w:val="00A01081"/>
    <w:rsid w:val="00A0118F"/>
    <w:rsid w:val="00A02869"/>
    <w:rsid w:val="00A02A4F"/>
    <w:rsid w:val="00A03915"/>
    <w:rsid w:val="00A03DD5"/>
    <w:rsid w:val="00A04180"/>
    <w:rsid w:val="00A04294"/>
    <w:rsid w:val="00A045C0"/>
    <w:rsid w:val="00A04668"/>
    <w:rsid w:val="00A0563F"/>
    <w:rsid w:val="00A06A83"/>
    <w:rsid w:val="00A076C3"/>
    <w:rsid w:val="00A079E4"/>
    <w:rsid w:val="00A1128D"/>
    <w:rsid w:val="00A11A30"/>
    <w:rsid w:val="00A11F26"/>
    <w:rsid w:val="00A1217A"/>
    <w:rsid w:val="00A123EA"/>
    <w:rsid w:val="00A1417D"/>
    <w:rsid w:val="00A161CD"/>
    <w:rsid w:val="00A16719"/>
    <w:rsid w:val="00A1720B"/>
    <w:rsid w:val="00A172E9"/>
    <w:rsid w:val="00A208DD"/>
    <w:rsid w:val="00A20D89"/>
    <w:rsid w:val="00A214EF"/>
    <w:rsid w:val="00A21B3C"/>
    <w:rsid w:val="00A21FA7"/>
    <w:rsid w:val="00A23842"/>
    <w:rsid w:val="00A2385F"/>
    <w:rsid w:val="00A23AAD"/>
    <w:rsid w:val="00A27BA1"/>
    <w:rsid w:val="00A30827"/>
    <w:rsid w:val="00A31435"/>
    <w:rsid w:val="00A314B2"/>
    <w:rsid w:val="00A32C9B"/>
    <w:rsid w:val="00A32D8C"/>
    <w:rsid w:val="00A35CCB"/>
    <w:rsid w:val="00A404DC"/>
    <w:rsid w:val="00A4087D"/>
    <w:rsid w:val="00A40D4D"/>
    <w:rsid w:val="00A40F22"/>
    <w:rsid w:val="00A4161A"/>
    <w:rsid w:val="00A41C2B"/>
    <w:rsid w:val="00A429B0"/>
    <w:rsid w:val="00A4318C"/>
    <w:rsid w:val="00A44F5D"/>
    <w:rsid w:val="00A45482"/>
    <w:rsid w:val="00A4652D"/>
    <w:rsid w:val="00A506E8"/>
    <w:rsid w:val="00A520B9"/>
    <w:rsid w:val="00A526AB"/>
    <w:rsid w:val="00A52B77"/>
    <w:rsid w:val="00A532BD"/>
    <w:rsid w:val="00A53DB7"/>
    <w:rsid w:val="00A53EF4"/>
    <w:rsid w:val="00A54401"/>
    <w:rsid w:val="00A562AF"/>
    <w:rsid w:val="00A5697A"/>
    <w:rsid w:val="00A601B4"/>
    <w:rsid w:val="00A60767"/>
    <w:rsid w:val="00A61365"/>
    <w:rsid w:val="00A61C74"/>
    <w:rsid w:val="00A6597E"/>
    <w:rsid w:val="00A65EA7"/>
    <w:rsid w:val="00A70566"/>
    <w:rsid w:val="00A71532"/>
    <w:rsid w:val="00A72502"/>
    <w:rsid w:val="00A72989"/>
    <w:rsid w:val="00A754DE"/>
    <w:rsid w:val="00A756EC"/>
    <w:rsid w:val="00A75C1F"/>
    <w:rsid w:val="00A761F3"/>
    <w:rsid w:val="00A80207"/>
    <w:rsid w:val="00A8091C"/>
    <w:rsid w:val="00A809B6"/>
    <w:rsid w:val="00A80B6D"/>
    <w:rsid w:val="00A80EA2"/>
    <w:rsid w:val="00A81E56"/>
    <w:rsid w:val="00A82685"/>
    <w:rsid w:val="00A82CB0"/>
    <w:rsid w:val="00A82FF8"/>
    <w:rsid w:val="00A8305B"/>
    <w:rsid w:val="00A84CC1"/>
    <w:rsid w:val="00A851DC"/>
    <w:rsid w:val="00A8554F"/>
    <w:rsid w:val="00A85E62"/>
    <w:rsid w:val="00A85EE2"/>
    <w:rsid w:val="00A8695E"/>
    <w:rsid w:val="00A90701"/>
    <w:rsid w:val="00A91F65"/>
    <w:rsid w:val="00A953C9"/>
    <w:rsid w:val="00A95F73"/>
    <w:rsid w:val="00A96060"/>
    <w:rsid w:val="00A9622F"/>
    <w:rsid w:val="00A9648F"/>
    <w:rsid w:val="00A97715"/>
    <w:rsid w:val="00AA053F"/>
    <w:rsid w:val="00AA10A0"/>
    <w:rsid w:val="00AA20C8"/>
    <w:rsid w:val="00AA38C4"/>
    <w:rsid w:val="00AA3AB0"/>
    <w:rsid w:val="00AA3B6E"/>
    <w:rsid w:val="00AA43F1"/>
    <w:rsid w:val="00AA55D7"/>
    <w:rsid w:val="00AA786D"/>
    <w:rsid w:val="00AA7998"/>
    <w:rsid w:val="00AB074F"/>
    <w:rsid w:val="00AB0F3C"/>
    <w:rsid w:val="00AB1351"/>
    <w:rsid w:val="00AB1541"/>
    <w:rsid w:val="00AB1D05"/>
    <w:rsid w:val="00AB2065"/>
    <w:rsid w:val="00AB22BD"/>
    <w:rsid w:val="00AB458D"/>
    <w:rsid w:val="00AB5F04"/>
    <w:rsid w:val="00AB6F9D"/>
    <w:rsid w:val="00AB7012"/>
    <w:rsid w:val="00AB746F"/>
    <w:rsid w:val="00AB7B46"/>
    <w:rsid w:val="00AC015F"/>
    <w:rsid w:val="00AC0A14"/>
    <w:rsid w:val="00AC0B17"/>
    <w:rsid w:val="00AC133D"/>
    <w:rsid w:val="00AC1C8C"/>
    <w:rsid w:val="00AC1D7B"/>
    <w:rsid w:val="00AC3399"/>
    <w:rsid w:val="00AC36CB"/>
    <w:rsid w:val="00AC487F"/>
    <w:rsid w:val="00AC4EF6"/>
    <w:rsid w:val="00AC5013"/>
    <w:rsid w:val="00AC656B"/>
    <w:rsid w:val="00AC75DA"/>
    <w:rsid w:val="00AC7B37"/>
    <w:rsid w:val="00AC7DA5"/>
    <w:rsid w:val="00AD0724"/>
    <w:rsid w:val="00AD0803"/>
    <w:rsid w:val="00AD0B15"/>
    <w:rsid w:val="00AD0E38"/>
    <w:rsid w:val="00AD0FF3"/>
    <w:rsid w:val="00AD1FD0"/>
    <w:rsid w:val="00AD2DB6"/>
    <w:rsid w:val="00AD3F59"/>
    <w:rsid w:val="00AD3FBB"/>
    <w:rsid w:val="00AD45F8"/>
    <w:rsid w:val="00AD62A3"/>
    <w:rsid w:val="00AD7729"/>
    <w:rsid w:val="00AE05D0"/>
    <w:rsid w:val="00AE0B48"/>
    <w:rsid w:val="00AE2396"/>
    <w:rsid w:val="00AE33F6"/>
    <w:rsid w:val="00AE41A6"/>
    <w:rsid w:val="00AE4955"/>
    <w:rsid w:val="00AE4D06"/>
    <w:rsid w:val="00AE62A7"/>
    <w:rsid w:val="00AE74B3"/>
    <w:rsid w:val="00AE7974"/>
    <w:rsid w:val="00AE7EAC"/>
    <w:rsid w:val="00AF0F28"/>
    <w:rsid w:val="00AF14B1"/>
    <w:rsid w:val="00AF1629"/>
    <w:rsid w:val="00AF1A1F"/>
    <w:rsid w:val="00AF1BAD"/>
    <w:rsid w:val="00AF2934"/>
    <w:rsid w:val="00AF379F"/>
    <w:rsid w:val="00AF3C60"/>
    <w:rsid w:val="00AF3E17"/>
    <w:rsid w:val="00AF45CD"/>
    <w:rsid w:val="00AF492B"/>
    <w:rsid w:val="00AF5A51"/>
    <w:rsid w:val="00AF5F1F"/>
    <w:rsid w:val="00AF633C"/>
    <w:rsid w:val="00AF7222"/>
    <w:rsid w:val="00B0191B"/>
    <w:rsid w:val="00B01D13"/>
    <w:rsid w:val="00B05834"/>
    <w:rsid w:val="00B05B77"/>
    <w:rsid w:val="00B06C25"/>
    <w:rsid w:val="00B07382"/>
    <w:rsid w:val="00B073C0"/>
    <w:rsid w:val="00B0791B"/>
    <w:rsid w:val="00B11F2D"/>
    <w:rsid w:val="00B120DC"/>
    <w:rsid w:val="00B124F8"/>
    <w:rsid w:val="00B13A99"/>
    <w:rsid w:val="00B154A6"/>
    <w:rsid w:val="00B16438"/>
    <w:rsid w:val="00B16755"/>
    <w:rsid w:val="00B171E9"/>
    <w:rsid w:val="00B17CF0"/>
    <w:rsid w:val="00B212DB"/>
    <w:rsid w:val="00B214CC"/>
    <w:rsid w:val="00B22E19"/>
    <w:rsid w:val="00B250B3"/>
    <w:rsid w:val="00B26485"/>
    <w:rsid w:val="00B266DF"/>
    <w:rsid w:val="00B30297"/>
    <w:rsid w:val="00B30F27"/>
    <w:rsid w:val="00B30F53"/>
    <w:rsid w:val="00B335C7"/>
    <w:rsid w:val="00B33A4A"/>
    <w:rsid w:val="00B33F01"/>
    <w:rsid w:val="00B340C4"/>
    <w:rsid w:val="00B34461"/>
    <w:rsid w:val="00B34517"/>
    <w:rsid w:val="00B34C57"/>
    <w:rsid w:val="00B351E1"/>
    <w:rsid w:val="00B362C3"/>
    <w:rsid w:val="00B36333"/>
    <w:rsid w:val="00B36D67"/>
    <w:rsid w:val="00B3754D"/>
    <w:rsid w:val="00B37704"/>
    <w:rsid w:val="00B37B9A"/>
    <w:rsid w:val="00B40D24"/>
    <w:rsid w:val="00B41F05"/>
    <w:rsid w:val="00B43830"/>
    <w:rsid w:val="00B43D95"/>
    <w:rsid w:val="00B442F9"/>
    <w:rsid w:val="00B44B63"/>
    <w:rsid w:val="00B45284"/>
    <w:rsid w:val="00B45660"/>
    <w:rsid w:val="00B47414"/>
    <w:rsid w:val="00B47EA1"/>
    <w:rsid w:val="00B50670"/>
    <w:rsid w:val="00B516B9"/>
    <w:rsid w:val="00B51B19"/>
    <w:rsid w:val="00B522E2"/>
    <w:rsid w:val="00B5311E"/>
    <w:rsid w:val="00B543FE"/>
    <w:rsid w:val="00B5511F"/>
    <w:rsid w:val="00B5613C"/>
    <w:rsid w:val="00B56A97"/>
    <w:rsid w:val="00B5703A"/>
    <w:rsid w:val="00B6017E"/>
    <w:rsid w:val="00B610A5"/>
    <w:rsid w:val="00B61850"/>
    <w:rsid w:val="00B61B09"/>
    <w:rsid w:val="00B624AA"/>
    <w:rsid w:val="00B62676"/>
    <w:rsid w:val="00B63119"/>
    <w:rsid w:val="00B64FF1"/>
    <w:rsid w:val="00B67268"/>
    <w:rsid w:val="00B6777C"/>
    <w:rsid w:val="00B6780F"/>
    <w:rsid w:val="00B67AFC"/>
    <w:rsid w:val="00B67EDA"/>
    <w:rsid w:val="00B701B0"/>
    <w:rsid w:val="00B7043B"/>
    <w:rsid w:val="00B742E5"/>
    <w:rsid w:val="00B74851"/>
    <w:rsid w:val="00B74DB6"/>
    <w:rsid w:val="00B74EE8"/>
    <w:rsid w:val="00B7515A"/>
    <w:rsid w:val="00B775D8"/>
    <w:rsid w:val="00B77608"/>
    <w:rsid w:val="00B776DE"/>
    <w:rsid w:val="00B80C3D"/>
    <w:rsid w:val="00B813D2"/>
    <w:rsid w:val="00B832F0"/>
    <w:rsid w:val="00B84412"/>
    <w:rsid w:val="00B85B76"/>
    <w:rsid w:val="00B85D1E"/>
    <w:rsid w:val="00B85F49"/>
    <w:rsid w:val="00B86DB5"/>
    <w:rsid w:val="00B90634"/>
    <w:rsid w:val="00B90968"/>
    <w:rsid w:val="00B90A7D"/>
    <w:rsid w:val="00B915F9"/>
    <w:rsid w:val="00B923AC"/>
    <w:rsid w:val="00B92AA9"/>
    <w:rsid w:val="00B9387D"/>
    <w:rsid w:val="00B93C41"/>
    <w:rsid w:val="00B94047"/>
    <w:rsid w:val="00B9436D"/>
    <w:rsid w:val="00B943EA"/>
    <w:rsid w:val="00B94442"/>
    <w:rsid w:val="00B96B11"/>
    <w:rsid w:val="00B96B81"/>
    <w:rsid w:val="00B97577"/>
    <w:rsid w:val="00B97828"/>
    <w:rsid w:val="00B97D3A"/>
    <w:rsid w:val="00B97D91"/>
    <w:rsid w:val="00BA03E0"/>
    <w:rsid w:val="00BA077F"/>
    <w:rsid w:val="00BA0C7A"/>
    <w:rsid w:val="00BA1640"/>
    <w:rsid w:val="00BA16B2"/>
    <w:rsid w:val="00BA170F"/>
    <w:rsid w:val="00BA1B4D"/>
    <w:rsid w:val="00BA1E81"/>
    <w:rsid w:val="00BA263B"/>
    <w:rsid w:val="00BA35FB"/>
    <w:rsid w:val="00BA3E19"/>
    <w:rsid w:val="00BA4656"/>
    <w:rsid w:val="00BA5832"/>
    <w:rsid w:val="00BA6B33"/>
    <w:rsid w:val="00BA6D6E"/>
    <w:rsid w:val="00BB0098"/>
    <w:rsid w:val="00BB0295"/>
    <w:rsid w:val="00BB18E1"/>
    <w:rsid w:val="00BB2279"/>
    <w:rsid w:val="00BB2495"/>
    <w:rsid w:val="00BB2A23"/>
    <w:rsid w:val="00BB30C6"/>
    <w:rsid w:val="00BB3700"/>
    <w:rsid w:val="00BB4DB8"/>
    <w:rsid w:val="00BB526E"/>
    <w:rsid w:val="00BC328D"/>
    <w:rsid w:val="00BC3E1D"/>
    <w:rsid w:val="00BC5189"/>
    <w:rsid w:val="00BC781A"/>
    <w:rsid w:val="00BC7A77"/>
    <w:rsid w:val="00BD06C5"/>
    <w:rsid w:val="00BD154E"/>
    <w:rsid w:val="00BD16DA"/>
    <w:rsid w:val="00BD1EB9"/>
    <w:rsid w:val="00BD2C4C"/>
    <w:rsid w:val="00BD2FC7"/>
    <w:rsid w:val="00BD3346"/>
    <w:rsid w:val="00BD35DB"/>
    <w:rsid w:val="00BD39CE"/>
    <w:rsid w:val="00BD43BC"/>
    <w:rsid w:val="00BD4D12"/>
    <w:rsid w:val="00BD529A"/>
    <w:rsid w:val="00BD54CD"/>
    <w:rsid w:val="00BD59BB"/>
    <w:rsid w:val="00BD5A6A"/>
    <w:rsid w:val="00BD629F"/>
    <w:rsid w:val="00BD638D"/>
    <w:rsid w:val="00BD64A2"/>
    <w:rsid w:val="00BD6E8C"/>
    <w:rsid w:val="00BD7A63"/>
    <w:rsid w:val="00BE0764"/>
    <w:rsid w:val="00BE0AC8"/>
    <w:rsid w:val="00BE1024"/>
    <w:rsid w:val="00BE1CB0"/>
    <w:rsid w:val="00BE1DF9"/>
    <w:rsid w:val="00BE30B0"/>
    <w:rsid w:val="00BE3184"/>
    <w:rsid w:val="00BE37D3"/>
    <w:rsid w:val="00BE3BCC"/>
    <w:rsid w:val="00BE444D"/>
    <w:rsid w:val="00BE6254"/>
    <w:rsid w:val="00BE669B"/>
    <w:rsid w:val="00BE72C1"/>
    <w:rsid w:val="00BE7307"/>
    <w:rsid w:val="00BE772F"/>
    <w:rsid w:val="00BE799E"/>
    <w:rsid w:val="00BF0ECC"/>
    <w:rsid w:val="00BF1104"/>
    <w:rsid w:val="00BF1250"/>
    <w:rsid w:val="00BF12E8"/>
    <w:rsid w:val="00BF15E4"/>
    <w:rsid w:val="00BF1ECF"/>
    <w:rsid w:val="00BF28F8"/>
    <w:rsid w:val="00BF3031"/>
    <w:rsid w:val="00BF3083"/>
    <w:rsid w:val="00BF5A68"/>
    <w:rsid w:val="00BF5AB2"/>
    <w:rsid w:val="00BF5D8A"/>
    <w:rsid w:val="00BF67C5"/>
    <w:rsid w:val="00BF6E57"/>
    <w:rsid w:val="00BF7BB3"/>
    <w:rsid w:val="00C00626"/>
    <w:rsid w:val="00C009E8"/>
    <w:rsid w:val="00C0153C"/>
    <w:rsid w:val="00C0268F"/>
    <w:rsid w:val="00C043E9"/>
    <w:rsid w:val="00C04D0E"/>
    <w:rsid w:val="00C056CB"/>
    <w:rsid w:val="00C101D4"/>
    <w:rsid w:val="00C113EC"/>
    <w:rsid w:val="00C1229D"/>
    <w:rsid w:val="00C127F4"/>
    <w:rsid w:val="00C12D6E"/>
    <w:rsid w:val="00C131ED"/>
    <w:rsid w:val="00C14053"/>
    <w:rsid w:val="00C153D1"/>
    <w:rsid w:val="00C16095"/>
    <w:rsid w:val="00C16C78"/>
    <w:rsid w:val="00C17272"/>
    <w:rsid w:val="00C176A5"/>
    <w:rsid w:val="00C218BB"/>
    <w:rsid w:val="00C225E6"/>
    <w:rsid w:val="00C22B36"/>
    <w:rsid w:val="00C22FC3"/>
    <w:rsid w:val="00C23174"/>
    <w:rsid w:val="00C24EB4"/>
    <w:rsid w:val="00C25BAB"/>
    <w:rsid w:val="00C25FEF"/>
    <w:rsid w:val="00C273EF"/>
    <w:rsid w:val="00C276E8"/>
    <w:rsid w:val="00C30350"/>
    <w:rsid w:val="00C30425"/>
    <w:rsid w:val="00C305A3"/>
    <w:rsid w:val="00C3089C"/>
    <w:rsid w:val="00C30B93"/>
    <w:rsid w:val="00C32823"/>
    <w:rsid w:val="00C32BCA"/>
    <w:rsid w:val="00C343C0"/>
    <w:rsid w:val="00C348C5"/>
    <w:rsid w:val="00C34D78"/>
    <w:rsid w:val="00C358A2"/>
    <w:rsid w:val="00C3753E"/>
    <w:rsid w:val="00C4000E"/>
    <w:rsid w:val="00C410E8"/>
    <w:rsid w:val="00C415A7"/>
    <w:rsid w:val="00C41DAC"/>
    <w:rsid w:val="00C43A18"/>
    <w:rsid w:val="00C43C3D"/>
    <w:rsid w:val="00C4483E"/>
    <w:rsid w:val="00C50209"/>
    <w:rsid w:val="00C5234B"/>
    <w:rsid w:val="00C52669"/>
    <w:rsid w:val="00C53373"/>
    <w:rsid w:val="00C53B9F"/>
    <w:rsid w:val="00C5416A"/>
    <w:rsid w:val="00C54D7A"/>
    <w:rsid w:val="00C54F5E"/>
    <w:rsid w:val="00C55E70"/>
    <w:rsid w:val="00C55E94"/>
    <w:rsid w:val="00C55EF9"/>
    <w:rsid w:val="00C56764"/>
    <w:rsid w:val="00C56D9F"/>
    <w:rsid w:val="00C56DDA"/>
    <w:rsid w:val="00C574B5"/>
    <w:rsid w:val="00C57855"/>
    <w:rsid w:val="00C57D4F"/>
    <w:rsid w:val="00C605DB"/>
    <w:rsid w:val="00C6087C"/>
    <w:rsid w:val="00C61753"/>
    <w:rsid w:val="00C617A6"/>
    <w:rsid w:val="00C61DCC"/>
    <w:rsid w:val="00C61FE5"/>
    <w:rsid w:val="00C62296"/>
    <w:rsid w:val="00C62F20"/>
    <w:rsid w:val="00C638AA"/>
    <w:rsid w:val="00C63C8A"/>
    <w:rsid w:val="00C6525F"/>
    <w:rsid w:val="00C668B5"/>
    <w:rsid w:val="00C66A0D"/>
    <w:rsid w:val="00C7092B"/>
    <w:rsid w:val="00C70BC8"/>
    <w:rsid w:val="00C71084"/>
    <w:rsid w:val="00C71E51"/>
    <w:rsid w:val="00C73B0D"/>
    <w:rsid w:val="00C75682"/>
    <w:rsid w:val="00C75856"/>
    <w:rsid w:val="00C75FC1"/>
    <w:rsid w:val="00C765F9"/>
    <w:rsid w:val="00C76D4A"/>
    <w:rsid w:val="00C77313"/>
    <w:rsid w:val="00C77A1E"/>
    <w:rsid w:val="00C81F80"/>
    <w:rsid w:val="00C825E8"/>
    <w:rsid w:val="00C834C1"/>
    <w:rsid w:val="00C83556"/>
    <w:rsid w:val="00C83F5A"/>
    <w:rsid w:val="00C84694"/>
    <w:rsid w:val="00C84AE0"/>
    <w:rsid w:val="00C85A78"/>
    <w:rsid w:val="00C8622E"/>
    <w:rsid w:val="00C8703A"/>
    <w:rsid w:val="00C877C7"/>
    <w:rsid w:val="00C87AA9"/>
    <w:rsid w:val="00C87C1B"/>
    <w:rsid w:val="00C90868"/>
    <w:rsid w:val="00C91B6B"/>
    <w:rsid w:val="00C91D19"/>
    <w:rsid w:val="00C95F2A"/>
    <w:rsid w:val="00C964D1"/>
    <w:rsid w:val="00C96FAF"/>
    <w:rsid w:val="00CA0390"/>
    <w:rsid w:val="00CA04F3"/>
    <w:rsid w:val="00CA0983"/>
    <w:rsid w:val="00CA0EAF"/>
    <w:rsid w:val="00CA1003"/>
    <w:rsid w:val="00CA14C2"/>
    <w:rsid w:val="00CA18C4"/>
    <w:rsid w:val="00CA195F"/>
    <w:rsid w:val="00CA24A9"/>
    <w:rsid w:val="00CA3924"/>
    <w:rsid w:val="00CA5453"/>
    <w:rsid w:val="00CA5DB7"/>
    <w:rsid w:val="00CA6529"/>
    <w:rsid w:val="00CA6E9A"/>
    <w:rsid w:val="00CA72C3"/>
    <w:rsid w:val="00CB06C2"/>
    <w:rsid w:val="00CB0CDE"/>
    <w:rsid w:val="00CB1B80"/>
    <w:rsid w:val="00CB2C17"/>
    <w:rsid w:val="00CB3B94"/>
    <w:rsid w:val="00CB4308"/>
    <w:rsid w:val="00CB4719"/>
    <w:rsid w:val="00CB59BF"/>
    <w:rsid w:val="00CB5FD1"/>
    <w:rsid w:val="00CC0DAD"/>
    <w:rsid w:val="00CC27BA"/>
    <w:rsid w:val="00CC3463"/>
    <w:rsid w:val="00CC3E98"/>
    <w:rsid w:val="00CC46F2"/>
    <w:rsid w:val="00CC5E6B"/>
    <w:rsid w:val="00CC5EC2"/>
    <w:rsid w:val="00CC72F8"/>
    <w:rsid w:val="00CC7924"/>
    <w:rsid w:val="00CD0CF1"/>
    <w:rsid w:val="00CD24A9"/>
    <w:rsid w:val="00CD24DD"/>
    <w:rsid w:val="00CD3EF8"/>
    <w:rsid w:val="00CD4D63"/>
    <w:rsid w:val="00CD763C"/>
    <w:rsid w:val="00CE0A3C"/>
    <w:rsid w:val="00CE0DED"/>
    <w:rsid w:val="00CE11CC"/>
    <w:rsid w:val="00CE1C3E"/>
    <w:rsid w:val="00CE2101"/>
    <w:rsid w:val="00CE3170"/>
    <w:rsid w:val="00CE355D"/>
    <w:rsid w:val="00CE37FF"/>
    <w:rsid w:val="00CE4E37"/>
    <w:rsid w:val="00CE7CE1"/>
    <w:rsid w:val="00CF04FB"/>
    <w:rsid w:val="00CF150F"/>
    <w:rsid w:val="00CF1594"/>
    <w:rsid w:val="00CF1AAB"/>
    <w:rsid w:val="00CF2128"/>
    <w:rsid w:val="00CF2DFC"/>
    <w:rsid w:val="00CF2E09"/>
    <w:rsid w:val="00CF3A71"/>
    <w:rsid w:val="00CF5D92"/>
    <w:rsid w:val="00CF6F4C"/>
    <w:rsid w:val="00CF786A"/>
    <w:rsid w:val="00D015CC"/>
    <w:rsid w:val="00D018B0"/>
    <w:rsid w:val="00D01E28"/>
    <w:rsid w:val="00D01FA9"/>
    <w:rsid w:val="00D01FC8"/>
    <w:rsid w:val="00D022EF"/>
    <w:rsid w:val="00D02736"/>
    <w:rsid w:val="00D0420B"/>
    <w:rsid w:val="00D04425"/>
    <w:rsid w:val="00D04699"/>
    <w:rsid w:val="00D05C8F"/>
    <w:rsid w:val="00D062D9"/>
    <w:rsid w:val="00D065EB"/>
    <w:rsid w:val="00D06D73"/>
    <w:rsid w:val="00D0743D"/>
    <w:rsid w:val="00D07595"/>
    <w:rsid w:val="00D110BE"/>
    <w:rsid w:val="00D1154D"/>
    <w:rsid w:val="00D12AE6"/>
    <w:rsid w:val="00D12F65"/>
    <w:rsid w:val="00D1380D"/>
    <w:rsid w:val="00D13BEB"/>
    <w:rsid w:val="00D140BD"/>
    <w:rsid w:val="00D14998"/>
    <w:rsid w:val="00D158AD"/>
    <w:rsid w:val="00D16E90"/>
    <w:rsid w:val="00D17A66"/>
    <w:rsid w:val="00D219E1"/>
    <w:rsid w:val="00D222AE"/>
    <w:rsid w:val="00D2284C"/>
    <w:rsid w:val="00D23802"/>
    <w:rsid w:val="00D238D7"/>
    <w:rsid w:val="00D23BF7"/>
    <w:rsid w:val="00D243D4"/>
    <w:rsid w:val="00D24F24"/>
    <w:rsid w:val="00D2577E"/>
    <w:rsid w:val="00D27968"/>
    <w:rsid w:val="00D3031E"/>
    <w:rsid w:val="00D309BE"/>
    <w:rsid w:val="00D31467"/>
    <w:rsid w:val="00D3212B"/>
    <w:rsid w:val="00D3225F"/>
    <w:rsid w:val="00D322E5"/>
    <w:rsid w:val="00D32A53"/>
    <w:rsid w:val="00D32ABA"/>
    <w:rsid w:val="00D35EC5"/>
    <w:rsid w:val="00D368ED"/>
    <w:rsid w:val="00D37B7C"/>
    <w:rsid w:val="00D37E49"/>
    <w:rsid w:val="00D37F3B"/>
    <w:rsid w:val="00D4057C"/>
    <w:rsid w:val="00D411BD"/>
    <w:rsid w:val="00D41A1D"/>
    <w:rsid w:val="00D41B82"/>
    <w:rsid w:val="00D41F6C"/>
    <w:rsid w:val="00D43C4F"/>
    <w:rsid w:val="00D44AFF"/>
    <w:rsid w:val="00D45FC2"/>
    <w:rsid w:val="00D46891"/>
    <w:rsid w:val="00D51957"/>
    <w:rsid w:val="00D51AD3"/>
    <w:rsid w:val="00D51C29"/>
    <w:rsid w:val="00D51E45"/>
    <w:rsid w:val="00D52419"/>
    <w:rsid w:val="00D542CC"/>
    <w:rsid w:val="00D54941"/>
    <w:rsid w:val="00D564D2"/>
    <w:rsid w:val="00D567B5"/>
    <w:rsid w:val="00D56FC6"/>
    <w:rsid w:val="00D57138"/>
    <w:rsid w:val="00D5735E"/>
    <w:rsid w:val="00D5785D"/>
    <w:rsid w:val="00D57914"/>
    <w:rsid w:val="00D620C1"/>
    <w:rsid w:val="00D629D3"/>
    <w:rsid w:val="00D660D6"/>
    <w:rsid w:val="00D6718D"/>
    <w:rsid w:val="00D67594"/>
    <w:rsid w:val="00D6784D"/>
    <w:rsid w:val="00D67906"/>
    <w:rsid w:val="00D70595"/>
    <w:rsid w:val="00D709FF"/>
    <w:rsid w:val="00D71018"/>
    <w:rsid w:val="00D712CC"/>
    <w:rsid w:val="00D715B5"/>
    <w:rsid w:val="00D72E7C"/>
    <w:rsid w:val="00D743A4"/>
    <w:rsid w:val="00D74617"/>
    <w:rsid w:val="00D76390"/>
    <w:rsid w:val="00D763B3"/>
    <w:rsid w:val="00D763C3"/>
    <w:rsid w:val="00D77DA9"/>
    <w:rsid w:val="00D80870"/>
    <w:rsid w:val="00D80F00"/>
    <w:rsid w:val="00D812BD"/>
    <w:rsid w:val="00D8139F"/>
    <w:rsid w:val="00D821B7"/>
    <w:rsid w:val="00D82498"/>
    <w:rsid w:val="00D8255C"/>
    <w:rsid w:val="00D825C7"/>
    <w:rsid w:val="00D83757"/>
    <w:rsid w:val="00D858D6"/>
    <w:rsid w:val="00D86F20"/>
    <w:rsid w:val="00D86FB5"/>
    <w:rsid w:val="00D87D23"/>
    <w:rsid w:val="00D90C09"/>
    <w:rsid w:val="00D90C1D"/>
    <w:rsid w:val="00D91A6E"/>
    <w:rsid w:val="00D91B4C"/>
    <w:rsid w:val="00D9372E"/>
    <w:rsid w:val="00D93834"/>
    <w:rsid w:val="00D93C13"/>
    <w:rsid w:val="00D9485C"/>
    <w:rsid w:val="00D94D3C"/>
    <w:rsid w:val="00D9527D"/>
    <w:rsid w:val="00D956BF"/>
    <w:rsid w:val="00D96838"/>
    <w:rsid w:val="00D969CE"/>
    <w:rsid w:val="00D96ED9"/>
    <w:rsid w:val="00D978C5"/>
    <w:rsid w:val="00D97D4C"/>
    <w:rsid w:val="00DA0628"/>
    <w:rsid w:val="00DA0928"/>
    <w:rsid w:val="00DA17F1"/>
    <w:rsid w:val="00DA2CDC"/>
    <w:rsid w:val="00DA32EE"/>
    <w:rsid w:val="00DA3527"/>
    <w:rsid w:val="00DA37F8"/>
    <w:rsid w:val="00DA43EB"/>
    <w:rsid w:val="00DA508E"/>
    <w:rsid w:val="00DA5799"/>
    <w:rsid w:val="00DA5F4A"/>
    <w:rsid w:val="00DA62DB"/>
    <w:rsid w:val="00DA6559"/>
    <w:rsid w:val="00DA6613"/>
    <w:rsid w:val="00DA768D"/>
    <w:rsid w:val="00DA7EC0"/>
    <w:rsid w:val="00DB0DF4"/>
    <w:rsid w:val="00DB1F6E"/>
    <w:rsid w:val="00DB2B7D"/>
    <w:rsid w:val="00DB3666"/>
    <w:rsid w:val="00DB4675"/>
    <w:rsid w:val="00DB64FA"/>
    <w:rsid w:val="00DB67CC"/>
    <w:rsid w:val="00DC02FF"/>
    <w:rsid w:val="00DC1101"/>
    <w:rsid w:val="00DC1191"/>
    <w:rsid w:val="00DC1568"/>
    <w:rsid w:val="00DC2671"/>
    <w:rsid w:val="00DC284A"/>
    <w:rsid w:val="00DC2D1E"/>
    <w:rsid w:val="00DC2DB9"/>
    <w:rsid w:val="00DC34CE"/>
    <w:rsid w:val="00DC3F71"/>
    <w:rsid w:val="00DC4043"/>
    <w:rsid w:val="00DC45D5"/>
    <w:rsid w:val="00DC4928"/>
    <w:rsid w:val="00DC4936"/>
    <w:rsid w:val="00DC49F2"/>
    <w:rsid w:val="00DC5643"/>
    <w:rsid w:val="00DC5D15"/>
    <w:rsid w:val="00DC6D6F"/>
    <w:rsid w:val="00DC7E61"/>
    <w:rsid w:val="00DD192D"/>
    <w:rsid w:val="00DD274B"/>
    <w:rsid w:val="00DD28C2"/>
    <w:rsid w:val="00DD33B7"/>
    <w:rsid w:val="00DD3EB7"/>
    <w:rsid w:val="00DD4A2D"/>
    <w:rsid w:val="00DD6A9E"/>
    <w:rsid w:val="00DE0189"/>
    <w:rsid w:val="00DE04CF"/>
    <w:rsid w:val="00DE0C20"/>
    <w:rsid w:val="00DE1A20"/>
    <w:rsid w:val="00DE1A6A"/>
    <w:rsid w:val="00DE2197"/>
    <w:rsid w:val="00DE2270"/>
    <w:rsid w:val="00DE278E"/>
    <w:rsid w:val="00DE3377"/>
    <w:rsid w:val="00DE3BCC"/>
    <w:rsid w:val="00DE3BE4"/>
    <w:rsid w:val="00DE3C5D"/>
    <w:rsid w:val="00DE6E1C"/>
    <w:rsid w:val="00DE71CB"/>
    <w:rsid w:val="00DE7623"/>
    <w:rsid w:val="00DE78CA"/>
    <w:rsid w:val="00DF0175"/>
    <w:rsid w:val="00DF0296"/>
    <w:rsid w:val="00DF06D6"/>
    <w:rsid w:val="00DF1089"/>
    <w:rsid w:val="00DF2778"/>
    <w:rsid w:val="00DF2D3A"/>
    <w:rsid w:val="00DF3138"/>
    <w:rsid w:val="00DF3E7C"/>
    <w:rsid w:val="00DF4047"/>
    <w:rsid w:val="00DF5190"/>
    <w:rsid w:val="00DF58C3"/>
    <w:rsid w:val="00DF699D"/>
    <w:rsid w:val="00DF69A4"/>
    <w:rsid w:val="00DF6AF1"/>
    <w:rsid w:val="00DF7C18"/>
    <w:rsid w:val="00DF7E6F"/>
    <w:rsid w:val="00E012C0"/>
    <w:rsid w:val="00E016E8"/>
    <w:rsid w:val="00E01FC0"/>
    <w:rsid w:val="00E02259"/>
    <w:rsid w:val="00E02774"/>
    <w:rsid w:val="00E0392D"/>
    <w:rsid w:val="00E03B54"/>
    <w:rsid w:val="00E04019"/>
    <w:rsid w:val="00E0502F"/>
    <w:rsid w:val="00E05083"/>
    <w:rsid w:val="00E05ECE"/>
    <w:rsid w:val="00E06B5C"/>
    <w:rsid w:val="00E07D22"/>
    <w:rsid w:val="00E1097C"/>
    <w:rsid w:val="00E122FE"/>
    <w:rsid w:val="00E1489C"/>
    <w:rsid w:val="00E15994"/>
    <w:rsid w:val="00E15B0D"/>
    <w:rsid w:val="00E240E9"/>
    <w:rsid w:val="00E24660"/>
    <w:rsid w:val="00E24EC9"/>
    <w:rsid w:val="00E2503E"/>
    <w:rsid w:val="00E25B65"/>
    <w:rsid w:val="00E268E6"/>
    <w:rsid w:val="00E26A4C"/>
    <w:rsid w:val="00E270B4"/>
    <w:rsid w:val="00E271AF"/>
    <w:rsid w:val="00E2793C"/>
    <w:rsid w:val="00E27A15"/>
    <w:rsid w:val="00E27B87"/>
    <w:rsid w:val="00E27EEE"/>
    <w:rsid w:val="00E30BC5"/>
    <w:rsid w:val="00E31384"/>
    <w:rsid w:val="00E31541"/>
    <w:rsid w:val="00E32098"/>
    <w:rsid w:val="00E32E9D"/>
    <w:rsid w:val="00E33660"/>
    <w:rsid w:val="00E34287"/>
    <w:rsid w:val="00E3508B"/>
    <w:rsid w:val="00E352C1"/>
    <w:rsid w:val="00E369DE"/>
    <w:rsid w:val="00E36F69"/>
    <w:rsid w:val="00E37708"/>
    <w:rsid w:val="00E378E8"/>
    <w:rsid w:val="00E40341"/>
    <w:rsid w:val="00E424DA"/>
    <w:rsid w:val="00E4289B"/>
    <w:rsid w:val="00E42FCC"/>
    <w:rsid w:val="00E431A3"/>
    <w:rsid w:val="00E4336F"/>
    <w:rsid w:val="00E43D57"/>
    <w:rsid w:val="00E43E47"/>
    <w:rsid w:val="00E442C8"/>
    <w:rsid w:val="00E447AE"/>
    <w:rsid w:val="00E44CBB"/>
    <w:rsid w:val="00E464AA"/>
    <w:rsid w:val="00E464D5"/>
    <w:rsid w:val="00E4669E"/>
    <w:rsid w:val="00E47899"/>
    <w:rsid w:val="00E47E25"/>
    <w:rsid w:val="00E508E8"/>
    <w:rsid w:val="00E50971"/>
    <w:rsid w:val="00E50C52"/>
    <w:rsid w:val="00E50CEE"/>
    <w:rsid w:val="00E51957"/>
    <w:rsid w:val="00E51F69"/>
    <w:rsid w:val="00E52519"/>
    <w:rsid w:val="00E54171"/>
    <w:rsid w:val="00E542DD"/>
    <w:rsid w:val="00E544E1"/>
    <w:rsid w:val="00E54650"/>
    <w:rsid w:val="00E5494F"/>
    <w:rsid w:val="00E54D2C"/>
    <w:rsid w:val="00E54F92"/>
    <w:rsid w:val="00E55935"/>
    <w:rsid w:val="00E56182"/>
    <w:rsid w:val="00E5630B"/>
    <w:rsid w:val="00E56483"/>
    <w:rsid w:val="00E57EE8"/>
    <w:rsid w:val="00E602E1"/>
    <w:rsid w:val="00E62FDD"/>
    <w:rsid w:val="00E62FF2"/>
    <w:rsid w:val="00E64243"/>
    <w:rsid w:val="00E64476"/>
    <w:rsid w:val="00E64F5B"/>
    <w:rsid w:val="00E65945"/>
    <w:rsid w:val="00E65DA6"/>
    <w:rsid w:val="00E66ABB"/>
    <w:rsid w:val="00E6753A"/>
    <w:rsid w:val="00E67929"/>
    <w:rsid w:val="00E70F51"/>
    <w:rsid w:val="00E71324"/>
    <w:rsid w:val="00E71CE5"/>
    <w:rsid w:val="00E72271"/>
    <w:rsid w:val="00E73A60"/>
    <w:rsid w:val="00E73D10"/>
    <w:rsid w:val="00E73F67"/>
    <w:rsid w:val="00E747DD"/>
    <w:rsid w:val="00E74B82"/>
    <w:rsid w:val="00E74B86"/>
    <w:rsid w:val="00E750AC"/>
    <w:rsid w:val="00E75B02"/>
    <w:rsid w:val="00E75F90"/>
    <w:rsid w:val="00E76018"/>
    <w:rsid w:val="00E76101"/>
    <w:rsid w:val="00E76CD2"/>
    <w:rsid w:val="00E76F15"/>
    <w:rsid w:val="00E7714D"/>
    <w:rsid w:val="00E80603"/>
    <w:rsid w:val="00E8086D"/>
    <w:rsid w:val="00E8132F"/>
    <w:rsid w:val="00E81ECE"/>
    <w:rsid w:val="00E82DA4"/>
    <w:rsid w:val="00E83314"/>
    <w:rsid w:val="00E83953"/>
    <w:rsid w:val="00E83A83"/>
    <w:rsid w:val="00E84DE9"/>
    <w:rsid w:val="00E85511"/>
    <w:rsid w:val="00E85E42"/>
    <w:rsid w:val="00E86615"/>
    <w:rsid w:val="00E8719C"/>
    <w:rsid w:val="00E87B1C"/>
    <w:rsid w:val="00E9365C"/>
    <w:rsid w:val="00E9369E"/>
    <w:rsid w:val="00E94551"/>
    <w:rsid w:val="00E9504F"/>
    <w:rsid w:val="00E95AA6"/>
    <w:rsid w:val="00E95FDB"/>
    <w:rsid w:val="00E977B9"/>
    <w:rsid w:val="00E97EF9"/>
    <w:rsid w:val="00EA0C7D"/>
    <w:rsid w:val="00EA14EA"/>
    <w:rsid w:val="00EA15F3"/>
    <w:rsid w:val="00EA1BD6"/>
    <w:rsid w:val="00EA3112"/>
    <w:rsid w:val="00EA349D"/>
    <w:rsid w:val="00EA3F93"/>
    <w:rsid w:val="00EA58B6"/>
    <w:rsid w:val="00EA5BEA"/>
    <w:rsid w:val="00EA66E7"/>
    <w:rsid w:val="00EA6E1C"/>
    <w:rsid w:val="00EA767E"/>
    <w:rsid w:val="00EB054D"/>
    <w:rsid w:val="00EB09EF"/>
    <w:rsid w:val="00EB0A45"/>
    <w:rsid w:val="00EB256C"/>
    <w:rsid w:val="00EB2AFC"/>
    <w:rsid w:val="00EB2C40"/>
    <w:rsid w:val="00EB2D46"/>
    <w:rsid w:val="00EB4CB7"/>
    <w:rsid w:val="00EB5073"/>
    <w:rsid w:val="00EB56B5"/>
    <w:rsid w:val="00EB6575"/>
    <w:rsid w:val="00EB6FF7"/>
    <w:rsid w:val="00EB75F9"/>
    <w:rsid w:val="00EC01B5"/>
    <w:rsid w:val="00EC1ADD"/>
    <w:rsid w:val="00EC2006"/>
    <w:rsid w:val="00EC3332"/>
    <w:rsid w:val="00EC349D"/>
    <w:rsid w:val="00EC49BA"/>
    <w:rsid w:val="00EC4F16"/>
    <w:rsid w:val="00EC594C"/>
    <w:rsid w:val="00EC5F36"/>
    <w:rsid w:val="00EC61C7"/>
    <w:rsid w:val="00EC675B"/>
    <w:rsid w:val="00EC6AB9"/>
    <w:rsid w:val="00EC6CCE"/>
    <w:rsid w:val="00EC7688"/>
    <w:rsid w:val="00EC774F"/>
    <w:rsid w:val="00ED14DC"/>
    <w:rsid w:val="00ED1ABD"/>
    <w:rsid w:val="00ED1F40"/>
    <w:rsid w:val="00ED2A45"/>
    <w:rsid w:val="00ED2BEA"/>
    <w:rsid w:val="00ED2F95"/>
    <w:rsid w:val="00ED3400"/>
    <w:rsid w:val="00ED36CA"/>
    <w:rsid w:val="00ED4455"/>
    <w:rsid w:val="00ED63D2"/>
    <w:rsid w:val="00ED72B2"/>
    <w:rsid w:val="00ED7332"/>
    <w:rsid w:val="00ED748A"/>
    <w:rsid w:val="00ED7A35"/>
    <w:rsid w:val="00ED7B45"/>
    <w:rsid w:val="00EE271F"/>
    <w:rsid w:val="00EE53FB"/>
    <w:rsid w:val="00EE5BA4"/>
    <w:rsid w:val="00EE5F59"/>
    <w:rsid w:val="00EE69C6"/>
    <w:rsid w:val="00EE69CE"/>
    <w:rsid w:val="00EE6CC1"/>
    <w:rsid w:val="00EF0239"/>
    <w:rsid w:val="00EF04C6"/>
    <w:rsid w:val="00EF0DEC"/>
    <w:rsid w:val="00EF11D7"/>
    <w:rsid w:val="00EF14C2"/>
    <w:rsid w:val="00EF189F"/>
    <w:rsid w:val="00EF23B8"/>
    <w:rsid w:val="00EF30C7"/>
    <w:rsid w:val="00EF3EFF"/>
    <w:rsid w:val="00EF49A3"/>
    <w:rsid w:val="00EF633A"/>
    <w:rsid w:val="00EF6372"/>
    <w:rsid w:val="00EF7365"/>
    <w:rsid w:val="00F00301"/>
    <w:rsid w:val="00F005AD"/>
    <w:rsid w:val="00F01CC4"/>
    <w:rsid w:val="00F01F32"/>
    <w:rsid w:val="00F077F7"/>
    <w:rsid w:val="00F10055"/>
    <w:rsid w:val="00F11274"/>
    <w:rsid w:val="00F115DE"/>
    <w:rsid w:val="00F11883"/>
    <w:rsid w:val="00F11E93"/>
    <w:rsid w:val="00F14384"/>
    <w:rsid w:val="00F16C84"/>
    <w:rsid w:val="00F1742F"/>
    <w:rsid w:val="00F17475"/>
    <w:rsid w:val="00F176ED"/>
    <w:rsid w:val="00F2195D"/>
    <w:rsid w:val="00F2250E"/>
    <w:rsid w:val="00F23433"/>
    <w:rsid w:val="00F24FCB"/>
    <w:rsid w:val="00F25BBB"/>
    <w:rsid w:val="00F26415"/>
    <w:rsid w:val="00F2697D"/>
    <w:rsid w:val="00F26AC2"/>
    <w:rsid w:val="00F31308"/>
    <w:rsid w:val="00F3178C"/>
    <w:rsid w:val="00F31AE0"/>
    <w:rsid w:val="00F31CF2"/>
    <w:rsid w:val="00F31FE8"/>
    <w:rsid w:val="00F32258"/>
    <w:rsid w:val="00F32824"/>
    <w:rsid w:val="00F33CDC"/>
    <w:rsid w:val="00F348A6"/>
    <w:rsid w:val="00F34FF9"/>
    <w:rsid w:val="00F354D0"/>
    <w:rsid w:val="00F3569F"/>
    <w:rsid w:val="00F35E22"/>
    <w:rsid w:val="00F3745E"/>
    <w:rsid w:val="00F37CAF"/>
    <w:rsid w:val="00F40A31"/>
    <w:rsid w:val="00F41871"/>
    <w:rsid w:val="00F42730"/>
    <w:rsid w:val="00F43205"/>
    <w:rsid w:val="00F43DA5"/>
    <w:rsid w:val="00F44680"/>
    <w:rsid w:val="00F454B9"/>
    <w:rsid w:val="00F463EE"/>
    <w:rsid w:val="00F46886"/>
    <w:rsid w:val="00F46EA4"/>
    <w:rsid w:val="00F47833"/>
    <w:rsid w:val="00F47D83"/>
    <w:rsid w:val="00F5057A"/>
    <w:rsid w:val="00F5062F"/>
    <w:rsid w:val="00F5067F"/>
    <w:rsid w:val="00F529A5"/>
    <w:rsid w:val="00F53381"/>
    <w:rsid w:val="00F549BF"/>
    <w:rsid w:val="00F5599E"/>
    <w:rsid w:val="00F56587"/>
    <w:rsid w:val="00F56E04"/>
    <w:rsid w:val="00F616F4"/>
    <w:rsid w:val="00F620D7"/>
    <w:rsid w:val="00F62B8D"/>
    <w:rsid w:val="00F62CAB"/>
    <w:rsid w:val="00F64ADA"/>
    <w:rsid w:val="00F64D80"/>
    <w:rsid w:val="00F64FF1"/>
    <w:rsid w:val="00F656C2"/>
    <w:rsid w:val="00F65D7A"/>
    <w:rsid w:val="00F66212"/>
    <w:rsid w:val="00F666B3"/>
    <w:rsid w:val="00F66CCF"/>
    <w:rsid w:val="00F66F74"/>
    <w:rsid w:val="00F67BB4"/>
    <w:rsid w:val="00F71944"/>
    <w:rsid w:val="00F71CA7"/>
    <w:rsid w:val="00F7218F"/>
    <w:rsid w:val="00F7256F"/>
    <w:rsid w:val="00F74A0E"/>
    <w:rsid w:val="00F755FF"/>
    <w:rsid w:val="00F758F3"/>
    <w:rsid w:val="00F75CE4"/>
    <w:rsid w:val="00F80D66"/>
    <w:rsid w:val="00F819C0"/>
    <w:rsid w:val="00F82460"/>
    <w:rsid w:val="00F82B2D"/>
    <w:rsid w:val="00F82BA3"/>
    <w:rsid w:val="00F83F25"/>
    <w:rsid w:val="00F84363"/>
    <w:rsid w:val="00F846B4"/>
    <w:rsid w:val="00F8473B"/>
    <w:rsid w:val="00F8595D"/>
    <w:rsid w:val="00F85C3A"/>
    <w:rsid w:val="00F85E65"/>
    <w:rsid w:val="00F85F54"/>
    <w:rsid w:val="00F877FC"/>
    <w:rsid w:val="00F87879"/>
    <w:rsid w:val="00F90103"/>
    <w:rsid w:val="00F901D3"/>
    <w:rsid w:val="00F9078D"/>
    <w:rsid w:val="00F9135D"/>
    <w:rsid w:val="00F91376"/>
    <w:rsid w:val="00F914AB"/>
    <w:rsid w:val="00F91FEA"/>
    <w:rsid w:val="00F9250C"/>
    <w:rsid w:val="00F925F9"/>
    <w:rsid w:val="00F942A8"/>
    <w:rsid w:val="00F95F7C"/>
    <w:rsid w:val="00F96737"/>
    <w:rsid w:val="00FA01A6"/>
    <w:rsid w:val="00FA0614"/>
    <w:rsid w:val="00FA061A"/>
    <w:rsid w:val="00FA0EBE"/>
    <w:rsid w:val="00FA1075"/>
    <w:rsid w:val="00FA16D5"/>
    <w:rsid w:val="00FA1E5F"/>
    <w:rsid w:val="00FA25F4"/>
    <w:rsid w:val="00FA2833"/>
    <w:rsid w:val="00FA357D"/>
    <w:rsid w:val="00FA44C6"/>
    <w:rsid w:val="00FA5674"/>
    <w:rsid w:val="00FA5FB5"/>
    <w:rsid w:val="00FA6085"/>
    <w:rsid w:val="00FA60F7"/>
    <w:rsid w:val="00FA695E"/>
    <w:rsid w:val="00FA6D70"/>
    <w:rsid w:val="00FA7B51"/>
    <w:rsid w:val="00FA7B89"/>
    <w:rsid w:val="00FB07F3"/>
    <w:rsid w:val="00FB2EC4"/>
    <w:rsid w:val="00FB2F89"/>
    <w:rsid w:val="00FB2FEE"/>
    <w:rsid w:val="00FB3698"/>
    <w:rsid w:val="00FB4308"/>
    <w:rsid w:val="00FB4A52"/>
    <w:rsid w:val="00FB4B0B"/>
    <w:rsid w:val="00FB5ED7"/>
    <w:rsid w:val="00FB600D"/>
    <w:rsid w:val="00FB6119"/>
    <w:rsid w:val="00FB6E47"/>
    <w:rsid w:val="00FB723E"/>
    <w:rsid w:val="00FB738A"/>
    <w:rsid w:val="00FB73CD"/>
    <w:rsid w:val="00FB7474"/>
    <w:rsid w:val="00FB77E8"/>
    <w:rsid w:val="00FB795B"/>
    <w:rsid w:val="00FC04B0"/>
    <w:rsid w:val="00FC16C3"/>
    <w:rsid w:val="00FC1A0A"/>
    <w:rsid w:val="00FC311F"/>
    <w:rsid w:val="00FC4058"/>
    <w:rsid w:val="00FC463A"/>
    <w:rsid w:val="00FC485E"/>
    <w:rsid w:val="00FC55CF"/>
    <w:rsid w:val="00FC621C"/>
    <w:rsid w:val="00FC6698"/>
    <w:rsid w:val="00FD046C"/>
    <w:rsid w:val="00FD048F"/>
    <w:rsid w:val="00FD0D46"/>
    <w:rsid w:val="00FD1806"/>
    <w:rsid w:val="00FD19A8"/>
    <w:rsid w:val="00FD1BA3"/>
    <w:rsid w:val="00FD2D7C"/>
    <w:rsid w:val="00FD3348"/>
    <w:rsid w:val="00FD3384"/>
    <w:rsid w:val="00FD3AD0"/>
    <w:rsid w:val="00FD3F7F"/>
    <w:rsid w:val="00FD4177"/>
    <w:rsid w:val="00FD487F"/>
    <w:rsid w:val="00FD5BB6"/>
    <w:rsid w:val="00FD5CB5"/>
    <w:rsid w:val="00FD780C"/>
    <w:rsid w:val="00FD79F8"/>
    <w:rsid w:val="00FE0805"/>
    <w:rsid w:val="00FE11BD"/>
    <w:rsid w:val="00FE1B7A"/>
    <w:rsid w:val="00FE1B9D"/>
    <w:rsid w:val="00FE1D1E"/>
    <w:rsid w:val="00FE4600"/>
    <w:rsid w:val="00FE5073"/>
    <w:rsid w:val="00FE75CC"/>
    <w:rsid w:val="00FE77EC"/>
    <w:rsid w:val="00FE7DCE"/>
    <w:rsid w:val="00FF0750"/>
    <w:rsid w:val="00FF13A3"/>
    <w:rsid w:val="00FF1AE0"/>
    <w:rsid w:val="00FF32B7"/>
    <w:rsid w:val="00FF35B4"/>
    <w:rsid w:val="00FF4481"/>
    <w:rsid w:val="00FF4530"/>
    <w:rsid w:val="00FF4BFD"/>
    <w:rsid w:val="00FF568D"/>
    <w:rsid w:val="00FF72C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0A7998"/>
  <w15:docId w15:val="{25ABBDDE-3952-1B4E-A31A-3E9E1176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E6"/>
    <w:rPr>
      <w:rFonts w:ascii="Times New Roman" w:hAnsi="Times New Roman"/>
    </w:rPr>
  </w:style>
  <w:style w:type="paragraph" w:styleId="Heading1">
    <w:name w:val="heading 1"/>
    <w:basedOn w:val="Normal"/>
    <w:next w:val="Normal"/>
    <w:link w:val="Heading1Char"/>
    <w:uiPriority w:val="9"/>
    <w:qFormat/>
    <w:rsid w:val="00231102"/>
    <w:pPr>
      <w:keepNext/>
      <w:keepLines/>
      <w:numPr>
        <w:numId w:val="3"/>
      </w:numPr>
      <w:spacing w:before="240" w:after="240"/>
      <w:ind w:left="357" w:hanging="357"/>
      <w:outlineLvl w:val="0"/>
    </w:pPr>
    <w:rPr>
      <w:rFonts w:eastAsiaTheme="majorEastAsia" w:cstheme="majorBidi"/>
      <w:bCs/>
      <w:caps/>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D8B"/>
    <w:pPr>
      <w:ind w:left="720"/>
      <w:contextualSpacing/>
    </w:pPr>
  </w:style>
  <w:style w:type="paragraph" w:customStyle="1" w:styleId="EndNoteBibliographyTitle">
    <w:name w:val="EndNote Bibliography Title"/>
    <w:basedOn w:val="Normal"/>
    <w:rsid w:val="006F29B8"/>
    <w:pPr>
      <w:jc w:val="center"/>
    </w:pPr>
    <w:rPr>
      <w:rFonts w:cs="Times New Roman"/>
    </w:rPr>
  </w:style>
  <w:style w:type="paragraph" w:customStyle="1" w:styleId="EndNoteBibliography">
    <w:name w:val="EndNote Bibliography"/>
    <w:basedOn w:val="Normal"/>
    <w:rsid w:val="006F29B8"/>
    <w:pPr>
      <w:spacing w:line="480" w:lineRule="auto"/>
    </w:pPr>
    <w:rPr>
      <w:rFonts w:cs="Times New Roman"/>
    </w:rPr>
  </w:style>
  <w:style w:type="paragraph" w:styleId="FootnoteText">
    <w:name w:val="footnote text"/>
    <w:basedOn w:val="Normal"/>
    <w:link w:val="FootnoteTextChar"/>
    <w:uiPriority w:val="99"/>
    <w:unhideWhenUsed/>
    <w:rsid w:val="00501A1E"/>
  </w:style>
  <w:style w:type="character" w:customStyle="1" w:styleId="FootnoteTextChar">
    <w:name w:val="Footnote Text Char"/>
    <w:basedOn w:val="DefaultParagraphFont"/>
    <w:link w:val="FootnoteText"/>
    <w:uiPriority w:val="99"/>
    <w:rsid w:val="00501A1E"/>
  </w:style>
  <w:style w:type="character" w:styleId="FootnoteReference">
    <w:name w:val="footnote reference"/>
    <w:basedOn w:val="DefaultParagraphFont"/>
    <w:uiPriority w:val="99"/>
    <w:unhideWhenUsed/>
    <w:rsid w:val="00501A1E"/>
    <w:rPr>
      <w:vertAlign w:val="superscript"/>
    </w:rPr>
  </w:style>
  <w:style w:type="character" w:customStyle="1" w:styleId="Heading1Char">
    <w:name w:val="Heading 1 Char"/>
    <w:basedOn w:val="DefaultParagraphFont"/>
    <w:link w:val="Heading1"/>
    <w:uiPriority w:val="9"/>
    <w:rsid w:val="00231102"/>
    <w:rPr>
      <w:rFonts w:ascii="Times New Roman" w:eastAsiaTheme="majorEastAsia" w:hAnsi="Times New Roman" w:cstheme="majorBidi"/>
      <w:bCs/>
      <w:caps/>
      <w:szCs w:val="32"/>
    </w:rPr>
  </w:style>
  <w:style w:type="character" w:styleId="CommentReference">
    <w:name w:val="annotation reference"/>
    <w:basedOn w:val="DefaultParagraphFont"/>
    <w:uiPriority w:val="99"/>
    <w:semiHidden/>
    <w:unhideWhenUsed/>
    <w:rsid w:val="00AA7998"/>
    <w:rPr>
      <w:sz w:val="18"/>
      <w:szCs w:val="18"/>
    </w:rPr>
  </w:style>
  <w:style w:type="paragraph" w:styleId="CommentText">
    <w:name w:val="annotation text"/>
    <w:basedOn w:val="Normal"/>
    <w:link w:val="CommentTextChar"/>
    <w:uiPriority w:val="99"/>
    <w:unhideWhenUsed/>
    <w:rsid w:val="00AA7998"/>
  </w:style>
  <w:style w:type="character" w:customStyle="1" w:styleId="CommentTextChar">
    <w:name w:val="Comment Text Char"/>
    <w:basedOn w:val="DefaultParagraphFont"/>
    <w:link w:val="CommentText"/>
    <w:uiPriority w:val="99"/>
    <w:rsid w:val="00AA7998"/>
  </w:style>
  <w:style w:type="paragraph" w:styleId="CommentSubject">
    <w:name w:val="annotation subject"/>
    <w:basedOn w:val="CommentText"/>
    <w:next w:val="CommentText"/>
    <w:link w:val="CommentSubjectChar"/>
    <w:uiPriority w:val="99"/>
    <w:semiHidden/>
    <w:unhideWhenUsed/>
    <w:rsid w:val="00AA7998"/>
    <w:rPr>
      <w:b/>
      <w:bCs/>
      <w:sz w:val="20"/>
      <w:szCs w:val="20"/>
    </w:rPr>
  </w:style>
  <w:style w:type="character" w:customStyle="1" w:styleId="CommentSubjectChar">
    <w:name w:val="Comment Subject Char"/>
    <w:basedOn w:val="CommentTextChar"/>
    <w:link w:val="CommentSubject"/>
    <w:uiPriority w:val="99"/>
    <w:semiHidden/>
    <w:rsid w:val="00AA7998"/>
    <w:rPr>
      <w:b/>
      <w:bCs/>
      <w:sz w:val="20"/>
      <w:szCs w:val="20"/>
    </w:rPr>
  </w:style>
  <w:style w:type="paragraph" w:styleId="BalloonText">
    <w:name w:val="Balloon Text"/>
    <w:basedOn w:val="Normal"/>
    <w:link w:val="BalloonTextChar"/>
    <w:uiPriority w:val="99"/>
    <w:semiHidden/>
    <w:unhideWhenUsed/>
    <w:rsid w:val="00AA79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7998"/>
    <w:rPr>
      <w:rFonts w:ascii="Lucida Grande" w:hAnsi="Lucida Grande" w:cs="Lucida Grande"/>
      <w:sz w:val="18"/>
      <w:szCs w:val="18"/>
    </w:rPr>
  </w:style>
  <w:style w:type="character" w:styleId="PlaceholderText">
    <w:name w:val="Placeholder Text"/>
    <w:basedOn w:val="DefaultParagraphFont"/>
    <w:uiPriority w:val="99"/>
    <w:semiHidden/>
    <w:rsid w:val="001C0ED7"/>
    <w:rPr>
      <w:color w:val="808080"/>
    </w:rPr>
  </w:style>
  <w:style w:type="paragraph" w:styleId="DocumentMap">
    <w:name w:val="Document Map"/>
    <w:basedOn w:val="Normal"/>
    <w:link w:val="DocumentMapChar"/>
    <w:uiPriority w:val="99"/>
    <w:semiHidden/>
    <w:unhideWhenUsed/>
    <w:rsid w:val="003B4BC1"/>
    <w:rPr>
      <w:rFonts w:ascii="Lucida Grande" w:hAnsi="Lucida Grande" w:cs="Lucida Grande"/>
    </w:rPr>
  </w:style>
  <w:style w:type="character" w:customStyle="1" w:styleId="DocumentMapChar">
    <w:name w:val="Document Map Char"/>
    <w:basedOn w:val="DefaultParagraphFont"/>
    <w:link w:val="DocumentMap"/>
    <w:uiPriority w:val="99"/>
    <w:semiHidden/>
    <w:rsid w:val="003B4BC1"/>
    <w:rPr>
      <w:rFonts w:ascii="Lucida Grande" w:hAnsi="Lucida Grande" w:cs="Lucida Grande"/>
    </w:rPr>
  </w:style>
  <w:style w:type="paragraph" w:styleId="Caption">
    <w:name w:val="caption"/>
    <w:basedOn w:val="Normal"/>
    <w:next w:val="Normal"/>
    <w:uiPriority w:val="35"/>
    <w:unhideWhenUsed/>
    <w:qFormat/>
    <w:rsid w:val="002F5B68"/>
    <w:pPr>
      <w:spacing w:after="200"/>
    </w:pPr>
    <w:rPr>
      <w:b/>
      <w:bCs/>
      <w:color w:val="4F81BD" w:themeColor="accent1"/>
      <w:sz w:val="18"/>
      <w:szCs w:val="18"/>
    </w:rPr>
  </w:style>
  <w:style w:type="paragraph" w:styleId="Footer">
    <w:name w:val="footer"/>
    <w:basedOn w:val="Normal"/>
    <w:link w:val="FooterChar"/>
    <w:uiPriority w:val="99"/>
    <w:unhideWhenUsed/>
    <w:rsid w:val="009B78C2"/>
    <w:pPr>
      <w:tabs>
        <w:tab w:val="center" w:pos="4320"/>
        <w:tab w:val="right" w:pos="8640"/>
      </w:tabs>
    </w:pPr>
  </w:style>
  <w:style w:type="character" w:customStyle="1" w:styleId="FooterChar">
    <w:name w:val="Footer Char"/>
    <w:basedOn w:val="DefaultParagraphFont"/>
    <w:link w:val="Footer"/>
    <w:uiPriority w:val="99"/>
    <w:rsid w:val="009B78C2"/>
  </w:style>
  <w:style w:type="character" w:styleId="PageNumber">
    <w:name w:val="page number"/>
    <w:basedOn w:val="DefaultParagraphFont"/>
    <w:uiPriority w:val="99"/>
    <w:semiHidden/>
    <w:unhideWhenUsed/>
    <w:rsid w:val="009B78C2"/>
  </w:style>
  <w:style w:type="table" w:styleId="TableGrid">
    <w:name w:val="Table Grid"/>
    <w:basedOn w:val="TableNormal"/>
    <w:uiPriority w:val="59"/>
    <w:rsid w:val="00705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85E42"/>
  </w:style>
  <w:style w:type="character" w:styleId="Hyperlink">
    <w:name w:val="Hyperlink"/>
    <w:basedOn w:val="DefaultParagraphFont"/>
    <w:uiPriority w:val="99"/>
    <w:unhideWhenUsed/>
    <w:rsid w:val="008909F7"/>
    <w:rPr>
      <w:color w:val="0000FF" w:themeColor="hyperlink"/>
      <w:u w:val="single"/>
    </w:rPr>
  </w:style>
  <w:style w:type="paragraph" w:styleId="EndnoteText">
    <w:name w:val="endnote text"/>
    <w:basedOn w:val="Normal"/>
    <w:link w:val="EndnoteTextChar"/>
    <w:uiPriority w:val="99"/>
    <w:unhideWhenUsed/>
    <w:rsid w:val="00636440"/>
    <w:rPr>
      <w:sz w:val="20"/>
      <w:szCs w:val="20"/>
    </w:rPr>
  </w:style>
  <w:style w:type="character" w:customStyle="1" w:styleId="EndnoteTextChar">
    <w:name w:val="Endnote Text Char"/>
    <w:basedOn w:val="DefaultParagraphFont"/>
    <w:link w:val="EndnoteText"/>
    <w:uiPriority w:val="99"/>
    <w:rsid w:val="00636440"/>
    <w:rPr>
      <w:sz w:val="20"/>
      <w:szCs w:val="20"/>
    </w:rPr>
  </w:style>
  <w:style w:type="character" w:styleId="EndnoteReference">
    <w:name w:val="endnote reference"/>
    <w:basedOn w:val="DefaultParagraphFont"/>
    <w:uiPriority w:val="99"/>
    <w:unhideWhenUsed/>
    <w:rsid w:val="00636440"/>
    <w:rPr>
      <w:vertAlign w:val="superscript"/>
    </w:rPr>
  </w:style>
  <w:style w:type="character" w:customStyle="1" w:styleId="apple-converted-space">
    <w:name w:val="apple-converted-space"/>
    <w:basedOn w:val="DefaultParagraphFont"/>
    <w:rsid w:val="003301C7"/>
  </w:style>
  <w:style w:type="character" w:customStyle="1" w:styleId="jrnl-name">
    <w:name w:val="jrnl-name"/>
    <w:basedOn w:val="DefaultParagraphFont"/>
    <w:rsid w:val="003301C7"/>
  </w:style>
  <w:style w:type="character" w:styleId="FollowedHyperlink">
    <w:name w:val="FollowedHyperlink"/>
    <w:basedOn w:val="DefaultParagraphFont"/>
    <w:uiPriority w:val="99"/>
    <w:semiHidden/>
    <w:unhideWhenUsed/>
    <w:rsid w:val="00F9078D"/>
    <w:rPr>
      <w:color w:val="800080" w:themeColor="followedHyperlink"/>
      <w:u w:val="single"/>
    </w:rPr>
  </w:style>
  <w:style w:type="character" w:styleId="LineNumber">
    <w:name w:val="line number"/>
    <w:basedOn w:val="DefaultParagraphFont"/>
    <w:uiPriority w:val="99"/>
    <w:semiHidden/>
    <w:unhideWhenUsed/>
    <w:rsid w:val="003468C2"/>
  </w:style>
  <w:style w:type="paragraph" w:customStyle="1" w:styleId="EndNoteCategoryHeading">
    <w:name w:val="EndNote Category Heading"/>
    <w:basedOn w:val="Normal"/>
    <w:rsid w:val="00A82685"/>
    <w:pPr>
      <w:spacing w:before="120" w:after="120"/>
    </w:pPr>
    <w:rPr>
      <w:b/>
    </w:rPr>
  </w:style>
  <w:style w:type="paragraph" w:styleId="HTMLPreformatted">
    <w:name w:val="HTML Preformatted"/>
    <w:basedOn w:val="Normal"/>
    <w:link w:val="HTMLPreformattedChar"/>
    <w:uiPriority w:val="99"/>
    <w:semiHidden/>
    <w:unhideWhenUsed/>
    <w:rsid w:val="008C39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C395A"/>
    <w:rPr>
      <w:rFonts w:ascii="Consolas" w:hAnsi="Consolas" w:cs="Consolas"/>
      <w:sz w:val="20"/>
      <w:szCs w:val="20"/>
    </w:rPr>
  </w:style>
  <w:style w:type="paragraph" w:styleId="NoSpacing">
    <w:name w:val="No Spacing"/>
    <w:uiPriority w:val="1"/>
    <w:qFormat/>
    <w:rsid w:val="00FD3F7F"/>
  </w:style>
  <w:style w:type="paragraph" w:styleId="Header">
    <w:name w:val="header"/>
    <w:basedOn w:val="Normal"/>
    <w:link w:val="HeaderChar"/>
    <w:uiPriority w:val="99"/>
    <w:unhideWhenUsed/>
    <w:rsid w:val="00F1742F"/>
    <w:pPr>
      <w:tabs>
        <w:tab w:val="center" w:pos="4513"/>
        <w:tab w:val="right" w:pos="9026"/>
      </w:tabs>
    </w:pPr>
  </w:style>
  <w:style w:type="character" w:customStyle="1" w:styleId="HeaderChar">
    <w:name w:val="Header Char"/>
    <w:basedOn w:val="DefaultParagraphFont"/>
    <w:link w:val="Header"/>
    <w:uiPriority w:val="99"/>
    <w:rsid w:val="00F1742F"/>
  </w:style>
  <w:style w:type="character" w:customStyle="1" w:styleId="HeaderChar1">
    <w:name w:val="Header Char1"/>
    <w:basedOn w:val="DefaultParagraphFont"/>
    <w:uiPriority w:val="99"/>
    <w:semiHidden/>
    <w:locked/>
    <w:rsid w:val="00F1742F"/>
    <w:rPr>
      <w:rFonts w:ascii="Times New Roman" w:eastAsia="Calibri" w:hAnsi="Times New Roman" w:cs="Times New Roman"/>
    </w:rPr>
  </w:style>
  <w:style w:type="character" w:customStyle="1" w:styleId="FootnoteTextChar1">
    <w:name w:val="Footnote Text Char1"/>
    <w:uiPriority w:val="99"/>
    <w:rsid w:val="00BA3E19"/>
    <w:rPr>
      <w:sz w:val="20"/>
      <w:szCs w:val="20"/>
    </w:rPr>
  </w:style>
  <w:style w:type="table" w:customStyle="1" w:styleId="PlainTable41">
    <w:name w:val="Plain Table 41"/>
    <w:basedOn w:val="TableNormal"/>
    <w:uiPriority w:val="44"/>
    <w:rsid w:val="00002605"/>
    <w:rPr>
      <w:rFonts w:eastAsiaTheme="minorHAnsi"/>
      <w:sz w:val="22"/>
      <w:szCs w:val="22"/>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002605"/>
    <w:rPr>
      <w:rFonts w:eastAsiaTheme="minorHAnsi"/>
      <w:sz w:val="22"/>
      <w:szCs w:val="22"/>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2">
    <w:name w:val="Plain Table 42"/>
    <w:basedOn w:val="TableNormal"/>
    <w:uiPriority w:val="99"/>
    <w:rsid w:val="00002605"/>
    <w:rPr>
      <w:rFonts w:eastAsiaTheme="minorHAnsi"/>
      <w:sz w:val="22"/>
      <w:szCs w:val="22"/>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1">
    <w:name w:val="Mention1"/>
    <w:basedOn w:val="DefaultParagraphFont"/>
    <w:uiPriority w:val="99"/>
    <w:semiHidden/>
    <w:unhideWhenUsed/>
    <w:rsid w:val="00530CA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6323">
      <w:bodyDiv w:val="1"/>
      <w:marLeft w:val="0"/>
      <w:marRight w:val="0"/>
      <w:marTop w:val="0"/>
      <w:marBottom w:val="0"/>
      <w:divBdr>
        <w:top w:val="none" w:sz="0" w:space="0" w:color="auto"/>
        <w:left w:val="none" w:sz="0" w:space="0" w:color="auto"/>
        <w:bottom w:val="none" w:sz="0" w:space="0" w:color="auto"/>
        <w:right w:val="none" w:sz="0" w:space="0" w:color="auto"/>
      </w:divBdr>
    </w:div>
    <w:div w:id="30038932">
      <w:bodyDiv w:val="1"/>
      <w:marLeft w:val="0"/>
      <w:marRight w:val="0"/>
      <w:marTop w:val="0"/>
      <w:marBottom w:val="0"/>
      <w:divBdr>
        <w:top w:val="none" w:sz="0" w:space="0" w:color="auto"/>
        <w:left w:val="none" w:sz="0" w:space="0" w:color="auto"/>
        <w:bottom w:val="none" w:sz="0" w:space="0" w:color="auto"/>
        <w:right w:val="none" w:sz="0" w:space="0" w:color="auto"/>
      </w:divBdr>
    </w:div>
    <w:div w:id="66193756">
      <w:bodyDiv w:val="1"/>
      <w:marLeft w:val="0"/>
      <w:marRight w:val="0"/>
      <w:marTop w:val="0"/>
      <w:marBottom w:val="0"/>
      <w:divBdr>
        <w:top w:val="none" w:sz="0" w:space="0" w:color="auto"/>
        <w:left w:val="none" w:sz="0" w:space="0" w:color="auto"/>
        <w:bottom w:val="none" w:sz="0" w:space="0" w:color="auto"/>
        <w:right w:val="none" w:sz="0" w:space="0" w:color="auto"/>
      </w:divBdr>
    </w:div>
    <w:div w:id="75977190">
      <w:bodyDiv w:val="1"/>
      <w:marLeft w:val="0"/>
      <w:marRight w:val="0"/>
      <w:marTop w:val="0"/>
      <w:marBottom w:val="0"/>
      <w:divBdr>
        <w:top w:val="none" w:sz="0" w:space="0" w:color="auto"/>
        <w:left w:val="none" w:sz="0" w:space="0" w:color="auto"/>
        <w:bottom w:val="none" w:sz="0" w:space="0" w:color="auto"/>
        <w:right w:val="none" w:sz="0" w:space="0" w:color="auto"/>
      </w:divBdr>
    </w:div>
    <w:div w:id="106046478">
      <w:bodyDiv w:val="1"/>
      <w:marLeft w:val="0"/>
      <w:marRight w:val="0"/>
      <w:marTop w:val="0"/>
      <w:marBottom w:val="0"/>
      <w:divBdr>
        <w:top w:val="none" w:sz="0" w:space="0" w:color="auto"/>
        <w:left w:val="none" w:sz="0" w:space="0" w:color="auto"/>
        <w:bottom w:val="none" w:sz="0" w:space="0" w:color="auto"/>
        <w:right w:val="none" w:sz="0" w:space="0" w:color="auto"/>
      </w:divBdr>
    </w:div>
    <w:div w:id="110830220">
      <w:bodyDiv w:val="1"/>
      <w:marLeft w:val="0"/>
      <w:marRight w:val="0"/>
      <w:marTop w:val="0"/>
      <w:marBottom w:val="0"/>
      <w:divBdr>
        <w:top w:val="none" w:sz="0" w:space="0" w:color="auto"/>
        <w:left w:val="none" w:sz="0" w:space="0" w:color="auto"/>
        <w:bottom w:val="none" w:sz="0" w:space="0" w:color="auto"/>
        <w:right w:val="none" w:sz="0" w:space="0" w:color="auto"/>
      </w:divBdr>
    </w:div>
    <w:div w:id="143592810">
      <w:bodyDiv w:val="1"/>
      <w:marLeft w:val="0"/>
      <w:marRight w:val="0"/>
      <w:marTop w:val="0"/>
      <w:marBottom w:val="0"/>
      <w:divBdr>
        <w:top w:val="none" w:sz="0" w:space="0" w:color="auto"/>
        <w:left w:val="none" w:sz="0" w:space="0" w:color="auto"/>
        <w:bottom w:val="none" w:sz="0" w:space="0" w:color="auto"/>
        <w:right w:val="none" w:sz="0" w:space="0" w:color="auto"/>
      </w:divBdr>
      <w:divsChild>
        <w:div w:id="1597904200">
          <w:marLeft w:val="0"/>
          <w:marRight w:val="0"/>
          <w:marTop w:val="0"/>
          <w:marBottom w:val="0"/>
          <w:divBdr>
            <w:top w:val="none" w:sz="0" w:space="0" w:color="auto"/>
            <w:left w:val="none" w:sz="0" w:space="0" w:color="auto"/>
            <w:bottom w:val="none" w:sz="0" w:space="0" w:color="auto"/>
            <w:right w:val="none" w:sz="0" w:space="0" w:color="auto"/>
          </w:divBdr>
          <w:divsChild>
            <w:div w:id="1596135295">
              <w:marLeft w:val="0"/>
              <w:marRight w:val="0"/>
              <w:marTop w:val="0"/>
              <w:marBottom w:val="0"/>
              <w:divBdr>
                <w:top w:val="none" w:sz="0" w:space="0" w:color="auto"/>
                <w:left w:val="none" w:sz="0" w:space="0" w:color="auto"/>
                <w:bottom w:val="none" w:sz="0" w:space="0" w:color="auto"/>
                <w:right w:val="none" w:sz="0" w:space="0" w:color="auto"/>
              </w:divBdr>
              <w:divsChild>
                <w:div w:id="27953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25149">
      <w:bodyDiv w:val="1"/>
      <w:marLeft w:val="0"/>
      <w:marRight w:val="0"/>
      <w:marTop w:val="0"/>
      <w:marBottom w:val="0"/>
      <w:divBdr>
        <w:top w:val="none" w:sz="0" w:space="0" w:color="auto"/>
        <w:left w:val="none" w:sz="0" w:space="0" w:color="auto"/>
        <w:bottom w:val="none" w:sz="0" w:space="0" w:color="auto"/>
        <w:right w:val="none" w:sz="0" w:space="0" w:color="auto"/>
      </w:divBdr>
    </w:div>
    <w:div w:id="157769682">
      <w:bodyDiv w:val="1"/>
      <w:marLeft w:val="0"/>
      <w:marRight w:val="0"/>
      <w:marTop w:val="0"/>
      <w:marBottom w:val="0"/>
      <w:divBdr>
        <w:top w:val="none" w:sz="0" w:space="0" w:color="auto"/>
        <w:left w:val="none" w:sz="0" w:space="0" w:color="auto"/>
        <w:bottom w:val="none" w:sz="0" w:space="0" w:color="auto"/>
        <w:right w:val="none" w:sz="0" w:space="0" w:color="auto"/>
      </w:divBdr>
    </w:div>
    <w:div w:id="185871182">
      <w:bodyDiv w:val="1"/>
      <w:marLeft w:val="0"/>
      <w:marRight w:val="0"/>
      <w:marTop w:val="0"/>
      <w:marBottom w:val="0"/>
      <w:divBdr>
        <w:top w:val="none" w:sz="0" w:space="0" w:color="auto"/>
        <w:left w:val="none" w:sz="0" w:space="0" w:color="auto"/>
        <w:bottom w:val="none" w:sz="0" w:space="0" w:color="auto"/>
        <w:right w:val="none" w:sz="0" w:space="0" w:color="auto"/>
      </w:divBdr>
    </w:div>
    <w:div w:id="194317872">
      <w:bodyDiv w:val="1"/>
      <w:marLeft w:val="0"/>
      <w:marRight w:val="0"/>
      <w:marTop w:val="0"/>
      <w:marBottom w:val="0"/>
      <w:divBdr>
        <w:top w:val="none" w:sz="0" w:space="0" w:color="auto"/>
        <w:left w:val="none" w:sz="0" w:space="0" w:color="auto"/>
        <w:bottom w:val="none" w:sz="0" w:space="0" w:color="auto"/>
        <w:right w:val="none" w:sz="0" w:space="0" w:color="auto"/>
      </w:divBdr>
      <w:divsChild>
        <w:div w:id="212935916">
          <w:marLeft w:val="0"/>
          <w:marRight w:val="0"/>
          <w:marTop w:val="0"/>
          <w:marBottom w:val="0"/>
          <w:divBdr>
            <w:top w:val="none" w:sz="0" w:space="0" w:color="auto"/>
            <w:left w:val="none" w:sz="0" w:space="0" w:color="auto"/>
            <w:bottom w:val="none" w:sz="0" w:space="0" w:color="auto"/>
            <w:right w:val="none" w:sz="0" w:space="0" w:color="auto"/>
          </w:divBdr>
        </w:div>
        <w:div w:id="470946751">
          <w:marLeft w:val="0"/>
          <w:marRight w:val="0"/>
          <w:marTop w:val="0"/>
          <w:marBottom w:val="0"/>
          <w:divBdr>
            <w:top w:val="none" w:sz="0" w:space="0" w:color="auto"/>
            <w:left w:val="none" w:sz="0" w:space="0" w:color="auto"/>
            <w:bottom w:val="none" w:sz="0" w:space="0" w:color="auto"/>
            <w:right w:val="none" w:sz="0" w:space="0" w:color="auto"/>
          </w:divBdr>
        </w:div>
        <w:div w:id="1212696094">
          <w:marLeft w:val="0"/>
          <w:marRight w:val="0"/>
          <w:marTop w:val="0"/>
          <w:marBottom w:val="0"/>
          <w:divBdr>
            <w:top w:val="none" w:sz="0" w:space="0" w:color="auto"/>
            <w:left w:val="none" w:sz="0" w:space="0" w:color="auto"/>
            <w:bottom w:val="none" w:sz="0" w:space="0" w:color="auto"/>
            <w:right w:val="none" w:sz="0" w:space="0" w:color="auto"/>
          </w:divBdr>
        </w:div>
      </w:divsChild>
    </w:div>
    <w:div w:id="221984403">
      <w:bodyDiv w:val="1"/>
      <w:marLeft w:val="0"/>
      <w:marRight w:val="0"/>
      <w:marTop w:val="0"/>
      <w:marBottom w:val="0"/>
      <w:divBdr>
        <w:top w:val="none" w:sz="0" w:space="0" w:color="auto"/>
        <w:left w:val="none" w:sz="0" w:space="0" w:color="auto"/>
        <w:bottom w:val="none" w:sz="0" w:space="0" w:color="auto"/>
        <w:right w:val="none" w:sz="0" w:space="0" w:color="auto"/>
      </w:divBdr>
    </w:div>
    <w:div w:id="241598298">
      <w:bodyDiv w:val="1"/>
      <w:marLeft w:val="0"/>
      <w:marRight w:val="0"/>
      <w:marTop w:val="0"/>
      <w:marBottom w:val="0"/>
      <w:divBdr>
        <w:top w:val="none" w:sz="0" w:space="0" w:color="auto"/>
        <w:left w:val="none" w:sz="0" w:space="0" w:color="auto"/>
        <w:bottom w:val="none" w:sz="0" w:space="0" w:color="auto"/>
        <w:right w:val="none" w:sz="0" w:space="0" w:color="auto"/>
      </w:divBdr>
    </w:div>
    <w:div w:id="260799743">
      <w:bodyDiv w:val="1"/>
      <w:marLeft w:val="0"/>
      <w:marRight w:val="0"/>
      <w:marTop w:val="0"/>
      <w:marBottom w:val="0"/>
      <w:divBdr>
        <w:top w:val="none" w:sz="0" w:space="0" w:color="auto"/>
        <w:left w:val="none" w:sz="0" w:space="0" w:color="auto"/>
        <w:bottom w:val="none" w:sz="0" w:space="0" w:color="auto"/>
        <w:right w:val="none" w:sz="0" w:space="0" w:color="auto"/>
      </w:divBdr>
    </w:div>
    <w:div w:id="263729231">
      <w:bodyDiv w:val="1"/>
      <w:marLeft w:val="0"/>
      <w:marRight w:val="0"/>
      <w:marTop w:val="0"/>
      <w:marBottom w:val="0"/>
      <w:divBdr>
        <w:top w:val="none" w:sz="0" w:space="0" w:color="auto"/>
        <w:left w:val="none" w:sz="0" w:space="0" w:color="auto"/>
        <w:bottom w:val="none" w:sz="0" w:space="0" w:color="auto"/>
        <w:right w:val="none" w:sz="0" w:space="0" w:color="auto"/>
      </w:divBdr>
    </w:div>
    <w:div w:id="302349277">
      <w:bodyDiv w:val="1"/>
      <w:marLeft w:val="0"/>
      <w:marRight w:val="0"/>
      <w:marTop w:val="0"/>
      <w:marBottom w:val="0"/>
      <w:divBdr>
        <w:top w:val="none" w:sz="0" w:space="0" w:color="auto"/>
        <w:left w:val="none" w:sz="0" w:space="0" w:color="auto"/>
        <w:bottom w:val="none" w:sz="0" w:space="0" w:color="auto"/>
        <w:right w:val="none" w:sz="0" w:space="0" w:color="auto"/>
      </w:divBdr>
    </w:div>
    <w:div w:id="351876760">
      <w:bodyDiv w:val="1"/>
      <w:marLeft w:val="0"/>
      <w:marRight w:val="0"/>
      <w:marTop w:val="0"/>
      <w:marBottom w:val="0"/>
      <w:divBdr>
        <w:top w:val="none" w:sz="0" w:space="0" w:color="auto"/>
        <w:left w:val="none" w:sz="0" w:space="0" w:color="auto"/>
        <w:bottom w:val="none" w:sz="0" w:space="0" w:color="auto"/>
        <w:right w:val="none" w:sz="0" w:space="0" w:color="auto"/>
      </w:divBdr>
    </w:div>
    <w:div w:id="368341958">
      <w:bodyDiv w:val="1"/>
      <w:marLeft w:val="0"/>
      <w:marRight w:val="0"/>
      <w:marTop w:val="0"/>
      <w:marBottom w:val="0"/>
      <w:divBdr>
        <w:top w:val="none" w:sz="0" w:space="0" w:color="auto"/>
        <w:left w:val="none" w:sz="0" w:space="0" w:color="auto"/>
        <w:bottom w:val="none" w:sz="0" w:space="0" w:color="auto"/>
        <w:right w:val="none" w:sz="0" w:space="0" w:color="auto"/>
      </w:divBdr>
    </w:div>
    <w:div w:id="375783870">
      <w:bodyDiv w:val="1"/>
      <w:marLeft w:val="0"/>
      <w:marRight w:val="0"/>
      <w:marTop w:val="0"/>
      <w:marBottom w:val="0"/>
      <w:divBdr>
        <w:top w:val="none" w:sz="0" w:space="0" w:color="auto"/>
        <w:left w:val="none" w:sz="0" w:space="0" w:color="auto"/>
        <w:bottom w:val="none" w:sz="0" w:space="0" w:color="auto"/>
        <w:right w:val="none" w:sz="0" w:space="0" w:color="auto"/>
      </w:divBdr>
    </w:div>
    <w:div w:id="397753340">
      <w:bodyDiv w:val="1"/>
      <w:marLeft w:val="0"/>
      <w:marRight w:val="0"/>
      <w:marTop w:val="0"/>
      <w:marBottom w:val="0"/>
      <w:divBdr>
        <w:top w:val="none" w:sz="0" w:space="0" w:color="auto"/>
        <w:left w:val="none" w:sz="0" w:space="0" w:color="auto"/>
        <w:bottom w:val="none" w:sz="0" w:space="0" w:color="auto"/>
        <w:right w:val="none" w:sz="0" w:space="0" w:color="auto"/>
      </w:divBdr>
    </w:div>
    <w:div w:id="438572268">
      <w:bodyDiv w:val="1"/>
      <w:marLeft w:val="0"/>
      <w:marRight w:val="0"/>
      <w:marTop w:val="0"/>
      <w:marBottom w:val="0"/>
      <w:divBdr>
        <w:top w:val="none" w:sz="0" w:space="0" w:color="auto"/>
        <w:left w:val="none" w:sz="0" w:space="0" w:color="auto"/>
        <w:bottom w:val="none" w:sz="0" w:space="0" w:color="auto"/>
        <w:right w:val="none" w:sz="0" w:space="0" w:color="auto"/>
      </w:divBdr>
      <w:divsChild>
        <w:div w:id="325942416">
          <w:marLeft w:val="0"/>
          <w:marRight w:val="0"/>
          <w:marTop w:val="0"/>
          <w:marBottom w:val="0"/>
          <w:divBdr>
            <w:top w:val="none" w:sz="0" w:space="0" w:color="auto"/>
            <w:left w:val="none" w:sz="0" w:space="0" w:color="auto"/>
            <w:bottom w:val="none" w:sz="0" w:space="0" w:color="auto"/>
            <w:right w:val="none" w:sz="0" w:space="0" w:color="auto"/>
          </w:divBdr>
        </w:div>
        <w:div w:id="412632403">
          <w:marLeft w:val="0"/>
          <w:marRight w:val="0"/>
          <w:marTop w:val="0"/>
          <w:marBottom w:val="0"/>
          <w:divBdr>
            <w:top w:val="none" w:sz="0" w:space="0" w:color="auto"/>
            <w:left w:val="none" w:sz="0" w:space="0" w:color="auto"/>
            <w:bottom w:val="none" w:sz="0" w:space="0" w:color="auto"/>
            <w:right w:val="none" w:sz="0" w:space="0" w:color="auto"/>
          </w:divBdr>
        </w:div>
        <w:div w:id="1165513444">
          <w:marLeft w:val="0"/>
          <w:marRight w:val="0"/>
          <w:marTop w:val="0"/>
          <w:marBottom w:val="0"/>
          <w:divBdr>
            <w:top w:val="none" w:sz="0" w:space="0" w:color="auto"/>
            <w:left w:val="none" w:sz="0" w:space="0" w:color="auto"/>
            <w:bottom w:val="none" w:sz="0" w:space="0" w:color="auto"/>
            <w:right w:val="none" w:sz="0" w:space="0" w:color="auto"/>
          </w:divBdr>
        </w:div>
      </w:divsChild>
    </w:div>
    <w:div w:id="442770034">
      <w:bodyDiv w:val="1"/>
      <w:marLeft w:val="0"/>
      <w:marRight w:val="0"/>
      <w:marTop w:val="0"/>
      <w:marBottom w:val="0"/>
      <w:divBdr>
        <w:top w:val="none" w:sz="0" w:space="0" w:color="auto"/>
        <w:left w:val="none" w:sz="0" w:space="0" w:color="auto"/>
        <w:bottom w:val="none" w:sz="0" w:space="0" w:color="auto"/>
        <w:right w:val="none" w:sz="0" w:space="0" w:color="auto"/>
      </w:divBdr>
    </w:div>
    <w:div w:id="443228740">
      <w:bodyDiv w:val="1"/>
      <w:marLeft w:val="0"/>
      <w:marRight w:val="0"/>
      <w:marTop w:val="0"/>
      <w:marBottom w:val="0"/>
      <w:divBdr>
        <w:top w:val="none" w:sz="0" w:space="0" w:color="auto"/>
        <w:left w:val="none" w:sz="0" w:space="0" w:color="auto"/>
        <w:bottom w:val="none" w:sz="0" w:space="0" w:color="auto"/>
        <w:right w:val="none" w:sz="0" w:space="0" w:color="auto"/>
      </w:divBdr>
    </w:div>
    <w:div w:id="445079049">
      <w:bodyDiv w:val="1"/>
      <w:marLeft w:val="0"/>
      <w:marRight w:val="0"/>
      <w:marTop w:val="0"/>
      <w:marBottom w:val="0"/>
      <w:divBdr>
        <w:top w:val="none" w:sz="0" w:space="0" w:color="auto"/>
        <w:left w:val="none" w:sz="0" w:space="0" w:color="auto"/>
        <w:bottom w:val="none" w:sz="0" w:space="0" w:color="auto"/>
        <w:right w:val="none" w:sz="0" w:space="0" w:color="auto"/>
      </w:divBdr>
    </w:div>
    <w:div w:id="445659957">
      <w:bodyDiv w:val="1"/>
      <w:marLeft w:val="0"/>
      <w:marRight w:val="0"/>
      <w:marTop w:val="0"/>
      <w:marBottom w:val="0"/>
      <w:divBdr>
        <w:top w:val="none" w:sz="0" w:space="0" w:color="auto"/>
        <w:left w:val="none" w:sz="0" w:space="0" w:color="auto"/>
        <w:bottom w:val="none" w:sz="0" w:space="0" w:color="auto"/>
        <w:right w:val="none" w:sz="0" w:space="0" w:color="auto"/>
      </w:divBdr>
    </w:div>
    <w:div w:id="455638984">
      <w:bodyDiv w:val="1"/>
      <w:marLeft w:val="0"/>
      <w:marRight w:val="0"/>
      <w:marTop w:val="0"/>
      <w:marBottom w:val="0"/>
      <w:divBdr>
        <w:top w:val="none" w:sz="0" w:space="0" w:color="auto"/>
        <w:left w:val="none" w:sz="0" w:space="0" w:color="auto"/>
        <w:bottom w:val="none" w:sz="0" w:space="0" w:color="auto"/>
        <w:right w:val="none" w:sz="0" w:space="0" w:color="auto"/>
      </w:divBdr>
    </w:div>
    <w:div w:id="476843480">
      <w:bodyDiv w:val="1"/>
      <w:marLeft w:val="0"/>
      <w:marRight w:val="0"/>
      <w:marTop w:val="0"/>
      <w:marBottom w:val="0"/>
      <w:divBdr>
        <w:top w:val="none" w:sz="0" w:space="0" w:color="auto"/>
        <w:left w:val="none" w:sz="0" w:space="0" w:color="auto"/>
        <w:bottom w:val="none" w:sz="0" w:space="0" w:color="auto"/>
        <w:right w:val="none" w:sz="0" w:space="0" w:color="auto"/>
      </w:divBdr>
    </w:div>
    <w:div w:id="523833981">
      <w:bodyDiv w:val="1"/>
      <w:marLeft w:val="0"/>
      <w:marRight w:val="0"/>
      <w:marTop w:val="0"/>
      <w:marBottom w:val="0"/>
      <w:divBdr>
        <w:top w:val="none" w:sz="0" w:space="0" w:color="auto"/>
        <w:left w:val="none" w:sz="0" w:space="0" w:color="auto"/>
        <w:bottom w:val="none" w:sz="0" w:space="0" w:color="auto"/>
        <w:right w:val="none" w:sz="0" w:space="0" w:color="auto"/>
      </w:divBdr>
    </w:div>
    <w:div w:id="539366389">
      <w:bodyDiv w:val="1"/>
      <w:marLeft w:val="0"/>
      <w:marRight w:val="0"/>
      <w:marTop w:val="0"/>
      <w:marBottom w:val="0"/>
      <w:divBdr>
        <w:top w:val="none" w:sz="0" w:space="0" w:color="auto"/>
        <w:left w:val="none" w:sz="0" w:space="0" w:color="auto"/>
        <w:bottom w:val="none" w:sz="0" w:space="0" w:color="auto"/>
        <w:right w:val="none" w:sz="0" w:space="0" w:color="auto"/>
      </w:divBdr>
    </w:div>
    <w:div w:id="547687708">
      <w:bodyDiv w:val="1"/>
      <w:marLeft w:val="0"/>
      <w:marRight w:val="0"/>
      <w:marTop w:val="0"/>
      <w:marBottom w:val="0"/>
      <w:divBdr>
        <w:top w:val="none" w:sz="0" w:space="0" w:color="auto"/>
        <w:left w:val="none" w:sz="0" w:space="0" w:color="auto"/>
        <w:bottom w:val="none" w:sz="0" w:space="0" w:color="auto"/>
        <w:right w:val="none" w:sz="0" w:space="0" w:color="auto"/>
      </w:divBdr>
    </w:div>
    <w:div w:id="588389688">
      <w:bodyDiv w:val="1"/>
      <w:marLeft w:val="0"/>
      <w:marRight w:val="0"/>
      <w:marTop w:val="0"/>
      <w:marBottom w:val="0"/>
      <w:divBdr>
        <w:top w:val="none" w:sz="0" w:space="0" w:color="auto"/>
        <w:left w:val="none" w:sz="0" w:space="0" w:color="auto"/>
        <w:bottom w:val="none" w:sz="0" w:space="0" w:color="auto"/>
        <w:right w:val="none" w:sz="0" w:space="0" w:color="auto"/>
      </w:divBdr>
    </w:div>
    <w:div w:id="594287022">
      <w:bodyDiv w:val="1"/>
      <w:marLeft w:val="0"/>
      <w:marRight w:val="0"/>
      <w:marTop w:val="0"/>
      <w:marBottom w:val="0"/>
      <w:divBdr>
        <w:top w:val="none" w:sz="0" w:space="0" w:color="auto"/>
        <w:left w:val="none" w:sz="0" w:space="0" w:color="auto"/>
        <w:bottom w:val="none" w:sz="0" w:space="0" w:color="auto"/>
        <w:right w:val="none" w:sz="0" w:space="0" w:color="auto"/>
      </w:divBdr>
    </w:div>
    <w:div w:id="599219836">
      <w:bodyDiv w:val="1"/>
      <w:marLeft w:val="0"/>
      <w:marRight w:val="0"/>
      <w:marTop w:val="0"/>
      <w:marBottom w:val="0"/>
      <w:divBdr>
        <w:top w:val="none" w:sz="0" w:space="0" w:color="auto"/>
        <w:left w:val="none" w:sz="0" w:space="0" w:color="auto"/>
        <w:bottom w:val="none" w:sz="0" w:space="0" w:color="auto"/>
        <w:right w:val="none" w:sz="0" w:space="0" w:color="auto"/>
      </w:divBdr>
    </w:div>
    <w:div w:id="602342900">
      <w:bodyDiv w:val="1"/>
      <w:marLeft w:val="0"/>
      <w:marRight w:val="0"/>
      <w:marTop w:val="0"/>
      <w:marBottom w:val="0"/>
      <w:divBdr>
        <w:top w:val="none" w:sz="0" w:space="0" w:color="auto"/>
        <w:left w:val="none" w:sz="0" w:space="0" w:color="auto"/>
        <w:bottom w:val="none" w:sz="0" w:space="0" w:color="auto"/>
        <w:right w:val="none" w:sz="0" w:space="0" w:color="auto"/>
      </w:divBdr>
    </w:div>
    <w:div w:id="611090244">
      <w:bodyDiv w:val="1"/>
      <w:marLeft w:val="0"/>
      <w:marRight w:val="0"/>
      <w:marTop w:val="0"/>
      <w:marBottom w:val="0"/>
      <w:divBdr>
        <w:top w:val="none" w:sz="0" w:space="0" w:color="auto"/>
        <w:left w:val="none" w:sz="0" w:space="0" w:color="auto"/>
        <w:bottom w:val="none" w:sz="0" w:space="0" w:color="auto"/>
        <w:right w:val="none" w:sz="0" w:space="0" w:color="auto"/>
      </w:divBdr>
    </w:div>
    <w:div w:id="611714490">
      <w:bodyDiv w:val="1"/>
      <w:marLeft w:val="0"/>
      <w:marRight w:val="0"/>
      <w:marTop w:val="0"/>
      <w:marBottom w:val="0"/>
      <w:divBdr>
        <w:top w:val="none" w:sz="0" w:space="0" w:color="auto"/>
        <w:left w:val="none" w:sz="0" w:space="0" w:color="auto"/>
        <w:bottom w:val="none" w:sz="0" w:space="0" w:color="auto"/>
        <w:right w:val="none" w:sz="0" w:space="0" w:color="auto"/>
      </w:divBdr>
    </w:div>
    <w:div w:id="716205567">
      <w:bodyDiv w:val="1"/>
      <w:marLeft w:val="0"/>
      <w:marRight w:val="0"/>
      <w:marTop w:val="0"/>
      <w:marBottom w:val="0"/>
      <w:divBdr>
        <w:top w:val="none" w:sz="0" w:space="0" w:color="auto"/>
        <w:left w:val="none" w:sz="0" w:space="0" w:color="auto"/>
        <w:bottom w:val="none" w:sz="0" w:space="0" w:color="auto"/>
        <w:right w:val="none" w:sz="0" w:space="0" w:color="auto"/>
      </w:divBdr>
    </w:div>
    <w:div w:id="752358054">
      <w:bodyDiv w:val="1"/>
      <w:marLeft w:val="0"/>
      <w:marRight w:val="0"/>
      <w:marTop w:val="0"/>
      <w:marBottom w:val="0"/>
      <w:divBdr>
        <w:top w:val="none" w:sz="0" w:space="0" w:color="auto"/>
        <w:left w:val="none" w:sz="0" w:space="0" w:color="auto"/>
        <w:bottom w:val="none" w:sz="0" w:space="0" w:color="auto"/>
        <w:right w:val="none" w:sz="0" w:space="0" w:color="auto"/>
      </w:divBdr>
    </w:div>
    <w:div w:id="770122384">
      <w:bodyDiv w:val="1"/>
      <w:marLeft w:val="0"/>
      <w:marRight w:val="0"/>
      <w:marTop w:val="0"/>
      <w:marBottom w:val="0"/>
      <w:divBdr>
        <w:top w:val="none" w:sz="0" w:space="0" w:color="auto"/>
        <w:left w:val="none" w:sz="0" w:space="0" w:color="auto"/>
        <w:bottom w:val="none" w:sz="0" w:space="0" w:color="auto"/>
        <w:right w:val="none" w:sz="0" w:space="0" w:color="auto"/>
      </w:divBdr>
    </w:div>
    <w:div w:id="777680253">
      <w:bodyDiv w:val="1"/>
      <w:marLeft w:val="0"/>
      <w:marRight w:val="0"/>
      <w:marTop w:val="0"/>
      <w:marBottom w:val="0"/>
      <w:divBdr>
        <w:top w:val="none" w:sz="0" w:space="0" w:color="auto"/>
        <w:left w:val="none" w:sz="0" w:space="0" w:color="auto"/>
        <w:bottom w:val="none" w:sz="0" w:space="0" w:color="auto"/>
        <w:right w:val="none" w:sz="0" w:space="0" w:color="auto"/>
      </w:divBdr>
    </w:div>
    <w:div w:id="786313738">
      <w:bodyDiv w:val="1"/>
      <w:marLeft w:val="0"/>
      <w:marRight w:val="0"/>
      <w:marTop w:val="0"/>
      <w:marBottom w:val="0"/>
      <w:divBdr>
        <w:top w:val="none" w:sz="0" w:space="0" w:color="auto"/>
        <w:left w:val="none" w:sz="0" w:space="0" w:color="auto"/>
        <w:bottom w:val="none" w:sz="0" w:space="0" w:color="auto"/>
        <w:right w:val="none" w:sz="0" w:space="0" w:color="auto"/>
      </w:divBdr>
    </w:div>
    <w:div w:id="806049370">
      <w:bodyDiv w:val="1"/>
      <w:marLeft w:val="0"/>
      <w:marRight w:val="0"/>
      <w:marTop w:val="0"/>
      <w:marBottom w:val="0"/>
      <w:divBdr>
        <w:top w:val="none" w:sz="0" w:space="0" w:color="auto"/>
        <w:left w:val="none" w:sz="0" w:space="0" w:color="auto"/>
        <w:bottom w:val="none" w:sz="0" w:space="0" w:color="auto"/>
        <w:right w:val="none" w:sz="0" w:space="0" w:color="auto"/>
      </w:divBdr>
    </w:div>
    <w:div w:id="815680178">
      <w:bodyDiv w:val="1"/>
      <w:marLeft w:val="0"/>
      <w:marRight w:val="0"/>
      <w:marTop w:val="0"/>
      <w:marBottom w:val="0"/>
      <w:divBdr>
        <w:top w:val="none" w:sz="0" w:space="0" w:color="auto"/>
        <w:left w:val="none" w:sz="0" w:space="0" w:color="auto"/>
        <w:bottom w:val="none" w:sz="0" w:space="0" w:color="auto"/>
        <w:right w:val="none" w:sz="0" w:space="0" w:color="auto"/>
      </w:divBdr>
    </w:div>
    <w:div w:id="817527715">
      <w:bodyDiv w:val="1"/>
      <w:marLeft w:val="0"/>
      <w:marRight w:val="0"/>
      <w:marTop w:val="0"/>
      <w:marBottom w:val="0"/>
      <w:divBdr>
        <w:top w:val="none" w:sz="0" w:space="0" w:color="auto"/>
        <w:left w:val="none" w:sz="0" w:space="0" w:color="auto"/>
        <w:bottom w:val="none" w:sz="0" w:space="0" w:color="auto"/>
        <w:right w:val="none" w:sz="0" w:space="0" w:color="auto"/>
      </w:divBdr>
    </w:div>
    <w:div w:id="837307207">
      <w:bodyDiv w:val="1"/>
      <w:marLeft w:val="0"/>
      <w:marRight w:val="0"/>
      <w:marTop w:val="0"/>
      <w:marBottom w:val="0"/>
      <w:divBdr>
        <w:top w:val="none" w:sz="0" w:space="0" w:color="auto"/>
        <w:left w:val="none" w:sz="0" w:space="0" w:color="auto"/>
        <w:bottom w:val="none" w:sz="0" w:space="0" w:color="auto"/>
        <w:right w:val="none" w:sz="0" w:space="0" w:color="auto"/>
      </w:divBdr>
    </w:div>
    <w:div w:id="947275932">
      <w:bodyDiv w:val="1"/>
      <w:marLeft w:val="0"/>
      <w:marRight w:val="0"/>
      <w:marTop w:val="0"/>
      <w:marBottom w:val="0"/>
      <w:divBdr>
        <w:top w:val="none" w:sz="0" w:space="0" w:color="auto"/>
        <w:left w:val="none" w:sz="0" w:space="0" w:color="auto"/>
        <w:bottom w:val="none" w:sz="0" w:space="0" w:color="auto"/>
        <w:right w:val="none" w:sz="0" w:space="0" w:color="auto"/>
      </w:divBdr>
    </w:div>
    <w:div w:id="966425644">
      <w:bodyDiv w:val="1"/>
      <w:marLeft w:val="0"/>
      <w:marRight w:val="0"/>
      <w:marTop w:val="0"/>
      <w:marBottom w:val="0"/>
      <w:divBdr>
        <w:top w:val="none" w:sz="0" w:space="0" w:color="auto"/>
        <w:left w:val="none" w:sz="0" w:space="0" w:color="auto"/>
        <w:bottom w:val="none" w:sz="0" w:space="0" w:color="auto"/>
        <w:right w:val="none" w:sz="0" w:space="0" w:color="auto"/>
      </w:divBdr>
    </w:div>
    <w:div w:id="991981171">
      <w:bodyDiv w:val="1"/>
      <w:marLeft w:val="0"/>
      <w:marRight w:val="0"/>
      <w:marTop w:val="0"/>
      <w:marBottom w:val="0"/>
      <w:divBdr>
        <w:top w:val="none" w:sz="0" w:space="0" w:color="auto"/>
        <w:left w:val="none" w:sz="0" w:space="0" w:color="auto"/>
        <w:bottom w:val="none" w:sz="0" w:space="0" w:color="auto"/>
        <w:right w:val="none" w:sz="0" w:space="0" w:color="auto"/>
      </w:divBdr>
    </w:div>
    <w:div w:id="1004092969">
      <w:bodyDiv w:val="1"/>
      <w:marLeft w:val="0"/>
      <w:marRight w:val="0"/>
      <w:marTop w:val="0"/>
      <w:marBottom w:val="0"/>
      <w:divBdr>
        <w:top w:val="none" w:sz="0" w:space="0" w:color="auto"/>
        <w:left w:val="none" w:sz="0" w:space="0" w:color="auto"/>
        <w:bottom w:val="none" w:sz="0" w:space="0" w:color="auto"/>
        <w:right w:val="none" w:sz="0" w:space="0" w:color="auto"/>
      </w:divBdr>
    </w:div>
    <w:div w:id="1040979926">
      <w:bodyDiv w:val="1"/>
      <w:marLeft w:val="0"/>
      <w:marRight w:val="0"/>
      <w:marTop w:val="0"/>
      <w:marBottom w:val="0"/>
      <w:divBdr>
        <w:top w:val="none" w:sz="0" w:space="0" w:color="auto"/>
        <w:left w:val="none" w:sz="0" w:space="0" w:color="auto"/>
        <w:bottom w:val="none" w:sz="0" w:space="0" w:color="auto"/>
        <w:right w:val="none" w:sz="0" w:space="0" w:color="auto"/>
      </w:divBdr>
    </w:div>
    <w:div w:id="1054037653">
      <w:bodyDiv w:val="1"/>
      <w:marLeft w:val="0"/>
      <w:marRight w:val="0"/>
      <w:marTop w:val="0"/>
      <w:marBottom w:val="0"/>
      <w:divBdr>
        <w:top w:val="none" w:sz="0" w:space="0" w:color="auto"/>
        <w:left w:val="none" w:sz="0" w:space="0" w:color="auto"/>
        <w:bottom w:val="none" w:sz="0" w:space="0" w:color="auto"/>
        <w:right w:val="none" w:sz="0" w:space="0" w:color="auto"/>
      </w:divBdr>
    </w:div>
    <w:div w:id="1057435100">
      <w:bodyDiv w:val="1"/>
      <w:marLeft w:val="0"/>
      <w:marRight w:val="0"/>
      <w:marTop w:val="0"/>
      <w:marBottom w:val="0"/>
      <w:divBdr>
        <w:top w:val="none" w:sz="0" w:space="0" w:color="auto"/>
        <w:left w:val="none" w:sz="0" w:space="0" w:color="auto"/>
        <w:bottom w:val="none" w:sz="0" w:space="0" w:color="auto"/>
        <w:right w:val="none" w:sz="0" w:space="0" w:color="auto"/>
      </w:divBdr>
    </w:div>
    <w:div w:id="1065647035">
      <w:bodyDiv w:val="1"/>
      <w:marLeft w:val="0"/>
      <w:marRight w:val="0"/>
      <w:marTop w:val="0"/>
      <w:marBottom w:val="0"/>
      <w:divBdr>
        <w:top w:val="none" w:sz="0" w:space="0" w:color="auto"/>
        <w:left w:val="none" w:sz="0" w:space="0" w:color="auto"/>
        <w:bottom w:val="none" w:sz="0" w:space="0" w:color="auto"/>
        <w:right w:val="none" w:sz="0" w:space="0" w:color="auto"/>
      </w:divBdr>
    </w:div>
    <w:div w:id="1106652567">
      <w:bodyDiv w:val="1"/>
      <w:marLeft w:val="0"/>
      <w:marRight w:val="0"/>
      <w:marTop w:val="0"/>
      <w:marBottom w:val="0"/>
      <w:divBdr>
        <w:top w:val="none" w:sz="0" w:space="0" w:color="auto"/>
        <w:left w:val="none" w:sz="0" w:space="0" w:color="auto"/>
        <w:bottom w:val="none" w:sz="0" w:space="0" w:color="auto"/>
        <w:right w:val="none" w:sz="0" w:space="0" w:color="auto"/>
      </w:divBdr>
    </w:div>
    <w:div w:id="1160536215">
      <w:bodyDiv w:val="1"/>
      <w:marLeft w:val="0"/>
      <w:marRight w:val="0"/>
      <w:marTop w:val="0"/>
      <w:marBottom w:val="0"/>
      <w:divBdr>
        <w:top w:val="none" w:sz="0" w:space="0" w:color="auto"/>
        <w:left w:val="none" w:sz="0" w:space="0" w:color="auto"/>
        <w:bottom w:val="none" w:sz="0" w:space="0" w:color="auto"/>
        <w:right w:val="none" w:sz="0" w:space="0" w:color="auto"/>
      </w:divBdr>
    </w:div>
    <w:div w:id="1168251592">
      <w:bodyDiv w:val="1"/>
      <w:marLeft w:val="0"/>
      <w:marRight w:val="0"/>
      <w:marTop w:val="0"/>
      <w:marBottom w:val="0"/>
      <w:divBdr>
        <w:top w:val="none" w:sz="0" w:space="0" w:color="auto"/>
        <w:left w:val="none" w:sz="0" w:space="0" w:color="auto"/>
        <w:bottom w:val="none" w:sz="0" w:space="0" w:color="auto"/>
        <w:right w:val="none" w:sz="0" w:space="0" w:color="auto"/>
      </w:divBdr>
    </w:div>
    <w:div w:id="1185095204">
      <w:bodyDiv w:val="1"/>
      <w:marLeft w:val="0"/>
      <w:marRight w:val="0"/>
      <w:marTop w:val="0"/>
      <w:marBottom w:val="0"/>
      <w:divBdr>
        <w:top w:val="none" w:sz="0" w:space="0" w:color="auto"/>
        <w:left w:val="none" w:sz="0" w:space="0" w:color="auto"/>
        <w:bottom w:val="none" w:sz="0" w:space="0" w:color="auto"/>
        <w:right w:val="none" w:sz="0" w:space="0" w:color="auto"/>
      </w:divBdr>
    </w:div>
    <w:div w:id="1196842735">
      <w:bodyDiv w:val="1"/>
      <w:marLeft w:val="0"/>
      <w:marRight w:val="0"/>
      <w:marTop w:val="0"/>
      <w:marBottom w:val="0"/>
      <w:divBdr>
        <w:top w:val="none" w:sz="0" w:space="0" w:color="auto"/>
        <w:left w:val="none" w:sz="0" w:space="0" w:color="auto"/>
        <w:bottom w:val="none" w:sz="0" w:space="0" w:color="auto"/>
        <w:right w:val="none" w:sz="0" w:space="0" w:color="auto"/>
      </w:divBdr>
    </w:div>
    <w:div w:id="1220745196">
      <w:bodyDiv w:val="1"/>
      <w:marLeft w:val="0"/>
      <w:marRight w:val="0"/>
      <w:marTop w:val="0"/>
      <w:marBottom w:val="0"/>
      <w:divBdr>
        <w:top w:val="none" w:sz="0" w:space="0" w:color="auto"/>
        <w:left w:val="none" w:sz="0" w:space="0" w:color="auto"/>
        <w:bottom w:val="none" w:sz="0" w:space="0" w:color="auto"/>
        <w:right w:val="none" w:sz="0" w:space="0" w:color="auto"/>
      </w:divBdr>
    </w:div>
    <w:div w:id="1224441114">
      <w:bodyDiv w:val="1"/>
      <w:marLeft w:val="0"/>
      <w:marRight w:val="0"/>
      <w:marTop w:val="0"/>
      <w:marBottom w:val="0"/>
      <w:divBdr>
        <w:top w:val="none" w:sz="0" w:space="0" w:color="auto"/>
        <w:left w:val="none" w:sz="0" w:space="0" w:color="auto"/>
        <w:bottom w:val="none" w:sz="0" w:space="0" w:color="auto"/>
        <w:right w:val="none" w:sz="0" w:space="0" w:color="auto"/>
      </w:divBdr>
    </w:div>
    <w:div w:id="1240287789">
      <w:bodyDiv w:val="1"/>
      <w:marLeft w:val="0"/>
      <w:marRight w:val="0"/>
      <w:marTop w:val="0"/>
      <w:marBottom w:val="0"/>
      <w:divBdr>
        <w:top w:val="none" w:sz="0" w:space="0" w:color="auto"/>
        <w:left w:val="none" w:sz="0" w:space="0" w:color="auto"/>
        <w:bottom w:val="none" w:sz="0" w:space="0" w:color="auto"/>
        <w:right w:val="none" w:sz="0" w:space="0" w:color="auto"/>
      </w:divBdr>
    </w:div>
    <w:div w:id="1260218772">
      <w:bodyDiv w:val="1"/>
      <w:marLeft w:val="0"/>
      <w:marRight w:val="0"/>
      <w:marTop w:val="0"/>
      <w:marBottom w:val="0"/>
      <w:divBdr>
        <w:top w:val="none" w:sz="0" w:space="0" w:color="auto"/>
        <w:left w:val="none" w:sz="0" w:space="0" w:color="auto"/>
        <w:bottom w:val="none" w:sz="0" w:space="0" w:color="auto"/>
        <w:right w:val="none" w:sz="0" w:space="0" w:color="auto"/>
      </w:divBdr>
    </w:div>
    <w:div w:id="1261135521">
      <w:bodyDiv w:val="1"/>
      <w:marLeft w:val="0"/>
      <w:marRight w:val="0"/>
      <w:marTop w:val="0"/>
      <w:marBottom w:val="0"/>
      <w:divBdr>
        <w:top w:val="none" w:sz="0" w:space="0" w:color="auto"/>
        <w:left w:val="none" w:sz="0" w:space="0" w:color="auto"/>
        <w:bottom w:val="none" w:sz="0" w:space="0" w:color="auto"/>
        <w:right w:val="none" w:sz="0" w:space="0" w:color="auto"/>
      </w:divBdr>
    </w:div>
    <w:div w:id="1264807070">
      <w:bodyDiv w:val="1"/>
      <w:marLeft w:val="0"/>
      <w:marRight w:val="0"/>
      <w:marTop w:val="0"/>
      <w:marBottom w:val="0"/>
      <w:divBdr>
        <w:top w:val="none" w:sz="0" w:space="0" w:color="auto"/>
        <w:left w:val="none" w:sz="0" w:space="0" w:color="auto"/>
        <w:bottom w:val="none" w:sz="0" w:space="0" w:color="auto"/>
        <w:right w:val="none" w:sz="0" w:space="0" w:color="auto"/>
      </w:divBdr>
    </w:div>
    <w:div w:id="1286886281">
      <w:bodyDiv w:val="1"/>
      <w:marLeft w:val="0"/>
      <w:marRight w:val="0"/>
      <w:marTop w:val="0"/>
      <w:marBottom w:val="0"/>
      <w:divBdr>
        <w:top w:val="none" w:sz="0" w:space="0" w:color="auto"/>
        <w:left w:val="none" w:sz="0" w:space="0" w:color="auto"/>
        <w:bottom w:val="none" w:sz="0" w:space="0" w:color="auto"/>
        <w:right w:val="none" w:sz="0" w:space="0" w:color="auto"/>
      </w:divBdr>
    </w:div>
    <w:div w:id="1336029392">
      <w:bodyDiv w:val="1"/>
      <w:marLeft w:val="0"/>
      <w:marRight w:val="0"/>
      <w:marTop w:val="0"/>
      <w:marBottom w:val="0"/>
      <w:divBdr>
        <w:top w:val="none" w:sz="0" w:space="0" w:color="auto"/>
        <w:left w:val="none" w:sz="0" w:space="0" w:color="auto"/>
        <w:bottom w:val="none" w:sz="0" w:space="0" w:color="auto"/>
        <w:right w:val="none" w:sz="0" w:space="0" w:color="auto"/>
      </w:divBdr>
    </w:div>
    <w:div w:id="1366252481">
      <w:bodyDiv w:val="1"/>
      <w:marLeft w:val="0"/>
      <w:marRight w:val="0"/>
      <w:marTop w:val="0"/>
      <w:marBottom w:val="0"/>
      <w:divBdr>
        <w:top w:val="none" w:sz="0" w:space="0" w:color="auto"/>
        <w:left w:val="none" w:sz="0" w:space="0" w:color="auto"/>
        <w:bottom w:val="none" w:sz="0" w:space="0" w:color="auto"/>
        <w:right w:val="none" w:sz="0" w:space="0" w:color="auto"/>
      </w:divBdr>
    </w:div>
    <w:div w:id="1421097165">
      <w:bodyDiv w:val="1"/>
      <w:marLeft w:val="0"/>
      <w:marRight w:val="0"/>
      <w:marTop w:val="0"/>
      <w:marBottom w:val="0"/>
      <w:divBdr>
        <w:top w:val="none" w:sz="0" w:space="0" w:color="auto"/>
        <w:left w:val="none" w:sz="0" w:space="0" w:color="auto"/>
        <w:bottom w:val="none" w:sz="0" w:space="0" w:color="auto"/>
        <w:right w:val="none" w:sz="0" w:space="0" w:color="auto"/>
      </w:divBdr>
    </w:div>
    <w:div w:id="1462461218">
      <w:bodyDiv w:val="1"/>
      <w:marLeft w:val="0"/>
      <w:marRight w:val="0"/>
      <w:marTop w:val="0"/>
      <w:marBottom w:val="0"/>
      <w:divBdr>
        <w:top w:val="none" w:sz="0" w:space="0" w:color="auto"/>
        <w:left w:val="none" w:sz="0" w:space="0" w:color="auto"/>
        <w:bottom w:val="none" w:sz="0" w:space="0" w:color="auto"/>
        <w:right w:val="none" w:sz="0" w:space="0" w:color="auto"/>
      </w:divBdr>
    </w:div>
    <w:div w:id="1480919036">
      <w:bodyDiv w:val="1"/>
      <w:marLeft w:val="0"/>
      <w:marRight w:val="0"/>
      <w:marTop w:val="0"/>
      <w:marBottom w:val="0"/>
      <w:divBdr>
        <w:top w:val="none" w:sz="0" w:space="0" w:color="auto"/>
        <w:left w:val="none" w:sz="0" w:space="0" w:color="auto"/>
        <w:bottom w:val="none" w:sz="0" w:space="0" w:color="auto"/>
        <w:right w:val="none" w:sz="0" w:space="0" w:color="auto"/>
      </w:divBdr>
    </w:div>
    <w:div w:id="1558860389">
      <w:bodyDiv w:val="1"/>
      <w:marLeft w:val="0"/>
      <w:marRight w:val="0"/>
      <w:marTop w:val="0"/>
      <w:marBottom w:val="0"/>
      <w:divBdr>
        <w:top w:val="none" w:sz="0" w:space="0" w:color="auto"/>
        <w:left w:val="none" w:sz="0" w:space="0" w:color="auto"/>
        <w:bottom w:val="none" w:sz="0" w:space="0" w:color="auto"/>
        <w:right w:val="none" w:sz="0" w:space="0" w:color="auto"/>
      </w:divBdr>
    </w:div>
    <w:div w:id="1564951527">
      <w:bodyDiv w:val="1"/>
      <w:marLeft w:val="0"/>
      <w:marRight w:val="0"/>
      <w:marTop w:val="0"/>
      <w:marBottom w:val="0"/>
      <w:divBdr>
        <w:top w:val="none" w:sz="0" w:space="0" w:color="auto"/>
        <w:left w:val="none" w:sz="0" w:space="0" w:color="auto"/>
        <w:bottom w:val="none" w:sz="0" w:space="0" w:color="auto"/>
        <w:right w:val="none" w:sz="0" w:space="0" w:color="auto"/>
      </w:divBdr>
    </w:div>
    <w:div w:id="1574654720">
      <w:bodyDiv w:val="1"/>
      <w:marLeft w:val="0"/>
      <w:marRight w:val="0"/>
      <w:marTop w:val="0"/>
      <w:marBottom w:val="0"/>
      <w:divBdr>
        <w:top w:val="none" w:sz="0" w:space="0" w:color="auto"/>
        <w:left w:val="none" w:sz="0" w:space="0" w:color="auto"/>
        <w:bottom w:val="none" w:sz="0" w:space="0" w:color="auto"/>
        <w:right w:val="none" w:sz="0" w:space="0" w:color="auto"/>
      </w:divBdr>
    </w:div>
    <w:div w:id="1652170692">
      <w:bodyDiv w:val="1"/>
      <w:marLeft w:val="0"/>
      <w:marRight w:val="0"/>
      <w:marTop w:val="0"/>
      <w:marBottom w:val="0"/>
      <w:divBdr>
        <w:top w:val="none" w:sz="0" w:space="0" w:color="auto"/>
        <w:left w:val="none" w:sz="0" w:space="0" w:color="auto"/>
        <w:bottom w:val="none" w:sz="0" w:space="0" w:color="auto"/>
        <w:right w:val="none" w:sz="0" w:space="0" w:color="auto"/>
      </w:divBdr>
    </w:div>
    <w:div w:id="1661081164">
      <w:bodyDiv w:val="1"/>
      <w:marLeft w:val="0"/>
      <w:marRight w:val="0"/>
      <w:marTop w:val="0"/>
      <w:marBottom w:val="0"/>
      <w:divBdr>
        <w:top w:val="none" w:sz="0" w:space="0" w:color="auto"/>
        <w:left w:val="none" w:sz="0" w:space="0" w:color="auto"/>
        <w:bottom w:val="none" w:sz="0" w:space="0" w:color="auto"/>
        <w:right w:val="none" w:sz="0" w:space="0" w:color="auto"/>
      </w:divBdr>
    </w:div>
    <w:div w:id="1691830489">
      <w:bodyDiv w:val="1"/>
      <w:marLeft w:val="0"/>
      <w:marRight w:val="0"/>
      <w:marTop w:val="0"/>
      <w:marBottom w:val="0"/>
      <w:divBdr>
        <w:top w:val="none" w:sz="0" w:space="0" w:color="auto"/>
        <w:left w:val="none" w:sz="0" w:space="0" w:color="auto"/>
        <w:bottom w:val="none" w:sz="0" w:space="0" w:color="auto"/>
        <w:right w:val="none" w:sz="0" w:space="0" w:color="auto"/>
      </w:divBdr>
    </w:div>
    <w:div w:id="1710445968">
      <w:bodyDiv w:val="1"/>
      <w:marLeft w:val="0"/>
      <w:marRight w:val="0"/>
      <w:marTop w:val="0"/>
      <w:marBottom w:val="0"/>
      <w:divBdr>
        <w:top w:val="none" w:sz="0" w:space="0" w:color="auto"/>
        <w:left w:val="none" w:sz="0" w:space="0" w:color="auto"/>
        <w:bottom w:val="none" w:sz="0" w:space="0" w:color="auto"/>
        <w:right w:val="none" w:sz="0" w:space="0" w:color="auto"/>
      </w:divBdr>
    </w:div>
    <w:div w:id="1763643673">
      <w:bodyDiv w:val="1"/>
      <w:marLeft w:val="0"/>
      <w:marRight w:val="0"/>
      <w:marTop w:val="0"/>
      <w:marBottom w:val="0"/>
      <w:divBdr>
        <w:top w:val="none" w:sz="0" w:space="0" w:color="auto"/>
        <w:left w:val="none" w:sz="0" w:space="0" w:color="auto"/>
        <w:bottom w:val="none" w:sz="0" w:space="0" w:color="auto"/>
        <w:right w:val="none" w:sz="0" w:space="0" w:color="auto"/>
      </w:divBdr>
    </w:div>
    <w:div w:id="1779060094">
      <w:bodyDiv w:val="1"/>
      <w:marLeft w:val="0"/>
      <w:marRight w:val="0"/>
      <w:marTop w:val="0"/>
      <w:marBottom w:val="0"/>
      <w:divBdr>
        <w:top w:val="none" w:sz="0" w:space="0" w:color="auto"/>
        <w:left w:val="none" w:sz="0" w:space="0" w:color="auto"/>
        <w:bottom w:val="none" w:sz="0" w:space="0" w:color="auto"/>
        <w:right w:val="none" w:sz="0" w:space="0" w:color="auto"/>
      </w:divBdr>
    </w:div>
    <w:div w:id="1850869321">
      <w:bodyDiv w:val="1"/>
      <w:marLeft w:val="0"/>
      <w:marRight w:val="0"/>
      <w:marTop w:val="0"/>
      <w:marBottom w:val="0"/>
      <w:divBdr>
        <w:top w:val="none" w:sz="0" w:space="0" w:color="auto"/>
        <w:left w:val="none" w:sz="0" w:space="0" w:color="auto"/>
        <w:bottom w:val="none" w:sz="0" w:space="0" w:color="auto"/>
        <w:right w:val="none" w:sz="0" w:space="0" w:color="auto"/>
      </w:divBdr>
    </w:div>
    <w:div w:id="1894197291">
      <w:bodyDiv w:val="1"/>
      <w:marLeft w:val="0"/>
      <w:marRight w:val="0"/>
      <w:marTop w:val="0"/>
      <w:marBottom w:val="0"/>
      <w:divBdr>
        <w:top w:val="none" w:sz="0" w:space="0" w:color="auto"/>
        <w:left w:val="none" w:sz="0" w:space="0" w:color="auto"/>
        <w:bottom w:val="none" w:sz="0" w:space="0" w:color="auto"/>
        <w:right w:val="none" w:sz="0" w:space="0" w:color="auto"/>
      </w:divBdr>
    </w:div>
    <w:div w:id="1946499198">
      <w:bodyDiv w:val="1"/>
      <w:marLeft w:val="0"/>
      <w:marRight w:val="0"/>
      <w:marTop w:val="0"/>
      <w:marBottom w:val="0"/>
      <w:divBdr>
        <w:top w:val="none" w:sz="0" w:space="0" w:color="auto"/>
        <w:left w:val="none" w:sz="0" w:space="0" w:color="auto"/>
        <w:bottom w:val="none" w:sz="0" w:space="0" w:color="auto"/>
        <w:right w:val="none" w:sz="0" w:space="0" w:color="auto"/>
      </w:divBdr>
    </w:div>
    <w:div w:id="1992826680">
      <w:bodyDiv w:val="1"/>
      <w:marLeft w:val="0"/>
      <w:marRight w:val="0"/>
      <w:marTop w:val="0"/>
      <w:marBottom w:val="0"/>
      <w:divBdr>
        <w:top w:val="none" w:sz="0" w:space="0" w:color="auto"/>
        <w:left w:val="none" w:sz="0" w:space="0" w:color="auto"/>
        <w:bottom w:val="none" w:sz="0" w:space="0" w:color="auto"/>
        <w:right w:val="none" w:sz="0" w:space="0" w:color="auto"/>
      </w:divBdr>
    </w:div>
    <w:div w:id="2047412616">
      <w:bodyDiv w:val="1"/>
      <w:marLeft w:val="0"/>
      <w:marRight w:val="0"/>
      <w:marTop w:val="0"/>
      <w:marBottom w:val="0"/>
      <w:divBdr>
        <w:top w:val="none" w:sz="0" w:space="0" w:color="auto"/>
        <w:left w:val="none" w:sz="0" w:space="0" w:color="auto"/>
        <w:bottom w:val="none" w:sz="0" w:space="0" w:color="auto"/>
        <w:right w:val="none" w:sz="0" w:space="0" w:color="auto"/>
      </w:divBdr>
    </w:div>
    <w:div w:id="2068145629">
      <w:bodyDiv w:val="1"/>
      <w:marLeft w:val="0"/>
      <w:marRight w:val="0"/>
      <w:marTop w:val="0"/>
      <w:marBottom w:val="0"/>
      <w:divBdr>
        <w:top w:val="none" w:sz="0" w:space="0" w:color="auto"/>
        <w:left w:val="none" w:sz="0" w:space="0" w:color="auto"/>
        <w:bottom w:val="none" w:sz="0" w:space="0" w:color="auto"/>
        <w:right w:val="none" w:sz="0" w:space="0" w:color="auto"/>
      </w:divBdr>
    </w:div>
    <w:div w:id="2114864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oecd.org/science/inno/2367580.pdf:"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apps.who.int/iris/bitstream/handle/10665/68769/WHO_EDM_PAR_2004.7.pdf?sequence=1:" TargetMode="External"/><Relationship Id="rId17" Type="http://schemas.openxmlformats.org/officeDocument/2006/relationships/hyperlink" Target="http://databank.worldbank.org/data/source/world-development-indicators"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hyperlink" Target="http://www.who.int/neglected_diseases/diseases/en/" TargetMode="Externa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globalhealth/ntd/diseases/index.html"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S0140-6736(02)09096-7"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footer" Target="footer2.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ecd.org/health/pharmaceutical-pricing.htm:"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03FDB-7EC5-480F-A58E-4B649E09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58</Pages>
  <Words>18389</Words>
  <Characters>104821</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Miraldo</dc:creator>
  <cp:keywords/>
  <dc:description/>
  <cp:lastModifiedBy>Pires Barrenho, Eliana A</cp:lastModifiedBy>
  <cp:revision>4</cp:revision>
  <cp:lastPrinted>2018-06-25T13:15:00Z</cp:lastPrinted>
  <dcterms:created xsi:type="dcterms:W3CDTF">2018-09-12T08:50:00Z</dcterms:created>
  <dcterms:modified xsi:type="dcterms:W3CDTF">2018-09-12T09:12:00Z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zotero-version="4.0.29.16"&gt;&lt;session id="MZM0sHGH"/&gt;&lt;style id="http://www.zotero.org/styles/vancouver" locale="en-GB" hasBibliography="1" bibliographyStyleHasBeenSet="0"/&gt;&lt;prefs&gt;&lt;pref name="fieldType" value="Field"/&gt;&lt;pref name="store</vt:lpwstr>
  </property>
  <property fmtid="{D5CDD505-2E9C-101B-9397-08002B2CF9AE}" pid="3" name="ZOTERO_PREF_2">
    <vt:lpwstr>References" value="true"/&gt;&lt;pref name="automaticJournalAbbreviations" value="true"/&gt;&lt;pref name="noteType" value=""/&gt;&lt;/prefs&gt;&lt;/data&gt;</vt:lpwstr>
  </property>
</Properties>
</file>