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7CA" w:rsidRDefault="000847CA" w:rsidP="000847CA">
      <w:pPr>
        <w:spacing w:line="480" w:lineRule="auto"/>
        <w:jc w:val="both"/>
        <w:rPr>
          <w:rFonts w:ascii="Times New Roman" w:hAnsi="Times New Roman" w:cs="Times New Roman"/>
          <w:sz w:val="32"/>
          <w:szCs w:val="32"/>
        </w:rPr>
      </w:pPr>
      <w:r>
        <w:rPr>
          <w:rFonts w:ascii="Times New Roman" w:hAnsi="Times New Roman" w:cs="Times New Roman"/>
          <w:sz w:val="32"/>
          <w:szCs w:val="32"/>
        </w:rPr>
        <w:t>Towards a minimally invasive device for beta-lactam monitoring in humans</w:t>
      </w:r>
    </w:p>
    <w:p w:rsidR="00CE4898" w:rsidRDefault="0021072B" w:rsidP="00CE4898">
      <w:pPr>
        <w:spacing w:line="480" w:lineRule="auto"/>
        <w:jc w:val="both"/>
        <w:rPr>
          <w:rFonts w:ascii="Times New Roman" w:hAnsi="Times New Roman" w:cs="Times New Roman"/>
          <w:sz w:val="20"/>
          <w:szCs w:val="20"/>
        </w:rPr>
      </w:pPr>
      <w:r>
        <w:rPr>
          <w:rFonts w:ascii="Times New Roman" w:hAnsi="Times New Roman" w:cs="Times New Roman"/>
          <w:sz w:val="20"/>
          <w:szCs w:val="20"/>
        </w:rPr>
        <w:t>Timothy Miles Rawson</w:t>
      </w:r>
      <w:r>
        <w:rPr>
          <w:rFonts w:ascii="Times New Roman" w:hAnsi="Times New Roman" w:cs="Times New Roman"/>
          <w:sz w:val="20"/>
          <w:szCs w:val="20"/>
          <w:vertAlign w:val="superscript"/>
        </w:rPr>
        <w:t>1</w:t>
      </w:r>
      <w:r>
        <w:rPr>
          <w:rFonts w:ascii="Times New Roman" w:hAnsi="Times New Roman" w:cs="Times New Roman"/>
          <w:sz w:val="20"/>
          <w:szCs w:val="20"/>
        </w:rPr>
        <w:t xml:space="preserve">, </w:t>
      </w:r>
      <w:proofErr w:type="spellStart"/>
      <w:r>
        <w:rPr>
          <w:rFonts w:ascii="Times New Roman" w:hAnsi="Times New Roman" w:cs="Times New Roman"/>
          <w:sz w:val="20"/>
          <w:szCs w:val="20"/>
        </w:rPr>
        <w:t>Sanjiv</w:t>
      </w:r>
      <w:proofErr w:type="spellEnd"/>
      <w:r>
        <w:rPr>
          <w:rFonts w:ascii="Times New Roman" w:hAnsi="Times New Roman" w:cs="Times New Roman"/>
          <w:sz w:val="20"/>
          <w:szCs w:val="20"/>
        </w:rPr>
        <w:t xml:space="preserve"> Sharma</w:t>
      </w:r>
      <w:r>
        <w:rPr>
          <w:rFonts w:ascii="Times New Roman" w:hAnsi="Times New Roman" w:cs="Times New Roman"/>
          <w:sz w:val="20"/>
          <w:szCs w:val="20"/>
          <w:vertAlign w:val="superscript"/>
        </w:rPr>
        <w:t>2</w:t>
      </w:r>
      <w:r>
        <w:rPr>
          <w:rFonts w:ascii="Times New Roman" w:hAnsi="Times New Roman" w:cs="Times New Roman"/>
          <w:sz w:val="20"/>
          <w:szCs w:val="20"/>
        </w:rPr>
        <w:t>, Pantelis Georgiou</w:t>
      </w:r>
      <w:r w:rsidRPr="0021072B">
        <w:rPr>
          <w:rFonts w:ascii="Times New Roman" w:hAnsi="Times New Roman" w:cs="Times New Roman"/>
          <w:sz w:val="20"/>
          <w:szCs w:val="20"/>
          <w:vertAlign w:val="superscript"/>
        </w:rPr>
        <w:t>3</w:t>
      </w:r>
      <w:r>
        <w:rPr>
          <w:rFonts w:ascii="Times New Roman" w:hAnsi="Times New Roman" w:cs="Times New Roman"/>
          <w:sz w:val="20"/>
          <w:szCs w:val="20"/>
        </w:rPr>
        <w:t>, Alison Holmes</w:t>
      </w:r>
      <w:r w:rsidRPr="0021072B">
        <w:rPr>
          <w:rFonts w:ascii="Times New Roman" w:hAnsi="Times New Roman" w:cs="Times New Roman"/>
          <w:sz w:val="20"/>
          <w:szCs w:val="20"/>
          <w:vertAlign w:val="superscript"/>
        </w:rPr>
        <w:t>1</w:t>
      </w:r>
      <w:proofErr w:type="gramStart"/>
      <w:r w:rsidRPr="0021072B">
        <w:rPr>
          <w:rFonts w:ascii="Times New Roman" w:hAnsi="Times New Roman" w:cs="Times New Roman"/>
          <w:sz w:val="20"/>
          <w:szCs w:val="20"/>
          <w:vertAlign w:val="superscript"/>
        </w:rPr>
        <w:t>,4</w:t>
      </w:r>
      <w:proofErr w:type="gramEnd"/>
      <w:r>
        <w:rPr>
          <w:rFonts w:ascii="Times New Roman" w:hAnsi="Times New Roman" w:cs="Times New Roman"/>
          <w:sz w:val="20"/>
          <w:szCs w:val="20"/>
        </w:rPr>
        <w:t>, Anthony Cass</w:t>
      </w:r>
      <w:r w:rsidRPr="0021072B">
        <w:rPr>
          <w:rFonts w:ascii="Times New Roman" w:hAnsi="Times New Roman" w:cs="Times New Roman"/>
          <w:sz w:val="20"/>
          <w:szCs w:val="20"/>
          <w:vertAlign w:val="superscript"/>
        </w:rPr>
        <w:t>2</w:t>
      </w:r>
      <w:r>
        <w:rPr>
          <w:rFonts w:ascii="Times New Roman" w:hAnsi="Times New Roman" w:cs="Times New Roman"/>
          <w:sz w:val="20"/>
          <w:szCs w:val="20"/>
        </w:rPr>
        <w:t>, Danny O’Hare</w:t>
      </w:r>
      <w:r w:rsidRPr="0021072B">
        <w:rPr>
          <w:rFonts w:ascii="Times New Roman" w:hAnsi="Times New Roman" w:cs="Times New Roman"/>
          <w:sz w:val="20"/>
          <w:szCs w:val="20"/>
          <w:vertAlign w:val="superscript"/>
        </w:rPr>
        <w:t>5</w:t>
      </w:r>
    </w:p>
    <w:p w:rsidR="00CE4898" w:rsidRDefault="00CE4898" w:rsidP="00CE4898">
      <w:pPr>
        <w:pStyle w:val="ListParagraph"/>
        <w:spacing w:after="0" w:line="480" w:lineRule="auto"/>
        <w:ind w:left="0"/>
        <w:rPr>
          <w:rFonts w:ascii="Times New Roman" w:hAnsi="Times New Roman" w:cs="Times New Roman"/>
          <w:b/>
        </w:rPr>
      </w:pPr>
    </w:p>
    <w:p w:rsidR="00CE4898" w:rsidRPr="00E2409D" w:rsidRDefault="00CE4898" w:rsidP="00CE4898">
      <w:pPr>
        <w:pStyle w:val="ListParagraph"/>
        <w:spacing w:after="0" w:line="480" w:lineRule="auto"/>
        <w:ind w:left="0"/>
        <w:rPr>
          <w:rFonts w:ascii="Times New Roman" w:hAnsi="Times New Roman" w:cs="Times New Roman"/>
          <w:i/>
          <w:vertAlign w:val="superscript"/>
        </w:rPr>
      </w:pPr>
      <w:r w:rsidRPr="00E2409D">
        <w:rPr>
          <w:rFonts w:ascii="Times New Roman" w:hAnsi="Times New Roman" w:cs="Times New Roman"/>
          <w:b/>
        </w:rPr>
        <w:t>Affiliations:</w:t>
      </w:r>
    </w:p>
    <w:p w:rsidR="0021072B" w:rsidRPr="00EA7C6E" w:rsidRDefault="0021072B" w:rsidP="0021072B">
      <w:pPr>
        <w:pStyle w:val="ListParagraph"/>
        <w:numPr>
          <w:ilvl w:val="0"/>
          <w:numId w:val="1"/>
        </w:numPr>
        <w:spacing w:line="480" w:lineRule="auto"/>
        <w:rPr>
          <w:rFonts w:ascii="Times New Roman" w:hAnsi="Times New Roman" w:cs="Times New Roman"/>
          <w:i/>
          <w:sz w:val="16"/>
          <w:szCs w:val="16"/>
        </w:rPr>
      </w:pPr>
      <w:r w:rsidRPr="00EA7C6E">
        <w:rPr>
          <w:rFonts w:ascii="Times New Roman" w:hAnsi="Times New Roman" w:cs="Times New Roman"/>
          <w:i/>
          <w:sz w:val="16"/>
          <w:szCs w:val="16"/>
        </w:rPr>
        <w:t xml:space="preserve">National Institute for Health Research Health Protection Research Unit in Healthcare Associated Infections and Antimicrobial Resistance, </w:t>
      </w:r>
      <w:r w:rsidRPr="00EA7C6E">
        <w:rPr>
          <w:rFonts w:ascii="Times New Roman" w:hAnsi="Times New Roman" w:cs="Times New Roman"/>
          <w:i/>
          <w:sz w:val="16"/>
          <w:szCs w:val="16"/>
          <w:shd w:val="clear" w:color="auto" w:fill="FFFFFF"/>
        </w:rPr>
        <w:t xml:space="preserve">Imperial College London, Hammersmith Campus, Du Cane Road, London. W12 0NN. </w:t>
      </w:r>
      <w:r w:rsidRPr="00EA7C6E">
        <w:rPr>
          <w:rFonts w:ascii="Times New Roman" w:hAnsi="Times New Roman" w:cs="Times New Roman"/>
          <w:i/>
          <w:sz w:val="16"/>
          <w:szCs w:val="16"/>
        </w:rPr>
        <w:t>United Kingdom.</w:t>
      </w:r>
    </w:p>
    <w:p w:rsidR="0021072B" w:rsidRPr="00EA7C6E" w:rsidRDefault="0021072B" w:rsidP="0021072B">
      <w:pPr>
        <w:pStyle w:val="ListParagraph"/>
        <w:numPr>
          <w:ilvl w:val="0"/>
          <w:numId w:val="1"/>
        </w:numPr>
        <w:spacing w:after="0" w:line="480" w:lineRule="auto"/>
        <w:rPr>
          <w:rFonts w:ascii="Times New Roman" w:hAnsi="Times New Roman" w:cs="Times New Roman"/>
          <w:i/>
          <w:sz w:val="16"/>
          <w:szCs w:val="16"/>
        </w:rPr>
      </w:pPr>
      <w:r w:rsidRPr="00EA7C6E">
        <w:rPr>
          <w:rFonts w:ascii="Times New Roman" w:hAnsi="Times New Roman" w:cs="Times New Roman"/>
          <w:i/>
          <w:sz w:val="16"/>
          <w:szCs w:val="16"/>
        </w:rPr>
        <w:t>Department of Chemistry &amp; Institute of Biomedical Engineering, Imperial College London, London, SW7 2AZ, United Kingdom</w:t>
      </w:r>
    </w:p>
    <w:p w:rsidR="0021072B" w:rsidRPr="00EA7C6E" w:rsidRDefault="0021072B" w:rsidP="0021072B">
      <w:pPr>
        <w:pStyle w:val="ListParagraph"/>
        <w:numPr>
          <w:ilvl w:val="0"/>
          <w:numId w:val="1"/>
        </w:numPr>
        <w:spacing w:after="0" w:line="480" w:lineRule="auto"/>
        <w:rPr>
          <w:rFonts w:ascii="Times New Roman" w:hAnsi="Times New Roman" w:cs="Times New Roman"/>
          <w:i/>
          <w:sz w:val="16"/>
          <w:szCs w:val="16"/>
        </w:rPr>
      </w:pPr>
      <w:r w:rsidRPr="00EA7C6E">
        <w:rPr>
          <w:rFonts w:ascii="Times New Roman" w:hAnsi="Times New Roman" w:cs="Times New Roman"/>
          <w:i/>
          <w:sz w:val="16"/>
          <w:szCs w:val="16"/>
          <w:shd w:val="clear" w:color="auto" w:fill="FFFFFF"/>
        </w:rPr>
        <w:t>Department of Electrical and Electronic Engineering, Imperial College London, South Kensington Campus, London, SW7 2AZ, United Kingdom</w:t>
      </w:r>
    </w:p>
    <w:p w:rsidR="0021072B" w:rsidRPr="00EA7C6E" w:rsidRDefault="0021072B" w:rsidP="0021072B">
      <w:pPr>
        <w:pStyle w:val="ListParagraph"/>
        <w:numPr>
          <w:ilvl w:val="0"/>
          <w:numId w:val="1"/>
        </w:numPr>
        <w:spacing w:after="0" w:line="480" w:lineRule="auto"/>
        <w:rPr>
          <w:rFonts w:ascii="Times New Roman" w:hAnsi="Times New Roman" w:cs="Times New Roman"/>
          <w:i/>
          <w:sz w:val="16"/>
          <w:szCs w:val="16"/>
        </w:rPr>
      </w:pPr>
      <w:r w:rsidRPr="00EA7C6E">
        <w:rPr>
          <w:rFonts w:ascii="Times New Roman" w:hAnsi="Times New Roman" w:cs="Times New Roman"/>
          <w:i/>
          <w:sz w:val="16"/>
          <w:szCs w:val="16"/>
          <w:shd w:val="clear" w:color="auto" w:fill="FFFFFF"/>
        </w:rPr>
        <w:t>Imperial College Healthcare NHS Trust, Hammersmith Hospital, Du Cane Road, Acton, W12 0NN, United Kingdom</w:t>
      </w:r>
    </w:p>
    <w:p w:rsidR="0021072B" w:rsidRPr="00EA7C6E" w:rsidRDefault="0021072B" w:rsidP="0021072B">
      <w:pPr>
        <w:pStyle w:val="ListParagraph"/>
        <w:numPr>
          <w:ilvl w:val="0"/>
          <w:numId w:val="1"/>
        </w:numPr>
        <w:spacing w:line="480" w:lineRule="auto"/>
        <w:rPr>
          <w:rFonts w:ascii="Times New Roman" w:hAnsi="Times New Roman" w:cs="Times New Roman"/>
          <w:i/>
          <w:sz w:val="16"/>
          <w:szCs w:val="16"/>
        </w:rPr>
      </w:pPr>
      <w:r w:rsidRPr="00EA7C6E">
        <w:rPr>
          <w:rFonts w:ascii="Times New Roman" w:hAnsi="Times New Roman" w:cs="Times New Roman"/>
          <w:i/>
          <w:sz w:val="16"/>
          <w:szCs w:val="16"/>
        </w:rPr>
        <w:t xml:space="preserve">Department of Bioengineering, Imperial College London, London, SW7 2AZ, United </w:t>
      </w:r>
      <w:r w:rsidR="00B95F70" w:rsidRPr="00EA7C6E">
        <w:rPr>
          <w:rFonts w:ascii="Times New Roman" w:hAnsi="Times New Roman" w:cs="Times New Roman"/>
          <w:i/>
          <w:sz w:val="16"/>
          <w:szCs w:val="16"/>
        </w:rPr>
        <w:t>Kingdom</w:t>
      </w:r>
    </w:p>
    <w:p w:rsidR="00CE4898" w:rsidRDefault="00CE4898" w:rsidP="00CE4898">
      <w:pPr>
        <w:pStyle w:val="ListParagraph"/>
        <w:spacing w:after="0" w:line="480" w:lineRule="auto"/>
        <w:ind w:left="0"/>
        <w:rPr>
          <w:rFonts w:ascii="Times New Roman" w:hAnsi="Times New Roman" w:cs="Times New Roman"/>
          <w:i/>
          <w:sz w:val="20"/>
          <w:szCs w:val="20"/>
        </w:rPr>
      </w:pPr>
    </w:p>
    <w:p w:rsidR="009A43CE" w:rsidRDefault="009A43CE" w:rsidP="00CE4898">
      <w:pPr>
        <w:pStyle w:val="ListParagraph"/>
        <w:spacing w:after="0" w:line="480" w:lineRule="auto"/>
        <w:ind w:left="0"/>
        <w:rPr>
          <w:rFonts w:ascii="Times New Roman" w:hAnsi="Times New Roman" w:cs="Times New Roman"/>
          <w:i/>
          <w:sz w:val="20"/>
          <w:szCs w:val="20"/>
        </w:rPr>
      </w:pPr>
    </w:p>
    <w:p w:rsidR="009A43CE" w:rsidRDefault="009A43CE" w:rsidP="00CE4898">
      <w:pPr>
        <w:pStyle w:val="ListParagraph"/>
        <w:spacing w:after="0" w:line="480" w:lineRule="auto"/>
        <w:ind w:left="0"/>
        <w:rPr>
          <w:rFonts w:ascii="Times New Roman" w:hAnsi="Times New Roman" w:cs="Times New Roman"/>
          <w:i/>
          <w:sz w:val="20"/>
          <w:szCs w:val="20"/>
        </w:rPr>
      </w:pPr>
    </w:p>
    <w:p w:rsidR="009A43CE" w:rsidRDefault="009A43CE" w:rsidP="00CE4898">
      <w:pPr>
        <w:pStyle w:val="ListParagraph"/>
        <w:spacing w:after="0" w:line="480" w:lineRule="auto"/>
        <w:ind w:left="0"/>
        <w:rPr>
          <w:rFonts w:ascii="Times New Roman" w:hAnsi="Times New Roman" w:cs="Times New Roman"/>
          <w:i/>
          <w:sz w:val="20"/>
          <w:szCs w:val="20"/>
        </w:rPr>
      </w:pPr>
    </w:p>
    <w:p w:rsidR="00CE4898" w:rsidRPr="00E2409D" w:rsidRDefault="00CE4898" w:rsidP="00CE4898">
      <w:pPr>
        <w:pStyle w:val="ListParagraph"/>
        <w:spacing w:after="0" w:line="480" w:lineRule="auto"/>
        <w:ind w:left="0"/>
        <w:rPr>
          <w:rFonts w:ascii="Times New Roman" w:hAnsi="Times New Roman" w:cs="Times New Roman"/>
        </w:rPr>
      </w:pPr>
      <w:r w:rsidRPr="00E2409D">
        <w:rPr>
          <w:rFonts w:ascii="Times New Roman" w:hAnsi="Times New Roman" w:cs="Times New Roman"/>
          <w:b/>
        </w:rPr>
        <w:t>*Corresponding author:</w:t>
      </w:r>
    </w:p>
    <w:p w:rsidR="00CE4898" w:rsidRPr="00E2409D" w:rsidRDefault="00CE4898" w:rsidP="00CE4898">
      <w:pPr>
        <w:shd w:val="clear" w:color="auto" w:fill="FFFFFF"/>
        <w:spacing w:line="480" w:lineRule="auto"/>
        <w:rPr>
          <w:rFonts w:ascii="Times New Roman" w:hAnsi="Times New Roman" w:cs="Times New Roman"/>
        </w:rPr>
      </w:pPr>
      <w:r w:rsidRPr="00E2409D">
        <w:rPr>
          <w:rFonts w:ascii="Times New Roman" w:hAnsi="Times New Roman" w:cs="Times New Roman"/>
        </w:rPr>
        <w:t xml:space="preserve">Dr Timothy M Rawson, </w:t>
      </w:r>
      <w:r>
        <w:rPr>
          <w:rFonts w:ascii="Times New Roman" w:hAnsi="Times New Roman" w:cs="Times New Roman"/>
        </w:rPr>
        <w:t xml:space="preserve">Health Protection Research Unit in Healthcare Associated Infections &amp; Antimicrobial Resistance, Hammersmith Hospital, </w:t>
      </w:r>
      <w:r w:rsidRPr="00E2409D">
        <w:rPr>
          <w:rFonts w:ascii="Times New Roman" w:hAnsi="Times New Roman" w:cs="Times New Roman"/>
        </w:rPr>
        <w:t>Du Cane Road, London.W12 0</w:t>
      </w:r>
      <w:r>
        <w:rPr>
          <w:rFonts w:ascii="Times New Roman" w:hAnsi="Times New Roman" w:cs="Times New Roman"/>
        </w:rPr>
        <w:t>NN</w:t>
      </w:r>
      <w:r w:rsidRPr="00E2409D">
        <w:rPr>
          <w:rFonts w:ascii="Times New Roman" w:hAnsi="Times New Roman" w:cs="Times New Roman"/>
        </w:rPr>
        <w:t>. United Kingdom. Email:  timothy.rawson07@imperial.ac.uk</w:t>
      </w:r>
    </w:p>
    <w:p w:rsidR="00CE4898" w:rsidRPr="00E2409D" w:rsidRDefault="00CE4898" w:rsidP="00CE4898">
      <w:pPr>
        <w:shd w:val="clear" w:color="auto" w:fill="FFFFFF"/>
        <w:spacing w:line="480" w:lineRule="auto"/>
        <w:rPr>
          <w:rFonts w:ascii="Times New Roman" w:hAnsi="Times New Roman" w:cs="Times New Roman"/>
        </w:rPr>
      </w:pPr>
      <w:r w:rsidRPr="00E2409D">
        <w:rPr>
          <w:rFonts w:ascii="Times New Roman" w:hAnsi="Times New Roman" w:cs="Times New Roman"/>
        </w:rPr>
        <w:t>Telephone: 02033132732.</w:t>
      </w:r>
    </w:p>
    <w:p w:rsidR="00CE4898" w:rsidRDefault="00CE4898" w:rsidP="00CE4898">
      <w:pPr>
        <w:spacing w:line="480" w:lineRule="auto"/>
        <w:rPr>
          <w:rFonts w:ascii="Times New Roman" w:hAnsi="Times New Roman" w:cs="Times New Roman"/>
          <w:b/>
        </w:rPr>
      </w:pPr>
    </w:p>
    <w:p w:rsidR="00CE4898" w:rsidRDefault="00B95F70" w:rsidP="00CE4898">
      <w:pPr>
        <w:spacing w:line="480" w:lineRule="auto"/>
        <w:rPr>
          <w:rFonts w:ascii="Times New Roman" w:hAnsi="Times New Roman" w:cs="Times New Roman"/>
        </w:rPr>
      </w:pPr>
      <w:r>
        <w:rPr>
          <w:rFonts w:ascii="Times New Roman" w:hAnsi="Times New Roman" w:cs="Times New Roman"/>
          <w:b/>
        </w:rPr>
        <w:t>Keywords</w:t>
      </w:r>
      <w:r w:rsidR="00CE4898" w:rsidRPr="00E2409D">
        <w:rPr>
          <w:rFonts w:ascii="Times New Roman" w:hAnsi="Times New Roman" w:cs="Times New Roman"/>
          <w:b/>
        </w:rPr>
        <w:t>:</w:t>
      </w:r>
      <w:r w:rsidR="00CE4898" w:rsidRPr="00E2409D">
        <w:rPr>
          <w:rFonts w:ascii="Times New Roman" w:hAnsi="Times New Roman" w:cs="Times New Roman"/>
        </w:rPr>
        <w:t xml:space="preserve"> </w:t>
      </w:r>
      <w:r w:rsidR="00B30E2F">
        <w:rPr>
          <w:rFonts w:ascii="Times New Roman" w:hAnsi="Times New Roman" w:cs="Times New Roman"/>
        </w:rPr>
        <w:t>Beta-lactam antibiotic monitoring, minimally invasive, continuous monitoring, antibiotic resistance</w:t>
      </w:r>
    </w:p>
    <w:p w:rsidR="00B95F70" w:rsidRDefault="00B95F70" w:rsidP="00CE4898">
      <w:pPr>
        <w:spacing w:line="480" w:lineRule="auto"/>
        <w:rPr>
          <w:rFonts w:ascii="Times New Roman" w:hAnsi="Times New Roman" w:cs="Times New Roman"/>
        </w:rPr>
      </w:pPr>
    </w:p>
    <w:p w:rsidR="00B95F70" w:rsidRPr="00CE4898" w:rsidRDefault="00B95F70" w:rsidP="00CE4898">
      <w:pPr>
        <w:spacing w:line="480" w:lineRule="auto"/>
        <w:rPr>
          <w:rFonts w:ascii="Times New Roman" w:hAnsi="Times New Roman" w:cs="Times New Roman"/>
        </w:rPr>
      </w:pPr>
    </w:p>
    <w:p w:rsidR="00CE4898" w:rsidRDefault="005B57ED" w:rsidP="00CE4898">
      <w:pPr>
        <w:spacing w:line="480" w:lineRule="auto"/>
        <w:rPr>
          <w:rFonts w:ascii="Times New Roman" w:hAnsi="Times New Roman" w:cs="Times New Roman"/>
          <w:b/>
        </w:rPr>
      </w:pPr>
      <w:r w:rsidRPr="005B57ED">
        <w:rPr>
          <w:rFonts w:ascii="Times New Roman" w:hAnsi="Times New Roman" w:cs="Times New Roman"/>
          <w:b/>
        </w:rPr>
        <w:lastRenderedPageBreak/>
        <w:t>Abstract</w:t>
      </w:r>
    </w:p>
    <w:p w:rsidR="00EA4778" w:rsidRPr="00323004" w:rsidRDefault="000847CA" w:rsidP="00EA4778">
      <w:pPr>
        <w:spacing w:line="480" w:lineRule="auto"/>
        <w:jc w:val="both"/>
        <w:rPr>
          <w:rFonts w:ascii="Times New Roman" w:hAnsi="Times New Roman" w:cs="Times New Roman"/>
          <w:sz w:val="20"/>
          <w:szCs w:val="20"/>
        </w:rPr>
      </w:pPr>
      <w:r w:rsidRPr="00323004">
        <w:rPr>
          <w:rFonts w:ascii="Times New Roman" w:hAnsi="Times New Roman" w:cs="Times New Roman"/>
          <w:sz w:val="20"/>
          <w:szCs w:val="20"/>
        </w:rPr>
        <w:t xml:space="preserve">Antimicrobial resistance is a leading patient safety issue. There is a need to develop novel mechanisms for monitoring and subsequently improving the precision of how we use antibiotics. </w:t>
      </w:r>
      <w:r w:rsidR="00F14216" w:rsidRPr="00323004">
        <w:rPr>
          <w:rFonts w:ascii="Times New Roman" w:hAnsi="Times New Roman" w:cs="Times New Roman"/>
          <w:sz w:val="20"/>
          <w:szCs w:val="20"/>
        </w:rPr>
        <w:t xml:space="preserve">A </w:t>
      </w:r>
      <w:r w:rsidRPr="00323004">
        <w:rPr>
          <w:rFonts w:ascii="Times New Roman" w:hAnsi="Times New Roman" w:cs="Times New Roman"/>
          <w:sz w:val="20"/>
          <w:szCs w:val="20"/>
        </w:rPr>
        <w:t xml:space="preserve">surface modified </w:t>
      </w:r>
      <w:r w:rsidR="00F14216" w:rsidRPr="00323004">
        <w:rPr>
          <w:rFonts w:ascii="Times New Roman" w:hAnsi="Times New Roman" w:cs="Times New Roman"/>
          <w:sz w:val="20"/>
          <w:szCs w:val="20"/>
        </w:rPr>
        <w:t xml:space="preserve">microneedle array was developed for monitoring beta-lactam antibiotic levels in human interstitial fluid. The sensor was fabricated by </w:t>
      </w:r>
      <w:proofErr w:type="spellStart"/>
      <w:r w:rsidR="00F14216" w:rsidRPr="00323004">
        <w:rPr>
          <w:rFonts w:ascii="Times New Roman" w:hAnsi="Times New Roman" w:cs="Times New Roman"/>
          <w:sz w:val="20"/>
          <w:szCs w:val="20"/>
        </w:rPr>
        <w:t>anodically</w:t>
      </w:r>
      <w:proofErr w:type="spellEnd"/>
      <w:r w:rsidR="00F14216" w:rsidRPr="00323004">
        <w:rPr>
          <w:rFonts w:ascii="Times New Roman" w:hAnsi="Times New Roman" w:cs="Times New Roman"/>
          <w:sz w:val="20"/>
          <w:szCs w:val="20"/>
        </w:rPr>
        <w:t xml:space="preserve"> electrodepositing iridium oxide </w:t>
      </w:r>
      <w:r w:rsidR="00EA4778" w:rsidRPr="00323004">
        <w:rPr>
          <w:rFonts w:ascii="Times New Roman" w:hAnsi="Times New Roman" w:cs="Times New Roman"/>
          <w:sz w:val="20"/>
          <w:szCs w:val="20"/>
        </w:rPr>
        <w:t>(AEIROF)</w:t>
      </w:r>
      <w:r w:rsidR="00F14216" w:rsidRPr="00323004">
        <w:rPr>
          <w:rFonts w:ascii="Times New Roman" w:hAnsi="Times New Roman" w:cs="Times New Roman"/>
          <w:sz w:val="20"/>
          <w:szCs w:val="20"/>
        </w:rPr>
        <w:t xml:space="preserve"> onto a platinum surface on the microneedle</w:t>
      </w:r>
      <w:r w:rsidRPr="00323004">
        <w:rPr>
          <w:rFonts w:ascii="Times New Roman" w:hAnsi="Times New Roman" w:cs="Times New Roman"/>
          <w:sz w:val="20"/>
          <w:szCs w:val="20"/>
        </w:rPr>
        <w:t xml:space="preserve"> followed by fixation of beta-lactamase enzyme within a hydrogel</w:t>
      </w:r>
      <w:r w:rsidR="00F14216" w:rsidRPr="00323004">
        <w:rPr>
          <w:rFonts w:ascii="Times New Roman" w:hAnsi="Times New Roman" w:cs="Times New Roman"/>
          <w:sz w:val="20"/>
          <w:szCs w:val="20"/>
        </w:rPr>
        <w:t xml:space="preserve">. </w:t>
      </w:r>
      <w:r w:rsidRPr="00323004">
        <w:rPr>
          <w:rFonts w:ascii="Times New Roman" w:hAnsi="Times New Roman" w:cs="Times New Roman"/>
          <w:sz w:val="20"/>
          <w:szCs w:val="20"/>
        </w:rPr>
        <w:t>Calibration of the sensor was performed to penicillin-G in buffer solution</w:t>
      </w:r>
      <w:r w:rsidR="00EA4778" w:rsidRPr="00323004">
        <w:rPr>
          <w:rFonts w:ascii="Times New Roman" w:hAnsi="Times New Roman" w:cs="Times New Roman"/>
          <w:sz w:val="20"/>
          <w:szCs w:val="20"/>
        </w:rPr>
        <w:t xml:space="preserve"> (PBS)</w:t>
      </w:r>
      <w:r w:rsidRPr="00323004">
        <w:rPr>
          <w:rFonts w:ascii="Times New Roman" w:hAnsi="Times New Roman" w:cs="Times New Roman"/>
          <w:sz w:val="20"/>
          <w:szCs w:val="20"/>
        </w:rPr>
        <w:t xml:space="preserve"> and artificial interstitial fluid</w:t>
      </w:r>
      <w:r w:rsidR="00EA4778" w:rsidRPr="00323004">
        <w:rPr>
          <w:rFonts w:ascii="Times New Roman" w:hAnsi="Times New Roman" w:cs="Times New Roman"/>
          <w:sz w:val="20"/>
          <w:szCs w:val="20"/>
        </w:rPr>
        <w:t xml:space="preserve"> (ISF)</w:t>
      </w:r>
      <w:r w:rsidRPr="00323004">
        <w:rPr>
          <w:rFonts w:ascii="Times New Roman" w:hAnsi="Times New Roman" w:cs="Times New Roman"/>
          <w:sz w:val="20"/>
          <w:szCs w:val="20"/>
        </w:rPr>
        <w:t xml:space="preserve">. </w:t>
      </w:r>
      <w:r w:rsidR="008279DF">
        <w:rPr>
          <w:rFonts w:ascii="Times New Roman" w:hAnsi="Times New Roman" w:cs="Times New Roman"/>
          <w:sz w:val="20"/>
          <w:szCs w:val="20"/>
        </w:rPr>
        <w:t xml:space="preserve">Further calibration of a platinum disc electrode was undertaken using amoxicillin and ceftriaxone. </w:t>
      </w:r>
      <w:r w:rsidRPr="00323004">
        <w:rPr>
          <w:rFonts w:ascii="Times New Roman" w:hAnsi="Times New Roman" w:cs="Times New Roman"/>
          <w:sz w:val="20"/>
          <w:szCs w:val="20"/>
        </w:rPr>
        <w:t>Open-circuit potentials</w:t>
      </w:r>
      <w:r w:rsidR="008279DF">
        <w:rPr>
          <w:rFonts w:ascii="Times New Roman" w:hAnsi="Times New Roman" w:cs="Times New Roman"/>
          <w:sz w:val="20"/>
          <w:szCs w:val="20"/>
        </w:rPr>
        <w:t xml:space="preserve"> were performed and data analysed using the Hill equation and </w:t>
      </w:r>
      <w:proofErr w:type="gramStart"/>
      <w:r w:rsidR="008279DF">
        <w:rPr>
          <w:rFonts w:ascii="Times New Roman" w:hAnsi="Times New Roman" w:cs="Times New Roman"/>
          <w:sz w:val="20"/>
          <w:szCs w:val="20"/>
        </w:rPr>
        <w:t>log(</w:t>
      </w:r>
      <w:proofErr w:type="gramEnd"/>
      <w:r w:rsidR="008279DF">
        <w:rPr>
          <w:rFonts w:ascii="Times New Roman" w:hAnsi="Times New Roman" w:cs="Times New Roman"/>
          <w:sz w:val="20"/>
          <w:szCs w:val="20"/>
        </w:rPr>
        <w:t xml:space="preserve">concentration [M]) plots. The microneedle sensor </w:t>
      </w:r>
      <w:r w:rsidR="00F14216" w:rsidRPr="00323004">
        <w:rPr>
          <w:rFonts w:ascii="Times New Roman" w:hAnsi="Times New Roman" w:cs="Times New Roman"/>
          <w:sz w:val="20"/>
          <w:szCs w:val="20"/>
        </w:rPr>
        <w:t>demonstrated high reproducibility between</w:t>
      </w:r>
      <w:r w:rsidR="008279DF">
        <w:rPr>
          <w:rFonts w:ascii="Times New Roman" w:hAnsi="Times New Roman" w:cs="Times New Roman"/>
          <w:sz w:val="20"/>
          <w:szCs w:val="20"/>
        </w:rPr>
        <w:t xml:space="preserve"> penicillin-G</w:t>
      </w:r>
      <w:r w:rsidR="00F14216" w:rsidRPr="00323004">
        <w:rPr>
          <w:rFonts w:ascii="Times New Roman" w:hAnsi="Times New Roman" w:cs="Times New Roman"/>
          <w:sz w:val="20"/>
          <w:szCs w:val="20"/>
        </w:rPr>
        <w:t xml:space="preserve"> runs</w:t>
      </w:r>
      <w:r w:rsidR="00EA4778" w:rsidRPr="00323004">
        <w:rPr>
          <w:rFonts w:ascii="Times New Roman" w:hAnsi="Times New Roman" w:cs="Times New Roman"/>
          <w:sz w:val="20"/>
          <w:szCs w:val="20"/>
        </w:rPr>
        <w:t xml:space="preserve"> in PBS with</w:t>
      </w:r>
      <w:r w:rsidR="008279DF">
        <w:rPr>
          <w:rFonts w:ascii="Times New Roman" w:hAnsi="Times New Roman" w:cs="Times New Roman"/>
          <w:sz w:val="20"/>
          <w:szCs w:val="20"/>
        </w:rPr>
        <w:t xml:space="preserve"> mean</w:t>
      </w:r>
      <w:r w:rsidR="00EA4778" w:rsidRPr="00323004">
        <w:rPr>
          <w:rFonts w:ascii="Times New Roman" w:hAnsi="Times New Roman" w:cs="Times New Roman"/>
          <w:sz w:val="20"/>
          <w:szCs w:val="20"/>
        </w:rPr>
        <w:t xml:space="preserve"> K</w:t>
      </w:r>
      <w:r w:rsidR="00EA4778" w:rsidRPr="00323004">
        <w:rPr>
          <w:rFonts w:ascii="Times New Roman" w:hAnsi="Times New Roman" w:cs="Times New Roman"/>
          <w:sz w:val="20"/>
          <w:szCs w:val="20"/>
          <w:vertAlign w:val="subscript"/>
        </w:rPr>
        <w:t>m</w:t>
      </w:r>
      <w:r w:rsidR="008279DF">
        <w:rPr>
          <w:rFonts w:ascii="Times New Roman" w:hAnsi="Times New Roman" w:cs="Times New Roman"/>
          <w:sz w:val="20"/>
          <w:szCs w:val="20"/>
          <w:vertAlign w:val="subscript"/>
        </w:rPr>
        <w:t xml:space="preserve"> </w:t>
      </w:r>
      <w:r w:rsidR="008279DF" w:rsidRPr="008279DF">
        <w:rPr>
          <w:rFonts w:ascii="Times New Roman" w:hAnsi="Times New Roman" w:cs="Times New Roman"/>
          <w:sz w:val="20"/>
          <w:szCs w:val="20"/>
        </w:rPr>
        <w:t>(</w:t>
      </w:r>
      <w:r w:rsidR="002C2416">
        <w:rPr>
          <w:rFonts w:ascii="Times New Roman" w:hAnsi="Times New Roman" w:cs="Times New Roman"/>
          <w:sz w:val="20"/>
          <w:szCs w:val="20"/>
        </w:rPr>
        <w:t>±</w:t>
      </w:r>
      <w:r w:rsidR="008279DF">
        <w:rPr>
          <w:rFonts w:ascii="Times New Roman" w:hAnsi="Times New Roman" w:cs="Times New Roman"/>
          <w:sz w:val="20"/>
          <w:szCs w:val="20"/>
        </w:rPr>
        <w:t>1SD)</w:t>
      </w:r>
      <w:r w:rsidR="00EA4778" w:rsidRPr="00323004">
        <w:rPr>
          <w:rFonts w:ascii="Times New Roman" w:hAnsi="Times New Roman" w:cs="Times New Roman"/>
          <w:sz w:val="20"/>
          <w:szCs w:val="20"/>
        </w:rPr>
        <w:t xml:space="preserve"> </w:t>
      </w:r>
      <w:r w:rsidR="008279DF">
        <w:rPr>
          <w:rFonts w:ascii="Times New Roman" w:hAnsi="Times New Roman" w:cs="Times New Roman"/>
          <w:sz w:val="20"/>
          <w:szCs w:val="20"/>
        </w:rPr>
        <w:t>=</w:t>
      </w:r>
      <w:r w:rsidR="00EA4778" w:rsidRPr="00323004">
        <w:rPr>
          <w:rFonts w:ascii="Times New Roman" w:hAnsi="Times New Roman" w:cs="Times New Roman"/>
          <w:sz w:val="20"/>
          <w:szCs w:val="20"/>
        </w:rPr>
        <w:t xml:space="preserve"> </w:t>
      </w:r>
      <w:r w:rsidR="008279DF">
        <w:rPr>
          <w:rFonts w:ascii="Times New Roman" w:hAnsi="Times New Roman" w:cs="Times New Roman"/>
          <w:sz w:val="20"/>
          <w:szCs w:val="20"/>
        </w:rPr>
        <w:t>0.0044</w:t>
      </w:r>
      <w:r w:rsidR="00EA4778" w:rsidRPr="00323004">
        <w:rPr>
          <w:rFonts w:ascii="Times New Roman" w:hAnsi="Times New Roman" w:cs="Times New Roman"/>
          <w:sz w:val="20"/>
          <w:szCs w:val="20"/>
        </w:rPr>
        <w:t xml:space="preserve"> ± 0.0</w:t>
      </w:r>
      <w:r w:rsidR="008279DF">
        <w:rPr>
          <w:rFonts w:ascii="Times New Roman" w:hAnsi="Times New Roman" w:cs="Times New Roman"/>
          <w:sz w:val="20"/>
          <w:szCs w:val="20"/>
        </w:rPr>
        <w:t>0</w:t>
      </w:r>
      <w:r w:rsidR="00EA4778" w:rsidRPr="00323004">
        <w:rPr>
          <w:rFonts w:ascii="Times New Roman" w:hAnsi="Times New Roman" w:cs="Times New Roman"/>
          <w:sz w:val="20"/>
          <w:szCs w:val="20"/>
        </w:rPr>
        <w:t>1</w:t>
      </w:r>
      <w:r w:rsidR="008279DF">
        <w:rPr>
          <w:rFonts w:ascii="Times New Roman" w:hAnsi="Times New Roman" w:cs="Times New Roman"/>
          <w:sz w:val="20"/>
          <w:szCs w:val="20"/>
        </w:rPr>
        <w:t xml:space="preserve">3 </w:t>
      </w:r>
      <w:r w:rsidR="00EA4778" w:rsidRPr="00323004">
        <w:rPr>
          <w:rFonts w:ascii="Times New Roman" w:hAnsi="Times New Roman" w:cs="Times New Roman"/>
          <w:sz w:val="20"/>
          <w:szCs w:val="20"/>
        </w:rPr>
        <w:t>M and mean slope</w:t>
      </w:r>
      <w:r w:rsidR="008279DF">
        <w:rPr>
          <w:rFonts w:ascii="Times New Roman" w:hAnsi="Times New Roman" w:cs="Times New Roman"/>
          <w:sz w:val="20"/>
          <w:szCs w:val="20"/>
        </w:rPr>
        <w:t xml:space="preserve"> function</w:t>
      </w:r>
      <w:r w:rsidR="00EA4778" w:rsidRPr="00323004">
        <w:rPr>
          <w:rFonts w:ascii="Times New Roman" w:hAnsi="Times New Roman" w:cs="Times New Roman"/>
          <w:sz w:val="20"/>
          <w:szCs w:val="20"/>
        </w:rPr>
        <w:t xml:space="preserve"> of</w:t>
      </w:r>
      <w:r w:rsidR="008279DF">
        <w:rPr>
          <w:rFonts w:ascii="Times New Roman" w:hAnsi="Times New Roman" w:cs="Times New Roman"/>
          <w:sz w:val="20"/>
          <w:szCs w:val="20"/>
        </w:rPr>
        <w:t xml:space="preserve"> </w:t>
      </w:r>
      <w:proofErr w:type="gramStart"/>
      <w:r w:rsidR="008279DF">
        <w:rPr>
          <w:rFonts w:ascii="Times New Roman" w:hAnsi="Times New Roman" w:cs="Times New Roman"/>
          <w:sz w:val="20"/>
          <w:szCs w:val="20"/>
        </w:rPr>
        <w:t>log(</w:t>
      </w:r>
      <w:proofErr w:type="gramEnd"/>
      <w:r w:rsidR="008279DF">
        <w:rPr>
          <w:rFonts w:ascii="Times New Roman" w:hAnsi="Times New Roman" w:cs="Times New Roman"/>
          <w:sz w:val="20"/>
          <w:szCs w:val="20"/>
        </w:rPr>
        <w:t>concentration plots)</w:t>
      </w:r>
      <w:r w:rsidR="00EA4778" w:rsidRPr="00323004">
        <w:rPr>
          <w:rFonts w:ascii="Times New Roman" w:hAnsi="Times New Roman" w:cs="Times New Roman"/>
          <w:sz w:val="20"/>
          <w:szCs w:val="20"/>
        </w:rPr>
        <w:t xml:space="preserve"> </w:t>
      </w:r>
      <w:r w:rsidR="008279DF">
        <w:rPr>
          <w:rFonts w:ascii="Times New Roman" w:hAnsi="Times New Roman" w:cs="Times New Roman"/>
          <w:sz w:val="20"/>
          <w:szCs w:val="20"/>
        </w:rPr>
        <w:t xml:space="preserve">29 </w:t>
      </w:r>
      <w:r w:rsidR="008279DF" w:rsidRPr="00323004">
        <w:rPr>
          <w:rFonts w:ascii="Times New Roman" w:hAnsi="Times New Roman" w:cs="Times New Roman"/>
          <w:sz w:val="20"/>
          <w:szCs w:val="20"/>
        </w:rPr>
        <w:t>±</w:t>
      </w:r>
      <w:r w:rsidR="008279DF">
        <w:rPr>
          <w:rFonts w:ascii="Times New Roman" w:hAnsi="Times New Roman" w:cs="Times New Roman"/>
          <w:sz w:val="20"/>
          <w:szCs w:val="20"/>
        </w:rPr>
        <w:t xml:space="preserve"> 1</w:t>
      </w:r>
      <w:r w:rsidR="00EA4778" w:rsidRPr="00323004">
        <w:rPr>
          <w:rFonts w:ascii="Times New Roman" w:hAnsi="Times New Roman" w:cs="Times New Roman"/>
          <w:sz w:val="20"/>
          <w:szCs w:val="20"/>
        </w:rPr>
        <w:t>.</w:t>
      </w:r>
      <w:r w:rsidR="008279DF">
        <w:rPr>
          <w:rFonts w:ascii="Times New Roman" w:hAnsi="Times New Roman" w:cs="Times New Roman"/>
          <w:sz w:val="20"/>
          <w:szCs w:val="20"/>
        </w:rPr>
        <w:t xml:space="preserve">80 </w:t>
      </w:r>
      <w:r w:rsidR="00EA4778" w:rsidRPr="00323004">
        <w:rPr>
          <w:rFonts w:ascii="Times New Roman" w:hAnsi="Times New Roman" w:cs="Times New Roman"/>
          <w:sz w:val="20"/>
          <w:szCs w:val="20"/>
        </w:rPr>
        <w:t>mV/decade</w:t>
      </w:r>
      <w:r w:rsidR="008279DF">
        <w:rPr>
          <w:rFonts w:ascii="Times New Roman" w:hAnsi="Times New Roman" w:cs="Times New Roman"/>
          <w:sz w:val="20"/>
          <w:szCs w:val="20"/>
        </w:rPr>
        <w:t xml:space="preserve"> (r</w:t>
      </w:r>
      <w:r w:rsidR="008279DF" w:rsidRPr="008279DF">
        <w:rPr>
          <w:rFonts w:ascii="Times New Roman" w:hAnsi="Times New Roman" w:cs="Times New Roman"/>
          <w:sz w:val="20"/>
          <w:szCs w:val="20"/>
          <w:vertAlign w:val="superscript"/>
        </w:rPr>
        <w:t>2</w:t>
      </w:r>
      <w:r w:rsidR="008279DF">
        <w:rPr>
          <w:rFonts w:ascii="Times New Roman" w:hAnsi="Times New Roman" w:cs="Times New Roman"/>
          <w:sz w:val="20"/>
          <w:szCs w:val="20"/>
        </w:rPr>
        <w:t>=0.933)</w:t>
      </w:r>
      <w:r w:rsidR="00EA4778" w:rsidRPr="00323004">
        <w:rPr>
          <w:rFonts w:ascii="Times New Roman" w:hAnsi="Times New Roman" w:cs="Times New Roman"/>
          <w:sz w:val="20"/>
          <w:szCs w:val="20"/>
        </w:rPr>
        <w:t xml:space="preserve">. Response </w:t>
      </w:r>
      <w:r w:rsidR="008279DF">
        <w:rPr>
          <w:rFonts w:ascii="Times New Roman" w:hAnsi="Times New Roman" w:cs="Times New Roman"/>
          <w:sz w:val="20"/>
          <w:szCs w:val="20"/>
        </w:rPr>
        <w:t>was reproducible</w:t>
      </w:r>
      <w:r w:rsidR="00EA4778" w:rsidRPr="00323004">
        <w:rPr>
          <w:rFonts w:ascii="Times New Roman" w:hAnsi="Times New Roman" w:cs="Times New Roman"/>
          <w:sz w:val="20"/>
          <w:szCs w:val="20"/>
        </w:rPr>
        <w:t xml:space="preserve"> after 28 days storage at 4</w:t>
      </w:r>
      <w:r w:rsidR="00EA4778" w:rsidRPr="00323004">
        <w:rPr>
          <w:rFonts w:ascii="Times New Roman" w:hAnsi="Times New Roman" w:cs="Times New Roman"/>
          <w:sz w:val="20"/>
          <w:szCs w:val="20"/>
          <w:vertAlign w:val="superscript"/>
        </w:rPr>
        <w:t>o</w:t>
      </w:r>
      <w:r w:rsidR="00EA4778" w:rsidRPr="00323004">
        <w:rPr>
          <w:rFonts w:ascii="Times New Roman" w:hAnsi="Times New Roman" w:cs="Times New Roman"/>
          <w:sz w:val="20"/>
          <w:szCs w:val="20"/>
        </w:rPr>
        <w:t>C</w:t>
      </w:r>
      <w:r w:rsidR="008279DF">
        <w:rPr>
          <w:rFonts w:ascii="Times New Roman" w:hAnsi="Times New Roman" w:cs="Times New Roman"/>
          <w:sz w:val="20"/>
          <w:szCs w:val="20"/>
        </w:rPr>
        <w:t>.</w:t>
      </w:r>
      <w:r w:rsidR="00EA4778" w:rsidRPr="00323004">
        <w:rPr>
          <w:rFonts w:ascii="Times New Roman" w:hAnsi="Times New Roman" w:cs="Times New Roman"/>
          <w:sz w:val="20"/>
          <w:szCs w:val="20"/>
        </w:rPr>
        <w:t xml:space="preserve"> In artificial ISF, the sensors response </w:t>
      </w:r>
      <w:r w:rsidR="008279DF">
        <w:rPr>
          <w:rFonts w:ascii="Times New Roman" w:hAnsi="Times New Roman" w:cs="Times New Roman"/>
          <w:sz w:val="20"/>
          <w:szCs w:val="20"/>
        </w:rPr>
        <w:t>was</w:t>
      </w:r>
      <w:r w:rsidR="00EA4778" w:rsidRPr="00323004">
        <w:rPr>
          <w:rFonts w:ascii="Times New Roman" w:hAnsi="Times New Roman" w:cs="Times New Roman"/>
          <w:sz w:val="20"/>
          <w:szCs w:val="20"/>
        </w:rPr>
        <w:t xml:space="preserve"> K</w:t>
      </w:r>
      <w:r w:rsidR="00EA4778" w:rsidRPr="00323004">
        <w:rPr>
          <w:rFonts w:ascii="Times New Roman" w:hAnsi="Times New Roman" w:cs="Times New Roman"/>
          <w:sz w:val="20"/>
          <w:szCs w:val="20"/>
          <w:vertAlign w:val="subscript"/>
        </w:rPr>
        <w:t>m</w:t>
      </w:r>
      <w:r w:rsidR="00DF6C59">
        <w:rPr>
          <w:rFonts w:ascii="Times New Roman" w:hAnsi="Times New Roman" w:cs="Times New Roman"/>
          <w:sz w:val="20"/>
          <w:szCs w:val="20"/>
          <w:vertAlign w:val="subscript"/>
        </w:rPr>
        <w:t xml:space="preserve"> </w:t>
      </w:r>
      <w:r w:rsidR="00DF6C59" w:rsidRPr="008279DF">
        <w:rPr>
          <w:rFonts w:ascii="Times New Roman" w:hAnsi="Times New Roman" w:cs="Times New Roman"/>
          <w:sz w:val="20"/>
          <w:szCs w:val="20"/>
        </w:rPr>
        <w:t>(</w:t>
      </w:r>
      <w:r w:rsidR="002C2416">
        <w:rPr>
          <w:rFonts w:ascii="Times New Roman" w:hAnsi="Times New Roman" w:cs="Times New Roman"/>
          <w:sz w:val="20"/>
          <w:szCs w:val="20"/>
        </w:rPr>
        <w:t>±</w:t>
      </w:r>
      <w:r w:rsidR="00DF6C59">
        <w:rPr>
          <w:rFonts w:ascii="Times New Roman" w:hAnsi="Times New Roman" w:cs="Times New Roman"/>
          <w:sz w:val="20"/>
          <w:szCs w:val="20"/>
        </w:rPr>
        <w:t>1SD)</w:t>
      </w:r>
      <w:r w:rsidR="00AC7C34">
        <w:rPr>
          <w:rFonts w:ascii="Times New Roman" w:hAnsi="Times New Roman" w:cs="Times New Roman"/>
          <w:sz w:val="20"/>
          <w:szCs w:val="20"/>
        </w:rPr>
        <w:t xml:space="preserve"> = </w:t>
      </w:r>
      <w:r w:rsidR="008279DF">
        <w:rPr>
          <w:rFonts w:ascii="Times New Roman" w:hAnsi="Times New Roman" w:cs="Times New Roman"/>
          <w:sz w:val="20"/>
          <w:szCs w:val="20"/>
        </w:rPr>
        <w:t>0.00</w:t>
      </w:r>
      <w:r w:rsidR="00DF6C59">
        <w:rPr>
          <w:rFonts w:ascii="Times New Roman" w:hAnsi="Times New Roman" w:cs="Times New Roman"/>
          <w:sz w:val="20"/>
          <w:szCs w:val="20"/>
        </w:rPr>
        <w:t>77</w:t>
      </w:r>
      <w:r w:rsidR="008279DF">
        <w:rPr>
          <w:rFonts w:ascii="Times New Roman" w:hAnsi="Times New Roman" w:cs="Times New Roman"/>
          <w:sz w:val="20"/>
          <w:szCs w:val="20"/>
        </w:rPr>
        <w:t xml:space="preserve"> </w:t>
      </w:r>
      <w:r w:rsidR="00EA4778" w:rsidRPr="00323004">
        <w:rPr>
          <w:rFonts w:ascii="Times New Roman" w:hAnsi="Times New Roman" w:cs="Times New Roman"/>
          <w:sz w:val="20"/>
          <w:szCs w:val="20"/>
        </w:rPr>
        <w:t>±</w:t>
      </w:r>
      <w:r w:rsidR="008279DF">
        <w:rPr>
          <w:rFonts w:ascii="Times New Roman" w:hAnsi="Times New Roman" w:cs="Times New Roman"/>
          <w:sz w:val="20"/>
          <w:szCs w:val="20"/>
        </w:rPr>
        <w:t xml:space="preserve"> </w:t>
      </w:r>
      <w:r w:rsidR="00EA4778" w:rsidRPr="00323004">
        <w:rPr>
          <w:rFonts w:ascii="Times New Roman" w:hAnsi="Times New Roman" w:cs="Times New Roman"/>
          <w:sz w:val="20"/>
          <w:szCs w:val="20"/>
        </w:rPr>
        <w:t>0.</w:t>
      </w:r>
      <w:r w:rsidR="008279DF">
        <w:rPr>
          <w:rFonts w:ascii="Times New Roman" w:hAnsi="Times New Roman" w:cs="Times New Roman"/>
          <w:sz w:val="20"/>
          <w:szCs w:val="20"/>
        </w:rPr>
        <w:t>0</w:t>
      </w:r>
      <w:r w:rsidR="00DF6C59">
        <w:rPr>
          <w:rFonts w:ascii="Times New Roman" w:hAnsi="Times New Roman" w:cs="Times New Roman"/>
          <w:sz w:val="20"/>
          <w:szCs w:val="20"/>
        </w:rPr>
        <w:t>187</w:t>
      </w:r>
      <w:r w:rsidR="008279DF">
        <w:rPr>
          <w:rFonts w:ascii="Times New Roman" w:hAnsi="Times New Roman" w:cs="Times New Roman"/>
          <w:sz w:val="20"/>
          <w:szCs w:val="20"/>
        </w:rPr>
        <w:t xml:space="preserve"> </w:t>
      </w:r>
      <w:r w:rsidR="00EA4778" w:rsidRPr="00323004">
        <w:rPr>
          <w:rFonts w:ascii="Times New Roman" w:hAnsi="Times New Roman" w:cs="Times New Roman"/>
          <w:sz w:val="20"/>
          <w:szCs w:val="20"/>
        </w:rPr>
        <w:t>M and a slope</w:t>
      </w:r>
      <w:r w:rsidR="00DF6C59">
        <w:rPr>
          <w:rFonts w:ascii="Times New Roman" w:hAnsi="Times New Roman" w:cs="Times New Roman"/>
          <w:sz w:val="20"/>
          <w:szCs w:val="20"/>
        </w:rPr>
        <w:t xml:space="preserve"> function</w:t>
      </w:r>
      <w:r w:rsidR="00EA4778" w:rsidRPr="00323004">
        <w:rPr>
          <w:rFonts w:ascii="Times New Roman" w:hAnsi="Times New Roman" w:cs="Times New Roman"/>
          <w:sz w:val="20"/>
          <w:szCs w:val="20"/>
        </w:rPr>
        <w:t xml:space="preserve"> of </w:t>
      </w:r>
      <w:r w:rsidR="00DF6C59">
        <w:rPr>
          <w:rFonts w:ascii="Times New Roman" w:hAnsi="Times New Roman" w:cs="Times New Roman"/>
          <w:sz w:val="20"/>
          <w:szCs w:val="20"/>
        </w:rPr>
        <w:t>34</w:t>
      </w:r>
      <w:r w:rsidR="00AC7C34">
        <w:rPr>
          <w:rFonts w:ascii="Times New Roman" w:hAnsi="Times New Roman" w:cs="Times New Roman"/>
          <w:sz w:val="20"/>
          <w:szCs w:val="20"/>
        </w:rPr>
        <w:t xml:space="preserve"> </w:t>
      </w:r>
      <w:r w:rsidR="00EA4778" w:rsidRPr="00323004">
        <w:rPr>
          <w:rFonts w:ascii="Times New Roman" w:hAnsi="Times New Roman" w:cs="Times New Roman"/>
          <w:sz w:val="20"/>
          <w:szCs w:val="20"/>
        </w:rPr>
        <w:t>±</w:t>
      </w:r>
      <w:r w:rsidR="00AC7C34">
        <w:rPr>
          <w:rFonts w:ascii="Times New Roman" w:hAnsi="Times New Roman" w:cs="Times New Roman"/>
          <w:sz w:val="20"/>
          <w:szCs w:val="20"/>
        </w:rPr>
        <w:t xml:space="preserve"> </w:t>
      </w:r>
      <w:r w:rsidR="00EA4778" w:rsidRPr="00323004">
        <w:rPr>
          <w:rFonts w:ascii="Times New Roman" w:hAnsi="Times New Roman" w:cs="Times New Roman"/>
          <w:sz w:val="20"/>
          <w:szCs w:val="20"/>
        </w:rPr>
        <w:t>1.</w:t>
      </w:r>
      <w:r w:rsidR="00DF6C59">
        <w:rPr>
          <w:rFonts w:ascii="Times New Roman" w:hAnsi="Times New Roman" w:cs="Times New Roman"/>
          <w:sz w:val="20"/>
          <w:szCs w:val="20"/>
        </w:rPr>
        <w:t>8</w:t>
      </w:r>
      <w:r w:rsidR="00EA4778" w:rsidRPr="00323004">
        <w:rPr>
          <w:rFonts w:ascii="Times New Roman" w:hAnsi="Times New Roman" w:cs="Times New Roman"/>
          <w:sz w:val="20"/>
          <w:szCs w:val="20"/>
        </w:rPr>
        <w:t>5</w:t>
      </w:r>
      <w:r w:rsidR="00DF6C59">
        <w:rPr>
          <w:rFonts w:ascii="Times New Roman" w:hAnsi="Times New Roman" w:cs="Times New Roman"/>
          <w:sz w:val="20"/>
          <w:szCs w:val="20"/>
        </w:rPr>
        <w:t xml:space="preserve"> </w:t>
      </w:r>
      <w:r w:rsidR="00EA4778" w:rsidRPr="00323004">
        <w:rPr>
          <w:rFonts w:ascii="Times New Roman" w:hAnsi="Times New Roman" w:cs="Times New Roman"/>
          <w:sz w:val="20"/>
          <w:szCs w:val="20"/>
        </w:rPr>
        <w:t>mv/decade</w:t>
      </w:r>
      <w:r w:rsidR="008279DF">
        <w:rPr>
          <w:rFonts w:ascii="Times New Roman" w:hAnsi="Times New Roman" w:cs="Times New Roman"/>
          <w:sz w:val="20"/>
          <w:szCs w:val="20"/>
        </w:rPr>
        <w:t xml:space="preserve"> (r</w:t>
      </w:r>
      <w:r w:rsidR="008279DF" w:rsidRPr="008279DF">
        <w:rPr>
          <w:rFonts w:ascii="Times New Roman" w:hAnsi="Times New Roman" w:cs="Times New Roman"/>
          <w:sz w:val="20"/>
          <w:szCs w:val="20"/>
          <w:vertAlign w:val="superscript"/>
        </w:rPr>
        <w:t>2</w:t>
      </w:r>
      <w:r w:rsidR="008279DF">
        <w:rPr>
          <w:rFonts w:ascii="Times New Roman" w:hAnsi="Times New Roman" w:cs="Times New Roman"/>
          <w:sz w:val="20"/>
          <w:szCs w:val="20"/>
        </w:rPr>
        <w:t>=0.995)</w:t>
      </w:r>
      <w:r w:rsidR="00EA4778" w:rsidRPr="00323004">
        <w:rPr>
          <w:rFonts w:ascii="Times New Roman" w:hAnsi="Times New Roman" w:cs="Times New Roman"/>
          <w:sz w:val="20"/>
          <w:szCs w:val="20"/>
        </w:rPr>
        <w:t>.</w:t>
      </w:r>
      <w:r w:rsidR="008279DF">
        <w:rPr>
          <w:rFonts w:ascii="Times New Roman" w:hAnsi="Times New Roman" w:cs="Times New Roman"/>
          <w:sz w:val="20"/>
          <w:szCs w:val="20"/>
        </w:rPr>
        <w:t xml:space="preserve"> </w:t>
      </w:r>
      <w:r w:rsidR="00EA4778" w:rsidRPr="00323004">
        <w:rPr>
          <w:rFonts w:ascii="Times New Roman" w:hAnsi="Times New Roman" w:cs="Times New Roman"/>
          <w:sz w:val="20"/>
          <w:szCs w:val="20"/>
        </w:rPr>
        <w:t xml:space="preserve">Our results suggest that microneedle array based beta-lactam sensing may be a future application of this AEIROF based enzymatic sensor. </w:t>
      </w:r>
    </w:p>
    <w:p w:rsidR="00F14216" w:rsidRDefault="00F14216" w:rsidP="00F14216">
      <w:pPr>
        <w:spacing w:line="480" w:lineRule="auto"/>
        <w:jc w:val="both"/>
        <w:rPr>
          <w:rFonts w:ascii="Times New Roman" w:hAnsi="Times New Roman" w:cs="Times New Roman"/>
        </w:rPr>
      </w:pPr>
    </w:p>
    <w:p w:rsidR="00461F3A" w:rsidRDefault="00461F3A" w:rsidP="00F14216">
      <w:pPr>
        <w:spacing w:line="480" w:lineRule="auto"/>
        <w:jc w:val="both"/>
        <w:rPr>
          <w:rFonts w:ascii="Times New Roman" w:hAnsi="Times New Roman" w:cs="Times New Roman"/>
        </w:rPr>
      </w:pPr>
    </w:p>
    <w:p w:rsidR="00461F3A" w:rsidRDefault="00461F3A" w:rsidP="00F14216">
      <w:pPr>
        <w:spacing w:line="480" w:lineRule="auto"/>
        <w:jc w:val="both"/>
        <w:rPr>
          <w:rFonts w:ascii="Times New Roman" w:hAnsi="Times New Roman" w:cs="Times New Roman"/>
        </w:rPr>
      </w:pPr>
    </w:p>
    <w:p w:rsidR="00461F3A" w:rsidRDefault="00461F3A" w:rsidP="00F14216">
      <w:pPr>
        <w:spacing w:line="480" w:lineRule="auto"/>
        <w:jc w:val="both"/>
        <w:rPr>
          <w:rFonts w:ascii="Times New Roman" w:hAnsi="Times New Roman" w:cs="Times New Roman"/>
        </w:rPr>
      </w:pPr>
    </w:p>
    <w:p w:rsidR="00461F3A" w:rsidRDefault="00461F3A" w:rsidP="00F14216">
      <w:pPr>
        <w:spacing w:line="480" w:lineRule="auto"/>
        <w:jc w:val="both"/>
        <w:rPr>
          <w:rFonts w:ascii="Times New Roman" w:hAnsi="Times New Roman" w:cs="Times New Roman"/>
        </w:rPr>
      </w:pPr>
    </w:p>
    <w:p w:rsidR="00461F3A" w:rsidRDefault="00461F3A" w:rsidP="00F14216">
      <w:pPr>
        <w:spacing w:line="480" w:lineRule="auto"/>
        <w:jc w:val="both"/>
        <w:rPr>
          <w:rFonts w:ascii="Times New Roman" w:hAnsi="Times New Roman" w:cs="Times New Roman"/>
        </w:rPr>
      </w:pPr>
    </w:p>
    <w:p w:rsidR="00A3156C" w:rsidRDefault="00A3156C" w:rsidP="00A3156C">
      <w:pPr>
        <w:spacing w:line="480" w:lineRule="auto"/>
        <w:jc w:val="both"/>
        <w:rPr>
          <w:rFonts w:ascii="Times New Roman" w:hAnsi="Times New Roman" w:cs="Times New Roman"/>
        </w:rPr>
      </w:pPr>
    </w:p>
    <w:p w:rsidR="00A3156C" w:rsidRDefault="00A3156C" w:rsidP="00A3156C">
      <w:pPr>
        <w:spacing w:line="480" w:lineRule="auto"/>
        <w:jc w:val="both"/>
        <w:rPr>
          <w:rFonts w:ascii="Times New Roman" w:hAnsi="Times New Roman" w:cs="Times New Roman"/>
        </w:rPr>
      </w:pPr>
      <w:r>
        <w:rPr>
          <w:rFonts w:ascii="Times New Roman" w:hAnsi="Times New Roman" w:cs="Times New Roman"/>
        </w:rPr>
        <w:t xml:space="preserve">Abstract: </w:t>
      </w:r>
      <w:r w:rsidR="00B26964">
        <w:rPr>
          <w:rFonts w:ascii="Times New Roman" w:hAnsi="Times New Roman" w:cs="Times New Roman"/>
        </w:rPr>
        <w:t>200</w:t>
      </w:r>
    </w:p>
    <w:p w:rsidR="00A3156C" w:rsidRDefault="00A3156C" w:rsidP="00A3156C">
      <w:pPr>
        <w:spacing w:line="480" w:lineRule="auto"/>
        <w:jc w:val="both"/>
        <w:rPr>
          <w:rFonts w:ascii="Times New Roman" w:hAnsi="Times New Roman" w:cs="Times New Roman"/>
        </w:rPr>
      </w:pPr>
      <w:r>
        <w:rPr>
          <w:rFonts w:ascii="Times New Roman" w:hAnsi="Times New Roman" w:cs="Times New Roman"/>
        </w:rPr>
        <w:t xml:space="preserve">Manuscript: </w:t>
      </w:r>
      <w:r w:rsidR="00190B55">
        <w:rPr>
          <w:rFonts w:ascii="Times New Roman" w:hAnsi="Times New Roman" w:cs="Times New Roman"/>
        </w:rPr>
        <w:t>2</w:t>
      </w:r>
      <w:r w:rsidR="00AC7C34">
        <w:rPr>
          <w:rFonts w:ascii="Times New Roman" w:hAnsi="Times New Roman" w:cs="Times New Roman"/>
        </w:rPr>
        <w:t>680</w:t>
      </w:r>
    </w:p>
    <w:p w:rsidR="00A3156C" w:rsidRDefault="007D4D5C" w:rsidP="00A3156C">
      <w:pPr>
        <w:spacing w:line="480" w:lineRule="auto"/>
        <w:jc w:val="both"/>
        <w:rPr>
          <w:rFonts w:ascii="Times New Roman" w:hAnsi="Times New Roman" w:cs="Times New Roman"/>
        </w:rPr>
      </w:pPr>
      <w:r>
        <w:rPr>
          <w:rFonts w:ascii="Times New Roman" w:hAnsi="Times New Roman" w:cs="Times New Roman"/>
        </w:rPr>
        <w:t>(+</w:t>
      </w:r>
      <w:r w:rsidR="00C12265">
        <w:rPr>
          <w:rFonts w:ascii="Times New Roman" w:hAnsi="Times New Roman" w:cs="Times New Roman"/>
        </w:rPr>
        <w:t>4</w:t>
      </w:r>
      <w:r w:rsidR="00865750">
        <w:rPr>
          <w:rFonts w:ascii="Times New Roman" w:hAnsi="Times New Roman" w:cs="Times New Roman"/>
        </w:rPr>
        <w:t>00</w:t>
      </w:r>
      <w:r>
        <w:rPr>
          <w:rFonts w:ascii="Times New Roman" w:hAnsi="Times New Roman" w:cs="Times New Roman"/>
        </w:rPr>
        <w:t xml:space="preserve"> words as </w:t>
      </w:r>
      <w:r w:rsidR="00436D20">
        <w:rPr>
          <w:rFonts w:ascii="Times New Roman" w:hAnsi="Times New Roman" w:cs="Times New Roman"/>
        </w:rPr>
        <w:t>2</w:t>
      </w:r>
      <w:r>
        <w:rPr>
          <w:rFonts w:ascii="Times New Roman" w:hAnsi="Times New Roman" w:cs="Times New Roman"/>
        </w:rPr>
        <w:t xml:space="preserve"> figures)</w:t>
      </w:r>
    </w:p>
    <w:p w:rsidR="007D4D5C" w:rsidRPr="00A3156C" w:rsidRDefault="007D4D5C" w:rsidP="00A3156C">
      <w:pPr>
        <w:spacing w:line="480" w:lineRule="auto"/>
        <w:jc w:val="both"/>
        <w:rPr>
          <w:rFonts w:ascii="Times New Roman" w:hAnsi="Times New Roman" w:cs="Times New Roman"/>
        </w:rPr>
        <w:sectPr w:rsidR="007D4D5C" w:rsidRPr="00A3156C">
          <w:headerReference w:type="default" r:id="rId9"/>
          <w:footerReference w:type="default" r:id="rId10"/>
          <w:pgSz w:w="11906" w:h="16838"/>
          <w:pgMar w:top="1440" w:right="1440" w:bottom="1440" w:left="1440" w:header="708" w:footer="708" w:gutter="0"/>
          <w:cols w:space="708"/>
          <w:docGrid w:linePitch="360"/>
        </w:sectPr>
      </w:pPr>
    </w:p>
    <w:p w:rsidR="00CE4898" w:rsidRPr="00A3156C" w:rsidRDefault="003A655E" w:rsidP="00CE4898">
      <w:pPr>
        <w:spacing w:line="480" w:lineRule="auto"/>
        <w:jc w:val="both"/>
        <w:rPr>
          <w:rFonts w:ascii="Times New Roman" w:hAnsi="Times New Roman" w:cs="Times New Roman"/>
          <w:b/>
        </w:rPr>
      </w:pPr>
      <w:r w:rsidRPr="00A3156C">
        <w:rPr>
          <w:rFonts w:ascii="Times New Roman" w:hAnsi="Times New Roman" w:cs="Times New Roman"/>
          <w:b/>
        </w:rPr>
        <w:lastRenderedPageBreak/>
        <w:t xml:space="preserve">1.0 </w:t>
      </w:r>
      <w:r w:rsidR="005B57ED" w:rsidRPr="00A3156C">
        <w:rPr>
          <w:rFonts w:ascii="Times New Roman" w:hAnsi="Times New Roman" w:cs="Times New Roman"/>
          <w:b/>
        </w:rPr>
        <w:t>Introduction</w:t>
      </w:r>
    </w:p>
    <w:p w:rsidR="00A31F15" w:rsidRPr="00A3156C" w:rsidRDefault="00B30E2F" w:rsidP="00CE4898">
      <w:pPr>
        <w:spacing w:line="480" w:lineRule="auto"/>
        <w:jc w:val="both"/>
        <w:rPr>
          <w:rFonts w:ascii="Times New Roman" w:hAnsi="Times New Roman" w:cs="Times New Roman"/>
        </w:rPr>
      </w:pPr>
      <w:r>
        <w:rPr>
          <w:rFonts w:ascii="Times New Roman" w:hAnsi="Times New Roman" w:cs="Times New Roman"/>
        </w:rPr>
        <w:t>T</w:t>
      </w:r>
      <w:r w:rsidR="00496303" w:rsidRPr="00A3156C">
        <w:rPr>
          <w:rFonts w:ascii="Times New Roman" w:hAnsi="Times New Roman" w:cs="Times New Roman"/>
        </w:rPr>
        <w:t xml:space="preserve">he concept of organisms developing resistance to beta-lactams </w:t>
      </w:r>
      <w:r>
        <w:rPr>
          <w:rFonts w:ascii="Times New Roman" w:hAnsi="Times New Roman" w:cs="Times New Roman"/>
        </w:rPr>
        <w:t>is well understood</w:t>
      </w:r>
      <w:r w:rsidR="008615DD">
        <w:rPr>
          <w:rFonts w:ascii="Times New Roman" w:hAnsi="Times New Roman" w:cs="Times New Roman"/>
        </w:rPr>
        <w:t xml:space="preserve"> and commonly involves mutations in the genetic sequence coding </w:t>
      </w:r>
      <w:r w:rsidR="007502C1">
        <w:rPr>
          <w:rFonts w:ascii="Times New Roman" w:hAnsi="Times New Roman" w:cs="Times New Roman"/>
        </w:rPr>
        <w:t>penicillin binding proteins</w:t>
      </w:r>
      <w:r w:rsidR="000055ED">
        <w:rPr>
          <w:rFonts w:ascii="Times New Roman" w:hAnsi="Times New Roman" w:cs="Times New Roman"/>
        </w:rPr>
        <w:t xml:space="preserve"> </w:t>
      </w:r>
      <w:r w:rsidR="000055ED">
        <w:rPr>
          <w:rFonts w:ascii="Times New Roman" w:hAnsi="Times New Roman" w:cs="Times New Roman"/>
        </w:rPr>
        <w:fldChar w:fldCharType="begin" w:fldLock="1"/>
      </w:r>
      <w:r w:rsidR="004A31CC">
        <w:rPr>
          <w:rFonts w:ascii="Times New Roman" w:hAnsi="Times New Roman" w:cs="Times New Roman"/>
        </w:rPr>
        <w:instrText>ADDIN CSL_CITATION { "citationItems" : [ { "id" : "ITEM-1", "itemData" : { "DOI" : "10.1111/j.1600-0463.2009.02563.x.Beta-lactam", "author" : [ { "dropping-particle" : "", "family" : "Kong", "given" : "Kok-Fai", "non-dropping-particle" : "", "parse-names" : false, "suffix" : "" }, { "dropping-particle" : "", "family" : "Schneper", "given" : "Lisa", "non-dropping-particle" : "", "parse-names" : false, "suffix" : "" }, { "dropping-particle" : "", "family" : "Mathee", "given" : "Kalai", "non-dropping-particle" : "", "parse-names" : false, "suffix" : "" } ], "container-title" : "APMIS", "id" : "ITEM-1", "issue" : "1", "issued" : { "date-parts" : [ [ "2010" ] ] }, "page" : "1-36", "title" : "Beta-lactam Antibiotics: From Antibiosis to Resistance and Bacteriology", "type" : "article-journal", "volume" : "118" }, "uris" : [ "http://www.mendeley.com/documents/?uuid=3a052797-c16d-4573-b841-1d4918995b5a" ] }, { "id" : "ITEM-2", "itemData" : { "DOI" : "http://dx.doi.org/10.1186/2110-5820-2-35", "ISSN" : "2110-5820", "PMID" : "2012538258", "abstract" : "The pharmacokinetics of beta-lactam antibiotics in intensive care patients may be profoundly altered due to the dynamic, unpredictable pathophysiological changes that occur in critical illness. For many drugs, significant increases in the volume of distribution and/or variability in drug clearance are common. When \"standard\" beta-lactam doses are used, such pharmacokinetic changes can result in subtherapeutic plasma concentrations, treatment failure, and the development of antibiotic resistance. Emerging data support the use of betalactam therapeutic drug monitoring (TDM) and individualized dosing to ensure the achievement of pharmacodynamic targets associated with rapid bacterial killing and optimal clinical outcomes. The purpose of this work was to describe the pharmacokinetic variability of beta-lactams in the critically ill and to discuss the potential utility of TDM to optimize antibiotic therapy through a structured literature review of all relevant publications between 1946 and October 2011. Only a few studies have reported the utility of TDM as a tool to improve beta-lactam dosing in critically ill patients. Moreover, there is little agreement between studies on the pharmacodynamic targets required to optimize antibiotic therapy. The impact of TDM on important clinical outcomes also remains to be established. Whereas TDM may be theoretically rational, clinical studies to assess utility in the clinical setting are urgently required. \u00a9 2012 Sime et al.; licensee Springer.", "author" : [ { "dropping-particle" : "", "family" : "Sime", "given" : "F B", "non-dropping-particle" : "", "parse-names" : false, "suffix" : "" }, { "dropping-particle" : "", "family" : "Roberts", "given" : "M S", "non-dropping-particle" : "", "parse-names" : false, "suffix" : "" }, { "dropping-particle" : "", "family" : "Peake", "given" : "S L", "non-dropping-particle" : "", "parse-names" : false, "suffix" : "" }, { "dropping-particle" : "", "family" : "Lipman", "given" : "J", "non-dropping-particle" : "", "parse-names" : false, "suffix" : "" }, { "dropping-particle" : "", "family" : "Roberts", "given" : "J a", "non-dropping-particle" : "", "parse-names" : false, "suffix" : "" } ], "container-title" : "Annals of Intensive Care", "id" : "ITEM-2", "issue" : "1", "issued" : { "date-parts" : [ [ "2012" ] ] }, "page" : "35", "publisher" : "Annals of Intensive Care", "title" : "Does beta-lactam pharmacokinetic variability in critically III patients justify therapeutic drug monitoring? A systematic review", "type" : "article-journal", "volume" : "2" }, "uris" : [ "http://www.mendeley.com/documents/?uuid=54098612-1265-44bf-b4b5-08de6f548050" ] } ], "mendeley" : { "formattedCitation" : "[1,2]", "plainTextFormattedCitation" : "[1,2]", "previouslyFormattedCitation" : "[1,2]" }, "properties" : { "noteIndex" : 0 }, "schema" : "https://github.com/citation-style-language/schema/raw/master/csl-citation.json" }</w:instrText>
      </w:r>
      <w:r w:rsidR="000055ED">
        <w:rPr>
          <w:rFonts w:ascii="Times New Roman" w:hAnsi="Times New Roman" w:cs="Times New Roman"/>
        </w:rPr>
        <w:fldChar w:fldCharType="separate"/>
      </w:r>
      <w:r w:rsidR="000055ED" w:rsidRPr="000055ED">
        <w:rPr>
          <w:rFonts w:ascii="Times New Roman" w:hAnsi="Times New Roman" w:cs="Times New Roman"/>
          <w:noProof/>
        </w:rPr>
        <w:t>[1,2]</w:t>
      </w:r>
      <w:r w:rsidR="000055ED">
        <w:rPr>
          <w:rFonts w:ascii="Times New Roman" w:hAnsi="Times New Roman" w:cs="Times New Roman"/>
        </w:rPr>
        <w:fldChar w:fldCharType="end"/>
      </w:r>
      <w:r w:rsidR="00496303" w:rsidRPr="00A3156C">
        <w:rPr>
          <w:rFonts w:ascii="Times New Roman" w:hAnsi="Times New Roman" w:cs="Times New Roman"/>
        </w:rPr>
        <w:t xml:space="preserve">. </w:t>
      </w:r>
      <w:r w:rsidR="004B2664" w:rsidRPr="00A3156C">
        <w:rPr>
          <w:rFonts w:ascii="Times New Roman" w:hAnsi="Times New Roman" w:cs="Times New Roman"/>
        </w:rPr>
        <w:t xml:space="preserve">The </w:t>
      </w:r>
      <w:r w:rsidR="00496303" w:rsidRPr="00A3156C">
        <w:rPr>
          <w:rFonts w:ascii="Times New Roman" w:hAnsi="Times New Roman" w:cs="Times New Roman"/>
        </w:rPr>
        <w:t xml:space="preserve">global threat to patient safety and modern medicine </w:t>
      </w:r>
      <w:r w:rsidR="004B2664" w:rsidRPr="00A3156C">
        <w:rPr>
          <w:rFonts w:ascii="Times New Roman" w:hAnsi="Times New Roman" w:cs="Times New Roman"/>
        </w:rPr>
        <w:t>from</w:t>
      </w:r>
      <w:r w:rsidR="00496303" w:rsidRPr="00A3156C">
        <w:rPr>
          <w:rFonts w:ascii="Times New Roman" w:hAnsi="Times New Roman" w:cs="Times New Roman"/>
        </w:rPr>
        <w:t xml:space="preserve"> drug resistant infections (DRI’s) is at an alarming</w:t>
      </w:r>
      <w:r w:rsidR="004B2664" w:rsidRPr="00A3156C">
        <w:rPr>
          <w:rFonts w:ascii="Times New Roman" w:hAnsi="Times New Roman" w:cs="Times New Roman"/>
        </w:rPr>
        <w:t xml:space="preserve"> level</w:t>
      </w:r>
      <w:r w:rsidR="007502C1">
        <w:rPr>
          <w:rFonts w:ascii="Times New Roman" w:hAnsi="Times New Roman" w:cs="Times New Roman"/>
        </w:rPr>
        <w:t>,</w:t>
      </w:r>
      <w:r w:rsidR="00496303" w:rsidRPr="00A3156C">
        <w:rPr>
          <w:rFonts w:ascii="Times New Roman" w:hAnsi="Times New Roman" w:cs="Times New Roman"/>
        </w:rPr>
        <w:t xml:space="preserve"> with estimates that over 10 million people will die</w:t>
      </w:r>
      <w:r w:rsidR="008615DD">
        <w:rPr>
          <w:rFonts w:ascii="Times New Roman" w:hAnsi="Times New Roman" w:cs="Times New Roman"/>
        </w:rPr>
        <w:t xml:space="preserve"> each year due to </w:t>
      </w:r>
      <w:r w:rsidR="00496303" w:rsidRPr="00A3156C">
        <w:rPr>
          <w:rFonts w:ascii="Times New Roman" w:hAnsi="Times New Roman" w:cs="Times New Roman"/>
        </w:rPr>
        <w:t>DRI’s by 2050</w:t>
      </w:r>
      <w:r w:rsidR="008615DD">
        <w:rPr>
          <w:rFonts w:ascii="Times New Roman" w:hAnsi="Times New Roman" w:cs="Times New Roman"/>
        </w:rPr>
        <w:t xml:space="preserve"> </w:t>
      </w:r>
      <w:r w:rsidR="008615DD" w:rsidRPr="00A3156C">
        <w:rPr>
          <w:rFonts w:ascii="Times New Roman" w:hAnsi="Times New Roman" w:cs="Times New Roman"/>
        </w:rPr>
        <w:fldChar w:fldCharType="begin" w:fldLock="1"/>
      </w:r>
      <w:r w:rsidR="008615DD">
        <w:rPr>
          <w:rFonts w:ascii="Times New Roman" w:hAnsi="Times New Roman" w:cs="Times New Roman"/>
        </w:rPr>
        <w:instrText>ADDIN CSL_CITATION { "citationItems" : [ { "id" : "ITEM-1", "itemData" : { "author" : [ { "dropping-particle" : "", "family" : "O 'neill", "given" : "Jim", "non-dropping-particle" : "", "parse-names" : false, "suffix" : "" } ], "id" : "ITEM-1", "issue" : "May", "issued" : { "date-parts" : [ [ "2016" ] ] }, "title" : "Tackling Drug-Resistant Infections Globally: an Overview of Our Work the Review on Antimicrobial Resistance", "type" : "article-journal" }, "uris" : [ "http://www.mendeley.com/documents/?uuid=5220b3d7-fff5-47ee-a8ec-cc2479e6e91a" ] } ], "mendeley" : { "formattedCitation" : "[3]", "plainTextFormattedCitation" : "[3]", "previouslyFormattedCitation" : "[3]" }, "properties" : { "noteIndex" : 0 }, "schema" : "https://github.com/citation-style-language/schema/raw/master/csl-citation.json" }</w:instrText>
      </w:r>
      <w:r w:rsidR="008615DD" w:rsidRPr="00A3156C">
        <w:rPr>
          <w:rFonts w:ascii="Times New Roman" w:hAnsi="Times New Roman" w:cs="Times New Roman"/>
        </w:rPr>
        <w:fldChar w:fldCharType="separate"/>
      </w:r>
      <w:r w:rsidR="008615DD" w:rsidRPr="000055ED">
        <w:rPr>
          <w:rFonts w:ascii="Times New Roman" w:hAnsi="Times New Roman" w:cs="Times New Roman"/>
          <w:noProof/>
        </w:rPr>
        <w:t>[3]</w:t>
      </w:r>
      <w:r w:rsidR="008615DD" w:rsidRPr="00A3156C">
        <w:rPr>
          <w:rFonts w:ascii="Times New Roman" w:hAnsi="Times New Roman" w:cs="Times New Roman"/>
        </w:rPr>
        <w:fldChar w:fldCharType="end"/>
      </w:r>
      <w:r w:rsidR="004B2664" w:rsidRPr="00A3156C">
        <w:rPr>
          <w:rFonts w:ascii="Times New Roman" w:hAnsi="Times New Roman" w:cs="Times New Roman"/>
        </w:rPr>
        <w:t xml:space="preserve">. </w:t>
      </w:r>
      <w:r w:rsidR="00496303" w:rsidRPr="00A3156C">
        <w:rPr>
          <w:rFonts w:ascii="Times New Roman" w:hAnsi="Times New Roman" w:cs="Times New Roman"/>
        </w:rPr>
        <w:t xml:space="preserve">One of the major drivers of DRI’s is the inappropriate use of antimicrobial agents </w:t>
      </w:r>
      <w:r w:rsidR="00496303" w:rsidRPr="00A3156C">
        <w:rPr>
          <w:rFonts w:ascii="Times New Roman" w:hAnsi="Times New Roman" w:cs="Times New Roman"/>
        </w:rPr>
        <w:fldChar w:fldCharType="begin" w:fldLock="1"/>
      </w:r>
      <w:r w:rsidR="004A31CC">
        <w:rPr>
          <w:rFonts w:ascii="Times New Roman" w:hAnsi="Times New Roman" w:cs="Times New Roman"/>
        </w:rPr>
        <w:instrText>ADDIN CSL_CITATION { "citationItems" : [ { "id" : "ITEM-1", "itemData" : { "DOI" : "10.1016/S0140-6736(15)00473-0", "ISSN" : "01406736", "author" : [ { "dropping-particle" : "", "family" : "Holmes", "given" : "Alison H", "non-dropping-particle" : "", "parse-names" : false, "suffix" : "" }, { "dropping-particle" : "", "family" : "Moore", "given" : "Luke S P", "non-dropping-particle" : "", "parse-names" : false, "suffix" : "" }, { "dropping-particle" : "", "family" : "Sundsfjord", "given" : "Arnfinn", "non-dropping-particle" : "", "parse-names" : false, "suffix" : "" }, { "dropping-particle" : "", "family" : "Steinbakk", "given" : "Martin", "non-dropping-particle" : "", "parse-names" : false, "suffix" : "" }, { "dropping-particle" : "", "family" : "Regmi", "given" : "Sadie", "non-dropping-particle" : "", "parse-names" : false, "suffix" : "" }, { "dropping-particle" : "", "family" : "Karkey", "given" : "Abhilasha", "non-dropping-particle" : "", "parse-names" : false, "suffix" : "" }, { "dropping-particle" : "", "family" : "Guerin", "given" : "Philippe J", "non-dropping-particle" : "", "parse-names" : false, "suffix" : "" }, { "dropping-particle" : "V", "family" : "Piddock", "given" : "Laura J", "non-dropping-particle" : "", "parse-names" : false, "suffix" : "" } ], "container-title" : "The Lancet", "id" : "ITEM-1", "issue" : "15", "issued" : { "date-parts" : [ [ "2015" ] ] }, "title" : "Understanding the mechanisms and drivers of antimicrobial resistance", "type" : "article-journal", "volume" : "6736" }, "uris" : [ "http://www.mendeley.com/documents/?uuid=6897288b-ab2d-40d5-925e-9a0f444486c1" ] } ], "mendeley" : { "formattedCitation" : "[4]", "plainTextFormattedCitation" : "[4]", "previouslyFormattedCitation" : "[4]" }, "properties" : { "noteIndex" : 0 }, "schema" : "https://github.com/citation-style-language/schema/raw/master/csl-citation.json" }</w:instrText>
      </w:r>
      <w:r w:rsidR="00496303" w:rsidRPr="00A3156C">
        <w:rPr>
          <w:rFonts w:ascii="Times New Roman" w:hAnsi="Times New Roman" w:cs="Times New Roman"/>
        </w:rPr>
        <w:fldChar w:fldCharType="separate"/>
      </w:r>
      <w:r w:rsidR="000055ED" w:rsidRPr="000055ED">
        <w:rPr>
          <w:rFonts w:ascii="Times New Roman" w:hAnsi="Times New Roman" w:cs="Times New Roman"/>
          <w:noProof/>
        </w:rPr>
        <w:t>[4]</w:t>
      </w:r>
      <w:r w:rsidR="00496303" w:rsidRPr="00A3156C">
        <w:rPr>
          <w:rFonts w:ascii="Times New Roman" w:hAnsi="Times New Roman" w:cs="Times New Roman"/>
        </w:rPr>
        <w:fldChar w:fldCharType="end"/>
      </w:r>
      <w:r w:rsidR="00496303" w:rsidRPr="00A3156C">
        <w:rPr>
          <w:rFonts w:ascii="Times New Roman" w:hAnsi="Times New Roman" w:cs="Times New Roman"/>
        </w:rPr>
        <w:t>. Whilst much emphasis has been placed upon prudent prescribing and antibiotics</w:t>
      </w:r>
      <w:r w:rsidR="00AC7C34">
        <w:rPr>
          <w:rFonts w:ascii="Times New Roman" w:hAnsi="Times New Roman" w:cs="Times New Roman"/>
        </w:rPr>
        <w:t>,</w:t>
      </w:r>
      <w:r w:rsidR="00496303" w:rsidRPr="00A3156C">
        <w:rPr>
          <w:rFonts w:ascii="Times New Roman" w:hAnsi="Times New Roman" w:cs="Times New Roman"/>
        </w:rPr>
        <w:t xml:space="preserve"> a major area that still requires intervention is in optimising the dosing of antibiotics to ensure that the </w:t>
      </w:r>
      <w:r w:rsidR="004B2664" w:rsidRPr="00A3156C">
        <w:rPr>
          <w:rFonts w:ascii="Times New Roman" w:hAnsi="Times New Roman" w:cs="Times New Roman"/>
        </w:rPr>
        <w:t>correct</w:t>
      </w:r>
      <w:r w:rsidR="00496303" w:rsidRPr="00A3156C">
        <w:rPr>
          <w:rFonts w:ascii="Times New Roman" w:hAnsi="Times New Roman" w:cs="Times New Roman"/>
        </w:rPr>
        <w:t xml:space="preserve"> amount is given to maximise bacterial killing, whilst avoiding the harmful consequences of therapy such as DRI and toxicity.</w:t>
      </w:r>
      <w:r w:rsidR="00A31F15" w:rsidRPr="00A3156C">
        <w:rPr>
          <w:rFonts w:ascii="Times New Roman" w:hAnsi="Times New Roman" w:cs="Times New Roman"/>
        </w:rPr>
        <w:t xml:space="preserve"> </w:t>
      </w:r>
      <w:r w:rsidR="007502C1">
        <w:rPr>
          <w:rFonts w:ascii="Times New Roman" w:hAnsi="Times New Roman" w:cs="Times New Roman"/>
        </w:rPr>
        <w:t>R</w:t>
      </w:r>
      <w:r w:rsidR="00A31F15" w:rsidRPr="00A3156C">
        <w:rPr>
          <w:rFonts w:ascii="Times New Roman" w:hAnsi="Times New Roman" w:cs="Times New Roman"/>
        </w:rPr>
        <w:t>ecently</w:t>
      </w:r>
      <w:r w:rsidR="007502C1">
        <w:rPr>
          <w:rFonts w:ascii="Times New Roman" w:hAnsi="Times New Roman" w:cs="Times New Roman"/>
        </w:rPr>
        <w:t>, this problem has been</w:t>
      </w:r>
      <w:r w:rsidR="00A31F15" w:rsidRPr="00A3156C">
        <w:rPr>
          <w:rFonts w:ascii="Times New Roman" w:hAnsi="Times New Roman" w:cs="Times New Roman"/>
        </w:rPr>
        <w:t xml:space="preserve"> highlighted by reports that up to 75% of critically ill patients in intensive care may not be receiving appropriate doses of beta-lactam antibiotics </w:t>
      </w:r>
      <w:r w:rsidR="00A31F15" w:rsidRPr="00A3156C">
        <w:rPr>
          <w:rFonts w:ascii="Times New Roman" w:hAnsi="Times New Roman" w:cs="Times New Roman"/>
        </w:rPr>
        <w:fldChar w:fldCharType="begin" w:fldLock="1"/>
      </w:r>
      <w:r w:rsidR="004A31CC">
        <w:rPr>
          <w:rFonts w:ascii="Times New Roman" w:hAnsi="Times New Roman" w:cs="Times New Roman"/>
        </w:rPr>
        <w:instrText>ADDIN CSL_CITATION { "citationItems" : [ { "id" : "ITEM-1", "itemData" : { "DOI" : "10.1016/j.ijantimicag.2010.06.008", "ISSN" : "09248579", "abstract" : "The extreme pharmacokinetic behaviour of drugs sometimes observed in critically ill patients poses a significant threat to the achievement of optimal antibiotic treatment outcomes. Scant information on ??-lactam antibiotic therapeutic drug monitoring (TDM) is available. The objective of this prospective study was to evaluate the practicality and utility of a ??-lactam TDM programme in critically ill patients. TDM was performed twice weekly on all eligible patients at a 30-bed tertiary referral critical care unit. Blood concentrations were determined by fast-throughput high-performance liquid chromatography (HPLC) assays and were available within 12. h of sampling. Dose adjustment was instituted if the trough or steady-state blood concentration was below 4-5?? the minimum inhibitory concentration (MIC) or above 10?? MIC. A total of 236 patients were subject to TDM over an 11-month period. The mean ?? standard deviation age was 53.5 ?? 18.3 years. Dose adjustment was required in 175 (74.2%) of the patients, with 119 of these patients (50.4%) requiring dose increases after the first TDM. For outcome of therapy, 206 (87.3%) courses resulted in a positive treatment outcome and there were 30 (12.7%) treatment failures observed including 14 deaths and 15 courses requiring escalation to broader-spectrum agents; 1 course was ceased due to an adverse drug reaction. Using binomial logistic regression, only an elevated Acute Physiology and Chronic Health Evaluation (APACHE) II score (P&lt;0.01) and elevated plasma creatinine concentration (P=0.05) were found to be predictive of mortality. In conclusion, further research is required to determine definitively whether achievement of optimal ??-lactam pharmacodynamic targets improves clinical outcomes. ?? 2010 Elsevier B.V. and the International Society of Chemotherapy.", "author" : [ { "dropping-particle" : "", "family" : "Roberts", "given" : "Jason a.", "non-dropping-particle" : "", "parse-names" : false, "suffix" : "" }, { "dropping-particle" : "", "family" : "Ulldemolins", "given" : "Marta", "non-dropping-particle" : "", "parse-names" : false, "suffix" : "" }, { "dropping-particle" : "", "family" : "Roberts", "given" : "Michael S.", "non-dropping-particle" : "", "parse-names" : false, "suffix" : "" }, { "dropping-particle" : "", "family" : "McWhinney", "given" : "Brett", "non-dropping-particle" : "", "parse-names" : false, "suffix" : "" }, { "dropping-particle" : "", "family" : "Ungerer", "given" : "Jacobus", "non-dropping-particle" : "", "parse-names" : false, "suffix" : "" }, { "dropping-particle" : "", "family" : "Paterson", "given" : "David L.", "non-dropping-particle" : "", "parse-names" : false, "suffix" : "" }, { "dropping-particle" : "", "family" : "Lipman", "given" : "Jeffrey", "non-dropping-particle" : "", "parse-names" : false, "suffix" : "" } ], "container-title" : "International Journal of Antimicrobial Agents", "id" : "ITEM-1", "issue" : "4", "issued" : { "date-parts" : [ [ "2010" ] ] }, "page" : "332-339", "publisher" : "Elsevier B.V.", "title" : "Therapeutic drug monitoring of beta-lactams in critically ill patients: Proof of concept", "type" : "article-journal", "volume" : "36" }, "uris" : [ "http://www.mendeley.com/documents/?uuid=60174ae4-c208-43ad-a2a3-e558395a115b" ] } ], "mendeley" : { "formattedCitation" : "[5]", "plainTextFormattedCitation" : "[5]", "previouslyFormattedCitation" : "[5]" }, "properties" : { "noteIndex" : 0 }, "schema" : "https://github.com/citation-style-language/schema/raw/master/csl-citation.json" }</w:instrText>
      </w:r>
      <w:r w:rsidR="00A31F15" w:rsidRPr="00A3156C">
        <w:rPr>
          <w:rFonts w:ascii="Times New Roman" w:hAnsi="Times New Roman" w:cs="Times New Roman"/>
        </w:rPr>
        <w:fldChar w:fldCharType="separate"/>
      </w:r>
      <w:r w:rsidR="000055ED" w:rsidRPr="000055ED">
        <w:rPr>
          <w:rFonts w:ascii="Times New Roman" w:hAnsi="Times New Roman" w:cs="Times New Roman"/>
          <w:noProof/>
        </w:rPr>
        <w:t>[5]</w:t>
      </w:r>
      <w:r w:rsidR="00A31F15" w:rsidRPr="00A3156C">
        <w:rPr>
          <w:rFonts w:ascii="Times New Roman" w:hAnsi="Times New Roman" w:cs="Times New Roman"/>
        </w:rPr>
        <w:fldChar w:fldCharType="end"/>
      </w:r>
      <w:r w:rsidR="00C67A9E">
        <w:rPr>
          <w:rFonts w:ascii="Times New Roman" w:hAnsi="Times New Roman" w:cs="Times New Roman"/>
        </w:rPr>
        <w:t xml:space="preserve"> </w:t>
      </w:r>
      <w:r w:rsidR="00AC7C34">
        <w:rPr>
          <w:rFonts w:ascii="Times New Roman" w:hAnsi="Times New Roman" w:cs="Times New Roman"/>
        </w:rPr>
        <w:t>leading</w:t>
      </w:r>
      <w:r w:rsidR="008615DD">
        <w:rPr>
          <w:rFonts w:ascii="Times New Roman" w:hAnsi="Times New Roman" w:cs="Times New Roman"/>
        </w:rPr>
        <w:t xml:space="preserve"> to a </w:t>
      </w:r>
      <w:r w:rsidR="00A31F15" w:rsidRPr="00A3156C">
        <w:rPr>
          <w:rFonts w:ascii="Times New Roman" w:hAnsi="Times New Roman" w:cs="Times New Roman"/>
        </w:rPr>
        <w:t xml:space="preserve">growing consensus that antibiotic dosing must be provided on an individualised basis </w:t>
      </w:r>
      <w:r w:rsidR="00A31F15" w:rsidRPr="00A3156C">
        <w:rPr>
          <w:rFonts w:ascii="Times New Roman" w:hAnsi="Times New Roman" w:cs="Times New Roman"/>
        </w:rPr>
        <w:fldChar w:fldCharType="begin" w:fldLock="1"/>
      </w:r>
      <w:r w:rsidR="004A31CC">
        <w:rPr>
          <w:rFonts w:ascii="Times New Roman" w:hAnsi="Times New Roman" w:cs="Times New Roman"/>
        </w:rPr>
        <w:instrText>ADDIN CSL_CITATION { "citationItems" : [ { "id" : "ITEM-1", "itemData" : { "DOI" : "10.1016/S1473-3099(14)70036-2", "ISBN" : "1474-4457 (Electronic)\r1473-3099 (Linking)", "ISSN" : "14744457", "PMID" : "24768475", "abstract" : "Infections in critically ill patients are associated with persistently poor clinical outcomes. These patients have severely altered and variable antibiotic pharmacokinetics and are infected by less susceptible pathogens. Antibiotic dosing that does not account for these features is likely to result in suboptimum outcomes. In this Review, we explore the challenges related to patients and pathogens that contribute to inadequate antibiotic dosing and discuss how to implement a process for individualised antibiotic therapy that increases the accuracy of dosing and optimises care for critically ill patients. To improve antibiotic dosing, any physiological changes in patients that could alter antibiotic concentrations should first be established; such changes include altered fluid status, changes in serum albumin concentrations and renal and hepatic function, and microvascular failure. Second, antibiotic susceptibility of pathogens should be confirmed with microbiological techniques. Data for bacterial susceptibility could then be combined with measured data for antibiotic concentrations (when available) in clinical dosing software, which uses pharmacokinetic/pharmacodynamic derived models from critically ill patients to predict accurately the dosing needs for individual patients. Individualisation of dosing could optimise antibiotic exposure and maximise effectiveness. \u00a9 2014 Elsevier Ltd.", "author" : [ { "dropping-particle" : "", "family" : "Roberts", "given" : "Jason a.", "non-dropping-particle" : "", "parse-names" : false, "suffix" : "" }, { "dropping-particle" : "", "family" : "Abdul-Aziz", "given" : "Mohd H.", "non-dropping-particle" : "", "parse-names" : false, "suffix" : "" }, { "dropping-particle" : "", "family" : "Lipman", "given" : "Jeffrey", "non-dropping-particle" : "", "parse-names" : false, "suffix" : "" }, { "dropping-particle" : "", "family" : "Mouton", "given" : "Johan W.", "non-dropping-particle" : "", "parse-names" : false, "suffix" : "" }, { "dropping-particle" : "", "family" : "Vinks", "given" : "Alexander a.", "non-dropping-particle" : "", "parse-names" : false, "suffix" : "" }, { "dropping-particle" : "", "family" : "Felton", "given" : "Timothy W.", "non-dropping-particle" : "", "parse-names" : false, "suffix" : "" }, { "dropping-particle" : "", "family" : "Hope", "given" : "William W.", "non-dropping-particle" : "", "parse-names" : false, "suffix" : "" }, { "dropping-particle" : "", "family" : "Farkas", "given" : "Andras", "non-dropping-particle" : "", "parse-names" : false, "suffix" : "" }, { "dropping-particle" : "", "family" : "Neely", "given" : "Michael N.", "non-dropping-particle" : "", "parse-names" : false, "suffix" : "" }, { "dropping-particle" : "", "family" : "Schentag", "given" : "Jerome J.", "non-dropping-particle" : "", "parse-names" : false, "suffix" : "" }, { "dropping-particle" : "", "family" : "Drusano", "given" : "George", "non-dropping-particle" : "", "parse-names" : false, "suffix" : "" }, { "dropping-particle" : "", "family" : "Frey", "given" : "Otto R.", "non-dropping-particle" : "", "parse-names" : false, "suffix" : "" }, { "dropping-particle" : "", "family" : "Theuretzbacher", "given" : "Ursula", "non-dropping-particle" : "", "parse-names" : false, "suffix" : "" }, { "dropping-particle" : "", "family" : "Kuti", "given" : "Joseph L.", "non-dropping-particle" : "", "parse-names" : false, "suffix" : "" } ], "container-title" : "The Lancet Infectious Diseases", "id" : "ITEM-1", "issue" : "6", "issued" : { "date-parts" : [ [ "2014" ] ] }, "page" : "498-509", "title" : "Individualised antibiotic dosing for patients who are critically ill: Challenges and potential solutions", "type" : "article-journal", "volume" : "14" }, "uris" : [ "http://www.mendeley.com/documents/?uuid=96c97e79-4224-4ee1-96b0-2e9f597bee7b" ] } ], "mendeley" : { "formattedCitation" : "[6]", "plainTextFormattedCitation" : "[6]", "previouslyFormattedCitation" : "[6]" }, "properties" : { "noteIndex" : 0 }, "schema" : "https://github.com/citation-style-language/schema/raw/master/csl-citation.json" }</w:instrText>
      </w:r>
      <w:r w:rsidR="00A31F15" w:rsidRPr="00A3156C">
        <w:rPr>
          <w:rFonts w:ascii="Times New Roman" w:hAnsi="Times New Roman" w:cs="Times New Roman"/>
        </w:rPr>
        <w:fldChar w:fldCharType="separate"/>
      </w:r>
      <w:r w:rsidR="000055ED" w:rsidRPr="000055ED">
        <w:rPr>
          <w:rFonts w:ascii="Times New Roman" w:hAnsi="Times New Roman" w:cs="Times New Roman"/>
          <w:noProof/>
        </w:rPr>
        <w:t>[6]</w:t>
      </w:r>
      <w:r w:rsidR="00A31F15" w:rsidRPr="00A3156C">
        <w:rPr>
          <w:rFonts w:ascii="Times New Roman" w:hAnsi="Times New Roman" w:cs="Times New Roman"/>
        </w:rPr>
        <w:fldChar w:fldCharType="end"/>
      </w:r>
      <w:r w:rsidR="00A31F15" w:rsidRPr="00A3156C">
        <w:rPr>
          <w:rFonts w:ascii="Times New Roman" w:hAnsi="Times New Roman" w:cs="Times New Roman"/>
        </w:rPr>
        <w:t xml:space="preserve">. </w:t>
      </w:r>
      <w:r w:rsidR="00C67A9E">
        <w:rPr>
          <w:rFonts w:ascii="Times New Roman" w:hAnsi="Times New Roman" w:cs="Times New Roman"/>
        </w:rPr>
        <w:t>C</w:t>
      </w:r>
      <w:r w:rsidR="00A31F15" w:rsidRPr="00A3156C">
        <w:rPr>
          <w:rFonts w:ascii="Times New Roman" w:hAnsi="Times New Roman" w:cs="Times New Roman"/>
        </w:rPr>
        <w:t xml:space="preserve">urrent </w:t>
      </w:r>
      <w:r w:rsidR="00C67A9E">
        <w:rPr>
          <w:rFonts w:ascii="Times New Roman" w:hAnsi="Times New Roman" w:cs="Times New Roman"/>
        </w:rPr>
        <w:t>therapeutic drug monitoring (</w:t>
      </w:r>
      <w:r w:rsidR="00A31F15" w:rsidRPr="00A3156C">
        <w:rPr>
          <w:rFonts w:ascii="Times New Roman" w:hAnsi="Times New Roman" w:cs="Times New Roman"/>
        </w:rPr>
        <w:t>TDM</w:t>
      </w:r>
      <w:r w:rsidR="00C67A9E">
        <w:rPr>
          <w:rFonts w:ascii="Times New Roman" w:hAnsi="Times New Roman" w:cs="Times New Roman"/>
        </w:rPr>
        <w:t>)</w:t>
      </w:r>
      <w:r w:rsidR="00A31F15" w:rsidRPr="00A3156C">
        <w:rPr>
          <w:rFonts w:ascii="Times New Roman" w:hAnsi="Times New Roman" w:cs="Times New Roman"/>
        </w:rPr>
        <w:t xml:space="preserve"> strategies </w:t>
      </w:r>
      <w:r w:rsidR="00C67A9E">
        <w:rPr>
          <w:rFonts w:ascii="Times New Roman" w:hAnsi="Times New Roman" w:cs="Times New Roman"/>
        </w:rPr>
        <w:t>typically</w:t>
      </w:r>
      <w:r w:rsidR="00C67A9E" w:rsidRPr="00A3156C">
        <w:rPr>
          <w:rFonts w:ascii="Times New Roman" w:hAnsi="Times New Roman" w:cs="Times New Roman"/>
        </w:rPr>
        <w:t xml:space="preserve"> </w:t>
      </w:r>
      <w:r w:rsidR="00A31F15" w:rsidRPr="00A3156C">
        <w:rPr>
          <w:rFonts w:ascii="Times New Roman" w:hAnsi="Times New Roman" w:cs="Times New Roman"/>
        </w:rPr>
        <w:t>rely on single time point plasma blood samples</w:t>
      </w:r>
      <w:r w:rsidR="00C67A9E">
        <w:rPr>
          <w:rFonts w:ascii="Times New Roman" w:hAnsi="Times New Roman" w:cs="Times New Roman"/>
        </w:rPr>
        <w:t xml:space="preserve"> that</w:t>
      </w:r>
      <w:r w:rsidR="00A31F15" w:rsidRPr="00A3156C">
        <w:rPr>
          <w:rFonts w:ascii="Times New Roman" w:hAnsi="Times New Roman" w:cs="Times New Roman"/>
        </w:rPr>
        <w:t xml:space="preserve"> require transporting and analysis</w:t>
      </w:r>
      <w:r w:rsidR="00AC7C34">
        <w:rPr>
          <w:rFonts w:ascii="Times New Roman" w:hAnsi="Times New Roman" w:cs="Times New Roman"/>
        </w:rPr>
        <w:t>,</w:t>
      </w:r>
      <w:r w:rsidR="00A31F15" w:rsidRPr="00A3156C">
        <w:rPr>
          <w:rFonts w:ascii="Times New Roman" w:hAnsi="Times New Roman" w:cs="Times New Roman"/>
        </w:rPr>
        <w:t xml:space="preserve"> </w:t>
      </w:r>
      <w:r w:rsidR="00C67A9E">
        <w:rPr>
          <w:rFonts w:ascii="Times New Roman" w:hAnsi="Times New Roman" w:cs="Times New Roman"/>
        </w:rPr>
        <w:t>which is rarely</w:t>
      </w:r>
      <w:r w:rsidR="00A31F15" w:rsidRPr="00A3156C">
        <w:rPr>
          <w:rFonts w:ascii="Times New Roman" w:hAnsi="Times New Roman" w:cs="Times New Roman"/>
        </w:rPr>
        <w:t xml:space="preserve"> commercially available for clinical practice </w:t>
      </w:r>
      <w:r w:rsidR="00A31F15" w:rsidRPr="00A3156C">
        <w:rPr>
          <w:rFonts w:ascii="Times New Roman" w:hAnsi="Times New Roman" w:cs="Times New Roman"/>
        </w:rPr>
        <w:fldChar w:fldCharType="begin" w:fldLock="1"/>
      </w:r>
      <w:r w:rsidR="004A31CC">
        <w:rPr>
          <w:rFonts w:ascii="Times New Roman" w:hAnsi="Times New Roman" w:cs="Times New Roman"/>
        </w:rPr>
        <w:instrText>ADDIN CSL_CITATION { "citationItems" : [ { "id" : "ITEM-1", "itemData" : { "DOI" : "10.1111/j.1365-2125.2011.04080.x", "ISBN" : "1365-2125; 0306-5251", "ISSN" : "03065251", "PMID" : "21831196", "abstract" : "Optimizing the prescription of antimicrobials is required to improve clinical outcome from infections and to reduce the development of antimicrobial resistance. One such method to improve antimicrobial dosing in individual patients is through application of therapeutic drug monitoring (TDM). The aim of this manuscript is to review the place of TDM in the dosing of antimicrobial agents, specifically the importance of pharmacokinetics (PK) and pharmacodynamics (PD) to define the antimicrobial exposures necessary for maximizing killing or inhibition of bacterial growth. In this context, there are robust data for some antimicrobials, including the ratio of a PK parameter (e.g. peak concentration) to the minimal inhibitory concentration of the bacteria associated with maximal antimicrobial effect. Blood sampling of an individual patient can then further define the relevant PK parameter value in that patient and, if necessary, antimicrobial dosing can be adjusted to enable achievement of the target PK/PD ratio. To date, the clinical outcome benefits of a systematic TDM programme for antimicrobials have only been demonstrated for aminoglycosides, although the decreasing susceptibility of bacteria to available antimicrobials and the increasing costs of pharmaceuticals, as well as emerging data on pharmacokinetic variability, suggest that benefits are likely.", "author" : [ { "dropping-particle" : "", "family" : "Roberts", "given" : "Jason a.", "non-dropping-particle" : "", "parse-names" : false, "suffix" : "" }, { "dropping-particle" : "", "family" : "Norris", "given" : "Ross", "non-dropping-particle" : "", "parse-names" : false, "suffix" : "" }, { "dropping-particle" : "", "family" : "Paterson", "given" : "David L.", "non-dropping-particle" : "", "parse-names" : false, "suffix" : "" }, { "dropping-particle" : "", "family" : "Martin", "given" : "Jennifer H.", "non-dropping-particle" : "", "parse-names" : false, "suffix" : "" } ], "container-title" : "British Journal of Clinical Pharmacology", "id" : "ITEM-1", "issue" : "1", "issued" : { "date-parts" : [ [ "2012" ] ] }, "page" : "27-36", "title" : "Therapeutic drug monitoring of antimicrobials", "type" : "article-journal", "volume" : "73" }, "uris" : [ "http://www.mendeley.com/documents/?uuid=8e2994ea-af22-4111-bc8b-e8832fbb0a50" ] } ], "mendeley" : { "formattedCitation" : "[7]", "plainTextFormattedCitation" : "[7]", "previouslyFormattedCitation" : "[7]" }, "properties" : { "noteIndex" : 0 }, "schema" : "https://github.com/citation-style-language/schema/raw/master/csl-citation.json" }</w:instrText>
      </w:r>
      <w:r w:rsidR="00A31F15" w:rsidRPr="00A3156C">
        <w:rPr>
          <w:rFonts w:ascii="Times New Roman" w:hAnsi="Times New Roman" w:cs="Times New Roman"/>
        </w:rPr>
        <w:fldChar w:fldCharType="separate"/>
      </w:r>
      <w:r w:rsidR="000055ED" w:rsidRPr="000055ED">
        <w:rPr>
          <w:rFonts w:ascii="Times New Roman" w:hAnsi="Times New Roman" w:cs="Times New Roman"/>
          <w:noProof/>
        </w:rPr>
        <w:t>[7]</w:t>
      </w:r>
      <w:r w:rsidR="00A31F15" w:rsidRPr="00A3156C">
        <w:rPr>
          <w:rFonts w:ascii="Times New Roman" w:hAnsi="Times New Roman" w:cs="Times New Roman"/>
        </w:rPr>
        <w:fldChar w:fldCharType="end"/>
      </w:r>
      <w:r w:rsidR="00A31F15" w:rsidRPr="00A3156C">
        <w:rPr>
          <w:rFonts w:ascii="Times New Roman" w:hAnsi="Times New Roman" w:cs="Times New Roman"/>
        </w:rPr>
        <w:t>. The</w:t>
      </w:r>
      <w:r w:rsidR="00801ACC">
        <w:rPr>
          <w:rFonts w:ascii="Times New Roman" w:hAnsi="Times New Roman" w:cs="Times New Roman"/>
        </w:rPr>
        <w:t>re</w:t>
      </w:r>
      <w:r w:rsidR="00A31F15" w:rsidRPr="00A3156C">
        <w:rPr>
          <w:rFonts w:ascii="Times New Roman" w:hAnsi="Times New Roman" w:cs="Times New Roman"/>
        </w:rPr>
        <w:t xml:space="preserve"> is an urgent need to develop novel, minimally invasive techniques for TDM that will allow real-time assessment of antimicrobial concentrations</w:t>
      </w:r>
      <w:r w:rsidR="00AC7C34">
        <w:rPr>
          <w:rFonts w:ascii="Times New Roman" w:hAnsi="Times New Roman" w:cs="Times New Roman"/>
        </w:rPr>
        <w:t xml:space="preserve"> that </w:t>
      </w:r>
      <w:r w:rsidR="00A31F15" w:rsidRPr="00A3156C">
        <w:rPr>
          <w:rFonts w:ascii="Times New Roman" w:hAnsi="Times New Roman" w:cs="Times New Roman"/>
        </w:rPr>
        <w:t xml:space="preserve">are not constrained by current processes to allow maximum impact from precision dosing interventions. </w:t>
      </w:r>
    </w:p>
    <w:p w:rsidR="009A43CE" w:rsidRPr="00A3156C" w:rsidRDefault="009A43CE" w:rsidP="009A43CE">
      <w:pPr>
        <w:pStyle w:val="Subtitle"/>
        <w:spacing w:line="480" w:lineRule="auto"/>
        <w:jc w:val="both"/>
        <w:rPr>
          <w:rFonts w:ascii="Times New Roman" w:hAnsi="Times New Roman" w:cs="Times New Roman"/>
          <w:b w:val="0"/>
          <w:color w:val="auto"/>
          <w:sz w:val="22"/>
          <w:szCs w:val="22"/>
        </w:rPr>
      </w:pPr>
      <w:r w:rsidRPr="00A3156C">
        <w:rPr>
          <w:rFonts w:ascii="Times New Roman" w:hAnsi="Times New Roman" w:cs="Times New Roman"/>
          <w:b w:val="0"/>
          <w:color w:val="auto"/>
          <w:sz w:val="22"/>
          <w:szCs w:val="22"/>
        </w:rPr>
        <w:t xml:space="preserve">Microneedle technology was first demonstrated as a suitable mechanism for monitoring and drug delivery </w:t>
      </w:r>
      <w:r w:rsidR="00801ACC">
        <w:rPr>
          <w:rFonts w:ascii="Times New Roman" w:hAnsi="Times New Roman" w:cs="Times New Roman"/>
          <w:b w:val="0"/>
          <w:color w:val="auto"/>
          <w:sz w:val="22"/>
          <w:szCs w:val="22"/>
        </w:rPr>
        <w:t>over 20 years ago</w:t>
      </w:r>
      <w:r w:rsidR="001B41B7" w:rsidRPr="00A3156C">
        <w:rPr>
          <w:rFonts w:ascii="Times New Roman" w:hAnsi="Times New Roman" w:cs="Times New Roman"/>
          <w:b w:val="0"/>
          <w:color w:val="auto"/>
          <w:sz w:val="22"/>
          <w:szCs w:val="22"/>
        </w:rPr>
        <w:t xml:space="preserve"> </w:t>
      </w:r>
      <w:r w:rsidRPr="00A3156C">
        <w:rPr>
          <w:rFonts w:ascii="Times New Roman" w:hAnsi="Times New Roman" w:cs="Times New Roman"/>
          <w:b w:val="0"/>
          <w:color w:val="auto"/>
          <w:sz w:val="22"/>
          <w:szCs w:val="22"/>
        </w:rPr>
        <w:fldChar w:fldCharType="begin" w:fldLock="1"/>
      </w:r>
      <w:r w:rsidR="004A31CC">
        <w:rPr>
          <w:rFonts w:ascii="Times New Roman" w:hAnsi="Times New Roman" w:cs="Times New Roman"/>
          <w:b w:val="0"/>
          <w:color w:val="auto"/>
          <w:sz w:val="22"/>
          <w:szCs w:val="22"/>
        </w:rPr>
        <w:instrText>ADDIN CSL_CITATION { "citationItems" : [ { "id" : "ITEM-1", "itemData" : { "DOI" : "10.1021/js980042+", "ISSN" : "0022-3549", "PMID" : "9687334", "abstract" : "Although modern biotechnology has produced extremely sophisticated and potent drugs, many of these compounds cannot be effectively delivered using current drug delivery techniques (e.g., pills and injections). Transdermal delivery is an attractive alternative, but it is limited by the extremely low permeability of skin. Because the primary barrier to transport is located in the upper 10-15 micron of skin and nerves are found only in deeper tissue, we used a reactive ion etching microfabrication technique to make arrays of microneedles long enough to cross the permeability barrier but not so long that they stimulate nerves, thereby potentially causing no pain. These microneedle arrays could be easily inserted into skin without breaking and were shown to increase permeability of human skin in vitro to a model drug, calcein, by up to 4 orders of magnitude. Limited tests on human subjects indicated that microneedles were reported as painless. This paper describes the first published study on the use of microfabricated microneedles to enhance drug delivery across skin.", "author" : [ { "dropping-particle" : "", "family" : "Henry", "given" : "S", "non-dropping-particle" : "", "parse-names" : false, "suffix" : "" }, { "dropping-particle" : "V", "family" : "McAllister", "given" : "D", "non-dropping-particle" : "", "parse-names" : false, "suffix" : "" }, { "dropping-particle" : "", "family" : "Allen", "given" : "M G", "non-dropping-particle" : "", "parse-names" : false, "suffix" : "" }, { "dropping-particle" : "", "family" : "Prausnitz", "given" : "M R", "non-dropping-particle" : "", "parse-names" : false, "suffix" : "" } ], "container-title" : "Journal of pharmaceutical sciences", "id" : "ITEM-1", "issue" : "8", "issued" : { "date-parts" : [ [ "1998", "8" ] ] }, "page" : "922-5", "title" : "Microfabricated microneedles: a novel approach to transdermal drug delivery.", "type" : "article-journal", "volume" : "87" }, "uris" : [ "http://www.mendeley.com/documents/?uuid=502fc81d-690c-4c11-a904-1ebb68e4fa97", "http://www.mendeley.com/documents/?uuid=8935743d-2fa0-474c-86bd-3d1ca4ed64fe" ] } ], "mendeley" : { "formattedCitation" : "[8]", "plainTextFormattedCitation" : "[8]", "previouslyFormattedCitation" : "[8]" }, "properties" : { "noteIndex" : 0 }, "schema" : "https://github.com/citation-style-language/schema/raw/master/csl-citation.json" }</w:instrText>
      </w:r>
      <w:r w:rsidRPr="00A3156C">
        <w:rPr>
          <w:rFonts w:ascii="Times New Roman" w:hAnsi="Times New Roman" w:cs="Times New Roman"/>
          <w:b w:val="0"/>
          <w:color w:val="auto"/>
          <w:sz w:val="22"/>
          <w:szCs w:val="22"/>
        </w:rPr>
        <w:fldChar w:fldCharType="separate"/>
      </w:r>
      <w:r w:rsidR="000055ED" w:rsidRPr="000055ED">
        <w:rPr>
          <w:rFonts w:ascii="Times New Roman" w:hAnsi="Times New Roman" w:cs="Times New Roman"/>
          <w:b w:val="0"/>
          <w:noProof/>
          <w:color w:val="auto"/>
          <w:sz w:val="22"/>
          <w:szCs w:val="22"/>
        </w:rPr>
        <w:t>[8]</w:t>
      </w:r>
      <w:r w:rsidRPr="00A3156C">
        <w:rPr>
          <w:rFonts w:ascii="Times New Roman" w:hAnsi="Times New Roman" w:cs="Times New Roman"/>
          <w:b w:val="0"/>
          <w:color w:val="auto"/>
          <w:sz w:val="22"/>
          <w:szCs w:val="22"/>
        </w:rPr>
        <w:fldChar w:fldCharType="end"/>
      </w:r>
      <w:r w:rsidR="001B41B7" w:rsidRPr="00A3156C">
        <w:rPr>
          <w:rFonts w:ascii="Times New Roman" w:hAnsi="Times New Roman" w:cs="Times New Roman"/>
          <w:b w:val="0"/>
          <w:color w:val="auto"/>
          <w:sz w:val="22"/>
          <w:szCs w:val="22"/>
        </w:rPr>
        <w:t>.</w:t>
      </w:r>
      <w:r w:rsidRPr="00A3156C">
        <w:rPr>
          <w:rFonts w:ascii="Times New Roman" w:hAnsi="Times New Roman" w:cs="Times New Roman"/>
          <w:b w:val="0"/>
          <w:color w:val="auto"/>
          <w:sz w:val="22"/>
          <w:szCs w:val="22"/>
        </w:rPr>
        <w:t xml:space="preserve"> Since then technology has progressed rapidly with data supporting the use of this microneedle sensor technology for monitoring glucose and lactate concentrations in humans</w:t>
      </w:r>
      <w:r w:rsidR="001B41B7" w:rsidRPr="00A3156C">
        <w:rPr>
          <w:rFonts w:ascii="Times New Roman" w:hAnsi="Times New Roman" w:cs="Times New Roman"/>
          <w:b w:val="0"/>
          <w:color w:val="auto"/>
          <w:sz w:val="22"/>
          <w:szCs w:val="22"/>
        </w:rPr>
        <w:t xml:space="preserve"> </w:t>
      </w:r>
      <w:r w:rsidRPr="00A3156C">
        <w:rPr>
          <w:rFonts w:ascii="Times New Roman" w:hAnsi="Times New Roman" w:cs="Times New Roman"/>
          <w:b w:val="0"/>
          <w:color w:val="auto"/>
          <w:sz w:val="22"/>
          <w:szCs w:val="22"/>
        </w:rPr>
        <w:fldChar w:fldCharType="begin" w:fldLock="1"/>
      </w:r>
      <w:r w:rsidR="004A31CC">
        <w:rPr>
          <w:rFonts w:ascii="Times New Roman" w:hAnsi="Times New Roman" w:cs="Times New Roman"/>
          <w:b w:val="0"/>
          <w:color w:val="auto"/>
          <w:sz w:val="22"/>
          <w:szCs w:val="22"/>
        </w:rPr>
        <w:instrText>ADDIN CSL_CITATION { "citationItems" : [ { "id" : "ITEM-1", "itemData" : { "DOI" : "10.1016/j.sbsr.2016.10.004", "ISSN" : "22141804", "author" : [ { "dropping-particle" : "", "family" : "Sharma", "given" : "Sanjiv", "non-dropping-particle" : "", "parse-names" : false, "suffix" : "" }, { "dropping-particle" : "", "family" : "Saeed", "given" : "Anwer", "non-dropping-particle" : "", "parse-names" : false, "suffix" : "" }, { "dropping-particle" : "", "family" : "Johnson", "given" : "Christopher", "non-dropping-particle" : "", "parse-names" : false, "suffix" : "" }, { "dropping-particle" : "", "family" : "Gadegaard", "given" : "Nikolaj", "non-dropping-particle" : "", "parse-names" : false, "suffix" : "" }, { "dropping-particle" : "", "family" : "Cass", "given" : "Anthony Eg", "non-dropping-particle" : "", "parse-names" : false, "suffix" : "" } ], "container-title" : "Sensing and Bio-Sensing Research", "id" : "ITEM-1", "issued" : { "date-parts" : [ [ "2016" ] ] }, "publisher" : "Elsevier B.V.", "title" : "Rapid, low cost prototyping of transdermal devices for personal healthcare monitoring", "type" : "article-journal" }, "uris" : [ "http://www.mendeley.com/documents/?uuid=4b130c4d-ea96-47c1-8563-cd9d9da68cb5" ] }, { "id" : "ITEM-2", "itemData" : { "DOI" : "10.1089/dia.2012.0188", "ISSN" : "1520-9156", "author" : [ { "dropping-particle" : "", "family" : "El-Laboudi", "given" : "Ahmed", "non-dropping-particle" : "", "parse-names" : false, "suffix" : "" }, { "dropping-particle" : "", "family" : "Oliver", "given" : "Nick S.", "non-dropping-particle" : "", "parse-names" : false, "suffix" : "" }, { "dropping-particle" : "", "family" : "Cass", "given" : "Anthony", "non-dropping-particle" : "", "parse-names" : false, "suffix" : "" }, { "dropping-particle" : "", "family" : "Johnston", "given" : "Desmond", "non-dropping-particle" : "", "parse-names" : false, "suffix" : "" } ], "container-title" : "Diabetes Technology &amp; Therapeutics", "id" : "ITEM-2", "issue" : "1", "issued" : { "date-parts" : [ [ "2013", "1" ] ] }, "page" : "101-115", "title" : "Use of Microneedle Array Devices for Continuous Glucose Monitoring: A Review", "type" : "article-journal", "volume" : "15" }, "uris" : [ "http://www.mendeley.com/documents/?uuid=87ae037a-5cee-4930-8341-5a8d66c61511" ] }, { "id" : "ITEM-3", "itemData" : { "DOI" : "10.1177/193229681200600239", "ISSN" : "1932-2968", "PMID" : "22538163", "abstract" : "C ontinuous glucose monitoring has been shown to improve glycemia in diabetes.1,2 To minimize the pain, inconvenience, and discomfort associated with long-term implanted sensors, minimally invasive technologies are being developed, including microneedles that remove small volumes of subcutaneous interstitial fluid (ISF).3 We describe here an alternative approach for continuous monitoring of glucose in ISF that involves using solid microprobes that access the interstitium in a minimally invasive and less painful manner than using a lancet to draw capillary blood. The glucose sensor is a small (~1 cm2) wearable patch covered with arrays of solid microprobes, which penetrate the stratum corneum and monitor glucose in ISF within the epidermis. Unlike microneedles, solid microprobes are not susceptible to clogging and their minimally invasive nature may be less traumatic than existing subcutaneous sensors, reducing the risk of sensor drift and protein adsorption that degrades performance.4,5", "author" : [ { "dropping-particle" : "", "family" : "Moniz", "given" : "Anna Radomska Bothelo", "non-dropping-particle" : "", "parse-names" : false, "suffix" : "" }, { "dropping-particle" : "", "family" : "Michelakis", "given" : "Kostis", "non-dropping-particle" : "", "parse-names" : false, "suffix" : "" }, { "dropping-particle" : "", "family" : "Trzebinski", "given" : "Jakub", "non-dropping-particle" : "", "parse-names" : false, "suffix" : "" }, { "dropping-particle" : "", "family" : "Sharma", "given" : "Sanjiv", "non-dropping-particle" : "", "parse-names" : false, "suffix" : "" }, { "dropping-particle" : "", "family" : "Johnston", "given" : "Desmond G", "non-dropping-particle" : "", "parse-names" : false, "suffix" : "" }, { "dropping-particle" : "", "family" : "Oliver", "given" : "Nick", "non-dropping-particle" : "", "parse-names" : false, "suffix" : "" }, { "dropping-particle" : "", "family" : "Cass", "given" : "Anthony", "non-dropping-particle" : "", "parse-names" : false, "suffix" : "" } ], "container-title" : "Journal of diabetes science and technology", "id" : "ITEM-3", "issue" : "2", "issued" : { "date-parts" : [ [ "2012" ] ] }, "page" : "479-80", "title" : "Minimally invasive enzyme microprobes: an alternative approach for continuous glucose monitoring.", "type" : "article-journal", "volume" : "6" }, "uris" : [ "http://www.mendeley.com/documents/?uuid=776b8c71-3e20-4541-a5e4-58f7b730736d" ] }, { "id" : "ITEM-4", "itemData" : { "DOI" : "10.1039/c1lc20885c", "ISSN" : "1473-0197", "PMID" : "22130554", "abstract" : "In this work we demonstrate a novel microfluidic based platform to investigate the performance of 3D out-of-plane microspike array based glucose and lactate biosensors. The microspike array was bonded with a glass slide and modified with glucose oxidase or lactate oxidase using covalent coupling chemistry. An epoxy-polyurethane based membrane was used to extend the linear working range (from 0 to 25 mM of substrate) of these biosensors. Both lactate and glucose sensors performed well in the clinically relevant substrate concentration range. Glucose microspikes were further investigated with respect to the effects of substrate transfer by incorporation into a microfluidic system. Data from the microfluidic system revealed that the sensor response is mainly dependent on enzyme kinetics rather than membrane permeability to glucose. The robustness of the sensors was demonstrated by its consistency in performance extending over 48 h.", "author" : [ { "dropping-particle" : "", "family" : "Trzebinski", "given" : "Jakub", "non-dropping-particle" : "", "parse-names" : false, "suffix" : "" }, { "dropping-particle" : "", "family" : "Sharma", "given" : "Sanjiv", "non-dropping-particle" : "", "parse-names" : false, "suffix" : "" }, { "dropping-particle" : "", "family" : "Radomska-Botelho Moniz", "given" : "Anna", "non-dropping-particle" : "", "parse-names" : false, "suffix" : "" }, { "dropping-particle" : "", "family" : "Michelakis", "given" : "Kostis", "non-dropping-particle" : "", "parse-names" : false, "suffix" : "" }, { "dropping-particle" : "", "family" : "Zhang", "given" : "Yangyang", "non-dropping-particle" : "", "parse-names" : false, "suffix" : "" }, { "dropping-particle" : "", "family" : "Cass", "given" : "Anthony E. G.", "non-dropping-particle" : "", "parse-names" : false, "suffix" : "" } ], "container-title" : "Lab on a Chip", "id" : "ITEM-4", "issue" : "2", "issued" : { "date-parts" : [ [ "2012" ] ] }, "page" : "348", "title" : "Microfluidic device to investigate factors affecting performance in biosensors designed for transdermal applications", "type" : "article-journal", "volume" : "12" }, "uris" : [ "http://www.mendeley.com/documents/?uuid=e99acee9-11a1-46b8-a30a-201f67cdcf3d" ] } ], "mendeley" : { "formattedCitation" : "[9\u201312]", "plainTextFormattedCitation" : "[9\u201312]", "previouslyFormattedCitation" : "[9\u201312]" }, "properties" : { "noteIndex" : 0 }, "schema" : "https://github.com/citation-style-language/schema/raw/master/csl-citation.json" }</w:instrText>
      </w:r>
      <w:r w:rsidRPr="00A3156C">
        <w:rPr>
          <w:rFonts w:ascii="Times New Roman" w:hAnsi="Times New Roman" w:cs="Times New Roman"/>
          <w:b w:val="0"/>
          <w:color w:val="auto"/>
          <w:sz w:val="22"/>
          <w:szCs w:val="22"/>
        </w:rPr>
        <w:fldChar w:fldCharType="separate"/>
      </w:r>
      <w:r w:rsidR="000055ED" w:rsidRPr="000055ED">
        <w:rPr>
          <w:rFonts w:ascii="Times New Roman" w:hAnsi="Times New Roman" w:cs="Times New Roman"/>
          <w:b w:val="0"/>
          <w:noProof/>
          <w:color w:val="auto"/>
          <w:sz w:val="22"/>
          <w:szCs w:val="22"/>
        </w:rPr>
        <w:t>[9–12]</w:t>
      </w:r>
      <w:r w:rsidRPr="00A3156C">
        <w:rPr>
          <w:rFonts w:ascii="Times New Roman" w:hAnsi="Times New Roman" w:cs="Times New Roman"/>
          <w:b w:val="0"/>
          <w:color w:val="auto"/>
          <w:sz w:val="22"/>
          <w:szCs w:val="22"/>
        </w:rPr>
        <w:fldChar w:fldCharType="end"/>
      </w:r>
      <w:r w:rsidR="001B41B7" w:rsidRPr="00A3156C">
        <w:rPr>
          <w:rFonts w:ascii="Times New Roman" w:hAnsi="Times New Roman" w:cs="Times New Roman"/>
          <w:b w:val="0"/>
          <w:color w:val="auto"/>
          <w:sz w:val="22"/>
          <w:szCs w:val="22"/>
        </w:rPr>
        <w:t>.</w:t>
      </w:r>
      <w:r w:rsidRPr="00A3156C">
        <w:rPr>
          <w:rFonts w:ascii="Times New Roman" w:hAnsi="Times New Roman" w:cs="Times New Roman"/>
          <w:b w:val="0"/>
          <w:color w:val="auto"/>
          <w:sz w:val="22"/>
          <w:szCs w:val="22"/>
        </w:rPr>
        <w:t xml:space="preserve"> The microneed</w:t>
      </w:r>
      <w:r w:rsidR="003B0EA6">
        <w:rPr>
          <w:rFonts w:ascii="Times New Roman" w:hAnsi="Times New Roman" w:cs="Times New Roman"/>
          <w:b w:val="0"/>
          <w:color w:val="auto"/>
          <w:sz w:val="22"/>
          <w:szCs w:val="22"/>
        </w:rPr>
        <w:t>le works by penetrating the str</w:t>
      </w:r>
      <w:r w:rsidRPr="00A3156C">
        <w:rPr>
          <w:rFonts w:ascii="Times New Roman" w:hAnsi="Times New Roman" w:cs="Times New Roman"/>
          <w:b w:val="0"/>
          <w:color w:val="auto"/>
          <w:sz w:val="22"/>
          <w:szCs w:val="22"/>
        </w:rPr>
        <w:t xml:space="preserve">atum </w:t>
      </w:r>
      <w:proofErr w:type="spellStart"/>
      <w:r w:rsidRPr="00A3156C">
        <w:rPr>
          <w:rFonts w:ascii="Times New Roman" w:hAnsi="Times New Roman" w:cs="Times New Roman"/>
          <w:b w:val="0"/>
          <w:color w:val="auto"/>
          <w:sz w:val="22"/>
          <w:szCs w:val="22"/>
        </w:rPr>
        <w:t>corneum</w:t>
      </w:r>
      <w:proofErr w:type="spellEnd"/>
      <w:r w:rsidRPr="00A3156C">
        <w:rPr>
          <w:rFonts w:ascii="Times New Roman" w:hAnsi="Times New Roman" w:cs="Times New Roman"/>
          <w:b w:val="0"/>
          <w:color w:val="auto"/>
          <w:sz w:val="22"/>
          <w:szCs w:val="22"/>
        </w:rPr>
        <w:t xml:space="preserve"> l</w:t>
      </w:r>
      <w:r w:rsidR="001B41B7" w:rsidRPr="00A3156C">
        <w:rPr>
          <w:rFonts w:ascii="Times New Roman" w:hAnsi="Times New Roman" w:cs="Times New Roman"/>
          <w:b w:val="0"/>
          <w:color w:val="auto"/>
          <w:sz w:val="22"/>
          <w:szCs w:val="22"/>
        </w:rPr>
        <w:t>ayer of the skin accessing the interstitial fluid</w:t>
      </w:r>
      <w:r w:rsidRPr="00A3156C">
        <w:rPr>
          <w:rFonts w:ascii="Times New Roman" w:hAnsi="Times New Roman" w:cs="Times New Roman"/>
          <w:b w:val="0"/>
          <w:color w:val="auto"/>
          <w:sz w:val="22"/>
          <w:szCs w:val="22"/>
        </w:rPr>
        <w:t>, whilst avoiding the nerve fibres and blood vessels that are found within the dermis</w:t>
      </w:r>
      <w:r w:rsidR="00C67A9E">
        <w:rPr>
          <w:rFonts w:ascii="Times New Roman" w:hAnsi="Times New Roman" w:cs="Times New Roman"/>
          <w:b w:val="0"/>
          <w:color w:val="auto"/>
          <w:sz w:val="22"/>
          <w:szCs w:val="22"/>
        </w:rPr>
        <w:t>,</w:t>
      </w:r>
      <w:r w:rsidR="00C67A9E" w:rsidRPr="00A3156C">
        <w:rPr>
          <w:rFonts w:ascii="Times New Roman" w:hAnsi="Times New Roman" w:cs="Times New Roman"/>
          <w:b w:val="0"/>
          <w:color w:val="auto"/>
          <w:sz w:val="22"/>
          <w:szCs w:val="22"/>
        </w:rPr>
        <w:t xml:space="preserve"> </w:t>
      </w:r>
      <w:r w:rsidR="00C67A9E">
        <w:rPr>
          <w:rFonts w:ascii="Times New Roman" w:hAnsi="Times New Roman" w:cs="Times New Roman"/>
          <w:b w:val="0"/>
          <w:color w:val="auto"/>
          <w:sz w:val="22"/>
          <w:szCs w:val="22"/>
        </w:rPr>
        <w:t>thus offering</w:t>
      </w:r>
      <w:r w:rsidRPr="00A3156C">
        <w:rPr>
          <w:rFonts w:ascii="Times New Roman" w:hAnsi="Times New Roman" w:cs="Times New Roman"/>
          <w:b w:val="0"/>
          <w:color w:val="auto"/>
          <w:sz w:val="22"/>
          <w:szCs w:val="22"/>
        </w:rPr>
        <w:t xml:space="preserve"> a minimally invasive method for drug or metabolite monitoring. </w:t>
      </w:r>
    </w:p>
    <w:p w:rsidR="009A43CE" w:rsidRPr="00A3156C" w:rsidRDefault="009A43CE" w:rsidP="009A43CE">
      <w:pPr>
        <w:pStyle w:val="Subtitle"/>
        <w:spacing w:line="480" w:lineRule="auto"/>
        <w:jc w:val="both"/>
        <w:rPr>
          <w:rFonts w:ascii="Times New Roman" w:hAnsi="Times New Roman" w:cs="Times New Roman"/>
          <w:sz w:val="22"/>
          <w:szCs w:val="22"/>
        </w:rPr>
      </w:pPr>
      <w:r w:rsidRPr="00A3156C">
        <w:rPr>
          <w:rFonts w:ascii="Times New Roman" w:hAnsi="Times New Roman" w:cs="Times New Roman"/>
          <w:b w:val="0"/>
          <w:color w:val="auto"/>
          <w:sz w:val="22"/>
          <w:szCs w:val="22"/>
        </w:rPr>
        <w:t>Electrochemical sensors for antimicrobials in the environment, agriculture, and humans have been demonstrated for a wide range of agents used in human medicine</w:t>
      </w:r>
      <w:r w:rsidR="004A31CC">
        <w:rPr>
          <w:rFonts w:ascii="Times New Roman" w:hAnsi="Times New Roman" w:cs="Times New Roman"/>
          <w:b w:val="0"/>
          <w:color w:val="auto"/>
          <w:sz w:val="22"/>
          <w:szCs w:val="22"/>
        </w:rPr>
        <w:t xml:space="preserve"> </w:t>
      </w:r>
      <w:r w:rsidR="004A31CC" w:rsidRPr="00323004">
        <w:rPr>
          <w:rFonts w:ascii="Times New Roman" w:hAnsi="Times New Roman" w:cs="Times New Roman"/>
          <w:color w:val="auto"/>
          <w:sz w:val="20"/>
          <w:szCs w:val="20"/>
        </w:rPr>
        <w:fldChar w:fldCharType="begin" w:fldLock="1"/>
      </w:r>
      <w:r w:rsidR="004A31CC">
        <w:rPr>
          <w:rFonts w:ascii="Times New Roman" w:hAnsi="Times New Roman" w:cs="Times New Roman"/>
          <w:color w:val="auto"/>
          <w:sz w:val="20"/>
          <w:szCs w:val="20"/>
        </w:rPr>
        <w:instrText>ADDIN CSL_CITATION { "citationItems" : [ { "id" : "ITEM-1", "itemData" : { "author" : [ { "dropping-particle" : "", "family" : "Janata", "given" : "Jiei", "non-dropping-particle" : "", "parse-names" : false, "suffix" : "" }, { "dropping-particle" : "", "family" : "City", "given" : "Salt Lake", "non-dropping-particle" : "", "parse-names" : false, "suffix" : "" } ], "container-title" : "Anal Chem.", "id" : "ITEM-1", "issued" : { "date-parts" : [ [ "1985" ] ] }, "page" : "1924-1925", "title" : "pH-Based Enzyme Potentiometric Sensors", "type" : "article-journal", "volume" : "57" }, "uris" : [ "http://www.mendeley.com/documents/?uuid=e3b9588c-0f58-4920-9c04-c02d7af4ee95" ] }, { "id" : "ITEM-2", "itemData" : { "author" : [ { "dropping-particle" : "", "family" : "Matsuo", "given" : "Tadayuki", "non-dropping-particle" : "", "parse-names" : false, "suffix" : "" } ], "id" : "ITEM-2", "issue" : "June", "issued" : { "date-parts" : [ [ "1988" ] ] }, "title" : "Penicillin Sensors Based on an Ion-Sensitive Coated with Stearic Acid Langmuir-Blodgett Field Effect Membrane Transistor", "type" : "article-journal", "volume" : "4" }, "uris" : [ "http://www.mendeley.com/documents/?uuid=26484f76-41b5-4e33-a236-45734c8b9d70" ] }, { "id" : "ITEM-3", "itemData" : { "DOI" : "10.1016/S0003-2670(00)86342-4", "ISSN" : "00032670", "abstract" : "An immobilized urease sensor is developed for continuous, on-line analysis. The sensor consists of the enzyme urease, cross-linked with bovine serum albumin into a cellulose pad, with an acid-base indicator dye covalently bound to the surface of the cellulose. The sensor is placed within a flow-injection optosensing system to monitor the change in pH, and subjected to a through evaluation, using the flow-injection technique; sensor stability (both dye and enzyme stability), speed of sensor response, sensor sensitivity, sensor-to-sensor reproducibility, response to a typical interferent, and sensor lifetime data are obtained. Sensor poisoning upon exposure to low levels of mercury, and subsequent regeneration of the immobilized enzyme pad, is investigated for use as an on-line mercury sensor. The urea sensor is also evaluated for use as a continuous monitor for urea in kidney dialysate. Enzyme Michaelis-Menten constants are determined for the immobilized urease, under given assay conditions, using a stopped-flow flow-injection technique.", "author" : [ { "dropping-particle" : "", "family" : "Yerian", "given" : "T.D.", "non-dropping-particle" : "", "parse-names" : false, "suffix" : "" }, { "dropping-particle" : "", "family" : "Christian", "given" : "G.D.", "non-dropping-particle" : "", "parse-names" : false, "suffix" : "" }, { "dropping-particle" : "", "family" : "Ruzicka", "given" : "J.", "non-dropping-particle" : "", "parse-names" : false, "suffix" : "" } ], "container-title" : "Analytica Chimica Acta", "id" : "ITEM-3", "issued" : { "date-parts" : [ [ "1988" ] ] }, "page" : "7-28", "title" : "Flow injection analysis as a diagnostic technique for development and testing of chemical sensors", "type" : "article-journal", "volume" : "204" }, "uris" : [ "http://www.mendeley.com/documents/?uuid=5400ba81-e049-4568-bc8e-ba81feb971f9" ] }, { "id" : "ITEM-4", "itemData" : { "DOI" : "10.1166/sl.2009.1002", "ISSN" : "1546198X", "author" : [ { "dropping-particle" : "", "family" : "Gao", "given" : "Xianjuan", "non-dropping-particle" : "", "parse-names" : false, "suffix" : "" }, { "dropping-particle" : "", "family" : "Zhen", "given" : "Ruiyan", "non-dropping-particle" : "", "parse-names" : false, "suffix" : "" }, { "dropping-particle" : "", "family" : "Zhang", "given" : "Yujun", "non-dropping-particle" : "", "parse-names" : false, "suffix" : "" }, { "dropping-particle" : "", "family" : "Grimes", "given" : "Craig A.", "non-dropping-particle" : "", "parse-names" : false, "suffix" : "" } ], "container-title" : "Sensor Letters", "id" : "ITEM-4", "issue" : "1", "issued" : { "date-parts" : [ [ "2009", "2", "1" ] ] }, "page" : "6-10", "title" : "Detecting Penicillin in Milk with a Wireless Magnetoelastic Biosensor", "type" : "article-journal", "volume" : "7" }, "uris" : [ "http://www.mendeley.com/documents/?uuid=d784c94c-f697-4c49-8086-abd03d19b4ae" ] }, { "id" : "ITEM-5", "itemData" : { "DOI" : "10.1016/j.bios.2008.09.008", "ISSN" : "09565663", "PMID" : "18977651", "abstract" : "A highly sensitive penicillin biosensor based on a charge-transfer technique (CTTPS) has been fabricated and demonstrated in this paper. CTTPS comprised a charge accumulation technique for penicilloic acid and H+ ions perception system. With the proposed CTTPS, it is possible to amplify the sensing signals without external amplifier by using the charge accumulation cycles. The fabricated CTTPS exhibits excellent performance for penicillin detection and exhibit a high-sensitivity (47.852 mV/mM), high signal-to-noise ratio (SNR), large span (1445 mV), wide linear range (0-25 mM), fast response time (&lt;3 s), and very good reproducibility. A very lower detection limit of about 0.01 mM was observed from the proposed sensor. Under optimum conditions, the proposed CTTPS outstripped the performance of the widely used ISFET penicillin sensor and exhibited almost eight times greater sensitivity as compared to ISFET (6.56 mV/mM). The sensor system is implemented for the measurement of the penicillin concentration in penicillin fermentation broth. \u00a9 2008 Elsevier B.V. All rights reserved.", "author" : [ { "dropping-particle" : "", "family" : "Lee", "given" : "Seung Ro", "non-dropping-particle" : "", "parse-names" : false, "suffix" : "" }, { "dropping-particle" : "", "family" : "Rahman", "given" : "M. M.", "non-dropping-particle" : "", "parse-names" : false, "suffix" : "" }, { "dropping-particle" : "", "family" : "Sawada", "given" : "Kazuaki", "non-dropping-particle" : "", "parse-names" : false, "suffix" : "" }, { "dropping-particle" : "", "family" : "Ishida", "given" : "Makoto", "non-dropping-particle" : "", "parse-names" : false, "suffix" : "" } ], "container-title" : "Biosensors and Bioelectronics", "id" : "ITEM-5", "issue" : "7", "issued" : { "date-parts" : [ [ "2009" ] ] }, "page" : "1877-1882", "title" : "Fabrication of a highly sensitive penicillin sensor based on charge transfer techniques", "type" : "article-journal", "volume" : "24" }, "uris" : [ "http://www.mendeley.com/documents/?uuid=dd5bc59e-e90c-4c69-8a6c-ec447c248a5f" ] }, { "id" : "ITEM-6", "itemData" : { "DOI" : "10.1016/j.bios.2016.02.014", "ISSN" : "18734235", "PMID" : "26878484", "abstract" : "In the work, a signal-on electrochemical DNA sensor based on multiple amplification for ultrasensitive detection of antibiotics has been reported. In the presence of target, the ingeniously designed hairpin probe (HP1) is opened and the polymerase-assisted target recycling amplification is triggered, resulting in autonomous generation of secondary target. It is worth noting that the produced secondary target could not only hybridize with other HP1, but also displace the Helper from the electrode. Consequently, methylene blue labeled HP2 forms a \"close\" probe structure, and the increase of signal is monitored. The increasing current provides an ultrasensitive electrochemical detection for antibiotics down to 1.3 fM. To our best knowledge, such work is the first report about multiple recycling amplification combing with signal-on sensing strategy, which has been utilized for quantitative determination of antibiotics. It would be further used as a general strategy associated with more analytical techniques toward the detection of a wide spectrum of analytes. Thus, it holds great potential for the development of ultrasensitive biosensing platform for the applications in bioanalysis, disease diagnostics, and clinical biomedicine.", "author" : [ { "dropping-particle" : "", "family" : "Wang", "given" : "Hongzhi", "non-dropping-particle" : "", "parse-names" : false, "suffix" : "" }, { "dropping-particle" : "", "family" : "Wang", "given" : "Yu", "non-dropping-particle" : "", "parse-names" : false, "suffix" : "" }, { "dropping-particle" : "", "family" : "Liu", "given" : "Su", "non-dropping-particle" : "", "parse-names" : false, "suffix" : "" }, { "dropping-particle" : "", "family" : "Yu", "given" : "Jinghua", "non-dropping-particle" : "", "parse-names" : false, "suffix" : "" }, { "dropping-particle" : "", "family" : "Guo", "given" : "Yuna", "non-dropping-particle" : "", "parse-names" : false, "suffix" : "" }, { "dropping-particle" : "", "family" : "Xu", "given" : "Ying", "non-dropping-particle" : "", "parse-names" : false, "suffix" : "" }, { "dropping-particle" : "", "family" : "Huang", "given" : "Jiadong", "non-dropping-particle" : "", "parse-names" : false, "suffix" : "" } ], "container-title" : "Biosensors and Bioelectronics", "id" : "ITEM-6", "issued" : { "date-parts" : [ [ "2016" ] ] }, "page" : "471-476", "publisher" : "Elsevier", "title" : "Signal-on electrochemical detection of antibiotics at zeptomole level based on target-aptamer binding triggered multiple recycling amplification", "type" : "article-journal", "volume" : "80" }, "uris" : [ "http://www.mendeley.com/documents/?uuid=9928cdaf-2815-4917-97eb-c98b8e9fb177" ] }, { "id" : "ITEM-7", "itemData" : { "DOI" : "10.1016/j.bios.2012.12.058", "ISBN" : "1873-4235 (Electronic)\\r0956-5663 (Linking)", "ISSN" : "09565663", "PMID" : "23353009", "abstract" : "We present an all-polymer electrochemical microfluidic biosensor using Topas \u00ae as substrate and a conductive polymer bilayer as electrode material. The conductive bilayer consists of tosylate doped poly(3,4-ethylenedioxythiophene) (PEDOT:TsO) and the hydroxymethyl derivative PEDOT-OH:TsO, which was covalently functionalized with two aptamer probes with affinity to ampicillin or kanamycin A, respectively. Using electrochemical impedance spectroscopy (EIS) we were able to detect ampicillin in a concentration range from 100pM to 1 \u03bcM and kanamycin A from 10nM to 1mM. The obtained EIS spectra were fitted with an equivalent circuit model successfully explaining the impedance signal. Real samples from regular ultra-high temperature treated low-fat milk spiked with ampicillin were successfully tested to assess the functionality of the sensor with real samples. In conclusion, we have demonstrated the applicability of the newly developed platform for real time, label-free and selective impedimetric detection of commonly used antibiotics. Additionally it was possible to detect ampicillin in a milk sample at a concentration below the allowed maximum residue limit (MRL) in the European Union. \u00a9 2013 Elsevier B.V.", "author" : [ { "dropping-particle" : "", "family" : "Dapr\u00e0", "given" : "Johannes", "non-dropping-particle" : "", "parse-names" : false, "suffix" : "" }, { "dropping-particle" : "", "family" : "Lauridsen", "given" : "Lasse Holm", "non-dropping-particle" : "", "parse-names" : false, "suffix" : "" }, { "dropping-particle" : "", "family" : "Nielsen", "given" : "Alex Toftgaard", "non-dropping-particle" : "", "parse-names" : false, "suffix" : "" }, { "dropping-particle" : "", "family" : "Rozlosnik", "given" : "Noemi", "non-dropping-particle" : "", "parse-names" : false, "suffix" : "" } ], "container-title" : "Biosensors and Bioelectronics", "id" : "ITEM-7", "issue" : "1", "issued" : { "date-parts" : [ [ "2013" ] ] }, "page" : "315-320", "title" : "Comparative study on aptamers as recognition elements for antibiotics in a label-free all-polymer biosensor", "type" : "article-journal", "volume" : "43" }, "uris" : [ "http://www.mendeley.com/documents/?uuid=c753deea-4a46-4e18-b041-37f97bc937b9" ] }, { "id" : "ITEM-8", "itemData" : { "DOI" : "10.1007/s00216-009-2841-6", "ISBN" : "1618-2642", "ISSN" : "16182642", "PMID" : "19484227", "abstract" : "Monitoring of food products from animal origin for the presence of antimicrobial residues is preferably done using microbial screening methods because of their high cost-effectiveness. Traditionally applied methods fail to detect the maximum residue limits which were established when EU Council Regulation 2377/90 came into effect. Consequently, during the last decade this has led to the development of improved microbial screening methods. This review provides an overview of the efforts expended to bring antibiotic screening methods into compliance with EU legislation. It can be concluded that the current situation is still far from satisfactory.", "author" : [ { "dropping-particle" : "", "family" : "Pikkemaat", "given" : "Mari\u00ebl G.", "non-dropping-particle" : "", "parse-names" : false, "suffix" : "" } ], "container-title" : "Analytical and Bioanalytical Chemistry", "id" : "ITEM-8", "issue" : "4", "issued" : { "date-parts" : [ [ "2009" ] ] }, "page" : "893-905", "title" : "Microbial screening methods for detection of antibiotic residues in slaughter animals", "type" : "article-journal", "volume" : "395" }, "uris" : [ "http://www.mendeley.com/documents/?uuid=d0dc2f51-59e9-4126-aeda-f7739a1e9dfd" ] }, { "id" : "ITEM-9", "itemData" : { "DOI" : "10.1016/j.trac.2010.07.017", "ISBN" : "0165-9936", "ISSN" : "01659936", "abstract" : "Biosensors are used for a large number of applications within biotechnology, including the pharmaceutical industry and life sciences. Since the production of Biacore surface-plasmon resonance instruments in the early 1990s, there has been steadily growing use of this technology for the detection of food contaminants (e.g., veterinary drugs, mycotoxins, marine toxins, food dyes and processing contaminants). Other biosensing technologies (e.g., electrochemical and piezoelectric) have also been employed for the analysis of small-molecule contaminants. This review concentrates on recent advances made in detection and quantification of antimicrobial compounds with different types of biosensors and on the emergence of multiplexing, which is highly desirable as it increases sample analysis at lower cost and in less time. ?? 2010 Elsevier Ltd.", "author" : [ { "dropping-particle" : "", "family" : "Huet", "given" : "Anne Catherine", "non-dropping-particle" : "", "parse-names" : false, "suffix" : "" }, { "dropping-particle" : "", "family" : "Delahaut", "given" : "Philippe", "non-dropping-particle" : "", "parse-names" : false, "suffix" : "" }, { "dropping-particle" : "", "family" : "Fodey", "given" : "Terry", "non-dropping-particle" : "", "parse-names" : false, "suffix" : "" }, { "dropping-particle" : "", "family" : "Haughey", "given" : "Simon A.", "non-dropping-particle" : "", "parse-names" : false, "suffix" : "" }, { "dropping-particle" : "", "family" : "Elliott", "given" : "Christopher", "non-dropping-particle" : "", "parse-names" : false, "suffix" : "" }, { "dropping-particle" : "", "family" : "Weigel", "given" : "Stefan", "non-dropping-particle" : "", "parse-names" : false, "suffix" : "" } ], "container-title" : "TrAC - Trends in Analytical Chemistry", "id" : "ITEM-9", "issue" : "11", "issued" : { "date-parts" : [ [ "2010" ] ] }, "page" : "1281-1294", "publisher" : "Elsevier Ltd", "title" : "Advances in biosensor-based analysis for antimicrobial residues in foods", "type" : "article-journal", "volume" : "29" }, "uris" : [ "http://www.mendeley.com/documents/?uuid=f2e0159f-4ac6-4162-9dde-2e567758c113" ] }, { "id" : "ITEM-10", "itemData" : { "DOI" : "10.3390/s140508605", "ISBN" : "1424-8220", "ISSN" : "14248220", "PMID" : "24841244", "abstract" : "The concept of recognition and biofunctionality has attracted increasing interest in the fields of chemistry and material sciences. Advances in the field of nanotechnology for the synthesis of desired metal oxide nanostructures have provided a solid platform for the integration of nanoelectronic devices. These nanoelectronics-based devices have the ability to recognize molecular species of living organisms, and they have created the possibility for advanced chemical sensing functionalities with low limits of detection in \\r\\nthe nanomolar range. In this review, various metal oxides, such as ZnO-, CuO-, and \\r\\nNiO-based nanosensors, are described using different methods (receptors) of functionalization for molecular and ion recognition. These functionalized metal oxide surfaces with a specific receptor involve either a complex formation between the receptor and the analyte or an electrostatic interaction during the chemical sensing of analytes. Metal oxide nanostructures are considered revolutionary nanomaterials that have a specific surface for the immobilization of biomolecules with much needed orientation, good conformation and enhanced biological activity which further improve the sensing properties of nanosensors. Metal oxide nanostructures are associated with certain unique optical, electrical and molecular characteristics in addition to unique functionalities and surface charge features which shows attractive platforms for interfacing biorecognition elements with effective transducing properties for signal amplification. There is a great opportunity in the near future for metal oxide nanostructure-based miniaturization and the development of engineering sensor devices.", "author" : [ { "dropping-particle" : "", "family" : "Willander", "given" : "Magnus", "non-dropping-particle" : "", "parse-names" : false, "suffix" : "" }, { "dropping-particle" : "", "family" : "Khun", "given" : "Kimleang", "non-dropping-particle" : "", "parse-names" : false, "suffix" : "" }, { "dropping-particle" : "", "family" : "Ibupoto", "given" : "Zafar Hussain", "non-dropping-particle" : "", "parse-names" : false, "suffix" : "" } ], "container-title" : "Sensors (Switzerland)", "id" : "ITEM-10", "issue" : "5", "issued" : { "date-parts" : [ [ "2014" ] ] }, "page" : "8605-8632", "title" : "Metal oxide nanosensors using polymeric membranes, enzymes and antibody receptors as ion and molecular recognition elements", "type" : "article-journal", "volume" : "14" }, "uris" : [ "http://www.mendeley.com/documents/?uuid=5ec19c6e-57f5-4209-a361-4a85c8edc1be" ] }, { "id" : "ITEM-11", "itemData" : { "DOI" : "10.3390/s100402851", "ISSN" : "14248220", "PMID" : "22319276", "abstract" : "A sensitive and reliable potentiometric biosensor for determination of penicillin has been developed by exploiting the self-limiting growth of the non-conducting polymer, polytyramine. Optimum polytyramine-penicillinase (PTy-PNCnase) films for potentiometric detection of penicillin were accomplished with monomer solutions which contained 0.03 M tyramine, 37 U/mL penicillinase, 0.01 M KNO3, and 3 mM penicillin with an applied current density of 0.8 mA/cm2 and an electropolymerisation time of 40 seconds. The potentiometric biosensor gave a linear concentration range of 3\u2013283 \u00b5M for penicillin and achieved a minimum detectable concentration of 0.3 \u00b5M. The biosensor was successfully utilized for the detection of Amoxycillin and gave an average percentage recovery of 102 \u00b1 6%. Satisfactory recoveries of penicillin G were also achieved in milk samples with the potentiometric biosensor when concentrations are \u226520 ppm.", "author" : [ { "dropping-particle" : "", "family" : "Ismail", "given" : "Fatma", "non-dropping-particle" : "", "parse-names" : false, "suffix" : "" }, { "dropping-particle" : "", "family" : "Adeloju", "given" : "Samuel B.", "non-dropping-particle" : "", "parse-names" : false, "suffix" : "" } ], "container-title" : "Sensors", "id" : "ITEM-11", "issue" : "4", "issued" : { "date-parts" : [ [ "2010" ] ] }, "page" : "2851-2868", "title" : "Galvanostatic entrapment of penicillinase into polytyramine films and its utilization for the potentiometric determination of penicillin", "type" : "article-journal", "volume" : "10" }, "uris" : [ "http://www.mendeley.com/documents/?uuid=5a278208-a354-4e5f-aac0-c6c3799c4174" ] }, { "id" : "ITEM-12", "itemData" : { "DOI" : "10.1002/adfm.200900823", "ISBN" : "1616-301X", "ISSN" : "1616301X", "abstract" : "A liquid crystal (LC)-based pH sensor for real-time monitoring of changes in localized pH values near a solid surface is reported, along with its application for the detection of enzymatic activities. It is found that 4-cyano-4(-pentylbiphenyl (5CB), when doped with 4(-pentyl-biphenyl-4- carboxylic acid (PBA), shows a bright-to-dark optical response to a very small change in pH (from 6.9 to 7.0). The pH-driven optical response can be explained by using orientational transitions of 5CB induced by the protonation and deprotonation of PBA at the aqueous/LC interface. Because of its high pH sensitivity, the LC-based sensor is further exploited for monitoring local pH changes resulting from enzymatic reactions. As a proof of concept, the hydrolysis of penicillin G by surface-immobilized penicillinase is monitored using the system, even when the concentration of penicillin G is as low as 1 nM. This type of LC-based sensor may find potential utilities in high-throughput screening of enzyme substrates and enzyme inhibitors.", "author" : [ { "dropping-particle" : "", "family" : "Bi", "given" : "Xinyan", "non-dropping-particle" : "", "parse-names" : false, "suffix" : "" }, { "dropping-particle" : "", "family" : "Hartono", "given" : "Deny", "non-dropping-particle" : "", "parse-names" : false, "suffix" : "" }, { "dropping-particle" : "", "family" : "Yang", "given" : "Kun Lin", "non-dropping-particle" : "", "parse-names" : false, "suffix" : "" } ], "container-title" : "Advanced Functional Materials", "id" : "ITEM-12", "issue" : "23", "issued" : { "date-parts" : [ [ "2009" ] ] }, "page" : "3760-3765", "title" : "Real-time liquid crystal pH sensor for monitoring enzymatic activities of penicillinase", "type" : "article-journal", "volume" : "19" }, "uris" : [ "http://www.mendeley.com/documents/?uuid=d9dc8caa-a51a-4942-bb56-2adf8aef8dea" ] }, { "id" : "ITEM-13", "itemData" : { "DOI" : "10.1016/j.elecom.2013.11.022", "ISSN" : "13882481", "abstract" : "A biosensor for penicillin G was created by immobilizing penicillinase to a gold electrode by means of a cysteine self-assembled monolayer. The biosensor amperometrically monitored the catalytic hydrolysis of penicillin in a very sensible manner. Furthermore, it was successfully used to measure the Michaelis-Menten enzymatic constant and a low limit of detection of 4.5 nM was obtained. ?? 2013 Elsevier B.V.", "author" : [ { "dropping-particle" : "", "family" : "Gon\u00e7alves", "given" : "Lu\u00eds Moreira", "non-dropping-particle" : "", "parse-names" : false, "suffix" : "" }, { "dropping-particle" : "", "family" : "Callera", "given" : "Welder F a", "non-dropping-particle" : "", "parse-names" : false, "suffix" : "" }, { "dropping-particle" : "", "family" : "Sotomayor", "given" : "Maria D P T", "non-dropping-particle" : "", "parse-names" : false, "suffix" : "" }, { "dropping-particle" : "", "family" : "Bueno", "given" : "Paulo R.", "non-dropping-particle" : "", "parse-names" : false, "suffix" : "" } ], "container-title" : "Electrochemistry Communications", "id" : "ITEM-13", "issued" : { "date-parts" : [ [ "2014" ] ] }, "page" : "131-133", "title" : "Penicillinase-based amperometric biosensor for penicillin G", "type" : "article-journal", "volume" : "38" }, "uris" : [ "http://www.mendeley.com/documents/?uuid=d745daec-b18e-422f-a9fa-8631e2fde604" ] }, { "id" : "ITEM-14", "itemData" : { "DOI" : "10.1016/j.bios.2014.09.062", "ISSN" : "18734235", "PMID" : "25314619", "abstract" : "Penicillinase-modified AlGaN/GaN field-effect transistors (PenFETs) are utilized to systematically investigate the covalently immobilized enzyme penicillinase under different experimental conditions. We demonstrate quantitative evaluation of covalently immobilized penicillinase layers on pH-sensitive field-effect transistors (FETs) using an analytical kinetic PenFET model. This kinetic model is explicitly suited for devices with thin enzyme layers that are not diffusion-limited, as it is the case for the PenFETs discussed here. By means of the kinetic model it was possible to extract the Michaelis constant of covalently immobilized penicillinase as well as relative transport coefficients of the different species associated with the enzymatic reaction which, exempli gratia, give information about the permeability of the enzymatic layer. Based on this analysis we quantify the reproducibility and the stability of the analyzed PenFETs over the course of 33 days as well as the influence of pH and buffer concentration on the properties of the enzymatic layer. Thereby the stability measurements reveal a Michalis constant KM of (67??13)??M while the chronological development of the relative transport coefficients suggests a detachment of physisorbed penicillinase during the first two weeks since production. Our results show that AlGaN/GaN PenFETs prepared by covalent immobilization of a penicillinase enzyme layer present a powerful tool for quantitative analysis of enzyme functionality.", "author" : [ { "dropping-particle" : "", "family" : "M\u00fcntze", "given" : "Gesche Mareike", "non-dropping-particle" : "", "parse-names" : false, "suffix" : "" }, { "dropping-particle" : "", "family" : "Baur", "given" : "Barbara", "non-dropping-particle" : "", "parse-names" : false, "suffix" : "" }, { "dropping-particle" : "", "family" : "Sch\u00e4fer", "given" : "Wladimir", "non-dropping-particle" : "", "parse-names" : false, "suffix" : "" }, { "dropping-particle" : "", "family" : "Sasse", "given" : "Alexander", "non-dropping-particle" : "", "parse-names" : false, "suffix" : "" }, { "dropping-particle" : "", "family" : "Howgate", "given" : "John", "non-dropping-particle" : "", "parse-names" : false, "suffix" : "" }, { "dropping-particle" : "", "family" : "R\u00f6th", "given" : "Kai", "non-dropping-particle" : "", "parse-names" : false, "suffix" : "" }, { "dropping-particle" : "", "family" : "Eickhoff", "given" : "Martin", "non-dropping-particle" : "", "parse-names" : false, "suffix" : "" } ], "container-title" : "Biosensors and Bioelectronics", "id" : "ITEM-14", "issued" : { "date-parts" : [ [ "2015" ] ] }, "page" : "605-610", "publisher" : "Elsevier", "title" : "Quantitative analysis of immobilized penicillinase using enzyme-modified AlGaN/GaN field-effect transistors", "type" : "article-journal", "volume" : "64" }, "uris" : [ "http://www.mendeley.com/documents/?uuid=45a8e5dd-911c-4d66-9871-33a6c144a423" ] }, { "id" : "ITEM-15", "itemData" : { "DOI" : "10.1021/ac00120a007", "ISSN" : "00032700", "PMID" : "8633784", "abstract" : "An optical penicillin biosensor is described, based on the enzyme penicillinase. The sensor is fabricated by selective photodeposition of analyte-sensitive polymer matrices on optical imaging fibers. The penicillin-sensitive matrices are fabricated by immobilizing the enzyme as micrometer-sized particles in a polymer hydrogel with a covalently bound pH indicator. An array of penicillin-sensitive and pH-sensitive matrices are fabricated on the same fiber. This array allows for the simultaneous, independent measurement of pH and penicillin. Independent measurement of the two analytes allows penicillin to be quantitated in the presence of a concurrent pH change. An analysis was conducted of enzyme kinetic parameters in order to model the penicillin response of the sensor at all pH values. This analysis accounts for the varying activity of the immobilized penicillinase at different pH values. The sensor detects penicillin in the range 0.25-10.0 mM in the pH range 6.2-7.5. The sensor was used to quantify penicillin concentration produced during a Penicillium chrysogenum fermentation.", "author" : [ { "dropping-particle" : "", "family" : "Healey", "given" : "Brian G.", "non-dropping-particle" : "", "parse-names" : false, "suffix" : "" }, { "dropping-particle" : "", "family" : "Walt", "given" : "David R.", "non-dropping-particle" : "", "parse-names" : false, "suffix" : "" } ], "container-title" : "Analytical Chemistry", "id" : "ITEM-15", "issue" : "24", "issued" : { "date-parts" : [ [ "1995" ] ] }, "page" : "4471-4476", "title" : "Improved fiber-optic chemical sensor for penicillin", "type" : "article-journal", "volume" : "67" }, "uris" : [ "http://www.mendeley.com/documents/?uuid=6cbc07da-ea84-4fdd-9a70-2cdbe156f047" ] }, { "id" : "ITEM-16", "itemData" : { "DOI" : "10.1016/j.bios.2009.07.007", "ISBN" : "1873-4235 (Electronic)\\r0956-5663 (Linking)", "ISSN" : "09565663", "PMID" : "19651505", "abstract" : "Silicon-based sensors incorporating biomolecules are advantageous for processing and possible biological recognition in a small, reliable and rugged manufactured device. In this study, we report on the functionalization of field-effect (bio-)chemical sensors with layer-by-layer (LbL) films containing single-walled carbon nanotubes (SWNTs) and polyamidoamine (PAMAM) dendrimers. A capacitive electrolyte-insulator-semiconductor (EIS) structure modified with carbon nanotubes (EIS-NT) was built, which could be used as a penicillin biosensor. From atomic force microscopy (AFM) and field-emission scanning electron microscopy (FESEM) images, the LbL films were shown to be highly porous due to interpenetration of SWNTs into the dendrimer layers. Capacitance-voltage (C/V) measurements pointed to a high pH sensitivity of ca. 55 mV/pH for the EIS-NT structures. The biosensing ability towards penicillin of an EIS-NT-penicillinase biosensor was also observed as the flat-band voltage shifted to lower potentials at different penicillin concentrations. A dynamic response of penicillin concentrations, ranging from 5.0 \u03bcM to 25 mM, was evaluated for an EIS-NT with the penicillinase enzyme immobilized onto the surfaces, via constant-capacitance (ConCap) measurements, achieving a sensitivity of ca. 116 mV/decade. The presence of the nanostructured PAMAM/SWNT LbL film led to sensors with higher sensitivity and better performance. \u00a9 2009 Elsevier B.V. All rights reserved.", "author" : [ { "dropping-particle" : "", "family" : "Siqueira", "given" : "Jos\u00e9 R.", "non-dropping-particle" : "", "parse-names" : false, "suffix" : "" }, { "dropping-particle" : "", "family" : "Abouzar", "given" : "Maryam H.", "non-dropping-particle" : "", "parse-names" : false, "suffix" : "" }, { "dropping-particle" : "", "family" : "Poghossian", "given" : "Arshak", "non-dropping-particle" : "", "parse-names" : false, "suffix" : "" }, { "dropping-particle" : "", "family" : "Zucolotto", "given" : "Valtencir", "non-dropping-particle" : "", "parse-names" : false, "suffix" : "" }, { "dropping-particle" : "", "family" : "Oliveira", "given" : "Osvaldo N.", "non-dropping-particle" : "", "parse-names" : false, "suffix" : "" }, { "dropping-particle" : "", "family" : "Sch\u00f6ning", "given" : "Michael J.", "non-dropping-particle" : "", "parse-names" : false, "suffix" : "" } ], "container-title" : "Biosensors and Bioelectronics", "id" : "ITEM-16", "issue" : "2", "issued" : { "date-parts" : [ [ "2009" ] ] }, "page" : "497-501", "title" : "Penicillin biosensor based on a capacitive field-effect structure functionalized with a dendrimer/carbon nanotube multilayer", "type" : "article-journal", "volume" : "25" }, "uris" : [ "http://www.mendeley.com/documents/?uuid=f30f397e-92b5-4bc4-8361-243c747528ba" ] }, { "id" : "ITEM-17", "itemData" : { "DOI" : "10.1016/j.trac.2010.06.004", "ISBN" : "0165-9936", "ISSN" : "01659936", "abstract" : "Antibiotic residues in edible animal products are of great concern to regulatory agencies and consumers, so reliable screening methods for rapid, selective and sensitive detection of these residues are necessary to ensure food safety.In recent years, great efforts have been made to simplify the treatment of solid food samples and also to introduce high-throughput methods, so different screening methods have been developed.This review presents a general overview on the progress of the three most important screening approaches to detect antibiotic residues in food samples (i.e. immunoassays, microbiological tests and biosensors). Their main advantages are short analysis time, high sensitivity and selectivity for immunoassays, simplicity and low cost for microbiological tests, and automation and the possibility of in situ analysis for biosensors. Moreover, it is important to note a great increase in the number of commercial kits.Regarding the detection mode employed, the lowest limits of detection were achieved using microbiological inhibition tests and immunoassays with time-resolved fluorometry detection, so antibiotic residues at levels lower than the maximum residue limits established by legislation were detected. \u00a9 2010 Elsevier Ltd.", "author" : [ { "dropping-particle" : "", "family" : "Ch\u00e1fer-Peric\u00e1s", "given" : "Consuelo", "non-dropping-particle" : "", "parse-names" : false, "suffix" : "" }, { "dropping-particle" : "", "family" : "Maquieira", "given" : "\u00c1ngel", "non-dropping-particle" : "", "parse-names" : false, "suffix" : "" }, { "dropping-particle" : "", "family" : "Puchades", "given" : "Rosa", "non-dropping-particle" : "", "parse-names" : false, "suffix" : "" } ], "container-title" : "TrAC - Trends in Analytical Chemistry", "id" : "ITEM-17", "issue" : "9", "issued" : { "date-parts" : [ [ "2010" ] ] }, "page" : "1038-1049", "title" : "Fast screening methods to detect antibiotic residues in food samples", "type" : "article-journal", "volume" : "29" }, "uris" : [ "http://www.mendeley.com/documents/?uuid=8f1497b3-d447-4118-810b-526951b1a276" ] }, { "id" : "ITEM-18", "itemData" : { "DOI" : "10.1021/ac101491d", "ISSN" : "0003-2700", "author" : [ { "dropping-particle" : "", "family" : "Rowe", "given" : "Aaron A.", "non-dropping-particle" : "", "parse-names" : false, "suffix" : "" }, { "dropping-particle" : "", "family" : "Miller", "given" : "Erin A.", "non-dropping-particle" : "", "parse-names" : false, "suffix" : "" }, { "dropping-particle" : "", "family" : "Plaxco", "given" : "Kevin W.", "non-dropping-particle" : "", "parse-names" : false, "suffix" : "" } ], "container-title" : "Analytical Chemistry", "id" : "ITEM-18", "issue" : "17", "issued" : { "date-parts" : [ [ "2010", "9" ] ] }, "page" : "7090-7095", "title" : "Reagentless Measurement of Aminoglycoside Antibiotics in Blood Serum via an Electrochemical, Ribonucleic Acid Aptamer-Based Biosensor", "type" : "article-journal", "volume" : "82" }, "uris" : [ "http://www.mendeley.com/documents/?uuid=fbd04159-e777-482d-b741-237eebecf87d" ] }, { "id" : "ITEM-19", "itemData" : { "DOI" : "10.1016/j.bios.2012.01.017", "ISBN" : "0956-5663", "ISSN" : "09565663", "PMID" : "22317834", "abstract" : "Paper supports were used to develop a simple, inexpensive, fast and sensitive electrochemical immunosensor for the analysis of antibiotic residues in milk samples, where single-walled carbon nanotubes (SWNTs) and a simple dip-dry coating method were employed to prepare the highly sensitive biosensor. Well-dispersed SWNTs were impregnated with an antibody against neomycin to obtain a composite coating solution, followed by dipping the filtration paper in the solution to fabricate the sensitive biosensor which had high electrical conductivity. Based on the impedance change in the entire paper supported biosensor with increased concentrations of neomycin, the limit detection of the optimized method was 0.04ngmL -1 and a linear detection range from 0.2 to 125ngmL -1, well below the European Union regulations for neomycin in this matrix. This paper supported biosensor was applied to determine neomycin in milk samples after a simple sample treatment, with spiked recoveries which ranged from 93.25 to 110.47%. A variety of antibiotic residues in milk samples could be determined following similar sensor preparation. ?? 2012 Elsevier B.V.", "author" : [ { "dropping-particle" : "", "family" : "Wu", "given" : "Xiaoling", "non-dropping-particle" : "", "parse-names" : false, "suffix" : "" }, { "dropping-particle" : "", "family" : "Kuang", "given" : "Hua", "non-dropping-particle" : "", "parse-names" : false, "suffix" : "" }, { "dropping-particle" : "", "family" : "Hao", "given" : "Changlong", "non-dropping-particle" : "", "parse-names" : false, "suffix" : "" }, { "dropping-particle" : "", "family" : "Xing", "given" : "Changrui", "non-dropping-particle" : "", "parse-names" : false, "suffix" : "" }, { "dropping-particle" : "", "family" : "Wang", "given" : "Libing", "non-dropping-particle" : "", "parse-names" : false, "suffix" : "" }, { "dropping-particle" : "", "family" : "Xu", "given" : "Chuanlai", "non-dropping-particle" : "", "parse-names" : false, "suffix" : "" } ], "container-title" : "Biosensors and Bioelectronics", "id" : "ITEM-19", "issue" : "1", "issued" : { "date-parts" : [ [ "2012" ] ] }, "page" : "309-312", "publisher" : "Elsevier B.V.", "title" : "Paper supported immunosensor for detection of antibiotics", "type" : "article-journal", "volume" : "33" }, "uris" : [ "http://www.mendeley.com/documents/?uuid=ce62ff0a-679f-4ff0-a0a6-a3d3902d536c" ] }, { "id" : "ITEM-20", "itemData" : { "DOI" : "10.1126/scitranslmed.3007095", "ISSN" : "1946-6234", "author" : [ { "dropping-particle" : "", "family" : "Ferguson", "given" : "B Scott", "non-dropping-particle" : "", "parse-names" : false, "suffix" : "" }, { "dropping-particle" : "", "family" : "Hoggarth", "given" : "David A", "non-dropping-particle" : "", "parse-names" : false, "suffix" : "" }, { "dropping-particle" : "", "family" : "Maliniak", "given" : "Dan", "non-dropping-particle" : "", "parse-names" : false, "suffix" : "" }, { "dropping-particle" : "", "family" : "Ploense", "given" : "Kyle", "non-dropping-particle" : "", "parse-names" : false, "suffix" : "" }, { "dropping-particle" : "", "family" : "White", "given" : "Ryan J", "non-dropping-particle" : "", "parse-names" : false, "suffix" : "" }, { "dropping-particle" : "", "family" : "Woodward", "given" : "Nick", "non-dropping-particle" : "", "parse-names" : false, "suffix" : "" }, { "dropping-particle" : "", "family" : "Hsieh", "given" : "Kuangwen", "non-dropping-particle" : "", "parse-names" : false, "suffix" : "" }, { "dropping-particle" : "", "family" : "Bonham", "given" : "Andrew J", "non-dropping-particle" : "", "parse-names" : false, "suffix" : "" }, { "dropping-particle" : "", "family" : "Eisenstein", "given" : "Michael", "non-dropping-particle" : "", "parse-names" : false, "suffix" : "" }, { "dropping-particle" : "", "family" : "Kippin", "given" : "T. E.", "non-dropping-particle" : "", "parse-names" : false, "suffix" : "" }, { "dropping-particle" : "", "family" : "Plaxco", "given" : "Kevin W", "non-dropping-particle" : "", "parse-names" : false, "suffix" : "" }, { "dropping-particle" : "", "family" : "Soh", "given" : "H Tom", "non-dropping-particle" : "", "parse-names" : false, "suffix" : "" } ], "container-title" : "Science Translational Medicine", "id" : "ITEM-20", "issue" : "213", "issued" : { "date-parts" : [ [ "2013", "11", "27" ] ] }, "page" : "213ra165-213ra165", "title" : "Real-Time, Aptamer-Based Tracking of Circulating Therapeutic Agents in Living Animals", "type" : "article-journal", "volume" : "5" }, "uris" : [ "http://www.mendeley.com/documents/?uuid=9b0084b0-9a76-4d4e-bbf1-3662b3809f39" ] }, { "id" : "ITEM-21", "itemData" : { "DOI" : "10.1021/ac4029054", "ISBN" : "1520-6882 (Electronic)\\r0003-2700 (Linking)", "ISSN" : "00032700", "PMID" : "24377296", "abstract" : "Folding-based electrochemical sensors utilizing structure-switching aptamers are specific, selective, sensitive, and widely applicable to the detection of a variety of target analytes. The specificity is achieved by the binding properties of an electrode-bound RNA or DNA aptamer biorecognition element. Signaling in this class of sensors arises from changes in electron transfer efficiency upon target-induced changes in the conformation/flexibility of the aptamer probe. These changes can be readily monitored electrochemically. Because of this signaling mechanism, there are several approaches to maximizing the analytical attributes (i.e., sensitivity, limit of detection, and observed binding affinity) of the aptamer sensor. Here, we present a systematic study of several approaches, including electrochemical interrogation parameters and biomolecular engineering of the aptamer sequence, to develop a sensor for the detection of aminoglycoside antibiotics. Specifically, through a combination of optimizing the electrochemical signal and engineering the parent 26-nucleotide RNA aptamer sequence to undergo larger conformation changes, we develop several improved sensors. These sensors exhibit binding affinities ranging from 220 nM to 42 \u03bcM, as much as a 100-fold improved limit of detection in comparison to previously reported sensors, and a variety of linear ranges including the therapeutic window for tobramycin. These data demonstrate that rational engineering of the aptamer structure to create large conformation changes upon target binding leads to improved sensor performance. We believe that the sensor design guidelines outlined here represent a general strategy for developing new aptamer folding-based electrochemical sensors.", "author" : [ { "dropping-particle" : "", "family" : "Schoukroun-Barnes", "given" : "Lauren R.", "non-dropping-particle" : "", "parse-names" : false, "suffix" : "" }, { "dropping-particle" : "", "family" : "Wagan", "given" : "Samuillah", "non-dropping-particle" : "", "parse-names" : false, "suffix" : "" }, { "dropping-particle" : "", "family" : "White", "given" : "Ryan J.", "non-dropping-particle" : "", "parse-names" : false, "suffix" : "" } ], "container-title" : "Analytical Chemistry", "id" : "ITEM-21", "issue" : "2", "issued" : { "date-parts" : [ [ "2014" ] ] }, "page" : "1131-1137", "title" : "Enhancing the analytical performance of electrochemical RNA aptamer-based sensors for sensitive detection of aminoglycoside antibiotics", "type" : "article-journal", "volume" : "86" }, "uris" : [ "http://www.mendeley.com/documents/?uuid=98835602-9dfc-4058-be66-ad54fa3749bc" ] }, { "id" : "ITEM-22", "itemData" : { "DOI" : "10.1039/c6an02338j", "ISSN" : "0003-2654", "author" : [ { "dropping-particle" : "", "family" : "Han", "given" : "Shuang", "non-dropping-particle" : "", "parse-names" : false, "suffix" : "" }, { "dropping-particle" : "", "family" : "Li", "given" : "Bingqian", "non-dropping-particle" : "", "parse-names" : false, "suffix" : "" }, { "dropping-particle" : "", "family" : "Song", "given" : "Ze", "non-dropping-particle" : "", "parse-names" : false, "suffix" : "" }, { "dropping-particle" : "", "family" : "Pan", "given" : "Sihao", "non-dropping-particle" : "", "parse-names" : false, "suffix" : "" }, { "dropping-particle" : "", "family" : "Zhang", "given" : "Zhichao", "non-dropping-particle" : "", "parse-names" : false, "suffix" : "" }, { "dropping-particle" : "", "family" : "Yao", "given" : "Hui", "non-dropping-particle" : "", "parse-names" : false, "suffix" : "" }, { "dropping-particle" : "", "family" : "Zhu", "given" : "Shuyun", "non-dropping-particle" : "", "parse-names" : false, "suffix" : "" }, { "dropping-particle" : "", "family" : "Xu", "given" : "Guobao", "non-dropping-particle" : "", "parse-names" : false, "suffix" : "" } ], "id" : "ITEM-22", "issued" : { "date-parts" : [ [ "2017" ] ] }, "page" : "218-223", "publisher" : "Royal Society of Chemistry", "title" : "A kanamycin sensor based on an electrosynthesized molecularly imprinted poly-o-phenylenediamine film on a single-walled carbon nanohorn modified glassy carbon electrode", "type" : "article-journal" }, "uris" : [ "http://www.mendeley.com/documents/?uuid=353a1b53-7f2a-4d84-84ad-276b9820d0fe" ] }, { "id" : "ITEM-23", "itemData" : { "DOI" : "10.1016/j.talanta.2016.09.013", "ISSN" : "0039-9140", "abstract" : "a b s t r a c t Chloramphenicol (CAP), as a broad-spectrum antibiotic, has been worldwide banned for using in the food producing animals due to its overuse may cause severe threats to public health. It is therefore highly desirable to develop facile, selective and sensitive biosensor for CAP detection and monitoring in drug and foodstuff samples. In this work, three-dimensional reduced graphene oxide (3DRGO) architectures were prepared through a green and template-free approach and used as active electrode materials to develop a highly selective electrochemical sensor for CAP detection. The spontaneous reduction and assembly of graphene oxide via zinc foil was completed at room temperature, followed by washing with diluted hydrogen chloride solution, to produce 3DRGO. The as-prepared 3DRGO were characterized by scanning electron microscopy (SEM), transmission electron microscope (TEM), X-ray diffraction (XRD), X-ray photoelectron spectroscopy (XPS) and Raman spectroscopy. An electrochemical biosensor for CAP was constructed based on 3DRGO-modified glass carbon electrode (3DRGO/GCE). It was revealed that the present 3DRGO/GCE sensor exhibited a remarkable performance with a detection range of 1\u2013113 \u03bcmol L \u2012 1 and a detection limit of 0.15 \u03bcmol L \u20121 at physiological pH 7.4. Moreover, the sensor showed an excellent selectivity, stability, reproducibility, and satisfying recovery result for CAP detection in real samples.", "author" : [ { "dropping-particle" : "", "family" : "Zhang", "given" : "Xuan", "non-dropping-particle" : "", "parse-names" : false, "suffix" : "" }, { "dropping-particle" : "", "family" : "Zhang", "given" : "Yi-Chi", "non-dropping-particle" : "", "parse-names" : false, "suffix" : "" }, { "dropping-particle" : "", "family" : "Zhang", "given" : "Jia-Wei", "non-dropping-particle" : "", "parse-names" : false, "suffix" : "" } ], "container-title" : "Talanta", "id" : "ITEM-23", "issued" : { "date-parts" : [ [ "2016" ] ] }, "page" : "567-573", "publisher" : "Elsevier", "title" : "A highly selective electrochemical sensor for chloramphenicol based on three-dimensional reduced graphene oxide architectures", "type" : "article-journal", "volume" : "161" }, "uris" : [ "http://www.mendeley.com/documents/?uuid=889b1be9-97ba-4d8e-8683-175e658bd0ff" ] }, { "id" : "ITEM-24", "itemData" : { "DOI" : "10.1002/chem.201602434", "ISSN" : "1521-3765", "PMID" : "27529758", "abstract" : "The sensing and accurate determination of antibiotics in various environments represents a big challenge, mainly owing to their widespread use in medicine, veterinary practice, and other fields. Therefore, a new, simple electrochemical sensor for the detection of antibiotic chloramphenicol (CAP) has been developed in this work. The amplification strategy of the sensor is based on the application of magnetite nanostructures stabilized with carboxymethyl cellulose (Fe3 O4 -CMC) and decorated with nanometer-sized Au nanoparticles (NPs) (Fe3 O4 -CMC@Au). In this case, CMC serves as a stabilizing agent, preventing the aggregation of Fe3 O4 NPs, and hence, enabling the kinetic barrier for electron transport to be overcome, and the Au NPs serve as an electron-conducting tunnel for better electron transport. As a proof of concept, the developed nanosensor is used for the detection of CAP in human urine samples, giving a recovery value of around 97 %, which indicates the high accuracy of the as-prepared nanosensor.", "author" : [ { "dropping-particle" : "", "family" : "Jakubec", "given" : "Petr", "non-dropping-particle" : "", "parse-names" : false, "suffix" : "" }, { "dropping-particle" : "", "family" : "Urbanov\u00e1", "given" : "Veronika", "non-dropping-particle" : "", "parse-names" : false, "suffix" : "" }, { "dropping-particle" : "", "family" : "Med\u0159\u00edkov\u00e1", "given" : "Zdenka", "non-dropping-particle" : "", "parse-names" : false, "suffix" : "" }, { "dropping-particle" : "", "family" : "Zbo\u0159il", "given" : "Radek", "non-dropping-particle" : "", "parse-names" : false, "suffix" : "" } ], "container-title" : "Chemistry (Weinheim an der Bergstrasse, Germany)", "id" : "ITEM-24", "issue" : "40", "issued" : { "date-parts" : [ [ "2016", "9", "26" ] ] }, "page" : "14279-84", "title" : "Advanced Sensing of Antibiotics with Magnetic Gold Nanocomposite: Electrochemical Detection of Chloramphenicol.", "type" : "article-journal", "volume" : "22" }, "uris" : [ "http://www.mendeley.com/documents/?uuid=f2696b1a-6916-4043-a83a-fe8e1c179972" ] }, { "id" : "ITEM-25", "itemData" : { "DOI" : "10.1016/j.jcis.2016.09.029", "ISSN" : "10957103", "abstract" : "We have described a hybrid material that consists of molybdenum disulfide nanosheets (MoS2) coated on functionalized multiwalled carbon nanotubes (f-MWCNTs) for sensitive and selective determination of chloramphenicol (CAP). The MoS2/f-MWCNTs nanocomposite was successfully prepared through a hydrothermal process and its structure was characterized by scanning electron microscopy, transmission electron microscopy, energy-dispersive X-ray spectroscopy, electrochemical impedance spectroscopy and cyclic voltammetry. The MoS2/f-MWCNTs nanocomposite holds excellent electrochemical properties and it displays excellent electrocatalytic ability to CAP. Under optimized working conditions, the nanocomposite film modified electrode responds linearly to CAP in the concentration range of 0.08???1392????M. The detection limit was obtained as 0.015????M (??0.003). The electrode has high level of selectivity in presence of large excess concentrations of interfering species. In addition, the modified electrode offers satisfactory repeatability, reproducibility and stability. The practical applicability of the electrode was demonstrated in food samples such as, milk, powdered milk and honey samples and the recoveries are agreeable which clearly revealed its practical feasibility in food analysis.", "author" : [ { "dropping-particle" : "", "family" : "Govindasamy", "given" : "Mani", "non-dropping-particle" : "", "parse-names" : false, "suffix" : "" }, { "dropping-particle" : "", "family" : "Chen", "given" : "Shen Ming", "non-dropping-particle" : "", "parse-names" : false, "suffix" : "" }, { "dropping-particle" : "", "family" : "Mani", "given" : "Veerappan", "non-dropping-particle" : "", "parse-names" : false, "suffix" : "" }, { "dropping-particle" : "", "family" : "Devasenathipathy", "given" : "Rajkumar", "non-dropping-particle" : "", "parse-names" : false, "suffix" : "" }, { "dropping-particle" : "", "family" : "Umamaheswari", "given" : "Rajaji", "non-dropping-particle" : "", "parse-names" : false, "suffix" : "" }, { "dropping-particle" : "", "family" : "Joseph Santhanaraj", "given" : "K.", "non-dropping-particle" : "", "parse-names" : false, "suffix" : "" }, { "dropping-particle" : "", "family" : "Sathiyan", "given" : "Anandaraj", "non-dropping-particle" : "", "parse-names" : false, "suffix" : "" } ], "container-title" : "Journal of Colloid and Interface Science", "id" : "ITEM-25", "issued" : { "date-parts" : [ [ "2017" ] ] }, "page" : "129-136", "publisher" : "Elsevier Inc.", "title" : "Molybdenum disulfide nanosheets coated multiwalled carbon nanotubes composite for highly sensitive determination of chloramphenicol in food samples milk, honey and powdered milk", "type" : "article-journal", "volume" : "485" }, "uris" : [ "http://www.mendeley.com/documents/?uuid=8fcf6c01-abf8-4f9c-a529-316026e990ef" ] }, { "id" : "ITEM-26", "itemData" : { "DOI" : "10.1016/j.jcis.2016.04.044", "ISSN" : "10957103", "PMID" : "27153217", "abstract" : "A simple and rapid green synthesis using Bischofia javanica Blume leaves as reducing agent was developed for the preparation of gold nanoparticles (AuNPs). AuNPs decorated graphene oxide (AuNPs/GO) was prepared and employed for the sensitive amperometric determination of chloramphenicol. The green biosynthesis requires less than 40 s to reduce gold salts to AuNPs. The formations of AuNPs and AuNPs/GO were evaluated by scanning electron and atomic force microscopies, UV-Visible and energy dispersive X-ray spectroscopies, X-ray diffraction studies, and electrochemical methods. AuNPs/GO composite film modified electrode was fabricated and shown excellent electrocatalytic ability towards chloramphenicol. Under optimal conditions, the amperometric sensing platform has delivered wide linear range of 1.5-2.95 ??M, low detection limit of 0.25 ??M and high sensitivity of 3.81 ??A ??M-1 cm-2. The developed sensor exhibited good repeatability and reproducibility, anti-interference ability and long-term storage stability. Practical feasibility of the sensor has been demonstrated in food samples (milk, powdered milk and honey) and pharmaceutical sample (eye drops). The green synthesized AuNPs/GO composite has great potential for analysis of food samples in food safety measures.", "author" : [ { "dropping-particle" : "", "family" : "Karthik", "given" : "R.", "non-dropping-particle" : "", "parse-names" : false, "suffix" : "" }, { "dropping-particle" : "", "family" : "Govindasamy", "given" : "Mani", "non-dropping-particle" : "", "parse-names" : false, "suffix" : "" }, { "dropping-particle" : "", "family" : "Chen", "given" : "Shen Ming", "non-dropping-particle" : "", "parse-names" : false, "suffix" : "" }, { "dropping-particle" : "", "family" : "Mani", "given" : "Veerappan", "non-dropping-particle" : "", "parse-names" : false, "suffix" : "" }, { "dropping-particle" : "", "family" : "Lou", "given" : "Bih Show", "non-dropping-particle" : "", "parse-names" : false, "suffix" : "" }, { "dropping-particle" : "", "family" : "Devasenathipathy", "given" : "Rajkumar", "non-dropping-particle" : "", "parse-names" : false, "suffix" : "" }, { "dropping-particle" : "", "family" : "Hou", "given" : "Yu Shen", "non-dropping-particle" : "", "parse-names" : false, "suffix" : "" }, { "dropping-particle" : "", "family" : "Elangovan", "given" : "A.", "non-dropping-particle" : "", "parse-names" : false, "suffix" : "" } ], "container-title" : "Journal of Colloid and Interface Science", "id" : "ITEM-26", "issued" : { "date-parts" : [ [ "2016" ] ] }, "page" : "46-56", "publisher" : "Elsevier Inc.", "title" : "Green synthesized gold nanoparticles decorated graphene oxide for sensitive determination of chloramphenicol in milk, powdered milk, honey and eye drops", "type" : "article-journal", "volume" : "475" }, "uris" : [ "http://www.mendeley.com/documents/?uuid=0b1af59b-5ca7-4ece-8ad7-da1c71ee7528" ] } ], "mendeley" : { "formattedCitation" : "[13\u201338]", "plainTextFormattedCitation" : "[13\u201338]", "previouslyFormattedCitation" : "[13\u201338]" }, "properties" : { "noteIndex" : 0 }, "schema" : "https://github.com/citation-style-language/schema/raw/master/csl-citation.json" }</w:instrText>
      </w:r>
      <w:r w:rsidR="004A31CC" w:rsidRPr="00323004">
        <w:rPr>
          <w:rFonts w:ascii="Times New Roman" w:hAnsi="Times New Roman" w:cs="Times New Roman"/>
          <w:color w:val="auto"/>
          <w:sz w:val="20"/>
          <w:szCs w:val="20"/>
        </w:rPr>
        <w:fldChar w:fldCharType="separate"/>
      </w:r>
      <w:r w:rsidR="004A31CC" w:rsidRPr="00323004">
        <w:rPr>
          <w:rFonts w:ascii="Times New Roman" w:hAnsi="Times New Roman" w:cs="Times New Roman"/>
          <w:b w:val="0"/>
          <w:noProof/>
          <w:color w:val="auto"/>
          <w:sz w:val="20"/>
          <w:szCs w:val="20"/>
        </w:rPr>
        <w:t>[13–38]</w:t>
      </w:r>
      <w:r w:rsidR="004A31CC" w:rsidRPr="00323004">
        <w:rPr>
          <w:rFonts w:ascii="Times New Roman" w:hAnsi="Times New Roman" w:cs="Times New Roman"/>
          <w:color w:val="auto"/>
          <w:sz w:val="20"/>
          <w:szCs w:val="20"/>
        </w:rPr>
        <w:fldChar w:fldCharType="end"/>
      </w:r>
      <w:r w:rsidRPr="00A3156C">
        <w:rPr>
          <w:rFonts w:ascii="Times New Roman" w:hAnsi="Times New Roman" w:cs="Times New Roman"/>
          <w:b w:val="0"/>
          <w:color w:val="auto"/>
          <w:sz w:val="22"/>
          <w:szCs w:val="22"/>
        </w:rPr>
        <w:t>. However, attempts to translate these into mechanisms for real-time monitoring of drug concentrations in humans currently require invasive vascular catheter insertion</w:t>
      </w:r>
      <w:r w:rsidR="004B2664" w:rsidRPr="00A3156C">
        <w:rPr>
          <w:rFonts w:ascii="Times New Roman" w:hAnsi="Times New Roman" w:cs="Times New Roman"/>
          <w:b w:val="0"/>
          <w:color w:val="auto"/>
          <w:sz w:val="22"/>
          <w:szCs w:val="22"/>
        </w:rPr>
        <w:t xml:space="preserve"> or extraction of interstitial fluid using classical </w:t>
      </w:r>
      <w:proofErr w:type="spellStart"/>
      <w:r w:rsidR="004B2664" w:rsidRPr="00A3156C">
        <w:rPr>
          <w:rFonts w:ascii="Times New Roman" w:hAnsi="Times New Roman" w:cs="Times New Roman"/>
          <w:b w:val="0"/>
          <w:color w:val="auto"/>
          <w:sz w:val="22"/>
          <w:szCs w:val="22"/>
        </w:rPr>
        <w:lastRenderedPageBreak/>
        <w:t>microdialysis</w:t>
      </w:r>
      <w:proofErr w:type="spellEnd"/>
      <w:r w:rsidR="001B41B7" w:rsidRPr="00A3156C">
        <w:rPr>
          <w:rFonts w:ascii="Times New Roman" w:hAnsi="Times New Roman" w:cs="Times New Roman"/>
          <w:b w:val="0"/>
          <w:color w:val="auto"/>
          <w:sz w:val="22"/>
          <w:szCs w:val="22"/>
        </w:rPr>
        <w:t xml:space="preserve"> </w:t>
      </w:r>
      <w:r w:rsidR="001674FB">
        <w:rPr>
          <w:rFonts w:ascii="Times New Roman" w:hAnsi="Times New Roman" w:cs="Times New Roman"/>
          <w:b w:val="0"/>
          <w:color w:val="auto"/>
          <w:sz w:val="22"/>
          <w:szCs w:val="22"/>
        </w:rPr>
        <w:fldChar w:fldCharType="begin" w:fldLock="1"/>
      </w:r>
      <w:r w:rsidR="001674FB">
        <w:rPr>
          <w:rFonts w:ascii="Times New Roman" w:hAnsi="Times New Roman" w:cs="Times New Roman"/>
          <w:b w:val="0"/>
          <w:color w:val="auto"/>
          <w:sz w:val="22"/>
          <w:szCs w:val="22"/>
        </w:rPr>
        <w:instrText>ADDIN CSL_CITATION { "citationItems" : [ { "id" : "ITEM-1", "itemData" : { "DOI" : "10.1038/srep29075", "ISSN" : "2045-2322", "PMID" : "27380889", "abstract" : "Therapeutic drug monitoring (TDM) typically requires painful blood drawn from patients. We propose a painless and minimally-invasive alternative for TDM using hollow microneedles suitable to extract extremely small volumes (&lt;1\u2009nL) of interstitial fluid to measure drug concentrations. The inner lumen of a microneedle is functionalized to be used as a micro-reactor during sample collection to trap and bind target drug candidates during extraction, without requirements of sample transfer. An optofluidic device is integrated with this microneedle to rapidly quantify drug analytes with high sensitivity using a straightforward absorbance scheme. Vancomycin is currently detected by using volumes ranging between 50-100\u2009\u03bcL with a limit of detection (LoD) of 1.35\u2009\u03bcM. The proposed microneedle-optofluidic biosensor can detect vancomycin with a sample volume of 0.6\u2009nL and a LoD of &lt;100\u2009nM, validating this painless point of care system with significant potential to reduce healthcare costs and patients suffering.", "author" : [ { "dropping-particle" : "", "family" : "Ranamukhaarachchi", "given" : "Sahan A.", "non-dropping-particle" : "", "parse-names" : false, "suffix" : "" }, { "dropping-particle" : "", "family" : "Padeste", "given" : "Celestino", "non-dropping-particle" : "", "parse-names" : false, "suffix" : "" }, { "dropping-particle" : "", "family" : "D\u00fcbner", "given" : "Matthias", "non-dropping-particle" : "", "parse-names" : false, "suffix" : "" }, { "dropping-particle" : "", "family" : "H\u00e4feli", "given" : "Urs O.", "non-dropping-particle" : "", "parse-names" : false, "suffix" : "" }, { "dropping-particle" : "", "family" : "Stoeber", "given" : "Boris", "non-dropping-particle" : "", "parse-names" : false, "suffix" : "" }, { "dropping-particle" : "", "family" : "Cadarso", "given" : "Victor J.", "non-dropping-particle" : "", "parse-names" : false, "suffix" : "" } ], "container-title" : "Scientific Reports", "id" : "ITEM-1", "issue" : "April", "issued" : { "date-parts" : [ [ "2016" ] ] }, "page" : "29075", "publisher" : "Nature Publishing Group", "title" : "Integrated hollow microneedle-optofluidic biosensor for therapeutic drug monitoring in sub-nanoliter volumes", "type" : "article-journal", "volume" : "6" }, "uris" : [ "http://www.mendeley.com/documents/?uuid=eddfdc10-7274-430a-a852-29320f7b0f07" ] }, { "id" : "ITEM-2", "itemData" : { "DOI" : "10.1126/scitranslmed.3007095", "ISSN" : "1946-6234", "author" : [ { "dropping-particle" : "", "family" : "Ferguson", "given" : "B Scott", "non-dropping-particle" : "", "parse-names" : false, "suffix" : "" }, { "dropping-particle" : "", "family" : "Hoggarth", "given" : "David A", "non-dropping-particle" : "", "parse-names" : false, "suffix" : "" }, { "dropping-particle" : "", "family" : "Maliniak", "given" : "Dan", "non-dropping-particle" : "", "parse-names" : false, "suffix" : "" }, { "dropping-particle" : "", "family" : "Ploense", "given" : "Kyle", "non-dropping-particle" : "", "parse-names" : false, "suffix" : "" }, { "dropping-particle" : "", "family" : "White", "given" : "Ryan J", "non-dropping-particle" : "", "parse-names" : false, "suffix" : "" }, { "dropping-particle" : "", "family" : "Woodward", "given" : "Nick", "non-dropping-particle" : "", "parse-names" : false, "suffix" : "" }, { "dropping-particle" : "", "family" : "Hsieh", "given" : "Kuangwen", "non-dropping-particle" : "", "parse-names" : false, "suffix" : "" }, { "dropping-particle" : "", "family" : "Bonham", "given" : "Andrew J", "non-dropping-particle" : "", "parse-names" : false, "suffix" : "" }, { "dropping-particle" : "", "family" : "Eisenstein", "given" : "Michael", "non-dropping-particle" : "", "parse-names" : false, "suffix" : "" }, { "dropping-particle" : "", "family" : "Kippin", "given" : "T. E.", "non-dropping-particle" : "", "parse-names" : false, "suffix" : "" }, { "dropping-particle" : "", "family" : "Plaxco", "given" : "Kevin W", "non-dropping-particle" : "", "parse-names" : false, "suffix" : "" }, { "dropping-particle" : "", "family" : "Soh", "given" : "H Tom", "non-dropping-particle" : "", "parse-names" : false, "suffix" : "" } ], "container-title" : "Science Translational Medicine", "id" : "ITEM-2", "issue" : "213", "issued" : { "date-parts" : [ [ "2013", "11", "27" ] ] }, "page" : "213ra165-213ra165", "title" : "Real-Time, Aptamer-Based Tracking of Circulating Therapeutic Agents in Living Animals", "type" : "article-journal", "volume" : "5" }, "uris" : [ "http://www.mendeley.com/documents/?uuid=9b0084b0-9a76-4d4e-bbf1-3662b3809f39" ] } ], "mendeley" : { "formattedCitation" : "[32,39]", "plainTextFormattedCitation" : "[32,39]" }, "properties" : { "noteIndex" : 0 }, "schema" : "https://github.com/citation-style-language/schema/raw/master/csl-citation.json" }</w:instrText>
      </w:r>
      <w:r w:rsidR="001674FB">
        <w:rPr>
          <w:rFonts w:ascii="Times New Roman" w:hAnsi="Times New Roman" w:cs="Times New Roman"/>
          <w:b w:val="0"/>
          <w:color w:val="auto"/>
          <w:sz w:val="22"/>
          <w:szCs w:val="22"/>
        </w:rPr>
        <w:fldChar w:fldCharType="separate"/>
      </w:r>
      <w:r w:rsidR="001674FB" w:rsidRPr="001674FB">
        <w:rPr>
          <w:rFonts w:ascii="Times New Roman" w:hAnsi="Times New Roman" w:cs="Times New Roman"/>
          <w:b w:val="0"/>
          <w:noProof/>
          <w:color w:val="auto"/>
          <w:sz w:val="22"/>
          <w:szCs w:val="22"/>
        </w:rPr>
        <w:t>[32,39]</w:t>
      </w:r>
      <w:r w:rsidR="001674FB">
        <w:rPr>
          <w:rFonts w:ascii="Times New Roman" w:hAnsi="Times New Roman" w:cs="Times New Roman"/>
          <w:b w:val="0"/>
          <w:color w:val="auto"/>
          <w:sz w:val="22"/>
          <w:szCs w:val="22"/>
        </w:rPr>
        <w:fldChar w:fldCharType="end"/>
      </w:r>
      <w:r w:rsidR="0095337C" w:rsidRPr="00A3156C">
        <w:rPr>
          <w:rFonts w:ascii="Times New Roman" w:hAnsi="Times New Roman" w:cs="Times New Roman"/>
          <w:b w:val="0"/>
          <w:color w:val="auto"/>
          <w:sz w:val="22"/>
          <w:szCs w:val="22"/>
        </w:rPr>
        <w:t>.</w:t>
      </w:r>
      <w:r w:rsidRPr="00A3156C">
        <w:rPr>
          <w:rFonts w:ascii="Times New Roman" w:hAnsi="Times New Roman" w:cs="Times New Roman"/>
          <w:b w:val="0"/>
          <w:color w:val="auto"/>
          <w:sz w:val="22"/>
          <w:szCs w:val="22"/>
        </w:rPr>
        <w:t xml:space="preserve"> These</w:t>
      </w:r>
      <w:r w:rsidR="0095337C" w:rsidRPr="00A3156C">
        <w:rPr>
          <w:rFonts w:ascii="Times New Roman" w:hAnsi="Times New Roman" w:cs="Times New Roman"/>
          <w:b w:val="0"/>
          <w:color w:val="auto"/>
          <w:sz w:val="22"/>
          <w:szCs w:val="22"/>
        </w:rPr>
        <w:t xml:space="preserve"> have their limitations with vascular based devices</w:t>
      </w:r>
      <w:r w:rsidRPr="00A3156C">
        <w:rPr>
          <w:rFonts w:ascii="Times New Roman" w:hAnsi="Times New Roman" w:cs="Times New Roman"/>
          <w:b w:val="0"/>
          <w:color w:val="auto"/>
          <w:sz w:val="22"/>
          <w:szCs w:val="22"/>
        </w:rPr>
        <w:t xml:space="preserve"> only be</w:t>
      </w:r>
      <w:r w:rsidR="0095337C" w:rsidRPr="00A3156C">
        <w:rPr>
          <w:rFonts w:ascii="Times New Roman" w:hAnsi="Times New Roman" w:cs="Times New Roman"/>
          <w:b w:val="0"/>
          <w:color w:val="auto"/>
          <w:sz w:val="22"/>
          <w:szCs w:val="22"/>
        </w:rPr>
        <w:t>ing</w:t>
      </w:r>
      <w:r w:rsidRPr="00A3156C">
        <w:rPr>
          <w:rFonts w:ascii="Times New Roman" w:hAnsi="Times New Roman" w:cs="Times New Roman"/>
          <w:b w:val="0"/>
          <w:color w:val="auto"/>
          <w:sz w:val="22"/>
          <w:szCs w:val="22"/>
        </w:rPr>
        <w:t xml:space="preserve"> acceptable in very specific situations in clinic</w:t>
      </w:r>
      <w:r w:rsidR="008615DD">
        <w:rPr>
          <w:rFonts w:ascii="Times New Roman" w:hAnsi="Times New Roman" w:cs="Times New Roman"/>
          <w:b w:val="0"/>
          <w:color w:val="auto"/>
          <w:sz w:val="22"/>
          <w:szCs w:val="22"/>
        </w:rPr>
        <w:t>al practice</w:t>
      </w:r>
      <w:r w:rsidRPr="00A3156C">
        <w:rPr>
          <w:rFonts w:ascii="Times New Roman" w:hAnsi="Times New Roman" w:cs="Times New Roman"/>
          <w:b w:val="0"/>
          <w:color w:val="auto"/>
          <w:sz w:val="22"/>
          <w:szCs w:val="22"/>
        </w:rPr>
        <w:t xml:space="preserve"> such as critical</w:t>
      </w:r>
      <w:r w:rsidR="008615DD">
        <w:rPr>
          <w:rFonts w:ascii="Times New Roman" w:hAnsi="Times New Roman" w:cs="Times New Roman"/>
          <w:b w:val="0"/>
          <w:color w:val="auto"/>
          <w:sz w:val="22"/>
          <w:szCs w:val="22"/>
        </w:rPr>
        <w:t xml:space="preserve"> care or at the time of surgery</w:t>
      </w:r>
      <w:r w:rsidRPr="00A3156C">
        <w:rPr>
          <w:rFonts w:ascii="Times New Roman" w:hAnsi="Times New Roman" w:cs="Times New Roman"/>
          <w:b w:val="0"/>
          <w:color w:val="auto"/>
          <w:sz w:val="22"/>
          <w:szCs w:val="22"/>
        </w:rPr>
        <w:t xml:space="preserve"> </w:t>
      </w:r>
      <w:r w:rsidR="0095337C" w:rsidRPr="00A3156C">
        <w:rPr>
          <w:rFonts w:ascii="Times New Roman" w:hAnsi="Times New Roman" w:cs="Times New Roman"/>
          <w:b w:val="0"/>
          <w:color w:val="auto"/>
          <w:sz w:val="22"/>
          <w:szCs w:val="22"/>
        </w:rPr>
        <w:t>and</w:t>
      </w:r>
      <w:r w:rsidRPr="00A3156C">
        <w:rPr>
          <w:rFonts w:ascii="Times New Roman" w:hAnsi="Times New Roman" w:cs="Times New Roman"/>
          <w:b w:val="0"/>
          <w:color w:val="auto"/>
          <w:sz w:val="22"/>
          <w:szCs w:val="22"/>
        </w:rPr>
        <w:t xml:space="preserve"> pose their own risks to th</w:t>
      </w:r>
      <w:r w:rsidR="0095337C" w:rsidRPr="00A3156C">
        <w:rPr>
          <w:rFonts w:ascii="Times New Roman" w:hAnsi="Times New Roman" w:cs="Times New Roman"/>
          <w:b w:val="0"/>
          <w:color w:val="auto"/>
          <w:sz w:val="22"/>
          <w:szCs w:val="22"/>
        </w:rPr>
        <w:t xml:space="preserve">e patient, including thrombosis </w:t>
      </w:r>
      <w:r w:rsidR="001674FB">
        <w:rPr>
          <w:rFonts w:ascii="Times New Roman" w:hAnsi="Times New Roman" w:cs="Times New Roman"/>
          <w:b w:val="0"/>
          <w:color w:val="auto"/>
          <w:sz w:val="22"/>
          <w:szCs w:val="22"/>
        </w:rPr>
        <w:fldChar w:fldCharType="begin" w:fldLock="1"/>
      </w:r>
      <w:r w:rsidR="001674FB">
        <w:rPr>
          <w:rFonts w:ascii="Times New Roman" w:hAnsi="Times New Roman" w:cs="Times New Roman"/>
          <w:b w:val="0"/>
          <w:color w:val="auto"/>
          <w:sz w:val="22"/>
          <w:szCs w:val="22"/>
        </w:rPr>
        <w:instrText>ADDIN CSL_CITATION { "citationItems" : [ { "id" : "ITEM-1", "itemData" : { "DOI" : "10.1126/scitranslmed.3007095", "ISSN" : "1946-6234", "author" : [ { "dropping-particle" : "", "family" : "Ferguson", "given" : "B Scott", "non-dropping-particle" : "", "parse-names" : false, "suffix" : "" }, { "dropping-particle" : "", "family" : "Hoggarth", "given" : "David A", "non-dropping-particle" : "", "parse-names" : false, "suffix" : "" }, { "dropping-particle" : "", "family" : "Maliniak", "given" : "Dan", "non-dropping-particle" : "", "parse-names" : false, "suffix" : "" }, { "dropping-particle" : "", "family" : "Ploense", "given" : "Kyle", "non-dropping-particle" : "", "parse-names" : false, "suffix" : "" }, { "dropping-particle" : "", "family" : "White", "given" : "Ryan J", "non-dropping-particle" : "", "parse-names" : false, "suffix" : "" }, { "dropping-particle" : "", "family" : "Woodward", "given" : "Nick", "non-dropping-particle" : "", "parse-names" : false, "suffix" : "" }, { "dropping-particle" : "", "family" : "Hsieh", "given" : "Kuangwen", "non-dropping-particle" : "", "parse-names" : false, "suffix" : "" }, { "dropping-particle" : "", "family" : "Bonham", "given" : "Andrew J", "non-dropping-particle" : "", "parse-names" : false, "suffix" : "" }, { "dropping-particle" : "", "family" : "Eisenstein", "given" : "Michael", "non-dropping-particle" : "", "parse-names" : false, "suffix" : "" }, { "dropping-particle" : "", "family" : "Kippin", "given" : "T. E.", "non-dropping-particle" : "", "parse-names" : false, "suffix" : "" }, { "dropping-particle" : "", "family" : "Plaxco", "given" : "Kevin W", "non-dropping-particle" : "", "parse-names" : false, "suffix" : "" }, { "dropping-particle" : "", "family" : "Soh", "given" : "H Tom", "non-dropping-particle" : "", "parse-names" : false, "suffix" : "" } ], "container-title" : "Science Translational Medicine", "id" : "ITEM-1", "issue" : "213", "issued" : { "date-parts" : [ [ "2013", "11", "27" ] ] }, "page" : "213ra165-213ra165", "title" : "Real-Time, Aptamer-Based Tracking of Circulating Therapeutic Agents in Living Animals", "type" : "article-journal", "volume" : "5" }, "uris" : [ "http://www.mendeley.com/documents/?uuid=9b0084b0-9a76-4d4e-bbf1-3662b3809f39" ] } ], "mendeley" : { "formattedCitation" : "[32]", "plainTextFormattedCitation" : "[32]", "previouslyFormattedCitation" : "[32]" }, "properties" : { "noteIndex" : 0 }, "schema" : "https://github.com/citation-style-language/schema/raw/master/csl-citation.json" }</w:instrText>
      </w:r>
      <w:r w:rsidR="001674FB">
        <w:rPr>
          <w:rFonts w:ascii="Times New Roman" w:hAnsi="Times New Roman" w:cs="Times New Roman"/>
          <w:b w:val="0"/>
          <w:color w:val="auto"/>
          <w:sz w:val="22"/>
          <w:szCs w:val="22"/>
        </w:rPr>
        <w:fldChar w:fldCharType="separate"/>
      </w:r>
      <w:r w:rsidR="001674FB" w:rsidRPr="001674FB">
        <w:rPr>
          <w:rFonts w:ascii="Times New Roman" w:hAnsi="Times New Roman" w:cs="Times New Roman"/>
          <w:b w:val="0"/>
          <w:noProof/>
          <w:color w:val="auto"/>
          <w:sz w:val="22"/>
          <w:szCs w:val="22"/>
        </w:rPr>
        <w:t>[32]</w:t>
      </w:r>
      <w:r w:rsidR="001674FB">
        <w:rPr>
          <w:rFonts w:ascii="Times New Roman" w:hAnsi="Times New Roman" w:cs="Times New Roman"/>
          <w:b w:val="0"/>
          <w:color w:val="auto"/>
          <w:sz w:val="22"/>
          <w:szCs w:val="22"/>
        </w:rPr>
        <w:fldChar w:fldCharType="end"/>
      </w:r>
      <w:r w:rsidR="0095337C" w:rsidRPr="00A3156C">
        <w:rPr>
          <w:rFonts w:ascii="Times New Roman" w:hAnsi="Times New Roman" w:cs="Times New Roman"/>
          <w:b w:val="0"/>
          <w:color w:val="auto"/>
          <w:sz w:val="22"/>
          <w:szCs w:val="22"/>
        </w:rPr>
        <w:t>.</w:t>
      </w:r>
      <w:r w:rsidRPr="00A3156C">
        <w:rPr>
          <w:rFonts w:ascii="Times New Roman" w:hAnsi="Times New Roman" w:cs="Times New Roman"/>
          <w:b w:val="0"/>
          <w:color w:val="auto"/>
          <w:sz w:val="22"/>
          <w:szCs w:val="22"/>
        </w:rPr>
        <w:t xml:space="preserve"> </w:t>
      </w:r>
      <w:r w:rsidR="00C67A9E">
        <w:rPr>
          <w:rFonts w:ascii="Times New Roman" w:hAnsi="Times New Roman" w:cs="Times New Roman"/>
          <w:b w:val="0"/>
          <w:color w:val="auto"/>
          <w:sz w:val="22"/>
          <w:szCs w:val="22"/>
        </w:rPr>
        <w:t>Such</w:t>
      </w:r>
      <w:r w:rsidRPr="00A3156C">
        <w:rPr>
          <w:rFonts w:ascii="Times New Roman" w:hAnsi="Times New Roman" w:cs="Times New Roman"/>
          <w:b w:val="0"/>
          <w:color w:val="auto"/>
          <w:sz w:val="22"/>
          <w:szCs w:val="22"/>
        </w:rPr>
        <w:t xml:space="preserve"> invasive device</w:t>
      </w:r>
      <w:r w:rsidR="00C67A9E">
        <w:rPr>
          <w:rFonts w:ascii="Times New Roman" w:hAnsi="Times New Roman" w:cs="Times New Roman"/>
          <w:b w:val="0"/>
          <w:color w:val="auto"/>
          <w:sz w:val="22"/>
          <w:szCs w:val="22"/>
        </w:rPr>
        <w:t>s</w:t>
      </w:r>
      <w:r w:rsidRPr="00A3156C">
        <w:rPr>
          <w:rFonts w:ascii="Times New Roman" w:hAnsi="Times New Roman" w:cs="Times New Roman"/>
          <w:b w:val="0"/>
          <w:color w:val="auto"/>
          <w:sz w:val="22"/>
          <w:szCs w:val="22"/>
        </w:rPr>
        <w:t xml:space="preserve"> would not be acceptable in the vast majority of individuals who receive antimicrobial therapy </w:t>
      </w:r>
      <w:r w:rsidR="008615DD">
        <w:rPr>
          <w:rFonts w:ascii="Times New Roman" w:hAnsi="Times New Roman" w:cs="Times New Roman"/>
          <w:b w:val="0"/>
          <w:color w:val="auto"/>
          <w:sz w:val="22"/>
          <w:szCs w:val="22"/>
        </w:rPr>
        <w:t xml:space="preserve">in settings </w:t>
      </w:r>
      <w:r w:rsidRPr="00A3156C">
        <w:rPr>
          <w:rFonts w:ascii="Times New Roman" w:hAnsi="Times New Roman" w:cs="Times New Roman"/>
          <w:b w:val="0"/>
          <w:color w:val="auto"/>
          <w:sz w:val="22"/>
          <w:szCs w:val="22"/>
        </w:rPr>
        <w:t xml:space="preserve">outside of critical care. </w:t>
      </w:r>
      <w:r w:rsidR="0095337C" w:rsidRPr="00A3156C">
        <w:rPr>
          <w:rFonts w:ascii="Times New Roman" w:hAnsi="Times New Roman" w:cs="Times New Roman"/>
          <w:b w:val="0"/>
          <w:color w:val="auto"/>
          <w:sz w:val="22"/>
          <w:szCs w:val="22"/>
        </w:rPr>
        <w:t xml:space="preserve">Furthermore, </w:t>
      </w:r>
      <w:proofErr w:type="spellStart"/>
      <w:r w:rsidR="0095337C" w:rsidRPr="00A3156C">
        <w:rPr>
          <w:rFonts w:ascii="Times New Roman" w:hAnsi="Times New Roman" w:cs="Times New Roman"/>
          <w:b w:val="0"/>
          <w:color w:val="auto"/>
          <w:sz w:val="22"/>
          <w:szCs w:val="22"/>
        </w:rPr>
        <w:t>microdialysis</w:t>
      </w:r>
      <w:proofErr w:type="spellEnd"/>
      <w:r w:rsidR="0095337C" w:rsidRPr="00A3156C">
        <w:rPr>
          <w:rFonts w:ascii="Times New Roman" w:hAnsi="Times New Roman" w:cs="Times New Roman"/>
          <w:b w:val="0"/>
          <w:color w:val="auto"/>
          <w:sz w:val="22"/>
          <w:szCs w:val="22"/>
        </w:rPr>
        <w:t xml:space="preserve"> techniques require transfer of small volumes of interstitial fluid, which not only</w:t>
      </w:r>
      <w:r w:rsidR="00C67A9E">
        <w:rPr>
          <w:rFonts w:ascii="Times New Roman" w:hAnsi="Times New Roman" w:cs="Times New Roman"/>
          <w:b w:val="0"/>
          <w:color w:val="auto"/>
          <w:sz w:val="22"/>
          <w:szCs w:val="22"/>
        </w:rPr>
        <w:t xml:space="preserve"> presents</w:t>
      </w:r>
      <w:r w:rsidR="0095337C" w:rsidRPr="00A3156C">
        <w:rPr>
          <w:rFonts w:ascii="Times New Roman" w:hAnsi="Times New Roman" w:cs="Times New Roman"/>
          <w:b w:val="0"/>
          <w:color w:val="auto"/>
          <w:sz w:val="22"/>
          <w:szCs w:val="22"/>
        </w:rPr>
        <w:t xml:space="preserve"> technical challenges but also </w:t>
      </w:r>
      <w:r w:rsidR="00C67A9E">
        <w:rPr>
          <w:rFonts w:ascii="Times New Roman" w:hAnsi="Times New Roman" w:cs="Times New Roman"/>
          <w:b w:val="0"/>
          <w:color w:val="auto"/>
          <w:sz w:val="22"/>
          <w:szCs w:val="22"/>
        </w:rPr>
        <w:t>leads to delays that mitigate against their application in real-time control</w:t>
      </w:r>
      <w:r w:rsidR="0095337C" w:rsidRPr="00A3156C">
        <w:rPr>
          <w:rFonts w:ascii="Times New Roman" w:hAnsi="Times New Roman" w:cs="Times New Roman"/>
          <w:b w:val="0"/>
          <w:color w:val="auto"/>
          <w:sz w:val="22"/>
          <w:szCs w:val="22"/>
        </w:rPr>
        <w:t xml:space="preserve"> </w:t>
      </w:r>
      <w:r w:rsidR="0095337C" w:rsidRPr="00A3156C">
        <w:rPr>
          <w:rFonts w:ascii="Times New Roman" w:hAnsi="Times New Roman" w:cs="Times New Roman"/>
          <w:b w:val="0"/>
          <w:color w:val="auto"/>
          <w:sz w:val="22"/>
          <w:szCs w:val="22"/>
        </w:rPr>
        <w:fldChar w:fldCharType="begin" w:fldLock="1"/>
      </w:r>
      <w:r w:rsidR="001674FB">
        <w:rPr>
          <w:rFonts w:ascii="Times New Roman" w:hAnsi="Times New Roman" w:cs="Times New Roman"/>
          <w:b w:val="0"/>
          <w:color w:val="auto"/>
          <w:sz w:val="22"/>
          <w:szCs w:val="22"/>
        </w:rPr>
        <w:instrText>ADDIN CSL_CITATION { "citationItems" : [ { "id" : "ITEM-1", "itemData" : { "DOI" : "10.1038/srep29075", "ISSN" : "2045-2322", "PMID" : "27380889", "abstract" : "Therapeutic drug monitoring (TDM) typically requires painful blood drawn from patients. We propose a painless and minimally-invasive alternative for TDM using hollow microneedles suitable to extract extremely small volumes (&lt;1\u2009nL) of interstitial fluid to measure drug concentrations. The inner lumen of a microneedle is functionalized to be used as a micro-reactor during sample collection to trap and bind target drug candidates during extraction, without requirements of sample transfer. An optofluidic device is integrated with this microneedle to rapidly quantify drug analytes with high sensitivity using a straightforward absorbance scheme. Vancomycin is currently detected by using volumes ranging between 50-100\u2009\u03bcL with a limit of detection (LoD) of 1.35\u2009\u03bcM. The proposed microneedle-optofluidic biosensor can detect vancomycin with a sample volume of 0.6\u2009nL and a LoD of &lt;100\u2009nM, validating this painless point of care system with significant potential to reduce healthcare costs and patients suffering.", "author" : [ { "dropping-particle" : "", "family" : "Ranamukhaarachchi", "given" : "Sahan A.", "non-dropping-particle" : "", "parse-names" : false, "suffix" : "" }, { "dropping-particle" : "", "family" : "Padeste", "given" : "Celestino", "non-dropping-particle" : "", "parse-names" : false, "suffix" : "" }, { "dropping-particle" : "", "family" : "D\u00fcbner", "given" : "Matthias", "non-dropping-particle" : "", "parse-names" : false, "suffix" : "" }, { "dropping-particle" : "", "family" : "H\u00e4feli", "given" : "Urs O.", "non-dropping-particle" : "", "parse-names" : false, "suffix" : "" }, { "dropping-particle" : "", "family" : "Stoeber", "given" : "Boris", "non-dropping-particle" : "", "parse-names" : false, "suffix" : "" }, { "dropping-particle" : "", "family" : "Cadarso", "given" : "Victor J.", "non-dropping-particle" : "", "parse-names" : false, "suffix" : "" } ], "container-title" : "Scientific Reports", "id" : "ITEM-1", "issue" : "April", "issued" : { "date-parts" : [ [ "2016" ] ] }, "page" : "29075", "publisher" : "Nature Publishing Group", "title" : "Integrated hollow microneedle-optofluidic biosensor for therapeutic drug monitoring in sub-nanoliter volumes", "type" : "article-journal", "volume" : "6" }, "uris" : [ "http://www.mendeley.com/documents/?uuid=eddfdc10-7274-430a-a852-29320f7b0f07" ] } ], "mendeley" : { "formattedCitation" : "[39]", "plainTextFormattedCitation" : "[39]", "previouslyFormattedCitation" : "[39]" }, "properties" : { "noteIndex" : 0 }, "schema" : "https://github.com/citation-style-language/schema/raw/master/csl-citation.json" }</w:instrText>
      </w:r>
      <w:r w:rsidR="0095337C" w:rsidRPr="00A3156C">
        <w:rPr>
          <w:rFonts w:ascii="Times New Roman" w:hAnsi="Times New Roman" w:cs="Times New Roman"/>
          <w:b w:val="0"/>
          <w:color w:val="auto"/>
          <w:sz w:val="22"/>
          <w:szCs w:val="22"/>
        </w:rPr>
        <w:fldChar w:fldCharType="separate"/>
      </w:r>
      <w:r w:rsidR="001674FB" w:rsidRPr="001674FB">
        <w:rPr>
          <w:rFonts w:ascii="Times New Roman" w:hAnsi="Times New Roman" w:cs="Times New Roman"/>
          <w:b w:val="0"/>
          <w:noProof/>
          <w:color w:val="auto"/>
          <w:sz w:val="22"/>
          <w:szCs w:val="22"/>
        </w:rPr>
        <w:t>[39]</w:t>
      </w:r>
      <w:r w:rsidR="0095337C" w:rsidRPr="00A3156C">
        <w:rPr>
          <w:rFonts w:ascii="Times New Roman" w:hAnsi="Times New Roman" w:cs="Times New Roman"/>
          <w:b w:val="0"/>
          <w:color w:val="auto"/>
          <w:sz w:val="22"/>
          <w:szCs w:val="22"/>
        </w:rPr>
        <w:fldChar w:fldCharType="end"/>
      </w:r>
      <w:r w:rsidR="0095337C" w:rsidRPr="00A3156C">
        <w:rPr>
          <w:rFonts w:ascii="Times New Roman" w:hAnsi="Times New Roman" w:cs="Times New Roman"/>
          <w:b w:val="0"/>
          <w:color w:val="auto"/>
          <w:sz w:val="22"/>
          <w:szCs w:val="22"/>
        </w:rPr>
        <w:t xml:space="preserve">. </w:t>
      </w:r>
      <w:r w:rsidR="00C67A9E">
        <w:rPr>
          <w:rFonts w:ascii="Times New Roman" w:hAnsi="Times New Roman" w:cs="Times New Roman"/>
          <w:b w:val="0"/>
          <w:color w:val="auto"/>
          <w:sz w:val="22"/>
          <w:szCs w:val="22"/>
        </w:rPr>
        <w:t>E</w:t>
      </w:r>
      <w:r w:rsidRPr="00A3156C">
        <w:rPr>
          <w:rFonts w:ascii="Times New Roman" w:hAnsi="Times New Roman" w:cs="Times New Roman"/>
          <w:b w:val="0"/>
          <w:color w:val="auto"/>
          <w:sz w:val="22"/>
          <w:szCs w:val="22"/>
        </w:rPr>
        <w:t>lectrochemical sensors for antimicrobial sensing are largely based on aptamer, antibody linked, and enzyme sensors</w:t>
      </w:r>
      <w:r w:rsidR="004A31CC">
        <w:rPr>
          <w:rFonts w:ascii="Times New Roman" w:hAnsi="Times New Roman" w:cs="Times New Roman"/>
          <w:b w:val="0"/>
          <w:color w:val="auto"/>
          <w:sz w:val="22"/>
          <w:szCs w:val="22"/>
        </w:rPr>
        <w:t xml:space="preserve"> </w:t>
      </w:r>
      <w:r w:rsidR="004A31CC">
        <w:rPr>
          <w:rFonts w:ascii="Times New Roman" w:hAnsi="Times New Roman" w:cs="Times New Roman"/>
          <w:b w:val="0"/>
          <w:color w:val="auto"/>
          <w:sz w:val="22"/>
          <w:szCs w:val="22"/>
        </w:rPr>
        <w:fldChar w:fldCharType="begin" w:fldLock="1"/>
      </w:r>
      <w:r w:rsidR="001674FB">
        <w:rPr>
          <w:rFonts w:ascii="Times New Roman" w:hAnsi="Times New Roman" w:cs="Times New Roman"/>
          <w:b w:val="0"/>
          <w:color w:val="auto"/>
          <w:sz w:val="22"/>
          <w:szCs w:val="22"/>
        </w:rPr>
        <w:instrText>ADDIN CSL_CITATION { "citationItems" : [ { "id" : "ITEM-1", "itemData" : { "DOI" : "10.3389/fchem.2014.00041", "ISBN" : "2296-2646 (Electronic)\\r2296-2646 (Linking)", "ISSN" : "2296-2646", "PMID" : "25019067", "abstract" : "Environmental contaminants monitoring is one of the key issues in understanding and managing hazards to human health and ecosystems. In this context, aptamer based electrochemical sensors have achieved intense significance because of their capability to resolve a potentially large number of problems and challenges in environmental contamination. An aptasensor is a compact analytical device incorporating an aptamer (oligonulceotide) as the sensing element either integrated within or intimately associated with a physiochemical transducer surface. Nucleic acid is well known for the function of carrying and passing genetic information, however, it has found a key role in analytical monitoring during recent years. Aptamer based sensors represent a novelty in environmental analytical science and there are great expectations for their promising performance as alternative to conventional analytical tools. This review paper focuses on the recent advances in the development of aptamer based electrochemical sensors for environmental applications with special emphasis on emerging pollutants.", "author" : [ { "dropping-particle" : "", "family" : "Hayat", "given" : "Akhtar", "non-dropping-particle" : "", "parse-names" : false, "suffix" : "" }, { "dropping-particle" : "", "family" : "Marty", "given" : "Jean L", "non-dropping-particle" : "", "parse-names" : false, "suffix" : "" } ], "container-title" : "Frontiers in chemistry", "id" : "ITEM-1", "issue" : "June", "issued" : { "date-parts" : [ [ "2014" ] ] }, "page" : "41", "title" : "Aptamer based electrochemical sensors for emerging environmental pollutants.", "type" : "article-journal", "volume" : "2" }, "uris" : [ "http://www.mendeley.com/documents/?uuid=23ac3b72-c0ab-4615-861e-eafaa2e4656a", "http://www.mendeley.com/documents/?uuid=7571e317-4975-4161-83eb-45d03a6da9aa" ] }, { "id" : "ITEM-2", "itemData" : { "DOI" : "10.1016/0003-2670(96)00185-7", "ISSN" : "00032670", "abstract" : "In this paper, the influence of the electrical charge properties of polymeric membranes on the characteristics of ion sensitive field effect transistors (ISFETs) and penicillinase based enzymatic field effect transistors (ENFETs) was investigated. It was first shown that the pH-response of an ISFET is influenced by the nature of the polymeric membranes [poly(acrylamide) gel (PAAG), bovine serum albumin (BSA), Nafion, poly-4-vinyl pyridine (PVP)] deposited on the gate surface, especially at low ionic strength. This phenomenon can be explained by the presence in the membrane of charges, depending on the pH value of the electrolyte. Calibration tests were also performed on a penicillinase based ENFET in order to study the influence of the charge of the BSA polymeric membrane containing the enzyme. Conditions for an analysis with minimal influence of the membrane charge on the ENFET response are proposed.", "author" : [ { "dropping-particle" : "V.", "family" : "Gorchkov", "given" : "D.", "non-dropping-particle" : "", "parse-names" : false, "suffix" : "" }, { "dropping-particle" : "", "family" : "Soldatkin", "given" : "A. P.", "non-dropping-particle" : "", "parse-names" : false, "suffix" : "" }, { "dropping-particle" : "", "family" : "Maupas", "given" : "H.", "non-dropping-particle" : "", "parse-names" : false, "suffix" : "" }, { "dropping-particle" : "", "family" : "Martelet", "given" : "C.", "non-dropping-particle" : "", "parse-names" : false, "suffix" : "" }, { "dropping-particle" : "", "family" : "Jaffrezic-Renault", "given" : "N.", "non-dropping-particle" : "", "parse-names" : false, "suffix" : "" } ], "container-title" : "Analytica Chimica Acta", "id" : "ITEM-2", "issue" : "3", "issued" : { "date-parts" : [ [ "1996" ] ] }, "note" : "NULL", "page" : "217-223", "title" : "Correlation between the electrical charge properties of polymeric membranes and the characteristics of ion field effect transistors or penicillinase based enzymatic field effect transistors", "type" : "article-journal", "volume" : "331" }, "uris" : [ "http://www.mendeley.com/documents/?uuid=10987e78-d9fb-419d-bfe7-d88b4c846b61", "http://www.mendeley.com/documents/?uuid=f7353185-605d-4a73-ad1d-40a526d81ca3" ] }, { "id" : "ITEM-3", "itemData" : { "DOI" : "10.1126/scitranslmed.3007095", "ISSN" : "1946-6234", "author" : [ { "dropping-particle" : "", "family" : "Ferguson", "given" : "B Scott", "non-dropping-particle" : "", "parse-names" : false, "suffix" : "" }, { "dropping-particle" : "", "family" : "Hoggarth", "given" : "David A", "non-dropping-particle" : "", "parse-names" : false, "suffix" : "" }, { "dropping-particle" : "", "family" : "Maliniak", "given" : "Dan", "non-dropping-particle" : "", "parse-names" : false, "suffix" : "" }, { "dropping-particle" : "", "family" : "Ploense", "given" : "Kyle", "non-dropping-particle" : "", "parse-names" : false, "suffix" : "" }, { "dropping-particle" : "", "family" : "White", "given" : "Ryan J", "non-dropping-particle" : "", "parse-names" : false, "suffix" : "" }, { "dropping-particle" : "", "family" : "Woodward", "given" : "Nick", "non-dropping-particle" : "", "parse-names" : false, "suffix" : "" }, { "dropping-particle" : "", "family" : "Hsieh", "given" : "Kuangwen", "non-dropping-particle" : "", "parse-names" : false, "suffix" : "" }, { "dropping-particle" : "", "family" : "Bonham", "given" : "Andrew J", "non-dropping-particle" : "", "parse-names" : false, "suffix" : "" }, { "dropping-particle" : "", "family" : "Eisenstein", "given" : "Michael", "non-dropping-particle" : "", "parse-names" : false, "suffix" : "" }, { "dropping-particle" : "", "family" : "Kippin", "given" : "T. E.", "non-dropping-particle" : "", "parse-names" : false, "suffix" : "" }, { "dropping-particle" : "", "family" : "Plaxco", "given" : "Kevin W", "non-dropping-particle" : "", "parse-names" : false, "suffix" : "" }, { "dropping-particle" : "", "family" : "Soh", "given" : "H Tom", "non-dropping-particle" : "", "parse-names" : false, "suffix" : "" } ], "container-title" : "Science Translational Medicine", "id" : "ITEM-3", "issue" : "213", "issued" : { "date-parts" : [ [ "2013", "11", "27" ] ] }, "page" : "213ra165-213ra165", "title" : "Real-Time, Aptamer-Based Tracking of Circulating Therapeutic Agents in Living Animals", "type" : "article-journal", "volume" : "5" }, "uris" : [ "http://www.mendeley.com/documents/?uuid=9b0084b0-9a76-4d4e-bbf1-3662b3809f39" ] } ], "mendeley" : { "formattedCitation" : "[32,40,41]", "plainTextFormattedCitation" : "[32,40,41]", "previouslyFormattedCitation" : "[32,40,41]" }, "properties" : { "noteIndex" : 0 }, "schema" : "https://github.com/citation-style-language/schema/raw/master/csl-citation.json" }</w:instrText>
      </w:r>
      <w:r w:rsidR="004A31CC">
        <w:rPr>
          <w:rFonts w:ascii="Times New Roman" w:hAnsi="Times New Roman" w:cs="Times New Roman"/>
          <w:b w:val="0"/>
          <w:color w:val="auto"/>
          <w:sz w:val="22"/>
          <w:szCs w:val="22"/>
        </w:rPr>
        <w:fldChar w:fldCharType="separate"/>
      </w:r>
      <w:r w:rsidR="001674FB" w:rsidRPr="001674FB">
        <w:rPr>
          <w:rFonts w:ascii="Times New Roman" w:hAnsi="Times New Roman" w:cs="Times New Roman"/>
          <w:b w:val="0"/>
          <w:noProof/>
          <w:color w:val="auto"/>
          <w:sz w:val="22"/>
          <w:szCs w:val="22"/>
        </w:rPr>
        <w:t>[32,40,41]</w:t>
      </w:r>
      <w:r w:rsidR="004A31CC">
        <w:rPr>
          <w:rFonts w:ascii="Times New Roman" w:hAnsi="Times New Roman" w:cs="Times New Roman"/>
          <w:b w:val="0"/>
          <w:color w:val="auto"/>
          <w:sz w:val="22"/>
          <w:szCs w:val="22"/>
        </w:rPr>
        <w:fldChar w:fldCharType="end"/>
      </w:r>
      <w:r w:rsidRPr="00A3156C">
        <w:rPr>
          <w:rFonts w:ascii="Times New Roman" w:hAnsi="Times New Roman" w:cs="Times New Roman"/>
          <w:b w:val="0"/>
          <w:color w:val="auto"/>
          <w:sz w:val="22"/>
          <w:szCs w:val="22"/>
        </w:rPr>
        <w:t>. These have demonstrated high sensitivity for monitoring of antimicrobials. Enzymatic penicillin-G sensors are some of the oldest reported antimicrobial sensors reported in the literature</w:t>
      </w:r>
      <w:r w:rsidR="008615DD">
        <w:rPr>
          <w:rFonts w:ascii="Times New Roman" w:hAnsi="Times New Roman" w:cs="Times New Roman"/>
          <w:b w:val="0"/>
          <w:color w:val="auto"/>
          <w:sz w:val="22"/>
          <w:szCs w:val="22"/>
        </w:rPr>
        <w:t xml:space="preserve"> </w:t>
      </w:r>
      <w:r w:rsidRPr="00A3156C">
        <w:rPr>
          <w:rFonts w:ascii="Times New Roman" w:hAnsi="Times New Roman" w:cs="Times New Roman"/>
          <w:b w:val="0"/>
          <w:color w:val="auto"/>
          <w:sz w:val="22"/>
          <w:szCs w:val="22"/>
        </w:rPr>
        <w:fldChar w:fldCharType="begin" w:fldLock="1"/>
      </w:r>
      <w:r w:rsidR="001674FB">
        <w:rPr>
          <w:rFonts w:ascii="Times New Roman" w:hAnsi="Times New Roman" w:cs="Times New Roman"/>
          <w:b w:val="0"/>
          <w:color w:val="auto"/>
          <w:sz w:val="22"/>
          <w:szCs w:val="22"/>
        </w:rPr>
        <w:instrText>ADDIN CSL_CITATION { "citationItems" : [ { "id" : "ITEM-1", "itemData" : { "DOI" : "10.1016/0003-2670(96)00185-7", "ISSN" : "00032670", "abstract" : "In this paper, the influence of the electrical charge properties of polymeric membranes on the characteristics of ion sensitive field effect transistors (ISFETs) and penicillinase based enzymatic field effect transistors (ENFETs) was investigated. It was first shown that the pH-response of an ISFET is influenced by the nature of the polymeric membranes [poly(acrylamide) gel (PAAG), bovine serum albumin (BSA), Nafion, poly-4-vinyl pyridine (PVP)] deposited on the gate surface, especially at low ionic strength. This phenomenon can be explained by the presence in the membrane of charges, depending on the pH value of the electrolyte. Calibration tests were also performed on a penicillinase based ENFET in order to study the influence of the charge of the BSA polymeric membrane containing the enzyme. Conditions for an analysis with minimal influence of the membrane charge on the ENFET response are proposed.", "author" : [ { "dropping-particle" : "V.", "family" : "Gorchkov", "given" : "D.", "non-dropping-particle" : "", "parse-names" : false, "suffix" : "" }, { "dropping-particle" : "", "family" : "Soldatkin", "given" : "A. P.", "non-dropping-particle" : "", "parse-names" : false, "suffix" : "" }, { "dropping-particle" : "", "family" : "Maupas", "given" : "H.", "non-dropping-particle" : "", "parse-names" : false, "suffix" : "" }, { "dropping-particle" : "", "family" : "Martelet", "given" : "C.", "non-dropping-particle" : "", "parse-names" : false, "suffix" : "" }, { "dropping-particle" : "", "family" : "Jaffrezic-Renault", "given" : "N.", "non-dropping-particle" : "", "parse-names" : false, "suffix" : "" } ], "container-title" : "Analytica Chimica Acta", "id" : "ITEM-1", "issue" : "3", "issued" : { "date-parts" : [ [ "1996" ] ] }, "note" : "NULL", "page" : "217-223", "title" : "Correlation between the electrical charge properties of polymeric membranes and the characteristics of ion field effect transistors or penicillinase based enzymatic field effect transistors", "type" : "article-journal", "volume" : "331" }, "uris" : [ "http://www.mendeley.com/documents/?uuid=10987e78-d9fb-419d-bfe7-d88b4c846b61", "http://www.mendeley.com/documents/?uuid=f7353185-605d-4a73-ad1d-40a526d81ca3" ] } ], "mendeley" : { "formattedCitation" : "[41]", "plainTextFormattedCitation" : "[41]", "previouslyFormattedCitation" : "[41]" }, "properties" : { "noteIndex" : 0 }, "schema" : "https://github.com/citation-style-language/schema/raw/master/csl-citation.json" }</w:instrText>
      </w:r>
      <w:r w:rsidRPr="00A3156C">
        <w:rPr>
          <w:rFonts w:ascii="Times New Roman" w:hAnsi="Times New Roman" w:cs="Times New Roman"/>
          <w:b w:val="0"/>
          <w:color w:val="auto"/>
          <w:sz w:val="22"/>
          <w:szCs w:val="22"/>
        </w:rPr>
        <w:fldChar w:fldCharType="separate"/>
      </w:r>
      <w:r w:rsidR="001674FB" w:rsidRPr="001674FB">
        <w:rPr>
          <w:rFonts w:ascii="Times New Roman" w:hAnsi="Times New Roman" w:cs="Times New Roman"/>
          <w:b w:val="0"/>
          <w:noProof/>
          <w:color w:val="auto"/>
          <w:sz w:val="22"/>
          <w:szCs w:val="22"/>
        </w:rPr>
        <w:t>[41]</w:t>
      </w:r>
      <w:r w:rsidRPr="00A3156C">
        <w:rPr>
          <w:rFonts w:ascii="Times New Roman" w:hAnsi="Times New Roman" w:cs="Times New Roman"/>
          <w:b w:val="0"/>
          <w:color w:val="auto"/>
          <w:sz w:val="22"/>
          <w:szCs w:val="22"/>
        </w:rPr>
        <w:fldChar w:fldCharType="end"/>
      </w:r>
      <w:r w:rsidR="004A31CC">
        <w:rPr>
          <w:rFonts w:ascii="Times New Roman" w:hAnsi="Times New Roman" w:cs="Times New Roman"/>
          <w:b w:val="0"/>
          <w:color w:val="auto"/>
          <w:sz w:val="22"/>
          <w:szCs w:val="22"/>
        </w:rPr>
        <w:t>.</w:t>
      </w:r>
      <w:r w:rsidRPr="00A3156C">
        <w:rPr>
          <w:rFonts w:ascii="Times New Roman" w:hAnsi="Times New Roman" w:cs="Times New Roman"/>
          <w:b w:val="0"/>
          <w:color w:val="auto"/>
          <w:sz w:val="22"/>
          <w:szCs w:val="22"/>
        </w:rPr>
        <w:t xml:space="preserve"> </w:t>
      </w:r>
    </w:p>
    <w:p w:rsidR="00A31F15" w:rsidRPr="00A3156C" w:rsidRDefault="00C67A9E" w:rsidP="00CE4898">
      <w:pPr>
        <w:spacing w:line="480" w:lineRule="auto"/>
        <w:jc w:val="both"/>
        <w:rPr>
          <w:rFonts w:ascii="Times New Roman" w:hAnsi="Times New Roman" w:cs="Times New Roman"/>
        </w:rPr>
      </w:pPr>
      <w:r>
        <w:rPr>
          <w:rFonts w:ascii="Times New Roman" w:hAnsi="Times New Roman" w:cs="Times New Roman"/>
        </w:rPr>
        <w:t>Here, w</w:t>
      </w:r>
      <w:r w:rsidR="00A31F15" w:rsidRPr="00A3156C">
        <w:rPr>
          <w:rFonts w:ascii="Times New Roman" w:hAnsi="Times New Roman" w:cs="Times New Roman"/>
        </w:rPr>
        <w:t xml:space="preserve">e report </w:t>
      </w:r>
      <w:r>
        <w:rPr>
          <w:rFonts w:ascii="Times New Roman" w:hAnsi="Times New Roman" w:cs="Times New Roman"/>
        </w:rPr>
        <w:t xml:space="preserve">of a sensor that exploits an iridium oxide pH sensing layer to detect changes in pH arising from beta-lactamase hydrolysis of the analytical target. A range of beta-lactams are investigated and testing in physiological relevant media is undertaken as </w:t>
      </w:r>
      <w:r w:rsidR="00A31F15" w:rsidRPr="00A3156C">
        <w:rPr>
          <w:rFonts w:ascii="Times New Roman" w:hAnsi="Times New Roman" w:cs="Times New Roman"/>
        </w:rPr>
        <w:t xml:space="preserve">an initial step towards minimally invasive monitoring of beta-lactam antibiotics. </w:t>
      </w:r>
    </w:p>
    <w:p w:rsidR="009A43CE" w:rsidRPr="00A3156C" w:rsidRDefault="009A43CE" w:rsidP="00CE4898">
      <w:pPr>
        <w:spacing w:line="480" w:lineRule="auto"/>
        <w:jc w:val="both"/>
        <w:rPr>
          <w:rFonts w:ascii="Times New Roman" w:hAnsi="Times New Roman" w:cs="Times New Roman"/>
          <w:b/>
        </w:rPr>
        <w:sectPr w:rsidR="009A43CE" w:rsidRPr="00A3156C">
          <w:pgSz w:w="11906" w:h="16838"/>
          <w:pgMar w:top="1440" w:right="1440" w:bottom="1440" w:left="1440" w:header="708" w:footer="708" w:gutter="0"/>
          <w:cols w:space="708"/>
          <w:docGrid w:linePitch="360"/>
        </w:sectPr>
      </w:pPr>
    </w:p>
    <w:p w:rsidR="003A655E" w:rsidRPr="00A3156C" w:rsidRDefault="003A655E" w:rsidP="00CE4898">
      <w:pPr>
        <w:spacing w:line="480" w:lineRule="auto"/>
        <w:jc w:val="both"/>
        <w:rPr>
          <w:rFonts w:ascii="Times New Roman" w:hAnsi="Times New Roman" w:cs="Times New Roman"/>
          <w:b/>
        </w:rPr>
      </w:pPr>
      <w:r w:rsidRPr="00A3156C">
        <w:rPr>
          <w:rFonts w:ascii="Times New Roman" w:hAnsi="Times New Roman" w:cs="Times New Roman"/>
          <w:b/>
        </w:rPr>
        <w:lastRenderedPageBreak/>
        <w:t>2.0 Method</w:t>
      </w:r>
    </w:p>
    <w:p w:rsidR="003A655E" w:rsidRPr="00A3156C" w:rsidRDefault="003A655E" w:rsidP="00CE4898">
      <w:pPr>
        <w:spacing w:line="480" w:lineRule="auto"/>
        <w:jc w:val="both"/>
        <w:rPr>
          <w:rFonts w:ascii="Times New Roman" w:hAnsi="Times New Roman" w:cs="Times New Roman"/>
          <w:i/>
        </w:rPr>
      </w:pPr>
      <w:r w:rsidRPr="00A3156C">
        <w:rPr>
          <w:rFonts w:ascii="Times New Roman" w:hAnsi="Times New Roman" w:cs="Times New Roman"/>
          <w:i/>
        </w:rPr>
        <w:t>2.1 Reagents and equipment</w:t>
      </w:r>
    </w:p>
    <w:p w:rsidR="006478FF" w:rsidRPr="00A3156C" w:rsidRDefault="006478FF" w:rsidP="0088442B">
      <w:pPr>
        <w:spacing w:before="240" w:line="480" w:lineRule="auto"/>
        <w:jc w:val="both"/>
        <w:rPr>
          <w:rFonts w:ascii="Times New Roman" w:hAnsi="Times New Roman" w:cs="Times New Roman"/>
        </w:rPr>
      </w:pPr>
      <w:r w:rsidRPr="00A3156C">
        <w:rPr>
          <w:rFonts w:ascii="Times New Roman" w:hAnsi="Times New Roman" w:cs="Times New Roman"/>
        </w:rPr>
        <w:t xml:space="preserve">All agents were purchased from Sigma Aldrich (UK) unless otherwise stated. All rinsing and aqueous solution preparation was undertaken using deionised water with a resistivity of </w:t>
      </w:r>
      <w:r w:rsidR="00FB4C1C">
        <w:rPr>
          <w:rFonts w:ascii="Times New Roman" w:hAnsi="Times New Roman" w:cs="Times New Roman"/>
        </w:rPr>
        <w:t>&gt;</w:t>
      </w:r>
      <w:r w:rsidR="00FB4C1C" w:rsidRPr="00A3156C">
        <w:rPr>
          <w:rFonts w:ascii="Times New Roman" w:hAnsi="Times New Roman" w:cs="Times New Roman"/>
        </w:rPr>
        <w:t>1</w:t>
      </w:r>
      <w:r w:rsidR="00FB4C1C">
        <w:rPr>
          <w:rFonts w:ascii="Times New Roman" w:hAnsi="Times New Roman" w:cs="Times New Roman"/>
        </w:rPr>
        <w:t xml:space="preserve">5 </w:t>
      </w:r>
      <w:r w:rsidR="00FB4C1C" w:rsidRPr="00A3156C">
        <w:rPr>
          <w:rFonts w:ascii="Times New Roman" w:hAnsi="Times New Roman" w:cs="Times New Roman"/>
        </w:rPr>
        <w:t>MΩ</w:t>
      </w:r>
      <w:r w:rsidR="00FB4C1C">
        <w:rPr>
          <w:rFonts w:ascii="Times New Roman" w:hAnsi="Times New Roman" w:cs="Times New Roman"/>
        </w:rPr>
        <w:t>cm</w:t>
      </w:r>
      <w:r w:rsidRPr="00A3156C">
        <w:rPr>
          <w:rFonts w:ascii="Times New Roman" w:hAnsi="Times New Roman" w:cs="Times New Roman"/>
        </w:rPr>
        <w:t xml:space="preserve">. </w:t>
      </w:r>
      <w:r w:rsidR="0013136B" w:rsidRPr="00A3156C">
        <w:rPr>
          <w:rFonts w:ascii="Times New Roman" w:hAnsi="Times New Roman" w:cs="Times New Roman"/>
        </w:rPr>
        <w:t>Phosphate Buffer Solution (PBS</w:t>
      </w:r>
      <w:r w:rsidR="00FB4C1C">
        <w:rPr>
          <w:rFonts w:ascii="Times New Roman" w:hAnsi="Times New Roman" w:cs="Times New Roman"/>
        </w:rPr>
        <w:t>,</w:t>
      </w:r>
      <w:r w:rsidR="0013136B" w:rsidRPr="00A3156C">
        <w:rPr>
          <w:rFonts w:ascii="Times New Roman" w:hAnsi="Times New Roman" w:cs="Times New Roman"/>
        </w:rPr>
        <w:t xml:space="preserve"> 0.1M phosphate, pH 7.4 at 25</w:t>
      </w:r>
      <w:r w:rsidR="0013136B" w:rsidRPr="00A3156C">
        <w:rPr>
          <w:rFonts w:ascii="Times New Roman" w:hAnsi="Times New Roman" w:cs="Times New Roman"/>
          <w:vertAlign w:val="superscript"/>
        </w:rPr>
        <w:t>o</w:t>
      </w:r>
      <w:r w:rsidR="0013136B" w:rsidRPr="00A3156C">
        <w:rPr>
          <w:rFonts w:ascii="Times New Roman" w:hAnsi="Times New Roman" w:cs="Times New Roman"/>
        </w:rPr>
        <w:t>C</w:t>
      </w:r>
      <w:r w:rsidR="00FB4C1C">
        <w:rPr>
          <w:rFonts w:ascii="Times New Roman" w:hAnsi="Times New Roman" w:cs="Times New Roman"/>
        </w:rPr>
        <w:t>)</w:t>
      </w:r>
      <w:r w:rsidR="0013136B" w:rsidRPr="00A3156C">
        <w:rPr>
          <w:rFonts w:ascii="Times New Roman" w:hAnsi="Times New Roman" w:cs="Times New Roman"/>
        </w:rPr>
        <w:t xml:space="preserve"> was used unless otherwise stated.</w:t>
      </w:r>
      <w:r w:rsidR="00F72A3F" w:rsidRPr="00A3156C">
        <w:rPr>
          <w:rFonts w:ascii="Times New Roman" w:hAnsi="Times New Roman" w:cs="Times New Roman"/>
        </w:rPr>
        <w:t xml:space="preserve"> Iridium oxide </w:t>
      </w:r>
      <w:r w:rsidR="00FB4C1C">
        <w:rPr>
          <w:rFonts w:ascii="Times New Roman" w:hAnsi="Times New Roman" w:cs="Times New Roman"/>
        </w:rPr>
        <w:t xml:space="preserve">plating </w:t>
      </w:r>
      <w:r w:rsidR="00F72A3F" w:rsidRPr="00A3156C">
        <w:rPr>
          <w:rFonts w:ascii="Times New Roman" w:hAnsi="Times New Roman" w:cs="Times New Roman"/>
        </w:rPr>
        <w:t>solution</w:t>
      </w:r>
      <w:r w:rsidR="0088442B" w:rsidRPr="00A3156C">
        <w:rPr>
          <w:rFonts w:ascii="Times New Roman" w:hAnsi="Times New Roman" w:cs="Times New Roman"/>
        </w:rPr>
        <w:t xml:space="preserve"> (100</w:t>
      </w:r>
      <w:r w:rsidR="00C10763">
        <w:rPr>
          <w:rFonts w:ascii="Times New Roman" w:hAnsi="Times New Roman" w:cs="Times New Roman"/>
        </w:rPr>
        <w:t xml:space="preserve"> </w:t>
      </w:r>
      <w:r w:rsidR="0088442B" w:rsidRPr="00A3156C">
        <w:rPr>
          <w:rFonts w:ascii="Times New Roman" w:hAnsi="Times New Roman" w:cs="Times New Roman"/>
        </w:rPr>
        <w:t>ml)</w:t>
      </w:r>
      <w:r w:rsidR="00F72A3F" w:rsidRPr="00A3156C">
        <w:rPr>
          <w:rFonts w:ascii="Times New Roman" w:hAnsi="Times New Roman" w:cs="Times New Roman"/>
        </w:rPr>
        <w:t xml:space="preserve"> was prepared as described by Yamanaka </w:t>
      </w:r>
      <w:r w:rsidR="00F72A3F" w:rsidRPr="00A3156C">
        <w:rPr>
          <w:rFonts w:ascii="Times New Roman" w:hAnsi="Times New Roman" w:cs="Times New Roman"/>
        </w:rPr>
        <w:fldChar w:fldCharType="begin" w:fldLock="1"/>
      </w:r>
      <w:r w:rsidR="001674FB">
        <w:rPr>
          <w:rFonts w:ascii="Times New Roman" w:hAnsi="Times New Roman" w:cs="Times New Roman"/>
        </w:rPr>
        <w:instrText>ADDIN CSL_CITATION { "citationItems" : [ { "id" : "ITEM-1", "itemData" : { "DOI" : "10.1143/JJAP.30.1285", "ISSN" : "13474065", "abstract" : "Japanese Journal of Applied Physics Vol. 30, No. 6, June, 1991, pp. 1285-1289 The Electrochemical Behavior of Anodically Electrodeposited Iridium Oxide Films and the Reliability of Transmittance Variable Cells Kazusuke Yamanaka Central Research Laboratory, Hitachi Ltd., Kokubunji ...", "author" : [ { "dropping-particle" : "", "family" : "Yamanaka", "given" : "Kazusuke", "non-dropping-particle" : "", "parse-names" : false, "suffix" : "" } ], "container-title" : "Japanese Journal of Applied Physics", "id" : "ITEM-1", "issue" : "6 R", "issued" : { "date-parts" : [ [ "1991" ] ] }, "page" : "1285-1289", "title" : "The electrochemical behavior of anodically electrodeposited iridium oxide films and the reliability of transmittance variable cells", "type" : "article-journal", "volume" : "30" }, "uris" : [ "http://www.mendeley.com/documents/?uuid=f9786e59-f4e6-4844-8a60-4a9e996d7c67" ] } ], "mendeley" : { "formattedCitation" : "[42]", "plainTextFormattedCitation" : "[42]", "previouslyFormattedCitation" : "[42]" }, "properties" : { "noteIndex" : 0 }, "schema" : "https://github.com/citation-style-language/schema/raw/master/csl-citation.json" }</w:instrText>
      </w:r>
      <w:r w:rsidR="00F72A3F" w:rsidRPr="00A3156C">
        <w:rPr>
          <w:rFonts w:ascii="Times New Roman" w:hAnsi="Times New Roman" w:cs="Times New Roman"/>
        </w:rPr>
        <w:fldChar w:fldCharType="separate"/>
      </w:r>
      <w:r w:rsidR="001674FB" w:rsidRPr="001674FB">
        <w:rPr>
          <w:rFonts w:ascii="Times New Roman" w:hAnsi="Times New Roman" w:cs="Times New Roman"/>
          <w:noProof/>
        </w:rPr>
        <w:t>[42]</w:t>
      </w:r>
      <w:r w:rsidR="00F72A3F" w:rsidRPr="00A3156C">
        <w:rPr>
          <w:rFonts w:ascii="Times New Roman" w:hAnsi="Times New Roman" w:cs="Times New Roman"/>
        </w:rPr>
        <w:fldChar w:fldCharType="end"/>
      </w:r>
      <w:r w:rsidR="00F72A3F" w:rsidRPr="00A3156C">
        <w:rPr>
          <w:rFonts w:ascii="Times New Roman" w:hAnsi="Times New Roman" w:cs="Times New Roman"/>
        </w:rPr>
        <w:t xml:space="preserve"> </w:t>
      </w:r>
      <w:r w:rsidR="0088442B" w:rsidRPr="00A3156C">
        <w:rPr>
          <w:rFonts w:ascii="Times New Roman" w:hAnsi="Times New Roman" w:cs="Times New Roman"/>
        </w:rPr>
        <w:t>using iridium chloride hydrate (IrCl</w:t>
      </w:r>
      <w:r w:rsidR="0088442B" w:rsidRPr="00A3156C">
        <w:rPr>
          <w:rFonts w:ascii="Times New Roman" w:hAnsi="Times New Roman" w:cs="Times New Roman"/>
          <w:vertAlign w:val="subscript"/>
        </w:rPr>
        <w:t>4</w:t>
      </w:r>
      <w:r w:rsidR="0088442B" w:rsidRPr="00A3156C">
        <w:rPr>
          <w:rFonts w:ascii="Times New Roman" w:hAnsi="Times New Roman" w:cs="Times New Roman"/>
        </w:rPr>
        <w:t>·H</w:t>
      </w:r>
      <w:r w:rsidR="0088442B" w:rsidRPr="00A3156C">
        <w:rPr>
          <w:rFonts w:ascii="Times New Roman" w:hAnsi="Times New Roman" w:cs="Times New Roman"/>
          <w:vertAlign w:val="subscript"/>
        </w:rPr>
        <w:t>2</w:t>
      </w:r>
      <w:r w:rsidR="0088442B" w:rsidRPr="00A3156C">
        <w:rPr>
          <w:rFonts w:ascii="Times New Roman" w:hAnsi="Times New Roman" w:cs="Times New Roman"/>
        </w:rPr>
        <w:t>O, 0.15</w:t>
      </w:r>
      <w:r w:rsidR="00C10763">
        <w:rPr>
          <w:rFonts w:ascii="Times New Roman" w:hAnsi="Times New Roman" w:cs="Times New Roman"/>
        </w:rPr>
        <w:t xml:space="preserve"> </w:t>
      </w:r>
      <w:r w:rsidR="0088442B" w:rsidRPr="00A3156C">
        <w:rPr>
          <w:rFonts w:ascii="Times New Roman" w:hAnsi="Times New Roman" w:cs="Times New Roman"/>
        </w:rPr>
        <w:t>g), aqueous hydrogen peroxide (H</w:t>
      </w:r>
      <w:r w:rsidR="0088442B" w:rsidRPr="00A3156C">
        <w:rPr>
          <w:rFonts w:ascii="Times New Roman" w:hAnsi="Times New Roman" w:cs="Times New Roman"/>
          <w:vertAlign w:val="subscript"/>
        </w:rPr>
        <w:t>2</w:t>
      </w:r>
      <w:r w:rsidR="0088442B" w:rsidRPr="00A3156C">
        <w:rPr>
          <w:rFonts w:ascii="Times New Roman" w:hAnsi="Times New Roman" w:cs="Times New Roman"/>
        </w:rPr>
        <w:t>O</w:t>
      </w:r>
      <w:r w:rsidR="0088442B" w:rsidRPr="00A3156C">
        <w:rPr>
          <w:rFonts w:ascii="Times New Roman" w:hAnsi="Times New Roman" w:cs="Times New Roman"/>
          <w:vertAlign w:val="subscript"/>
        </w:rPr>
        <w:t>2</w:t>
      </w:r>
      <w:r w:rsidR="0088442B" w:rsidRPr="00A3156C">
        <w:rPr>
          <w:rFonts w:ascii="Times New Roman" w:hAnsi="Times New Roman" w:cs="Times New Roman"/>
        </w:rPr>
        <w:t>·30%wt, 1</w:t>
      </w:r>
      <w:r w:rsidR="00C10763">
        <w:rPr>
          <w:rFonts w:ascii="Times New Roman" w:hAnsi="Times New Roman" w:cs="Times New Roman"/>
        </w:rPr>
        <w:t xml:space="preserve"> </w:t>
      </w:r>
      <w:r w:rsidR="0088442B" w:rsidRPr="00A3156C">
        <w:rPr>
          <w:rFonts w:ascii="Times New Roman" w:hAnsi="Times New Roman" w:cs="Times New Roman"/>
        </w:rPr>
        <w:t>ml), oxalic acid ((COOH)</w:t>
      </w:r>
      <w:r w:rsidR="0088442B" w:rsidRPr="00A3156C">
        <w:rPr>
          <w:rFonts w:ascii="Times New Roman" w:hAnsi="Times New Roman" w:cs="Times New Roman"/>
          <w:vertAlign w:val="subscript"/>
        </w:rPr>
        <w:t>2</w:t>
      </w:r>
      <w:r w:rsidR="0088442B" w:rsidRPr="00A3156C">
        <w:rPr>
          <w:rFonts w:ascii="Times New Roman" w:hAnsi="Times New Roman" w:cs="Times New Roman"/>
        </w:rPr>
        <w:t>·H</w:t>
      </w:r>
      <w:r w:rsidR="0088442B" w:rsidRPr="00A3156C">
        <w:rPr>
          <w:rFonts w:ascii="Times New Roman" w:hAnsi="Times New Roman" w:cs="Times New Roman"/>
          <w:vertAlign w:val="subscript"/>
        </w:rPr>
        <w:t>2</w:t>
      </w:r>
      <w:r w:rsidR="0088442B" w:rsidRPr="00A3156C">
        <w:rPr>
          <w:rFonts w:ascii="Times New Roman" w:hAnsi="Times New Roman" w:cs="Times New Roman"/>
        </w:rPr>
        <w:t>O, 0.5</w:t>
      </w:r>
      <w:r w:rsidR="00C10763">
        <w:rPr>
          <w:rFonts w:ascii="Times New Roman" w:hAnsi="Times New Roman" w:cs="Times New Roman"/>
        </w:rPr>
        <w:t xml:space="preserve"> </w:t>
      </w:r>
      <w:r w:rsidR="0088442B" w:rsidRPr="00A3156C">
        <w:rPr>
          <w:rFonts w:ascii="Times New Roman" w:hAnsi="Times New Roman" w:cs="Times New Roman"/>
        </w:rPr>
        <w:t>g), and anhydrous potassium carbonate (K</w:t>
      </w:r>
      <w:r w:rsidR="0088442B" w:rsidRPr="00A3156C">
        <w:rPr>
          <w:rFonts w:ascii="Times New Roman" w:hAnsi="Times New Roman" w:cs="Times New Roman"/>
          <w:vertAlign w:val="subscript"/>
        </w:rPr>
        <w:t>2</w:t>
      </w:r>
      <w:r w:rsidR="0088442B" w:rsidRPr="00A3156C">
        <w:rPr>
          <w:rFonts w:ascii="Times New Roman" w:hAnsi="Times New Roman" w:cs="Times New Roman"/>
        </w:rPr>
        <w:t>CO</w:t>
      </w:r>
      <w:r w:rsidR="0088442B" w:rsidRPr="00A3156C">
        <w:rPr>
          <w:rFonts w:ascii="Times New Roman" w:hAnsi="Times New Roman" w:cs="Times New Roman"/>
          <w:vertAlign w:val="subscript"/>
        </w:rPr>
        <w:t xml:space="preserve">3, </w:t>
      </w:r>
      <w:r w:rsidR="0088442B" w:rsidRPr="00A3156C">
        <w:rPr>
          <w:rFonts w:ascii="Times New Roman" w:hAnsi="Times New Roman" w:cs="Times New Roman"/>
        </w:rPr>
        <w:t>3.9</w:t>
      </w:r>
      <w:r w:rsidR="00C10763">
        <w:rPr>
          <w:rFonts w:ascii="Times New Roman" w:hAnsi="Times New Roman" w:cs="Times New Roman"/>
        </w:rPr>
        <w:t xml:space="preserve"> </w:t>
      </w:r>
      <w:r w:rsidR="0088442B" w:rsidRPr="00A3156C">
        <w:rPr>
          <w:rFonts w:ascii="Times New Roman" w:hAnsi="Times New Roman" w:cs="Times New Roman"/>
        </w:rPr>
        <w:t xml:space="preserve">g), leaving the solution to stabilise for 72 hours before use </w:t>
      </w:r>
      <w:r w:rsidR="0088442B" w:rsidRPr="00A3156C">
        <w:rPr>
          <w:rFonts w:ascii="Times New Roman" w:hAnsi="Times New Roman" w:cs="Times New Roman"/>
        </w:rPr>
        <w:fldChar w:fldCharType="begin" w:fldLock="1"/>
      </w:r>
      <w:r w:rsidR="001674FB">
        <w:rPr>
          <w:rFonts w:ascii="Times New Roman" w:hAnsi="Times New Roman" w:cs="Times New Roman"/>
        </w:rPr>
        <w:instrText>ADDIN CSL_CITATION { "citationItems" : [ { "id" : "ITEM-1", "itemData" : { "DOI" : "10.1143/JJAP.30.1285", "ISSN" : "13474065", "abstract" : "Japanese Journal of Applied Physics Vol. 30, No. 6, June, 1991, pp. 1285-1289 The Electrochemical Behavior of Anodically Electrodeposited Iridium Oxide Films and the Reliability of Transmittance Variable Cells Kazusuke Yamanaka Central Research Laboratory, Hitachi Ltd., Kokubunji ...", "author" : [ { "dropping-particle" : "", "family" : "Yamanaka", "given" : "Kazusuke", "non-dropping-particle" : "", "parse-names" : false, "suffix" : "" } ], "container-title" : "Japanese Journal of Applied Physics", "id" : "ITEM-1", "issue" : "6 R", "issued" : { "date-parts" : [ [ "1991" ] ] }, "page" : "1285-1289", "title" : "The electrochemical behavior of anodically electrodeposited iridium oxide films and the reliability of transmittance variable cells", "type" : "article-journal", "volume" : "30" }, "uris" : [ "http://www.mendeley.com/documents/?uuid=f9786e59-f4e6-4844-8a60-4a9e996d7c67" ] } ], "mendeley" : { "formattedCitation" : "[42]", "plainTextFormattedCitation" : "[42]", "previouslyFormattedCitation" : "[42]" }, "properties" : { "noteIndex" : 0 }, "schema" : "https://github.com/citation-style-language/schema/raw/master/csl-citation.json" }</w:instrText>
      </w:r>
      <w:r w:rsidR="0088442B" w:rsidRPr="00A3156C">
        <w:rPr>
          <w:rFonts w:ascii="Times New Roman" w:hAnsi="Times New Roman" w:cs="Times New Roman"/>
        </w:rPr>
        <w:fldChar w:fldCharType="separate"/>
      </w:r>
      <w:r w:rsidR="001674FB" w:rsidRPr="001674FB">
        <w:rPr>
          <w:rFonts w:ascii="Times New Roman" w:hAnsi="Times New Roman" w:cs="Times New Roman"/>
          <w:noProof/>
        </w:rPr>
        <w:t>[42]</w:t>
      </w:r>
      <w:r w:rsidR="0088442B" w:rsidRPr="00A3156C">
        <w:rPr>
          <w:rFonts w:ascii="Times New Roman" w:hAnsi="Times New Roman" w:cs="Times New Roman"/>
        </w:rPr>
        <w:fldChar w:fldCharType="end"/>
      </w:r>
      <w:r w:rsidR="0088442B" w:rsidRPr="00A3156C">
        <w:rPr>
          <w:rFonts w:ascii="Times New Roman" w:hAnsi="Times New Roman" w:cs="Times New Roman"/>
        </w:rPr>
        <w:t xml:space="preserve">. </w:t>
      </w:r>
    </w:p>
    <w:p w:rsidR="00F72A3F" w:rsidRPr="00A3156C" w:rsidRDefault="00F72A3F" w:rsidP="00CE4898">
      <w:pPr>
        <w:spacing w:line="480" w:lineRule="auto"/>
        <w:jc w:val="both"/>
        <w:rPr>
          <w:rFonts w:ascii="Times New Roman" w:hAnsi="Times New Roman" w:cs="Times New Roman"/>
        </w:rPr>
      </w:pPr>
      <w:r w:rsidRPr="00A3156C">
        <w:rPr>
          <w:rFonts w:ascii="Times New Roman" w:hAnsi="Times New Roman" w:cs="Times New Roman"/>
        </w:rPr>
        <w:t xml:space="preserve">Class B beta-lactamase from </w:t>
      </w:r>
      <w:r w:rsidRPr="00A3156C">
        <w:rPr>
          <w:rFonts w:ascii="Times New Roman" w:hAnsi="Times New Roman" w:cs="Times New Roman"/>
          <w:i/>
        </w:rPr>
        <w:t>Bacillus cereus</w:t>
      </w:r>
      <w:r w:rsidRPr="00A3156C">
        <w:rPr>
          <w:rFonts w:ascii="Times New Roman" w:hAnsi="Times New Roman" w:cs="Times New Roman"/>
        </w:rPr>
        <w:t xml:space="preserve"> 569/H9 was purchased from Merck Millipore with a mixture of beta-lactamase I &amp; II. </w:t>
      </w:r>
      <w:r w:rsidR="0088442B" w:rsidRPr="00A3156C">
        <w:rPr>
          <w:rFonts w:ascii="Times New Roman" w:hAnsi="Times New Roman" w:cs="Times New Roman"/>
        </w:rPr>
        <w:t>For enzyme immobilisation</w:t>
      </w:r>
      <w:r w:rsidR="009A43CE" w:rsidRPr="00A3156C">
        <w:rPr>
          <w:rFonts w:ascii="Times New Roman" w:hAnsi="Times New Roman" w:cs="Times New Roman"/>
        </w:rPr>
        <w:t xml:space="preserve"> 5%</w:t>
      </w:r>
      <w:r w:rsidR="00FB4C1C">
        <w:rPr>
          <w:rFonts w:ascii="Times New Roman" w:hAnsi="Times New Roman" w:cs="Times New Roman"/>
        </w:rPr>
        <w:t xml:space="preserve"> aqueous</w:t>
      </w:r>
      <w:r w:rsidR="0088442B" w:rsidRPr="00A3156C">
        <w:rPr>
          <w:rFonts w:ascii="Times New Roman" w:hAnsi="Times New Roman" w:cs="Times New Roman"/>
        </w:rPr>
        <w:t xml:space="preserve"> </w:t>
      </w:r>
      <w:proofErr w:type="spellStart"/>
      <w:r w:rsidR="009A43CE" w:rsidRPr="00A3156C">
        <w:rPr>
          <w:rFonts w:ascii="Times New Roman" w:hAnsi="Times New Roman" w:cs="Times New Roman"/>
        </w:rPr>
        <w:t>polyethylenimine</w:t>
      </w:r>
      <w:proofErr w:type="spellEnd"/>
      <w:r w:rsidR="00B1623F">
        <w:rPr>
          <w:rFonts w:ascii="Times New Roman" w:hAnsi="Times New Roman" w:cs="Times New Roman"/>
        </w:rPr>
        <w:t xml:space="preserve"> (PEI)</w:t>
      </w:r>
      <w:r w:rsidR="004B36AD" w:rsidRPr="00A3156C">
        <w:rPr>
          <w:rFonts w:ascii="Times New Roman" w:hAnsi="Times New Roman" w:cs="Times New Roman"/>
        </w:rPr>
        <w:t xml:space="preserve"> </w:t>
      </w:r>
      <w:r w:rsidR="009A43CE" w:rsidRPr="00A3156C">
        <w:rPr>
          <w:rFonts w:ascii="Times New Roman" w:hAnsi="Times New Roman" w:cs="Times New Roman"/>
        </w:rPr>
        <w:t xml:space="preserve">was used. </w:t>
      </w:r>
      <w:r w:rsidR="004B36AD" w:rsidRPr="00A3156C">
        <w:rPr>
          <w:rFonts w:ascii="Times New Roman" w:hAnsi="Times New Roman" w:cs="Times New Roman"/>
        </w:rPr>
        <w:t>The following three solutions were also prepared: (i) 5</w:t>
      </w:r>
      <w:r w:rsidR="00C10763">
        <w:rPr>
          <w:rFonts w:ascii="Times New Roman" w:hAnsi="Times New Roman" w:cs="Times New Roman"/>
        </w:rPr>
        <w:t xml:space="preserve"> </w:t>
      </w:r>
      <w:r w:rsidR="004B36AD" w:rsidRPr="00A3156C">
        <w:rPr>
          <w:rFonts w:ascii="Times New Roman" w:hAnsi="Times New Roman" w:cs="Times New Roman"/>
        </w:rPr>
        <w:t>ml 0.1</w:t>
      </w:r>
      <w:r w:rsidR="00C10763">
        <w:rPr>
          <w:rFonts w:ascii="Times New Roman" w:hAnsi="Times New Roman" w:cs="Times New Roman"/>
        </w:rPr>
        <w:t xml:space="preserve"> </w:t>
      </w:r>
      <w:r w:rsidR="004B36AD" w:rsidRPr="00A3156C">
        <w:rPr>
          <w:rFonts w:ascii="Times New Roman" w:hAnsi="Times New Roman" w:cs="Times New Roman"/>
        </w:rPr>
        <w:t>M phosphate buffer (pH</w:t>
      </w:r>
      <w:r w:rsidR="00C10763">
        <w:rPr>
          <w:rFonts w:ascii="Times New Roman" w:hAnsi="Times New Roman" w:cs="Times New Roman"/>
        </w:rPr>
        <w:t xml:space="preserve"> </w:t>
      </w:r>
      <w:r w:rsidR="004B36AD" w:rsidRPr="00A3156C">
        <w:rPr>
          <w:rFonts w:ascii="Times New Roman" w:hAnsi="Times New Roman" w:cs="Times New Roman"/>
        </w:rPr>
        <w:t>7.4) with 25</w:t>
      </w:r>
      <w:r w:rsidR="00C10763">
        <w:rPr>
          <w:rFonts w:ascii="Times New Roman" w:hAnsi="Times New Roman" w:cs="Times New Roman"/>
        </w:rPr>
        <w:t xml:space="preserve"> </w:t>
      </w:r>
      <w:r w:rsidR="004B36AD" w:rsidRPr="00A3156C">
        <w:rPr>
          <w:rFonts w:ascii="Times New Roman" w:hAnsi="Times New Roman" w:cs="Times New Roman"/>
        </w:rPr>
        <w:t>mg/ml beta-lactamase; (ii) 5</w:t>
      </w:r>
      <w:r w:rsidR="00C10763">
        <w:rPr>
          <w:rFonts w:ascii="Times New Roman" w:hAnsi="Times New Roman" w:cs="Times New Roman"/>
        </w:rPr>
        <w:t xml:space="preserve"> </w:t>
      </w:r>
      <w:r w:rsidR="004B36AD" w:rsidRPr="00A3156C">
        <w:rPr>
          <w:rFonts w:ascii="Times New Roman" w:hAnsi="Times New Roman" w:cs="Times New Roman"/>
        </w:rPr>
        <w:t>ml of 0.1</w:t>
      </w:r>
      <w:r w:rsidR="00C10763">
        <w:rPr>
          <w:rFonts w:ascii="Times New Roman" w:hAnsi="Times New Roman" w:cs="Times New Roman"/>
        </w:rPr>
        <w:t xml:space="preserve"> </w:t>
      </w:r>
      <w:r w:rsidR="004B36AD" w:rsidRPr="00A3156C">
        <w:rPr>
          <w:rFonts w:ascii="Times New Roman" w:hAnsi="Times New Roman" w:cs="Times New Roman"/>
        </w:rPr>
        <w:t>M phosphate buffer (pH</w:t>
      </w:r>
      <w:r w:rsidR="00C10763">
        <w:rPr>
          <w:rFonts w:ascii="Times New Roman" w:hAnsi="Times New Roman" w:cs="Times New Roman"/>
        </w:rPr>
        <w:t xml:space="preserve"> </w:t>
      </w:r>
      <w:r w:rsidR="004B36AD" w:rsidRPr="00A3156C">
        <w:rPr>
          <w:rFonts w:ascii="Times New Roman" w:hAnsi="Times New Roman" w:cs="Times New Roman"/>
        </w:rPr>
        <w:t>7.4) with 50</w:t>
      </w:r>
      <w:r w:rsidR="00C10763">
        <w:rPr>
          <w:rFonts w:ascii="Times New Roman" w:hAnsi="Times New Roman" w:cs="Times New Roman"/>
        </w:rPr>
        <w:t xml:space="preserve"> </w:t>
      </w:r>
      <w:r w:rsidR="004B36AD" w:rsidRPr="00A3156C">
        <w:rPr>
          <w:rFonts w:ascii="Times New Roman" w:hAnsi="Times New Roman" w:cs="Times New Roman"/>
        </w:rPr>
        <w:t>mg/ml bovine serum albumin; and (iii) glutaraldehyde solution (C</w:t>
      </w:r>
      <w:r w:rsidR="004B36AD" w:rsidRPr="00A3156C">
        <w:rPr>
          <w:rFonts w:ascii="Times New Roman" w:hAnsi="Times New Roman" w:cs="Times New Roman"/>
          <w:vertAlign w:val="subscript"/>
        </w:rPr>
        <w:t>5</w:t>
      </w:r>
      <w:r w:rsidR="004B36AD" w:rsidRPr="00A3156C">
        <w:rPr>
          <w:rFonts w:ascii="Times New Roman" w:hAnsi="Times New Roman" w:cs="Times New Roman"/>
        </w:rPr>
        <w:t>H</w:t>
      </w:r>
      <w:r w:rsidR="004B36AD" w:rsidRPr="00A3156C">
        <w:rPr>
          <w:rFonts w:ascii="Times New Roman" w:hAnsi="Times New Roman" w:cs="Times New Roman"/>
          <w:vertAlign w:val="subscript"/>
        </w:rPr>
        <w:t>8</w:t>
      </w:r>
      <w:r w:rsidR="004B36AD" w:rsidRPr="00A3156C">
        <w:rPr>
          <w:rFonts w:ascii="Times New Roman" w:hAnsi="Times New Roman" w:cs="Times New Roman"/>
        </w:rPr>
        <w:t>O</w:t>
      </w:r>
      <w:r w:rsidR="004B36AD" w:rsidRPr="00A3156C">
        <w:rPr>
          <w:rFonts w:ascii="Times New Roman" w:hAnsi="Times New Roman" w:cs="Times New Roman"/>
          <w:vertAlign w:val="subscript"/>
        </w:rPr>
        <w:t>2</w:t>
      </w:r>
      <w:r w:rsidR="004B36AD" w:rsidRPr="00A3156C">
        <w:rPr>
          <w:rFonts w:ascii="Times New Roman" w:hAnsi="Times New Roman" w:cs="Times New Roman"/>
        </w:rPr>
        <w:t>, 2.5%).</w:t>
      </w:r>
      <w:r w:rsidR="00353E36" w:rsidRPr="00A3156C">
        <w:rPr>
          <w:rFonts w:ascii="Times New Roman" w:hAnsi="Times New Roman" w:cs="Times New Roman"/>
        </w:rPr>
        <w:t xml:space="preserve"> Several different approaches were initially tested and validated on standard disc electrode devices.</w:t>
      </w:r>
    </w:p>
    <w:p w:rsidR="004B36AD" w:rsidRDefault="004B36AD" w:rsidP="00CE4898">
      <w:pPr>
        <w:spacing w:line="480" w:lineRule="auto"/>
        <w:jc w:val="both"/>
        <w:rPr>
          <w:rFonts w:ascii="Times New Roman" w:hAnsi="Times New Roman" w:cs="Times New Roman"/>
        </w:rPr>
      </w:pPr>
      <w:r w:rsidRPr="00A3156C">
        <w:rPr>
          <w:rFonts w:ascii="Times New Roman" w:hAnsi="Times New Roman" w:cs="Times New Roman"/>
        </w:rPr>
        <w:t xml:space="preserve">For </w:t>
      </w:r>
      <w:r w:rsidR="009A43CE" w:rsidRPr="00A3156C">
        <w:rPr>
          <w:rFonts w:ascii="Times New Roman" w:hAnsi="Times New Roman" w:cs="Times New Roman"/>
        </w:rPr>
        <w:t>calibration</w:t>
      </w:r>
      <w:r w:rsidRPr="00A3156C">
        <w:rPr>
          <w:rFonts w:ascii="Times New Roman" w:hAnsi="Times New Roman" w:cs="Times New Roman"/>
        </w:rPr>
        <w:t xml:space="preserve"> of the sensor</w:t>
      </w:r>
      <w:r w:rsidR="0013136B" w:rsidRPr="00A3156C">
        <w:rPr>
          <w:rFonts w:ascii="Times New Roman" w:hAnsi="Times New Roman" w:cs="Times New Roman"/>
        </w:rPr>
        <w:t>,</w:t>
      </w:r>
      <w:r w:rsidRPr="00A3156C">
        <w:rPr>
          <w:rFonts w:ascii="Times New Roman" w:hAnsi="Times New Roman" w:cs="Times New Roman"/>
        </w:rPr>
        <w:t xml:space="preserve"> </w:t>
      </w:r>
      <w:r w:rsidR="009A43CE" w:rsidRPr="00A3156C">
        <w:rPr>
          <w:rFonts w:ascii="Times New Roman" w:hAnsi="Times New Roman" w:cs="Times New Roman"/>
        </w:rPr>
        <w:t>penicillin-G</w:t>
      </w:r>
      <w:r w:rsidR="00801ACC">
        <w:rPr>
          <w:rFonts w:ascii="Times New Roman" w:hAnsi="Times New Roman" w:cs="Times New Roman"/>
        </w:rPr>
        <w:t>, amoxicillin, and ceftriaxone</w:t>
      </w:r>
      <w:r w:rsidR="009A43CE" w:rsidRPr="00A3156C">
        <w:rPr>
          <w:rFonts w:ascii="Times New Roman" w:hAnsi="Times New Roman" w:cs="Times New Roman"/>
        </w:rPr>
        <w:t xml:space="preserve"> w</w:t>
      </w:r>
      <w:r w:rsidR="00801ACC">
        <w:rPr>
          <w:rFonts w:ascii="Times New Roman" w:hAnsi="Times New Roman" w:cs="Times New Roman"/>
        </w:rPr>
        <w:t>ere</w:t>
      </w:r>
      <w:r w:rsidRPr="00A3156C">
        <w:rPr>
          <w:rFonts w:ascii="Times New Roman" w:hAnsi="Times New Roman" w:cs="Times New Roman"/>
        </w:rPr>
        <w:t xml:space="preserve"> obtained</w:t>
      </w:r>
      <w:r w:rsidR="009A43CE" w:rsidRPr="00A3156C">
        <w:rPr>
          <w:rFonts w:ascii="Times New Roman" w:hAnsi="Times New Roman" w:cs="Times New Roman"/>
        </w:rPr>
        <w:t xml:space="preserve"> from Sigma-Aldrich</w:t>
      </w:r>
      <w:r w:rsidRPr="00A3156C">
        <w:rPr>
          <w:rFonts w:ascii="Times New Roman" w:hAnsi="Times New Roman" w:cs="Times New Roman"/>
        </w:rPr>
        <w:t xml:space="preserve"> and </w:t>
      </w:r>
      <w:r w:rsidR="00801ACC">
        <w:rPr>
          <w:rFonts w:ascii="Times New Roman" w:hAnsi="Times New Roman" w:cs="Times New Roman"/>
        </w:rPr>
        <w:t xml:space="preserve">stock solutions of each beta-lactam </w:t>
      </w:r>
      <w:r w:rsidRPr="00A3156C">
        <w:rPr>
          <w:rFonts w:ascii="Times New Roman" w:hAnsi="Times New Roman" w:cs="Times New Roman"/>
        </w:rPr>
        <w:t>prepared in PBS</w:t>
      </w:r>
      <w:r w:rsidR="00801ACC">
        <w:rPr>
          <w:rFonts w:ascii="Times New Roman" w:hAnsi="Times New Roman" w:cs="Times New Roman"/>
        </w:rPr>
        <w:t xml:space="preserve"> or artificial interstitial fluid (described below) for dilution</w:t>
      </w:r>
      <w:r w:rsidRPr="00A3156C">
        <w:rPr>
          <w:rFonts w:ascii="Times New Roman" w:hAnsi="Times New Roman" w:cs="Times New Roman"/>
        </w:rPr>
        <w:t xml:space="preserve">. </w:t>
      </w:r>
    </w:p>
    <w:p w:rsidR="00367E2F" w:rsidRPr="00A3156C" w:rsidRDefault="00367E2F" w:rsidP="00367E2F">
      <w:pPr>
        <w:spacing w:line="480" w:lineRule="auto"/>
        <w:jc w:val="both"/>
        <w:rPr>
          <w:rFonts w:ascii="Times New Roman" w:hAnsi="Times New Roman" w:cs="Times New Roman"/>
        </w:rPr>
      </w:pPr>
      <w:r w:rsidRPr="00A3156C">
        <w:rPr>
          <w:rFonts w:ascii="Times New Roman" w:hAnsi="Times New Roman" w:cs="Times New Roman"/>
        </w:rPr>
        <w:t xml:space="preserve">The base microneedle array was fabricated as previously described by Sharma and colleagues </w:t>
      </w:r>
      <w:r w:rsidRPr="00A3156C">
        <w:rPr>
          <w:rFonts w:ascii="Times New Roman" w:hAnsi="Times New Roman" w:cs="Times New Roman"/>
        </w:rPr>
        <w:fldChar w:fldCharType="begin" w:fldLock="1"/>
      </w:r>
      <w:r w:rsidR="004A31CC">
        <w:rPr>
          <w:rFonts w:ascii="Times New Roman" w:hAnsi="Times New Roman" w:cs="Times New Roman"/>
        </w:rPr>
        <w:instrText>ADDIN CSL_CITATION { "citationItems" : [ { "id" : "ITEM-1", "itemData" : { "DOI" : "10.1016/j.sbsr.2016.10.004", "ISSN" : "22141804", "author" : [ { "dropping-particle" : "", "family" : "Sharma", "given" : "Sanjiv", "non-dropping-particle" : "", "parse-names" : false, "suffix" : "" }, { "dropping-particle" : "", "family" : "Saeed", "given" : "Anwer", "non-dropping-particle" : "", "parse-names" : false, "suffix" : "" }, { "dropping-particle" : "", "family" : "Johnson", "given" : "Christopher", "non-dropping-particle" : "", "parse-names" : false, "suffix" : "" }, { "dropping-particle" : "", "family" : "Gadegaard", "given" : "Nikolaj", "non-dropping-particle" : "", "parse-names" : false, "suffix" : "" }, { "dropping-particle" : "", "family" : "Cass", "given" : "Anthony Eg", "non-dropping-particle" : "", "parse-names" : false, "suffix" : "" } ], "container-title" : "Sensing and Bio-Sensing Research", "id" : "ITEM-1", "issued" : { "date-parts" : [ [ "2016" ] ] }, "publisher" : "Elsevier B.V.", "title" : "Rapid, low cost prototyping of transdermal devices for personal healthcare monitoring", "type" : "article-journal" }, "uris" : [ "http://www.mendeley.com/documents/?uuid=4b130c4d-ea96-47c1-8563-cd9d9da68cb5" ] } ], "mendeley" : { "formattedCitation" : "[9]", "plainTextFormattedCitation" : "[9]", "previouslyFormattedCitation" : "[9]" }, "properties" : { "noteIndex" : 0 }, "schema" : "https://github.com/citation-style-language/schema/raw/master/csl-citation.json" }</w:instrText>
      </w:r>
      <w:r w:rsidRPr="00A3156C">
        <w:rPr>
          <w:rFonts w:ascii="Times New Roman" w:hAnsi="Times New Roman" w:cs="Times New Roman"/>
        </w:rPr>
        <w:fldChar w:fldCharType="separate"/>
      </w:r>
      <w:r w:rsidR="000055ED" w:rsidRPr="000055ED">
        <w:rPr>
          <w:rFonts w:ascii="Times New Roman" w:hAnsi="Times New Roman" w:cs="Times New Roman"/>
          <w:noProof/>
        </w:rPr>
        <w:t>[9]</w:t>
      </w:r>
      <w:r w:rsidRPr="00A3156C">
        <w:rPr>
          <w:rFonts w:ascii="Times New Roman" w:hAnsi="Times New Roman" w:cs="Times New Roman"/>
        </w:rPr>
        <w:fldChar w:fldCharType="end"/>
      </w:r>
      <w:r w:rsidRPr="00A3156C">
        <w:rPr>
          <w:rFonts w:ascii="Times New Roman" w:hAnsi="Times New Roman" w:cs="Times New Roman"/>
        </w:rPr>
        <w:t>. Bare microneedle arrays were then sputtered with chromium (15 nm)</w:t>
      </w:r>
      <w:r w:rsidR="00C10763">
        <w:rPr>
          <w:rFonts w:ascii="Times New Roman" w:hAnsi="Times New Roman" w:cs="Times New Roman"/>
        </w:rPr>
        <w:t xml:space="preserve"> </w:t>
      </w:r>
      <w:r w:rsidRPr="00A3156C">
        <w:rPr>
          <w:rFonts w:ascii="Times New Roman" w:hAnsi="Times New Roman" w:cs="Times New Roman"/>
        </w:rPr>
        <w:t>/</w:t>
      </w:r>
      <w:r w:rsidR="00C10763">
        <w:rPr>
          <w:rFonts w:ascii="Times New Roman" w:hAnsi="Times New Roman" w:cs="Times New Roman"/>
        </w:rPr>
        <w:t xml:space="preserve"> </w:t>
      </w:r>
      <w:r w:rsidR="00FB4C1C">
        <w:rPr>
          <w:rFonts w:ascii="Times New Roman" w:hAnsi="Times New Roman" w:cs="Times New Roman"/>
        </w:rPr>
        <w:t>p</w:t>
      </w:r>
      <w:r w:rsidRPr="00A3156C">
        <w:rPr>
          <w:rFonts w:ascii="Times New Roman" w:hAnsi="Times New Roman" w:cs="Times New Roman"/>
        </w:rPr>
        <w:t>latinum (50</w:t>
      </w:r>
      <w:r w:rsidR="00C10763">
        <w:rPr>
          <w:rFonts w:ascii="Times New Roman" w:hAnsi="Times New Roman" w:cs="Times New Roman"/>
        </w:rPr>
        <w:t xml:space="preserve"> </w:t>
      </w:r>
      <w:r w:rsidRPr="00A3156C">
        <w:rPr>
          <w:rFonts w:ascii="Times New Roman" w:hAnsi="Times New Roman" w:cs="Times New Roman"/>
        </w:rPr>
        <w:t>nm) to obtain the working electrodes. One of the microneedle arrays was sputtered with Ag (150</w:t>
      </w:r>
      <w:r w:rsidR="00C10763">
        <w:rPr>
          <w:rFonts w:ascii="Times New Roman" w:hAnsi="Times New Roman" w:cs="Times New Roman"/>
        </w:rPr>
        <w:t xml:space="preserve"> </w:t>
      </w:r>
      <w:r w:rsidRPr="00A3156C">
        <w:rPr>
          <w:rFonts w:ascii="Times New Roman" w:hAnsi="Times New Roman" w:cs="Times New Roman"/>
        </w:rPr>
        <w:t>nm), which was modified to an Ag</w:t>
      </w:r>
      <w:r w:rsidR="00C10763">
        <w:rPr>
          <w:rFonts w:ascii="Times New Roman" w:hAnsi="Times New Roman" w:cs="Times New Roman"/>
        </w:rPr>
        <w:t xml:space="preserve"> </w:t>
      </w:r>
      <w:r w:rsidRPr="00A3156C">
        <w:rPr>
          <w:rFonts w:ascii="Times New Roman" w:hAnsi="Times New Roman" w:cs="Times New Roman"/>
        </w:rPr>
        <w:t>/</w:t>
      </w:r>
      <w:r w:rsidR="00C10763">
        <w:rPr>
          <w:rFonts w:ascii="Times New Roman" w:hAnsi="Times New Roman" w:cs="Times New Roman"/>
        </w:rPr>
        <w:t xml:space="preserve"> </w:t>
      </w:r>
      <w:proofErr w:type="spellStart"/>
      <w:r w:rsidRPr="00A3156C">
        <w:rPr>
          <w:rFonts w:ascii="Times New Roman" w:hAnsi="Times New Roman" w:cs="Times New Roman"/>
        </w:rPr>
        <w:t>AgCl</w:t>
      </w:r>
      <w:proofErr w:type="spellEnd"/>
      <w:r w:rsidRPr="00A3156C">
        <w:rPr>
          <w:rFonts w:ascii="Times New Roman" w:hAnsi="Times New Roman" w:cs="Times New Roman"/>
        </w:rPr>
        <w:t xml:space="preserve"> reference electrode by treating with a saturated solution of FeCl</w:t>
      </w:r>
      <w:r w:rsidRPr="00323004">
        <w:rPr>
          <w:rFonts w:ascii="Times New Roman" w:hAnsi="Times New Roman" w:cs="Times New Roman"/>
          <w:vertAlign w:val="subscript"/>
        </w:rPr>
        <w:t>3</w:t>
      </w:r>
      <w:r w:rsidRPr="00A3156C">
        <w:rPr>
          <w:rFonts w:ascii="Times New Roman" w:hAnsi="Times New Roman" w:cs="Times New Roman"/>
        </w:rPr>
        <w:t xml:space="preserve"> </w:t>
      </w:r>
      <w:r w:rsidRPr="00A3156C">
        <w:rPr>
          <w:rFonts w:ascii="Times New Roman" w:hAnsi="Times New Roman" w:cs="Times New Roman"/>
        </w:rPr>
        <w:fldChar w:fldCharType="begin" w:fldLock="1"/>
      </w:r>
      <w:r w:rsidR="004A31CC">
        <w:rPr>
          <w:rFonts w:ascii="Times New Roman" w:hAnsi="Times New Roman" w:cs="Times New Roman"/>
        </w:rPr>
        <w:instrText>ADDIN CSL_CITATION { "citationItems" : [ { "id" : "ITEM-1", "itemData" : { "DOI" : "10.1016/j.sbsr.2016.10.004", "ISSN" : "22141804", "author" : [ { "dropping-particle" : "", "family" : "Sharma", "given" : "Sanjiv", "non-dropping-particle" : "", "parse-names" : false, "suffix" : "" }, { "dropping-particle" : "", "family" : "Saeed", "given" : "Anwer", "non-dropping-particle" : "", "parse-names" : false, "suffix" : "" }, { "dropping-particle" : "", "family" : "Johnson", "given" : "Christopher", "non-dropping-particle" : "", "parse-names" : false, "suffix" : "" }, { "dropping-particle" : "", "family" : "Gadegaard", "given" : "Nikolaj", "non-dropping-particle" : "", "parse-names" : false, "suffix" : "" }, { "dropping-particle" : "", "family" : "Cass", "given" : "Anthony Eg", "non-dropping-particle" : "", "parse-names" : false, "suffix" : "" } ], "container-title" : "Sensing and Bio-Sensing Research", "id" : "ITEM-1", "issued" : { "date-parts" : [ [ "2016" ] ] }, "publisher" : "Elsevier B.V.", "title" : "Rapid, low cost prototyping of transdermal devices for personal healthcare monitoring", "type" : "article-journal" }, "uris" : [ "http://www.mendeley.com/documents/?uuid=4b130c4d-ea96-47c1-8563-cd9d9da68cb5" ] } ], "mendeley" : { "formattedCitation" : "[9]", "plainTextFormattedCitation" : "[9]", "previouslyFormattedCitation" : "[9]" }, "properties" : { "noteIndex" : 0 }, "schema" : "https://github.com/citation-style-language/schema/raw/master/csl-citation.json" }</w:instrText>
      </w:r>
      <w:r w:rsidRPr="00A3156C">
        <w:rPr>
          <w:rFonts w:ascii="Times New Roman" w:hAnsi="Times New Roman" w:cs="Times New Roman"/>
        </w:rPr>
        <w:fldChar w:fldCharType="separate"/>
      </w:r>
      <w:r w:rsidR="000055ED" w:rsidRPr="000055ED">
        <w:rPr>
          <w:rFonts w:ascii="Times New Roman" w:hAnsi="Times New Roman" w:cs="Times New Roman"/>
          <w:noProof/>
        </w:rPr>
        <w:t>[9]</w:t>
      </w:r>
      <w:r w:rsidRPr="00A3156C">
        <w:rPr>
          <w:rFonts w:ascii="Times New Roman" w:hAnsi="Times New Roman" w:cs="Times New Roman"/>
        </w:rPr>
        <w:fldChar w:fldCharType="end"/>
      </w:r>
      <w:r w:rsidRPr="00A3156C">
        <w:rPr>
          <w:rFonts w:ascii="Times New Roman" w:hAnsi="Times New Roman" w:cs="Times New Roman"/>
        </w:rPr>
        <w:t xml:space="preserve">. Cyclic voltammetry, iridium oxide deposition, and open circuit potentials (OCP) was performed using CHI 650a </w:t>
      </w:r>
      <w:proofErr w:type="spellStart"/>
      <w:r w:rsidRPr="00A3156C">
        <w:rPr>
          <w:rFonts w:ascii="Times New Roman" w:hAnsi="Times New Roman" w:cs="Times New Roman"/>
        </w:rPr>
        <w:t>potentiostat</w:t>
      </w:r>
      <w:proofErr w:type="spellEnd"/>
      <w:r w:rsidRPr="00A3156C">
        <w:rPr>
          <w:rFonts w:ascii="Times New Roman" w:hAnsi="Times New Roman" w:cs="Times New Roman"/>
        </w:rPr>
        <w:t xml:space="preserve">. </w:t>
      </w:r>
      <w:proofErr w:type="gramStart"/>
      <w:r w:rsidRPr="00A3156C">
        <w:rPr>
          <w:rFonts w:ascii="Times New Roman" w:hAnsi="Times New Roman" w:cs="Times New Roman"/>
        </w:rPr>
        <w:t>pH</w:t>
      </w:r>
      <w:proofErr w:type="gramEnd"/>
      <w:r w:rsidRPr="00A3156C">
        <w:rPr>
          <w:rFonts w:ascii="Times New Roman" w:hAnsi="Times New Roman" w:cs="Times New Roman"/>
        </w:rPr>
        <w:t xml:space="preserve"> calibration curves were recorded with a </w:t>
      </w:r>
      <w:proofErr w:type="spellStart"/>
      <w:r w:rsidRPr="00A3156C">
        <w:rPr>
          <w:rFonts w:ascii="Times New Roman" w:hAnsi="Times New Roman" w:cs="Times New Roman"/>
        </w:rPr>
        <w:t>Mettler</w:t>
      </w:r>
      <w:proofErr w:type="spellEnd"/>
      <w:r w:rsidRPr="00A3156C">
        <w:rPr>
          <w:rFonts w:ascii="Times New Roman" w:hAnsi="Times New Roman" w:cs="Times New Roman"/>
        </w:rPr>
        <w:t xml:space="preserve"> Toledo </w:t>
      </w:r>
      <w:proofErr w:type="spellStart"/>
      <w:r w:rsidRPr="00A3156C">
        <w:rPr>
          <w:rFonts w:ascii="Times New Roman" w:hAnsi="Times New Roman" w:cs="Times New Roman"/>
        </w:rPr>
        <w:t>SevenEasy</w:t>
      </w:r>
      <w:proofErr w:type="spellEnd"/>
      <w:r w:rsidRPr="00A3156C">
        <w:rPr>
          <w:rFonts w:ascii="Times New Roman" w:hAnsi="Times New Roman" w:cs="Times New Roman"/>
        </w:rPr>
        <w:t xml:space="preserve"> pH meter. </w:t>
      </w:r>
      <w:r w:rsidR="00280CAC">
        <w:rPr>
          <w:rFonts w:ascii="Times New Roman" w:hAnsi="Times New Roman" w:cs="Times New Roman"/>
        </w:rPr>
        <w:t>5</w:t>
      </w:r>
      <w:r w:rsidR="00C10763">
        <w:rPr>
          <w:rFonts w:ascii="Times New Roman" w:hAnsi="Times New Roman" w:cs="Times New Roman"/>
        </w:rPr>
        <w:t xml:space="preserve"> </w:t>
      </w:r>
      <w:r w:rsidR="00280CAC">
        <w:rPr>
          <w:rFonts w:ascii="Times New Roman" w:hAnsi="Times New Roman" w:cs="Times New Roman"/>
        </w:rPr>
        <w:t>mm</w:t>
      </w:r>
      <w:r w:rsidR="00FB4C1C">
        <w:rPr>
          <w:rFonts w:ascii="Times New Roman" w:hAnsi="Times New Roman" w:cs="Times New Roman"/>
        </w:rPr>
        <w:t xml:space="preserve"> diameter</w:t>
      </w:r>
      <w:r w:rsidR="00280CAC">
        <w:rPr>
          <w:rFonts w:ascii="Times New Roman" w:hAnsi="Times New Roman" w:cs="Times New Roman"/>
        </w:rPr>
        <w:t xml:space="preserve"> platinum disc electrodes, purchased from </w:t>
      </w:r>
      <w:proofErr w:type="spellStart"/>
      <w:r w:rsidR="00280CAC">
        <w:rPr>
          <w:rFonts w:ascii="Times New Roman" w:hAnsi="Times New Roman" w:cs="Times New Roman"/>
        </w:rPr>
        <w:t>Alvatek</w:t>
      </w:r>
      <w:proofErr w:type="spellEnd"/>
      <w:r w:rsidR="00280CAC">
        <w:rPr>
          <w:rFonts w:ascii="Times New Roman" w:hAnsi="Times New Roman" w:cs="Times New Roman"/>
        </w:rPr>
        <w:t xml:space="preserve"> Ltd, were also used where stated.</w:t>
      </w:r>
    </w:p>
    <w:p w:rsidR="00367E2F" w:rsidRDefault="00367E2F" w:rsidP="000177DA">
      <w:pPr>
        <w:spacing w:line="480" w:lineRule="auto"/>
        <w:jc w:val="both"/>
        <w:rPr>
          <w:rFonts w:ascii="Times New Roman" w:hAnsi="Times New Roman" w:cs="Times New Roman"/>
        </w:rPr>
      </w:pPr>
      <w:r>
        <w:rPr>
          <w:rFonts w:ascii="Times New Roman" w:hAnsi="Times New Roman" w:cs="Times New Roman"/>
        </w:rPr>
        <w:lastRenderedPageBreak/>
        <w:t xml:space="preserve">2.2 </w:t>
      </w:r>
      <w:r>
        <w:rPr>
          <w:rFonts w:ascii="Times New Roman" w:hAnsi="Times New Roman" w:cs="Times New Roman"/>
          <w:i/>
        </w:rPr>
        <w:t>Microneedle arrays</w:t>
      </w:r>
    </w:p>
    <w:p w:rsidR="005B649B" w:rsidRPr="00367E2F" w:rsidRDefault="00367E2F" w:rsidP="00CE4898">
      <w:pPr>
        <w:spacing w:line="480" w:lineRule="auto"/>
        <w:jc w:val="both"/>
        <w:rPr>
          <w:rFonts w:ascii="Times New Roman" w:hAnsi="Times New Roman" w:cs="Times New Roman"/>
        </w:rPr>
      </w:pPr>
      <w:r w:rsidRPr="00367E2F">
        <w:rPr>
          <w:rFonts w:ascii="Times New Roman" w:hAnsi="Times New Roman" w:cs="Times New Roman"/>
        </w:rPr>
        <w:t>The microneedles array structures described here were fabricated in a three-stage process. The solid work designs were transferred to a FANUC ROBOCUT α-</w:t>
      </w:r>
      <w:proofErr w:type="spellStart"/>
      <w:r w:rsidRPr="00367E2F">
        <w:rPr>
          <w:rFonts w:ascii="Times New Roman" w:hAnsi="Times New Roman" w:cs="Times New Roman"/>
        </w:rPr>
        <w:t>OiC</w:t>
      </w:r>
      <w:proofErr w:type="spellEnd"/>
      <w:r w:rsidRPr="00367E2F">
        <w:rPr>
          <w:rFonts w:ascii="Times New Roman" w:hAnsi="Times New Roman" w:cs="Times New Roman"/>
        </w:rPr>
        <w:t xml:space="preserve"> (Series 180is-WB) machine for wire erosion. It was set to make three milling passes over the copper-tungsten (Cu-W) (</w:t>
      </w:r>
      <w:proofErr w:type="spellStart"/>
      <w:r w:rsidRPr="00367E2F">
        <w:rPr>
          <w:rFonts w:ascii="Times New Roman" w:hAnsi="Times New Roman" w:cs="Times New Roman"/>
        </w:rPr>
        <w:t>Erodex</w:t>
      </w:r>
      <w:proofErr w:type="spellEnd"/>
      <w:r w:rsidRPr="00367E2F">
        <w:rPr>
          <w:rFonts w:ascii="Times New Roman" w:hAnsi="Times New Roman" w:cs="Times New Roman"/>
        </w:rPr>
        <w:t>, UK) block to create master electrodes for spark erosion. The Cu-W master was then used for spark erosion (JOEMARS EDM AZ50DR) of an aluminium block (</w:t>
      </w:r>
      <w:proofErr w:type="spellStart"/>
      <w:r w:rsidRPr="00367E2F">
        <w:rPr>
          <w:rFonts w:ascii="Times New Roman" w:hAnsi="Times New Roman" w:cs="Times New Roman"/>
        </w:rPr>
        <w:t>Erodex</w:t>
      </w:r>
      <w:proofErr w:type="spellEnd"/>
      <w:r w:rsidRPr="00367E2F">
        <w:rPr>
          <w:rFonts w:ascii="Times New Roman" w:hAnsi="Times New Roman" w:cs="Times New Roman"/>
        </w:rPr>
        <w:t xml:space="preserve">, UK) in to obtain the metal inlay. This metal inlay was used for the injection moulding of polycarbonate pellets. The polycarbonate pellets were dried at 110 °C for 24 for hours under vacuum prior to use before injection moulding process at </w:t>
      </w:r>
      <w:r w:rsidRPr="00367E2F">
        <w:rPr>
          <w:rFonts w:ascii="Times New Roman" w:hAnsi="Times New Roman" w:cs="Times New Roman"/>
          <w:iCs/>
        </w:rPr>
        <w:t>T</w:t>
      </w:r>
      <w:r w:rsidRPr="00367E2F">
        <w:rPr>
          <w:rFonts w:ascii="Times New Roman" w:hAnsi="Times New Roman" w:cs="Times New Roman"/>
          <w:vertAlign w:val="subscript"/>
        </w:rPr>
        <w:t>m</w:t>
      </w:r>
      <w:r w:rsidRPr="00367E2F">
        <w:rPr>
          <w:rFonts w:ascii="Times New Roman" w:hAnsi="Times New Roman" w:cs="Times New Roman"/>
        </w:rPr>
        <w:t xml:space="preserve"> = 270</w:t>
      </w:r>
      <w:r w:rsidR="00C10763">
        <w:rPr>
          <w:rFonts w:ascii="Times New Roman" w:hAnsi="Times New Roman" w:cs="Times New Roman"/>
        </w:rPr>
        <w:t xml:space="preserve"> </w:t>
      </w:r>
      <w:r w:rsidRPr="00367E2F">
        <w:rPr>
          <w:rFonts w:ascii="Times New Roman" w:hAnsi="Times New Roman" w:cs="Times New Roman"/>
        </w:rPr>
        <w:t xml:space="preserve">°C (PC melt temperature), </w:t>
      </w:r>
      <w:r w:rsidRPr="00367E2F">
        <w:rPr>
          <w:rFonts w:ascii="Times New Roman" w:hAnsi="Times New Roman" w:cs="Times New Roman"/>
          <w:iCs/>
        </w:rPr>
        <w:t>T</w:t>
      </w:r>
      <w:r w:rsidRPr="00367E2F">
        <w:rPr>
          <w:rFonts w:ascii="Times New Roman" w:hAnsi="Times New Roman" w:cs="Times New Roman"/>
          <w:vertAlign w:val="subscript"/>
        </w:rPr>
        <w:t>w</w:t>
      </w:r>
      <w:r w:rsidRPr="00367E2F">
        <w:rPr>
          <w:rFonts w:ascii="Times New Roman" w:hAnsi="Times New Roman" w:cs="Times New Roman"/>
        </w:rPr>
        <w:t xml:space="preserve"> = 80</w:t>
      </w:r>
      <w:r w:rsidR="00C10763">
        <w:rPr>
          <w:rFonts w:ascii="Times New Roman" w:hAnsi="Times New Roman" w:cs="Times New Roman"/>
        </w:rPr>
        <w:t xml:space="preserve"> </w:t>
      </w:r>
      <w:r w:rsidRPr="00367E2F">
        <w:rPr>
          <w:rFonts w:ascii="Times New Roman" w:hAnsi="Times New Roman" w:cs="Times New Roman"/>
        </w:rPr>
        <w:t>°C (tool temperature) at injection speed of 20</w:t>
      </w:r>
      <w:r w:rsidR="00C10763">
        <w:rPr>
          <w:rFonts w:ascii="Times New Roman" w:hAnsi="Times New Roman" w:cs="Times New Roman"/>
        </w:rPr>
        <w:t xml:space="preserve"> </w:t>
      </w:r>
      <w:r w:rsidRPr="00367E2F">
        <w:rPr>
          <w:rFonts w:ascii="Times New Roman" w:hAnsi="Times New Roman" w:cs="Times New Roman"/>
        </w:rPr>
        <w:t>cm</w:t>
      </w:r>
      <w:r w:rsidRPr="00367E2F">
        <w:rPr>
          <w:rFonts w:ascii="Times New Roman" w:hAnsi="Times New Roman" w:cs="Times New Roman"/>
          <w:vertAlign w:val="superscript"/>
        </w:rPr>
        <w:t>3</w:t>
      </w:r>
      <w:r w:rsidRPr="00367E2F">
        <w:rPr>
          <w:rFonts w:ascii="Times New Roman" w:hAnsi="Times New Roman" w:cs="Times New Roman"/>
        </w:rPr>
        <w:t xml:space="preserve"> s</w:t>
      </w:r>
      <w:r w:rsidRPr="00367E2F">
        <w:rPr>
          <w:rFonts w:ascii="Times New Roman" w:hAnsi="Times New Roman" w:cs="Times New Roman"/>
          <w:vertAlign w:val="superscript"/>
        </w:rPr>
        <w:t xml:space="preserve">−1 </w:t>
      </w:r>
      <w:r w:rsidRPr="00367E2F">
        <w:rPr>
          <w:rFonts w:ascii="Times New Roman" w:hAnsi="Times New Roman" w:cs="Times New Roman"/>
        </w:rPr>
        <w:t>and shot volume of 4.4</w:t>
      </w:r>
      <w:r w:rsidR="00C10763">
        <w:rPr>
          <w:rFonts w:ascii="Times New Roman" w:hAnsi="Times New Roman" w:cs="Times New Roman"/>
        </w:rPr>
        <w:t xml:space="preserve"> </w:t>
      </w:r>
      <w:r w:rsidRPr="00367E2F">
        <w:rPr>
          <w:rFonts w:ascii="Times New Roman" w:hAnsi="Times New Roman" w:cs="Times New Roman"/>
        </w:rPr>
        <w:t>cm</w:t>
      </w:r>
      <w:r w:rsidRPr="00367E2F">
        <w:rPr>
          <w:rFonts w:ascii="Times New Roman" w:hAnsi="Times New Roman" w:cs="Times New Roman"/>
          <w:vertAlign w:val="superscript"/>
        </w:rPr>
        <w:t>3</w:t>
      </w:r>
      <w:r w:rsidRPr="00367E2F">
        <w:rPr>
          <w:rFonts w:ascii="Times New Roman" w:hAnsi="Times New Roman" w:cs="Times New Roman"/>
        </w:rPr>
        <w:t xml:space="preserve"> and a cooling time (</w:t>
      </w:r>
      <w:proofErr w:type="spellStart"/>
      <w:r w:rsidRPr="00367E2F">
        <w:rPr>
          <w:rFonts w:ascii="Times New Roman" w:hAnsi="Times New Roman" w:cs="Times New Roman"/>
          <w:iCs/>
        </w:rPr>
        <w:t>t</w:t>
      </w:r>
      <w:r w:rsidRPr="00367E2F">
        <w:rPr>
          <w:rFonts w:ascii="Times New Roman" w:hAnsi="Times New Roman" w:cs="Times New Roman"/>
          <w:vertAlign w:val="subscript"/>
        </w:rPr>
        <w:t>c</w:t>
      </w:r>
      <w:proofErr w:type="spellEnd"/>
      <w:r w:rsidRPr="00367E2F">
        <w:rPr>
          <w:rFonts w:ascii="Times New Roman" w:hAnsi="Times New Roman" w:cs="Times New Roman"/>
        </w:rPr>
        <w:t>) of 5 seconds. Each polyca</w:t>
      </w:r>
      <w:r w:rsidR="00483881">
        <w:rPr>
          <w:rFonts w:ascii="Times New Roman" w:hAnsi="Times New Roman" w:cs="Times New Roman"/>
        </w:rPr>
        <w:t>rbonate microneedle structure (</w:t>
      </w:r>
      <w:r w:rsidRPr="00367E2F">
        <w:rPr>
          <w:rFonts w:ascii="Times New Roman" w:hAnsi="Times New Roman" w:cs="Times New Roman"/>
        </w:rPr>
        <w:t>25 × 25 × 2</w:t>
      </w:r>
      <w:r w:rsidR="00C10763">
        <w:rPr>
          <w:rFonts w:ascii="Times New Roman" w:hAnsi="Times New Roman" w:cs="Times New Roman"/>
        </w:rPr>
        <w:t xml:space="preserve"> </w:t>
      </w:r>
      <w:r w:rsidRPr="00367E2F">
        <w:rPr>
          <w:rFonts w:ascii="Times New Roman" w:hAnsi="Times New Roman" w:cs="Times New Roman"/>
        </w:rPr>
        <w:t>mm) comprised of four 4x4 microneedle arrays. Fabrication of microneedle array structures have been described in detail before</w:t>
      </w:r>
      <w:r>
        <w:rPr>
          <w:rFonts w:ascii="Times New Roman" w:hAnsi="Times New Roman" w:cs="Times New Roman"/>
        </w:rPr>
        <w:t xml:space="preserve"> </w:t>
      </w:r>
      <w:r>
        <w:rPr>
          <w:rFonts w:ascii="Times New Roman" w:hAnsi="Times New Roman" w:cs="Times New Roman"/>
        </w:rPr>
        <w:fldChar w:fldCharType="begin" w:fldLock="1"/>
      </w:r>
      <w:r w:rsidR="001674FB">
        <w:rPr>
          <w:rFonts w:ascii="Times New Roman" w:hAnsi="Times New Roman" w:cs="Times New Roman"/>
        </w:rPr>
        <w:instrText>ADDIN CSL_CITATION { "citationItems" : [ { "id" : "ITEM-1", "itemData" : { "DOI" : "10.1016/bs.mie.2017.02.002", "author" : [ { "dropping-particle" : "", "family" : "Cass", "given" : "Anthony E.G.", "non-dropping-particle" : "", "parse-names" : false, "suffix" : "" }, { "dropping-particle" : "", "family" : "Sharma", "given" : "Sanjiv", "non-dropping-particle" : "", "parse-names" : false, "suffix" : "" } ], "id" : "ITEM-1", "issued" : { "date-parts" : [ [ "2017" ] ] }, "page" : "413-427", "title" : "Microneedle Enzyme Sensor Arrays for Continuous In Vivo Monitoring", "type" : "chapter" }, "uris" : [ "http://www.mendeley.com/documents/?uuid=73e88938-4985-4d47-9ef6-2d18d5294e6f" ] }, { "id" : "ITEM-2", "itemData" : { "DOI" : "10.1016/j.sbsr.2016.10.004", "ISSN" : "22141804", "author" : [ { "dropping-particle" : "", "family" : "Sharma", "given" : "Sanjiv", "non-dropping-particle" : "", "parse-names" : false, "suffix" : "" }, { "dropping-particle" : "", "family" : "Saeed", "given" : "Anwer", "non-dropping-particle" : "", "parse-names" : false, "suffix" : "" }, { "dropping-particle" : "", "family" : "Johnson", "given" : "Christopher", "non-dropping-particle" : "", "parse-names" : false, "suffix" : "" }, { "dropping-particle" : "", "family" : "Gadegaard", "given" : "Nikolaj", "non-dropping-particle" : "", "parse-names" : false, "suffix" : "" }, { "dropping-particle" : "", "family" : "Cass", "given" : "Anthony Eg", "non-dropping-particle" : "", "parse-names" : false, "suffix" : "" } ], "container-title" : "Sensing and Bio-Sensing Research", "id" : "ITEM-2", "issued" : { "date-parts" : [ [ "2016" ] ] }, "publisher" : "Elsevier B.V.", "title" : "Rapid, low cost prototyping of transdermal devices for personal healthcare monitoring", "type" : "article-journal" }, "uris" : [ "http://www.mendeley.com/documents/?uuid=4b130c4d-ea96-47c1-8563-cd9d9da68cb5" ] } ], "mendeley" : { "formattedCitation" : "[9,43]", "plainTextFormattedCitation" : "[9,43]", "previouslyFormattedCitation" : "[9,43]" }, "properties" : { "noteIndex" : 0 }, "schema" : "https://github.com/citation-style-language/schema/raw/master/csl-citation.json" }</w:instrText>
      </w:r>
      <w:r>
        <w:rPr>
          <w:rFonts w:ascii="Times New Roman" w:hAnsi="Times New Roman" w:cs="Times New Roman"/>
        </w:rPr>
        <w:fldChar w:fldCharType="separate"/>
      </w:r>
      <w:r w:rsidR="001674FB" w:rsidRPr="001674FB">
        <w:rPr>
          <w:rFonts w:ascii="Times New Roman" w:hAnsi="Times New Roman" w:cs="Times New Roman"/>
          <w:noProof/>
        </w:rPr>
        <w:t>[9,43]</w:t>
      </w:r>
      <w:r>
        <w:rPr>
          <w:rFonts w:ascii="Times New Roman" w:hAnsi="Times New Roman" w:cs="Times New Roman"/>
        </w:rPr>
        <w:fldChar w:fldCharType="end"/>
      </w:r>
      <w:r>
        <w:rPr>
          <w:rFonts w:ascii="Times New Roman" w:hAnsi="Times New Roman" w:cs="Times New Roman"/>
        </w:rPr>
        <w:t>.</w:t>
      </w:r>
    </w:p>
    <w:p w:rsidR="00530D01" w:rsidRPr="00A3156C" w:rsidRDefault="00367E2F" w:rsidP="00CE4898">
      <w:pPr>
        <w:spacing w:line="480" w:lineRule="auto"/>
        <w:jc w:val="both"/>
        <w:rPr>
          <w:rFonts w:ascii="Times New Roman" w:hAnsi="Times New Roman" w:cs="Times New Roman"/>
          <w:i/>
        </w:rPr>
      </w:pPr>
      <w:r>
        <w:rPr>
          <w:rFonts w:ascii="Times New Roman" w:hAnsi="Times New Roman" w:cs="Times New Roman"/>
          <w:i/>
        </w:rPr>
        <w:t>2.3</w:t>
      </w:r>
      <w:r w:rsidR="00530D01" w:rsidRPr="00A3156C">
        <w:rPr>
          <w:rFonts w:ascii="Times New Roman" w:hAnsi="Times New Roman" w:cs="Times New Roman"/>
          <w:i/>
        </w:rPr>
        <w:t xml:space="preserve"> </w:t>
      </w:r>
      <w:r w:rsidR="00D93D2B" w:rsidRPr="00A3156C">
        <w:rPr>
          <w:rFonts w:ascii="Times New Roman" w:hAnsi="Times New Roman" w:cs="Times New Roman"/>
          <w:i/>
        </w:rPr>
        <w:t>M</w:t>
      </w:r>
      <w:r w:rsidR="000177DA" w:rsidRPr="00A3156C">
        <w:rPr>
          <w:rFonts w:ascii="Times New Roman" w:hAnsi="Times New Roman" w:cs="Times New Roman"/>
          <w:i/>
        </w:rPr>
        <w:t>icroneedle array electrochemical</w:t>
      </w:r>
      <w:r w:rsidR="00530D01" w:rsidRPr="00A3156C">
        <w:rPr>
          <w:rFonts w:ascii="Times New Roman" w:hAnsi="Times New Roman" w:cs="Times New Roman"/>
          <w:i/>
        </w:rPr>
        <w:t xml:space="preserve"> sensor preparation</w:t>
      </w:r>
    </w:p>
    <w:p w:rsidR="007F6FE5" w:rsidRPr="00A3156C" w:rsidRDefault="00C157D1" w:rsidP="00F71521">
      <w:pPr>
        <w:spacing w:line="480" w:lineRule="auto"/>
        <w:jc w:val="both"/>
        <w:rPr>
          <w:rFonts w:ascii="Times New Roman" w:hAnsi="Times New Roman" w:cs="Times New Roman"/>
        </w:rPr>
      </w:pPr>
      <w:r w:rsidRPr="00A3156C">
        <w:rPr>
          <w:rFonts w:ascii="Times New Roman" w:hAnsi="Times New Roman" w:cs="Times New Roman"/>
        </w:rPr>
        <w:t>The m</w:t>
      </w:r>
      <w:r w:rsidR="005D1492" w:rsidRPr="00A3156C">
        <w:rPr>
          <w:rFonts w:ascii="Times New Roman" w:hAnsi="Times New Roman" w:cs="Times New Roman"/>
        </w:rPr>
        <w:t>icroneedle array</w:t>
      </w:r>
      <w:r w:rsidRPr="00A3156C">
        <w:rPr>
          <w:rFonts w:ascii="Times New Roman" w:hAnsi="Times New Roman" w:cs="Times New Roman"/>
        </w:rPr>
        <w:t>s</w:t>
      </w:r>
      <w:r w:rsidR="00F71521" w:rsidRPr="00A3156C">
        <w:rPr>
          <w:rFonts w:ascii="Times New Roman" w:hAnsi="Times New Roman" w:cs="Times New Roman"/>
        </w:rPr>
        <w:t xml:space="preserve"> w</w:t>
      </w:r>
      <w:r w:rsidR="00623D4B" w:rsidRPr="00A3156C">
        <w:rPr>
          <w:rFonts w:ascii="Times New Roman" w:hAnsi="Times New Roman" w:cs="Times New Roman"/>
        </w:rPr>
        <w:t>ere</w:t>
      </w:r>
      <w:r w:rsidR="00F71521" w:rsidRPr="00A3156C">
        <w:rPr>
          <w:rFonts w:ascii="Times New Roman" w:hAnsi="Times New Roman" w:cs="Times New Roman"/>
        </w:rPr>
        <w:t xml:space="preserve"> prepared by </w:t>
      </w:r>
      <w:r w:rsidR="005D1492" w:rsidRPr="00A3156C">
        <w:rPr>
          <w:rFonts w:ascii="Times New Roman" w:hAnsi="Times New Roman" w:cs="Times New Roman"/>
        </w:rPr>
        <w:t xml:space="preserve">rinsing the surface with ethanol. </w:t>
      </w:r>
      <w:r w:rsidR="00F71521" w:rsidRPr="00A3156C">
        <w:rPr>
          <w:rFonts w:ascii="Times New Roman" w:hAnsi="Times New Roman" w:cs="Times New Roman"/>
        </w:rPr>
        <w:t xml:space="preserve">Iridium oxide was then deposited on the </w:t>
      </w:r>
      <w:r w:rsidR="005D1492" w:rsidRPr="00A3156C">
        <w:rPr>
          <w:rFonts w:ascii="Times New Roman" w:hAnsi="Times New Roman" w:cs="Times New Roman"/>
        </w:rPr>
        <w:t>platinum</w:t>
      </w:r>
      <w:r w:rsidR="00F71521" w:rsidRPr="00A3156C">
        <w:rPr>
          <w:rFonts w:ascii="Times New Roman" w:hAnsi="Times New Roman" w:cs="Times New Roman"/>
        </w:rPr>
        <w:t xml:space="preserve"> </w:t>
      </w:r>
      <w:r w:rsidR="007F6FE5" w:rsidRPr="00A3156C">
        <w:rPr>
          <w:rFonts w:ascii="Times New Roman" w:hAnsi="Times New Roman" w:cs="Times New Roman"/>
        </w:rPr>
        <w:t>at a constant potential of 0.95</w:t>
      </w:r>
      <w:r w:rsidR="00C10763">
        <w:rPr>
          <w:rFonts w:ascii="Times New Roman" w:hAnsi="Times New Roman" w:cs="Times New Roman"/>
        </w:rPr>
        <w:t xml:space="preserve"> </w:t>
      </w:r>
      <w:r w:rsidR="007F6FE5" w:rsidRPr="00A3156C">
        <w:rPr>
          <w:rFonts w:ascii="Times New Roman" w:hAnsi="Times New Roman" w:cs="Times New Roman"/>
        </w:rPr>
        <w:t xml:space="preserve">V for 300 seconds for three cycles with an interval of 10 minutes between cycles. </w:t>
      </w:r>
      <w:proofErr w:type="gramStart"/>
      <w:r w:rsidR="007F6FE5" w:rsidRPr="00A3156C">
        <w:rPr>
          <w:rFonts w:ascii="Times New Roman" w:hAnsi="Times New Roman" w:cs="Times New Roman"/>
        </w:rPr>
        <w:t>pH</w:t>
      </w:r>
      <w:proofErr w:type="gramEnd"/>
      <w:r w:rsidR="007F6FE5" w:rsidRPr="00A3156C">
        <w:rPr>
          <w:rFonts w:ascii="Times New Roman" w:hAnsi="Times New Roman" w:cs="Times New Roman"/>
        </w:rPr>
        <w:t xml:space="preserve"> calibration of </w:t>
      </w:r>
      <w:proofErr w:type="spellStart"/>
      <w:r w:rsidR="00623D4B" w:rsidRPr="00A3156C">
        <w:rPr>
          <w:rFonts w:ascii="Times New Roman" w:hAnsi="Times New Roman" w:cs="Times New Roman"/>
        </w:rPr>
        <w:t>anodically</w:t>
      </w:r>
      <w:proofErr w:type="spellEnd"/>
      <w:r w:rsidR="00623D4B" w:rsidRPr="00A3156C">
        <w:rPr>
          <w:rFonts w:ascii="Times New Roman" w:hAnsi="Times New Roman" w:cs="Times New Roman"/>
        </w:rPr>
        <w:t xml:space="preserve"> </w:t>
      </w:r>
      <w:r w:rsidR="00FB4C1C" w:rsidRPr="00A3156C">
        <w:rPr>
          <w:rFonts w:ascii="Times New Roman" w:hAnsi="Times New Roman" w:cs="Times New Roman"/>
        </w:rPr>
        <w:t>electrodeposit</w:t>
      </w:r>
      <w:r w:rsidR="00FB4C1C">
        <w:rPr>
          <w:rFonts w:ascii="Times New Roman" w:hAnsi="Times New Roman" w:cs="Times New Roman"/>
        </w:rPr>
        <w:t>ed</w:t>
      </w:r>
      <w:r w:rsidR="00FB4C1C" w:rsidRPr="00A3156C">
        <w:rPr>
          <w:rFonts w:ascii="Times New Roman" w:hAnsi="Times New Roman" w:cs="Times New Roman"/>
        </w:rPr>
        <w:t xml:space="preserve"> </w:t>
      </w:r>
      <w:r w:rsidR="007F6FE5" w:rsidRPr="00A3156C">
        <w:rPr>
          <w:rFonts w:ascii="Times New Roman" w:hAnsi="Times New Roman" w:cs="Times New Roman"/>
        </w:rPr>
        <w:t xml:space="preserve">iridium oxide </w:t>
      </w:r>
      <w:r w:rsidR="00623D4B" w:rsidRPr="00A3156C">
        <w:rPr>
          <w:rFonts w:ascii="Times New Roman" w:hAnsi="Times New Roman" w:cs="Times New Roman"/>
        </w:rPr>
        <w:t xml:space="preserve">films (AEIROFs) </w:t>
      </w:r>
      <w:r w:rsidR="007F6FE5" w:rsidRPr="00A3156C">
        <w:rPr>
          <w:rFonts w:ascii="Times New Roman" w:hAnsi="Times New Roman" w:cs="Times New Roman"/>
        </w:rPr>
        <w:t>was performed in PBS with OCP recorded for the pH range 4.0-8.0.</w:t>
      </w:r>
      <w:r w:rsidR="007C4618" w:rsidRPr="00A3156C">
        <w:rPr>
          <w:rFonts w:ascii="Times New Roman" w:hAnsi="Times New Roman" w:cs="Times New Roman"/>
        </w:rPr>
        <w:t xml:space="preserve"> </w:t>
      </w:r>
    </w:p>
    <w:p w:rsidR="00921584" w:rsidRPr="00A3156C" w:rsidRDefault="005D1492" w:rsidP="00F71521">
      <w:pPr>
        <w:spacing w:line="480" w:lineRule="auto"/>
        <w:jc w:val="both"/>
        <w:rPr>
          <w:rFonts w:ascii="Times New Roman" w:hAnsi="Times New Roman" w:cs="Times New Roman"/>
        </w:rPr>
      </w:pPr>
      <w:proofErr w:type="spellStart"/>
      <w:r w:rsidRPr="00A3156C">
        <w:rPr>
          <w:rFonts w:ascii="Times New Roman" w:hAnsi="Times New Roman" w:cs="Times New Roman"/>
        </w:rPr>
        <w:t>Polyethylenimine</w:t>
      </w:r>
      <w:proofErr w:type="spellEnd"/>
      <w:r w:rsidRPr="00A3156C">
        <w:rPr>
          <w:rFonts w:ascii="Times New Roman" w:hAnsi="Times New Roman" w:cs="Times New Roman"/>
        </w:rPr>
        <w:t xml:space="preserve"> was layered onto the </w:t>
      </w:r>
      <w:r w:rsidR="00623D4B" w:rsidRPr="00A3156C">
        <w:rPr>
          <w:rFonts w:ascii="Times New Roman" w:hAnsi="Times New Roman" w:cs="Times New Roman"/>
        </w:rPr>
        <w:t xml:space="preserve">AEIROFs for mechanical stability. </w:t>
      </w:r>
      <w:r w:rsidR="007F6FE5" w:rsidRPr="00A3156C">
        <w:rPr>
          <w:rFonts w:ascii="Times New Roman" w:hAnsi="Times New Roman" w:cs="Times New Roman"/>
        </w:rPr>
        <w:t xml:space="preserve">Beta-lactamase was then immobilised onto the electrode surface by depositing beta-lactamase and BSA solution </w:t>
      </w:r>
      <w:r w:rsidR="00623D4B" w:rsidRPr="00A3156C">
        <w:rPr>
          <w:rFonts w:ascii="Times New Roman" w:hAnsi="Times New Roman" w:cs="Times New Roman"/>
        </w:rPr>
        <w:t>with 2.5%</w:t>
      </w:r>
      <w:r w:rsidR="007F6FE5" w:rsidRPr="00A3156C">
        <w:rPr>
          <w:rFonts w:ascii="Times New Roman" w:hAnsi="Times New Roman" w:cs="Times New Roman"/>
        </w:rPr>
        <w:t xml:space="preserve"> glutaraldehyde solution</w:t>
      </w:r>
      <w:r w:rsidR="00623D4B" w:rsidRPr="00A3156C">
        <w:rPr>
          <w:rFonts w:ascii="Times New Roman" w:hAnsi="Times New Roman" w:cs="Times New Roman"/>
        </w:rPr>
        <w:t xml:space="preserve">, which was left for 90 minutes and then </w:t>
      </w:r>
      <w:r w:rsidR="00814F44" w:rsidRPr="00A3156C">
        <w:rPr>
          <w:rFonts w:ascii="Times New Roman" w:hAnsi="Times New Roman" w:cs="Times New Roman"/>
        </w:rPr>
        <w:t>rinsed</w:t>
      </w:r>
      <w:r w:rsidR="00623D4B" w:rsidRPr="00A3156C">
        <w:rPr>
          <w:rFonts w:ascii="Times New Roman" w:hAnsi="Times New Roman" w:cs="Times New Roman"/>
        </w:rPr>
        <w:t xml:space="preserve">. </w:t>
      </w:r>
      <w:r w:rsidR="007F6FE5" w:rsidRPr="00A3156C">
        <w:rPr>
          <w:rFonts w:ascii="Times New Roman" w:hAnsi="Times New Roman" w:cs="Times New Roman"/>
        </w:rPr>
        <w:t>Finally</w:t>
      </w:r>
      <w:r w:rsidR="00623D4B" w:rsidRPr="00A3156C">
        <w:rPr>
          <w:rFonts w:ascii="Times New Roman" w:hAnsi="Times New Roman" w:cs="Times New Roman"/>
        </w:rPr>
        <w:t>, another layer of</w:t>
      </w:r>
      <w:r w:rsidR="007F6FE5" w:rsidRPr="00A3156C">
        <w:rPr>
          <w:rFonts w:ascii="Times New Roman" w:hAnsi="Times New Roman" w:cs="Times New Roman"/>
        </w:rPr>
        <w:t xml:space="preserve"> beta-lactamase solution</w:t>
      </w:r>
      <w:r w:rsidR="00623D4B" w:rsidRPr="00A3156C">
        <w:rPr>
          <w:rFonts w:ascii="Times New Roman" w:hAnsi="Times New Roman" w:cs="Times New Roman"/>
        </w:rPr>
        <w:t xml:space="preserve"> alone</w:t>
      </w:r>
      <w:r w:rsidR="007F6FE5" w:rsidRPr="00A3156C">
        <w:rPr>
          <w:rFonts w:ascii="Times New Roman" w:hAnsi="Times New Roman" w:cs="Times New Roman"/>
        </w:rPr>
        <w:t xml:space="preserve"> was deposited onto the </w:t>
      </w:r>
      <w:r w:rsidR="00483881" w:rsidRPr="00A3156C">
        <w:rPr>
          <w:rFonts w:ascii="Times New Roman" w:hAnsi="Times New Roman" w:cs="Times New Roman"/>
        </w:rPr>
        <w:t>ou</w:t>
      </w:r>
      <w:r w:rsidR="00483881">
        <w:rPr>
          <w:rFonts w:ascii="Times New Roman" w:hAnsi="Times New Roman" w:cs="Times New Roman"/>
        </w:rPr>
        <w:t>t</w:t>
      </w:r>
      <w:r w:rsidR="00483881" w:rsidRPr="00A3156C">
        <w:rPr>
          <w:rFonts w:ascii="Times New Roman" w:hAnsi="Times New Roman" w:cs="Times New Roman"/>
        </w:rPr>
        <w:t>e</w:t>
      </w:r>
      <w:r w:rsidR="00483881">
        <w:rPr>
          <w:rFonts w:ascii="Times New Roman" w:hAnsi="Times New Roman" w:cs="Times New Roman"/>
        </w:rPr>
        <w:t>r</w:t>
      </w:r>
      <w:r w:rsidR="007F6FE5" w:rsidRPr="00A3156C">
        <w:rPr>
          <w:rFonts w:ascii="Times New Roman" w:hAnsi="Times New Roman" w:cs="Times New Roman"/>
        </w:rPr>
        <w:t xml:space="preserve"> membrane</w:t>
      </w:r>
      <w:r w:rsidR="00483881">
        <w:rPr>
          <w:rFonts w:ascii="Times New Roman" w:hAnsi="Times New Roman" w:cs="Times New Roman"/>
        </w:rPr>
        <w:t>,</w:t>
      </w:r>
      <w:r w:rsidR="007F6FE5" w:rsidRPr="00A3156C">
        <w:rPr>
          <w:rFonts w:ascii="Times New Roman" w:hAnsi="Times New Roman" w:cs="Times New Roman"/>
        </w:rPr>
        <w:t xml:space="preserve"> and </w:t>
      </w:r>
      <w:r w:rsidR="00623D4B" w:rsidRPr="00A3156C">
        <w:rPr>
          <w:rFonts w:ascii="Times New Roman" w:hAnsi="Times New Roman" w:cs="Times New Roman"/>
        </w:rPr>
        <w:t xml:space="preserve">after drying a final layer of PEI </w:t>
      </w:r>
      <w:r w:rsidR="00814F44" w:rsidRPr="00A3156C">
        <w:rPr>
          <w:rFonts w:ascii="Times New Roman" w:hAnsi="Times New Roman" w:cs="Times New Roman"/>
        </w:rPr>
        <w:t xml:space="preserve">was </w:t>
      </w:r>
      <w:r w:rsidR="00623D4B" w:rsidRPr="00A3156C">
        <w:rPr>
          <w:rFonts w:ascii="Times New Roman" w:hAnsi="Times New Roman" w:cs="Times New Roman"/>
        </w:rPr>
        <w:t xml:space="preserve">added. Sensors were </w:t>
      </w:r>
      <w:r w:rsidR="007F6FE5" w:rsidRPr="00A3156C">
        <w:rPr>
          <w:rFonts w:ascii="Times New Roman" w:hAnsi="Times New Roman" w:cs="Times New Roman"/>
        </w:rPr>
        <w:t>stored for</w:t>
      </w:r>
      <w:r w:rsidR="00623D4B" w:rsidRPr="00A3156C">
        <w:rPr>
          <w:rFonts w:ascii="Times New Roman" w:hAnsi="Times New Roman" w:cs="Times New Roman"/>
        </w:rPr>
        <w:t xml:space="preserve"> at least</w:t>
      </w:r>
      <w:r w:rsidR="007F6FE5" w:rsidRPr="00A3156C">
        <w:rPr>
          <w:rFonts w:ascii="Times New Roman" w:hAnsi="Times New Roman" w:cs="Times New Roman"/>
        </w:rPr>
        <w:t xml:space="preserve"> </w:t>
      </w:r>
      <w:r w:rsidR="00623D4B" w:rsidRPr="00A3156C">
        <w:rPr>
          <w:rFonts w:ascii="Times New Roman" w:hAnsi="Times New Roman" w:cs="Times New Roman"/>
        </w:rPr>
        <w:t>24</w:t>
      </w:r>
      <w:r w:rsidR="007F6FE5" w:rsidRPr="00A3156C">
        <w:rPr>
          <w:rFonts w:ascii="Times New Roman" w:hAnsi="Times New Roman" w:cs="Times New Roman"/>
        </w:rPr>
        <w:t xml:space="preserve"> hours </w:t>
      </w:r>
      <w:r w:rsidR="00623D4B" w:rsidRPr="00A3156C">
        <w:rPr>
          <w:rFonts w:ascii="Times New Roman" w:hAnsi="Times New Roman" w:cs="Times New Roman"/>
        </w:rPr>
        <w:t>at 4</w:t>
      </w:r>
      <w:r w:rsidR="00C10763">
        <w:rPr>
          <w:rFonts w:ascii="Times New Roman" w:hAnsi="Times New Roman" w:cs="Times New Roman"/>
        </w:rPr>
        <w:t xml:space="preserve"> </w:t>
      </w:r>
      <w:proofErr w:type="spellStart"/>
      <w:r w:rsidR="00623D4B" w:rsidRPr="00A3156C">
        <w:rPr>
          <w:rFonts w:ascii="Times New Roman" w:hAnsi="Times New Roman" w:cs="Times New Roman"/>
          <w:vertAlign w:val="superscript"/>
        </w:rPr>
        <w:t>o</w:t>
      </w:r>
      <w:r w:rsidR="00623D4B" w:rsidRPr="00A3156C">
        <w:rPr>
          <w:rFonts w:ascii="Times New Roman" w:hAnsi="Times New Roman" w:cs="Times New Roman"/>
        </w:rPr>
        <w:t>C</w:t>
      </w:r>
      <w:proofErr w:type="spellEnd"/>
      <w:r w:rsidR="00623D4B" w:rsidRPr="00A3156C">
        <w:rPr>
          <w:rFonts w:ascii="Times New Roman" w:hAnsi="Times New Roman" w:cs="Times New Roman"/>
        </w:rPr>
        <w:t xml:space="preserve"> before use</w:t>
      </w:r>
      <w:r w:rsidR="007F6FE5" w:rsidRPr="00A3156C">
        <w:rPr>
          <w:rFonts w:ascii="Times New Roman" w:hAnsi="Times New Roman" w:cs="Times New Roman"/>
        </w:rPr>
        <w:t xml:space="preserve">. </w:t>
      </w:r>
      <w:r w:rsidR="00280CAC">
        <w:rPr>
          <w:rFonts w:ascii="Times New Roman" w:hAnsi="Times New Roman" w:cs="Times New Roman"/>
        </w:rPr>
        <w:t>5</w:t>
      </w:r>
      <w:r w:rsidR="00C10763">
        <w:rPr>
          <w:rFonts w:ascii="Times New Roman" w:hAnsi="Times New Roman" w:cs="Times New Roman"/>
        </w:rPr>
        <w:t xml:space="preserve"> </w:t>
      </w:r>
      <w:r w:rsidR="00280CAC">
        <w:rPr>
          <w:rFonts w:ascii="Times New Roman" w:hAnsi="Times New Roman" w:cs="Times New Roman"/>
        </w:rPr>
        <w:t xml:space="preserve">mm platinum disc electrodes </w:t>
      </w:r>
      <w:r w:rsidR="005B649B">
        <w:rPr>
          <w:rFonts w:ascii="Times New Roman" w:hAnsi="Times New Roman" w:cs="Times New Roman"/>
        </w:rPr>
        <w:t xml:space="preserve">were </w:t>
      </w:r>
      <w:r w:rsidR="00FB4C1C">
        <w:rPr>
          <w:rFonts w:ascii="Times New Roman" w:hAnsi="Times New Roman" w:cs="Times New Roman"/>
        </w:rPr>
        <w:t xml:space="preserve">modified </w:t>
      </w:r>
      <w:r w:rsidR="005B649B">
        <w:rPr>
          <w:rFonts w:ascii="Times New Roman" w:hAnsi="Times New Roman" w:cs="Times New Roman"/>
        </w:rPr>
        <w:t>using the same method.</w:t>
      </w:r>
    </w:p>
    <w:p w:rsidR="00C10763" w:rsidRDefault="00C10763" w:rsidP="00F71521">
      <w:pPr>
        <w:spacing w:line="480" w:lineRule="auto"/>
        <w:jc w:val="both"/>
        <w:rPr>
          <w:rFonts w:ascii="Times New Roman" w:hAnsi="Times New Roman" w:cs="Times New Roman"/>
          <w:i/>
        </w:rPr>
      </w:pPr>
    </w:p>
    <w:p w:rsidR="00C10763" w:rsidRDefault="00C10763" w:rsidP="00F71521">
      <w:pPr>
        <w:spacing w:line="480" w:lineRule="auto"/>
        <w:jc w:val="both"/>
        <w:rPr>
          <w:rFonts w:ascii="Times New Roman" w:hAnsi="Times New Roman" w:cs="Times New Roman"/>
          <w:i/>
        </w:rPr>
      </w:pPr>
    </w:p>
    <w:p w:rsidR="00F71521" w:rsidRPr="00A3156C" w:rsidRDefault="00367E2F" w:rsidP="00F71521">
      <w:pPr>
        <w:spacing w:line="480" w:lineRule="auto"/>
        <w:jc w:val="both"/>
        <w:rPr>
          <w:rFonts w:ascii="Times New Roman" w:hAnsi="Times New Roman" w:cs="Times New Roman"/>
          <w:i/>
        </w:rPr>
      </w:pPr>
      <w:r>
        <w:rPr>
          <w:rFonts w:ascii="Times New Roman" w:hAnsi="Times New Roman" w:cs="Times New Roman"/>
          <w:i/>
        </w:rPr>
        <w:lastRenderedPageBreak/>
        <w:t>2.4</w:t>
      </w:r>
      <w:r w:rsidR="00921584" w:rsidRPr="00A3156C">
        <w:rPr>
          <w:rFonts w:ascii="Times New Roman" w:hAnsi="Times New Roman" w:cs="Times New Roman"/>
          <w:i/>
        </w:rPr>
        <w:t xml:space="preserve"> Beta-lactam antibiotic calibration </w:t>
      </w:r>
      <w:r w:rsidR="007F6FE5" w:rsidRPr="00A3156C">
        <w:rPr>
          <w:rFonts w:ascii="Times New Roman" w:hAnsi="Times New Roman" w:cs="Times New Roman"/>
          <w:i/>
        </w:rPr>
        <w:t xml:space="preserve"> </w:t>
      </w:r>
    </w:p>
    <w:p w:rsidR="00280CAC" w:rsidRDefault="00623D4B" w:rsidP="00F71521">
      <w:pPr>
        <w:spacing w:line="480" w:lineRule="auto"/>
        <w:jc w:val="both"/>
        <w:rPr>
          <w:rFonts w:ascii="Times New Roman" w:hAnsi="Times New Roman" w:cs="Times New Roman"/>
        </w:rPr>
      </w:pPr>
      <w:r w:rsidRPr="00A3156C">
        <w:rPr>
          <w:rFonts w:ascii="Times New Roman" w:hAnsi="Times New Roman" w:cs="Times New Roman"/>
        </w:rPr>
        <w:t xml:space="preserve">A </w:t>
      </w:r>
      <w:r w:rsidR="00280CAC">
        <w:rPr>
          <w:rFonts w:ascii="Times New Roman" w:hAnsi="Times New Roman" w:cs="Times New Roman"/>
        </w:rPr>
        <w:t xml:space="preserve">stock </w:t>
      </w:r>
      <w:r w:rsidRPr="00A3156C">
        <w:rPr>
          <w:rFonts w:ascii="Times New Roman" w:hAnsi="Times New Roman" w:cs="Times New Roman"/>
        </w:rPr>
        <w:t>s</w:t>
      </w:r>
      <w:r w:rsidR="00921584" w:rsidRPr="00A3156C">
        <w:rPr>
          <w:rFonts w:ascii="Times New Roman" w:hAnsi="Times New Roman" w:cs="Times New Roman"/>
        </w:rPr>
        <w:t>olution</w:t>
      </w:r>
      <w:r w:rsidRPr="00A3156C">
        <w:rPr>
          <w:rFonts w:ascii="Times New Roman" w:hAnsi="Times New Roman" w:cs="Times New Roman"/>
        </w:rPr>
        <w:t xml:space="preserve"> </w:t>
      </w:r>
      <w:r w:rsidR="00280CAC">
        <w:rPr>
          <w:rFonts w:ascii="Times New Roman" w:hAnsi="Times New Roman" w:cs="Times New Roman"/>
        </w:rPr>
        <w:t xml:space="preserve">of beta-lactam </w:t>
      </w:r>
      <w:r w:rsidRPr="00A3156C">
        <w:rPr>
          <w:rFonts w:ascii="Times New Roman" w:hAnsi="Times New Roman" w:cs="Times New Roman"/>
        </w:rPr>
        <w:t xml:space="preserve">was prepared </w:t>
      </w:r>
      <w:r w:rsidR="00921584" w:rsidRPr="00A3156C">
        <w:rPr>
          <w:rFonts w:ascii="Times New Roman" w:hAnsi="Times New Roman" w:cs="Times New Roman"/>
        </w:rPr>
        <w:t xml:space="preserve">in PBS. OCP were recorded for increasing </w:t>
      </w:r>
      <w:r w:rsidR="00801ACC">
        <w:rPr>
          <w:rFonts w:ascii="Times New Roman" w:hAnsi="Times New Roman" w:cs="Times New Roman"/>
        </w:rPr>
        <w:t>concentrations of beta-lactam</w:t>
      </w:r>
      <w:r w:rsidR="00921584" w:rsidRPr="00A3156C">
        <w:rPr>
          <w:rFonts w:ascii="Times New Roman" w:hAnsi="Times New Roman" w:cs="Times New Roman"/>
        </w:rPr>
        <w:t xml:space="preserve"> from </w:t>
      </w:r>
      <w:r w:rsidRPr="00A3156C">
        <w:rPr>
          <w:rFonts w:ascii="Times New Roman" w:hAnsi="Times New Roman" w:cs="Times New Roman"/>
        </w:rPr>
        <w:t>50</w:t>
      </w:r>
      <w:r w:rsidR="00C10763">
        <w:rPr>
          <w:rFonts w:ascii="Times New Roman" w:hAnsi="Times New Roman" w:cs="Times New Roman"/>
        </w:rPr>
        <w:t xml:space="preserve"> </w:t>
      </w:r>
      <w:r w:rsidRPr="00A3156C">
        <w:rPr>
          <w:rFonts w:ascii="Times New Roman" w:hAnsi="Times New Roman" w:cs="Times New Roman"/>
        </w:rPr>
        <w:t>-</w:t>
      </w:r>
      <w:r w:rsidR="00C10763">
        <w:rPr>
          <w:rFonts w:ascii="Times New Roman" w:hAnsi="Times New Roman" w:cs="Times New Roman"/>
        </w:rPr>
        <w:t xml:space="preserve"> </w:t>
      </w:r>
      <w:r w:rsidRPr="00A3156C">
        <w:rPr>
          <w:rFonts w:ascii="Times New Roman" w:hAnsi="Times New Roman" w:cs="Times New Roman"/>
        </w:rPr>
        <w:t>5000</w:t>
      </w:r>
      <w:r w:rsidR="00C10763">
        <w:rPr>
          <w:rFonts w:ascii="Times New Roman" w:hAnsi="Times New Roman" w:cs="Times New Roman"/>
        </w:rPr>
        <w:t xml:space="preserve"> </w:t>
      </w:r>
      <w:proofErr w:type="spellStart"/>
      <w:r w:rsidRPr="00A3156C">
        <w:rPr>
          <w:rFonts w:ascii="Times New Roman" w:hAnsi="Times New Roman" w:cs="Times New Roman"/>
        </w:rPr>
        <w:t>μM</w:t>
      </w:r>
      <w:proofErr w:type="spellEnd"/>
      <w:r w:rsidR="00921584" w:rsidRPr="00A3156C">
        <w:rPr>
          <w:rFonts w:ascii="Times New Roman" w:hAnsi="Times New Roman" w:cs="Times New Roman"/>
        </w:rPr>
        <w:t>, based on reports of similar concentrations of beta-lactam detected in patients subdermal interstitial fluid</w:t>
      </w:r>
      <w:r w:rsidR="004A31CC">
        <w:rPr>
          <w:rFonts w:ascii="Times New Roman" w:hAnsi="Times New Roman" w:cs="Times New Roman"/>
        </w:rPr>
        <w:t xml:space="preserve"> </w:t>
      </w:r>
      <w:r w:rsidR="004A31CC">
        <w:rPr>
          <w:rFonts w:ascii="Times New Roman" w:hAnsi="Times New Roman" w:cs="Times New Roman"/>
        </w:rPr>
        <w:fldChar w:fldCharType="begin" w:fldLock="1"/>
      </w:r>
      <w:r w:rsidR="001674FB">
        <w:rPr>
          <w:rFonts w:ascii="Times New Roman" w:hAnsi="Times New Roman" w:cs="Times New Roman"/>
        </w:rPr>
        <w:instrText>ADDIN CSL_CITATION { "citationItems" : [ { "id" : "ITEM-1", "itemData" : { "DOI" : "10.1097/CCM.0b013e3181968e44", "ISBN" : "1530-0293", "ISSN" : "0090-3493", "PMID" : "19237898", "abstract" : "OBJECTIVE: To describe a pharmacokinetic model of piperacillin concentrations in plasma and subcutaneous tissue when administered by bolus dosing and continuous infusion in critically ill patients with sepsis on days 1 and 2 of antibiotic therapy and to compare results against previous results for piperacillin from a cohort of patients with septic shock. DESIGN: Prospective randomized controlled trial. SETTING: Eighteen-bed intensive care unit at 918-bed tertiary referral hospital. PATIENTS: Thirteen critically ill adult patients with known or suspected sepsis in whom the treating physician deemed piperacillin-tazobactam appropriate therapy were conveniently sampled. INTERVENTIONS: Patients were randomized to receive different daily doses of piperacillin-tazobactam by bolus dosing or continuous infusion (continuous infusion--six patients; bolus dosing--seven patients). Serial plasma and tissue concentrations were determined on days 1 and 2 of treatment. Tissue concentrations of piperacillin were determined using a subcutaneously inserted microdialysis catheter. Separate pharmacokinetic models were developed for both bolus and continuous dosing. MEASUREMENTS AND MAIN RESULTS: This is the first known article to report concurrent plasma and subcutaneous tissue concentrations of a beta-lactam antibiotic administered by bolus and continuous dosing in critically ill patients with sepsis. With a 25% lower piperacillin dose administered to the continuous infusion group, the infusion group had statistically significantly higher median plasma concentrations than the bolus group on day 2 (16.6 vs. 4.9 mg/L; p = 0.007). There was a trend to higher median plasma concentrations on day 1 in the bolus dosing group (8.9 vs. 4.9 mg/L; p = 0.078). Median tissue concentrations were not statistically different on day 1 (infusion group 2.4 mg/L vs. bolus group 2.2 mg/L; p = 0.48) and day 2 (infusion group 5.2 mg/L vs. bolus group 0.8 mg/L; p = 0.45). A two-compartment pharmacokinetic model was found to describe the data best. Tissue pharmacodynamic targets were achieved more successfully with infusion dosing. CONCLUSIONS: Patients with sepsis do not seem to have the same level of impairment of tissue distribution as described for patients with septic shock. A 25% lower dose of piperacillin administered by continuous infusion seems to maintain higher trough concentrations compared with standard bolus dosing. It is likely that the clinical advantages of continuous infusion are\u2026", "author" : [ { "dropping-particle" : "", "family" : "Roberts", "given" : "Jason a", "non-dropping-particle" : "", "parse-names" : false, "suffix" : "" }, { "dropping-particle" : "", "family" : "Roberts", "given" : "Michael S", "non-dropping-particle" : "", "parse-names" : false, "suffix" : "" }, { "dropping-particle" : "", "family" : "Robertson", "given" : "Thomas a", "non-dropping-particle" : "", "parse-names" : false, "suffix" : "" }, { "dropping-particle" : "", "family" : "Dalley", "given" : "Andrew J", "non-dropping-particle" : "", "parse-names" : false, "suffix" : "" }, { "dropping-particle" : "", "family" : "Lipman", "given" : "Jeffrey", "non-dropping-particle" : "", "parse-names" : false, "suffix" : "" } ], "container-title" : "Critical care medicine", "id" : "ITEM-1", "issue" : "3", "issued" : { "date-parts" : [ [ "2009" ] ] }, "page" : "926-933", "title" : "Piperacillin penetration into tissue of critically ill patients with sepsis--bolus versus continuous administration?", "type" : "article-journal", "volume" : "37" }, "uris" : [ "http://www.mendeley.com/documents/?uuid=17f0d44c-59c5-43bd-bb0a-a20be120d378" ] }, { "id" : "ITEM-2", "itemData" : { "DOI" : "10.1093/jac/dku564", "ISBN" : "0305-7453", "ISSN" : "14602091", "PMID" : "2015071795", "abstract" : "Objectives: The objective of this study was to describe the population pharmacokinetics of cefazolin in plasma and the interstitial fluid of subcutaneous tissue of post-trauma critically ill patients and provide clinically relevant dosing recommendations that result in optimal concentrations at the target site. Patients and methods: This was a pharmacokinetic study in a tertiary referral ICU.We recruited 30 post-trauma critically ill adult patients and collected serial total and unbound plasma cefazolin concentrations. Interstitial fluid concentrations were determined using in vivo microdialysis. Population pharmacokinetic analysis and Monte Carlo simulations were undertaken with Pmetrics&lt;sup&gt;&lt;/sup&gt;. Fractional target attainment against an MIC distribution for Staphylococcus aureus isolates was calculated. Results: The mean (SD) age, weight, APACHE II score and CL&lt;inf&gt;CR&lt;/inf&gt; were 37.0 (14.1) years, 86.8 (22.7) kg, 16.9 (5.3) and 163 (44) mL/min, respectively. A three-compartment linear population pharmacokinetic model was most appropriate. Covariates included in the model were CL&lt;inf&gt;CR&lt;/inf&gt; on drug clearance and serum albumin concentration and body weight on the volume of the central compartment. The fractional target attainment for a 1 g intravenous 8-hourly dose for a CL&lt;inf&gt;CR&lt;/inf&gt; of 50 mL/min was 88%, whereas for a patient with a CL&lt;inf&gt;CR&lt;/inf&gt; of 215 mL/min, a dose of 2 g 6-hourly achieved 84% fractional target attainment. Conclusions: Clinicians should be mindful of the effects of elevated CL&lt;inf&gt;CR&lt;/inf&gt; and serum albumin concentrations on dosing requirements for post-trauma critically ill patients.", "author" : [ { "dropping-particle" : "", "family" : "Roberts", "given" : "Jason a.", "non-dropping-particle" : "", "parse-names" : false, "suffix" : "" }, { "dropping-particle" : "", "family" : "Udy", "given" : "Andrew a.", "non-dropping-particle" : "", "parse-names" : false, "suffix" : "" }, { "dropping-particle" : "", "family" : "Jarrett", "given" : "Paul", "non-dropping-particle" : "", "parse-names" : false, "suffix" : "" }, { "dropping-particle" : "", "family" : "Wallis", "given" : "Steven C.", "non-dropping-particle" : "", "parse-names" : false, "suffix" : "" }, { "dropping-particle" : "", "family" : "Hope", "given" : "William W.", "non-dropping-particle" : "", "parse-names" : false, "suffix" : "" }, { "dropping-particle" : "", "family" : "Sharma", "given" : "Raman", "non-dropping-particle" : "", "parse-names" : false, "suffix" : "" }, { "dropping-particle" : "", "family" : "Kirkpatrick", "given" : "Carl M J", "non-dropping-particle" : "", "parse-names" : false, "suffix" : "" }, { "dropping-particle" : "", "family" : "Kruger", "given" : "Peter S.", "non-dropping-particle" : "", "parse-names" : false, "suffix" : "" }, { "dropping-particle" : "", "family" : "Roberts", "given" : "Michael S.", "non-dropping-particle" : "", "parse-names" : false, "suffix" : "" }, { "dropping-particle" : "", "family" : "Lipman", "given" : "Jeffrey", "non-dropping-particle" : "", "parse-names" : false, "suffix" : "" } ], "container-title" : "Journal of Antimicrobial Chemotherapy", "id" : "ITEM-2", "issue" : "5", "issued" : { "date-parts" : [ [ "2014" ] ] }, "page" : "1495-1502", "title" : "Plasma and target-site subcutaneous tissue population pharmacokinetics and dosing simulations of cefazolin in post-trauma critically ill patients", "type" : "article-journal", "volume" : "70" }, "uris" : [ "http://www.mendeley.com/documents/?uuid=6f484b90-0d1f-4443-b82a-bbdb7f0a3fe8" ] } ], "mendeley" : { "formattedCitation" : "[44,45]", "plainTextFormattedCitation" : "[44,45]", "previouslyFormattedCitation" : "[44,45]" }, "properties" : { "noteIndex" : 0 }, "schema" : "https://github.com/citation-style-language/schema/raw/master/csl-citation.json" }</w:instrText>
      </w:r>
      <w:r w:rsidR="004A31CC">
        <w:rPr>
          <w:rFonts w:ascii="Times New Roman" w:hAnsi="Times New Roman" w:cs="Times New Roman"/>
        </w:rPr>
        <w:fldChar w:fldCharType="separate"/>
      </w:r>
      <w:r w:rsidR="001674FB" w:rsidRPr="001674FB">
        <w:rPr>
          <w:rFonts w:ascii="Times New Roman" w:hAnsi="Times New Roman" w:cs="Times New Roman"/>
          <w:noProof/>
        </w:rPr>
        <w:t>[44,45]</w:t>
      </w:r>
      <w:r w:rsidR="004A31CC">
        <w:rPr>
          <w:rFonts w:ascii="Times New Roman" w:hAnsi="Times New Roman" w:cs="Times New Roman"/>
        </w:rPr>
        <w:fldChar w:fldCharType="end"/>
      </w:r>
      <w:r w:rsidR="00921584" w:rsidRPr="00A3156C">
        <w:rPr>
          <w:rFonts w:ascii="Times New Roman" w:hAnsi="Times New Roman" w:cs="Times New Roman"/>
        </w:rPr>
        <w:t>.</w:t>
      </w:r>
      <w:r w:rsidR="00116699">
        <w:rPr>
          <w:rFonts w:ascii="Times New Roman" w:hAnsi="Times New Roman" w:cs="Times New Roman"/>
        </w:rPr>
        <w:t xml:space="preserve"> This was achieved by adding </w:t>
      </w:r>
      <w:r w:rsidR="00280CAC">
        <w:rPr>
          <w:rFonts w:ascii="Times New Roman" w:hAnsi="Times New Roman" w:cs="Times New Roman"/>
        </w:rPr>
        <w:t xml:space="preserve">the </w:t>
      </w:r>
      <w:r w:rsidR="00116699">
        <w:rPr>
          <w:rFonts w:ascii="Times New Roman" w:hAnsi="Times New Roman" w:cs="Times New Roman"/>
        </w:rPr>
        <w:t xml:space="preserve">concentrated </w:t>
      </w:r>
      <w:r w:rsidR="00280CAC">
        <w:rPr>
          <w:rFonts w:ascii="Times New Roman" w:hAnsi="Times New Roman" w:cs="Times New Roman"/>
        </w:rPr>
        <w:t xml:space="preserve">stock </w:t>
      </w:r>
      <w:r w:rsidR="00116699">
        <w:rPr>
          <w:rFonts w:ascii="Times New Roman" w:hAnsi="Times New Roman" w:cs="Times New Roman"/>
        </w:rPr>
        <w:t>solution to PBS under gentle stirring. OCP’s were recorded over 600 seconds, or until stable potential was reached.</w:t>
      </w:r>
      <w:r w:rsidR="00921584" w:rsidRPr="00A3156C">
        <w:rPr>
          <w:rFonts w:ascii="Times New Roman" w:hAnsi="Times New Roman" w:cs="Times New Roman"/>
        </w:rPr>
        <w:t xml:space="preserve"> </w:t>
      </w:r>
      <w:r w:rsidR="00280CAC">
        <w:rPr>
          <w:rFonts w:ascii="Times New Roman" w:hAnsi="Times New Roman" w:cs="Times New Roman"/>
        </w:rPr>
        <w:t xml:space="preserve">Calibration plots were fitted using the Hill equation (1) with </w:t>
      </w:r>
      <w:r w:rsidR="00E25D10" w:rsidRPr="00A3156C">
        <w:rPr>
          <w:rFonts w:ascii="Times New Roman" w:hAnsi="Times New Roman" w:cs="Times New Roman"/>
        </w:rPr>
        <w:t>Km values estimated f</w:t>
      </w:r>
      <w:r w:rsidR="00FA4AD9">
        <w:rPr>
          <w:rFonts w:ascii="Times New Roman" w:hAnsi="Times New Roman" w:cs="Times New Roman"/>
        </w:rPr>
        <w:t>rom</w:t>
      </w:r>
      <w:r w:rsidR="00E25D10" w:rsidRPr="00A3156C">
        <w:rPr>
          <w:rFonts w:ascii="Times New Roman" w:hAnsi="Times New Roman" w:cs="Times New Roman"/>
        </w:rPr>
        <w:t xml:space="preserve"> concentration</w:t>
      </w:r>
      <w:r w:rsidR="00280CAC">
        <w:rPr>
          <w:rFonts w:ascii="Times New Roman" w:hAnsi="Times New Roman" w:cs="Times New Roman"/>
        </w:rPr>
        <w:t xml:space="preserve"> </w:t>
      </w:r>
      <w:r w:rsidR="00E25D10" w:rsidRPr="00A3156C">
        <w:rPr>
          <w:rFonts w:ascii="Times New Roman" w:hAnsi="Times New Roman" w:cs="Times New Roman"/>
        </w:rPr>
        <w:t>(M)</w:t>
      </w:r>
      <w:r w:rsidR="00280CAC">
        <w:rPr>
          <w:rFonts w:ascii="Times New Roman" w:hAnsi="Times New Roman" w:cs="Times New Roman"/>
        </w:rPr>
        <w:t xml:space="preserve"> – </w:t>
      </w:r>
      <w:r w:rsidR="00E25D10" w:rsidRPr="00A3156C">
        <w:rPr>
          <w:rFonts w:ascii="Times New Roman" w:hAnsi="Times New Roman" w:cs="Times New Roman"/>
        </w:rPr>
        <w:t>potential</w:t>
      </w:r>
      <w:r w:rsidR="00280CAC">
        <w:rPr>
          <w:rFonts w:ascii="Times New Roman" w:hAnsi="Times New Roman" w:cs="Times New Roman"/>
        </w:rPr>
        <w:t xml:space="preserve"> </w:t>
      </w:r>
      <w:r w:rsidR="00E25D10" w:rsidRPr="00A3156C">
        <w:rPr>
          <w:rFonts w:ascii="Times New Roman" w:hAnsi="Times New Roman" w:cs="Times New Roman"/>
        </w:rPr>
        <w:t>(</w:t>
      </w:r>
      <w:r w:rsidR="00890796">
        <w:rPr>
          <w:rFonts w:ascii="Times New Roman" w:hAnsi="Times New Roman" w:cs="Times New Roman"/>
        </w:rPr>
        <w:t>E</w:t>
      </w:r>
      <w:r w:rsidR="00E25D10" w:rsidRPr="00A3156C">
        <w:rPr>
          <w:rFonts w:ascii="Times New Roman" w:hAnsi="Times New Roman" w:cs="Times New Roman"/>
        </w:rPr>
        <w:t>) plots</w:t>
      </w:r>
      <w:r w:rsidR="00280CAC">
        <w:rPr>
          <w:rFonts w:ascii="Times New Roman" w:hAnsi="Times New Roman" w:cs="Times New Roman"/>
        </w:rPr>
        <w:t xml:space="preserve">. </w:t>
      </w:r>
    </w:p>
    <w:p w:rsidR="00280CAC" w:rsidRPr="00E558FB" w:rsidRDefault="00791B06" w:rsidP="00F71521">
      <w:pPr>
        <w:spacing w:line="480" w:lineRule="auto"/>
        <w:jc w:val="both"/>
        <w:rPr>
          <w:rFonts w:ascii="Times New Roman" w:eastAsiaTheme="minorEastAsia" w:hAnsi="Times New Roman" w:cs="Times New Roman"/>
        </w:rPr>
      </w:pPr>
      <m:oMathPara>
        <m:oMath>
          <m:d>
            <m:dPr>
              <m:ctrlPr>
                <w:rPr>
                  <w:rFonts w:ascii="Cambria Math" w:hAnsi="Cambria Math" w:cs="Times New Roman"/>
                  <w:i/>
                </w:rPr>
              </m:ctrlPr>
            </m:dPr>
            <m:e>
              <m:r>
                <w:rPr>
                  <w:rFonts w:ascii="Cambria Math" w:hAnsi="Cambria Math" w:cs="Times New Roman"/>
                </w:rPr>
                <m:t>1</m:t>
              </m:r>
            </m:e>
          </m:d>
          <m:r>
            <w:rPr>
              <w:rFonts w:ascii="Cambria Math" w:hAnsi="Cambria Math" w:cs="Times New Roman"/>
            </w:rPr>
            <m:t xml:space="preserve">           V=</m:t>
          </m:r>
          <m:f>
            <m:fPr>
              <m:ctrlPr>
                <w:rPr>
                  <w:rFonts w:ascii="Cambria Math" w:hAnsi="Cambria Math" w:cs="Times New Roman"/>
                  <w:i/>
                </w:rPr>
              </m:ctrlPr>
            </m:fPr>
            <m:num>
              <m:r>
                <w:rPr>
                  <w:rFonts w:ascii="Cambria Math" w:hAnsi="Cambria Math" w:cs="Times New Roman"/>
                </w:rPr>
                <m:t>Vmax [S]</m:t>
              </m:r>
            </m:num>
            <m:den>
              <m:r>
                <w:rPr>
                  <w:rFonts w:ascii="Cambria Math" w:hAnsi="Cambria Math" w:cs="Times New Roman"/>
                </w:rPr>
                <m:t>Km+[S]</m:t>
              </m:r>
            </m:den>
          </m:f>
        </m:oMath>
      </m:oMathPara>
    </w:p>
    <w:p w:rsidR="00E558FB" w:rsidRDefault="00E558FB" w:rsidP="00F71521">
      <w:pPr>
        <w:spacing w:line="480" w:lineRule="auto"/>
        <w:jc w:val="both"/>
        <w:rPr>
          <w:rFonts w:ascii="Times New Roman" w:hAnsi="Times New Roman" w:cs="Times New Roman"/>
        </w:rPr>
      </w:pPr>
      <w:proofErr w:type="gramStart"/>
      <w:r>
        <w:rPr>
          <w:rFonts w:ascii="Times New Roman" w:eastAsiaTheme="minorEastAsia" w:hAnsi="Times New Roman" w:cs="Times New Roman"/>
        </w:rPr>
        <w:t>Where V is the veloc</w:t>
      </w:r>
      <w:r w:rsidR="00483881">
        <w:rPr>
          <w:rFonts w:ascii="Times New Roman" w:eastAsiaTheme="minorEastAsia" w:hAnsi="Times New Roman" w:cs="Times New Roman"/>
        </w:rPr>
        <w:t>ity of the enzyme reaction (</w:t>
      </w:r>
      <w:r w:rsidR="00890796">
        <w:rPr>
          <w:rFonts w:ascii="Times New Roman" w:eastAsiaTheme="minorEastAsia" w:hAnsi="Times New Roman" w:cs="Times New Roman"/>
        </w:rPr>
        <w:t>M</w:t>
      </w:r>
      <w:r w:rsidR="00483881">
        <w:rPr>
          <w:rFonts w:ascii="Times New Roman" w:eastAsiaTheme="minorEastAsia" w:hAnsi="Times New Roman" w:cs="Times New Roman"/>
        </w:rPr>
        <w:t xml:space="preserve"> </w:t>
      </w:r>
      <w:r>
        <w:rPr>
          <w:rFonts w:ascii="Times New Roman" w:eastAsiaTheme="minorEastAsia" w:hAnsi="Times New Roman" w:cs="Times New Roman"/>
        </w:rPr>
        <w:t>s</w:t>
      </w:r>
      <w:r w:rsidR="00483881" w:rsidRPr="00483881">
        <w:rPr>
          <w:rFonts w:ascii="Times New Roman" w:eastAsiaTheme="minorEastAsia" w:hAnsi="Times New Roman" w:cs="Times New Roman"/>
          <w:vertAlign w:val="superscript"/>
        </w:rPr>
        <w:t>-1</w:t>
      </w:r>
      <w:r>
        <w:rPr>
          <w:rFonts w:ascii="Times New Roman" w:eastAsiaTheme="minorEastAsia" w:hAnsi="Times New Roman" w:cs="Times New Roman"/>
        </w:rPr>
        <w:t>), Vmax is the maximum velocity of the reaction (</w:t>
      </w:r>
      <w:r w:rsidR="00890796">
        <w:rPr>
          <w:rFonts w:ascii="Times New Roman" w:eastAsiaTheme="minorEastAsia" w:hAnsi="Times New Roman" w:cs="Times New Roman"/>
        </w:rPr>
        <w:t>M</w:t>
      </w:r>
      <w:r w:rsidR="00FA4AD9">
        <w:rPr>
          <w:rFonts w:ascii="Times New Roman" w:eastAsiaTheme="minorEastAsia" w:hAnsi="Times New Roman" w:cs="Times New Roman"/>
        </w:rPr>
        <w:t xml:space="preserve"> </w:t>
      </w:r>
      <w:r>
        <w:rPr>
          <w:rFonts w:ascii="Times New Roman" w:eastAsiaTheme="minorEastAsia" w:hAnsi="Times New Roman" w:cs="Times New Roman"/>
        </w:rPr>
        <w:t>s</w:t>
      </w:r>
      <w:r w:rsidR="00FA4AD9" w:rsidRPr="00AC7C34">
        <w:rPr>
          <w:rFonts w:ascii="Times New Roman" w:eastAsiaTheme="minorEastAsia" w:hAnsi="Times New Roman" w:cs="Times New Roman"/>
          <w:vertAlign w:val="superscript"/>
        </w:rPr>
        <w:t>-1</w:t>
      </w:r>
      <w:r>
        <w:rPr>
          <w:rFonts w:ascii="Times New Roman" w:eastAsiaTheme="minorEastAsia" w:hAnsi="Times New Roman" w:cs="Times New Roman"/>
        </w:rPr>
        <w:t>), [S] is the substrate concentration (</w:t>
      </w:r>
      <w:r w:rsidR="00890796">
        <w:rPr>
          <w:rFonts w:ascii="Times New Roman" w:eastAsiaTheme="minorEastAsia" w:hAnsi="Times New Roman" w:cs="Times New Roman"/>
        </w:rPr>
        <w:t>M</w:t>
      </w:r>
      <w:r>
        <w:rPr>
          <w:rFonts w:ascii="Times New Roman" w:eastAsiaTheme="minorEastAsia" w:hAnsi="Times New Roman" w:cs="Times New Roman"/>
        </w:rPr>
        <w:t>), and Km is the half maximal concentration constant for the reaction.</w:t>
      </w:r>
      <w:proofErr w:type="gramEnd"/>
      <w:r>
        <w:rPr>
          <w:rFonts w:ascii="Times New Roman" w:eastAsiaTheme="minorEastAsia" w:hAnsi="Times New Roman" w:cs="Times New Roman"/>
        </w:rPr>
        <w:t xml:space="preserve"> </w:t>
      </w:r>
    </w:p>
    <w:p w:rsidR="00280CAC" w:rsidRDefault="00280CAC" w:rsidP="00F71521">
      <w:pPr>
        <w:spacing w:line="480" w:lineRule="auto"/>
        <w:jc w:val="both"/>
        <w:rPr>
          <w:rFonts w:ascii="Times New Roman" w:hAnsi="Times New Roman" w:cs="Times New Roman"/>
        </w:rPr>
      </w:pPr>
      <w:r>
        <w:rPr>
          <w:rFonts w:ascii="Times New Roman" w:hAnsi="Times New Roman" w:cs="Times New Roman"/>
        </w:rPr>
        <w:t xml:space="preserve">The slope of </w:t>
      </w:r>
      <w:proofErr w:type="gramStart"/>
      <w:r w:rsidR="00E25D10" w:rsidRPr="00A3156C">
        <w:rPr>
          <w:rFonts w:ascii="Times New Roman" w:hAnsi="Times New Roman" w:cs="Times New Roman"/>
        </w:rPr>
        <w:t>log(</w:t>
      </w:r>
      <w:proofErr w:type="gramEnd"/>
      <w:r w:rsidR="00E25D10" w:rsidRPr="00A3156C">
        <w:rPr>
          <w:rFonts w:ascii="Times New Roman" w:hAnsi="Times New Roman" w:cs="Times New Roman"/>
        </w:rPr>
        <w:t>concentration</w:t>
      </w:r>
      <w:r w:rsidR="00E558FB">
        <w:rPr>
          <w:rFonts w:ascii="Times New Roman" w:hAnsi="Times New Roman" w:cs="Times New Roman"/>
        </w:rPr>
        <w:t xml:space="preserve"> </w:t>
      </w:r>
      <w:r w:rsidR="00E25D10" w:rsidRPr="00A3156C">
        <w:rPr>
          <w:rFonts w:ascii="Times New Roman" w:hAnsi="Times New Roman" w:cs="Times New Roman"/>
        </w:rPr>
        <w:t>[M])</w:t>
      </w:r>
      <w:r>
        <w:rPr>
          <w:rFonts w:ascii="Times New Roman" w:hAnsi="Times New Roman" w:cs="Times New Roman"/>
        </w:rPr>
        <w:t xml:space="preserve"> – </w:t>
      </w:r>
      <w:r w:rsidR="00E25D10" w:rsidRPr="00A3156C">
        <w:rPr>
          <w:rFonts w:ascii="Times New Roman" w:hAnsi="Times New Roman" w:cs="Times New Roman"/>
        </w:rPr>
        <w:t>potential</w:t>
      </w:r>
      <w:r>
        <w:rPr>
          <w:rFonts w:ascii="Times New Roman" w:hAnsi="Times New Roman" w:cs="Times New Roman"/>
        </w:rPr>
        <w:t xml:space="preserve"> </w:t>
      </w:r>
      <w:r w:rsidR="00BA1AC2">
        <w:rPr>
          <w:rFonts w:ascii="Times New Roman" w:hAnsi="Times New Roman" w:cs="Times New Roman"/>
        </w:rPr>
        <w:t>[</w:t>
      </w:r>
      <w:r w:rsidR="00890796">
        <w:rPr>
          <w:rFonts w:ascii="Times New Roman" w:hAnsi="Times New Roman" w:cs="Times New Roman"/>
        </w:rPr>
        <w:t>E</w:t>
      </w:r>
      <w:r w:rsidR="00BA1AC2">
        <w:rPr>
          <w:rFonts w:ascii="Times New Roman" w:hAnsi="Times New Roman" w:cs="Times New Roman"/>
        </w:rPr>
        <w:t>]</w:t>
      </w:r>
      <w:r w:rsidR="00E25D10" w:rsidRPr="00A3156C">
        <w:rPr>
          <w:rFonts w:ascii="Times New Roman" w:hAnsi="Times New Roman" w:cs="Times New Roman"/>
        </w:rPr>
        <w:t xml:space="preserve"> plots </w:t>
      </w:r>
      <w:r>
        <w:rPr>
          <w:rFonts w:ascii="Times New Roman" w:hAnsi="Times New Roman" w:cs="Times New Roman"/>
        </w:rPr>
        <w:t>of the data was also investigated to</w:t>
      </w:r>
      <w:r w:rsidR="00BA1AC2">
        <w:rPr>
          <w:rFonts w:ascii="Times New Roman" w:hAnsi="Times New Roman" w:cs="Times New Roman"/>
        </w:rPr>
        <w:t xml:space="preserve"> allow comparison of the </w:t>
      </w:r>
      <w:r w:rsidR="00E25D10" w:rsidRPr="00A3156C">
        <w:rPr>
          <w:rFonts w:ascii="Times New Roman" w:hAnsi="Times New Roman" w:cs="Times New Roman"/>
        </w:rPr>
        <w:t>linear response of the sensors.</w:t>
      </w:r>
      <w:r w:rsidR="00C157D1" w:rsidRPr="00A3156C">
        <w:rPr>
          <w:rFonts w:ascii="Times New Roman" w:hAnsi="Times New Roman" w:cs="Times New Roman"/>
        </w:rPr>
        <w:t xml:space="preserve"> </w:t>
      </w:r>
    </w:p>
    <w:p w:rsidR="00921584" w:rsidRPr="00A3156C" w:rsidRDefault="00E558FB" w:rsidP="00F71521">
      <w:pPr>
        <w:spacing w:line="480" w:lineRule="auto"/>
        <w:jc w:val="both"/>
        <w:rPr>
          <w:rFonts w:ascii="Times New Roman" w:hAnsi="Times New Roman" w:cs="Times New Roman"/>
        </w:rPr>
      </w:pPr>
      <w:r>
        <w:rPr>
          <w:rFonts w:ascii="Times New Roman" w:hAnsi="Times New Roman" w:cs="Times New Roman"/>
        </w:rPr>
        <w:t>After calibration, t</w:t>
      </w:r>
      <w:r w:rsidR="00116699">
        <w:rPr>
          <w:rFonts w:ascii="Times New Roman" w:hAnsi="Times New Roman" w:cs="Times New Roman"/>
        </w:rPr>
        <w:t>he sensor was then stored at 4</w:t>
      </w:r>
      <w:r w:rsidR="00C10763">
        <w:rPr>
          <w:rFonts w:ascii="Times New Roman" w:hAnsi="Times New Roman" w:cs="Times New Roman"/>
        </w:rPr>
        <w:t xml:space="preserve"> </w:t>
      </w:r>
      <w:proofErr w:type="spellStart"/>
      <w:r w:rsidR="00116699" w:rsidRPr="00323004">
        <w:rPr>
          <w:rFonts w:ascii="Times New Roman" w:hAnsi="Times New Roman" w:cs="Times New Roman"/>
          <w:vertAlign w:val="superscript"/>
        </w:rPr>
        <w:t>o</w:t>
      </w:r>
      <w:r w:rsidR="00116699">
        <w:rPr>
          <w:rFonts w:ascii="Times New Roman" w:hAnsi="Times New Roman" w:cs="Times New Roman"/>
        </w:rPr>
        <w:t>C</w:t>
      </w:r>
      <w:proofErr w:type="spellEnd"/>
      <w:r w:rsidR="00116699">
        <w:rPr>
          <w:rFonts w:ascii="Times New Roman" w:hAnsi="Times New Roman" w:cs="Times New Roman"/>
        </w:rPr>
        <w:t xml:space="preserve"> for 28 days and the calibration repeated to assess response over time.</w:t>
      </w:r>
    </w:p>
    <w:p w:rsidR="005B649B" w:rsidRPr="005B649B" w:rsidRDefault="005B649B" w:rsidP="00CE4898">
      <w:pPr>
        <w:spacing w:line="480" w:lineRule="auto"/>
        <w:jc w:val="both"/>
        <w:rPr>
          <w:rFonts w:ascii="Times New Roman" w:hAnsi="Times New Roman" w:cs="Times New Roman"/>
          <w:i/>
        </w:rPr>
      </w:pPr>
      <w:r w:rsidRPr="005B649B">
        <w:rPr>
          <w:rFonts w:ascii="Times New Roman" w:hAnsi="Times New Roman" w:cs="Times New Roman"/>
          <w:i/>
        </w:rPr>
        <w:t>2.</w:t>
      </w:r>
      <w:r w:rsidR="00367E2F">
        <w:rPr>
          <w:rFonts w:ascii="Times New Roman" w:hAnsi="Times New Roman" w:cs="Times New Roman"/>
          <w:i/>
        </w:rPr>
        <w:t>5</w:t>
      </w:r>
      <w:r w:rsidRPr="005B649B">
        <w:rPr>
          <w:rFonts w:ascii="Times New Roman" w:hAnsi="Times New Roman" w:cs="Times New Roman"/>
          <w:i/>
        </w:rPr>
        <w:t xml:space="preserve"> Artificial interstitial fluid preparation</w:t>
      </w:r>
      <w:r w:rsidR="00116699">
        <w:rPr>
          <w:rFonts w:ascii="Times New Roman" w:hAnsi="Times New Roman" w:cs="Times New Roman"/>
          <w:i/>
        </w:rPr>
        <w:t xml:space="preserve"> and calibration</w:t>
      </w:r>
    </w:p>
    <w:p w:rsidR="00C6595F" w:rsidRDefault="005B649B" w:rsidP="00CE4898">
      <w:pPr>
        <w:spacing w:line="480" w:lineRule="auto"/>
        <w:jc w:val="both"/>
        <w:rPr>
          <w:rFonts w:ascii="Times New Roman" w:hAnsi="Times New Roman" w:cs="Times New Roman"/>
        </w:rPr>
      </w:pPr>
      <w:r>
        <w:rPr>
          <w:rFonts w:ascii="Times New Roman" w:hAnsi="Times New Roman" w:cs="Times New Roman"/>
        </w:rPr>
        <w:t xml:space="preserve">Artificial interstitial fluid was prepared by mixing; standard physiological solution (0.9% </w:t>
      </w:r>
      <w:proofErr w:type="spellStart"/>
      <w:r>
        <w:rPr>
          <w:rFonts w:ascii="Times New Roman" w:hAnsi="Times New Roman" w:cs="Times New Roman"/>
        </w:rPr>
        <w:t>NaCl</w:t>
      </w:r>
      <w:proofErr w:type="spellEnd"/>
      <w:r>
        <w:rPr>
          <w:rFonts w:ascii="Times New Roman" w:hAnsi="Times New Roman" w:cs="Times New Roman"/>
        </w:rPr>
        <w:t xml:space="preserve">), </w:t>
      </w:r>
      <w:r w:rsidR="00ED16FB">
        <w:rPr>
          <w:rFonts w:ascii="Times New Roman" w:hAnsi="Times New Roman" w:cs="Times New Roman"/>
        </w:rPr>
        <w:t>11</w:t>
      </w:r>
      <w:r w:rsidR="00C10763">
        <w:rPr>
          <w:rFonts w:ascii="Times New Roman" w:hAnsi="Times New Roman" w:cs="Times New Roman"/>
        </w:rPr>
        <w:t xml:space="preserve"> </w:t>
      </w:r>
      <w:r w:rsidR="00ED16FB">
        <w:rPr>
          <w:rFonts w:ascii="Times New Roman" w:hAnsi="Times New Roman" w:cs="Times New Roman"/>
        </w:rPr>
        <w:t xml:space="preserve">g/L total protein made up of </w:t>
      </w:r>
      <w:r>
        <w:rPr>
          <w:rFonts w:ascii="Times New Roman" w:hAnsi="Times New Roman" w:cs="Times New Roman"/>
        </w:rPr>
        <w:t>bovine serum albumin and human alpha-globulins (</w:t>
      </w:r>
      <w:proofErr w:type="spellStart"/>
      <w:r>
        <w:rPr>
          <w:rFonts w:ascii="Times New Roman" w:hAnsi="Times New Roman" w:cs="Times New Roman"/>
        </w:rPr>
        <w:t>cohn</w:t>
      </w:r>
      <w:proofErr w:type="spellEnd"/>
      <w:r>
        <w:rPr>
          <w:rFonts w:ascii="Times New Roman" w:hAnsi="Times New Roman" w:cs="Times New Roman"/>
        </w:rPr>
        <w:t xml:space="preserve"> factor IV-1) in a ratio of 60:40</w:t>
      </w:r>
      <w:r w:rsidR="00ED16FB">
        <w:rPr>
          <w:rFonts w:ascii="Times New Roman" w:hAnsi="Times New Roman" w:cs="Times New Roman"/>
        </w:rPr>
        <w:t>, and 5</w:t>
      </w:r>
      <w:r w:rsidR="00C10763">
        <w:rPr>
          <w:rFonts w:ascii="Times New Roman" w:hAnsi="Times New Roman" w:cs="Times New Roman"/>
        </w:rPr>
        <w:t xml:space="preserve"> </w:t>
      </w:r>
      <w:proofErr w:type="spellStart"/>
      <w:r w:rsidR="00ED16FB">
        <w:rPr>
          <w:rFonts w:ascii="Times New Roman" w:hAnsi="Times New Roman" w:cs="Times New Roman"/>
        </w:rPr>
        <w:t>mM</w:t>
      </w:r>
      <w:proofErr w:type="spellEnd"/>
      <w:r w:rsidR="00ED16FB">
        <w:rPr>
          <w:rFonts w:ascii="Times New Roman" w:hAnsi="Times New Roman" w:cs="Times New Roman"/>
        </w:rPr>
        <w:t xml:space="preserve"> dextrose. </w:t>
      </w:r>
      <w:proofErr w:type="spellStart"/>
      <w:r w:rsidR="00ED16FB">
        <w:rPr>
          <w:rFonts w:ascii="Times New Roman" w:hAnsi="Times New Roman" w:cs="Times New Roman"/>
        </w:rPr>
        <w:t>Proclin</w:t>
      </w:r>
      <w:proofErr w:type="spellEnd"/>
      <w:r w:rsidR="00ED16FB">
        <w:rPr>
          <w:rFonts w:ascii="Times New Roman" w:hAnsi="Times New Roman" w:cs="Times New Roman"/>
        </w:rPr>
        <w:t xml:space="preserve"> 150 (6</w:t>
      </w:r>
      <w:r w:rsidR="00C10763">
        <w:rPr>
          <w:rFonts w:ascii="Times New Roman" w:hAnsi="Times New Roman" w:cs="Times New Roman"/>
        </w:rPr>
        <w:t xml:space="preserve"> </w:t>
      </w:r>
      <w:r w:rsidR="00ED16FB">
        <w:rPr>
          <w:rFonts w:ascii="Times New Roman" w:hAnsi="Times New Roman" w:cs="Times New Roman"/>
        </w:rPr>
        <w:t xml:space="preserve">mg/L) was added as a preservative. </w:t>
      </w:r>
      <w:r w:rsidR="00116699">
        <w:rPr>
          <w:rFonts w:ascii="Times New Roman" w:hAnsi="Times New Roman" w:cs="Times New Roman"/>
        </w:rPr>
        <w:t xml:space="preserve">Penicillin-G calibration was then </w:t>
      </w:r>
      <w:r w:rsidR="00E558FB">
        <w:rPr>
          <w:rFonts w:ascii="Times New Roman" w:hAnsi="Times New Roman" w:cs="Times New Roman"/>
        </w:rPr>
        <w:t>performed</w:t>
      </w:r>
      <w:r w:rsidR="00116699">
        <w:rPr>
          <w:rFonts w:ascii="Times New Roman" w:hAnsi="Times New Roman" w:cs="Times New Roman"/>
        </w:rPr>
        <w:t xml:space="preserve"> and OCP recorded using the methodology described in section 2.4. This was performed </w:t>
      </w:r>
      <w:r w:rsidR="00C6595F">
        <w:rPr>
          <w:rFonts w:ascii="Times New Roman" w:hAnsi="Times New Roman" w:cs="Times New Roman"/>
        </w:rPr>
        <w:t>using two microneedle arrays fabricated using the same methodology described above.</w:t>
      </w:r>
      <w:r w:rsidR="00116699">
        <w:rPr>
          <w:rFonts w:ascii="Times New Roman" w:hAnsi="Times New Roman" w:cs="Times New Roman"/>
        </w:rPr>
        <w:t xml:space="preserve"> </w:t>
      </w:r>
    </w:p>
    <w:p w:rsidR="00C6595F" w:rsidRDefault="00C6595F" w:rsidP="00CE4898">
      <w:pPr>
        <w:spacing w:line="480" w:lineRule="auto"/>
        <w:jc w:val="both"/>
        <w:rPr>
          <w:rFonts w:ascii="Times New Roman" w:hAnsi="Times New Roman" w:cs="Times New Roman"/>
          <w:b/>
        </w:rPr>
        <w:sectPr w:rsidR="00C6595F">
          <w:pgSz w:w="11906" w:h="16838"/>
          <w:pgMar w:top="1440" w:right="1440" w:bottom="1440" w:left="1440" w:header="708" w:footer="708" w:gutter="0"/>
          <w:cols w:space="708"/>
          <w:docGrid w:linePitch="360"/>
        </w:sectPr>
      </w:pPr>
    </w:p>
    <w:p w:rsidR="00F71521" w:rsidRPr="00A3156C" w:rsidRDefault="0092482C" w:rsidP="00CE4898">
      <w:pPr>
        <w:spacing w:line="480" w:lineRule="auto"/>
        <w:jc w:val="both"/>
        <w:rPr>
          <w:rFonts w:ascii="Times New Roman" w:hAnsi="Times New Roman" w:cs="Times New Roman"/>
          <w:b/>
        </w:rPr>
      </w:pPr>
      <w:r w:rsidRPr="00A3156C">
        <w:rPr>
          <w:rFonts w:ascii="Times New Roman" w:hAnsi="Times New Roman" w:cs="Times New Roman"/>
          <w:b/>
        </w:rPr>
        <w:lastRenderedPageBreak/>
        <w:t>3.0 Results</w:t>
      </w:r>
      <w:r w:rsidR="000F5B6C" w:rsidRPr="00A3156C">
        <w:rPr>
          <w:rFonts w:ascii="Times New Roman" w:hAnsi="Times New Roman" w:cs="Times New Roman"/>
          <w:b/>
        </w:rPr>
        <w:t xml:space="preserve"> </w:t>
      </w:r>
      <w:r w:rsidR="00E558FB">
        <w:rPr>
          <w:rFonts w:ascii="Times New Roman" w:hAnsi="Times New Roman" w:cs="Times New Roman"/>
          <w:b/>
        </w:rPr>
        <w:t>and Discussion</w:t>
      </w:r>
    </w:p>
    <w:p w:rsidR="0092482C" w:rsidRPr="00A3156C" w:rsidRDefault="00E558FB" w:rsidP="00CE4898">
      <w:pPr>
        <w:spacing w:line="480" w:lineRule="auto"/>
        <w:jc w:val="both"/>
        <w:rPr>
          <w:rFonts w:ascii="Times New Roman" w:hAnsi="Times New Roman" w:cs="Times New Roman"/>
          <w:i/>
        </w:rPr>
      </w:pPr>
      <w:r>
        <w:rPr>
          <w:rFonts w:ascii="Times New Roman" w:hAnsi="Times New Roman" w:cs="Times New Roman"/>
          <w:i/>
        </w:rPr>
        <w:t>3.1</w:t>
      </w:r>
      <w:r w:rsidR="007935F7" w:rsidRPr="00A3156C">
        <w:rPr>
          <w:rFonts w:ascii="Times New Roman" w:hAnsi="Times New Roman" w:cs="Times New Roman"/>
          <w:i/>
        </w:rPr>
        <w:t xml:space="preserve"> </w:t>
      </w:r>
      <w:r w:rsidR="0092482C" w:rsidRPr="00A3156C">
        <w:rPr>
          <w:rFonts w:ascii="Times New Roman" w:hAnsi="Times New Roman" w:cs="Times New Roman"/>
          <w:i/>
        </w:rPr>
        <w:t xml:space="preserve">pH calibration </w:t>
      </w:r>
    </w:p>
    <w:p w:rsidR="00FA4AD9" w:rsidRDefault="00116699" w:rsidP="00CE4898">
      <w:pPr>
        <w:spacing w:line="480" w:lineRule="auto"/>
        <w:jc w:val="both"/>
        <w:rPr>
          <w:rFonts w:ascii="Times New Roman" w:hAnsi="Times New Roman" w:cs="Times New Roman"/>
        </w:rPr>
      </w:pPr>
      <w:r>
        <w:rPr>
          <w:rFonts w:ascii="Times New Roman" w:hAnsi="Times New Roman" w:cs="Times New Roman"/>
          <w:b/>
        </w:rPr>
        <w:t xml:space="preserve">Figure </w:t>
      </w:r>
      <w:r w:rsidR="00E558FB">
        <w:rPr>
          <w:rFonts w:ascii="Times New Roman" w:hAnsi="Times New Roman" w:cs="Times New Roman"/>
          <w:b/>
        </w:rPr>
        <w:t>1</w:t>
      </w:r>
      <w:r w:rsidR="00B54023">
        <w:rPr>
          <w:rFonts w:ascii="Times New Roman" w:hAnsi="Times New Roman" w:cs="Times New Roman"/>
          <w:b/>
        </w:rPr>
        <w:t>a</w:t>
      </w:r>
      <w:r>
        <w:rPr>
          <w:rFonts w:ascii="Times New Roman" w:hAnsi="Times New Roman" w:cs="Times New Roman"/>
        </w:rPr>
        <w:t xml:space="preserve"> demonstrates </w:t>
      </w:r>
      <w:r w:rsidR="00FF05DD">
        <w:rPr>
          <w:rFonts w:ascii="Times New Roman" w:hAnsi="Times New Roman" w:cs="Times New Roman"/>
        </w:rPr>
        <w:t xml:space="preserve">the pH calibration results for three independent microneedle array’s following </w:t>
      </w:r>
      <w:r w:rsidR="00FF05DD" w:rsidRPr="00A3156C">
        <w:rPr>
          <w:rFonts w:ascii="Times New Roman" w:hAnsi="Times New Roman" w:cs="Times New Roman"/>
        </w:rPr>
        <w:t>AEIROF</w:t>
      </w:r>
      <w:r w:rsidR="00FF05DD">
        <w:rPr>
          <w:rFonts w:ascii="Times New Roman" w:hAnsi="Times New Roman" w:cs="Times New Roman"/>
        </w:rPr>
        <w:t>.</w:t>
      </w:r>
      <w:r>
        <w:rPr>
          <w:rFonts w:ascii="Times New Roman" w:hAnsi="Times New Roman" w:cs="Times New Roman"/>
        </w:rPr>
        <w:t xml:space="preserve"> </w:t>
      </w:r>
      <w:proofErr w:type="gramStart"/>
      <w:r w:rsidR="00831FFF" w:rsidRPr="00116699">
        <w:rPr>
          <w:rFonts w:ascii="Times New Roman" w:hAnsi="Times New Roman" w:cs="Times New Roman"/>
        </w:rPr>
        <w:t>pH</w:t>
      </w:r>
      <w:proofErr w:type="gramEnd"/>
      <w:r w:rsidR="00831FFF" w:rsidRPr="00A3156C">
        <w:rPr>
          <w:rFonts w:ascii="Times New Roman" w:hAnsi="Times New Roman" w:cs="Times New Roman"/>
        </w:rPr>
        <w:t xml:space="preserve"> calibration for iridium oxide between 4.0 and 8.0 demonstrated a </w:t>
      </w:r>
      <w:r w:rsidR="009C5C7E">
        <w:rPr>
          <w:rFonts w:ascii="Times New Roman" w:hAnsi="Times New Roman" w:cs="Times New Roman"/>
        </w:rPr>
        <w:t xml:space="preserve">median (SD) </w:t>
      </w:r>
      <w:r w:rsidR="007C4618" w:rsidRPr="00A3156C">
        <w:rPr>
          <w:rFonts w:ascii="Times New Roman" w:hAnsi="Times New Roman" w:cs="Times New Roman"/>
        </w:rPr>
        <w:t>sub-</w:t>
      </w:r>
      <w:r w:rsidR="00831FFF" w:rsidRPr="00A3156C">
        <w:rPr>
          <w:rFonts w:ascii="Times New Roman" w:hAnsi="Times New Roman" w:cs="Times New Roman"/>
        </w:rPr>
        <w:t>Nernst</w:t>
      </w:r>
      <w:r w:rsidR="00FA4AD9">
        <w:rPr>
          <w:rFonts w:ascii="Times New Roman" w:hAnsi="Times New Roman" w:cs="Times New Roman"/>
        </w:rPr>
        <w:t>ia</w:t>
      </w:r>
      <w:r w:rsidR="00831FFF" w:rsidRPr="00A3156C">
        <w:rPr>
          <w:rFonts w:ascii="Times New Roman" w:hAnsi="Times New Roman" w:cs="Times New Roman"/>
        </w:rPr>
        <w:t xml:space="preserve">n response of </w:t>
      </w:r>
      <w:r w:rsidR="009C5C7E">
        <w:rPr>
          <w:rFonts w:ascii="Times New Roman" w:hAnsi="Times New Roman" w:cs="Times New Roman"/>
        </w:rPr>
        <w:t>48</w:t>
      </w:r>
      <w:r w:rsidR="00831FFF" w:rsidRPr="00A3156C">
        <w:rPr>
          <w:rFonts w:ascii="Times New Roman" w:hAnsi="Times New Roman" w:cs="Times New Roman"/>
        </w:rPr>
        <w:t xml:space="preserve"> </w:t>
      </w:r>
      <w:r w:rsidR="00E25D10" w:rsidRPr="00A3156C">
        <w:rPr>
          <w:rFonts w:ascii="Times New Roman" w:hAnsi="Times New Roman" w:cs="Times New Roman"/>
        </w:rPr>
        <w:t>±</w:t>
      </w:r>
      <w:r w:rsidR="007C4618" w:rsidRPr="00A3156C">
        <w:rPr>
          <w:rFonts w:ascii="Times New Roman" w:hAnsi="Times New Roman" w:cs="Times New Roman"/>
        </w:rPr>
        <w:t xml:space="preserve"> </w:t>
      </w:r>
      <w:r w:rsidR="009C5C7E">
        <w:rPr>
          <w:rFonts w:ascii="Times New Roman" w:hAnsi="Times New Roman" w:cs="Times New Roman"/>
        </w:rPr>
        <w:t>11</w:t>
      </w:r>
      <w:r w:rsidR="00177BD3">
        <w:rPr>
          <w:rFonts w:ascii="Times New Roman" w:hAnsi="Times New Roman" w:cs="Times New Roman"/>
        </w:rPr>
        <w:t xml:space="preserve"> </w:t>
      </w:r>
      <w:r w:rsidR="009C5C7E">
        <w:rPr>
          <w:rFonts w:ascii="Times New Roman" w:hAnsi="Times New Roman" w:cs="Times New Roman"/>
        </w:rPr>
        <w:t>mV/</w:t>
      </w:r>
      <w:r w:rsidR="00831FFF" w:rsidRPr="00A3156C">
        <w:rPr>
          <w:rFonts w:ascii="Times New Roman" w:hAnsi="Times New Roman" w:cs="Times New Roman"/>
        </w:rPr>
        <w:t>pH</w:t>
      </w:r>
      <w:r w:rsidR="009C5C7E">
        <w:rPr>
          <w:rFonts w:ascii="Times New Roman" w:hAnsi="Times New Roman" w:cs="Times New Roman"/>
        </w:rPr>
        <w:t xml:space="preserve"> for the microneedle array</w:t>
      </w:r>
      <w:r w:rsidR="00C6595F">
        <w:rPr>
          <w:rFonts w:ascii="Times New Roman" w:hAnsi="Times New Roman" w:cs="Times New Roman"/>
        </w:rPr>
        <w:t xml:space="preserve"> with r</w:t>
      </w:r>
      <w:r w:rsidR="00A33DEE" w:rsidRPr="00A3156C">
        <w:rPr>
          <w:rFonts w:ascii="Times New Roman" w:hAnsi="Times New Roman" w:cs="Times New Roman"/>
          <w:vertAlign w:val="superscript"/>
        </w:rPr>
        <w:t>2</w:t>
      </w:r>
      <w:r w:rsidR="00A33DEE" w:rsidRPr="00A3156C">
        <w:rPr>
          <w:rFonts w:ascii="Times New Roman" w:hAnsi="Times New Roman" w:cs="Times New Roman"/>
        </w:rPr>
        <w:t xml:space="preserve"> = 0.929 ± 0.028.</w:t>
      </w:r>
      <w:r w:rsidR="00E558FB">
        <w:rPr>
          <w:rFonts w:ascii="Times New Roman" w:hAnsi="Times New Roman" w:cs="Times New Roman"/>
        </w:rPr>
        <w:t xml:space="preserve"> </w:t>
      </w:r>
      <w:r w:rsidR="00A33DEE" w:rsidRPr="00A3156C">
        <w:rPr>
          <w:rFonts w:ascii="Times New Roman" w:hAnsi="Times New Roman" w:cs="Times New Roman"/>
        </w:rPr>
        <w:t>This was compared to a super-</w:t>
      </w:r>
      <w:proofErr w:type="spellStart"/>
      <w:r w:rsidR="00FA4AD9" w:rsidRPr="00A3156C">
        <w:rPr>
          <w:rFonts w:ascii="Times New Roman" w:hAnsi="Times New Roman" w:cs="Times New Roman"/>
        </w:rPr>
        <w:t>Nernst</w:t>
      </w:r>
      <w:r w:rsidR="00FA4AD9">
        <w:rPr>
          <w:rFonts w:ascii="Times New Roman" w:hAnsi="Times New Roman" w:cs="Times New Roman"/>
        </w:rPr>
        <w:t>ai</w:t>
      </w:r>
      <w:r w:rsidR="00FA4AD9" w:rsidRPr="00A3156C">
        <w:rPr>
          <w:rFonts w:ascii="Times New Roman" w:hAnsi="Times New Roman" w:cs="Times New Roman"/>
        </w:rPr>
        <w:t>n</w:t>
      </w:r>
      <w:proofErr w:type="spellEnd"/>
      <w:r w:rsidR="00FA4AD9" w:rsidRPr="00A3156C">
        <w:rPr>
          <w:rFonts w:ascii="Times New Roman" w:hAnsi="Times New Roman" w:cs="Times New Roman"/>
        </w:rPr>
        <w:t xml:space="preserve"> </w:t>
      </w:r>
      <w:r w:rsidR="00A33DEE" w:rsidRPr="00A3156C">
        <w:rPr>
          <w:rFonts w:ascii="Times New Roman" w:hAnsi="Times New Roman" w:cs="Times New Roman"/>
        </w:rPr>
        <w:t>response observed</w:t>
      </w:r>
      <w:r w:rsidR="00FF05DD">
        <w:rPr>
          <w:rFonts w:ascii="Times New Roman" w:hAnsi="Times New Roman" w:cs="Times New Roman"/>
        </w:rPr>
        <w:t xml:space="preserve"> (figure not shown)</w:t>
      </w:r>
      <w:r w:rsidR="00A33DEE" w:rsidRPr="00A3156C">
        <w:rPr>
          <w:rFonts w:ascii="Times New Roman" w:hAnsi="Times New Roman" w:cs="Times New Roman"/>
        </w:rPr>
        <w:t xml:space="preserve"> on</w:t>
      </w:r>
      <w:r w:rsidR="007935F7" w:rsidRPr="00A3156C">
        <w:rPr>
          <w:rFonts w:ascii="Times New Roman" w:hAnsi="Times New Roman" w:cs="Times New Roman"/>
        </w:rPr>
        <w:t xml:space="preserve"> platinum</w:t>
      </w:r>
      <w:r w:rsidR="00A33DEE" w:rsidRPr="00A3156C">
        <w:rPr>
          <w:rFonts w:ascii="Times New Roman" w:hAnsi="Times New Roman" w:cs="Times New Roman"/>
        </w:rPr>
        <w:t xml:space="preserve"> disc electrodes of (n</w:t>
      </w:r>
      <w:r w:rsidR="00C10763">
        <w:rPr>
          <w:rFonts w:ascii="Times New Roman" w:hAnsi="Times New Roman" w:cs="Times New Roman"/>
        </w:rPr>
        <w:t xml:space="preserve"> </w:t>
      </w:r>
      <w:r w:rsidR="00A33DEE" w:rsidRPr="00A3156C">
        <w:rPr>
          <w:rFonts w:ascii="Times New Roman" w:hAnsi="Times New Roman" w:cs="Times New Roman"/>
        </w:rPr>
        <w:t>=</w:t>
      </w:r>
      <w:r w:rsidR="00C10763">
        <w:rPr>
          <w:rFonts w:ascii="Times New Roman" w:hAnsi="Times New Roman" w:cs="Times New Roman"/>
        </w:rPr>
        <w:t xml:space="preserve"> </w:t>
      </w:r>
      <w:r w:rsidR="009C5C7E">
        <w:rPr>
          <w:rFonts w:ascii="Times New Roman" w:hAnsi="Times New Roman" w:cs="Times New Roman"/>
        </w:rPr>
        <w:t>3</w:t>
      </w:r>
      <w:r w:rsidR="00A33DEE" w:rsidRPr="00A3156C">
        <w:rPr>
          <w:rFonts w:ascii="Times New Roman" w:hAnsi="Times New Roman" w:cs="Times New Roman"/>
        </w:rPr>
        <w:t xml:space="preserve">) </w:t>
      </w:r>
      <w:r w:rsidR="009C5C7E">
        <w:rPr>
          <w:rFonts w:ascii="Times New Roman" w:hAnsi="Times New Roman" w:cs="Times New Roman"/>
        </w:rPr>
        <w:t>64</w:t>
      </w:r>
      <w:r w:rsidR="00177BD3">
        <w:rPr>
          <w:rFonts w:ascii="Times New Roman" w:hAnsi="Times New Roman" w:cs="Times New Roman"/>
        </w:rPr>
        <w:t xml:space="preserve"> </w:t>
      </w:r>
      <w:r w:rsidR="00A33DEE" w:rsidRPr="00A3156C">
        <w:rPr>
          <w:rFonts w:ascii="Times New Roman" w:hAnsi="Times New Roman" w:cs="Times New Roman"/>
        </w:rPr>
        <w:t>±</w:t>
      </w:r>
      <w:r w:rsidR="00177BD3">
        <w:rPr>
          <w:rFonts w:ascii="Times New Roman" w:hAnsi="Times New Roman" w:cs="Times New Roman"/>
        </w:rPr>
        <w:t xml:space="preserve"> </w:t>
      </w:r>
      <w:r w:rsidR="00A33DEE" w:rsidRPr="00A3156C">
        <w:rPr>
          <w:rFonts w:ascii="Times New Roman" w:hAnsi="Times New Roman" w:cs="Times New Roman"/>
        </w:rPr>
        <w:t>4</w:t>
      </w:r>
      <w:r w:rsidR="00177BD3">
        <w:rPr>
          <w:rFonts w:ascii="Times New Roman" w:hAnsi="Times New Roman" w:cs="Times New Roman"/>
        </w:rPr>
        <w:t xml:space="preserve"> </w:t>
      </w:r>
      <w:r w:rsidR="00A33DEE" w:rsidRPr="00A3156C">
        <w:rPr>
          <w:rFonts w:ascii="Times New Roman" w:hAnsi="Times New Roman" w:cs="Times New Roman"/>
        </w:rPr>
        <w:t>mV</w:t>
      </w:r>
      <w:r w:rsidR="009C5C7E">
        <w:rPr>
          <w:rFonts w:ascii="Times New Roman" w:hAnsi="Times New Roman" w:cs="Times New Roman"/>
        </w:rPr>
        <w:t>/</w:t>
      </w:r>
      <w:r w:rsidR="00A33DEE" w:rsidRPr="00A3156C">
        <w:rPr>
          <w:rFonts w:ascii="Times New Roman" w:hAnsi="Times New Roman" w:cs="Times New Roman"/>
        </w:rPr>
        <w:t>pH (</w:t>
      </w:r>
      <w:r w:rsidR="00C10763">
        <w:rPr>
          <w:rFonts w:ascii="Times New Roman" w:hAnsi="Times New Roman" w:cs="Times New Roman"/>
        </w:rPr>
        <w:t>r</w:t>
      </w:r>
      <w:r w:rsidR="00A33DEE" w:rsidRPr="00A3156C">
        <w:rPr>
          <w:rFonts w:ascii="Times New Roman" w:hAnsi="Times New Roman" w:cs="Times New Roman"/>
          <w:vertAlign w:val="superscript"/>
        </w:rPr>
        <w:t>2</w:t>
      </w:r>
      <w:r w:rsidR="00A33DEE" w:rsidRPr="00A3156C">
        <w:rPr>
          <w:rFonts w:ascii="Times New Roman" w:hAnsi="Times New Roman" w:cs="Times New Roman"/>
        </w:rPr>
        <w:t xml:space="preserve"> = 0.997 ± 0.001). </w:t>
      </w:r>
      <w:r w:rsidR="008D6FF0">
        <w:rPr>
          <w:rFonts w:ascii="Times New Roman" w:hAnsi="Times New Roman" w:cs="Times New Roman"/>
        </w:rPr>
        <w:t xml:space="preserve"> </w:t>
      </w:r>
      <w:r w:rsidR="00FA4AD9">
        <w:rPr>
          <w:rFonts w:ascii="Times New Roman" w:hAnsi="Times New Roman" w:cs="Times New Roman"/>
        </w:rPr>
        <w:t>Variation occurs in both the apparent E</w:t>
      </w:r>
      <w:r w:rsidR="00FA4AD9">
        <w:rPr>
          <w:rFonts w:ascii="Times New Roman" w:hAnsi="Times New Roman" w:cs="Times New Roman"/>
        </w:rPr>
        <w:sym w:font="Symbol" w:char="F0B0"/>
      </w:r>
      <w:r w:rsidR="00FA4AD9">
        <w:rPr>
          <w:rFonts w:ascii="Times New Roman" w:hAnsi="Times New Roman" w:cs="Times New Roman"/>
        </w:rPr>
        <w:t xml:space="preserve">’ (pH = 0) value and in slope of calibration, as is commonly found with these devices </w:t>
      </w:r>
      <w:r w:rsidR="00177BD3">
        <w:rPr>
          <w:rFonts w:ascii="Times New Roman" w:hAnsi="Times New Roman" w:cs="Times New Roman"/>
        </w:rPr>
        <w:fldChar w:fldCharType="begin" w:fldLock="1"/>
      </w:r>
      <w:r w:rsidR="001674FB">
        <w:rPr>
          <w:rFonts w:ascii="Times New Roman" w:hAnsi="Times New Roman" w:cs="Times New Roman"/>
        </w:rPr>
        <w:instrText>ADDIN CSL_CITATION { "citationItems" : [ { "id" : "ITEM-1", "itemData" : { "DOI" : "Doi 10.1149/1.3001924", "ISBN" : "0013-4651", "ISSN" : "00134651", "abstract" : "The properties of iridium oxide pH sensors produced by electrochemically induced deposition on gold electrodes were examined as a function of the composition of the deposition solution, as well as the electrochemical deposition protocol. The composition of the Ir(IV) deposition solutions, which included oxalate or ethylene diamine tetraacetic acid complexing agent or no complexing agent, had no effect on the slope of the calibration curves. The slope of the calibration curves was shown to increase from ca. 49 to 76 mV/pH unit with the fractional coverage of gold substrates with iridium oxide. Increasing the film thickness beyond the full coverage did not further increase the slope of the calibration curves but resulted in a progressive increase of their intercept values. The method of deposition, which involved a constant current, single potential pulse, alternating potential pulse, or cyclic potential protocol, affected the maximum rate of pH response as well as the capacitance of the iridium oxide sensors. The latter two properties of the sensors were investigated using a microelectrochemical time-of-flight method with galvanostatic proton generation and potentiometric sensing. The alternating potential pulse and cyclic potential methods produced films of smaller rate of pH response and of smaller capacitance relative to the iridium oxide films of the same thickness produced by the other two methods. This is likely due to a smaller microscopic porosity of the films prepared by the potential pulse and cyclic potential methods. The maximum rate of pH response obtained with 50 nm thick iridium oxide sensors varied from ca. 7 to 23 V/s. The specific capacitance of the iridium oxide films varied from ca. 900 to 9000 F/cm(3).", "author" : [ { "dropping-particle" : "", "family" : "Elsen", "given" : "H A", "non-dropping-particle" : "", "parse-names" : false, "suffix" : "" }, { "dropping-particle" : "", "family" : "Monson", "given" : "C F", "non-dropping-particle" : "", "parse-names" : false, "suffix" : "" }, { "dropping-particle" : "", "family" : "Majda", "given" : "M", "non-dropping-particle" : "", "parse-names" : false, "suffix" : "" } ], "container-title" : "Journal of the Electrochemical Society", "id" : "ITEM-1", "issue" : "1", "issued" : { "date-parts" : [ [ "2009" ] ] }, "page" : "F1-F6", "title" : "Effects of Electrodeposition Conditions and Protocol on the Properties of Iridium Oxide pH Sensor Electrodes", "type" : "article-journal", "volume" : "156" }, "uris" : [ "http://www.mendeley.com/documents/?uuid=4753563d-9809-40d2-a8bc-da76731c8e05" ] } ], "mendeley" : { "formattedCitation" : "[46]", "plainTextFormattedCitation" : "[46]", "previouslyFormattedCitation" : "[46]" }, "properties" : { "noteIndex" : 0 }, "schema" : "https://github.com/citation-style-language/schema/raw/master/csl-citation.json" }</w:instrText>
      </w:r>
      <w:r w:rsidR="00177BD3">
        <w:rPr>
          <w:rFonts w:ascii="Times New Roman" w:hAnsi="Times New Roman" w:cs="Times New Roman"/>
        </w:rPr>
        <w:fldChar w:fldCharType="separate"/>
      </w:r>
      <w:r w:rsidR="001674FB" w:rsidRPr="001674FB">
        <w:rPr>
          <w:rFonts w:ascii="Times New Roman" w:hAnsi="Times New Roman" w:cs="Times New Roman"/>
          <w:noProof/>
        </w:rPr>
        <w:t>[46]</w:t>
      </w:r>
      <w:r w:rsidR="00177BD3">
        <w:rPr>
          <w:rFonts w:ascii="Times New Roman" w:hAnsi="Times New Roman" w:cs="Times New Roman"/>
        </w:rPr>
        <w:fldChar w:fldCharType="end"/>
      </w:r>
      <w:r w:rsidR="00FA4AD9">
        <w:rPr>
          <w:rFonts w:ascii="Times New Roman" w:hAnsi="Times New Roman" w:cs="Times New Roman"/>
        </w:rPr>
        <w:t xml:space="preserve">. The sources of these variations have been discussed in detail by </w:t>
      </w:r>
      <w:proofErr w:type="spellStart"/>
      <w:r w:rsidR="00FA4AD9">
        <w:rPr>
          <w:rFonts w:ascii="Times New Roman" w:hAnsi="Times New Roman" w:cs="Times New Roman"/>
        </w:rPr>
        <w:t>Hitchman</w:t>
      </w:r>
      <w:proofErr w:type="spellEnd"/>
      <w:r w:rsidR="00FA4AD9">
        <w:rPr>
          <w:rFonts w:ascii="Times New Roman" w:hAnsi="Times New Roman" w:cs="Times New Roman"/>
        </w:rPr>
        <w:t xml:space="preserve"> </w:t>
      </w:r>
      <w:r w:rsidR="00FA4AD9">
        <w:rPr>
          <w:rFonts w:ascii="Times New Roman" w:hAnsi="Times New Roman" w:cs="Times New Roman"/>
        </w:rPr>
        <w:fldChar w:fldCharType="begin" w:fldLock="1"/>
      </w:r>
      <w:r w:rsidR="001674FB">
        <w:rPr>
          <w:rFonts w:ascii="Times New Roman" w:hAnsi="Times New Roman" w:cs="Times New Roman"/>
        </w:rPr>
        <w:instrText>ADDIN CSL_CITATION { "citationItems" : [ { "id" : "ITEM-1", "itemData" : { "DOI" : "10.1016/0003-2670(92)85425-6", "ISSN" : "00032670", "author" : [ { "dropping-particle" : "", "family" : "Hitchman", "given" : "ML", "non-dropping-particle" : "", "parse-names" : false, "suffix" : "" }, { "dropping-particle" : "", "family" : "Ramanathan", "given" : "Subramamam", "non-dropping-particle" : "", "parse-names" : false, "suffix" : "" } ], "container-title" : "Analytica chimica acta", "id" : "ITEM-1", "issued" : { "date-parts" : [ [ "1992" ] ] }, "page" : "53-61", "title" : "Thermally grown iridium oxide electrodes for pH sensing in aqueous environments at 0 and 95 C", "type" : "article-journal", "volume" : "263" }, "uris" : [ "http://www.mendeley.com/documents/?uuid=113370eb-1994-4faf-9516-69a318c13357", "http://www.mendeley.com/documents/?uuid=fc677086-3fbb-4675-b24a-165e7495a2ca" ] } ], "mendeley" : { "formattedCitation" : "[47]", "plainTextFormattedCitation" : "[47]", "previouslyFormattedCitation" : "[47]" }, "properties" : { "noteIndex" : 0 }, "schema" : "https://github.com/citation-style-language/schema/raw/master/csl-citation.json" }</w:instrText>
      </w:r>
      <w:r w:rsidR="00FA4AD9">
        <w:rPr>
          <w:rFonts w:ascii="Times New Roman" w:hAnsi="Times New Roman" w:cs="Times New Roman"/>
        </w:rPr>
        <w:fldChar w:fldCharType="separate"/>
      </w:r>
      <w:r w:rsidR="001674FB" w:rsidRPr="001674FB">
        <w:rPr>
          <w:rFonts w:ascii="Times New Roman" w:hAnsi="Times New Roman" w:cs="Times New Roman"/>
          <w:noProof/>
        </w:rPr>
        <w:t>[47]</w:t>
      </w:r>
      <w:r w:rsidR="00FA4AD9">
        <w:rPr>
          <w:rFonts w:ascii="Times New Roman" w:hAnsi="Times New Roman" w:cs="Times New Roman"/>
        </w:rPr>
        <w:fldChar w:fldCharType="end"/>
      </w:r>
      <w:r w:rsidR="00FA4AD9">
        <w:rPr>
          <w:rFonts w:ascii="Times New Roman" w:hAnsi="Times New Roman" w:cs="Times New Roman"/>
        </w:rPr>
        <w:t>. Apparent E</w:t>
      </w:r>
      <w:r w:rsidR="00FA4AD9" w:rsidRPr="008D6FF0">
        <w:rPr>
          <w:rFonts w:ascii="Times New Roman" w:hAnsi="Times New Roman" w:cs="Times New Roman"/>
          <w:vertAlign w:val="superscript"/>
        </w:rPr>
        <w:t>0</w:t>
      </w:r>
      <w:r w:rsidR="00FA4AD9">
        <w:rPr>
          <w:rFonts w:ascii="Times New Roman" w:hAnsi="Times New Roman" w:cs="Times New Roman"/>
          <w:vertAlign w:val="superscript"/>
        </w:rPr>
        <w:t>’</w:t>
      </w:r>
      <w:r w:rsidR="00FA4AD9">
        <w:rPr>
          <w:rFonts w:ascii="Times New Roman" w:hAnsi="Times New Roman" w:cs="Times New Roman"/>
        </w:rPr>
        <w:t xml:space="preserve"> varies with the varying molar ratios of </w:t>
      </w:r>
      <w:proofErr w:type="spellStart"/>
      <w:r w:rsidR="00177BD3">
        <w:rPr>
          <w:rFonts w:ascii="Times New Roman" w:hAnsi="Times New Roman" w:cs="Times New Roman"/>
        </w:rPr>
        <w:t>Ir</w:t>
      </w:r>
      <w:proofErr w:type="spellEnd"/>
      <w:r w:rsidR="00177BD3">
        <w:rPr>
          <w:rFonts w:ascii="Times New Roman" w:hAnsi="Times New Roman" w:cs="Times New Roman"/>
        </w:rPr>
        <w:t>(</w:t>
      </w:r>
      <w:r w:rsidR="00FA4AD9">
        <w:rPr>
          <w:rFonts w:ascii="Times New Roman" w:hAnsi="Times New Roman" w:cs="Times New Roman"/>
        </w:rPr>
        <w:t>III</w:t>
      </w:r>
      <w:r w:rsidR="00177BD3">
        <w:rPr>
          <w:rFonts w:ascii="Times New Roman" w:hAnsi="Times New Roman" w:cs="Times New Roman"/>
        </w:rPr>
        <w:t xml:space="preserve">) </w:t>
      </w:r>
      <w:r w:rsidR="00FA4AD9">
        <w:rPr>
          <w:rFonts w:ascii="Times New Roman" w:hAnsi="Times New Roman" w:cs="Times New Roman"/>
        </w:rPr>
        <w:t>:</w:t>
      </w:r>
      <w:r w:rsidR="00177BD3">
        <w:rPr>
          <w:rFonts w:ascii="Times New Roman" w:hAnsi="Times New Roman" w:cs="Times New Roman"/>
        </w:rPr>
        <w:t xml:space="preserve"> </w:t>
      </w:r>
      <w:proofErr w:type="spellStart"/>
      <w:r w:rsidR="00177BD3">
        <w:rPr>
          <w:rFonts w:ascii="Times New Roman" w:hAnsi="Times New Roman" w:cs="Times New Roman"/>
        </w:rPr>
        <w:t>Ir</w:t>
      </w:r>
      <w:proofErr w:type="spellEnd"/>
      <w:r w:rsidR="00177BD3">
        <w:rPr>
          <w:rFonts w:ascii="Times New Roman" w:hAnsi="Times New Roman" w:cs="Times New Roman"/>
        </w:rPr>
        <w:t>(</w:t>
      </w:r>
      <w:r w:rsidR="00FA4AD9">
        <w:rPr>
          <w:rFonts w:ascii="Times New Roman" w:hAnsi="Times New Roman" w:cs="Times New Roman"/>
        </w:rPr>
        <w:t>IV</w:t>
      </w:r>
      <w:r w:rsidR="00177BD3">
        <w:rPr>
          <w:rFonts w:ascii="Times New Roman" w:hAnsi="Times New Roman" w:cs="Times New Roman"/>
        </w:rPr>
        <w:t>)</w:t>
      </w:r>
      <w:r w:rsidR="00FA4AD9">
        <w:rPr>
          <w:rFonts w:ascii="Times New Roman" w:hAnsi="Times New Roman" w:cs="Times New Roman"/>
        </w:rPr>
        <w:t xml:space="preserve"> within individual AEIROFs and is affected by the chemical irreversibility of the interconversion </w:t>
      </w:r>
      <w:r w:rsidR="00FA4AD9">
        <w:rPr>
          <w:rFonts w:ascii="Times New Roman" w:hAnsi="Times New Roman" w:cs="Times New Roman"/>
        </w:rPr>
        <w:fldChar w:fldCharType="begin" w:fldLock="1"/>
      </w:r>
      <w:r w:rsidR="001674FB">
        <w:rPr>
          <w:rFonts w:ascii="Times New Roman" w:hAnsi="Times New Roman" w:cs="Times New Roman"/>
        </w:rPr>
        <w:instrText>ADDIN CSL_CITATION { "citationItems" : [ { "id" : "ITEM-1", "itemData" : { "DOI" : "10.1016/0003-2670(92)85425-6", "ISSN" : "00032670", "author" : [ { "dropping-particle" : "", "family" : "Hitchman", "given" : "ML", "non-dropping-particle" : "", "parse-names" : false, "suffix" : "" }, { "dropping-particle" : "", "family" : "Ramanathan", "given" : "Subramamam", "non-dropping-particle" : "", "parse-names" : false, "suffix" : "" } ], "container-title" : "Analytica chimica acta", "id" : "ITEM-1", "issued" : { "date-parts" : [ [ "1992" ] ] }, "page" : "53-61", "title" : "Thermally grown iridium oxide electrodes for pH sensing in aqueous environments at 0 and 95 C", "type" : "article-journal", "volume" : "263" }, "uris" : [ "http://www.mendeley.com/documents/?uuid=113370eb-1994-4faf-9516-69a318c13357", "http://www.mendeley.com/documents/?uuid=fc677086-3fbb-4675-b24a-165e7495a2ca" ] } ], "mendeley" : { "formattedCitation" : "[47]", "plainTextFormattedCitation" : "[47]", "previouslyFormattedCitation" : "[47]" }, "properties" : { "noteIndex" : 0 }, "schema" : "https://github.com/citation-style-language/schema/raw/master/csl-citation.json" }</w:instrText>
      </w:r>
      <w:r w:rsidR="00FA4AD9">
        <w:rPr>
          <w:rFonts w:ascii="Times New Roman" w:hAnsi="Times New Roman" w:cs="Times New Roman"/>
        </w:rPr>
        <w:fldChar w:fldCharType="separate"/>
      </w:r>
      <w:r w:rsidR="001674FB" w:rsidRPr="001674FB">
        <w:rPr>
          <w:rFonts w:ascii="Times New Roman" w:hAnsi="Times New Roman" w:cs="Times New Roman"/>
          <w:noProof/>
        </w:rPr>
        <w:t>[47]</w:t>
      </w:r>
      <w:r w:rsidR="00FA4AD9">
        <w:rPr>
          <w:rFonts w:ascii="Times New Roman" w:hAnsi="Times New Roman" w:cs="Times New Roman"/>
        </w:rPr>
        <w:fldChar w:fldCharType="end"/>
      </w:r>
      <w:r w:rsidR="00FA4AD9">
        <w:rPr>
          <w:rFonts w:ascii="Times New Roman" w:hAnsi="Times New Roman" w:cs="Times New Roman"/>
        </w:rPr>
        <w:t>. Since the molar ratio, the charge storage capacity</w:t>
      </w:r>
      <w:r w:rsidR="00177BD3">
        <w:rPr>
          <w:rFonts w:ascii="Times New Roman" w:hAnsi="Times New Roman" w:cs="Times New Roman"/>
        </w:rPr>
        <w:t>,</w:t>
      </w:r>
      <w:r w:rsidR="00FA4AD9">
        <w:rPr>
          <w:rFonts w:ascii="Times New Roman" w:hAnsi="Times New Roman" w:cs="Times New Roman"/>
        </w:rPr>
        <w:t xml:space="preserve"> and counter ion access will vary with depth and the morphology of the polymeric cross-linked </w:t>
      </w:r>
      <w:proofErr w:type="spellStart"/>
      <w:r w:rsidR="00FA4AD9">
        <w:rPr>
          <w:rFonts w:ascii="Times New Roman" w:hAnsi="Times New Roman" w:cs="Times New Roman"/>
        </w:rPr>
        <w:t>oxyhydroxide</w:t>
      </w:r>
      <w:proofErr w:type="spellEnd"/>
      <w:r w:rsidR="00FA4AD9">
        <w:rPr>
          <w:rFonts w:ascii="Times New Roman" w:hAnsi="Times New Roman" w:cs="Times New Roman"/>
        </w:rPr>
        <w:t xml:space="preserve"> film, the precise form of the calibration working curve will depend on underlying substrate properties. Whilst potential scanning can ameliorate this phenomenon for bulk electrodes, the mechanical stability of films on sputtered substrates suffers, and a build-up of relatively non-conductive </w:t>
      </w:r>
      <w:proofErr w:type="spellStart"/>
      <w:r w:rsidR="00FA4AD9">
        <w:rPr>
          <w:rFonts w:ascii="Times New Roman" w:hAnsi="Times New Roman" w:cs="Times New Roman"/>
        </w:rPr>
        <w:t>Ir</w:t>
      </w:r>
      <w:proofErr w:type="spellEnd"/>
      <w:r w:rsidR="00FA4AD9">
        <w:rPr>
          <w:rFonts w:ascii="Times New Roman" w:hAnsi="Times New Roman" w:cs="Times New Roman"/>
        </w:rPr>
        <w:t xml:space="preserve">(III) impairs performance </w:t>
      </w:r>
      <w:r w:rsidR="00FA4AD9">
        <w:rPr>
          <w:rFonts w:ascii="Times New Roman" w:hAnsi="Times New Roman" w:cs="Times New Roman"/>
        </w:rPr>
        <w:fldChar w:fldCharType="begin" w:fldLock="1"/>
      </w:r>
      <w:r w:rsidR="001674FB">
        <w:rPr>
          <w:rFonts w:ascii="Times New Roman" w:hAnsi="Times New Roman" w:cs="Times New Roman"/>
        </w:rPr>
        <w:instrText>ADDIN CSL_CITATION { "citationItems" : [ { "id" : "ITEM-1", "itemData" : { "DOI" : "10.1039/C5AN00377F", "ISSN" : "0003-2654", "PMID" : "25919982", "abstract" : "pH sensors were fabricated by anodically electrodepositing iridium oxide films (AEIROFs) onto microelectrodes on chips and coated with poly(ethyleneimine) (PEI) for mechanical stability. These demonstrate super-Nernstian response to pH from pH 4.0 to 7.7 in chloride-free phosphate buffer. The surface of the chip was coated with fibronectin for the attachment of porcine aortic endothelial cells (PAECs). The working capability of the pH sensor for monitoring acute local pH changes was investigated by stimulating the PAECs with thrombin. Our results show that thrombin induced acute extracellular acidification of PAECs and dissolution of fibronectin, causing the local pH to decrease. The use of PD98059, a mitogen-activated protein kinase (MAPK) inhibitor, reduced extracellular acidification and an increase in local pH was observed. This study shows that our pH sensors can facilitate the investigation of acute cellular responses to stimulation by monitoring the real-time, local pH changes of cells attached to the sensors.", "author" : [ { "dropping-particle" : "", "family" : "Ng", "given" : "Shu Rui", "non-dropping-particle" : "", "parse-names" : false, "suffix" : "" }, { "dropping-particle" : "", "family" : "O'Hare", "given" : "Danny", "non-dropping-particle" : "", "parse-names" : false, "suffix" : "" } ], "container-title" : "Analyst", "id" : "ITEM-1", "issue" : "12", "issued" : { "date-parts" : [ [ "2015" ] ] }, "page" : "4224-4231", "publisher" : "Royal Society of Chemistry", "title" : "An iridium oxide microelectrode for monitoring acute local pH changes of endothelial cells", "type" : "article-journal", "volume" : "140" }, "uris" : [ "http://www.mendeley.com/documents/?uuid=300d0e6c-547a-46a0-9689-8ebfce84f8f9" ] }, { "id" : "ITEM-2", "itemData" : { "DOI" : "10.1016/0003-2670(92)85425-6", "ISSN" : "00032670", "author" : [ { "dropping-particle" : "", "family" : "Hitchman", "given" : "ML", "non-dropping-particle" : "", "parse-names" : false, "suffix" : "" }, { "dropping-particle" : "", "family" : "Ramanathan", "given" : "Subramamam", "non-dropping-particle" : "", "parse-names" : false, "suffix" : "" } ], "container-title" : "Analytica chimica acta", "id" : "ITEM-2", "issued" : { "date-parts" : [ [ "1992" ] ] }, "page" : "53-61", "title" : "Thermally grown iridium oxide electrodes for pH sensing in aqueous environments at 0 and 95 C", "type" : "article-journal", "volume" : "263" }, "uris" : [ "http://www.mendeley.com/documents/?uuid=113370eb-1994-4faf-9516-69a318c13357", "http://www.mendeley.com/documents/?uuid=fc677086-3fbb-4675-b24a-165e7495a2ca" ] } ], "mendeley" : { "formattedCitation" : "[47,48]", "plainTextFormattedCitation" : "[47,48]", "previouslyFormattedCitation" : "[47,48]" }, "properties" : { "noteIndex" : 0 }, "schema" : "https://github.com/citation-style-language/schema/raw/master/csl-citation.json" }</w:instrText>
      </w:r>
      <w:r w:rsidR="00FA4AD9">
        <w:rPr>
          <w:rFonts w:ascii="Times New Roman" w:hAnsi="Times New Roman" w:cs="Times New Roman"/>
        </w:rPr>
        <w:fldChar w:fldCharType="separate"/>
      </w:r>
      <w:r w:rsidR="001674FB" w:rsidRPr="001674FB">
        <w:rPr>
          <w:rFonts w:ascii="Times New Roman" w:hAnsi="Times New Roman" w:cs="Times New Roman"/>
          <w:noProof/>
        </w:rPr>
        <w:t>[47,48]</w:t>
      </w:r>
      <w:r w:rsidR="00FA4AD9">
        <w:rPr>
          <w:rFonts w:ascii="Times New Roman" w:hAnsi="Times New Roman" w:cs="Times New Roman"/>
        </w:rPr>
        <w:fldChar w:fldCharType="end"/>
      </w:r>
      <w:r w:rsidR="00FA4AD9">
        <w:rPr>
          <w:rFonts w:ascii="Times New Roman" w:hAnsi="Times New Roman" w:cs="Times New Roman"/>
        </w:rPr>
        <w:t xml:space="preserve">.  We have nonetheless shown elsewhere </w:t>
      </w:r>
      <w:r w:rsidR="00FA4AD9">
        <w:rPr>
          <w:rFonts w:ascii="Times New Roman" w:hAnsi="Times New Roman" w:cs="Times New Roman"/>
        </w:rPr>
        <w:fldChar w:fldCharType="begin" w:fldLock="1"/>
      </w:r>
      <w:r w:rsidR="001674FB">
        <w:rPr>
          <w:rFonts w:ascii="Times New Roman" w:hAnsi="Times New Roman" w:cs="Times New Roman"/>
        </w:rPr>
        <w:instrText>ADDIN CSL_CITATION { "citationItems" : [ { "id" : "ITEM-1", "itemData" : { "DOI" : "10.1021/ac801413b", "ISSN" : "0003-2700", "author" : [ { "dropping-particle" : "", "family" : "Bitziou", "given" : "Eleni", "non-dropping-particle" : "", "parse-names" : false, "suffix" : "" }, { "dropping-particle" : "", "family" : "O\u2019Hare", "given" : "Danny", "non-dropping-particle" : "", "parse-names" : false, "suffix" : "" }, { "dropping-particle" : "", "family" : "Patel", "given" : "Bhavik Anil", "non-dropping-particle" : "", "parse-names" : false, "suffix" : "" } ], "container-title" : "Analytical Chemistry", "id" : "ITEM-1", "issue" : "22", "issued" : { "date-parts" : [ [ "2008", "11", "15" ] ] }, "page" : "8733-8740", "title" : "Simultaneous Detection of pH Changes and Histamine Release from Oxyntic Glands in Isolated Stomach", "type" : "article-journal", "volume" : "80" }, "uris" : [ "http://www.mendeley.com/documents/?uuid=54b5be20-b27b-4a85-8c05-6392229fce12" ] }, { "id" : "ITEM-2", "itemData" : { "DOI" : "10.1039/C5AN00377F", "ISSN" : "0003-2654", "PMID" : "25919982", "abstract" : "pH sensors were fabricated by anodically electrodepositing iridium oxide films (AEIROFs) onto microelectrodes on chips and coated with poly(ethyleneimine) (PEI) for mechanical stability. These demonstrate super-Nernstian response to pH from pH 4.0 to 7.7 in chloride-free phosphate buffer. The surface of the chip was coated with fibronectin for the attachment of porcine aortic endothelial cells (PAECs). The working capability of the pH sensor for monitoring acute local pH changes was investigated by stimulating the PAECs with thrombin. Our results show that thrombin induced acute extracellular acidification of PAECs and dissolution of fibronectin, causing the local pH to decrease. The use of PD98059, a mitogen-activated protein kinase (MAPK) inhibitor, reduced extracellular acidification and an increase in local pH was observed. This study shows that our pH sensors can facilitate the investigation of acute cellular responses to stimulation by monitoring the real-time, local pH changes of cells attached to the sensors.", "author" : [ { "dropping-particle" : "", "family" : "Ng", "given" : "Shu Rui", "non-dropping-particle" : "", "parse-names" : false, "suffix" : "" }, { "dropping-particle" : "", "family" : "O'Hare", "given" : "Danny", "non-dropping-particle" : "", "parse-names" : false, "suffix" : "" } ], "container-title" : "Analyst", "id" : "ITEM-2", "issue" : "12", "issued" : { "date-parts" : [ [ "2015" ] ] }, "page" : "4224-4231", "publisher" : "Royal Society of Chemistry", "title" : "An iridium oxide microelectrode for monitoring acute local pH changes of endothelial cells", "type" : "article-journal", "volume" : "140" }, "uris" : [ "http://www.mendeley.com/documents/?uuid=300d0e6c-547a-46a0-9689-8ebfce84f8f9" ] } ], "mendeley" : { "formattedCitation" : "[48,49]", "plainTextFormattedCitation" : "[48,49]", "previouslyFormattedCitation" : "[48,49]" }, "properties" : { "noteIndex" : 0 }, "schema" : "https://github.com/citation-style-language/schema/raw/master/csl-citation.json" }</w:instrText>
      </w:r>
      <w:r w:rsidR="00FA4AD9">
        <w:rPr>
          <w:rFonts w:ascii="Times New Roman" w:hAnsi="Times New Roman" w:cs="Times New Roman"/>
        </w:rPr>
        <w:fldChar w:fldCharType="separate"/>
      </w:r>
      <w:r w:rsidR="001674FB" w:rsidRPr="001674FB">
        <w:rPr>
          <w:rFonts w:ascii="Times New Roman" w:hAnsi="Times New Roman" w:cs="Times New Roman"/>
          <w:noProof/>
        </w:rPr>
        <w:t>[48,49]</w:t>
      </w:r>
      <w:r w:rsidR="00FA4AD9">
        <w:rPr>
          <w:rFonts w:ascii="Times New Roman" w:hAnsi="Times New Roman" w:cs="Times New Roman"/>
        </w:rPr>
        <w:fldChar w:fldCharType="end"/>
      </w:r>
      <w:r w:rsidR="00FA4AD9">
        <w:rPr>
          <w:rFonts w:ascii="Times New Roman" w:hAnsi="Times New Roman" w:cs="Times New Roman"/>
        </w:rPr>
        <w:t xml:space="preserve"> that reproducibility for any given device is good and that acute sensitivity is stable for days, enabling biologically useful pH measurement to be undertaken.</w:t>
      </w:r>
    </w:p>
    <w:p w:rsidR="00831FFF" w:rsidRDefault="00B54023" w:rsidP="00CE4898">
      <w:pPr>
        <w:spacing w:line="480" w:lineRule="auto"/>
        <w:jc w:val="both"/>
        <w:rPr>
          <w:rFonts w:ascii="Times New Roman" w:hAnsi="Times New Roman" w:cs="Times New Roman"/>
        </w:rPr>
      </w:pPr>
      <w:r>
        <w:rPr>
          <w:rFonts w:ascii="Times New Roman" w:hAnsi="Times New Roman" w:cs="Times New Roman"/>
        </w:rPr>
        <w:t xml:space="preserve">Further pH calibration was performed on an individual platinum disc electrode to document any difference in pH calibration slopes during the sensor fabrication process. </w:t>
      </w:r>
      <w:proofErr w:type="gramStart"/>
      <w:r>
        <w:rPr>
          <w:rFonts w:ascii="Times New Roman" w:hAnsi="Times New Roman" w:cs="Times New Roman"/>
        </w:rPr>
        <w:t>pH</w:t>
      </w:r>
      <w:proofErr w:type="gramEnd"/>
      <w:r>
        <w:rPr>
          <w:rFonts w:ascii="Times New Roman" w:hAnsi="Times New Roman" w:cs="Times New Roman"/>
        </w:rPr>
        <w:t xml:space="preserve"> calibration was performed at 3 individual steps on this electrode;  Calibration of the </w:t>
      </w:r>
      <w:r w:rsidRPr="00A3156C">
        <w:rPr>
          <w:rFonts w:ascii="Times New Roman" w:hAnsi="Times New Roman" w:cs="Times New Roman"/>
        </w:rPr>
        <w:t>AEIROF</w:t>
      </w:r>
      <w:r>
        <w:rPr>
          <w:rFonts w:ascii="Times New Roman" w:hAnsi="Times New Roman" w:cs="Times New Roman"/>
        </w:rPr>
        <w:t xml:space="preserve"> alone (step 1), following application of the PEI layer (step 2), and following enzyme fixation (step 3). This can be observed in </w:t>
      </w:r>
      <w:r w:rsidRPr="00B54023">
        <w:rPr>
          <w:rFonts w:ascii="Times New Roman" w:hAnsi="Times New Roman" w:cs="Times New Roman"/>
          <w:b/>
        </w:rPr>
        <w:t>Figure 1b</w:t>
      </w:r>
      <w:r w:rsidRPr="00B54023">
        <w:rPr>
          <w:rFonts w:ascii="Times New Roman" w:hAnsi="Times New Roman" w:cs="Times New Roman"/>
        </w:rPr>
        <w:t>, which</w:t>
      </w:r>
      <w:r>
        <w:rPr>
          <w:rFonts w:ascii="Times New Roman" w:hAnsi="Times New Roman" w:cs="Times New Roman"/>
        </w:rPr>
        <w:t xml:space="preserve"> </w:t>
      </w:r>
      <w:r w:rsidR="00FA4AD9">
        <w:rPr>
          <w:rFonts w:ascii="Times New Roman" w:hAnsi="Times New Roman" w:cs="Times New Roman"/>
        </w:rPr>
        <w:t xml:space="preserve">illustrates </w:t>
      </w:r>
      <w:r>
        <w:rPr>
          <w:rFonts w:ascii="Times New Roman" w:hAnsi="Times New Roman" w:cs="Times New Roman"/>
        </w:rPr>
        <w:t xml:space="preserve">the response of the electrode to pH calibration </w:t>
      </w:r>
      <w:proofErr w:type="gramStart"/>
      <w:r>
        <w:rPr>
          <w:rFonts w:ascii="Times New Roman" w:hAnsi="Times New Roman" w:cs="Times New Roman"/>
        </w:rPr>
        <w:t>between 4.0-8.0 following each step</w:t>
      </w:r>
      <w:proofErr w:type="gramEnd"/>
      <w:r w:rsidRPr="00B54023">
        <w:rPr>
          <w:rFonts w:ascii="Times New Roman" w:hAnsi="Times New Roman" w:cs="Times New Roman"/>
        </w:rPr>
        <w:t>.</w:t>
      </w:r>
      <w:r>
        <w:rPr>
          <w:rFonts w:ascii="Times New Roman" w:hAnsi="Times New Roman" w:cs="Times New Roman"/>
        </w:rPr>
        <w:t xml:space="preserve"> Whilst there was an observed fall in the </w:t>
      </w:r>
      <w:r w:rsidR="00FA4AD9">
        <w:rPr>
          <w:rFonts w:ascii="Times New Roman" w:hAnsi="Times New Roman" w:cs="Times New Roman"/>
        </w:rPr>
        <w:t>apparent E</w:t>
      </w:r>
      <w:r w:rsidR="00FA4AD9">
        <w:rPr>
          <w:rFonts w:ascii="Times New Roman" w:hAnsi="Times New Roman" w:cs="Times New Roman"/>
        </w:rPr>
        <w:sym w:font="Symbol" w:char="F0B0"/>
      </w:r>
      <w:r w:rsidR="00FA4AD9">
        <w:rPr>
          <w:rFonts w:ascii="Times New Roman" w:hAnsi="Times New Roman" w:cs="Times New Roman"/>
        </w:rPr>
        <w:t xml:space="preserve">’ </w:t>
      </w:r>
      <w:r>
        <w:rPr>
          <w:rFonts w:ascii="Times New Roman" w:hAnsi="Times New Roman" w:cs="Times New Roman"/>
        </w:rPr>
        <w:t>between these steps, the calibration slopes remained similar, suggesting that response of the AEIROF to pH change is not</w:t>
      </w:r>
      <w:r w:rsidR="00FA4AD9">
        <w:rPr>
          <w:rFonts w:ascii="Times New Roman" w:hAnsi="Times New Roman" w:cs="Times New Roman"/>
        </w:rPr>
        <w:t xml:space="preserve"> </w:t>
      </w:r>
      <w:r w:rsidR="00FA4AD9">
        <w:rPr>
          <w:rFonts w:ascii="Times New Roman" w:hAnsi="Times New Roman" w:cs="Times New Roman"/>
        </w:rPr>
        <w:lastRenderedPageBreak/>
        <w:t>significantly</w:t>
      </w:r>
      <w:r>
        <w:rPr>
          <w:rFonts w:ascii="Times New Roman" w:hAnsi="Times New Roman" w:cs="Times New Roman"/>
        </w:rPr>
        <w:t xml:space="preserve"> altered during the sensor fabrication process. </w:t>
      </w:r>
      <w:r w:rsidR="00890796">
        <w:rPr>
          <w:rFonts w:ascii="Times New Roman" w:hAnsi="Times New Roman" w:cs="Times New Roman"/>
        </w:rPr>
        <w:t>This is likely to be secondary to the buffering effect of the PEI and hydrogel layer.</w:t>
      </w:r>
    </w:p>
    <w:p w:rsidR="00831FFF" w:rsidRPr="00A3156C" w:rsidRDefault="00831FFF" w:rsidP="00CE4898">
      <w:pPr>
        <w:spacing w:line="480" w:lineRule="auto"/>
        <w:jc w:val="both"/>
        <w:rPr>
          <w:rFonts w:ascii="Times New Roman" w:hAnsi="Times New Roman" w:cs="Times New Roman"/>
          <w:i/>
        </w:rPr>
      </w:pPr>
      <w:r w:rsidRPr="00A3156C">
        <w:rPr>
          <w:rFonts w:ascii="Times New Roman" w:hAnsi="Times New Roman" w:cs="Times New Roman"/>
          <w:i/>
        </w:rPr>
        <w:t>3.2</w:t>
      </w:r>
      <w:r w:rsidR="00BE489A" w:rsidRPr="00A3156C">
        <w:rPr>
          <w:rFonts w:ascii="Times New Roman" w:hAnsi="Times New Roman" w:cs="Times New Roman"/>
          <w:i/>
        </w:rPr>
        <w:t xml:space="preserve"> Beta-lactam calibration</w:t>
      </w:r>
    </w:p>
    <w:p w:rsidR="00DF5A8C" w:rsidRDefault="00FF05DD" w:rsidP="00CE4898">
      <w:pPr>
        <w:spacing w:line="480" w:lineRule="auto"/>
        <w:jc w:val="both"/>
        <w:rPr>
          <w:rFonts w:ascii="Times New Roman" w:hAnsi="Times New Roman" w:cs="Times New Roman"/>
        </w:rPr>
      </w:pPr>
      <w:r>
        <w:rPr>
          <w:rFonts w:ascii="Times New Roman" w:hAnsi="Times New Roman" w:cs="Times New Roman"/>
          <w:b/>
        </w:rPr>
        <w:t xml:space="preserve">Figure </w:t>
      </w:r>
      <w:r w:rsidR="00942996">
        <w:rPr>
          <w:rFonts w:ascii="Times New Roman" w:hAnsi="Times New Roman" w:cs="Times New Roman"/>
          <w:b/>
        </w:rPr>
        <w:t>2</w:t>
      </w:r>
      <w:r>
        <w:rPr>
          <w:rFonts w:ascii="Times New Roman" w:hAnsi="Times New Roman" w:cs="Times New Roman"/>
          <w:b/>
        </w:rPr>
        <w:t xml:space="preserve"> </w:t>
      </w:r>
      <w:r w:rsidR="00FA4AD9">
        <w:rPr>
          <w:rFonts w:ascii="Times New Roman" w:hAnsi="Times New Roman" w:cs="Times New Roman"/>
        </w:rPr>
        <w:t xml:space="preserve">shows </w:t>
      </w:r>
      <w:r>
        <w:rPr>
          <w:rFonts w:ascii="Times New Roman" w:hAnsi="Times New Roman" w:cs="Times New Roman"/>
        </w:rPr>
        <w:t>the penicillin-G calibration curves and log-concentration plots for the microneedle array sensors calibrated in PBS following fabrication and after 28 days storage.</w:t>
      </w:r>
      <w:r w:rsidR="00177BD3">
        <w:rPr>
          <w:rFonts w:ascii="Times New Roman" w:hAnsi="Times New Roman" w:cs="Times New Roman"/>
        </w:rPr>
        <w:t xml:space="preserve"> It also shows a comparison of observed results for calibration of fabricated disc electrodes to penicillin-G, amoxicillin, and ceftriaxone.</w:t>
      </w:r>
      <w:r>
        <w:rPr>
          <w:rFonts w:ascii="Times New Roman" w:hAnsi="Times New Roman" w:cs="Times New Roman"/>
        </w:rPr>
        <w:t xml:space="preserve"> </w:t>
      </w:r>
      <w:r w:rsidR="008257BA" w:rsidRPr="00FF05DD">
        <w:rPr>
          <w:rFonts w:ascii="Times New Roman" w:hAnsi="Times New Roman" w:cs="Times New Roman"/>
        </w:rPr>
        <w:t>Penicillin</w:t>
      </w:r>
      <w:r w:rsidR="008257BA" w:rsidRPr="00A3156C">
        <w:rPr>
          <w:rFonts w:ascii="Times New Roman" w:hAnsi="Times New Roman" w:cs="Times New Roman"/>
        </w:rPr>
        <w:t>-G</w:t>
      </w:r>
      <w:r w:rsidR="000F2EB0" w:rsidRPr="00A3156C">
        <w:rPr>
          <w:rFonts w:ascii="Times New Roman" w:hAnsi="Times New Roman" w:cs="Times New Roman"/>
        </w:rPr>
        <w:t xml:space="preserve"> calibration </w:t>
      </w:r>
      <w:r w:rsidR="008257BA" w:rsidRPr="00A3156C">
        <w:rPr>
          <w:rFonts w:ascii="Times New Roman" w:hAnsi="Times New Roman" w:cs="Times New Roman"/>
        </w:rPr>
        <w:t xml:space="preserve">curves </w:t>
      </w:r>
      <w:r w:rsidR="00AE67E5">
        <w:rPr>
          <w:rFonts w:ascii="Times New Roman" w:hAnsi="Times New Roman" w:cs="Times New Roman"/>
        </w:rPr>
        <w:t>were similar</w:t>
      </w:r>
      <w:r w:rsidR="00A33DEE" w:rsidRPr="00A3156C">
        <w:rPr>
          <w:rFonts w:ascii="Times New Roman" w:hAnsi="Times New Roman" w:cs="Times New Roman"/>
        </w:rPr>
        <w:t xml:space="preserve"> on both platinum disc electrodes and the microneedle arrays</w:t>
      </w:r>
      <w:r w:rsidR="00942996">
        <w:rPr>
          <w:rFonts w:ascii="Times New Roman" w:hAnsi="Times New Roman" w:cs="Times New Roman"/>
        </w:rPr>
        <w:t>. Using the Hill equation (1),</w:t>
      </w:r>
      <w:r w:rsidR="008257BA" w:rsidRPr="00A3156C">
        <w:rPr>
          <w:rFonts w:ascii="Times New Roman" w:hAnsi="Times New Roman" w:cs="Times New Roman"/>
        </w:rPr>
        <w:t xml:space="preserve"> mean K</w:t>
      </w:r>
      <w:r w:rsidR="008257BA" w:rsidRPr="00A3156C">
        <w:rPr>
          <w:rFonts w:ascii="Times New Roman" w:hAnsi="Times New Roman" w:cs="Times New Roman"/>
          <w:vertAlign w:val="subscript"/>
        </w:rPr>
        <w:t>m</w:t>
      </w:r>
      <w:r w:rsidR="00942996">
        <w:rPr>
          <w:rFonts w:ascii="Times New Roman" w:hAnsi="Times New Roman" w:cs="Times New Roman"/>
          <w:vertAlign w:val="subscript"/>
        </w:rPr>
        <w:t xml:space="preserve"> </w:t>
      </w:r>
      <w:r w:rsidR="00942996">
        <w:rPr>
          <w:rFonts w:ascii="Times New Roman" w:hAnsi="Times New Roman" w:cs="Times New Roman"/>
        </w:rPr>
        <w:t>(</w:t>
      </w:r>
      <w:r w:rsidR="00942996" w:rsidRPr="00BE4C44">
        <w:rPr>
          <w:rFonts w:ascii="Times New Roman" w:hAnsi="Times New Roman" w:cs="Times New Roman"/>
        </w:rPr>
        <w:t>±</w:t>
      </w:r>
      <w:r w:rsidR="00FA4AD9">
        <w:rPr>
          <w:rFonts w:ascii="Times New Roman" w:hAnsi="Times New Roman" w:cs="Times New Roman"/>
        </w:rPr>
        <w:t xml:space="preserve"> </w:t>
      </w:r>
      <w:r w:rsidR="00942996">
        <w:rPr>
          <w:rFonts w:ascii="Times New Roman" w:hAnsi="Times New Roman" w:cs="Times New Roman"/>
        </w:rPr>
        <w:t>1SD)</w:t>
      </w:r>
      <w:r w:rsidR="00BE4C44">
        <w:rPr>
          <w:rFonts w:ascii="Times New Roman" w:hAnsi="Times New Roman" w:cs="Times New Roman"/>
        </w:rPr>
        <w:t xml:space="preserve"> value</w:t>
      </w:r>
      <w:r w:rsidR="00942996">
        <w:rPr>
          <w:rFonts w:ascii="Times New Roman" w:hAnsi="Times New Roman" w:cs="Times New Roman"/>
        </w:rPr>
        <w:t>s were calculated demonstrating K</w:t>
      </w:r>
      <w:r w:rsidR="00942996" w:rsidRPr="00942996">
        <w:rPr>
          <w:rFonts w:ascii="Times New Roman" w:hAnsi="Times New Roman" w:cs="Times New Roman"/>
          <w:vertAlign w:val="subscript"/>
        </w:rPr>
        <w:t>m</w:t>
      </w:r>
      <w:r w:rsidR="00942996">
        <w:rPr>
          <w:rFonts w:ascii="Times New Roman" w:hAnsi="Times New Roman" w:cs="Times New Roman"/>
        </w:rPr>
        <w:t xml:space="preserve"> = </w:t>
      </w:r>
      <w:r w:rsidR="00AE67E5">
        <w:rPr>
          <w:rFonts w:ascii="Times New Roman" w:hAnsi="Times New Roman" w:cs="Times New Roman"/>
        </w:rPr>
        <w:t xml:space="preserve">0.0044 </w:t>
      </w:r>
      <w:r w:rsidR="00AE67E5" w:rsidRPr="00BE4C44">
        <w:rPr>
          <w:rFonts w:ascii="Times New Roman" w:hAnsi="Times New Roman" w:cs="Times New Roman"/>
        </w:rPr>
        <w:t>±</w:t>
      </w:r>
      <w:r w:rsidR="00AE67E5">
        <w:rPr>
          <w:rFonts w:ascii="Times New Roman" w:hAnsi="Times New Roman" w:cs="Times New Roman"/>
        </w:rPr>
        <w:t xml:space="preserve"> 0.0013 M.</w:t>
      </w:r>
      <w:r w:rsidR="00FA4AD9">
        <w:rPr>
          <w:rFonts w:ascii="Times New Roman" w:hAnsi="Times New Roman" w:cs="Times New Roman"/>
        </w:rPr>
        <w:t xml:space="preserve"> The relatively large dispersion of K</w:t>
      </w:r>
      <w:r w:rsidR="00FA4AD9" w:rsidRPr="00AC7C34">
        <w:rPr>
          <w:rFonts w:ascii="Times New Roman" w:hAnsi="Times New Roman" w:cs="Times New Roman"/>
          <w:vertAlign w:val="subscript"/>
        </w:rPr>
        <w:t>m</w:t>
      </w:r>
      <w:r w:rsidR="00FA4AD9">
        <w:rPr>
          <w:rFonts w:ascii="Times New Roman" w:hAnsi="Times New Roman" w:cs="Times New Roman"/>
        </w:rPr>
        <w:t xml:space="preserve"> values reflects the range of microenvironments of the enzymes.</w:t>
      </w:r>
      <w:r w:rsidR="00870AE9">
        <w:rPr>
          <w:rFonts w:ascii="Times New Roman" w:hAnsi="Times New Roman" w:cs="Times New Roman"/>
        </w:rPr>
        <w:t xml:space="preserve"> </w:t>
      </w:r>
      <w:proofErr w:type="gramStart"/>
      <w:r w:rsidR="00870AE9">
        <w:rPr>
          <w:rFonts w:ascii="Times New Roman" w:hAnsi="Times New Roman" w:cs="Times New Roman"/>
        </w:rPr>
        <w:t>Log(</w:t>
      </w:r>
      <w:proofErr w:type="gramEnd"/>
      <w:r w:rsidR="00AE67E5">
        <w:rPr>
          <w:rFonts w:ascii="Times New Roman" w:hAnsi="Times New Roman" w:cs="Times New Roman"/>
        </w:rPr>
        <w:t>concentration</w:t>
      </w:r>
      <w:r w:rsidR="00870AE9">
        <w:rPr>
          <w:rFonts w:ascii="Times New Roman" w:hAnsi="Times New Roman" w:cs="Times New Roman"/>
        </w:rPr>
        <w:t>)</w:t>
      </w:r>
      <w:r w:rsidR="00AE67E5">
        <w:rPr>
          <w:rFonts w:ascii="Times New Roman" w:hAnsi="Times New Roman" w:cs="Times New Roman"/>
        </w:rPr>
        <w:t xml:space="preserve"> plots demonstrated a</w:t>
      </w:r>
      <w:r w:rsidR="00F767F3">
        <w:rPr>
          <w:rFonts w:ascii="Times New Roman" w:hAnsi="Times New Roman" w:cs="Times New Roman"/>
        </w:rPr>
        <w:t xml:space="preserve"> mean</w:t>
      </w:r>
      <w:r w:rsidR="00942996">
        <w:rPr>
          <w:rFonts w:ascii="Times New Roman" w:hAnsi="Times New Roman" w:cs="Times New Roman"/>
        </w:rPr>
        <w:t xml:space="preserve"> (</w:t>
      </w:r>
      <w:r w:rsidR="00942996" w:rsidRPr="00BE4C44">
        <w:rPr>
          <w:rFonts w:ascii="Times New Roman" w:hAnsi="Times New Roman" w:cs="Times New Roman"/>
        </w:rPr>
        <w:t>±</w:t>
      </w:r>
      <w:r w:rsidR="00177BD3">
        <w:rPr>
          <w:rFonts w:ascii="Times New Roman" w:hAnsi="Times New Roman" w:cs="Times New Roman"/>
        </w:rPr>
        <w:t xml:space="preserve"> </w:t>
      </w:r>
      <w:r w:rsidR="00942996">
        <w:rPr>
          <w:rFonts w:ascii="Times New Roman" w:hAnsi="Times New Roman" w:cs="Times New Roman"/>
        </w:rPr>
        <w:t xml:space="preserve">1SD) </w:t>
      </w:r>
      <w:r w:rsidR="00F767F3">
        <w:rPr>
          <w:rFonts w:ascii="Times New Roman" w:hAnsi="Times New Roman" w:cs="Times New Roman"/>
        </w:rPr>
        <w:t>slope of</w:t>
      </w:r>
      <w:r w:rsidR="00670000">
        <w:rPr>
          <w:rFonts w:ascii="Times New Roman" w:hAnsi="Times New Roman" w:cs="Times New Roman"/>
        </w:rPr>
        <w:t xml:space="preserve"> </w:t>
      </w:r>
      <w:r w:rsidR="00AE67E5">
        <w:rPr>
          <w:rFonts w:ascii="Times New Roman" w:hAnsi="Times New Roman" w:cs="Times New Roman"/>
        </w:rPr>
        <w:t>29</w:t>
      </w:r>
      <w:r w:rsidR="00670000">
        <w:rPr>
          <w:rFonts w:ascii="Times New Roman" w:hAnsi="Times New Roman" w:cs="Times New Roman"/>
        </w:rPr>
        <w:t xml:space="preserve"> </w:t>
      </w:r>
      <w:r w:rsidR="00942996" w:rsidRPr="00BE4C44">
        <w:rPr>
          <w:rFonts w:ascii="Times New Roman" w:hAnsi="Times New Roman" w:cs="Times New Roman"/>
        </w:rPr>
        <w:t>±</w:t>
      </w:r>
      <w:r w:rsidR="00942996">
        <w:rPr>
          <w:rFonts w:ascii="Times New Roman" w:hAnsi="Times New Roman" w:cs="Times New Roman"/>
        </w:rPr>
        <w:t xml:space="preserve"> </w:t>
      </w:r>
      <w:r w:rsidR="00AE67E5">
        <w:rPr>
          <w:rFonts w:ascii="Times New Roman" w:hAnsi="Times New Roman" w:cs="Times New Roman"/>
        </w:rPr>
        <w:t>1.8</w:t>
      </w:r>
      <w:r w:rsidR="00942996">
        <w:rPr>
          <w:rFonts w:ascii="Times New Roman" w:hAnsi="Times New Roman" w:cs="Times New Roman"/>
        </w:rPr>
        <w:t xml:space="preserve"> </w:t>
      </w:r>
      <w:r w:rsidR="00670000">
        <w:rPr>
          <w:rFonts w:ascii="Times New Roman" w:hAnsi="Times New Roman" w:cs="Times New Roman"/>
        </w:rPr>
        <w:t>mV/decade</w:t>
      </w:r>
      <w:r>
        <w:rPr>
          <w:rFonts w:ascii="Times New Roman" w:hAnsi="Times New Roman" w:cs="Times New Roman"/>
        </w:rPr>
        <w:t xml:space="preserve"> </w:t>
      </w:r>
      <w:r w:rsidR="00AE67E5">
        <w:rPr>
          <w:rFonts w:ascii="Times New Roman" w:hAnsi="Times New Roman" w:cs="Times New Roman"/>
        </w:rPr>
        <w:t>change with concentration</w:t>
      </w:r>
      <w:r w:rsidR="008257BA" w:rsidRPr="00A3156C">
        <w:rPr>
          <w:rFonts w:ascii="Times New Roman" w:hAnsi="Times New Roman" w:cs="Times New Roman"/>
        </w:rPr>
        <w:t xml:space="preserve">. </w:t>
      </w:r>
      <w:r w:rsidR="005E04CA" w:rsidRPr="00A3156C">
        <w:rPr>
          <w:rFonts w:ascii="Times New Roman" w:hAnsi="Times New Roman" w:cs="Times New Roman"/>
        </w:rPr>
        <w:t>The response of the microneedle remained similar after 28 days storage at 4</w:t>
      </w:r>
      <w:r w:rsidR="005E04CA" w:rsidRPr="00A3156C">
        <w:rPr>
          <w:rFonts w:ascii="Times New Roman" w:hAnsi="Times New Roman" w:cs="Times New Roman"/>
          <w:vertAlign w:val="superscript"/>
        </w:rPr>
        <w:t>o</w:t>
      </w:r>
      <w:r w:rsidR="005E04CA" w:rsidRPr="00A3156C">
        <w:rPr>
          <w:rFonts w:ascii="Times New Roman" w:hAnsi="Times New Roman" w:cs="Times New Roman"/>
        </w:rPr>
        <w:t>C</w:t>
      </w:r>
      <w:r w:rsidR="00670000">
        <w:rPr>
          <w:rFonts w:ascii="Times New Roman" w:hAnsi="Times New Roman" w:cs="Times New Roman"/>
        </w:rPr>
        <w:t xml:space="preserve"> with a K</w:t>
      </w:r>
      <w:r w:rsidR="00670000" w:rsidRPr="00670000">
        <w:rPr>
          <w:rFonts w:ascii="Times New Roman" w:hAnsi="Times New Roman" w:cs="Times New Roman"/>
          <w:vertAlign w:val="subscript"/>
        </w:rPr>
        <w:t>m</w:t>
      </w:r>
      <w:r w:rsidR="00670000">
        <w:rPr>
          <w:rFonts w:ascii="Times New Roman" w:hAnsi="Times New Roman" w:cs="Times New Roman"/>
          <w:vertAlign w:val="subscript"/>
        </w:rPr>
        <w:t xml:space="preserve"> </w:t>
      </w:r>
      <w:r w:rsidR="00670000">
        <w:rPr>
          <w:rFonts w:ascii="Times New Roman" w:hAnsi="Times New Roman" w:cs="Times New Roman"/>
        </w:rPr>
        <w:t>value of K</w:t>
      </w:r>
      <w:r w:rsidR="00670000" w:rsidRPr="00670000">
        <w:rPr>
          <w:rFonts w:ascii="Times New Roman" w:hAnsi="Times New Roman" w:cs="Times New Roman"/>
          <w:vertAlign w:val="subscript"/>
        </w:rPr>
        <w:t>m</w:t>
      </w:r>
      <w:r w:rsidR="00670000">
        <w:rPr>
          <w:rFonts w:ascii="Times New Roman" w:hAnsi="Times New Roman" w:cs="Times New Roman"/>
        </w:rPr>
        <w:t xml:space="preserve"> </w:t>
      </w:r>
      <w:r w:rsidR="00AE67E5">
        <w:rPr>
          <w:rFonts w:ascii="Times New Roman" w:hAnsi="Times New Roman" w:cs="Times New Roman"/>
        </w:rPr>
        <w:t>= 0.0062 M</w:t>
      </w:r>
      <w:r w:rsidR="00670000">
        <w:rPr>
          <w:rFonts w:ascii="Times New Roman" w:hAnsi="Times New Roman" w:cs="Times New Roman"/>
        </w:rPr>
        <w:t xml:space="preserve"> and </w:t>
      </w:r>
      <w:proofErr w:type="gramStart"/>
      <w:r w:rsidR="00BA1AC2">
        <w:rPr>
          <w:rFonts w:ascii="Times New Roman" w:hAnsi="Times New Roman" w:cs="Times New Roman"/>
        </w:rPr>
        <w:t>log</w:t>
      </w:r>
      <w:r w:rsidR="00D70C40">
        <w:rPr>
          <w:rFonts w:ascii="Times New Roman" w:hAnsi="Times New Roman" w:cs="Times New Roman"/>
        </w:rPr>
        <w:t>(</w:t>
      </w:r>
      <w:proofErr w:type="gramEnd"/>
      <w:r w:rsidR="00AE67E5">
        <w:rPr>
          <w:rFonts w:ascii="Times New Roman" w:hAnsi="Times New Roman" w:cs="Times New Roman"/>
        </w:rPr>
        <w:t>concentration</w:t>
      </w:r>
      <w:r w:rsidR="00D70C40">
        <w:rPr>
          <w:rFonts w:ascii="Times New Roman" w:hAnsi="Times New Roman" w:cs="Times New Roman"/>
        </w:rPr>
        <w:t>)</w:t>
      </w:r>
      <w:r w:rsidR="00670000">
        <w:rPr>
          <w:rFonts w:ascii="Times New Roman" w:hAnsi="Times New Roman" w:cs="Times New Roman"/>
        </w:rPr>
        <w:t xml:space="preserve"> slope of 32 mV/decade</w:t>
      </w:r>
      <w:r w:rsidR="009C6159">
        <w:rPr>
          <w:rFonts w:ascii="Times New Roman" w:hAnsi="Times New Roman" w:cs="Times New Roman"/>
        </w:rPr>
        <w:t xml:space="preserve"> (r</w:t>
      </w:r>
      <w:r w:rsidR="009C6159" w:rsidRPr="009C6159">
        <w:rPr>
          <w:rFonts w:ascii="Times New Roman" w:hAnsi="Times New Roman" w:cs="Times New Roman"/>
          <w:vertAlign w:val="superscript"/>
        </w:rPr>
        <w:t>2</w:t>
      </w:r>
      <w:r w:rsidR="009C6159">
        <w:rPr>
          <w:rFonts w:ascii="Times New Roman" w:hAnsi="Times New Roman" w:cs="Times New Roman"/>
          <w:vertAlign w:val="superscript"/>
        </w:rPr>
        <w:t xml:space="preserve"> </w:t>
      </w:r>
      <w:r w:rsidR="009C6159">
        <w:rPr>
          <w:rFonts w:ascii="Times New Roman" w:hAnsi="Times New Roman" w:cs="Times New Roman"/>
        </w:rPr>
        <w:t>= 0.933)</w:t>
      </w:r>
      <w:r w:rsidR="00670000">
        <w:rPr>
          <w:rFonts w:ascii="Times New Roman" w:hAnsi="Times New Roman" w:cs="Times New Roman"/>
        </w:rPr>
        <w:t>.</w:t>
      </w:r>
      <w:r w:rsidR="00AE67E5">
        <w:rPr>
          <w:rFonts w:ascii="Times New Roman" w:hAnsi="Times New Roman" w:cs="Times New Roman"/>
        </w:rPr>
        <w:t xml:space="preserve"> This suggests that the devices are robust, maintaining a similar response and rate of change in potential to change in concentration and similar enzyme kinetics following prior use and storage. </w:t>
      </w:r>
    </w:p>
    <w:p w:rsidR="00D7522B" w:rsidRDefault="00B91086" w:rsidP="00CE4898">
      <w:pPr>
        <w:spacing w:line="480" w:lineRule="auto"/>
        <w:jc w:val="both"/>
        <w:rPr>
          <w:rFonts w:ascii="Times New Roman" w:hAnsi="Times New Roman" w:cs="Times New Roman"/>
        </w:rPr>
      </w:pPr>
      <w:r>
        <w:rPr>
          <w:rFonts w:ascii="Times New Roman" w:hAnsi="Times New Roman" w:cs="Times New Roman"/>
        </w:rPr>
        <w:t>Following this, calibration with</w:t>
      </w:r>
      <w:r w:rsidR="00D7522B">
        <w:rPr>
          <w:rFonts w:ascii="Times New Roman" w:hAnsi="Times New Roman" w:cs="Times New Roman"/>
        </w:rPr>
        <w:t xml:space="preserve"> </w:t>
      </w:r>
      <w:r>
        <w:rPr>
          <w:rFonts w:ascii="Times New Roman" w:hAnsi="Times New Roman" w:cs="Times New Roman"/>
        </w:rPr>
        <w:t>other beta-lactam antibiotics,</w:t>
      </w:r>
      <w:r w:rsidR="00D7522B">
        <w:rPr>
          <w:rFonts w:ascii="Times New Roman" w:hAnsi="Times New Roman" w:cs="Times New Roman"/>
        </w:rPr>
        <w:t xml:space="preserve"> amoxicillin and ceftriaxone</w:t>
      </w:r>
      <w:r>
        <w:rPr>
          <w:rFonts w:ascii="Times New Roman" w:hAnsi="Times New Roman" w:cs="Times New Roman"/>
        </w:rPr>
        <w:t>, was</w:t>
      </w:r>
      <w:r w:rsidR="00D7522B">
        <w:rPr>
          <w:rFonts w:ascii="Times New Roman" w:hAnsi="Times New Roman" w:cs="Times New Roman"/>
        </w:rPr>
        <w:t xml:space="preserve"> </w:t>
      </w:r>
      <w:r>
        <w:rPr>
          <w:rFonts w:ascii="Times New Roman" w:hAnsi="Times New Roman" w:cs="Times New Roman"/>
        </w:rPr>
        <w:t xml:space="preserve">performed with the platinum disc electrode to </w:t>
      </w:r>
      <w:r w:rsidR="00D7522B">
        <w:rPr>
          <w:rFonts w:ascii="Times New Roman" w:hAnsi="Times New Roman" w:cs="Times New Roman"/>
        </w:rPr>
        <w:t>explore the response of the sensor to these antibiotics</w:t>
      </w:r>
      <w:r>
        <w:rPr>
          <w:rFonts w:ascii="Times New Roman" w:hAnsi="Times New Roman" w:cs="Times New Roman"/>
        </w:rPr>
        <w:t xml:space="preserve">. </w:t>
      </w:r>
      <w:r w:rsidR="00177BD3" w:rsidRPr="00177BD3">
        <w:rPr>
          <w:rFonts w:ascii="Times New Roman" w:hAnsi="Times New Roman" w:cs="Times New Roman"/>
        </w:rPr>
        <w:t xml:space="preserve">The </w:t>
      </w:r>
      <w:r w:rsidR="00177BD3">
        <w:rPr>
          <w:rFonts w:ascii="Times New Roman" w:hAnsi="Times New Roman" w:cs="Times New Roman"/>
        </w:rPr>
        <w:t xml:space="preserve">table in </w:t>
      </w:r>
      <w:r w:rsidR="00177BD3" w:rsidRPr="00177BD3">
        <w:rPr>
          <w:rFonts w:ascii="Times New Roman" w:hAnsi="Times New Roman" w:cs="Times New Roman"/>
          <w:b/>
        </w:rPr>
        <w:t>Figure 2</w:t>
      </w:r>
      <w:r>
        <w:rPr>
          <w:rFonts w:ascii="Times New Roman" w:hAnsi="Times New Roman" w:cs="Times New Roman"/>
        </w:rPr>
        <w:t xml:space="preserve"> provides a comparison of K</w:t>
      </w:r>
      <w:r w:rsidRPr="00B91086">
        <w:rPr>
          <w:rFonts w:ascii="Times New Roman" w:hAnsi="Times New Roman" w:cs="Times New Roman"/>
          <w:vertAlign w:val="subscript"/>
        </w:rPr>
        <w:t>m</w:t>
      </w:r>
      <w:r>
        <w:rPr>
          <w:rFonts w:ascii="Times New Roman" w:hAnsi="Times New Roman" w:cs="Times New Roman"/>
        </w:rPr>
        <w:t xml:space="preserve"> values and slopes for each antibiotic tested. </w:t>
      </w:r>
      <w:r w:rsidR="005834CC">
        <w:rPr>
          <w:rFonts w:ascii="Times New Roman" w:hAnsi="Times New Roman" w:cs="Times New Roman"/>
        </w:rPr>
        <w:t>For amoxicillin the K</w:t>
      </w:r>
      <w:r w:rsidR="005834CC" w:rsidRPr="005834CC">
        <w:rPr>
          <w:rFonts w:ascii="Times New Roman" w:hAnsi="Times New Roman" w:cs="Times New Roman"/>
          <w:vertAlign w:val="subscript"/>
        </w:rPr>
        <w:t>m</w:t>
      </w:r>
      <w:r w:rsidR="005834CC">
        <w:rPr>
          <w:rFonts w:ascii="Times New Roman" w:hAnsi="Times New Roman" w:cs="Times New Roman"/>
        </w:rPr>
        <w:t xml:space="preserve"> was similar to that of penicillin-G (</w:t>
      </w:r>
      <w:r w:rsidR="005834CC" w:rsidRPr="0087084E">
        <w:rPr>
          <w:rFonts w:ascii="Times New Roman" w:hAnsi="Times New Roman" w:cs="Times New Roman"/>
          <w:i/>
        </w:rPr>
        <w:t>p=0.37</w:t>
      </w:r>
      <w:r w:rsidR="0087084E" w:rsidRPr="0087084E">
        <w:rPr>
          <w:rFonts w:ascii="Times New Roman" w:hAnsi="Times New Roman" w:cs="Times New Roman"/>
        </w:rPr>
        <w:t>:</w:t>
      </w:r>
      <w:r w:rsidR="0087084E">
        <w:rPr>
          <w:rFonts w:ascii="Times New Roman" w:hAnsi="Times New Roman" w:cs="Times New Roman"/>
        </w:rPr>
        <w:t xml:space="preserve"> 95%CI: -0.010 – 0.005</w:t>
      </w:r>
      <w:r w:rsidR="005834CC">
        <w:rPr>
          <w:rFonts w:ascii="Times New Roman" w:hAnsi="Times New Roman" w:cs="Times New Roman"/>
        </w:rPr>
        <w:t>). However, the mean (</w:t>
      </w:r>
      <w:r w:rsidR="005834CC" w:rsidRPr="00BE4C44">
        <w:rPr>
          <w:rFonts w:ascii="Times New Roman" w:hAnsi="Times New Roman" w:cs="Times New Roman"/>
        </w:rPr>
        <w:t>±</w:t>
      </w:r>
      <w:r w:rsidR="005834CC">
        <w:rPr>
          <w:rFonts w:ascii="Times New Roman" w:hAnsi="Times New Roman" w:cs="Times New Roman"/>
        </w:rPr>
        <w:t xml:space="preserve"> 1SD) slope for the </w:t>
      </w:r>
      <w:proofErr w:type="gramStart"/>
      <w:r w:rsidR="009362AA">
        <w:rPr>
          <w:rFonts w:ascii="Times New Roman" w:hAnsi="Times New Roman" w:cs="Times New Roman"/>
        </w:rPr>
        <w:t>l</w:t>
      </w:r>
      <w:r w:rsidR="005834CC">
        <w:rPr>
          <w:rFonts w:ascii="Times New Roman" w:hAnsi="Times New Roman" w:cs="Times New Roman"/>
        </w:rPr>
        <w:t>og</w:t>
      </w:r>
      <w:r w:rsidR="00D70C40">
        <w:rPr>
          <w:rFonts w:ascii="Times New Roman" w:hAnsi="Times New Roman" w:cs="Times New Roman"/>
        </w:rPr>
        <w:t>(</w:t>
      </w:r>
      <w:proofErr w:type="gramEnd"/>
      <w:r w:rsidR="005834CC">
        <w:rPr>
          <w:rFonts w:ascii="Times New Roman" w:hAnsi="Times New Roman" w:cs="Times New Roman"/>
        </w:rPr>
        <w:t>concentration</w:t>
      </w:r>
      <w:r w:rsidR="00D70C40">
        <w:rPr>
          <w:rFonts w:ascii="Times New Roman" w:hAnsi="Times New Roman" w:cs="Times New Roman"/>
        </w:rPr>
        <w:t>)</w:t>
      </w:r>
      <w:r w:rsidR="005834CC">
        <w:rPr>
          <w:rFonts w:ascii="Times New Roman" w:hAnsi="Times New Roman" w:cs="Times New Roman"/>
        </w:rPr>
        <w:t xml:space="preserve"> plot was significantly different at 16 </w:t>
      </w:r>
      <w:r w:rsidR="005834CC" w:rsidRPr="00BE4C44">
        <w:rPr>
          <w:rFonts w:ascii="Times New Roman" w:hAnsi="Times New Roman" w:cs="Times New Roman"/>
        </w:rPr>
        <w:t>±</w:t>
      </w:r>
      <w:r w:rsidR="005834CC">
        <w:rPr>
          <w:rFonts w:ascii="Times New Roman" w:hAnsi="Times New Roman" w:cs="Times New Roman"/>
        </w:rPr>
        <w:t xml:space="preserve"> 1.1 mV/decade change (</w:t>
      </w:r>
      <w:r w:rsidR="005834CC" w:rsidRPr="0087084E">
        <w:rPr>
          <w:rFonts w:ascii="Times New Roman" w:hAnsi="Times New Roman" w:cs="Times New Roman"/>
          <w:i/>
        </w:rPr>
        <w:t>p&lt;0.01</w:t>
      </w:r>
      <w:r w:rsidR="0087084E" w:rsidRPr="0087084E">
        <w:rPr>
          <w:rFonts w:ascii="Times New Roman" w:hAnsi="Times New Roman" w:cs="Times New Roman"/>
        </w:rPr>
        <w:t>: 95%CI:</w:t>
      </w:r>
      <w:r w:rsidR="0087084E">
        <w:rPr>
          <w:rFonts w:ascii="Times New Roman" w:hAnsi="Times New Roman" w:cs="Times New Roman"/>
        </w:rPr>
        <w:t xml:space="preserve"> 8.35 – 17.56)</w:t>
      </w:r>
      <w:r w:rsidR="005834CC">
        <w:rPr>
          <w:rFonts w:ascii="Times New Roman" w:hAnsi="Times New Roman" w:cs="Times New Roman"/>
        </w:rPr>
        <w:t>. For ceftriaxone, only one calibration run was possible. However, the K</w:t>
      </w:r>
      <w:r w:rsidR="005834CC" w:rsidRPr="005834CC">
        <w:rPr>
          <w:rFonts w:ascii="Times New Roman" w:hAnsi="Times New Roman" w:cs="Times New Roman"/>
          <w:vertAlign w:val="subscript"/>
        </w:rPr>
        <w:t>m</w:t>
      </w:r>
      <w:r w:rsidR="005834CC">
        <w:rPr>
          <w:rFonts w:ascii="Times New Roman" w:hAnsi="Times New Roman" w:cs="Times New Roman"/>
        </w:rPr>
        <w:t xml:space="preserve"> and slope values observed were much lower. In this run K</w:t>
      </w:r>
      <w:r w:rsidR="005834CC" w:rsidRPr="005834CC">
        <w:rPr>
          <w:rFonts w:ascii="Times New Roman" w:hAnsi="Times New Roman" w:cs="Times New Roman"/>
          <w:vertAlign w:val="subscript"/>
        </w:rPr>
        <w:t>m</w:t>
      </w:r>
      <w:r w:rsidR="005834CC">
        <w:rPr>
          <w:rFonts w:ascii="Times New Roman" w:hAnsi="Times New Roman" w:cs="Times New Roman"/>
        </w:rPr>
        <w:t xml:space="preserve"> = 0.00011 M and the </w:t>
      </w:r>
      <w:proofErr w:type="gramStart"/>
      <w:r w:rsidR="009C6159">
        <w:rPr>
          <w:rFonts w:ascii="Times New Roman" w:hAnsi="Times New Roman" w:cs="Times New Roman"/>
        </w:rPr>
        <w:t>log(</w:t>
      </w:r>
      <w:proofErr w:type="gramEnd"/>
      <w:r w:rsidR="005834CC">
        <w:rPr>
          <w:rFonts w:ascii="Times New Roman" w:hAnsi="Times New Roman" w:cs="Times New Roman"/>
        </w:rPr>
        <w:t>concentration</w:t>
      </w:r>
      <w:r w:rsidR="009C6159">
        <w:rPr>
          <w:rFonts w:ascii="Times New Roman" w:hAnsi="Times New Roman" w:cs="Times New Roman"/>
        </w:rPr>
        <w:t>)</w:t>
      </w:r>
      <w:r w:rsidR="005834CC">
        <w:rPr>
          <w:rFonts w:ascii="Times New Roman" w:hAnsi="Times New Roman" w:cs="Times New Roman"/>
        </w:rPr>
        <w:t xml:space="preserve"> slope was 1.5 mV/decade</w:t>
      </w:r>
      <w:r w:rsidR="009C6159">
        <w:rPr>
          <w:rFonts w:ascii="Times New Roman" w:hAnsi="Times New Roman" w:cs="Times New Roman"/>
        </w:rPr>
        <w:t xml:space="preserve"> (r</w:t>
      </w:r>
      <w:r w:rsidR="009C6159" w:rsidRPr="009C6159">
        <w:rPr>
          <w:rFonts w:ascii="Times New Roman" w:hAnsi="Times New Roman" w:cs="Times New Roman"/>
          <w:vertAlign w:val="superscript"/>
        </w:rPr>
        <w:t>2</w:t>
      </w:r>
      <w:r w:rsidR="009C6159">
        <w:rPr>
          <w:rFonts w:ascii="Times New Roman" w:hAnsi="Times New Roman" w:cs="Times New Roman"/>
          <w:vertAlign w:val="superscript"/>
        </w:rPr>
        <w:t xml:space="preserve"> </w:t>
      </w:r>
      <w:r w:rsidR="009C6159">
        <w:rPr>
          <w:rFonts w:ascii="Times New Roman" w:hAnsi="Times New Roman" w:cs="Times New Roman"/>
        </w:rPr>
        <w:t>= 0.991)</w:t>
      </w:r>
      <w:r w:rsidR="005834CC">
        <w:rPr>
          <w:rFonts w:ascii="Times New Roman" w:hAnsi="Times New Roman" w:cs="Times New Roman"/>
        </w:rPr>
        <w:t>. These findings may be explained by the relative</w:t>
      </w:r>
      <w:r w:rsidR="00D70C40">
        <w:rPr>
          <w:rFonts w:ascii="Times New Roman" w:hAnsi="Times New Roman" w:cs="Times New Roman"/>
        </w:rPr>
        <w:t>ly</w:t>
      </w:r>
      <w:r w:rsidR="005834CC">
        <w:rPr>
          <w:rFonts w:ascii="Times New Roman" w:hAnsi="Times New Roman" w:cs="Times New Roman"/>
        </w:rPr>
        <w:t xml:space="preserve"> improved resistance of such antibiotics to </w:t>
      </w:r>
      <w:r w:rsidR="00AE0D8F">
        <w:rPr>
          <w:rFonts w:ascii="Times New Roman" w:hAnsi="Times New Roman" w:cs="Times New Roman"/>
        </w:rPr>
        <w:t xml:space="preserve">hydrolysis by beta-lactamase enzyme when compared to penicillin-G </w:t>
      </w:r>
      <w:r w:rsidR="00AE0D8F">
        <w:rPr>
          <w:rFonts w:ascii="Times New Roman" w:hAnsi="Times New Roman" w:cs="Times New Roman"/>
        </w:rPr>
        <w:fldChar w:fldCharType="begin" w:fldLock="1"/>
      </w:r>
      <w:r w:rsidR="001674FB">
        <w:rPr>
          <w:rFonts w:ascii="Times New Roman" w:hAnsi="Times New Roman" w:cs="Times New Roman"/>
        </w:rPr>
        <w:instrText>ADDIN CSL_CITATION { "citationItems" : [ { "id" : "ITEM-1", "itemData" : { "author" : [ { "dropping-particle" : "", "family" : "Greenwood", "given" : "David", "non-dropping-particle" : "", "parse-names" : false, "suffix" : "" } ], "edition" : "Fourth Edi", "id" : "ITEM-1", "issued" : { "date-parts" : [ [ "2000" ] ] }, "publisher" : "Oxford University Press", "publisher-place" : "Oxford", "title" : "Antimicrobial Chemotherapy", "type" : "book" }, "uris" : [ "http://www.mendeley.com/documents/?uuid=76683e74-b66a-4cf0-973c-6b6ab9c7456c" ] }, { "id" : "ITEM-2", "itemData" : { "abstract" : "Enterobacteriaceae species are important human pathogens while increasing number of antibiotic resistant strains are detected worldwide. The most common antibiotic resistance in Enterobacteriaceae is observed against beta-lactams, fluoroquinolones, aminoglycosides while recently resistance to polymyxins has also appeared. Beta-lactam resistance is mainly conferred by beta-lactamases, capable to hydrolyze beta-lactam antibiotics. The most important beta-lactamases are the cephalosporinases for example extended-spectrum beta-lactamases (ESBLs) and the carbapenemases for example metallo-beta-lactamases (MBLs), Klebsiella pneumoniae carbapenemases (KPCs) and oxacillinase OXA-48 enzymes. Other resistance mechanisms against beta-lactams are the outer membran permeability change and efflux pumps. Fluoroquinolone resistance is caused by aminoacid changes in gyrase and topoisomerase IV enzymes. However, recent studies confirmed the importance of plasmid-mediated quinolone resistance mechanisms including Qnr determinants, aminoglycoside-acetyltransferase(6')-Ib-cr enzyme and QepA, OqxAB efflux pumps. Aminoglycoside resistance is mainly explained by modifying enzymes inactivating the antibiotic by acetylation, by adenylation or by phosphorilation. Resistance to polymyxins develops by the modification of the target molecule, notably the addition of 4-amino-4-deoxy-l-arabinopyranose on the lipid A component of lipopolysaccharide. The genetic background of resistance mechanisms is diverse since they can be present on chromosomes, plasmids, integrons and transposones. This chapter gives an overview of beta-lactam, fluoroquinolone, aminoglycoside and polymyxin resistance mechanisms in Enterobacteriaceae.", "author" : [ { "dropping-particle" : "", "family" : "Kocsis", "given" : "B", "non-dropping-particle" : "", "parse-names" : false, "suffix" : "" }, { "dropping-particle" : "", "family" : "Szab\u00f3", "given" : "D", "non-dropping-particle" : "", "parse-names" : false, "suffix" : "" } ], "container-title" : "Microbial pathogens and strategies for combating them: science, technology and education", "id" : "ITEM-2", "issue" : "Table 1", "issued" : { "date-parts" : [ [ "2013" ] ] }, "page" : "251-257", "title" : "Antibiotic resistance mechanisms in Enterobacteriaceae", "type" : "article-journal" }, "uris" : [ "http://www.mendeley.com/documents/?uuid=74c976d7-a265-4238-856d-fa0af1617579", "http://www.mendeley.com/documents/?uuid=abe8552c-a10a-4c66-9e86-0f44ceab2464" ] } ], "mendeley" : { "formattedCitation" : "[50,51]", "plainTextFormattedCitation" : "[50,51]", "previouslyFormattedCitation" : "[50,51]" }, "properties" : { "noteIndex" : 0 }, "schema" : "https://github.com/citation-style-language/schema/raw/master/csl-citation.json" }</w:instrText>
      </w:r>
      <w:r w:rsidR="00AE0D8F">
        <w:rPr>
          <w:rFonts w:ascii="Times New Roman" w:hAnsi="Times New Roman" w:cs="Times New Roman"/>
        </w:rPr>
        <w:fldChar w:fldCharType="separate"/>
      </w:r>
      <w:r w:rsidR="001674FB" w:rsidRPr="001674FB">
        <w:rPr>
          <w:rFonts w:ascii="Times New Roman" w:hAnsi="Times New Roman" w:cs="Times New Roman"/>
          <w:noProof/>
        </w:rPr>
        <w:t>[50,51]</w:t>
      </w:r>
      <w:r w:rsidR="00AE0D8F">
        <w:rPr>
          <w:rFonts w:ascii="Times New Roman" w:hAnsi="Times New Roman" w:cs="Times New Roman"/>
        </w:rPr>
        <w:fldChar w:fldCharType="end"/>
      </w:r>
      <w:r w:rsidR="00177BD3">
        <w:rPr>
          <w:rFonts w:ascii="Times New Roman" w:hAnsi="Times New Roman" w:cs="Times New Roman"/>
        </w:rPr>
        <w:t xml:space="preserve">. Future </w:t>
      </w:r>
      <w:r w:rsidR="00AE0D8F">
        <w:rPr>
          <w:rFonts w:ascii="Times New Roman" w:hAnsi="Times New Roman" w:cs="Times New Roman"/>
        </w:rPr>
        <w:t>work</w:t>
      </w:r>
      <w:r w:rsidR="00177BD3">
        <w:rPr>
          <w:rFonts w:ascii="Times New Roman" w:hAnsi="Times New Roman" w:cs="Times New Roman"/>
        </w:rPr>
        <w:t xml:space="preserve"> </w:t>
      </w:r>
      <w:r w:rsidR="00AE0D8F">
        <w:rPr>
          <w:rFonts w:ascii="Times New Roman" w:hAnsi="Times New Roman" w:cs="Times New Roman"/>
        </w:rPr>
        <w:t>will now compare use of extended spectrum beta-</w:t>
      </w:r>
      <w:r w:rsidR="00AE0D8F">
        <w:rPr>
          <w:rFonts w:ascii="Times New Roman" w:hAnsi="Times New Roman" w:cs="Times New Roman"/>
        </w:rPr>
        <w:lastRenderedPageBreak/>
        <w:t xml:space="preserve">lactamase enzyme (acquired from </w:t>
      </w:r>
      <w:proofErr w:type="spellStart"/>
      <w:r w:rsidR="00AE0D8F">
        <w:rPr>
          <w:rFonts w:ascii="Times New Roman" w:hAnsi="Times New Roman" w:cs="Times New Roman"/>
        </w:rPr>
        <w:t>Sekesui</w:t>
      </w:r>
      <w:proofErr w:type="spellEnd"/>
      <w:r w:rsidR="00AE0D8F">
        <w:rPr>
          <w:rFonts w:ascii="Times New Roman" w:hAnsi="Times New Roman" w:cs="Times New Roman"/>
        </w:rPr>
        <w:t xml:space="preserve"> diagnostics) versus the enzyme used within this study to further characterise this response. </w:t>
      </w:r>
    </w:p>
    <w:p w:rsidR="00D760AB" w:rsidRDefault="00D760AB" w:rsidP="00CE4898">
      <w:pPr>
        <w:spacing w:line="480" w:lineRule="auto"/>
        <w:jc w:val="both"/>
        <w:rPr>
          <w:rFonts w:ascii="Times New Roman" w:hAnsi="Times New Roman" w:cs="Times New Roman"/>
          <w:i/>
        </w:rPr>
      </w:pPr>
      <w:r w:rsidRPr="00D760AB">
        <w:rPr>
          <w:rFonts w:ascii="Times New Roman" w:hAnsi="Times New Roman" w:cs="Times New Roman"/>
          <w:i/>
        </w:rPr>
        <w:t>3.3 Calibration in</w:t>
      </w:r>
      <w:r>
        <w:rPr>
          <w:rFonts w:ascii="Times New Roman" w:hAnsi="Times New Roman" w:cs="Times New Roman"/>
          <w:i/>
        </w:rPr>
        <w:t xml:space="preserve"> artificial</w:t>
      </w:r>
      <w:r w:rsidRPr="00D760AB">
        <w:rPr>
          <w:rFonts w:ascii="Times New Roman" w:hAnsi="Times New Roman" w:cs="Times New Roman"/>
          <w:i/>
        </w:rPr>
        <w:t xml:space="preserve"> interstitial fluid </w:t>
      </w:r>
    </w:p>
    <w:p w:rsidR="00870AE9" w:rsidRPr="00870AE9" w:rsidRDefault="00D760AB" w:rsidP="00CE4898">
      <w:pPr>
        <w:spacing w:line="480" w:lineRule="auto"/>
        <w:jc w:val="both"/>
        <w:rPr>
          <w:rFonts w:ascii="Times New Roman" w:hAnsi="Times New Roman" w:cs="Times New Roman"/>
        </w:rPr>
      </w:pPr>
      <w:r>
        <w:rPr>
          <w:rFonts w:ascii="Times New Roman" w:hAnsi="Times New Roman" w:cs="Times New Roman"/>
        </w:rPr>
        <w:t>After demonstration of the potential reproducibility of individual microneedle arrays for detection of penicillin</w:t>
      </w:r>
      <w:r w:rsidR="00FF05DD">
        <w:rPr>
          <w:rFonts w:ascii="Times New Roman" w:hAnsi="Times New Roman" w:cs="Times New Roman"/>
        </w:rPr>
        <w:t>-</w:t>
      </w:r>
      <w:r>
        <w:rPr>
          <w:rFonts w:ascii="Times New Roman" w:hAnsi="Times New Roman" w:cs="Times New Roman"/>
        </w:rPr>
        <w:t xml:space="preserve">G, we investigated the effects of </w:t>
      </w:r>
      <w:r w:rsidR="00942996">
        <w:rPr>
          <w:rFonts w:ascii="Times New Roman" w:hAnsi="Times New Roman" w:cs="Times New Roman"/>
        </w:rPr>
        <w:t>artificial interstitial fluid</w:t>
      </w:r>
      <w:r>
        <w:rPr>
          <w:rFonts w:ascii="Times New Roman" w:hAnsi="Times New Roman" w:cs="Times New Roman"/>
        </w:rPr>
        <w:t xml:space="preserve"> on the accuracy of the sensor.</w:t>
      </w:r>
      <w:r w:rsidR="00942996">
        <w:rPr>
          <w:rFonts w:ascii="Times New Roman" w:hAnsi="Times New Roman" w:cs="Times New Roman"/>
        </w:rPr>
        <w:t xml:space="preserve"> This is an important next step given previous reports of </w:t>
      </w:r>
      <w:r w:rsidR="0045724C">
        <w:rPr>
          <w:rFonts w:ascii="Times New Roman" w:hAnsi="Times New Roman" w:cs="Times New Roman"/>
        </w:rPr>
        <w:t xml:space="preserve">biofouling and reduced sensitivity following the absorption of </w:t>
      </w:r>
      <w:r w:rsidR="00942996">
        <w:rPr>
          <w:rFonts w:ascii="Times New Roman" w:hAnsi="Times New Roman" w:cs="Times New Roman"/>
        </w:rPr>
        <w:t>protein, such as albumin,</w:t>
      </w:r>
      <w:r w:rsidR="0045724C">
        <w:rPr>
          <w:rFonts w:ascii="Times New Roman" w:hAnsi="Times New Roman" w:cs="Times New Roman"/>
        </w:rPr>
        <w:t xml:space="preserve"> onto </w:t>
      </w:r>
      <w:proofErr w:type="spellStart"/>
      <w:r w:rsidR="0045724C">
        <w:rPr>
          <w:rFonts w:ascii="Times New Roman" w:hAnsi="Times New Roman" w:cs="Times New Roman"/>
        </w:rPr>
        <w:t>biosurfaces</w:t>
      </w:r>
      <w:proofErr w:type="spellEnd"/>
      <w:r w:rsidR="0045724C">
        <w:rPr>
          <w:rFonts w:ascii="Times New Roman" w:hAnsi="Times New Roman" w:cs="Times New Roman"/>
        </w:rPr>
        <w:t xml:space="preserve"> such as</w:t>
      </w:r>
      <w:r w:rsidR="00942996">
        <w:rPr>
          <w:rFonts w:ascii="Times New Roman" w:hAnsi="Times New Roman" w:cs="Times New Roman"/>
        </w:rPr>
        <w:t xml:space="preserve"> </w:t>
      </w:r>
      <w:proofErr w:type="spellStart"/>
      <w:r w:rsidR="00942996">
        <w:rPr>
          <w:rFonts w:ascii="Times New Roman" w:hAnsi="Times New Roman" w:cs="Times New Roman"/>
        </w:rPr>
        <w:t>iridum</w:t>
      </w:r>
      <w:proofErr w:type="spellEnd"/>
      <w:r w:rsidR="00942996">
        <w:rPr>
          <w:rFonts w:ascii="Times New Roman" w:hAnsi="Times New Roman" w:cs="Times New Roman"/>
        </w:rPr>
        <w:t xml:space="preserve"> oxide based pH sensors </w:t>
      </w:r>
      <w:r w:rsidR="0045724C">
        <w:rPr>
          <w:rFonts w:ascii="Times New Roman" w:hAnsi="Times New Roman" w:cs="Times New Roman"/>
        </w:rPr>
        <w:fldChar w:fldCharType="begin" w:fldLock="1"/>
      </w:r>
      <w:r w:rsidR="001674FB">
        <w:rPr>
          <w:rFonts w:ascii="Times New Roman" w:hAnsi="Times New Roman" w:cs="Times New Roman"/>
        </w:rPr>
        <w:instrText>ADDIN CSL_CITATION { "citationItems" : [ { "id" : "ITEM-1", "itemData" : { "DOI" : "10.1007/978-1-4471-6374-9", "ISBN" : "978-1-4471-6373-2", "author" : [ { "dropping-particle" : "", "family" : "O'Hare", "given" : "Danny", "non-dropping-particle" : "", "parse-names" : false, "suffix" : "" } ], "container-title" : "Body Sensor Networks", "editor" : [ { "dropping-particle" : "", "family" : "Yang", "given" : "GZ", "non-dropping-particle" : "", "parse-names" : false, "suffix" : "" } ], "id" : "ITEM-1", "issued" : { "date-parts" : [ [ "2014" ] ] }, "publisher" : "Springer", "title" : "Biosensors and Sensor Systems", "type" : "chapter" }, "uris" : [ "http://www.mendeley.com/documents/?uuid=543e549b-5a7a-4d3f-8f4b-159bf691a977", "http://www.mendeley.com/documents/?uuid=4f79133c-3eb7-4f21-a6d7-e25d5788dc1e" ] }, { "id" : "ITEM-2", "itemData" : { "DOI" : "10.1016/j.elecom.2009.05.018", "ISBN" : "1388-2481", "ISSN" : "13882481", "abstract" : "Stability of sensors in biosamples is a critical issue and can be mitigated by membranes. The effect of different membranes (Nafion, cellulose acetate, chitosan, fibronectin, PSS/PL) on the electrochemistry of an outer-sphere redox couple (ruthenium II/III hexaammine) and on the electrocatalytic reduction of dissolved oxygen are described. Biofouling has been induced by albumin solutions. Results demonstrate good performances of fibronectin in all situations investigated. Other membranes do not provide a satisfactory protection from biofouling and some of them, PSS/PL in particular, seriously disturb electrochemical mechanisms. \u00a9 2009 Elsevier B.V. All rights reserved.", "author" : [ { "dropping-particle" : "", "family" : "Trouillon", "given" : "Rapha\u00ebl", "non-dropping-particle" : "", "parse-names" : false, "suffix" : "" }, { "dropping-particle" : "", "family" : "Combs", "given" : "Zachary", "non-dropping-particle" : "", "parse-names" : false, "suffix" : "" }, { "dropping-particle" : "", "family" : "Patel", "given" : "Bhavik Anil", "non-dropping-particle" : "", "parse-names" : false, "suffix" : "" }, { "dropping-particle" : "", "family" : "O'Hare", "given" : "Danny", "non-dropping-particle" : "", "parse-names" : false, "suffix" : "" } ], "container-title" : "Electrochemistry Communications", "id" : "ITEM-2", "issue" : "7", "issued" : { "date-parts" : [ [ "2009" ] ] }, "page" : "1409-1413", "publisher" : "Elsevier B.V.", "title" : "Comparative study of the effect of various electrode membranes on biofouling and electrochemical measurements", "type" : "article-journal", "volume" : "11" }, "uris" : [ "http://www.mendeley.com/documents/?uuid=25561f8c-70c0-45c6-8057-5b53513d03e7", "http://www.mendeley.com/documents/?uuid=398b512e-26f2-4a31-8a72-84ce65278b78" ] } ], "mendeley" : { "formattedCitation" : "[52,53]", "plainTextFormattedCitation" : "[52,53]", "previouslyFormattedCitation" : "[52,53]" }, "properties" : { "noteIndex" : 0 }, "schema" : "https://github.com/citation-style-language/schema/raw/master/csl-citation.json" }</w:instrText>
      </w:r>
      <w:r w:rsidR="0045724C">
        <w:rPr>
          <w:rFonts w:ascii="Times New Roman" w:hAnsi="Times New Roman" w:cs="Times New Roman"/>
        </w:rPr>
        <w:fldChar w:fldCharType="separate"/>
      </w:r>
      <w:r w:rsidR="001674FB" w:rsidRPr="001674FB">
        <w:rPr>
          <w:rFonts w:ascii="Times New Roman" w:hAnsi="Times New Roman" w:cs="Times New Roman"/>
          <w:noProof/>
        </w:rPr>
        <w:t>[52,53]</w:t>
      </w:r>
      <w:r w:rsidR="0045724C">
        <w:rPr>
          <w:rFonts w:ascii="Times New Roman" w:hAnsi="Times New Roman" w:cs="Times New Roman"/>
        </w:rPr>
        <w:fldChar w:fldCharType="end"/>
      </w:r>
      <w:r w:rsidR="00640E59">
        <w:rPr>
          <w:rFonts w:ascii="Times New Roman" w:hAnsi="Times New Roman" w:cs="Times New Roman"/>
        </w:rPr>
        <w:t>.</w:t>
      </w:r>
      <w:r>
        <w:rPr>
          <w:rFonts w:ascii="Times New Roman" w:hAnsi="Times New Roman" w:cs="Times New Roman"/>
        </w:rPr>
        <w:t xml:space="preserve"> This was performed </w:t>
      </w:r>
      <w:r w:rsidR="00870AE9">
        <w:rPr>
          <w:rFonts w:ascii="Times New Roman" w:hAnsi="Times New Roman" w:cs="Times New Roman"/>
        </w:rPr>
        <w:t xml:space="preserve">using 2 newly fabricated microneedle </w:t>
      </w:r>
      <w:proofErr w:type="gramStart"/>
      <w:r w:rsidR="00870AE9">
        <w:rPr>
          <w:rFonts w:ascii="Times New Roman" w:hAnsi="Times New Roman" w:cs="Times New Roman"/>
        </w:rPr>
        <w:t>array’s</w:t>
      </w:r>
      <w:proofErr w:type="gramEnd"/>
      <w:r>
        <w:rPr>
          <w:rFonts w:ascii="Times New Roman" w:hAnsi="Times New Roman" w:cs="Times New Roman"/>
        </w:rPr>
        <w:t xml:space="preserve"> </w:t>
      </w:r>
      <w:r w:rsidR="00870AE9">
        <w:rPr>
          <w:rFonts w:ascii="Times New Roman" w:hAnsi="Times New Roman" w:cs="Times New Roman"/>
        </w:rPr>
        <w:t xml:space="preserve">with testing performed as </w:t>
      </w:r>
      <w:r w:rsidR="00AE0D8F">
        <w:rPr>
          <w:rFonts w:ascii="Times New Roman" w:hAnsi="Times New Roman" w:cs="Times New Roman"/>
        </w:rPr>
        <w:t xml:space="preserve">described above. </w:t>
      </w:r>
      <w:r w:rsidR="00870AE9">
        <w:rPr>
          <w:rFonts w:ascii="Times New Roman" w:hAnsi="Times New Roman" w:cs="Times New Roman"/>
        </w:rPr>
        <w:t>The mean (±</w:t>
      </w:r>
      <w:r w:rsidR="00C10763">
        <w:rPr>
          <w:rFonts w:ascii="Times New Roman" w:hAnsi="Times New Roman" w:cs="Times New Roman"/>
        </w:rPr>
        <w:t xml:space="preserve"> </w:t>
      </w:r>
      <w:r w:rsidR="00870AE9">
        <w:rPr>
          <w:rFonts w:ascii="Times New Roman" w:hAnsi="Times New Roman" w:cs="Times New Roman"/>
        </w:rPr>
        <w:t>1SD) r</w:t>
      </w:r>
      <w:r>
        <w:rPr>
          <w:rFonts w:ascii="Times New Roman" w:hAnsi="Times New Roman" w:cs="Times New Roman"/>
        </w:rPr>
        <w:t xml:space="preserve">esponse of the </w:t>
      </w:r>
      <w:r w:rsidR="00870AE9">
        <w:rPr>
          <w:rFonts w:ascii="Times New Roman" w:hAnsi="Times New Roman" w:cs="Times New Roman"/>
        </w:rPr>
        <w:t>microneedle arrays to penicillin-</w:t>
      </w:r>
      <w:r>
        <w:rPr>
          <w:rFonts w:ascii="Times New Roman" w:hAnsi="Times New Roman" w:cs="Times New Roman"/>
        </w:rPr>
        <w:t>G calibration in interstitial fluid</w:t>
      </w:r>
      <w:r w:rsidR="00870AE9">
        <w:rPr>
          <w:rFonts w:ascii="Times New Roman" w:hAnsi="Times New Roman" w:cs="Times New Roman"/>
        </w:rPr>
        <w:t xml:space="preserve"> (n</w:t>
      </w:r>
      <w:r w:rsidR="00C10763">
        <w:rPr>
          <w:rFonts w:ascii="Times New Roman" w:hAnsi="Times New Roman" w:cs="Times New Roman"/>
        </w:rPr>
        <w:t xml:space="preserve"> </w:t>
      </w:r>
      <w:r w:rsidR="00870AE9">
        <w:rPr>
          <w:rFonts w:ascii="Times New Roman" w:hAnsi="Times New Roman" w:cs="Times New Roman"/>
        </w:rPr>
        <w:t>=</w:t>
      </w:r>
      <w:r w:rsidR="00C10763">
        <w:rPr>
          <w:rFonts w:ascii="Times New Roman" w:hAnsi="Times New Roman" w:cs="Times New Roman"/>
        </w:rPr>
        <w:t xml:space="preserve"> </w:t>
      </w:r>
      <w:r w:rsidR="00870AE9">
        <w:rPr>
          <w:rFonts w:ascii="Times New Roman" w:hAnsi="Times New Roman" w:cs="Times New Roman"/>
        </w:rPr>
        <w:t>4)</w:t>
      </w:r>
      <w:r>
        <w:rPr>
          <w:rFonts w:ascii="Times New Roman" w:hAnsi="Times New Roman" w:cs="Times New Roman"/>
        </w:rPr>
        <w:t xml:space="preserve"> </w:t>
      </w:r>
      <w:r w:rsidR="00BD1327">
        <w:rPr>
          <w:rFonts w:ascii="Times New Roman" w:hAnsi="Times New Roman" w:cs="Times New Roman"/>
        </w:rPr>
        <w:t>was</w:t>
      </w:r>
      <w:r>
        <w:rPr>
          <w:rFonts w:ascii="Times New Roman" w:hAnsi="Times New Roman" w:cs="Times New Roman"/>
        </w:rPr>
        <w:t xml:space="preserve"> K</w:t>
      </w:r>
      <w:r w:rsidRPr="00D760AB">
        <w:rPr>
          <w:rFonts w:ascii="Times New Roman" w:hAnsi="Times New Roman" w:cs="Times New Roman"/>
          <w:vertAlign w:val="subscript"/>
        </w:rPr>
        <w:t>m</w:t>
      </w:r>
      <w:r w:rsidR="0045724C">
        <w:rPr>
          <w:rFonts w:ascii="Times New Roman" w:hAnsi="Times New Roman" w:cs="Times New Roman"/>
        </w:rPr>
        <w:t xml:space="preserve"> = </w:t>
      </w:r>
      <w:r w:rsidR="00870AE9">
        <w:rPr>
          <w:rFonts w:ascii="Times New Roman" w:hAnsi="Times New Roman" w:cs="Times New Roman"/>
        </w:rPr>
        <w:t>0.0077 ± 0.019</w:t>
      </w:r>
      <w:r w:rsidR="00AE0D8F" w:rsidRPr="00BA1AC2">
        <w:rPr>
          <w:rFonts w:ascii="Times New Roman" w:hAnsi="Times New Roman" w:cs="Times New Roman"/>
        </w:rPr>
        <w:t xml:space="preserve"> </w:t>
      </w:r>
      <w:r w:rsidRPr="00BA1AC2">
        <w:rPr>
          <w:rFonts w:ascii="Times New Roman" w:hAnsi="Times New Roman" w:cs="Times New Roman"/>
        </w:rPr>
        <w:t>M,</w:t>
      </w:r>
      <w:r>
        <w:rPr>
          <w:rFonts w:ascii="Times New Roman" w:hAnsi="Times New Roman" w:cs="Times New Roman"/>
        </w:rPr>
        <w:t xml:space="preserve"> with a slope of </w:t>
      </w:r>
      <w:r w:rsidR="00870AE9">
        <w:rPr>
          <w:rFonts w:ascii="Times New Roman" w:hAnsi="Times New Roman" w:cs="Times New Roman"/>
        </w:rPr>
        <w:t>34</w:t>
      </w:r>
      <w:r w:rsidR="00AE0D8F">
        <w:rPr>
          <w:rFonts w:ascii="Times New Roman" w:hAnsi="Times New Roman" w:cs="Times New Roman"/>
        </w:rPr>
        <w:t xml:space="preserve"> </w:t>
      </w:r>
      <w:r>
        <w:rPr>
          <w:rFonts w:ascii="Times New Roman" w:hAnsi="Times New Roman" w:cs="Times New Roman"/>
        </w:rPr>
        <w:t>±</w:t>
      </w:r>
      <w:r w:rsidR="00AE0D8F">
        <w:rPr>
          <w:rFonts w:ascii="Times New Roman" w:hAnsi="Times New Roman" w:cs="Times New Roman"/>
        </w:rPr>
        <w:t xml:space="preserve"> </w:t>
      </w:r>
      <w:r>
        <w:rPr>
          <w:rFonts w:ascii="Times New Roman" w:hAnsi="Times New Roman" w:cs="Times New Roman"/>
        </w:rPr>
        <w:t>1.</w:t>
      </w:r>
      <w:r w:rsidR="00870AE9">
        <w:rPr>
          <w:rFonts w:ascii="Times New Roman" w:hAnsi="Times New Roman" w:cs="Times New Roman"/>
        </w:rPr>
        <w:t>85</w:t>
      </w:r>
      <w:r w:rsidR="00AE0D8F">
        <w:rPr>
          <w:rFonts w:ascii="Times New Roman" w:hAnsi="Times New Roman" w:cs="Times New Roman"/>
        </w:rPr>
        <w:t xml:space="preserve"> </w:t>
      </w:r>
      <w:r>
        <w:rPr>
          <w:rFonts w:ascii="Times New Roman" w:hAnsi="Times New Roman" w:cs="Times New Roman"/>
        </w:rPr>
        <w:t>m</w:t>
      </w:r>
      <w:r w:rsidR="00FE2EBC">
        <w:rPr>
          <w:rFonts w:ascii="Times New Roman" w:hAnsi="Times New Roman" w:cs="Times New Roman"/>
        </w:rPr>
        <w:t>V</w:t>
      </w:r>
      <w:r>
        <w:rPr>
          <w:rFonts w:ascii="Times New Roman" w:hAnsi="Times New Roman" w:cs="Times New Roman"/>
        </w:rPr>
        <w:t>/decade</w:t>
      </w:r>
      <w:r w:rsidR="00AE0D8F">
        <w:rPr>
          <w:rFonts w:ascii="Times New Roman" w:hAnsi="Times New Roman" w:cs="Times New Roman"/>
        </w:rPr>
        <w:t xml:space="preserve"> (r</w:t>
      </w:r>
      <w:r w:rsidR="00AE0D8F" w:rsidRPr="00AE0D8F">
        <w:rPr>
          <w:rFonts w:ascii="Times New Roman" w:hAnsi="Times New Roman" w:cs="Times New Roman"/>
          <w:vertAlign w:val="superscript"/>
        </w:rPr>
        <w:t>2</w:t>
      </w:r>
      <w:r w:rsidR="00870AE9">
        <w:rPr>
          <w:rFonts w:ascii="Times New Roman" w:hAnsi="Times New Roman" w:cs="Times New Roman"/>
          <w:vertAlign w:val="superscript"/>
        </w:rPr>
        <w:t xml:space="preserve"> </w:t>
      </w:r>
      <w:r w:rsidR="00870AE9">
        <w:rPr>
          <w:rFonts w:ascii="Times New Roman" w:hAnsi="Times New Roman" w:cs="Times New Roman"/>
        </w:rPr>
        <w:t xml:space="preserve">= </w:t>
      </w:r>
      <w:r w:rsidR="00AE0D8F">
        <w:rPr>
          <w:rFonts w:ascii="Times New Roman" w:hAnsi="Times New Roman" w:cs="Times New Roman"/>
        </w:rPr>
        <w:t>0.9</w:t>
      </w:r>
      <w:r w:rsidR="00870AE9">
        <w:rPr>
          <w:rFonts w:ascii="Times New Roman" w:hAnsi="Times New Roman" w:cs="Times New Roman"/>
        </w:rPr>
        <w:t>66</w:t>
      </w:r>
      <w:r w:rsidR="00AE0D8F">
        <w:rPr>
          <w:rFonts w:ascii="Times New Roman" w:hAnsi="Times New Roman" w:cs="Times New Roman"/>
        </w:rPr>
        <w:t>)</w:t>
      </w:r>
      <w:r>
        <w:rPr>
          <w:rFonts w:ascii="Times New Roman" w:hAnsi="Times New Roman" w:cs="Times New Roman"/>
        </w:rPr>
        <w:t>.</w:t>
      </w:r>
      <w:r w:rsidR="00870AE9">
        <w:rPr>
          <w:rFonts w:ascii="Times New Roman" w:hAnsi="Times New Roman" w:cs="Times New Roman"/>
        </w:rPr>
        <w:t xml:space="preserve"> There was no significant difference in observed K</w:t>
      </w:r>
      <w:r w:rsidR="00870AE9">
        <w:rPr>
          <w:rFonts w:ascii="Times New Roman" w:hAnsi="Times New Roman" w:cs="Times New Roman"/>
        </w:rPr>
        <w:softHyphen/>
      </w:r>
      <w:r w:rsidR="00870AE9" w:rsidRPr="00870AE9">
        <w:rPr>
          <w:rFonts w:ascii="Times New Roman" w:hAnsi="Times New Roman" w:cs="Times New Roman"/>
          <w:vertAlign w:val="subscript"/>
        </w:rPr>
        <w:t>m</w:t>
      </w:r>
      <w:r w:rsidR="00870AE9">
        <w:rPr>
          <w:rFonts w:ascii="Times New Roman" w:hAnsi="Times New Roman" w:cs="Times New Roman"/>
          <w:vertAlign w:val="subscript"/>
        </w:rPr>
        <w:t xml:space="preserve"> </w:t>
      </w:r>
      <w:r w:rsidR="00870AE9">
        <w:rPr>
          <w:rFonts w:ascii="Times New Roman" w:hAnsi="Times New Roman" w:cs="Times New Roman"/>
        </w:rPr>
        <w:t>values between PBS and interstitial fluid runs with the microneedles (</w:t>
      </w:r>
      <w:r w:rsidR="00870AE9" w:rsidRPr="00870AE9">
        <w:rPr>
          <w:rFonts w:ascii="Times New Roman" w:hAnsi="Times New Roman" w:cs="Times New Roman"/>
          <w:i/>
        </w:rPr>
        <w:t>p</w:t>
      </w:r>
      <w:r w:rsidR="00870AE9">
        <w:rPr>
          <w:rFonts w:ascii="Times New Roman" w:hAnsi="Times New Roman" w:cs="Times New Roman"/>
          <w:i/>
        </w:rPr>
        <w:t xml:space="preserve"> </w:t>
      </w:r>
      <w:r w:rsidR="00870AE9" w:rsidRPr="00870AE9">
        <w:rPr>
          <w:rFonts w:ascii="Times New Roman" w:hAnsi="Times New Roman" w:cs="Times New Roman"/>
          <w:i/>
        </w:rPr>
        <w:t>=</w:t>
      </w:r>
      <w:r w:rsidR="00870AE9">
        <w:rPr>
          <w:rFonts w:ascii="Times New Roman" w:hAnsi="Times New Roman" w:cs="Times New Roman"/>
          <w:i/>
        </w:rPr>
        <w:t xml:space="preserve"> </w:t>
      </w:r>
      <w:r w:rsidR="00870AE9" w:rsidRPr="00870AE9">
        <w:rPr>
          <w:rFonts w:ascii="Times New Roman" w:hAnsi="Times New Roman" w:cs="Times New Roman"/>
          <w:i/>
        </w:rPr>
        <w:t>0.77</w:t>
      </w:r>
      <w:r w:rsidR="00870AE9">
        <w:rPr>
          <w:rFonts w:ascii="Times New Roman" w:hAnsi="Times New Roman" w:cs="Times New Roman"/>
        </w:rPr>
        <w:t>; 95%CI: -0.03 - 0.0</w:t>
      </w:r>
      <w:r w:rsidR="00DF5A8C">
        <w:rPr>
          <w:rFonts w:ascii="Times New Roman" w:hAnsi="Times New Roman" w:cs="Times New Roman"/>
        </w:rPr>
        <w:t>2</w:t>
      </w:r>
      <w:r w:rsidR="00870AE9">
        <w:rPr>
          <w:rFonts w:ascii="Times New Roman" w:hAnsi="Times New Roman" w:cs="Times New Roman"/>
        </w:rPr>
        <w:t xml:space="preserve">). </w:t>
      </w:r>
      <w:r w:rsidR="00DF5A8C">
        <w:rPr>
          <w:rFonts w:ascii="Times New Roman" w:hAnsi="Times New Roman" w:cs="Times New Roman"/>
        </w:rPr>
        <w:t>V</w:t>
      </w:r>
      <w:r w:rsidR="00870AE9">
        <w:rPr>
          <w:rFonts w:ascii="Times New Roman" w:hAnsi="Times New Roman" w:cs="Times New Roman"/>
        </w:rPr>
        <w:t>ariation was</w:t>
      </w:r>
      <w:r w:rsidR="00DF5A8C">
        <w:rPr>
          <w:rFonts w:ascii="Times New Roman" w:hAnsi="Times New Roman" w:cs="Times New Roman"/>
        </w:rPr>
        <w:t xml:space="preserve"> also</w:t>
      </w:r>
      <w:r w:rsidR="00870AE9">
        <w:rPr>
          <w:rFonts w:ascii="Times New Roman" w:hAnsi="Times New Roman" w:cs="Times New Roman"/>
        </w:rPr>
        <w:t xml:space="preserve"> minimal</w:t>
      </w:r>
      <w:r w:rsidR="00DF5A8C">
        <w:rPr>
          <w:rFonts w:ascii="Times New Roman" w:hAnsi="Times New Roman" w:cs="Times New Roman"/>
        </w:rPr>
        <w:t xml:space="preserve"> in observed K</w:t>
      </w:r>
      <w:r w:rsidR="00DF5A8C" w:rsidRPr="00DF5A8C">
        <w:rPr>
          <w:rFonts w:ascii="Times New Roman" w:hAnsi="Times New Roman" w:cs="Times New Roman"/>
          <w:vertAlign w:val="subscript"/>
        </w:rPr>
        <w:t>m</w:t>
      </w:r>
      <w:r w:rsidR="00DF5A8C">
        <w:rPr>
          <w:rFonts w:ascii="Times New Roman" w:hAnsi="Times New Roman" w:cs="Times New Roman"/>
        </w:rPr>
        <w:t xml:space="preserve"> values</w:t>
      </w:r>
      <w:r w:rsidR="00870AE9">
        <w:rPr>
          <w:rFonts w:ascii="Times New Roman" w:hAnsi="Times New Roman" w:cs="Times New Roman"/>
        </w:rPr>
        <w:t xml:space="preserve"> between both microneedle arrays </w:t>
      </w:r>
      <w:r w:rsidR="00DF5A8C">
        <w:rPr>
          <w:rFonts w:ascii="Times New Roman" w:hAnsi="Times New Roman" w:cs="Times New Roman"/>
        </w:rPr>
        <w:t>used for the interstitial fluid runs (</w:t>
      </w:r>
      <w:r w:rsidR="00DF5A8C">
        <w:rPr>
          <w:rFonts w:ascii="Times New Roman" w:hAnsi="Times New Roman" w:cs="Times New Roman"/>
          <w:i/>
        </w:rPr>
        <w:t>p=0.94</w:t>
      </w:r>
      <w:r w:rsidR="00DF5A8C">
        <w:rPr>
          <w:rFonts w:ascii="Times New Roman" w:hAnsi="Times New Roman" w:cs="Times New Roman"/>
        </w:rPr>
        <w:t>; 95%CI: -0.08 – 0.08).</w:t>
      </w:r>
      <w:r w:rsidR="00870AE9">
        <w:rPr>
          <w:rFonts w:ascii="Times New Roman" w:hAnsi="Times New Roman" w:cs="Times New Roman"/>
        </w:rPr>
        <w:t xml:space="preserve"> </w:t>
      </w:r>
    </w:p>
    <w:p w:rsidR="00BE51FA" w:rsidRDefault="00DF5A8C" w:rsidP="00CE4898">
      <w:pPr>
        <w:spacing w:line="480" w:lineRule="auto"/>
        <w:jc w:val="both"/>
        <w:rPr>
          <w:rFonts w:ascii="Times New Roman" w:hAnsi="Times New Roman" w:cs="Times New Roman"/>
        </w:rPr>
      </w:pPr>
      <w:r>
        <w:rPr>
          <w:rFonts w:ascii="Times New Roman" w:hAnsi="Times New Roman" w:cs="Times New Roman"/>
        </w:rPr>
        <w:t xml:space="preserve">This observation is important for informing future biosensor designs as it allows estimation of the potential working range of the biosensor. </w:t>
      </w:r>
      <w:r w:rsidR="00BE51FA">
        <w:rPr>
          <w:rFonts w:ascii="Times New Roman" w:hAnsi="Times New Roman" w:cs="Times New Roman"/>
        </w:rPr>
        <w:t>As the concentration increases to [S]</w:t>
      </w:r>
      <w:r w:rsidR="00C10763">
        <w:rPr>
          <w:rFonts w:ascii="Times New Roman" w:hAnsi="Times New Roman" w:cs="Times New Roman"/>
        </w:rPr>
        <w:t xml:space="preserve"> </w:t>
      </w:r>
      <w:r w:rsidR="00BE51FA">
        <w:rPr>
          <w:rFonts w:ascii="Times New Roman" w:hAnsi="Times New Roman" w:cs="Times New Roman"/>
        </w:rPr>
        <w:t>&gt;</w:t>
      </w:r>
      <w:r w:rsidR="00C10763">
        <w:rPr>
          <w:rFonts w:ascii="Times New Roman" w:hAnsi="Times New Roman" w:cs="Times New Roman"/>
        </w:rPr>
        <w:t xml:space="preserve"> </w:t>
      </w:r>
      <w:r w:rsidR="00BE51FA">
        <w:rPr>
          <w:rFonts w:ascii="Times New Roman" w:hAnsi="Times New Roman" w:cs="Times New Roman"/>
        </w:rPr>
        <w:t>K</w:t>
      </w:r>
      <w:r w:rsidR="00BE51FA" w:rsidRPr="00BE51FA">
        <w:rPr>
          <w:rFonts w:ascii="Times New Roman" w:hAnsi="Times New Roman" w:cs="Times New Roman"/>
          <w:vertAlign w:val="subscript"/>
        </w:rPr>
        <w:t>m</w:t>
      </w:r>
      <w:r w:rsidR="00BE51FA">
        <w:rPr>
          <w:rFonts w:ascii="Times New Roman" w:hAnsi="Times New Roman" w:cs="Times New Roman"/>
          <w:vertAlign w:val="subscript"/>
        </w:rPr>
        <w:t xml:space="preserve"> </w:t>
      </w:r>
      <w:r w:rsidR="00BE51FA">
        <w:rPr>
          <w:rFonts w:ascii="Times New Roman" w:hAnsi="Times New Roman" w:cs="Times New Roman"/>
        </w:rPr>
        <w:t xml:space="preserve">the biosensor response begins to move out of the linear range as saturation of the enzyme occurs and the reaction tends towards zero order. </w:t>
      </w:r>
      <w:r>
        <w:rPr>
          <w:rFonts w:ascii="Times New Roman" w:hAnsi="Times New Roman" w:cs="Times New Roman"/>
        </w:rPr>
        <w:t>By determining the</w:t>
      </w:r>
      <w:r w:rsidR="00BE51FA">
        <w:rPr>
          <w:rFonts w:ascii="Times New Roman" w:hAnsi="Times New Roman" w:cs="Times New Roman"/>
        </w:rPr>
        <w:t xml:space="preserve"> K</w:t>
      </w:r>
      <w:r w:rsidR="00BE51FA" w:rsidRPr="00BE51FA">
        <w:rPr>
          <w:rFonts w:ascii="Times New Roman" w:hAnsi="Times New Roman" w:cs="Times New Roman"/>
          <w:vertAlign w:val="subscript"/>
        </w:rPr>
        <w:t>m</w:t>
      </w:r>
      <w:r>
        <w:rPr>
          <w:rFonts w:ascii="Times New Roman" w:hAnsi="Times New Roman" w:cs="Times New Roman"/>
          <w:vertAlign w:val="subscript"/>
        </w:rPr>
        <w:t xml:space="preserve"> </w:t>
      </w:r>
      <w:r w:rsidRPr="00DF5A8C">
        <w:rPr>
          <w:rFonts w:ascii="Times New Roman" w:hAnsi="Times New Roman" w:cs="Times New Roman"/>
        </w:rPr>
        <w:t>value</w:t>
      </w:r>
      <w:r>
        <w:rPr>
          <w:rFonts w:ascii="Times New Roman" w:hAnsi="Times New Roman" w:cs="Times New Roman"/>
        </w:rPr>
        <w:t xml:space="preserve"> of the senor in interstitial fluid, this allows us </w:t>
      </w:r>
      <w:r w:rsidR="00C66623">
        <w:rPr>
          <w:rFonts w:ascii="Times New Roman" w:hAnsi="Times New Roman" w:cs="Times New Roman"/>
        </w:rPr>
        <w:t>to</w:t>
      </w:r>
      <w:r w:rsidR="00BE51FA">
        <w:rPr>
          <w:rFonts w:ascii="Times New Roman" w:hAnsi="Times New Roman" w:cs="Times New Roman"/>
        </w:rPr>
        <w:t xml:space="preserve"> ensure that </w:t>
      </w:r>
      <w:r w:rsidR="00C66623">
        <w:rPr>
          <w:rFonts w:ascii="Times New Roman" w:hAnsi="Times New Roman" w:cs="Times New Roman"/>
        </w:rPr>
        <w:t>this</w:t>
      </w:r>
      <w:r w:rsidR="00BE51FA">
        <w:rPr>
          <w:rFonts w:ascii="Times New Roman" w:hAnsi="Times New Roman" w:cs="Times New Roman"/>
        </w:rPr>
        <w:t xml:space="preserve"> operating window remains within the linear range</w:t>
      </w:r>
      <w:r w:rsidR="00BD1327">
        <w:rPr>
          <w:rFonts w:ascii="Times New Roman" w:hAnsi="Times New Roman" w:cs="Times New Roman"/>
        </w:rPr>
        <w:t xml:space="preserve"> required for use in ISF</w:t>
      </w:r>
      <w:r w:rsidR="00BE51FA">
        <w:rPr>
          <w:rFonts w:ascii="Times New Roman" w:hAnsi="Times New Roman" w:cs="Times New Roman"/>
        </w:rPr>
        <w:t xml:space="preserve"> (i.e. when [S]</w:t>
      </w:r>
      <w:r w:rsidR="00C10763">
        <w:rPr>
          <w:rFonts w:ascii="Times New Roman" w:hAnsi="Times New Roman" w:cs="Times New Roman"/>
        </w:rPr>
        <w:t xml:space="preserve"> </w:t>
      </w:r>
      <w:r w:rsidR="00BE51FA">
        <w:rPr>
          <w:rFonts w:ascii="Times New Roman" w:hAnsi="Times New Roman" w:cs="Times New Roman"/>
        </w:rPr>
        <w:t>&lt;</w:t>
      </w:r>
      <w:r w:rsidR="00C10763">
        <w:rPr>
          <w:rFonts w:ascii="Times New Roman" w:hAnsi="Times New Roman" w:cs="Times New Roman"/>
        </w:rPr>
        <w:t xml:space="preserve"> </w:t>
      </w:r>
      <w:r w:rsidR="00BE51FA">
        <w:rPr>
          <w:rFonts w:ascii="Times New Roman" w:hAnsi="Times New Roman" w:cs="Times New Roman"/>
        </w:rPr>
        <w:t>K</w:t>
      </w:r>
      <w:r w:rsidR="00BE51FA" w:rsidRPr="00BE51FA">
        <w:rPr>
          <w:rFonts w:ascii="Times New Roman" w:hAnsi="Times New Roman" w:cs="Times New Roman"/>
          <w:vertAlign w:val="subscript"/>
        </w:rPr>
        <w:t>m</w:t>
      </w:r>
      <w:r w:rsidR="00BE51FA">
        <w:rPr>
          <w:rFonts w:ascii="Times New Roman" w:hAnsi="Times New Roman" w:cs="Times New Roman"/>
        </w:rPr>
        <w:t xml:space="preserve">) </w:t>
      </w:r>
      <w:r w:rsidR="00BE51FA">
        <w:rPr>
          <w:rFonts w:ascii="Times New Roman" w:hAnsi="Times New Roman" w:cs="Times New Roman"/>
        </w:rPr>
        <w:fldChar w:fldCharType="begin" w:fldLock="1"/>
      </w:r>
      <w:r w:rsidR="001674FB">
        <w:rPr>
          <w:rFonts w:ascii="Times New Roman" w:hAnsi="Times New Roman" w:cs="Times New Roman"/>
        </w:rPr>
        <w:instrText>ADDIN CSL_CITATION { "citationItems" : [ { "id" : "ITEM-1", "itemData" : { "DOI" : "10.1002/9780470753842.ch8", "author" : [ { "dropping-particle" : "", "family" : "Bartlett", "given" : "P. N.", "non-dropping-particle" : "", "parse-names" : false, "suffix" : "" }, { "dropping-particle" : "", "family" : "Toh", "given" : "C. S.", "non-dropping-particle" : "", "parse-names" : false, "suffix" : "" }, { "dropping-particle" : "", "family" : "Calvo", "given" : "E. J.", "non-dropping-particle" : "", "parse-names" : false, "suffix" : "" }, { "dropping-particle" : "", "family" : "Flexer", "given" : "V.", "non-dropping-particle" : "", "parse-names" : false, "suffix" : "" } ], "container-title" : "Bioelectrochemistry", "id" : "ITEM-1", "issued" : { "date-parts" : [ [ "0" ] ] }, "page" : "267-325", "publisher" : "John Wiley &amp; Sons, Ltd", "publisher-place" : "Chichester, UK", "title" : "Modelling Biosensor Responses", "type" : "chapter" }, "uris" : [ "http://www.mendeley.com/documents/?uuid=3bd82837-da4c-4c49-839f-a2b10a22b013" ] } ], "mendeley" : { "formattedCitation" : "[54]", "plainTextFormattedCitation" : "[54]", "previouslyFormattedCitation" : "[54]" }, "properties" : { "noteIndex" : 0 }, "schema" : "https://github.com/citation-style-language/schema/raw/master/csl-citation.json" }</w:instrText>
      </w:r>
      <w:r w:rsidR="00BE51FA">
        <w:rPr>
          <w:rFonts w:ascii="Times New Roman" w:hAnsi="Times New Roman" w:cs="Times New Roman"/>
        </w:rPr>
        <w:fldChar w:fldCharType="separate"/>
      </w:r>
      <w:r w:rsidR="001674FB" w:rsidRPr="001674FB">
        <w:rPr>
          <w:rFonts w:ascii="Times New Roman" w:hAnsi="Times New Roman" w:cs="Times New Roman"/>
          <w:noProof/>
        </w:rPr>
        <w:t>[54]</w:t>
      </w:r>
      <w:r w:rsidR="00BE51FA">
        <w:rPr>
          <w:rFonts w:ascii="Times New Roman" w:hAnsi="Times New Roman" w:cs="Times New Roman"/>
        </w:rPr>
        <w:fldChar w:fldCharType="end"/>
      </w:r>
      <w:r w:rsidR="00BE51FA">
        <w:rPr>
          <w:rFonts w:ascii="Times New Roman" w:hAnsi="Times New Roman" w:cs="Times New Roman"/>
        </w:rPr>
        <w:t>.</w:t>
      </w:r>
      <w:r w:rsidR="00434011">
        <w:rPr>
          <w:rFonts w:ascii="Times New Roman" w:hAnsi="Times New Roman" w:cs="Times New Roman"/>
        </w:rPr>
        <w:t xml:space="preserve"> Given the likely concentration of free drug in the interstitial fluid is likely to be below 100</w:t>
      </w:r>
      <w:r w:rsidR="00143226">
        <w:rPr>
          <w:rFonts w:ascii="Times New Roman" w:hAnsi="Times New Roman" w:cs="Times New Roman"/>
        </w:rPr>
        <w:t xml:space="preserve"> to 1000</w:t>
      </w:r>
      <w:r w:rsidR="00434011">
        <w:rPr>
          <w:rFonts w:ascii="Times New Roman" w:hAnsi="Times New Roman" w:cs="Times New Roman"/>
        </w:rPr>
        <w:t xml:space="preserve"> µM </w:t>
      </w:r>
      <w:r w:rsidR="00434011">
        <w:rPr>
          <w:rFonts w:ascii="Times New Roman" w:hAnsi="Times New Roman" w:cs="Times New Roman"/>
        </w:rPr>
        <w:fldChar w:fldCharType="begin" w:fldLock="1"/>
      </w:r>
      <w:r w:rsidR="001674FB">
        <w:rPr>
          <w:rFonts w:ascii="Times New Roman" w:hAnsi="Times New Roman" w:cs="Times New Roman"/>
        </w:rPr>
        <w:instrText>ADDIN CSL_CITATION { "citationItems" : [ { "id" : "ITEM-1", "itemData" : { "DOI" : "10.1093/jac/dku564", "ISBN" : "0305-7453", "ISSN" : "14602091", "PMID" : "2015071795", "abstract" : "Objectives: The objective of this study was to describe the population pharmacokinetics of cefazolin in plasma and the interstitial fluid of subcutaneous tissue of post-trauma critically ill patients and provide clinically relevant dosing recommendations that result in optimal concentrations at the target site. Patients and methods: This was a pharmacokinetic study in a tertiary referral ICU.We recruited 30 post-trauma critically ill adult patients and collected serial total and unbound plasma cefazolin concentrations. Interstitial fluid concentrations were determined using in vivo microdialysis. Population pharmacokinetic analysis and Monte Carlo simulations were undertaken with Pmetrics&lt;sup&gt;&lt;/sup&gt;. Fractional target attainment against an MIC distribution for Staphylococcus aureus isolates was calculated. Results: The mean (SD) age, weight, APACHE II score and CL&lt;inf&gt;CR&lt;/inf&gt; were 37.0 (14.1) years, 86.8 (22.7) kg, 16.9 (5.3) and 163 (44) mL/min, respectively. A three-compartment linear population pharmacokinetic model was most appropriate. Covariates included in the model were CL&lt;inf&gt;CR&lt;/inf&gt; on drug clearance and serum albumin concentration and body weight on the volume of the central compartment. The fractional target attainment for a 1 g intravenous 8-hourly dose for a CL&lt;inf&gt;CR&lt;/inf&gt; of 50 mL/min was 88%, whereas for a patient with a CL&lt;inf&gt;CR&lt;/inf&gt; of 215 mL/min, a dose of 2 g 6-hourly achieved 84% fractional target attainment. Conclusions: Clinicians should be mindful of the effects of elevated CL&lt;inf&gt;CR&lt;/inf&gt; and serum albumin concentrations on dosing requirements for post-trauma critically ill patients.", "author" : [ { "dropping-particle" : "", "family" : "Roberts", "given" : "Jason a.", "non-dropping-particle" : "", "parse-names" : false, "suffix" : "" }, { "dropping-particle" : "", "family" : "Udy", "given" : "Andrew a.", "non-dropping-particle" : "", "parse-names" : false, "suffix" : "" }, { "dropping-particle" : "", "family" : "Jarrett", "given" : "Paul", "non-dropping-particle" : "", "parse-names" : false, "suffix" : "" }, { "dropping-particle" : "", "family" : "Wallis", "given" : "Steven C.", "non-dropping-particle" : "", "parse-names" : false, "suffix" : "" }, { "dropping-particle" : "", "family" : "Hope", "given" : "William W.", "non-dropping-particle" : "", "parse-names" : false, "suffix" : "" }, { "dropping-particle" : "", "family" : "Sharma", "given" : "Raman", "non-dropping-particle" : "", "parse-names" : false, "suffix" : "" }, { "dropping-particle" : "", "family" : "Kirkpatrick", "given" : "Carl M J", "non-dropping-particle" : "", "parse-names" : false, "suffix" : "" }, { "dropping-particle" : "", "family" : "Kruger", "given" : "Peter S.", "non-dropping-particle" : "", "parse-names" : false, "suffix" : "" }, { "dropping-particle" : "", "family" : "Roberts", "given" : "Michael S.", "non-dropping-particle" : "", "parse-names" : false, "suffix" : "" }, { "dropping-particle" : "", "family" : "Lipman", "given" : "Jeffrey", "non-dropping-particle" : "", "parse-names" : false, "suffix" : "" } ], "container-title" : "Journal of Antimicrobial Chemotherapy", "id" : "ITEM-1", "issue" : "5", "issued" : { "date-parts" : [ [ "2014" ] ] }, "page" : "1495-1502", "title" : "Plasma and target-site subcutaneous tissue population pharmacokinetics and dosing simulations of cefazolin in post-trauma critically ill patients", "type" : "article-journal", "volume" : "70" }, "uris" : [ "http://www.mendeley.com/documents/?uuid=6f484b90-0d1f-4443-b82a-bbdb7f0a3fe8" ] }, { "id" : "ITEM-2", "itemData" : { "DOI" : "10.1097/CCM.0b013e3181968e44", "ISBN" : "1530-0293", "ISSN" : "0090-3493", "PMID" : "19237898", "abstract" : "OBJECTIVE: To describe a pharmacokinetic model of piperacillin concentrations in plasma and subcutaneous tissue when administered by bolus dosing and continuous infusion in critically ill patients with sepsis on days 1 and 2 of antibiotic therapy and to compare results against previous results for piperacillin from a cohort of patients with septic shock. DESIGN: Prospective randomized controlled trial. SETTING: Eighteen-bed intensive care unit at 918-bed tertiary referral hospital. PATIENTS: Thirteen critically ill adult patients with known or suspected sepsis in whom the treating physician deemed piperacillin-tazobactam appropriate therapy were conveniently sampled. INTERVENTIONS: Patients were randomized to receive different daily doses of piperacillin-tazobactam by bolus dosing or continuous infusion (continuous infusion--six patients; bolus dosing--seven patients). Serial plasma and tissue concentrations were determined on days 1 and 2 of treatment. Tissue concentrations of piperacillin were determined using a subcutaneously inserted microdialysis catheter. Separate pharmacokinetic models were developed for both bolus and continuous dosing. MEASUREMENTS AND MAIN RESULTS: This is the first known article to report concurrent plasma and subcutaneous tissue concentrations of a beta-lactam antibiotic administered by bolus and continuous dosing in critically ill patients with sepsis. With a 25% lower piperacillin dose administered to the continuous infusion group, the infusion group had statistically significantly higher median plasma concentrations than the bolus group on day 2 (16.6 vs. 4.9 mg/L; p = 0.007). There was a trend to higher median plasma concentrations on day 1 in the bolus dosing group (8.9 vs. 4.9 mg/L; p = 0.078). Median tissue concentrations were not statistically different on day 1 (infusion group 2.4 mg/L vs. bolus group 2.2 mg/L; p = 0.48) and day 2 (infusion group 5.2 mg/L vs. bolus group 0.8 mg/L; p = 0.45). A two-compartment pharmacokinetic model was found to describe the data best. Tissue pharmacodynamic targets were achieved more successfully with infusion dosing. CONCLUSIONS: Patients with sepsis do not seem to have the same level of impairment of tissue distribution as described for patients with septic shock. A 25% lower dose of piperacillin administered by continuous infusion seems to maintain higher trough concentrations compared with standard bolus dosing. It is likely that the clinical advantages of continuous infusion are\u2026", "author" : [ { "dropping-particle" : "", "family" : "Roberts", "given" : "Jason a", "non-dropping-particle" : "", "parse-names" : false, "suffix" : "" }, { "dropping-particle" : "", "family" : "Roberts", "given" : "Michael S", "non-dropping-particle" : "", "parse-names" : false, "suffix" : "" }, { "dropping-particle" : "", "family" : "Robertson", "given" : "Thomas a", "non-dropping-particle" : "", "parse-names" : false, "suffix" : "" }, { "dropping-particle" : "", "family" : "Dalley", "given" : "Andrew J", "non-dropping-particle" : "", "parse-names" : false, "suffix" : "" }, { "dropping-particle" : "", "family" : "Lipman", "given" : "Jeffrey", "non-dropping-particle" : "", "parse-names" : false, "suffix" : "" } ], "container-title" : "Critical care medicine", "id" : "ITEM-2", "issue" : "3", "issued" : { "date-parts" : [ [ "2009" ] ] }, "page" : "926-933", "title" : "Piperacillin penetration into tissue of critically ill patients with sepsis--bolus versus continuous administration?", "type" : "article-journal", "volume" : "37" }, "uris" : [ "http://www.mendeley.com/documents/?uuid=17f0d44c-59c5-43bd-bb0a-a20be120d378" ] } ], "mendeley" : { "formattedCitation" : "[44,45]", "plainTextFormattedCitation" : "[44,45]", "previouslyFormattedCitation" : "[44,45]" }, "properties" : { "noteIndex" : 0 }, "schema" : "https://github.com/citation-style-language/schema/raw/master/csl-citation.json" }</w:instrText>
      </w:r>
      <w:r w:rsidR="00434011">
        <w:rPr>
          <w:rFonts w:ascii="Times New Roman" w:hAnsi="Times New Roman" w:cs="Times New Roman"/>
        </w:rPr>
        <w:fldChar w:fldCharType="separate"/>
      </w:r>
      <w:r w:rsidR="001674FB" w:rsidRPr="001674FB">
        <w:rPr>
          <w:rFonts w:ascii="Times New Roman" w:hAnsi="Times New Roman" w:cs="Times New Roman"/>
          <w:noProof/>
        </w:rPr>
        <w:t>[44,45]</w:t>
      </w:r>
      <w:r w:rsidR="00434011">
        <w:rPr>
          <w:rFonts w:ascii="Times New Roman" w:hAnsi="Times New Roman" w:cs="Times New Roman"/>
        </w:rPr>
        <w:fldChar w:fldCharType="end"/>
      </w:r>
      <w:r w:rsidR="00434011">
        <w:rPr>
          <w:rFonts w:ascii="Times New Roman" w:hAnsi="Times New Roman" w:cs="Times New Roman"/>
        </w:rPr>
        <w:t xml:space="preserve"> this suggests that the microneedle biosensors working range will be within an appropriate operating window. </w:t>
      </w:r>
    </w:p>
    <w:p w:rsidR="008279DF" w:rsidRDefault="008279DF" w:rsidP="008279DF">
      <w:pPr>
        <w:spacing w:line="480" w:lineRule="auto"/>
        <w:jc w:val="both"/>
        <w:rPr>
          <w:rFonts w:ascii="Times New Roman" w:hAnsi="Times New Roman" w:cs="Times New Roman"/>
          <w:i/>
        </w:rPr>
      </w:pPr>
      <w:r>
        <w:rPr>
          <w:rFonts w:ascii="Times New Roman" w:hAnsi="Times New Roman" w:cs="Times New Roman"/>
          <w:i/>
        </w:rPr>
        <w:t>3.4</w:t>
      </w:r>
      <w:r w:rsidRPr="00413DB0">
        <w:rPr>
          <w:rFonts w:ascii="Times New Roman" w:hAnsi="Times New Roman" w:cs="Times New Roman"/>
          <w:i/>
        </w:rPr>
        <w:t xml:space="preserve"> Limitations &amp; future work</w:t>
      </w:r>
    </w:p>
    <w:p w:rsidR="008279DF" w:rsidRPr="00413DB0" w:rsidRDefault="008279DF" w:rsidP="008279DF">
      <w:pPr>
        <w:spacing w:line="480" w:lineRule="auto"/>
        <w:jc w:val="both"/>
        <w:rPr>
          <w:rFonts w:ascii="Times New Roman" w:hAnsi="Times New Roman" w:cs="Times New Roman"/>
          <w:i/>
        </w:rPr>
      </w:pPr>
      <w:r>
        <w:rPr>
          <w:rFonts w:ascii="Times New Roman" w:hAnsi="Times New Roman" w:cs="Times New Roman"/>
        </w:rPr>
        <w:t xml:space="preserve">There </w:t>
      </w:r>
      <w:proofErr w:type="gramStart"/>
      <w:r>
        <w:rPr>
          <w:rFonts w:ascii="Times New Roman" w:hAnsi="Times New Roman" w:cs="Times New Roman"/>
        </w:rPr>
        <w:t>were</w:t>
      </w:r>
      <w:proofErr w:type="gramEnd"/>
      <w:r>
        <w:rPr>
          <w:rFonts w:ascii="Times New Roman" w:hAnsi="Times New Roman" w:cs="Times New Roman"/>
        </w:rPr>
        <w:t xml:space="preserve"> several limitation within this study. We have not investigated the ability of the sensor to monitor dynamic concentration changes. This will be investigated through the development of a dynamic system to simulate the observed human pharmacokinetic variations in ISF. Furthermore, the role of enzyme inhibitors, such as </w:t>
      </w:r>
      <w:proofErr w:type="spellStart"/>
      <w:r>
        <w:rPr>
          <w:rFonts w:ascii="Times New Roman" w:hAnsi="Times New Roman" w:cs="Times New Roman"/>
        </w:rPr>
        <w:t>clavulinic</w:t>
      </w:r>
      <w:proofErr w:type="spellEnd"/>
      <w:r>
        <w:rPr>
          <w:rFonts w:ascii="Times New Roman" w:hAnsi="Times New Roman" w:cs="Times New Roman"/>
        </w:rPr>
        <w:t xml:space="preserve"> acid or </w:t>
      </w:r>
      <w:proofErr w:type="spellStart"/>
      <w:r>
        <w:rPr>
          <w:rFonts w:ascii="Times New Roman" w:hAnsi="Times New Roman" w:cs="Times New Roman"/>
        </w:rPr>
        <w:t>tazobactam</w:t>
      </w:r>
      <w:proofErr w:type="spellEnd"/>
      <w:r w:rsidR="00A160F2">
        <w:rPr>
          <w:rFonts w:ascii="Times New Roman" w:hAnsi="Times New Roman" w:cs="Times New Roman"/>
        </w:rPr>
        <w:t>, which</w:t>
      </w:r>
      <w:r>
        <w:rPr>
          <w:rFonts w:ascii="Times New Roman" w:hAnsi="Times New Roman" w:cs="Times New Roman"/>
        </w:rPr>
        <w:t xml:space="preserve"> are often combined with </w:t>
      </w:r>
      <w:r>
        <w:rPr>
          <w:rFonts w:ascii="Times New Roman" w:hAnsi="Times New Roman" w:cs="Times New Roman"/>
        </w:rPr>
        <w:lastRenderedPageBreak/>
        <w:t>penicillin antibiotics</w:t>
      </w:r>
      <w:r w:rsidR="00A160F2">
        <w:rPr>
          <w:rFonts w:ascii="Times New Roman" w:hAnsi="Times New Roman" w:cs="Times New Roman"/>
        </w:rPr>
        <w:t>, on the enzyme reaction rate w</w:t>
      </w:r>
      <w:r>
        <w:rPr>
          <w:rFonts w:ascii="Times New Roman" w:hAnsi="Times New Roman" w:cs="Times New Roman"/>
        </w:rPr>
        <w:t xml:space="preserve">ere not explored. This will form of future research that will inform refinement of the sensor device before testing on human patients receiving beta-lactam antibiotics. </w:t>
      </w:r>
    </w:p>
    <w:p w:rsidR="00AE0D8F" w:rsidRPr="00BE51FA" w:rsidRDefault="00AE0D8F" w:rsidP="00CE4898">
      <w:pPr>
        <w:spacing w:line="480" w:lineRule="auto"/>
        <w:jc w:val="both"/>
        <w:rPr>
          <w:rFonts w:ascii="Times New Roman" w:hAnsi="Times New Roman" w:cs="Times New Roman"/>
        </w:rPr>
        <w:sectPr w:rsidR="00AE0D8F" w:rsidRPr="00BE51FA">
          <w:pgSz w:w="11906" w:h="16838"/>
          <w:pgMar w:top="1440" w:right="1440" w:bottom="1440" w:left="1440" w:header="708" w:footer="708" w:gutter="0"/>
          <w:cols w:space="708"/>
          <w:docGrid w:linePitch="360"/>
        </w:sectPr>
      </w:pPr>
    </w:p>
    <w:p w:rsidR="000F2EB0" w:rsidRDefault="000F5B6C" w:rsidP="00CE4898">
      <w:pPr>
        <w:spacing w:line="480" w:lineRule="auto"/>
        <w:jc w:val="both"/>
        <w:rPr>
          <w:rFonts w:ascii="Times New Roman" w:hAnsi="Times New Roman" w:cs="Times New Roman"/>
          <w:b/>
        </w:rPr>
      </w:pPr>
      <w:r w:rsidRPr="00A3156C">
        <w:rPr>
          <w:rFonts w:ascii="Times New Roman" w:hAnsi="Times New Roman" w:cs="Times New Roman"/>
          <w:b/>
        </w:rPr>
        <w:lastRenderedPageBreak/>
        <w:t xml:space="preserve">4.0 </w:t>
      </w:r>
      <w:r w:rsidR="00865750">
        <w:rPr>
          <w:rFonts w:ascii="Times New Roman" w:hAnsi="Times New Roman" w:cs="Times New Roman"/>
          <w:b/>
        </w:rPr>
        <w:t>Conclusion</w:t>
      </w:r>
      <w:r w:rsidR="00FF05DD">
        <w:rPr>
          <w:rFonts w:ascii="Times New Roman" w:hAnsi="Times New Roman" w:cs="Times New Roman"/>
          <w:b/>
        </w:rPr>
        <w:t xml:space="preserve"> </w:t>
      </w:r>
    </w:p>
    <w:p w:rsidR="000F5B6C" w:rsidRPr="00A3156C" w:rsidRDefault="00FF05DD" w:rsidP="00CE4898">
      <w:pPr>
        <w:spacing w:line="480" w:lineRule="auto"/>
        <w:jc w:val="both"/>
        <w:rPr>
          <w:rFonts w:ascii="Times New Roman" w:hAnsi="Times New Roman" w:cs="Times New Roman"/>
        </w:rPr>
      </w:pPr>
      <w:r>
        <w:rPr>
          <w:rFonts w:ascii="Times New Roman" w:hAnsi="Times New Roman" w:cs="Times New Roman"/>
        </w:rPr>
        <w:t>The hydrolysis reaction that</w:t>
      </w:r>
      <w:r w:rsidR="00CE72B9">
        <w:rPr>
          <w:rFonts w:ascii="Times New Roman" w:hAnsi="Times New Roman" w:cs="Times New Roman"/>
        </w:rPr>
        <w:t xml:space="preserve"> occurs when beta-lactamase acts upon penicillin provides a mechanism for sensing through the application of pH sensitive sensors, as demonstrated with AEROFs in this study. We have demonstrated that the sensitivity of the sensor and level of detection is within the range expected in human patients ISF at steady state. To our knowledge this is the first report of such a sensor being developed on a microneedle array, which may provide a mechanism of direct sampling from the ISF. </w:t>
      </w:r>
      <w:r w:rsidR="00DA42B8" w:rsidRPr="00A3156C">
        <w:rPr>
          <w:rFonts w:ascii="Times New Roman" w:hAnsi="Times New Roman" w:cs="Times New Roman"/>
        </w:rPr>
        <w:t>This has the added benefit that it facilitate</w:t>
      </w:r>
      <w:r w:rsidR="008279DF">
        <w:rPr>
          <w:rFonts w:ascii="Times New Roman" w:hAnsi="Times New Roman" w:cs="Times New Roman"/>
        </w:rPr>
        <w:t>s</w:t>
      </w:r>
      <w:r w:rsidR="00DA42B8" w:rsidRPr="00A3156C">
        <w:rPr>
          <w:rFonts w:ascii="Times New Roman" w:hAnsi="Times New Roman" w:cs="Times New Roman"/>
        </w:rPr>
        <w:t xml:space="preserve"> direct interstitial fluid sensing in a minimally invasive fashion, whilst not relying on </w:t>
      </w:r>
      <w:proofErr w:type="spellStart"/>
      <w:r w:rsidR="00DA42B8" w:rsidRPr="00A3156C">
        <w:rPr>
          <w:rFonts w:ascii="Times New Roman" w:hAnsi="Times New Roman" w:cs="Times New Roman"/>
        </w:rPr>
        <w:t>microdialysis</w:t>
      </w:r>
      <w:proofErr w:type="spellEnd"/>
      <w:r w:rsidR="00DA42B8" w:rsidRPr="00A3156C">
        <w:rPr>
          <w:rFonts w:ascii="Times New Roman" w:hAnsi="Times New Roman" w:cs="Times New Roman"/>
        </w:rPr>
        <w:t xml:space="preserve">. </w:t>
      </w:r>
      <w:r w:rsidR="00CE72B9">
        <w:rPr>
          <w:rFonts w:ascii="Times New Roman" w:hAnsi="Times New Roman" w:cs="Times New Roman"/>
        </w:rPr>
        <w:t>If successful, this sensor may lead to development of closed-loop control systems, based on continuous monitoring of beta-lactam concentrations.</w:t>
      </w:r>
      <w:r w:rsidR="00DA42B8" w:rsidRPr="00A3156C">
        <w:rPr>
          <w:rFonts w:ascii="Times New Roman" w:hAnsi="Times New Roman" w:cs="Times New Roman"/>
        </w:rPr>
        <w:t xml:space="preserve"> </w:t>
      </w:r>
    </w:p>
    <w:p w:rsidR="0092482C" w:rsidRDefault="0092482C" w:rsidP="00CE4898">
      <w:pPr>
        <w:spacing w:line="480" w:lineRule="auto"/>
        <w:jc w:val="both"/>
        <w:rPr>
          <w:rFonts w:ascii="Times New Roman" w:hAnsi="Times New Roman" w:cs="Times New Roman"/>
          <w:b/>
          <w:sz w:val="20"/>
          <w:szCs w:val="20"/>
        </w:rPr>
        <w:sectPr w:rsidR="0092482C">
          <w:pgSz w:w="11906" w:h="16838"/>
          <w:pgMar w:top="1440" w:right="1440" w:bottom="1440" w:left="1440" w:header="708" w:footer="708" w:gutter="0"/>
          <w:cols w:space="708"/>
          <w:docGrid w:linePitch="360"/>
        </w:sectPr>
      </w:pPr>
    </w:p>
    <w:p w:rsidR="0092482C" w:rsidRDefault="0092482C" w:rsidP="00CE4898">
      <w:pPr>
        <w:spacing w:line="480" w:lineRule="auto"/>
        <w:jc w:val="both"/>
        <w:rPr>
          <w:rFonts w:ascii="Times New Roman" w:hAnsi="Times New Roman" w:cs="Times New Roman"/>
          <w:b/>
          <w:sz w:val="20"/>
          <w:szCs w:val="20"/>
        </w:rPr>
      </w:pPr>
      <w:r>
        <w:rPr>
          <w:rFonts w:ascii="Times New Roman" w:hAnsi="Times New Roman" w:cs="Times New Roman"/>
          <w:b/>
          <w:sz w:val="20"/>
          <w:szCs w:val="20"/>
        </w:rPr>
        <w:lastRenderedPageBreak/>
        <w:t>References</w:t>
      </w:r>
    </w:p>
    <w:p w:rsidR="001674FB" w:rsidRPr="001674FB" w:rsidRDefault="0092482C">
      <w:pPr>
        <w:pStyle w:val="NormalWeb"/>
        <w:ind w:left="640" w:hanging="640"/>
        <w:divId w:val="1768571999"/>
        <w:rPr>
          <w:noProof/>
          <w:sz w:val="20"/>
        </w:rPr>
      </w:pPr>
      <w:r>
        <w:rPr>
          <w:b/>
          <w:sz w:val="20"/>
          <w:szCs w:val="20"/>
        </w:rPr>
        <w:fldChar w:fldCharType="begin" w:fldLock="1"/>
      </w:r>
      <w:r>
        <w:rPr>
          <w:b/>
          <w:sz w:val="20"/>
          <w:szCs w:val="20"/>
        </w:rPr>
        <w:instrText xml:space="preserve">ADDIN Mendeley Bibliography CSL_BIBLIOGRAPHY </w:instrText>
      </w:r>
      <w:r>
        <w:rPr>
          <w:b/>
          <w:sz w:val="20"/>
          <w:szCs w:val="20"/>
        </w:rPr>
        <w:fldChar w:fldCharType="separate"/>
      </w:r>
      <w:r w:rsidR="001674FB" w:rsidRPr="001674FB">
        <w:rPr>
          <w:noProof/>
          <w:sz w:val="20"/>
        </w:rPr>
        <w:t>[1]</w:t>
      </w:r>
      <w:r w:rsidR="001674FB" w:rsidRPr="001674FB">
        <w:rPr>
          <w:noProof/>
          <w:sz w:val="20"/>
        </w:rPr>
        <w:tab/>
        <w:t>K.-F. Kong, L. Schneper, K. Mathee, Beta-lactam Antibiotics: From Antibiosis to Resistance and Bacteriology, APMIS. 118 (2010) 1–36. doi:10.1111/j.1600-0463.2009.02563.x.Beta-lactam.</w:t>
      </w:r>
    </w:p>
    <w:p w:rsidR="001674FB" w:rsidRPr="001674FB" w:rsidRDefault="001674FB">
      <w:pPr>
        <w:pStyle w:val="NormalWeb"/>
        <w:ind w:left="640" w:hanging="640"/>
        <w:divId w:val="1768571999"/>
        <w:rPr>
          <w:noProof/>
          <w:sz w:val="20"/>
        </w:rPr>
      </w:pPr>
      <w:r w:rsidRPr="001674FB">
        <w:rPr>
          <w:noProof/>
          <w:sz w:val="20"/>
        </w:rPr>
        <w:t>[2]</w:t>
      </w:r>
      <w:r w:rsidRPr="001674FB">
        <w:rPr>
          <w:noProof/>
          <w:sz w:val="20"/>
        </w:rPr>
        <w:tab/>
        <w:t>F.B. Sime, M.S. Roberts, S.L. Peake, J. Lipman, J.</w:t>
      </w:r>
      <w:r w:rsidR="00B77819">
        <w:rPr>
          <w:noProof/>
          <w:sz w:val="20"/>
        </w:rPr>
        <w:t>A.</w:t>
      </w:r>
      <w:r w:rsidRPr="001674FB">
        <w:rPr>
          <w:noProof/>
          <w:sz w:val="20"/>
        </w:rPr>
        <w:t>Roberts, Does beta-lactam pharmacokinetic variability in critically III patients justify therapeutic drug monitoring? A systematic review, Ann. Intensive Care. 2 (2012) 35. doi:http://dx.doi.org/10.1186/2110-5820-2-35.</w:t>
      </w:r>
    </w:p>
    <w:p w:rsidR="001674FB" w:rsidRPr="001674FB" w:rsidRDefault="00B77819">
      <w:pPr>
        <w:pStyle w:val="NormalWeb"/>
        <w:ind w:left="640" w:hanging="640"/>
        <w:divId w:val="1768571999"/>
        <w:rPr>
          <w:noProof/>
          <w:sz w:val="20"/>
        </w:rPr>
      </w:pPr>
      <w:r>
        <w:rPr>
          <w:noProof/>
          <w:sz w:val="20"/>
        </w:rPr>
        <w:t>[3]</w:t>
      </w:r>
      <w:r>
        <w:rPr>
          <w:noProof/>
          <w:sz w:val="20"/>
        </w:rPr>
        <w:tab/>
        <w:t>J. O ’N</w:t>
      </w:r>
      <w:r w:rsidR="001674FB" w:rsidRPr="001674FB">
        <w:rPr>
          <w:noProof/>
          <w:sz w:val="20"/>
        </w:rPr>
        <w:t>eill, Tackling Drug-Resistant Infections Globally: an Overview of Our Work the Review on Antimicrobial Resistance, (2016).</w:t>
      </w:r>
      <w:r w:rsidRPr="00B77819">
        <w:rPr>
          <w:noProof/>
          <w:sz w:val="20"/>
        </w:rPr>
        <w:t xml:space="preserve"> </w:t>
      </w:r>
      <w:r w:rsidRPr="004C38D8">
        <w:rPr>
          <w:noProof/>
          <w:sz w:val="20"/>
        </w:rPr>
        <w:t>https://amr-review.org/</w:t>
      </w:r>
    </w:p>
    <w:p w:rsidR="001674FB" w:rsidRPr="001674FB" w:rsidRDefault="001674FB">
      <w:pPr>
        <w:pStyle w:val="NormalWeb"/>
        <w:ind w:left="640" w:hanging="640"/>
        <w:divId w:val="1768571999"/>
        <w:rPr>
          <w:noProof/>
          <w:sz w:val="20"/>
        </w:rPr>
      </w:pPr>
      <w:r w:rsidRPr="001674FB">
        <w:rPr>
          <w:noProof/>
          <w:sz w:val="20"/>
        </w:rPr>
        <w:t>[4]</w:t>
      </w:r>
      <w:r w:rsidRPr="001674FB">
        <w:rPr>
          <w:noProof/>
          <w:sz w:val="20"/>
        </w:rPr>
        <w:tab/>
        <w:t xml:space="preserve">A.H. Holmes, L.S.P. Moore, A. Sundsfjord, M. Steinbakk, S. Regmi, A. Karkey, P.J. Guerin, L.J. V Piddock, Understanding the mechanisms and drivers of antimicrobial resistance, Lancet. </w:t>
      </w:r>
      <w:r w:rsidR="00B77819">
        <w:rPr>
          <w:noProof/>
          <w:sz w:val="20"/>
        </w:rPr>
        <w:t>387 (2016) 176-187</w:t>
      </w:r>
      <w:r w:rsidR="00B77819" w:rsidRPr="00434011">
        <w:rPr>
          <w:noProof/>
          <w:sz w:val="20"/>
        </w:rPr>
        <w:t xml:space="preserve"> doi:10.1016/S0140-6736(15)00473-0.</w:t>
      </w:r>
    </w:p>
    <w:p w:rsidR="001674FB" w:rsidRPr="001674FB" w:rsidRDefault="00B77819">
      <w:pPr>
        <w:pStyle w:val="NormalWeb"/>
        <w:ind w:left="640" w:hanging="640"/>
        <w:divId w:val="1768571999"/>
        <w:rPr>
          <w:noProof/>
          <w:sz w:val="20"/>
        </w:rPr>
      </w:pPr>
      <w:r>
        <w:rPr>
          <w:noProof/>
          <w:sz w:val="20"/>
        </w:rPr>
        <w:t>[5]</w:t>
      </w:r>
      <w:r>
        <w:rPr>
          <w:noProof/>
          <w:sz w:val="20"/>
        </w:rPr>
        <w:tab/>
        <w:t>J.A</w:t>
      </w:r>
      <w:r w:rsidR="001674FB" w:rsidRPr="001674FB">
        <w:rPr>
          <w:noProof/>
          <w:sz w:val="20"/>
        </w:rPr>
        <w:t>. Roberts, M. Ulldemolins, M.S. Roberts, B. McWhinney, J. Ungerer, D.L. Paterson, J. Lipman, Therapeutic drug monitoring of beta-lactams in critically ill patients: Proof of concept, Int. J. Antimicrob. Agents. 36 (2010) 332–339. doi:10.1016/j.ijantimicag.2010.06.008.</w:t>
      </w:r>
    </w:p>
    <w:p w:rsidR="001674FB" w:rsidRPr="001674FB" w:rsidRDefault="00B77819" w:rsidP="00B77819">
      <w:pPr>
        <w:pStyle w:val="NormalWeb"/>
        <w:ind w:left="640" w:hanging="640"/>
        <w:divId w:val="1768571999"/>
        <w:rPr>
          <w:noProof/>
          <w:sz w:val="20"/>
        </w:rPr>
      </w:pPr>
      <w:r>
        <w:rPr>
          <w:noProof/>
          <w:sz w:val="20"/>
        </w:rPr>
        <w:t>[6]</w:t>
      </w:r>
      <w:r>
        <w:rPr>
          <w:noProof/>
          <w:sz w:val="20"/>
        </w:rPr>
        <w:tab/>
        <w:t>J.A</w:t>
      </w:r>
      <w:r w:rsidR="001674FB" w:rsidRPr="001674FB">
        <w:rPr>
          <w:noProof/>
          <w:sz w:val="20"/>
        </w:rPr>
        <w:t>. Roberts, M.H. Abdul-A</w:t>
      </w:r>
      <w:r>
        <w:rPr>
          <w:noProof/>
          <w:sz w:val="20"/>
        </w:rPr>
        <w:t>ziz, J. Lipman, J.W. Mouton, A.A</w:t>
      </w:r>
      <w:r w:rsidR="001674FB" w:rsidRPr="001674FB">
        <w:rPr>
          <w:noProof/>
          <w:sz w:val="20"/>
        </w:rPr>
        <w:t>. Vinks, T.W. Felton, W.W. Hope, A. Farkas, M.N. Neely, J.J. Schentag, G. Drusano, O.R. Frey, U. Theuretzbacher, J.L. Kuti, Individualised antibiotic dosing for patients who are critically ill: Challenges and potential solutions, Lancet Infect. Dis. 14 (2014) 498–509. doi:10.1016/S1473-3099(14)70036-2.</w:t>
      </w:r>
    </w:p>
    <w:p w:rsidR="001674FB" w:rsidRPr="001674FB" w:rsidRDefault="00B77819">
      <w:pPr>
        <w:pStyle w:val="NormalWeb"/>
        <w:ind w:left="640" w:hanging="640"/>
        <w:divId w:val="1768571999"/>
        <w:rPr>
          <w:noProof/>
          <w:sz w:val="20"/>
        </w:rPr>
      </w:pPr>
      <w:r>
        <w:rPr>
          <w:noProof/>
          <w:sz w:val="20"/>
        </w:rPr>
        <w:t>[7]</w:t>
      </w:r>
      <w:r>
        <w:rPr>
          <w:noProof/>
          <w:sz w:val="20"/>
        </w:rPr>
        <w:tab/>
        <w:t>J.A</w:t>
      </w:r>
      <w:r w:rsidR="001674FB" w:rsidRPr="001674FB">
        <w:rPr>
          <w:noProof/>
          <w:sz w:val="20"/>
        </w:rPr>
        <w:t>. Roberts, R. Norris, D.L. Paterson, J.H. Martin, Therapeutic drug monitoring of antimicrobials, Br. J. Clin. Pharmacol. 73 (2012) 27–36. doi:10.1111/j.1365-2125.2011.04080.x.</w:t>
      </w:r>
    </w:p>
    <w:p w:rsidR="001674FB" w:rsidRPr="001674FB" w:rsidRDefault="001674FB">
      <w:pPr>
        <w:pStyle w:val="NormalWeb"/>
        <w:ind w:left="640" w:hanging="640"/>
        <w:divId w:val="1768571999"/>
        <w:rPr>
          <w:noProof/>
          <w:sz w:val="20"/>
        </w:rPr>
      </w:pPr>
      <w:r w:rsidRPr="001674FB">
        <w:rPr>
          <w:noProof/>
          <w:sz w:val="20"/>
        </w:rPr>
        <w:t>[8]</w:t>
      </w:r>
      <w:r w:rsidRPr="001674FB">
        <w:rPr>
          <w:noProof/>
          <w:sz w:val="20"/>
        </w:rPr>
        <w:tab/>
        <w:t>S. Henry, D. V McAllister, M.G. Allen, M.R. Prausnitz, Microfabricated microneedles: a novel approach to transdermal drug delivery., J. Pharm. Sci. 87 (1998) 922–5. doi:10.1021/js980042+.</w:t>
      </w:r>
    </w:p>
    <w:p w:rsidR="001674FB" w:rsidRPr="001674FB" w:rsidRDefault="001674FB">
      <w:pPr>
        <w:pStyle w:val="NormalWeb"/>
        <w:ind w:left="640" w:hanging="640"/>
        <w:divId w:val="1768571999"/>
        <w:rPr>
          <w:noProof/>
          <w:sz w:val="20"/>
        </w:rPr>
      </w:pPr>
      <w:r w:rsidRPr="001674FB">
        <w:rPr>
          <w:noProof/>
          <w:sz w:val="20"/>
        </w:rPr>
        <w:t>[9]</w:t>
      </w:r>
      <w:r w:rsidRPr="001674FB">
        <w:rPr>
          <w:noProof/>
          <w:sz w:val="20"/>
        </w:rPr>
        <w:tab/>
        <w:t xml:space="preserve">S. Sharma, A. Saeed, C. Johnson, N. Gadegaard, A.E. Cass, Rapid, low cost prototyping of transdermal devices for personal healthcare monitoring, Sens. Bio-Sensing Res. </w:t>
      </w:r>
      <w:r w:rsidR="00B77819" w:rsidRPr="00281C1C">
        <w:rPr>
          <w:sz w:val="20"/>
          <w:szCs w:val="20"/>
        </w:rPr>
        <w:t>15(1) (2013) 101-115.</w:t>
      </w:r>
      <w:r w:rsidR="00B77819" w:rsidRPr="00281C1C">
        <w:rPr>
          <w:noProof/>
          <w:sz w:val="20"/>
          <w:szCs w:val="20"/>
        </w:rPr>
        <w:t xml:space="preserve"> </w:t>
      </w:r>
      <w:r w:rsidR="00B77819" w:rsidRPr="00434011">
        <w:rPr>
          <w:noProof/>
          <w:sz w:val="20"/>
        </w:rPr>
        <w:t>doi:10.1089/dia.2012.0188.</w:t>
      </w:r>
    </w:p>
    <w:p w:rsidR="001674FB" w:rsidRPr="001674FB" w:rsidRDefault="001674FB">
      <w:pPr>
        <w:pStyle w:val="NormalWeb"/>
        <w:ind w:left="640" w:hanging="640"/>
        <w:divId w:val="1768571999"/>
        <w:rPr>
          <w:noProof/>
          <w:sz w:val="20"/>
        </w:rPr>
      </w:pPr>
      <w:r w:rsidRPr="001674FB">
        <w:rPr>
          <w:noProof/>
          <w:sz w:val="20"/>
        </w:rPr>
        <w:t>[10]</w:t>
      </w:r>
      <w:r w:rsidRPr="001674FB">
        <w:rPr>
          <w:noProof/>
          <w:sz w:val="20"/>
        </w:rPr>
        <w:tab/>
        <w:t>A. El-Laboudi, N.S. Oliver, A. Cass, D. Johnston, Use of Microneedle Array Devices for Continuous Glucose Monitoring: A Review, Diabetes Technol. Ther. 15 (2013) 101–115. doi:10.1089/dia.2012.0188.</w:t>
      </w:r>
    </w:p>
    <w:p w:rsidR="001674FB" w:rsidRPr="001674FB" w:rsidRDefault="001674FB">
      <w:pPr>
        <w:pStyle w:val="NormalWeb"/>
        <w:ind w:left="640" w:hanging="640"/>
        <w:divId w:val="1768571999"/>
        <w:rPr>
          <w:noProof/>
          <w:sz w:val="20"/>
        </w:rPr>
      </w:pPr>
      <w:r w:rsidRPr="001674FB">
        <w:rPr>
          <w:noProof/>
          <w:sz w:val="20"/>
        </w:rPr>
        <w:t>[11]</w:t>
      </w:r>
      <w:r w:rsidRPr="001674FB">
        <w:rPr>
          <w:noProof/>
          <w:sz w:val="20"/>
        </w:rPr>
        <w:tab/>
        <w:t>A.R.B. Moniz, K. Michelakis, J. Trzebinski, S. Sharma, D.G. Johnston, N. Oliver, A. Cass, Minimally invasive enzyme microprobes: an alternative approach for continuous glucose monitoring., J. Diabetes Sci. Technol. 6 (2012) 479–80. doi:10.1177/193229681200600239.</w:t>
      </w:r>
    </w:p>
    <w:p w:rsidR="001674FB" w:rsidRPr="001674FB" w:rsidRDefault="001674FB">
      <w:pPr>
        <w:pStyle w:val="NormalWeb"/>
        <w:ind w:left="640" w:hanging="640"/>
        <w:divId w:val="1768571999"/>
        <w:rPr>
          <w:noProof/>
          <w:sz w:val="20"/>
        </w:rPr>
      </w:pPr>
      <w:r w:rsidRPr="001674FB">
        <w:rPr>
          <w:noProof/>
          <w:sz w:val="20"/>
        </w:rPr>
        <w:t>[12]</w:t>
      </w:r>
      <w:r w:rsidRPr="001674FB">
        <w:rPr>
          <w:noProof/>
          <w:sz w:val="20"/>
        </w:rPr>
        <w:tab/>
        <w:t>J. Trzebinski, S. Sharma, A. Radomska-Botelho Moniz, K. Michelakis, Y. Zhang, A.E.G. Cass, Microfluidic device to investigate factors affecting performance in biosensors designed for transdermal applications, Lab Chip. 12 (2012) 348. doi:10.1039/c1lc20885c.</w:t>
      </w:r>
    </w:p>
    <w:p w:rsidR="00B77819" w:rsidRPr="00281C1C" w:rsidRDefault="001674FB" w:rsidP="00B77819">
      <w:pPr>
        <w:pStyle w:val="Heading1"/>
        <w:shd w:val="clear" w:color="auto" w:fill="FFFFFF"/>
        <w:spacing w:before="120" w:beforeAutospacing="0" w:after="120" w:afterAutospacing="0" w:line="300" w:lineRule="atLeast"/>
        <w:ind w:left="640" w:hanging="640"/>
        <w:divId w:val="1768571999"/>
        <w:rPr>
          <w:rFonts w:ascii="Arial" w:hAnsi="Arial" w:cs="Arial"/>
          <w:color w:val="000000"/>
          <w:sz w:val="34"/>
          <w:szCs w:val="34"/>
        </w:rPr>
      </w:pPr>
      <w:r w:rsidRPr="001674FB">
        <w:rPr>
          <w:noProof/>
          <w:sz w:val="20"/>
        </w:rPr>
        <w:t>[13]</w:t>
      </w:r>
      <w:r w:rsidRPr="001674FB">
        <w:rPr>
          <w:noProof/>
          <w:sz w:val="20"/>
        </w:rPr>
        <w:tab/>
      </w:r>
      <w:r w:rsidR="00B77819" w:rsidRPr="00281C1C">
        <w:rPr>
          <w:b w:val="0"/>
          <w:noProof/>
          <w:sz w:val="20"/>
          <w:szCs w:val="24"/>
        </w:rPr>
        <w:t>S.D.</w:t>
      </w:r>
      <w:r w:rsidR="00B77819">
        <w:rPr>
          <w:noProof/>
          <w:sz w:val="20"/>
          <w:szCs w:val="24"/>
        </w:rPr>
        <w:t xml:space="preserve"> </w:t>
      </w:r>
      <w:proofErr w:type="spellStart"/>
      <w:r w:rsidR="00B77819" w:rsidRPr="00281C1C">
        <w:rPr>
          <w:b w:val="0"/>
          <w:sz w:val="20"/>
          <w:szCs w:val="20"/>
          <w:shd w:val="clear" w:color="auto" w:fill="FFFFFF"/>
        </w:rPr>
        <w:t>Caras</w:t>
      </w:r>
      <w:proofErr w:type="spellEnd"/>
      <w:r w:rsidR="00B77819" w:rsidRPr="00281C1C">
        <w:rPr>
          <w:b w:val="0"/>
          <w:color w:val="000000"/>
          <w:sz w:val="20"/>
          <w:szCs w:val="20"/>
          <w:shd w:val="clear" w:color="auto" w:fill="FFFFFF"/>
        </w:rPr>
        <w:t>,</w:t>
      </w:r>
      <w:r w:rsidR="00B77819">
        <w:rPr>
          <w:b w:val="0"/>
          <w:color w:val="000000"/>
          <w:sz w:val="20"/>
          <w:szCs w:val="20"/>
          <w:shd w:val="clear" w:color="auto" w:fill="FFFFFF"/>
        </w:rPr>
        <w:t xml:space="preserve"> J.</w:t>
      </w:r>
      <w:r w:rsidR="00B77819" w:rsidRPr="00281C1C">
        <w:rPr>
          <w:b w:val="0"/>
          <w:color w:val="000000"/>
          <w:sz w:val="20"/>
          <w:szCs w:val="20"/>
          <w:shd w:val="clear" w:color="auto" w:fill="FFFFFF"/>
        </w:rPr>
        <w:t> </w:t>
      </w:r>
      <w:r w:rsidR="00B77819" w:rsidRPr="00281C1C">
        <w:rPr>
          <w:b w:val="0"/>
          <w:sz w:val="20"/>
          <w:szCs w:val="20"/>
          <w:shd w:val="clear" w:color="auto" w:fill="FFFFFF"/>
        </w:rPr>
        <w:t>Janata</w:t>
      </w:r>
      <w:r w:rsidR="00B77819" w:rsidRPr="00281C1C">
        <w:rPr>
          <w:b w:val="0"/>
          <w:color w:val="000000"/>
          <w:sz w:val="20"/>
          <w:szCs w:val="20"/>
          <w:shd w:val="clear" w:color="auto" w:fill="FFFFFF"/>
        </w:rPr>
        <w:t>.</w:t>
      </w:r>
      <w:r w:rsidR="00B77819" w:rsidRPr="00281C1C">
        <w:rPr>
          <w:b w:val="0"/>
          <w:color w:val="000000"/>
          <w:sz w:val="20"/>
          <w:szCs w:val="20"/>
        </w:rPr>
        <w:t xml:space="preserve"> </w:t>
      </w:r>
      <w:proofErr w:type="gramStart"/>
      <w:r w:rsidR="00B77819" w:rsidRPr="00281C1C">
        <w:rPr>
          <w:b w:val="0"/>
          <w:color w:val="000000"/>
          <w:sz w:val="20"/>
          <w:szCs w:val="20"/>
        </w:rPr>
        <w:t>pH-based</w:t>
      </w:r>
      <w:proofErr w:type="gramEnd"/>
      <w:r w:rsidR="00B77819" w:rsidRPr="00281C1C">
        <w:rPr>
          <w:b w:val="0"/>
          <w:color w:val="000000"/>
          <w:sz w:val="20"/>
          <w:szCs w:val="20"/>
        </w:rPr>
        <w:t xml:space="preserve"> enzyme potentiometric sensors. </w:t>
      </w:r>
      <w:proofErr w:type="gramStart"/>
      <w:r w:rsidR="00B77819" w:rsidRPr="00281C1C">
        <w:rPr>
          <w:b w:val="0"/>
          <w:color w:val="000000"/>
          <w:sz w:val="20"/>
          <w:szCs w:val="20"/>
        </w:rPr>
        <w:t>Part 3.</w:t>
      </w:r>
      <w:proofErr w:type="gramEnd"/>
      <w:r w:rsidR="00B77819" w:rsidRPr="00281C1C">
        <w:rPr>
          <w:b w:val="0"/>
          <w:color w:val="000000"/>
          <w:sz w:val="20"/>
          <w:szCs w:val="20"/>
        </w:rPr>
        <w:t xml:space="preserve"> </w:t>
      </w:r>
      <w:proofErr w:type="gramStart"/>
      <w:r w:rsidR="00B77819" w:rsidRPr="00281C1C">
        <w:rPr>
          <w:b w:val="0"/>
          <w:color w:val="000000"/>
          <w:sz w:val="20"/>
          <w:szCs w:val="20"/>
        </w:rPr>
        <w:t>Penicillin-sensitive field effect transistor.</w:t>
      </w:r>
      <w:proofErr w:type="gramEnd"/>
      <w:r w:rsidR="00B77819" w:rsidRPr="00281C1C">
        <w:rPr>
          <w:b w:val="0"/>
          <w:noProof/>
          <w:sz w:val="20"/>
          <w:szCs w:val="20"/>
        </w:rPr>
        <w:t xml:space="preserve"> Anal Chem. 57 (1985) 1924–1925.</w:t>
      </w:r>
    </w:p>
    <w:p w:rsidR="00B77819" w:rsidRPr="00434011" w:rsidRDefault="001674FB" w:rsidP="00B77819">
      <w:pPr>
        <w:widowControl w:val="0"/>
        <w:autoSpaceDE w:val="0"/>
        <w:autoSpaceDN w:val="0"/>
        <w:adjustRightInd w:val="0"/>
        <w:spacing w:before="100" w:after="100" w:line="240" w:lineRule="auto"/>
        <w:ind w:left="640" w:hanging="640"/>
        <w:divId w:val="1768571999"/>
        <w:rPr>
          <w:rFonts w:ascii="Times New Roman" w:hAnsi="Times New Roman" w:cs="Times New Roman"/>
          <w:noProof/>
          <w:sz w:val="20"/>
          <w:szCs w:val="24"/>
        </w:rPr>
      </w:pPr>
      <w:r w:rsidRPr="001674FB">
        <w:rPr>
          <w:rFonts w:ascii="Times New Roman" w:hAnsi="Times New Roman" w:cs="Times New Roman"/>
          <w:noProof/>
          <w:sz w:val="20"/>
        </w:rPr>
        <w:t>[14]</w:t>
      </w:r>
      <w:r w:rsidRPr="001674FB">
        <w:rPr>
          <w:rFonts w:ascii="Times New Roman" w:hAnsi="Times New Roman" w:cs="Times New Roman"/>
          <w:noProof/>
          <w:sz w:val="20"/>
        </w:rPr>
        <w:tab/>
      </w:r>
      <w:r w:rsidR="00B77819">
        <w:rPr>
          <w:rFonts w:ascii="Times New Roman" w:hAnsi="Times New Roman" w:cs="Times New Roman"/>
          <w:noProof/>
          <w:sz w:val="20"/>
          <w:szCs w:val="24"/>
        </w:rPr>
        <w:t xml:space="preserve">J. Anzai, J. Hashimoto, T Osa, </w:t>
      </w:r>
      <w:r w:rsidR="00B77819" w:rsidRPr="00434011">
        <w:rPr>
          <w:rFonts w:ascii="Times New Roman" w:hAnsi="Times New Roman" w:cs="Times New Roman"/>
          <w:noProof/>
          <w:sz w:val="20"/>
          <w:szCs w:val="24"/>
        </w:rPr>
        <w:t>T. Matsuo</w:t>
      </w:r>
      <w:r w:rsidR="00B77819">
        <w:rPr>
          <w:rFonts w:ascii="Times New Roman" w:hAnsi="Times New Roman" w:cs="Times New Roman"/>
          <w:noProof/>
          <w:sz w:val="20"/>
          <w:szCs w:val="24"/>
        </w:rPr>
        <w:t>.</w:t>
      </w:r>
      <w:r w:rsidR="00B77819" w:rsidRPr="00434011">
        <w:rPr>
          <w:rFonts w:ascii="Times New Roman" w:hAnsi="Times New Roman" w:cs="Times New Roman"/>
          <w:noProof/>
          <w:sz w:val="20"/>
          <w:szCs w:val="24"/>
        </w:rPr>
        <w:t xml:space="preserve"> Penicillin Sensors Based on an Ion-Sensitive Coated with Stearic Acid Langmuir-Blodgett F</w:t>
      </w:r>
      <w:r w:rsidR="00B77819">
        <w:rPr>
          <w:rFonts w:ascii="Times New Roman" w:hAnsi="Times New Roman" w:cs="Times New Roman"/>
          <w:noProof/>
          <w:sz w:val="20"/>
          <w:szCs w:val="24"/>
        </w:rPr>
        <w:t>ield Effect Membrane Transistor. Anal Sci</w:t>
      </w:r>
      <w:r w:rsidR="00B77819" w:rsidRPr="00434011">
        <w:rPr>
          <w:rFonts w:ascii="Times New Roman" w:hAnsi="Times New Roman" w:cs="Times New Roman"/>
          <w:noProof/>
          <w:sz w:val="20"/>
          <w:szCs w:val="24"/>
        </w:rPr>
        <w:t xml:space="preserve"> 4 (1988)</w:t>
      </w:r>
      <w:r w:rsidR="00B77819">
        <w:rPr>
          <w:rFonts w:ascii="Times New Roman" w:hAnsi="Times New Roman" w:cs="Times New Roman"/>
          <w:noProof/>
          <w:sz w:val="20"/>
          <w:szCs w:val="24"/>
        </w:rPr>
        <w:t xml:space="preserve"> 247-250</w:t>
      </w:r>
      <w:r w:rsidR="00B77819" w:rsidRPr="00434011">
        <w:rPr>
          <w:rFonts w:ascii="Times New Roman" w:hAnsi="Times New Roman" w:cs="Times New Roman"/>
          <w:noProof/>
          <w:sz w:val="20"/>
          <w:szCs w:val="24"/>
        </w:rPr>
        <w:t>.</w:t>
      </w:r>
    </w:p>
    <w:p w:rsidR="001674FB" w:rsidRPr="001674FB" w:rsidRDefault="001674FB">
      <w:pPr>
        <w:pStyle w:val="NormalWeb"/>
        <w:ind w:left="640" w:hanging="640"/>
        <w:divId w:val="1768571999"/>
        <w:rPr>
          <w:noProof/>
          <w:sz w:val="20"/>
        </w:rPr>
      </w:pPr>
    </w:p>
    <w:p w:rsidR="001674FB" w:rsidRPr="001674FB" w:rsidRDefault="001674FB">
      <w:pPr>
        <w:pStyle w:val="NormalWeb"/>
        <w:ind w:left="640" w:hanging="640"/>
        <w:divId w:val="1768571999"/>
        <w:rPr>
          <w:noProof/>
          <w:sz w:val="20"/>
        </w:rPr>
      </w:pPr>
      <w:r w:rsidRPr="001674FB">
        <w:rPr>
          <w:noProof/>
          <w:sz w:val="20"/>
        </w:rPr>
        <w:lastRenderedPageBreak/>
        <w:t>[15]</w:t>
      </w:r>
      <w:r w:rsidRPr="001674FB">
        <w:rPr>
          <w:noProof/>
          <w:sz w:val="20"/>
        </w:rPr>
        <w:tab/>
        <w:t>T.D. Yerian, G.D. Christian, J. Ruzicka, Flow injection analysis as a diagnostic technique for development and testing of chemical sensors, Anal. Chim. Acta. 204 (1988) 7–28. doi:10.1016/S0003-2670(00)86342-4.</w:t>
      </w:r>
    </w:p>
    <w:p w:rsidR="001674FB" w:rsidRPr="001674FB" w:rsidRDefault="001674FB">
      <w:pPr>
        <w:pStyle w:val="NormalWeb"/>
        <w:ind w:left="640" w:hanging="640"/>
        <w:divId w:val="1768571999"/>
        <w:rPr>
          <w:noProof/>
          <w:sz w:val="20"/>
        </w:rPr>
      </w:pPr>
      <w:r w:rsidRPr="001674FB">
        <w:rPr>
          <w:noProof/>
          <w:sz w:val="20"/>
        </w:rPr>
        <w:t>[16]</w:t>
      </w:r>
      <w:r w:rsidRPr="001674FB">
        <w:rPr>
          <w:noProof/>
          <w:sz w:val="20"/>
        </w:rPr>
        <w:tab/>
        <w:t>X. Gao, R. Zhen, Y. Zhang, C.A. Grimes, Detecting Penicillin in Milk with a Wireless Magnetoelastic Biosensor, Sens. Lett. 7 (2009) 6–10. doi:10.1166/sl.2009.1002.</w:t>
      </w:r>
    </w:p>
    <w:p w:rsidR="001674FB" w:rsidRPr="001674FB" w:rsidRDefault="001674FB">
      <w:pPr>
        <w:pStyle w:val="NormalWeb"/>
        <w:ind w:left="640" w:hanging="640"/>
        <w:divId w:val="1768571999"/>
        <w:rPr>
          <w:noProof/>
          <w:sz w:val="20"/>
        </w:rPr>
      </w:pPr>
      <w:r w:rsidRPr="001674FB">
        <w:rPr>
          <w:noProof/>
          <w:sz w:val="20"/>
        </w:rPr>
        <w:t>[17]</w:t>
      </w:r>
      <w:r w:rsidRPr="001674FB">
        <w:rPr>
          <w:noProof/>
          <w:sz w:val="20"/>
        </w:rPr>
        <w:tab/>
        <w:t>S.R. Lee, M.M. Rahman, K. Sawada, M. Ishida, Fabrication of a highly sensitive penicillin sensor based on charge transfer techniques, Biosens. Bioelectron. 24 (2009) 1877–1882. doi:10.1016/j.bios.2008.09.008.</w:t>
      </w:r>
    </w:p>
    <w:p w:rsidR="001674FB" w:rsidRPr="001674FB" w:rsidRDefault="001674FB">
      <w:pPr>
        <w:pStyle w:val="NormalWeb"/>
        <w:ind w:left="640" w:hanging="640"/>
        <w:divId w:val="1768571999"/>
        <w:rPr>
          <w:noProof/>
          <w:sz w:val="20"/>
        </w:rPr>
      </w:pPr>
      <w:r w:rsidRPr="001674FB">
        <w:rPr>
          <w:noProof/>
          <w:sz w:val="20"/>
        </w:rPr>
        <w:t>[18]</w:t>
      </w:r>
      <w:r w:rsidRPr="001674FB">
        <w:rPr>
          <w:noProof/>
          <w:sz w:val="20"/>
        </w:rPr>
        <w:tab/>
        <w:t>H. Wang, Y. Wang, S. Liu, J. Yu, Y. Guo, Y. Xu, J. Huang, Signal-on electrochemical detection of antibiotics at zeptomole level based on target-aptamer binding triggered multiple recycling amplification, Biosens. Bioelectron. 80 (2016) 471–476. doi:10.1016/j.bios.2016.02.014.</w:t>
      </w:r>
    </w:p>
    <w:p w:rsidR="001674FB" w:rsidRPr="001674FB" w:rsidRDefault="001674FB">
      <w:pPr>
        <w:pStyle w:val="NormalWeb"/>
        <w:ind w:left="640" w:hanging="640"/>
        <w:divId w:val="1768571999"/>
        <w:rPr>
          <w:noProof/>
          <w:sz w:val="20"/>
        </w:rPr>
      </w:pPr>
      <w:r w:rsidRPr="001674FB">
        <w:rPr>
          <w:noProof/>
          <w:sz w:val="20"/>
        </w:rPr>
        <w:t>[19]</w:t>
      </w:r>
      <w:r w:rsidRPr="001674FB">
        <w:rPr>
          <w:noProof/>
          <w:sz w:val="20"/>
        </w:rPr>
        <w:tab/>
        <w:t>J. Daprà, L.H. Lauridsen, A.T. Nielsen, N. Rozlosnik, Comparative study on aptamers as recognition elements for antibiotics in a label-free all-polymer biosensor, Biosens. Bioelectron. 43 (2013) 315–320. doi:10.1016/j.bios.2012.12.058.</w:t>
      </w:r>
    </w:p>
    <w:p w:rsidR="001674FB" w:rsidRPr="001674FB" w:rsidRDefault="001674FB">
      <w:pPr>
        <w:pStyle w:val="NormalWeb"/>
        <w:ind w:left="640" w:hanging="640"/>
        <w:divId w:val="1768571999"/>
        <w:rPr>
          <w:noProof/>
          <w:sz w:val="20"/>
        </w:rPr>
      </w:pPr>
      <w:r w:rsidRPr="001674FB">
        <w:rPr>
          <w:noProof/>
          <w:sz w:val="20"/>
        </w:rPr>
        <w:t>[20]</w:t>
      </w:r>
      <w:r w:rsidRPr="001674FB">
        <w:rPr>
          <w:noProof/>
          <w:sz w:val="20"/>
        </w:rPr>
        <w:tab/>
        <w:t>M.G. Pikkemaat, Microbial screening methods for detection of antibiotic residues in slaughter animals, Anal. Bioanal. Chem. 395 (2009) 893–905. doi:10.1007/s00216-009-2841-6.</w:t>
      </w:r>
    </w:p>
    <w:p w:rsidR="001674FB" w:rsidRPr="001674FB" w:rsidRDefault="001674FB">
      <w:pPr>
        <w:pStyle w:val="NormalWeb"/>
        <w:ind w:left="640" w:hanging="640"/>
        <w:divId w:val="1768571999"/>
        <w:rPr>
          <w:noProof/>
          <w:sz w:val="20"/>
        </w:rPr>
      </w:pPr>
      <w:r w:rsidRPr="001674FB">
        <w:rPr>
          <w:noProof/>
          <w:sz w:val="20"/>
        </w:rPr>
        <w:t>[21]</w:t>
      </w:r>
      <w:r w:rsidRPr="001674FB">
        <w:rPr>
          <w:noProof/>
          <w:sz w:val="20"/>
        </w:rPr>
        <w:tab/>
      </w:r>
      <w:r w:rsidR="00B77819" w:rsidRPr="00434011">
        <w:rPr>
          <w:noProof/>
          <w:sz w:val="20"/>
        </w:rPr>
        <w:t>A.C. Huet, T. Fodey, S.A. Haughey, S. Weigel,</w:t>
      </w:r>
      <w:r w:rsidR="00B77819">
        <w:rPr>
          <w:noProof/>
          <w:sz w:val="20"/>
        </w:rPr>
        <w:t xml:space="preserve"> </w:t>
      </w:r>
      <w:r w:rsidR="00B77819" w:rsidRPr="00434011">
        <w:rPr>
          <w:noProof/>
          <w:sz w:val="20"/>
        </w:rPr>
        <w:t>C. Elliott,</w:t>
      </w:r>
      <w:r w:rsidR="00B77819">
        <w:rPr>
          <w:noProof/>
          <w:sz w:val="20"/>
        </w:rPr>
        <w:t xml:space="preserve"> P. Delahaut.</w:t>
      </w:r>
      <w:r w:rsidRPr="001674FB">
        <w:rPr>
          <w:noProof/>
          <w:sz w:val="20"/>
        </w:rPr>
        <w:t xml:space="preserve"> Advances in biosensor-based analysis for antimicrobial residues in foods, TrAC - Trends Anal. Chem. 29 (2010) 1281–1294. doi:10.1016/j.trac.2010.07.017.</w:t>
      </w:r>
    </w:p>
    <w:p w:rsidR="001674FB" w:rsidRPr="001674FB" w:rsidRDefault="001674FB">
      <w:pPr>
        <w:pStyle w:val="NormalWeb"/>
        <w:ind w:left="640" w:hanging="640"/>
        <w:divId w:val="1768571999"/>
        <w:rPr>
          <w:noProof/>
          <w:sz w:val="20"/>
        </w:rPr>
      </w:pPr>
      <w:r w:rsidRPr="001674FB">
        <w:rPr>
          <w:noProof/>
          <w:sz w:val="20"/>
        </w:rPr>
        <w:t>[22]</w:t>
      </w:r>
      <w:r w:rsidRPr="001674FB">
        <w:rPr>
          <w:noProof/>
          <w:sz w:val="20"/>
        </w:rPr>
        <w:tab/>
        <w:t>M. Willander, K. Khun, Z.H. Ibupoto, Metal oxide nanosensors using polymeric membranes, enzymes and antibody receptors as ion and molecular recognition elements, Sensors (Switzerland). 14 (2014) 8605–8632. doi:10.3390/s140508605.</w:t>
      </w:r>
    </w:p>
    <w:p w:rsidR="001674FB" w:rsidRPr="001674FB" w:rsidRDefault="001674FB">
      <w:pPr>
        <w:pStyle w:val="NormalWeb"/>
        <w:ind w:left="640" w:hanging="640"/>
        <w:divId w:val="1768571999"/>
        <w:rPr>
          <w:noProof/>
          <w:sz w:val="20"/>
        </w:rPr>
      </w:pPr>
      <w:r w:rsidRPr="001674FB">
        <w:rPr>
          <w:noProof/>
          <w:sz w:val="20"/>
        </w:rPr>
        <w:t>[23]</w:t>
      </w:r>
      <w:r w:rsidRPr="001674FB">
        <w:rPr>
          <w:noProof/>
          <w:sz w:val="20"/>
        </w:rPr>
        <w:tab/>
        <w:t>F. Ismail, S.B. Adeloju, Galvanostatic entrapment of penicillinase into polytyramine films and its utilization for the potentiometric determination of penicillin, Sensors. 10 (2010) 2851–2868. doi:10.3390/s100402851.</w:t>
      </w:r>
    </w:p>
    <w:p w:rsidR="001674FB" w:rsidRPr="001674FB" w:rsidRDefault="001674FB">
      <w:pPr>
        <w:pStyle w:val="NormalWeb"/>
        <w:ind w:left="640" w:hanging="640"/>
        <w:divId w:val="1768571999"/>
        <w:rPr>
          <w:noProof/>
          <w:sz w:val="20"/>
        </w:rPr>
      </w:pPr>
      <w:r w:rsidRPr="001674FB">
        <w:rPr>
          <w:noProof/>
          <w:sz w:val="20"/>
        </w:rPr>
        <w:t>[24]</w:t>
      </w:r>
      <w:r w:rsidRPr="001674FB">
        <w:rPr>
          <w:noProof/>
          <w:sz w:val="20"/>
        </w:rPr>
        <w:tab/>
        <w:t>X. Bi, D. Hartono, K.L. Yang, Real-time liquid crystal pH sensor for monitoring enzymatic activities of penicillinase, Adv. Funct. Mater. 19 (2009) 3760–3765. doi:10.1002/adfm.200900823.</w:t>
      </w:r>
    </w:p>
    <w:p w:rsidR="001674FB" w:rsidRPr="001674FB" w:rsidRDefault="001674FB">
      <w:pPr>
        <w:pStyle w:val="NormalWeb"/>
        <w:ind w:left="640" w:hanging="640"/>
        <w:divId w:val="1768571999"/>
        <w:rPr>
          <w:noProof/>
          <w:sz w:val="20"/>
        </w:rPr>
      </w:pPr>
      <w:r w:rsidRPr="001674FB">
        <w:rPr>
          <w:noProof/>
          <w:sz w:val="20"/>
        </w:rPr>
        <w:t>[25]</w:t>
      </w:r>
      <w:r w:rsidRPr="001674FB">
        <w:rPr>
          <w:noProof/>
          <w:sz w:val="20"/>
        </w:rPr>
        <w:tab/>
        <w:t>L.M. Gonçalves, W.F. a Callera, M.D.P.T. Sotomayor, P.R. Bueno, Penicillinase-based amperometric biosensor for penicillin G, Electrochem. Commun. 38 (2014) 131–133. doi:10.1016/j.elecom.2013.11.022.</w:t>
      </w:r>
    </w:p>
    <w:p w:rsidR="001674FB" w:rsidRPr="001674FB" w:rsidRDefault="001674FB">
      <w:pPr>
        <w:pStyle w:val="NormalWeb"/>
        <w:ind w:left="640" w:hanging="640"/>
        <w:divId w:val="1768571999"/>
        <w:rPr>
          <w:noProof/>
          <w:sz w:val="20"/>
        </w:rPr>
      </w:pPr>
      <w:r w:rsidRPr="001674FB">
        <w:rPr>
          <w:noProof/>
          <w:sz w:val="20"/>
        </w:rPr>
        <w:t>[26]</w:t>
      </w:r>
      <w:r w:rsidRPr="001674FB">
        <w:rPr>
          <w:noProof/>
          <w:sz w:val="20"/>
        </w:rPr>
        <w:tab/>
        <w:t>G.M. Müntze, B. Baur, W. Schäfer, A. Sasse, J. Howgate, K. Röth, M. Eickhoff, Quantitative analysis of immobilized penicillinase using enzyme-modified AlGaN/GaN field-effect transistors, Biosens. Bioelectron. 64 (2015) 605–610. doi:10.1016/j.bios.2014.09.062.</w:t>
      </w:r>
    </w:p>
    <w:p w:rsidR="001674FB" w:rsidRPr="001674FB" w:rsidRDefault="001674FB">
      <w:pPr>
        <w:pStyle w:val="NormalWeb"/>
        <w:ind w:left="640" w:hanging="640"/>
        <w:divId w:val="1768571999"/>
        <w:rPr>
          <w:noProof/>
          <w:sz w:val="20"/>
        </w:rPr>
      </w:pPr>
      <w:r w:rsidRPr="001674FB">
        <w:rPr>
          <w:noProof/>
          <w:sz w:val="20"/>
        </w:rPr>
        <w:t>[27]</w:t>
      </w:r>
      <w:r w:rsidRPr="001674FB">
        <w:rPr>
          <w:noProof/>
          <w:sz w:val="20"/>
        </w:rPr>
        <w:tab/>
        <w:t>B.G. Healey, D.R. Walt, Improved fiber-optic chemical sensor for penicillin, Anal. Chem. 67 (1995) 4471–4476. doi:10.1021/ac00120a007.</w:t>
      </w:r>
    </w:p>
    <w:p w:rsidR="001674FB" w:rsidRPr="001674FB" w:rsidRDefault="001674FB">
      <w:pPr>
        <w:pStyle w:val="NormalWeb"/>
        <w:ind w:left="640" w:hanging="640"/>
        <w:divId w:val="1768571999"/>
        <w:rPr>
          <w:noProof/>
          <w:sz w:val="20"/>
        </w:rPr>
      </w:pPr>
      <w:r w:rsidRPr="001674FB">
        <w:rPr>
          <w:noProof/>
          <w:sz w:val="20"/>
        </w:rPr>
        <w:t>[28]</w:t>
      </w:r>
      <w:r w:rsidRPr="001674FB">
        <w:rPr>
          <w:noProof/>
          <w:sz w:val="20"/>
        </w:rPr>
        <w:tab/>
        <w:t>J.R. Siqueira, M.H. Abouzar, A. Poghossian, V. Zucolotto, O.N. Oliveira, M.J. Schöning, Penicillin biosensor based on a capacitive field-effect structure functionalized with a dendrimer/carbon nanotube multilayer, Biosens. Bioelectron. 25 (2009) 497–501. doi:10.1016/j.bios.2009.07.007.</w:t>
      </w:r>
    </w:p>
    <w:p w:rsidR="001674FB" w:rsidRPr="001674FB" w:rsidRDefault="001674FB">
      <w:pPr>
        <w:pStyle w:val="NormalWeb"/>
        <w:ind w:left="640" w:hanging="640"/>
        <w:divId w:val="1768571999"/>
        <w:rPr>
          <w:noProof/>
          <w:sz w:val="20"/>
        </w:rPr>
      </w:pPr>
      <w:r w:rsidRPr="001674FB">
        <w:rPr>
          <w:noProof/>
          <w:sz w:val="20"/>
        </w:rPr>
        <w:t>[29]</w:t>
      </w:r>
      <w:r w:rsidRPr="001674FB">
        <w:rPr>
          <w:noProof/>
          <w:sz w:val="20"/>
        </w:rPr>
        <w:tab/>
        <w:t>C. Cháfer-Pericás, Á. Maquieira, R. Puchades, Fast screening methods to detect antibiotic residues in food samples, TrAC - Trends Anal. Chem. 29 (2010) 1038–1049. doi:10.1016/j.trac.2010.06.004.</w:t>
      </w:r>
    </w:p>
    <w:p w:rsidR="001674FB" w:rsidRPr="001674FB" w:rsidRDefault="001674FB">
      <w:pPr>
        <w:pStyle w:val="NormalWeb"/>
        <w:ind w:left="640" w:hanging="640"/>
        <w:divId w:val="1768571999"/>
        <w:rPr>
          <w:noProof/>
          <w:sz w:val="20"/>
        </w:rPr>
      </w:pPr>
      <w:r w:rsidRPr="001674FB">
        <w:rPr>
          <w:noProof/>
          <w:sz w:val="20"/>
        </w:rPr>
        <w:lastRenderedPageBreak/>
        <w:t>[30]</w:t>
      </w:r>
      <w:r w:rsidRPr="001674FB">
        <w:rPr>
          <w:noProof/>
          <w:sz w:val="20"/>
        </w:rPr>
        <w:tab/>
        <w:t>A.A. Rowe, E.A. Miller, K.W. Plaxco, Reagentless Measurement of Aminoglycoside Antibiotics in Blood Serum via an Electrochemical, Ribonucleic Acid Aptamer-Based Biosensor, Anal. Chem. 82 (2010) 7090–7095. doi:10.1021/ac101491d.</w:t>
      </w:r>
    </w:p>
    <w:p w:rsidR="001674FB" w:rsidRPr="001674FB" w:rsidRDefault="001674FB">
      <w:pPr>
        <w:pStyle w:val="NormalWeb"/>
        <w:ind w:left="640" w:hanging="640"/>
        <w:divId w:val="1768571999"/>
        <w:rPr>
          <w:noProof/>
          <w:sz w:val="20"/>
        </w:rPr>
      </w:pPr>
      <w:r w:rsidRPr="001674FB">
        <w:rPr>
          <w:noProof/>
          <w:sz w:val="20"/>
        </w:rPr>
        <w:t>[31]</w:t>
      </w:r>
      <w:r w:rsidRPr="001674FB">
        <w:rPr>
          <w:noProof/>
          <w:sz w:val="20"/>
        </w:rPr>
        <w:tab/>
        <w:t>X. Wu, H. Kuang, C. Hao, C. Xing, L. Wang, C. Xu, Paper supported immunosensor for detection of antibiotics, Biosens. Bioelectron. 33 (2012) 309–312. doi:10.1016/j.bios.2012.01.017.</w:t>
      </w:r>
    </w:p>
    <w:p w:rsidR="001674FB" w:rsidRPr="001674FB" w:rsidRDefault="001674FB">
      <w:pPr>
        <w:pStyle w:val="NormalWeb"/>
        <w:ind w:left="640" w:hanging="640"/>
        <w:divId w:val="1768571999"/>
        <w:rPr>
          <w:noProof/>
          <w:sz w:val="20"/>
        </w:rPr>
      </w:pPr>
      <w:r w:rsidRPr="001674FB">
        <w:rPr>
          <w:noProof/>
          <w:sz w:val="20"/>
        </w:rPr>
        <w:t>[32]</w:t>
      </w:r>
      <w:r w:rsidRPr="001674FB">
        <w:rPr>
          <w:noProof/>
          <w:sz w:val="20"/>
        </w:rPr>
        <w:tab/>
        <w:t>B.S. Ferguson, D.A. Hoggarth, D. Maliniak, K. Ploense, R.J. White, N. Woodward, K. Hsieh, A.J. Bonham, M. Eisenstein, T.E. Kippin, K.W. Plaxco, H.T. Soh, Real-Time, Aptamer-Based Tracking of Circulating Therapeutic Agents in Living Animals, Sci. Transl. Med. 5 (2013) 213ra165–213ra165. doi:10.1126/scitranslmed.3007095.</w:t>
      </w:r>
    </w:p>
    <w:p w:rsidR="001674FB" w:rsidRPr="001674FB" w:rsidRDefault="001674FB">
      <w:pPr>
        <w:pStyle w:val="NormalWeb"/>
        <w:ind w:left="640" w:hanging="640"/>
        <w:divId w:val="1768571999"/>
        <w:rPr>
          <w:noProof/>
          <w:sz w:val="20"/>
        </w:rPr>
      </w:pPr>
      <w:r w:rsidRPr="001674FB">
        <w:rPr>
          <w:noProof/>
          <w:sz w:val="20"/>
        </w:rPr>
        <w:t>[33]</w:t>
      </w:r>
      <w:r w:rsidRPr="001674FB">
        <w:rPr>
          <w:noProof/>
          <w:sz w:val="20"/>
        </w:rPr>
        <w:tab/>
        <w:t>L.R. Schoukroun-Barnes, S. Wagan, R.J. White, Enhancing the analytical performance of electrochemical RNA aptamer-based sensors for sensitive detection of aminoglycoside antibiotics, Anal. Chem. 86 (2014) 1131–1137. doi:10.1021/ac4029054.</w:t>
      </w:r>
    </w:p>
    <w:p w:rsidR="001674FB" w:rsidRPr="001674FB" w:rsidRDefault="001674FB">
      <w:pPr>
        <w:pStyle w:val="NormalWeb"/>
        <w:ind w:left="640" w:hanging="640"/>
        <w:divId w:val="1768571999"/>
        <w:rPr>
          <w:noProof/>
          <w:sz w:val="20"/>
        </w:rPr>
      </w:pPr>
      <w:r w:rsidRPr="001674FB">
        <w:rPr>
          <w:noProof/>
          <w:sz w:val="20"/>
        </w:rPr>
        <w:t>[34]</w:t>
      </w:r>
      <w:r w:rsidRPr="001674FB">
        <w:rPr>
          <w:noProof/>
          <w:sz w:val="20"/>
        </w:rPr>
        <w:tab/>
        <w:t>S. Han, B. Li, Z. Song, S. Pan, Z. Zhang, H. Yao, S. Zhu, G. Xu, A kanamycin sensor based on an electrosynthesized molecularly imprinted poly-o-phenylenediamine film on a single-walled carbon nanohorn modified glassy carbon electrode,</w:t>
      </w:r>
      <w:r w:rsidR="00B77819" w:rsidRPr="00B77819">
        <w:rPr>
          <w:noProof/>
          <w:sz w:val="20"/>
        </w:rPr>
        <w:t xml:space="preserve"> </w:t>
      </w:r>
      <w:r w:rsidR="00B77819">
        <w:rPr>
          <w:noProof/>
          <w:sz w:val="20"/>
        </w:rPr>
        <w:t>Analyst</w:t>
      </w:r>
      <w:r w:rsidRPr="001674FB">
        <w:rPr>
          <w:noProof/>
          <w:sz w:val="20"/>
        </w:rPr>
        <w:t xml:space="preserve"> (2017) 218–223. doi:10.1039/c6an02338j.</w:t>
      </w:r>
    </w:p>
    <w:p w:rsidR="001674FB" w:rsidRPr="001674FB" w:rsidRDefault="001674FB">
      <w:pPr>
        <w:pStyle w:val="NormalWeb"/>
        <w:ind w:left="640" w:hanging="640"/>
        <w:divId w:val="1768571999"/>
        <w:rPr>
          <w:noProof/>
          <w:sz w:val="20"/>
        </w:rPr>
      </w:pPr>
      <w:r w:rsidRPr="001674FB">
        <w:rPr>
          <w:noProof/>
          <w:sz w:val="20"/>
        </w:rPr>
        <w:t>[35]</w:t>
      </w:r>
      <w:r w:rsidRPr="001674FB">
        <w:rPr>
          <w:noProof/>
          <w:sz w:val="20"/>
        </w:rPr>
        <w:tab/>
        <w:t>X. Zhang, Y.-C. Zhang, J.-W. Zhang, A highly selective electrochemical sensor for chloramphenicol based on three-dimensional reduced graphene oxide architectures, Talanta. 161 (2016) 567–573. doi:10.1016/j.talanta.2016.09.013.</w:t>
      </w:r>
    </w:p>
    <w:p w:rsidR="001674FB" w:rsidRPr="001674FB" w:rsidRDefault="001674FB">
      <w:pPr>
        <w:pStyle w:val="NormalWeb"/>
        <w:ind w:left="640" w:hanging="640"/>
        <w:divId w:val="1768571999"/>
        <w:rPr>
          <w:noProof/>
          <w:sz w:val="20"/>
        </w:rPr>
      </w:pPr>
      <w:r w:rsidRPr="001674FB">
        <w:rPr>
          <w:noProof/>
          <w:sz w:val="20"/>
        </w:rPr>
        <w:t>[36]</w:t>
      </w:r>
      <w:r w:rsidRPr="001674FB">
        <w:rPr>
          <w:noProof/>
          <w:sz w:val="20"/>
        </w:rPr>
        <w:tab/>
        <w:t>P. Jakubec, V. Urbanová, Z. Medříková, R. Zbořil, Advanced Sensing of Antibiotics with Magnetic Gold Nanocomposite: Electrochemical Detection of Chloramphenicol., Chemistry. 22 (2016) 14279–84. doi:10.1002/chem.201602434.</w:t>
      </w:r>
    </w:p>
    <w:p w:rsidR="001674FB" w:rsidRPr="001674FB" w:rsidRDefault="001674FB">
      <w:pPr>
        <w:pStyle w:val="NormalWeb"/>
        <w:ind w:left="640" w:hanging="640"/>
        <w:divId w:val="1768571999"/>
        <w:rPr>
          <w:noProof/>
          <w:sz w:val="20"/>
        </w:rPr>
      </w:pPr>
      <w:r w:rsidRPr="001674FB">
        <w:rPr>
          <w:noProof/>
          <w:sz w:val="20"/>
        </w:rPr>
        <w:t>[37]</w:t>
      </w:r>
      <w:r w:rsidRPr="001674FB">
        <w:rPr>
          <w:noProof/>
          <w:sz w:val="20"/>
        </w:rPr>
        <w:tab/>
        <w:t>M. Govindasamy, S.M. Chen, V. Mani, R. Devasenathipathy, R. Umamaheswari, K. Joseph Santhanaraj, A. Sathiyan, Molybdenum disulfide nanosheets coated multiwalled carbon nanotubes composite for highly sensitive determination of chloramphenicol in food samples milk, honey and powdered milk, J. Colloid Interface Sci. 485 (2017) 129–136. doi:10.1016/j.jcis.2016.09.029.</w:t>
      </w:r>
    </w:p>
    <w:p w:rsidR="001674FB" w:rsidRPr="001674FB" w:rsidRDefault="001674FB">
      <w:pPr>
        <w:pStyle w:val="NormalWeb"/>
        <w:ind w:left="640" w:hanging="640"/>
        <w:divId w:val="1768571999"/>
        <w:rPr>
          <w:noProof/>
          <w:sz w:val="20"/>
        </w:rPr>
      </w:pPr>
      <w:r w:rsidRPr="001674FB">
        <w:rPr>
          <w:noProof/>
          <w:sz w:val="20"/>
        </w:rPr>
        <w:t>[38]</w:t>
      </w:r>
      <w:r w:rsidRPr="001674FB">
        <w:rPr>
          <w:noProof/>
          <w:sz w:val="20"/>
        </w:rPr>
        <w:tab/>
        <w:t>R. Karthik, M. Govindasamy, S.M. Chen, V. Mani, B.S. Lou, R. Devasenathipathy, Y.S. Hou, A. Elangovan, Green synthesized gold nanoparticles decorated graphene oxide for sensitive determination of chloramphenicol in milk, powdered milk, honey and eye drops, J. Colloid Interface Sci. 475 (2016) 46–56. doi:10.1016/j.jcis.2016.04.044.</w:t>
      </w:r>
    </w:p>
    <w:p w:rsidR="001674FB" w:rsidRPr="001674FB" w:rsidRDefault="001674FB">
      <w:pPr>
        <w:pStyle w:val="NormalWeb"/>
        <w:ind w:left="640" w:hanging="640"/>
        <w:divId w:val="1768571999"/>
        <w:rPr>
          <w:noProof/>
          <w:sz w:val="20"/>
        </w:rPr>
      </w:pPr>
      <w:r w:rsidRPr="001674FB">
        <w:rPr>
          <w:noProof/>
          <w:sz w:val="20"/>
        </w:rPr>
        <w:t>[39]</w:t>
      </w:r>
      <w:r w:rsidRPr="001674FB">
        <w:rPr>
          <w:noProof/>
          <w:sz w:val="20"/>
        </w:rPr>
        <w:tab/>
        <w:t>S.A. Ranamukhaarachchi, C. Padeste, M. Dübner, U.O. Häfeli, B. Stoeber, V.J. Cadarso, Integrated hollow microneedle-optofluidic biosensor for therapeutic drug monitoring in sub-nanoliter volumes, Sci. Rep. 6 (2016) 29075. doi:10.1038/srep29075.</w:t>
      </w:r>
    </w:p>
    <w:p w:rsidR="001674FB" w:rsidRPr="001674FB" w:rsidRDefault="001674FB">
      <w:pPr>
        <w:pStyle w:val="NormalWeb"/>
        <w:ind w:left="640" w:hanging="640"/>
        <w:divId w:val="1768571999"/>
        <w:rPr>
          <w:noProof/>
          <w:sz w:val="20"/>
        </w:rPr>
      </w:pPr>
      <w:r w:rsidRPr="001674FB">
        <w:rPr>
          <w:noProof/>
          <w:sz w:val="20"/>
        </w:rPr>
        <w:t>[40]</w:t>
      </w:r>
      <w:r w:rsidRPr="001674FB">
        <w:rPr>
          <w:noProof/>
          <w:sz w:val="20"/>
        </w:rPr>
        <w:tab/>
        <w:t>A. Hayat, J.L. Marty, Aptamer based electrochemical sensors for emerging environmental pollutants., Front. Chem. 2 (2014) 41. doi:10.3389/fchem.2014.00041.</w:t>
      </w:r>
    </w:p>
    <w:p w:rsidR="001674FB" w:rsidRPr="001674FB" w:rsidRDefault="001674FB">
      <w:pPr>
        <w:pStyle w:val="NormalWeb"/>
        <w:ind w:left="640" w:hanging="640"/>
        <w:divId w:val="1768571999"/>
        <w:rPr>
          <w:noProof/>
          <w:sz w:val="20"/>
        </w:rPr>
      </w:pPr>
      <w:r w:rsidRPr="001674FB">
        <w:rPr>
          <w:noProof/>
          <w:sz w:val="20"/>
        </w:rPr>
        <w:t>[41]</w:t>
      </w:r>
      <w:r w:rsidRPr="001674FB">
        <w:rPr>
          <w:noProof/>
          <w:sz w:val="20"/>
        </w:rPr>
        <w:tab/>
        <w:t>D. V. Gorchkov, A.P. Soldatkin, H. Maupas, C. Martelet, N. Jaffrezic-Renault, Correlation between the electrical charge properties of polymeric membranes and the characteristics of ion field effect transistors or penicillinase based enzymatic field effect transistors, Anal. Chim. Acta. 331 (1996) 217–223. doi:10.1016/0003-2670(96)00185-7.</w:t>
      </w:r>
    </w:p>
    <w:p w:rsidR="001674FB" w:rsidRPr="001674FB" w:rsidRDefault="001674FB">
      <w:pPr>
        <w:pStyle w:val="NormalWeb"/>
        <w:ind w:left="640" w:hanging="640"/>
        <w:divId w:val="1768571999"/>
        <w:rPr>
          <w:noProof/>
          <w:sz w:val="20"/>
        </w:rPr>
      </w:pPr>
      <w:r w:rsidRPr="001674FB">
        <w:rPr>
          <w:noProof/>
          <w:sz w:val="20"/>
        </w:rPr>
        <w:t>[42]</w:t>
      </w:r>
      <w:r w:rsidRPr="001674FB">
        <w:rPr>
          <w:noProof/>
          <w:sz w:val="20"/>
        </w:rPr>
        <w:tab/>
        <w:t>K. Yamanaka, The electrochemical behavior of anodically electrodeposited iridium oxide films and the reliability of transmittance variable cells, Jpn. J. Appl. Phys. 30 (1991) 1285–1289. doi:10.1143/JJAP.30.1285.</w:t>
      </w:r>
    </w:p>
    <w:p w:rsidR="001674FB" w:rsidRPr="001674FB" w:rsidRDefault="001674FB">
      <w:pPr>
        <w:pStyle w:val="NormalWeb"/>
        <w:ind w:left="640" w:hanging="640"/>
        <w:divId w:val="1768571999"/>
        <w:rPr>
          <w:noProof/>
          <w:sz w:val="20"/>
        </w:rPr>
      </w:pPr>
      <w:r w:rsidRPr="001674FB">
        <w:rPr>
          <w:noProof/>
          <w:sz w:val="20"/>
        </w:rPr>
        <w:t>[43]</w:t>
      </w:r>
      <w:r w:rsidRPr="001674FB">
        <w:rPr>
          <w:noProof/>
          <w:sz w:val="20"/>
        </w:rPr>
        <w:tab/>
        <w:t>A.E.G. Cass, S. Sharma, Microneedle Enzyme Sensor Arrays for Continuous In Vivo Monitoring, in: 2017: pp. 413–427. doi:10.1016/bs.mie.2017.02.002.</w:t>
      </w:r>
    </w:p>
    <w:p w:rsidR="001674FB" w:rsidRPr="001674FB" w:rsidRDefault="00B77819">
      <w:pPr>
        <w:pStyle w:val="NormalWeb"/>
        <w:ind w:left="640" w:hanging="640"/>
        <w:divId w:val="1768571999"/>
        <w:rPr>
          <w:noProof/>
          <w:sz w:val="20"/>
        </w:rPr>
      </w:pPr>
      <w:r>
        <w:rPr>
          <w:noProof/>
          <w:sz w:val="20"/>
        </w:rPr>
        <w:lastRenderedPageBreak/>
        <w:t>[44]</w:t>
      </w:r>
      <w:r>
        <w:rPr>
          <w:noProof/>
          <w:sz w:val="20"/>
        </w:rPr>
        <w:tab/>
        <w:t>J.A.</w:t>
      </w:r>
      <w:r w:rsidR="001674FB" w:rsidRPr="001674FB">
        <w:rPr>
          <w:noProof/>
          <w:sz w:val="20"/>
        </w:rPr>
        <w:t xml:space="preserve"> Roberts, M.S. Roberts, T.</w:t>
      </w:r>
      <w:r>
        <w:rPr>
          <w:noProof/>
          <w:sz w:val="20"/>
        </w:rPr>
        <w:t>A.</w:t>
      </w:r>
      <w:r w:rsidR="001674FB" w:rsidRPr="001674FB">
        <w:rPr>
          <w:noProof/>
          <w:sz w:val="20"/>
        </w:rPr>
        <w:t xml:space="preserve"> Robertson, A.J. Dalley, J. Lipman, Piperacillin penetration into tissue of critically ill patients with sepsis--bolus versus continuous administration?, Crit. Care Med. 37 (2009) 926–933. doi:10.1097/CCM.0b013e3181968e44.</w:t>
      </w:r>
    </w:p>
    <w:p w:rsidR="001674FB" w:rsidRPr="001674FB" w:rsidRDefault="00B77819">
      <w:pPr>
        <w:pStyle w:val="NormalWeb"/>
        <w:ind w:left="640" w:hanging="640"/>
        <w:divId w:val="1768571999"/>
        <w:rPr>
          <w:noProof/>
          <w:sz w:val="20"/>
        </w:rPr>
      </w:pPr>
      <w:r>
        <w:rPr>
          <w:noProof/>
          <w:sz w:val="20"/>
        </w:rPr>
        <w:t>[45]</w:t>
      </w:r>
      <w:r>
        <w:rPr>
          <w:noProof/>
          <w:sz w:val="20"/>
        </w:rPr>
        <w:tab/>
        <w:t>J.A</w:t>
      </w:r>
      <w:r w:rsidR="001674FB" w:rsidRPr="001674FB">
        <w:rPr>
          <w:noProof/>
          <w:sz w:val="20"/>
        </w:rPr>
        <w:t>. Roberts, A.</w:t>
      </w:r>
      <w:r>
        <w:rPr>
          <w:noProof/>
          <w:sz w:val="20"/>
        </w:rPr>
        <w:t>A</w:t>
      </w:r>
      <w:r w:rsidR="001674FB" w:rsidRPr="001674FB">
        <w:rPr>
          <w:noProof/>
          <w:sz w:val="20"/>
        </w:rPr>
        <w:t>. Udy, P. Jarrett, S.C. Wallis, W.W. Hope, R. Sharma, C.M.J. Kirkpatrick, P.S. Kruger, M.S. Roberts, J. Lipman, Plasma and target-site subcutaneous tissue population pharmacokinetics and dosing simulations of cefazolin in post-trauma critically ill patients, J. Antimicrob. Chemother. 70 (2014) 1495–1502. doi:10.1093/jac/dku564.</w:t>
      </w:r>
    </w:p>
    <w:p w:rsidR="001674FB" w:rsidRPr="001674FB" w:rsidRDefault="001674FB">
      <w:pPr>
        <w:pStyle w:val="NormalWeb"/>
        <w:ind w:left="640" w:hanging="640"/>
        <w:divId w:val="1768571999"/>
        <w:rPr>
          <w:noProof/>
          <w:sz w:val="20"/>
        </w:rPr>
      </w:pPr>
      <w:r w:rsidRPr="001674FB">
        <w:rPr>
          <w:noProof/>
          <w:sz w:val="20"/>
        </w:rPr>
        <w:t>[46]</w:t>
      </w:r>
      <w:r w:rsidRPr="001674FB">
        <w:rPr>
          <w:noProof/>
          <w:sz w:val="20"/>
        </w:rPr>
        <w:tab/>
        <w:t>H.A. Elsen, C.F. Monson, M. Majda, Effects of Electrodeposition Conditions and Protocol on the Properties of Iridium Oxide pH Sensor Electrodes, J. Electrochem. Soc. 156 (2009) F1–F6. doi:Doi 10.1149/1.3001924.</w:t>
      </w:r>
    </w:p>
    <w:p w:rsidR="001674FB" w:rsidRPr="001674FB" w:rsidRDefault="001674FB">
      <w:pPr>
        <w:pStyle w:val="NormalWeb"/>
        <w:ind w:left="640" w:hanging="640"/>
        <w:divId w:val="1768571999"/>
        <w:rPr>
          <w:noProof/>
          <w:sz w:val="20"/>
        </w:rPr>
      </w:pPr>
      <w:r w:rsidRPr="001674FB">
        <w:rPr>
          <w:noProof/>
          <w:sz w:val="20"/>
        </w:rPr>
        <w:t>[47]</w:t>
      </w:r>
      <w:r w:rsidRPr="001674FB">
        <w:rPr>
          <w:noProof/>
          <w:sz w:val="20"/>
        </w:rPr>
        <w:tab/>
        <w:t>M. Hitchman, S. Ramanathan, Thermally grown iridium oxide electrodes for pH sensing in aqueous environments at 0 and 95 C, Anal. Chim. Acta. 263 (1992) 53–61. doi:10.1016/0003-2670(92)85425-6.</w:t>
      </w:r>
    </w:p>
    <w:p w:rsidR="001674FB" w:rsidRPr="001674FB" w:rsidRDefault="001674FB">
      <w:pPr>
        <w:pStyle w:val="NormalWeb"/>
        <w:ind w:left="640" w:hanging="640"/>
        <w:divId w:val="1768571999"/>
        <w:rPr>
          <w:noProof/>
          <w:sz w:val="20"/>
        </w:rPr>
      </w:pPr>
      <w:r w:rsidRPr="001674FB">
        <w:rPr>
          <w:noProof/>
          <w:sz w:val="20"/>
        </w:rPr>
        <w:t>[48]</w:t>
      </w:r>
      <w:r w:rsidRPr="001674FB">
        <w:rPr>
          <w:noProof/>
          <w:sz w:val="20"/>
        </w:rPr>
        <w:tab/>
        <w:t>S.R. Ng, D. O’Hare, An iridium oxide microelectrode for monitoring acute local pH changes of endothelial cells, Analyst. 140 (2015) 4224–4231. doi:10.1039/C5AN00377F.</w:t>
      </w:r>
    </w:p>
    <w:p w:rsidR="001674FB" w:rsidRPr="001674FB" w:rsidRDefault="001674FB">
      <w:pPr>
        <w:pStyle w:val="NormalWeb"/>
        <w:ind w:left="640" w:hanging="640"/>
        <w:divId w:val="1768571999"/>
        <w:rPr>
          <w:noProof/>
          <w:sz w:val="20"/>
        </w:rPr>
      </w:pPr>
      <w:r w:rsidRPr="001674FB">
        <w:rPr>
          <w:noProof/>
          <w:sz w:val="20"/>
        </w:rPr>
        <w:t>[49]</w:t>
      </w:r>
      <w:r w:rsidRPr="001674FB">
        <w:rPr>
          <w:noProof/>
          <w:sz w:val="20"/>
        </w:rPr>
        <w:tab/>
        <w:t>E. Bitziou, D. O’Hare, B.A. Patel, Simultaneous Detection of pH Changes and Histamine Release from Oxyntic Glands in Isolated Stomach, Anal. Chem. 80 (2008) 8733–8740. doi:10.1021/ac801413b.</w:t>
      </w:r>
    </w:p>
    <w:p w:rsidR="001674FB" w:rsidRPr="001674FB" w:rsidRDefault="001674FB">
      <w:pPr>
        <w:pStyle w:val="NormalWeb"/>
        <w:ind w:left="640" w:hanging="640"/>
        <w:divId w:val="1768571999"/>
        <w:rPr>
          <w:noProof/>
          <w:sz w:val="20"/>
        </w:rPr>
      </w:pPr>
      <w:r w:rsidRPr="001674FB">
        <w:rPr>
          <w:noProof/>
          <w:sz w:val="20"/>
        </w:rPr>
        <w:t>[50]</w:t>
      </w:r>
      <w:r w:rsidRPr="001674FB">
        <w:rPr>
          <w:noProof/>
          <w:sz w:val="20"/>
        </w:rPr>
        <w:tab/>
        <w:t>D. Greenwood, Antimicrobial Chemotherapy, Fourth Edi, Oxford University Press, Oxford, 2000.</w:t>
      </w:r>
    </w:p>
    <w:p w:rsidR="00B77819" w:rsidRPr="00434011" w:rsidRDefault="001674FB" w:rsidP="00B77819">
      <w:pPr>
        <w:widowControl w:val="0"/>
        <w:autoSpaceDE w:val="0"/>
        <w:autoSpaceDN w:val="0"/>
        <w:adjustRightInd w:val="0"/>
        <w:spacing w:before="100" w:after="100" w:line="240" w:lineRule="auto"/>
        <w:ind w:left="640" w:hanging="640"/>
        <w:divId w:val="1768571999"/>
        <w:rPr>
          <w:rFonts w:ascii="Times New Roman" w:hAnsi="Times New Roman" w:cs="Times New Roman"/>
          <w:noProof/>
          <w:sz w:val="20"/>
          <w:szCs w:val="24"/>
        </w:rPr>
      </w:pPr>
      <w:r w:rsidRPr="001674FB">
        <w:rPr>
          <w:rFonts w:ascii="Times New Roman" w:hAnsi="Times New Roman" w:cs="Times New Roman"/>
          <w:noProof/>
          <w:sz w:val="20"/>
        </w:rPr>
        <w:t>[51]</w:t>
      </w:r>
      <w:r w:rsidRPr="001674FB">
        <w:rPr>
          <w:rFonts w:ascii="Times New Roman" w:hAnsi="Times New Roman" w:cs="Times New Roman"/>
          <w:noProof/>
          <w:sz w:val="20"/>
        </w:rPr>
        <w:tab/>
      </w:r>
      <w:r w:rsidR="00B77819" w:rsidRPr="00434011">
        <w:rPr>
          <w:rFonts w:ascii="Times New Roman" w:hAnsi="Times New Roman" w:cs="Times New Roman"/>
          <w:noProof/>
          <w:sz w:val="20"/>
          <w:szCs w:val="24"/>
        </w:rPr>
        <w:t>B. Kocsis, D. Szabó, Antibiotic resistance mechanisms in Enterobacteriaceae,</w:t>
      </w:r>
      <w:r w:rsidR="00B77819">
        <w:rPr>
          <w:rFonts w:ascii="Times New Roman" w:hAnsi="Times New Roman" w:cs="Times New Roman"/>
          <w:noProof/>
          <w:sz w:val="20"/>
          <w:szCs w:val="24"/>
        </w:rPr>
        <w:t xml:space="preserve"> in: A. Mendez-Vilas (Ed.), Microbial pathogens and strategies for combating them: Science, technology and education, Formatex,</w:t>
      </w:r>
      <w:r w:rsidR="00B77819" w:rsidRPr="00434011">
        <w:rPr>
          <w:rFonts w:ascii="Times New Roman" w:hAnsi="Times New Roman" w:cs="Times New Roman"/>
          <w:noProof/>
          <w:sz w:val="20"/>
          <w:szCs w:val="24"/>
        </w:rPr>
        <w:t xml:space="preserve"> 2013</w:t>
      </w:r>
      <w:r w:rsidR="00B77819">
        <w:rPr>
          <w:rFonts w:ascii="Times New Roman" w:hAnsi="Times New Roman" w:cs="Times New Roman"/>
          <w:noProof/>
          <w:sz w:val="20"/>
          <w:szCs w:val="24"/>
        </w:rPr>
        <w:t>.</w:t>
      </w:r>
      <w:r w:rsidR="00B77819" w:rsidRPr="00434011">
        <w:rPr>
          <w:rFonts w:ascii="Times New Roman" w:hAnsi="Times New Roman" w:cs="Times New Roman"/>
          <w:noProof/>
          <w:sz w:val="20"/>
          <w:szCs w:val="24"/>
        </w:rPr>
        <w:t xml:space="preserve"> </w:t>
      </w:r>
      <w:r w:rsidR="00B77819" w:rsidRPr="00B22A4B">
        <w:rPr>
          <w:rFonts w:ascii="Times New Roman" w:hAnsi="Times New Roman" w:cs="Times New Roman"/>
          <w:noProof/>
          <w:sz w:val="20"/>
          <w:szCs w:val="24"/>
        </w:rPr>
        <w:t>http://www.formatex.info/microbiology4/vol1/251-257.pdf</w:t>
      </w:r>
    </w:p>
    <w:p w:rsidR="00B77819" w:rsidRPr="00434011" w:rsidRDefault="001674FB" w:rsidP="00B77819">
      <w:pPr>
        <w:widowControl w:val="0"/>
        <w:autoSpaceDE w:val="0"/>
        <w:autoSpaceDN w:val="0"/>
        <w:adjustRightInd w:val="0"/>
        <w:spacing w:before="100" w:after="100" w:line="240" w:lineRule="auto"/>
        <w:ind w:left="640" w:hanging="640"/>
        <w:divId w:val="1768571999"/>
        <w:rPr>
          <w:rFonts w:ascii="Times New Roman" w:hAnsi="Times New Roman" w:cs="Times New Roman"/>
          <w:noProof/>
          <w:sz w:val="20"/>
          <w:szCs w:val="24"/>
        </w:rPr>
      </w:pPr>
      <w:r w:rsidRPr="001674FB">
        <w:rPr>
          <w:rFonts w:ascii="Times New Roman" w:hAnsi="Times New Roman" w:cs="Times New Roman"/>
          <w:noProof/>
          <w:sz w:val="20"/>
        </w:rPr>
        <w:t>[52]</w:t>
      </w:r>
      <w:r w:rsidRPr="001674FB">
        <w:rPr>
          <w:rFonts w:ascii="Times New Roman" w:hAnsi="Times New Roman" w:cs="Times New Roman"/>
          <w:noProof/>
          <w:sz w:val="20"/>
        </w:rPr>
        <w:tab/>
        <w:t xml:space="preserve">D. O’Hare, </w:t>
      </w:r>
      <w:r w:rsidR="00B77819" w:rsidRPr="00434011">
        <w:rPr>
          <w:rFonts w:ascii="Times New Roman" w:hAnsi="Times New Roman" w:cs="Times New Roman"/>
          <w:noProof/>
          <w:sz w:val="20"/>
          <w:szCs w:val="24"/>
        </w:rPr>
        <w:t>Biosensors and Sensor Systems, in: G. Yang (Ed.), Body Sens</w:t>
      </w:r>
      <w:r w:rsidR="00B77819">
        <w:rPr>
          <w:rFonts w:ascii="Times New Roman" w:hAnsi="Times New Roman" w:cs="Times New Roman"/>
          <w:noProof/>
          <w:sz w:val="20"/>
          <w:szCs w:val="24"/>
        </w:rPr>
        <w:t>or Networks</w:t>
      </w:r>
      <w:r w:rsidR="00B77819" w:rsidRPr="00434011">
        <w:rPr>
          <w:rFonts w:ascii="Times New Roman" w:hAnsi="Times New Roman" w:cs="Times New Roman"/>
          <w:noProof/>
          <w:sz w:val="20"/>
          <w:szCs w:val="24"/>
        </w:rPr>
        <w:t>, Springer, 2014. doi:10.1007/978-1-4471-6374-9</w:t>
      </w:r>
      <w:r w:rsidR="00B77819">
        <w:rPr>
          <w:rFonts w:ascii="Times New Roman" w:hAnsi="Times New Roman" w:cs="Times New Roman"/>
          <w:noProof/>
          <w:sz w:val="20"/>
          <w:szCs w:val="24"/>
        </w:rPr>
        <w:t>_2</w:t>
      </w:r>
      <w:r w:rsidR="00B77819" w:rsidRPr="00434011">
        <w:rPr>
          <w:rFonts w:ascii="Times New Roman" w:hAnsi="Times New Roman" w:cs="Times New Roman"/>
          <w:noProof/>
          <w:sz w:val="20"/>
          <w:szCs w:val="24"/>
        </w:rPr>
        <w:t>.</w:t>
      </w:r>
    </w:p>
    <w:p w:rsidR="001674FB" w:rsidRPr="001674FB" w:rsidRDefault="001674FB">
      <w:pPr>
        <w:pStyle w:val="NormalWeb"/>
        <w:ind w:left="640" w:hanging="640"/>
        <w:divId w:val="1768571999"/>
        <w:rPr>
          <w:noProof/>
          <w:sz w:val="20"/>
        </w:rPr>
      </w:pPr>
      <w:r w:rsidRPr="001674FB">
        <w:rPr>
          <w:noProof/>
          <w:sz w:val="20"/>
        </w:rPr>
        <w:t>[53]</w:t>
      </w:r>
      <w:r w:rsidRPr="001674FB">
        <w:rPr>
          <w:noProof/>
          <w:sz w:val="20"/>
        </w:rPr>
        <w:tab/>
        <w:t>R. Trouillon, Z. Combs, B.A. Patel, D. O’Hare, Comparative study of the effect of various electrode membranes on biofouling and electrochemical measurements, Electrochem. Commun. 11 (2009) 1409–1413. doi:10.1016/j.elecom.2009.05.018.</w:t>
      </w:r>
    </w:p>
    <w:p w:rsidR="001674FB" w:rsidRPr="001674FB" w:rsidRDefault="001674FB">
      <w:pPr>
        <w:pStyle w:val="NormalWeb"/>
        <w:ind w:left="640" w:hanging="640"/>
        <w:divId w:val="1768571999"/>
        <w:rPr>
          <w:noProof/>
          <w:sz w:val="20"/>
        </w:rPr>
      </w:pPr>
      <w:r w:rsidRPr="001674FB">
        <w:rPr>
          <w:noProof/>
          <w:sz w:val="20"/>
        </w:rPr>
        <w:t>[54]</w:t>
      </w:r>
      <w:r w:rsidRPr="001674FB">
        <w:rPr>
          <w:noProof/>
          <w:sz w:val="20"/>
        </w:rPr>
        <w:tab/>
        <w:t>P.N. Bartlett, C.S. Toh, E.J. Calvo, V. Flexer, Modelling Biosensor Responses, in: Bioelectrochemistry, John Wiley &amp; Sons, Ltd, Chichester, UK,</w:t>
      </w:r>
      <w:r w:rsidR="00B77819">
        <w:rPr>
          <w:noProof/>
          <w:sz w:val="20"/>
        </w:rPr>
        <w:t xml:space="preserve"> 2008</w:t>
      </w:r>
      <w:r w:rsidRPr="001674FB">
        <w:rPr>
          <w:noProof/>
          <w:sz w:val="20"/>
        </w:rPr>
        <w:t xml:space="preserve">.: pp. 267–325. doi:10.1002/9780470753842.ch8. </w:t>
      </w:r>
    </w:p>
    <w:p w:rsidR="0092482C" w:rsidRDefault="0092482C" w:rsidP="001674FB">
      <w:pPr>
        <w:pStyle w:val="NormalWeb"/>
        <w:ind w:left="640" w:hanging="640"/>
        <w:divId w:val="1238515559"/>
        <w:rPr>
          <w:b/>
          <w:sz w:val="20"/>
          <w:szCs w:val="20"/>
        </w:rPr>
      </w:pPr>
      <w:r>
        <w:rPr>
          <w:b/>
          <w:sz w:val="20"/>
          <w:szCs w:val="20"/>
        </w:rPr>
        <w:fldChar w:fldCharType="end"/>
      </w:r>
    </w:p>
    <w:p w:rsidR="004466EA" w:rsidRDefault="004466EA" w:rsidP="007D7599">
      <w:pPr>
        <w:spacing w:line="480" w:lineRule="auto"/>
        <w:jc w:val="both"/>
        <w:rPr>
          <w:rFonts w:ascii="Times New Roman" w:hAnsi="Times New Roman" w:cs="Times New Roman"/>
          <w:sz w:val="20"/>
          <w:szCs w:val="20"/>
        </w:rPr>
        <w:sectPr w:rsidR="004466EA">
          <w:pgSz w:w="11906" w:h="16838"/>
          <w:pgMar w:top="1440" w:right="1440" w:bottom="1440" w:left="1440" w:header="708" w:footer="708" w:gutter="0"/>
          <w:cols w:space="708"/>
          <w:docGrid w:linePitch="360"/>
        </w:sectPr>
      </w:pPr>
    </w:p>
    <w:p w:rsidR="004466EA" w:rsidRPr="004466EA" w:rsidRDefault="004466EA" w:rsidP="004466EA">
      <w:pPr>
        <w:spacing w:line="480" w:lineRule="auto"/>
        <w:jc w:val="both"/>
        <w:rPr>
          <w:rFonts w:ascii="Times New Roman" w:hAnsi="Times New Roman" w:cs="Times New Roman"/>
        </w:rPr>
      </w:pPr>
      <w:proofErr w:type="gramStart"/>
      <w:r w:rsidRPr="004466EA">
        <w:rPr>
          <w:rFonts w:ascii="Times New Roman" w:hAnsi="Times New Roman" w:cs="Times New Roman"/>
          <w:b/>
          <w:bCs/>
        </w:rPr>
        <w:lastRenderedPageBreak/>
        <w:t>Figure 1.</w:t>
      </w:r>
      <w:proofErr w:type="gramEnd"/>
      <w:r w:rsidRPr="004466EA">
        <w:rPr>
          <w:rFonts w:ascii="Times New Roman" w:hAnsi="Times New Roman" w:cs="Times New Roman"/>
          <w:b/>
          <w:bCs/>
        </w:rPr>
        <w:t xml:space="preserve"> </w:t>
      </w:r>
      <w:proofErr w:type="spellStart"/>
      <w:r w:rsidRPr="004466EA">
        <w:rPr>
          <w:rFonts w:ascii="Times New Roman" w:hAnsi="Times New Roman" w:cs="Times New Roman"/>
        </w:rPr>
        <w:t>Anodically</w:t>
      </w:r>
      <w:proofErr w:type="spellEnd"/>
      <w:r w:rsidRPr="004466EA">
        <w:rPr>
          <w:rFonts w:ascii="Times New Roman" w:hAnsi="Times New Roman" w:cs="Times New Roman"/>
        </w:rPr>
        <w:t xml:space="preserve"> deposited iridium oxide film pH calibration </w:t>
      </w:r>
    </w:p>
    <w:p w:rsidR="004466EA" w:rsidRDefault="004466EA" w:rsidP="004466EA">
      <w:pPr>
        <w:spacing w:line="480" w:lineRule="auto"/>
        <w:jc w:val="both"/>
        <w:rPr>
          <w:rFonts w:ascii="Times New Roman" w:hAnsi="Times New Roman" w:cs="Times New Roman"/>
          <w:sz w:val="20"/>
          <w:szCs w:val="20"/>
        </w:rPr>
      </w:pPr>
      <w:r w:rsidRPr="004466EA">
        <w:rPr>
          <w:rFonts w:ascii="Times New Roman" w:hAnsi="Times New Roman" w:cs="Times New Roman"/>
          <w:b/>
          <w:bCs/>
          <w:sz w:val="20"/>
          <w:szCs w:val="20"/>
        </w:rPr>
        <w:t xml:space="preserve">1a. </w:t>
      </w:r>
      <w:r w:rsidRPr="004466EA">
        <w:rPr>
          <w:rFonts w:ascii="Times New Roman" w:hAnsi="Times New Roman" w:cs="Times New Roman"/>
          <w:sz w:val="20"/>
          <w:szCs w:val="20"/>
        </w:rPr>
        <w:t>Comparison on iridium oxide pH calibration on separate microneedle devices</w:t>
      </w:r>
    </w:p>
    <w:p w:rsidR="004466EA" w:rsidRDefault="004466EA" w:rsidP="004466EA">
      <w:pPr>
        <w:spacing w:line="480" w:lineRule="auto"/>
        <w:jc w:val="both"/>
        <w:rPr>
          <w:rFonts w:ascii="Times New Roman" w:hAnsi="Times New Roman" w:cs="Times New Roman"/>
          <w:sz w:val="20"/>
          <w:szCs w:val="20"/>
        </w:rPr>
      </w:pPr>
    </w:p>
    <w:p w:rsidR="004466EA" w:rsidRDefault="004466EA" w:rsidP="004466EA">
      <w:pPr>
        <w:spacing w:line="480" w:lineRule="auto"/>
        <w:jc w:val="both"/>
        <w:rPr>
          <w:rFonts w:ascii="Times New Roman" w:hAnsi="Times New Roman" w:cs="Times New Roman"/>
          <w:sz w:val="20"/>
          <w:szCs w:val="20"/>
        </w:rPr>
      </w:pPr>
    </w:p>
    <w:p w:rsidR="004466EA" w:rsidRDefault="004466EA" w:rsidP="004466EA">
      <w:pPr>
        <w:spacing w:line="480" w:lineRule="auto"/>
        <w:jc w:val="both"/>
        <w:rPr>
          <w:rFonts w:ascii="Times New Roman" w:hAnsi="Times New Roman" w:cs="Times New Roman"/>
          <w:b/>
          <w:bCs/>
          <w:sz w:val="20"/>
          <w:szCs w:val="20"/>
        </w:rPr>
      </w:pPr>
    </w:p>
    <w:p w:rsidR="004466EA" w:rsidRDefault="004466EA" w:rsidP="004466EA">
      <w:pPr>
        <w:spacing w:line="480" w:lineRule="auto"/>
        <w:jc w:val="both"/>
        <w:rPr>
          <w:rFonts w:ascii="Times New Roman" w:hAnsi="Times New Roman" w:cs="Times New Roman"/>
          <w:b/>
          <w:bCs/>
          <w:sz w:val="20"/>
          <w:szCs w:val="20"/>
        </w:rPr>
      </w:pPr>
    </w:p>
    <w:p w:rsidR="004466EA" w:rsidRPr="004466EA" w:rsidRDefault="004466EA" w:rsidP="004466EA">
      <w:pPr>
        <w:spacing w:line="480" w:lineRule="auto"/>
        <w:jc w:val="both"/>
        <w:rPr>
          <w:rFonts w:ascii="Times New Roman" w:hAnsi="Times New Roman" w:cs="Times New Roman"/>
          <w:sz w:val="20"/>
          <w:szCs w:val="20"/>
        </w:rPr>
      </w:pPr>
      <w:r w:rsidRPr="004466EA">
        <w:rPr>
          <w:rFonts w:ascii="Times New Roman" w:hAnsi="Times New Roman" w:cs="Times New Roman"/>
          <w:b/>
          <w:bCs/>
          <w:sz w:val="20"/>
          <w:szCs w:val="20"/>
        </w:rPr>
        <w:t xml:space="preserve">1b. </w:t>
      </w:r>
      <w:r w:rsidRPr="004466EA">
        <w:rPr>
          <w:rFonts w:ascii="Times New Roman" w:hAnsi="Times New Roman" w:cs="Times New Roman"/>
          <w:sz w:val="20"/>
          <w:szCs w:val="20"/>
        </w:rPr>
        <w:t>Comparison on iridium oxide pH calibration on different stages of biosensor fabrication</w:t>
      </w:r>
    </w:p>
    <w:p w:rsidR="004466EA" w:rsidRDefault="004466EA" w:rsidP="007D7599">
      <w:pPr>
        <w:spacing w:line="480" w:lineRule="auto"/>
        <w:jc w:val="both"/>
        <w:rPr>
          <w:rFonts w:ascii="Times New Roman" w:hAnsi="Times New Roman" w:cs="Times New Roman"/>
          <w:sz w:val="20"/>
          <w:szCs w:val="20"/>
        </w:rPr>
        <w:sectPr w:rsidR="004466EA">
          <w:pgSz w:w="11906" w:h="16838"/>
          <w:pgMar w:top="1440" w:right="1440" w:bottom="1440" w:left="1440" w:header="708" w:footer="708" w:gutter="0"/>
          <w:cols w:space="708"/>
          <w:docGrid w:linePitch="360"/>
        </w:sectPr>
      </w:pPr>
    </w:p>
    <w:p w:rsidR="004466EA" w:rsidRPr="004466EA" w:rsidRDefault="004466EA" w:rsidP="004466EA">
      <w:pPr>
        <w:pStyle w:val="NormalWeb"/>
        <w:spacing w:before="0" w:beforeAutospacing="0" w:after="0" w:afterAutospacing="0"/>
        <w:rPr>
          <w:sz w:val="22"/>
          <w:szCs w:val="22"/>
        </w:rPr>
      </w:pPr>
      <w:proofErr w:type="gramStart"/>
      <w:r w:rsidRPr="004466EA">
        <w:rPr>
          <w:b/>
          <w:bCs/>
          <w:color w:val="000000" w:themeColor="text1"/>
          <w:kern w:val="24"/>
          <w:sz w:val="22"/>
          <w:szCs w:val="22"/>
        </w:rPr>
        <w:lastRenderedPageBreak/>
        <w:t>Figure 2.</w:t>
      </w:r>
      <w:proofErr w:type="gramEnd"/>
      <w:r w:rsidRPr="004466EA">
        <w:rPr>
          <w:b/>
          <w:bCs/>
          <w:color w:val="000000" w:themeColor="text1"/>
          <w:kern w:val="24"/>
          <w:sz w:val="22"/>
          <w:szCs w:val="22"/>
        </w:rPr>
        <w:t xml:space="preserve"> </w:t>
      </w:r>
      <w:r w:rsidRPr="004466EA">
        <w:rPr>
          <w:color w:val="000000" w:themeColor="text1"/>
          <w:kern w:val="24"/>
          <w:sz w:val="22"/>
          <w:szCs w:val="22"/>
        </w:rPr>
        <w:t xml:space="preserve">Calibration of microneedle biosensors </w:t>
      </w:r>
    </w:p>
    <w:p w:rsidR="004466EA" w:rsidRDefault="004466EA" w:rsidP="004466EA">
      <w:pPr>
        <w:spacing w:line="480" w:lineRule="auto"/>
        <w:jc w:val="both"/>
        <w:rPr>
          <w:rFonts w:ascii="Times New Roman" w:hAnsi="Times New Roman" w:cs="Times New Roman"/>
          <w:b/>
          <w:bCs/>
          <w:sz w:val="20"/>
          <w:szCs w:val="20"/>
        </w:rPr>
      </w:pPr>
    </w:p>
    <w:p w:rsidR="004466EA" w:rsidRDefault="004466EA" w:rsidP="004466EA">
      <w:pPr>
        <w:spacing w:line="480" w:lineRule="auto"/>
        <w:jc w:val="both"/>
        <w:rPr>
          <w:rFonts w:ascii="Times New Roman" w:hAnsi="Times New Roman" w:cs="Times New Roman"/>
          <w:sz w:val="20"/>
          <w:szCs w:val="20"/>
        </w:rPr>
      </w:pPr>
      <w:r w:rsidRPr="004466EA">
        <w:rPr>
          <w:rFonts w:ascii="Times New Roman" w:hAnsi="Times New Roman" w:cs="Times New Roman"/>
          <w:b/>
          <w:bCs/>
          <w:sz w:val="20"/>
          <w:szCs w:val="20"/>
        </w:rPr>
        <w:t xml:space="preserve">2a. </w:t>
      </w:r>
      <w:r w:rsidRPr="004466EA">
        <w:rPr>
          <w:rFonts w:ascii="Times New Roman" w:hAnsi="Times New Roman" w:cs="Times New Roman"/>
          <w:sz w:val="20"/>
          <w:szCs w:val="20"/>
        </w:rPr>
        <w:t>Calibration curve comparison for m</w:t>
      </w:r>
      <w:r>
        <w:rPr>
          <w:rFonts w:ascii="Times New Roman" w:hAnsi="Times New Roman" w:cs="Times New Roman"/>
          <w:sz w:val="20"/>
          <w:szCs w:val="20"/>
        </w:rPr>
        <w:t>icroneedle runs with penicillin</w:t>
      </w:r>
      <w:r w:rsidR="00B22A4B">
        <w:rPr>
          <w:rFonts w:ascii="Times New Roman" w:hAnsi="Times New Roman" w:cs="Times New Roman"/>
          <w:sz w:val="20"/>
          <w:szCs w:val="20"/>
        </w:rPr>
        <w:t>-</w:t>
      </w:r>
      <w:r w:rsidRPr="004466EA">
        <w:rPr>
          <w:rFonts w:ascii="Times New Roman" w:hAnsi="Times New Roman" w:cs="Times New Roman"/>
          <w:sz w:val="20"/>
          <w:szCs w:val="20"/>
        </w:rPr>
        <w:t>G fitted with the Hill equation</w:t>
      </w:r>
    </w:p>
    <w:p w:rsidR="004466EA" w:rsidRPr="004466EA" w:rsidRDefault="004466EA" w:rsidP="004466EA">
      <w:pPr>
        <w:spacing w:line="480" w:lineRule="auto"/>
        <w:jc w:val="both"/>
        <w:rPr>
          <w:rFonts w:ascii="Times New Roman" w:hAnsi="Times New Roman" w:cs="Times New Roman"/>
          <w:sz w:val="20"/>
          <w:szCs w:val="20"/>
        </w:rPr>
      </w:pPr>
    </w:p>
    <w:p w:rsidR="004466EA" w:rsidRDefault="004466EA" w:rsidP="004466EA">
      <w:pPr>
        <w:spacing w:line="480" w:lineRule="auto"/>
        <w:jc w:val="both"/>
        <w:rPr>
          <w:rFonts w:ascii="Times New Roman" w:hAnsi="Times New Roman" w:cs="Times New Roman"/>
          <w:b/>
          <w:bCs/>
          <w:sz w:val="20"/>
          <w:szCs w:val="20"/>
        </w:rPr>
      </w:pPr>
    </w:p>
    <w:p w:rsidR="004466EA" w:rsidRDefault="004466EA" w:rsidP="004466EA">
      <w:pPr>
        <w:spacing w:line="480" w:lineRule="auto"/>
        <w:jc w:val="both"/>
        <w:rPr>
          <w:rFonts w:ascii="Times New Roman" w:hAnsi="Times New Roman" w:cs="Times New Roman"/>
          <w:b/>
          <w:bCs/>
          <w:sz w:val="20"/>
          <w:szCs w:val="20"/>
        </w:rPr>
      </w:pPr>
    </w:p>
    <w:p w:rsidR="004466EA" w:rsidRPr="004466EA" w:rsidRDefault="004466EA" w:rsidP="004466EA">
      <w:pPr>
        <w:spacing w:line="480" w:lineRule="auto"/>
        <w:jc w:val="both"/>
        <w:rPr>
          <w:rFonts w:ascii="Times New Roman" w:hAnsi="Times New Roman" w:cs="Times New Roman"/>
          <w:sz w:val="20"/>
          <w:szCs w:val="20"/>
        </w:rPr>
      </w:pPr>
      <w:r w:rsidRPr="004466EA">
        <w:rPr>
          <w:rFonts w:ascii="Times New Roman" w:hAnsi="Times New Roman" w:cs="Times New Roman"/>
          <w:b/>
          <w:bCs/>
          <w:sz w:val="20"/>
          <w:szCs w:val="20"/>
        </w:rPr>
        <w:t xml:space="preserve">2b. </w:t>
      </w:r>
      <w:proofErr w:type="gramStart"/>
      <w:r w:rsidR="00D70D3E">
        <w:rPr>
          <w:rFonts w:ascii="Times New Roman" w:hAnsi="Times New Roman" w:cs="Times New Roman"/>
          <w:sz w:val="20"/>
          <w:szCs w:val="20"/>
        </w:rPr>
        <w:t>Log(</w:t>
      </w:r>
      <w:proofErr w:type="gramEnd"/>
      <w:r w:rsidRPr="004466EA">
        <w:rPr>
          <w:rFonts w:ascii="Times New Roman" w:hAnsi="Times New Roman" w:cs="Times New Roman"/>
          <w:sz w:val="20"/>
          <w:szCs w:val="20"/>
        </w:rPr>
        <w:t>concentration</w:t>
      </w:r>
      <w:r w:rsidR="00D70D3E">
        <w:rPr>
          <w:rFonts w:ascii="Times New Roman" w:hAnsi="Times New Roman" w:cs="Times New Roman"/>
          <w:sz w:val="20"/>
          <w:szCs w:val="20"/>
        </w:rPr>
        <w:t>)</w:t>
      </w:r>
      <w:r w:rsidRPr="004466EA">
        <w:rPr>
          <w:rFonts w:ascii="Times New Roman" w:hAnsi="Times New Roman" w:cs="Times New Roman"/>
          <w:sz w:val="20"/>
          <w:szCs w:val="20"/>
        </w:rPr>
        <w:t xml:space="preserve"> plots of data from penicillin-G calibration</w:t>
      </w:r>
    </w:p>
    <w:p w:rsidR="004466EA" w:rsidRDefault="004466EA" w:rsidP="007D7599">
      <w:pPr>
        <w:spacing w:line="480" w:lineRule="auto"/>
        <w:jc w:val="both"/>
        <w:rPr>
          <w:rFonts w:ascii="Times New Roman" w:hAnsi="Times New Roman" w:cs="Times New Roman"/>
          <w:sz w:val="20"/>
          <w:szCs w:val="20"/>
        </w:rPr>
      </w:pPr>
    </w:p>
    <w:p w:rsidR="004466EA" w:rsidRDefault="004466EA" w:rsidP="007D7599">
      <w:pPr>
        <w:spacing w:line="480" w:lineRule="auto"/>
        <w:jc w:val="both"/>
        <w:rPr>
          <w:rFonts w:ascii="Times New Roman" w:hAnsi="Times New Roman" w:cs="Times New Roman"/>
          <w:sz w:val="20"/>
          <w:szCs w:val="20"/>
        </w:rPr>
      </w:pPr>
    </w:p>
    <w:p w:rsidR="004466EA" w:rsidRDefault="004466EA" w:rsidP="007D7599">
      <w:pPr>
        <w:spacing w:line="480" w:lineRule="auto"/>
        <w:jc w:val="both"/>
        <w:rPr>
          <w:rFonts w:ascii="Times New Roman" w:hAnsi="Times New Roman" w:cs="Times New Roman"/>
          <w:sz w:val="20"/>
          <w:szCs w:val="20"/>
        </w:rPr>
      </w:pPr>
    </w:p>
    <w:p w:rsidR="004466EA" w:rsidRDefault="004466EA" w:rsidP="007D7599">
      <w:pPr>
        <w:spacing w:line="480" w:lineRule="auto"/>
        <w:jc w:val="both"/>
        <w:rPr>
          <w:rFonts w:ascii="Times New Roman" w:hAnsi="Times New Roman" w:cs="Times New Roman"/>
          <w:sz w:val="20"/>
          <w:szCs w:val="20"/>
        </w:rPr>
      </w:pPr>
    </w:p>
    <w:p w:rsidR="004466EA" w:rsidRPr="004466EA" w:rsidRDefault="004466EA" w:rsidP="004466EA">
      <w:r w:rsidRPr="004466EA">
        <w:rPr>
          <w:b/>
        </w:rPr>
        <w:t>2c.</w:t>
      </w:r>
      <w:r>
        <w:t xml:space="preserve"> </w:t>
      </w:r>
      <w:r w:rsidRPr="004466EA">
        <w:t xml:space="preserve">Comparison of results for platinum disc electrode based beta-lactam sensor calibrated against penicillin-G, amoxicillin, and ceftriaxone. </w:t>
      </w:r>
    </w:p>
    <w:p w:rsidR="004466EA" w:rsidRDefault="004466EA" w:rsidP="004466EA">
      <w:pPr>
        <w:rPr>
          <w:b/>
        </w:rPr>
      </w:pPr>
    </w:p>
    <w:p w:rsidR="004466EA" w:rsidRDefault="004466EA" w:rsidP="004466EA">
      <w:pPr>
        <w:rPr>
          <w:b/>
        </w:rPr>
      </w:pPr>
    </w:p>
    <w:p w:rsidR="004466EA" w:rsidRDefault="004466EA" w:rsidP="004466EA">
      <w:pPr>
        <w:rPr>
          <w:b/>
        </w:rPr>
      </w:pPr>
    </w:p>
    <w:p w:rsidR="004466EA" w:rsidRDefault="004466EA" w:rsidP="004466EA">
      <w:pPr>
        <w:rPr>
          <w:b/>
        </w:rPr>
      </w:pPr>
    </w:p>
    <w:p w:rsidR="004466EA" w:rsidRDefault="004466EA" w:rsidP="004466EA">
      <w:pPr>
        <w:rPr>
          <w:b/>
        </w:rPr>
      </w:pPr>
    </w:p>
    <w:p w:rsidR="004466EA" w:rsidRPr="00D93D2B" w:rsidRDefault="004466EA" w:rsidP="007D7599">
      <w:pPr>
        <w:spacing w:line="480" w:lineRule="auto"/>
        <w:jc w:val="both"/>
        <w:rPr>
          <w:rFonts w:ascii="Times New Roman" w:hAnsi="Times New Roman" w:cs="Times New Roman"/>
          <w:sz w:val="20"/>
          <w:szCs w:val="20"/>
        </w:rPr>
      </w:pPr>
      <w:bookmarkStart w:id="0" w:name="_GoBack"/>
      <w:bookmarkEnd w:id="0"/>
    </w:p>
    <w:sectPr w:rsidR="004466EA" w:rsidRPr="00D93D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B06" w:rsidRDefault="00791B06" w:rsidP="00CE4898">
      <w:pPr>
        <w:spacing w:after="0" w:line="240" w:lineRule="auto"/>
      </w:pPr>
      <w:r>
        <w:separator/>
      </w:r>
    </w:p>
  </w:endnote>
  <w:endnote w:type="continuationSeparator" w:id="0">
    <w:p w:rsidR="00791B06" w:rsidRDefault="00791B06" w:rsidP="00CE4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9521380"/>
      <w:docPartObj>
        <w:docPartGallery w:val="Page Numbers (Bottom of Page)"/>
        <w:docPartUnique/>
      </w:docPartObj>
    </w:sdtPr>
    <w:sdtEndPr>
      <w:rPr>
        <w:noProof/>
      </w:rPr>
    </w:sdtEndPr>
    <w:sdtContent>
      <w:p w:rsidR="00942B88" w:rsidRDefault="00942B88">
        <w:pPr>
          <w:pStyle w:val="Footer"/>
          <w:jc w:val="right"/>
        </w:pPr>
        <w:r>
          <w:fldChar w:fldCharType="begin"/>
        </w:r>
        <w:r>
          <w:instrText xml:space="preserve"> PAGE   \* MERGEFORMAT </w:instrText>
        </w:r>
        <w:r>
          <w:fldChar w:fldCharType="separate"/>
        </w:r>
        <w:r w:rsidR="00BF4A82">
          <w:rPr>
            <w:noProof/>
          </w:rPr>
          <w:t>18</w:t>
        </w:r>
        <w:r>
          <w:rPr>
            <w:noProof/>
          </w:rPr>
          <w:fldChar w:fldCharType="end"/>
        </w:r>
      </w:p>
    </w:sdtContent>
  </w:sdt>
  <w:p w:rsidR="00942B88" w:rsidRDefault="00942B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B06" w:rsidRDefault="00791B06" w:rsidP="00CE4898">
      <w:pPr>
        <w:spacing w:after="0" w:line="240" w:lineRule="auto"/>
      </w:pPr>
      <w:r>
        <w:separator/>
      </w:r>
    </w:p>
  </w:footnote>
  <w:footnote w:type="continuationSeparator" w:id="0">
    <w:p w:rsidR="00791B06" w:rsidRDefault="00791B06" w:rsidP="00CE48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898" w:rsidRDefault="00CE4898">
    <w:pPr>
      <w:pStyle w:val="Header"/>
    </w:pPr>
    <w:r>
      <w:t xml:space="preserve">Beta-lactam sensing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0F3D96"/>
    <w:multiLevelType w:val="multilevel"/>
    <w:tmpl w:val="E0048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D03CE3"/>
    <w:multiLevelType w:val="hybridMultilevel"/>
    <w:tmpl w:val="D8304CD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7F667CB"/>
    <w:multiLevelType w:val="hybridMultilevel"/>
    <w:tmpl w:val="3A30A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898"/>
    <w:rsid w:val="00001115"/>
    <w:rsid w:val="0000167B"/>
    <w:rsid w:val="00002313"/>
    <w:rsid w:val="00002687"/>
    <w:rsid w:val="00003F5D"/>
    <w:rsid w:val="00004AF7"/>
    <w:rsid w:val="000055ED"/>
    <w:rsid w:val="00005FFF"/>
    <w:rsid w:val="00007321"/>
    <w:rsid w:val="0001091B"/>
    <w:rsid w:val="00011207"/>
    <w:rsid w:val="0001235F"/>
    <w:rsid w:val="00013144"/>
    <w:rsid w:val="00014780"/>
    <w:rsid w:val="00015A2F"/>
    <w:rsid w:val="000177DA"/>
    <w:rsid w:val="00022E92"/>
    <w:rsid w:val="0002562F"/>
    <w:rsid w:val="00027BD2"/>
    <w:rsid w:val="00030FB9"/>
    <w:rsid w:val="00034EE1"/>
    <w:rsid w:val="0003679A"/>
    <w:rsid w:val="00043648"/>
    <w:rsid w:val="0004369A"/>
    <w:rsid w:val="000441CC"/>
    <w:rsid w:val="0004777E"/>
    <w:rsid w:val="000500BC"/>
    <w:rsid w:val="000514DD"/>
    <w:rsid w:val="00052746"/>
    <w:rsid w:val="00053124"/>
    <w:rsid w:val="00054F00"/>
    <w:rsid w:val="0005549E"/>
    <w:rsid w:val="00055E31"/>
    <w:rsid w:val="00056382"/>
    <w:rsid w:val="00060B15"/>
    <w:rsid w:val="000626AE"/>
    <w:rsid w:val="00064DFE"/>
    <w:rsid w:val="000661F4"/>
    <w:rsid w:val="0007155C"/>
    <w:rsid w:val="000723D1"/>
    <w:rsid w:val="000732D9"/>
    <w:rsid w:val="00074081"/>
    <w:rsid w:val="00076964"/>
    <w:rsid w:val="000771C6"/>
    <w:rsid w:val="00081506"/>
    <w:rsid w:val="0008466B"/>
    <w:rsid w:val="000847CA"/>
    <w:rsid w:val="00086C3D"/>
    <w:rsid w:val="00087098"/>
    <w:rsid w:val="00087575"/>
    <w:rsid w:val="00090865"/>
    <w:rsid w:val="0009562B"/>
    <w:rsid w:val="00096071"/>
    <w:rsid w:val="000963D7"/>
    <w:rsid w:val="000A1233"/>
    <w:rsid w:val="000A12E7"/>
    <w:rsid w:val="000A256D"/>
    <w:rsid w:val="000A2EAF"/>
    <w:rsid w:val="000A308C"/>
    <w:rsid w:val="000A38CF"/>
    <w:rsid w:val="000A58ED"/>
    <w:rsid w:val="000A6410"/>
    <w:rsid w:val="000A6ED7"/>
    <w:rsid w:val="000A7CDB"/>
    <w:rsid w:val="000B2244"/>
    <w:rsid w:val="000B333A"/>
    <w:rsid w:val="000B3788"/>
    <w:rsid w:val="000B5BF7"/>
    <w:rsid w:val="000B7C28"/>
    <w:rsid w:val="000C29FB"/>
    <w:rsid w:val="000C42BF"/>
    <w:rsid w:val="000C58C2"/>
    <w:rsid w:val="000C6122"/>
    <w:rsid w:val="000C642E"/>
    <w:rsid w:val="000C7266"/>
    <w:rsid w:val="000D1EA5"/>
    <w:rsid w:val="000D2C58"/>
    <w:rsid w:val="000D4907"/>
    <w:rsid w:val="000D6335"/>
    <w:rsid w:val="000D79DA"/>
    <w:rsid w:val="000E02D4"/>
    <w:rsid w:val="000E0A6B"/>
    <w:rsid w:val="000E303F"/>
    <w:rsid w:val="000E51D4"/>
    <w:rsid w:val="000F2EB0"/>
    <w:rsid w:val="000F5B6C"/>
    <w:rsid w:val="00100179"/>
    <w:rsid w:val="00100713"/>
    <w:rsid w:val="00100737"/>
    <w:rsid w:val="00106BF6"/>
    <w:rsid w:val="00110BF7"/>
    <w:rsid w:val="00110FBD"/>
    <w:rsid w:val="0011119D"/>
    <w:rsid w:val="0011307F"/>
    <w:rsid w:val="00114421"/>
    <w:rsid w:val="00115ED6"/>
    <w:rsid w:val="00116699"/>
    <w:rsid w:val="001247E3"/>
    <w:rsid w:val="00125E6F"/>
    <w:rsid w:val="001276C5"/>
    <w:rsid w:val="001278DC"/>
    <w:rsid w:val="001307D4"/>
    <w:rsid w:val="00130E73"/>
    <w:rsid w:val="0013136B"/>
    <w:rsid w:val="00132D3C"/>
    <w:rsid w:val="00133EDC"/>
    <w:rsid w:val="0013483A"/>
    <w:rsid w:val="00134939"/>
    <w:rsid w:val="00136C08"/>
    <w:rsid w:val="00136EAE"/>
    <w:rsid w:val="00141A5E"/>
    <w:rsid w:val="001421BC"/>
    <w:rsid w:val="00142C9D"/>
    <w:rsid w:val="00143226"/>
    <w:rsid w:val="001443F8"/>
    <w:rsid w:val="00144ABF"/>
    <w:rsid w:val="00145577"/>
    <w:rsid w:val="0015090D"/>
    <w:rsid w:val="00151065"/>
    <w:rsid w:val="00152BC1"/>
    <w:rsid w:val="00154031"/>
    <w:rsid w:val="00155133"/>
    <w:rsid w:val="00157F2C"/>
    <w:rsid w:val="001603A6"/>
    <w:rsid w:val="001608CB"/>
    <w:rsid w:val="00161694"/>
    <w:rsid w:val="001616CB"/>
    <w:rsid w:val="0016181C"/>
    <w:rsid w:val="00164689"/>
    <w:rsid w:val="00164859"/>
    <w:rsid w:val="00165C31"/>
    <w:rsid w:val="0016695D"/>
    <w:rsid w:val="00167422"/>
    <w:rsid w:val="001674FB"/>
    <w:rsid w:val="0017075E"/>
    <w:rsid w:val="001713F2"/>
    <w:rsid w:val="00173598"/>
    <w:rsid w:val="001742E6"/>
    <w:rsid w:val="001756D3"/>
    <w:rsid w:val="00175A8D"/>
    <w:rsid w:val="001760C3"/>
    <w:rsid w:val="001763ED"/>
    <w:rsid w:val="00177236"/>
    <w:rsid w:val="00177BD3"/>
    <w:rsid w:val="00182BBE"/>
    <w:rsid w:val="001864E9"/>
    <w:rsid w:val="00186FC5"/>
    <w:rsid w:val="00187C74"/>
    <w:rsid w:val="00187E31"/>
    <w:rsid w:val="00190B55"/>
    <w:rsid w:val="00190D7E"/>
    <w:rsid w:val="00192A5C"/>
    <w:rsid w:val="00192C15"/>
    <w:rsid w:val="00195ECC"/>
    <w:rsid w:val="001966FB"/>
    <w:rsid w:val="00196C66"/>
    <w:rsid w:val="001A330B"/>
    <w:rsid w:val="001A3572"/>
    <w:rsid w:val="001A41A4"/>
    <w:rsid w:val="001A4617"/>
    <w:rsid w:val="001B41B7"/>
    <w:rsid w:val="001C3869"/>
    <w:rsid w:val="001C712B"/>
    <w:rsid w:val="001D109F"/>
    <w:rsid w:val="001D7255"/>
    <w:rsid w:val="001E182E"/>
    <w:rsid w:val="001E2211"/>
    <w:rsid w:val="001E27A6"/>
    <w:rsid w:val="001E4415"/>
    <w:rsid w:val="001E74B8"/>
    <w:rsid w:val="001E7566"/>
    <w:rsid w:val="001F3377"/>
    <w:rsid w:val="001F6679"/>
    <w:rsid w:val="00202F96"/>
    <w:rsid w:val="00203E2D"/>
    <w:rsid w:val="0020427B"/>
    <w:rsid w:val="002054C2"/>
    <w:rsid w:val="00206279"/>
    <w:rsid w:val="00206CC1"/>
    <w:rsid w:val="00207400"/>
    <w:rsid w:val="0021072B"/>
    <w:rsid w:val="002122E5"/>
    <w:rsid w:val="00215B27"/>
    <w:rsid w:val="00216AE2"/>
    <w:rsid w:val="00220838"/>
    <w:rsid w:val="002217C0"/>
    <w:rsid w:val="00224551"/>
    <w:rsid w:val="0022665F"/>
    <w:rsid w:val="00226CD7"/>
    <w:rsid w:val="0023549D"/>
    <w:rsid w:val="00240C15"/>
    <w:rsid w:val="0024370F"/>
    <w:rsid w:val="00251CD3"/>
    <w:rsid w:val="00253475"/>
    <w:rsid w:val="00253F85"/>
    <w:rsid w:val="00256CE3"/>
    <w:rsid w:val="00260258"/>
    <w:rsid w:val="002604C7"/>
    <w:rsid w:val="002676E1"/>
    <w:rsid w:val="00267E2C"/>
    <w:rsid w:val="00270B7E"/>
    <w:rsid w:val="0027455C"/>
    <w:rsid w:val="002760AE"/>
    <w:rsid w:val="0027795D"/>
    <w:rsid w:val="00280CAC"/>
    <w:rsid w:val="00281C1C"/>
    <w:rsid w:val="00282BEF"/>
    <w:rsid w:val="00284396"/>
    <w:rsid w:val="00285CED"/>
    <w:rsid w:val="00286790"/>
    <w:rsid w:val="00286A77"/>
    <w:rsid w:val="00292E4E"/>
    <w:rsid w:val="00294585"/>
    <w:rsid w:val="00294C02"/>
    <w:rsid w:val="0029651E"/>
    <w:rsid w:val="00296E0F"/>
    <w:rsid w:val="002A1A68"/>
    <w:rsid w:val="002A4A47"/>
    <w:rsid w:val="002A6F88"/>
    <w:rsid w:val="002B0613"/>
    <w:rsid w:val="002B308B"/>
    <w:rsid w:val="002B4357"/>
    <w:rsid w:val="002B6618"/>
    <w:rsid w:val="002B6AD0"/>
    <w:rsid w:val="002C0370"/>
    <w:rsid w:val="002C0E27"/>
    <w:rsid w:val="002C14B2"/>
    <w:rsid w:val="002C2416"/>
    <w:rsid w:val="002C26FC"/>
    <w:rsid w:val="002C279E"/>
    <w:rsid w:val="002C7E16"/>
    <w:rsid w:val="002D2765"/>
    <w:rsid w:val="002D394C"/>
    <w:rsid w:val="002D464B"/>
    <w:rsid w:val="002D480E"/>
    <w:rsid w:val="002E1473"/>
    <w:rsid w:val="002E575D"/>
    <w:rsid w:val="002E649A"/>
    <w:rsid w:val="002F0ECF"/>
    <w:rsid w:val="002F24AB"/>
    <w:rsid w:val="002F3521"/>
    <w:rsid w:val="002F6FFE"/>
    <w:rsid w:val="0030162E"/>
    <w:rsid w:val="0030630C"/>
    <w:rsid w:val="0030636C"/>
    <w:rsid w:val="003069C9"/>
    <w:rsid w:val="00312BE5"/>
    <w:rsid w:val="00314856"/>
    <w:rsid w:val="003158D4"/>
    <w:rsid w:val="003161C4"/>
    <w:rsid w:val="00317BE3"/>
    <w:rsid w:val="00323004"/>
    <w:rsid w:val="00331C24"/>
    <w:rsid w:val="003322A3"/>
    <w:rsid w:val="00332AA3"/>
    <w:rsid w:val="00332E5B"/>
    <w:rsid w:val="00332FA2"/>
    <w:rsid w:val="0033315D"/>
    <w:rsid w:val="00333B59"/>
    <w:rsid w:val="00334097"/>
    <w:rsid w:val="003351EB"/>
    <w:rsid w:val="00336D63"/>
    <w:rsid w:val="00337AFD"/>
    <w:rsid w:val="003400C8"/>
    <w:rsid w:val="003416A5"/>
    <w:rsid w:val="0034532B"/>
    <w:rsid w:val="00345FDD"/>
    <w:rsid w:val="00351FCC"/>
    <w:rsid w:val="0035233A"/>
    <w:rsid w:val="00353E36"/>
    <w:rsid w:val="0035501F"/>
    <w:rsid w:val="00355965"/>
    <w:rsid w:val="00360DF0"/>
    <w:rsid w:val="00364DD7"/>
    <w:rsid w:val="003665F2"/>
    <w:rsid w:val="00366BDC"/>
    <w:rsid w:val="00367E2F"/>
    <w:rsid w:val="00370582"/>
    <w:rsid w:val="003718A2"/>
    <w:rsid w:val="003732A0"/>
    <w:rsid w:val="00374B73"/>
    <w:rsid w:val="00376564"/>
    <w:rsid w:val="00377E7E"/>
    <w:rsid w:val="00380039"/>
    <w:rsid w:val="003803A0"/>
    <w:rsid w:val="00380905"/>
    <w:rsid w:val="00382BBF"/>
    <w:rsid w:val="0038759A"/>
    <w:rsid w:val="00393791"/>
    <w:rsid w:val="003948E3"/>
    <w:rsid w:val="003957F8"/>
    <w:rsid w:val="0039633B"/>
    <w:rsid w:val="003969F0"/>
    <w:rsid w:val="0039774B"/>
    <w:rsid w:val="003A012A"/>
    <w:rsid w:val="003A1454"/>
    <w:rsid w:val="003A3F63"/>
    <w:rsid w:val="003A6499"/>
    <w:rsid w:val="003A655E"/>
    <w:rsid w:val="003A6687"/>
    <w:rsid w:val="003A73AE"/>
    <w:rsid w:val="003B0EA6"/>
    <w:rsid w:val="003B38C9"/>
    <w:rsid w:val="003B5D1C"/>
    <w:rsid w:val="003B67CB"/>
    <w:rsid w:val="003B77C1"/>
    <w:rsid w:val="003C010B"/>
    <w:rsid w:val="003C3093"/>
    <w:rsid w:val="003C4E5D"/>
    <w:rsid w:val="003D0DD3"/>
    <w:rsid w:val="003D13AA"/>
    <w:rsid w:val="003D4697"/>
    <w:rsid w:val="003D4C43"/>
    <w:rsid w:val="003D5006"/>
    <w:rsid w:val="003E067D"/>
    <w:rsid w:val="003E0C1E"/>
    <w:rsid w:val="003E1553"/>
    <w:rsid w:val="003E287E"/>
    <w:rsid w:val="003E29AD"/>
    <w:rsid w:val="003E346E"/>
    <w:rsid w:val="003E49D3"/>
    <w:rsid w:val="003E60AD"/>
    <w:rsid w:val="003E7281"/>
    <w:rsid w:val="003E7A50"/>
    <w:rsid w:val="003F2130"/>
    <w:rsid w:val="003F287D"/>
    <w:rsid w:val="003F795A"/>
    <w:rsid w:val="0040004A"/>
    <w:rsid w:val="004042AD"/>
    <w:rsid w:val="00405581"/>
    <w:rsid w:val="00405F89"/>
    <w:rsid w:val="00410DE2"/>
    <w:rsid w:val="00411141"/>
    <w:rsid w:val="00413DB0"/>
    <w:rsid w:val="0041508F"/>
    <w:rsid w:val="00415827"/>
    <w:rsid w:val="00415D76"/>
    <w:rsid w:val="004168E9"/>
    <w:rsid w:val="00416FA1"/>
    <w:rsid w:val="00422767"/>
    <w:rsid w:val="004248C5"/>
    <w:rsid w:val="00424E37"/>
    <w:rsid w:val="00425EBC"/>
    <w:rsid w:val="00426694"/>
    <w:rsid w:val="00427393"/>
    <w:rsid w:val="0042771A"/>
    <w:rsid w:val="00431FDC"/>
    <w:rsid w:val="00434011"/>
    <w:rsid w:val="004367A6"/>
    <w:rsid w:val="00436D20"/>
    <w:rsid w:val="00440C76"/>
    <w:rsid w:val="00442AB4"/>
    <w:rsid w:val="0044410D"/>
    <w:rsid w:val="004466EA"/>
    <w:rsid w:val="0045048F"/>
    <w:rsid w:val="0045724C"/>
    <w:rsid w:val="00460BE9"/>
    <w:rsid w:val="00461F3A"/>
    <w:rsid w:val="00462C43"/>
    <w:rsid w:val="00463A9E"/>
    <w:rsid w:val="00464B03"/>
    <w:rsid w:val="00466045"/>
    <w:rsid w:val="00467F48"/>
    <w:rsid w:val="00471A73"/>
    <w:rsid w:val="00473EFF"/>
    <w:rsid w:val="00475D31"/>
    <w:rsid w:val="00481F4F"/>
    <w:rsid w:val="004827F7"/>
    <w:rsid w:val="00483881"/>
    <w:rsid w:val="00483F47"/>
    <w:rsid w:val="0048590A"/>
    <w:rsid w:val="0048681F"/>
    <w:rsid w:val="004875D0"/>
    <w:rsid w:val="00490D0F"/>
    <w:rsid w:val="0049162D"/>
    <w:rsid w:val="004933B0"/>
    <w:rsid w:val="004934EC"/>
    <w:rsid w:val="00496303"/>
    <w:rsid w:val="00496654"/>
    <w:rsid w:val="00496665"/>
    <w:rsid w:val="00496ABC"/>
    <w:rsid w:val="004A0D03"/>
    <w:rsid w:val="004A1747"/>
    <w:rsid w:val="004A31CC"/>
    <w:rsid w:val="004A3E28"/>
    <w:rsid w:val="004B04AB"/>
    <w:rsid w:val="004B2664"/>
    <w:rsid w:val="004B3338"/>
    <w:rsid w:val="004B36AD"/>
    <w:rsid w:val="004B42FA"/>
    <w:rsid w:val="004B4634"/>
    <w:rsid w:val="004B6F68"/>
    <w:rsid w:val="004B6F92"/>
    <w:rsid w:val="004C0212"/>
    <w:rsid w:val="004C1B56"/>
    <w:rsid w:val="004C38D8"/>
    <w:rsid w:val="004C3CA4"/>
    <w:rsid w:val="004C4469"/>
    <w:rsid w:val="004C6716"/>
    <w:rsid w:val="004C7536"/>
    <w:rsid w:val="004C7C07"/>
    <w:rsid w:val="004D4CE7"/>
    <w:rsid w:val="004D7F82"/>
    <w:rsid w:val="004E069A"/>
    <w:rsid w:val="004E0D98"/>
    <w:rsid w:val="004E2342"/>
    <w:rsid w:val="004E2356"/>
    <w:rsid w:val="004E35D6"/>
    <w:rsid w:val="004E5B08"/>
    <w:rsid w:val="004E5B8D"/>
    <w:rsid w:val="004E5F21"/>
    <w:rsid w:val="004F127B"/>
    <w:rsid w:val="004F3021"/>
    <w:rsid w:val="004F5FDB"/>
    <w:rsid w:val="004F687A"/>
    <w:rsid w:val="00501A1E"/>
    <w:rsid w:val="00501FC3"/>
    <w:rsid w:val="005025E9"/>
    <w:rsid w:val="00505DD5"/>
    <w:rsid w:val="00507AD4"/>
    <w:rsid w:val="00510964"/>
    <w:rsid w:val="005122C9"/>
    <w:rsid w:val="00512743"/>
    <w:rsid w:val="005130EA"/>
    <w:rsid w:val="00514DAD"/>
    <w:rsid w:val="005160D7"/>
    <w:rsid w:val="00517C88"/>
    <w:rsid w:val="0052040F"/>
    <w:rsid w:val="00520977"/>
    <w:rsid w:val="00520FB9"/>
    <w:rsid w:val="005250EC"/>
    <w:rsid w:val="00527D10"/>
    <w:rsid w:val="00530D01"/>
    <w:rsid w:val="00531821"/>
    <w:rsid w:val="00541221"/>
    <w:rsid w:val="00542F04"/>
    <w:rsid w:val="00543715"/>
    <w:rsid w:val="00544129"/>
    <w:rsid w:val="00544979"/>
    <w:rsid w:val="00544C1A"/>
    <w:rsid w:val="00554047"/>
    <w:rsid w:val="005561DF"/>
    <w:rsid w:val="00556CF1"/>
    <w:rsid w:val="00563C67"/>
    <w:rsid w:val="00565AE7"/>
    <w:rsid w:val="005663C2"/>
    <w:rsid w:val="0056656C"/>
    <w:rsid w:val="00566ABB"/>
    <w:rsid w:val="00567BAA"/>
    <w:rsid w:val="00574992"/>
    <w:rsid w:val="005751BB"/>
    <w:rsid w:val="0058171C"/>
    <w:rsid w:val="00581B39"/>
    <w:rsid w:val="005834CC"/>
    <w:rsid w:val="00585994"/>
    <w:rsid w:val="00586054"/>
    <w:rsid w:val="00587470"/>
    <w:rsid w:val="005953D7"/>
    <w:rsid w:val="005972A8"/>
    <w:rsid w:val="005A3338"/>
    <w:rsid w:val="005A3C94"/>
    <w:rsid w:val="005A53D7"/>
    <w:rsid w:val="005B2CE0"/>
    <w:rsid w:val="005B57ED"/>
    <w:rsid w:val="005B649B"/>
    <w:rsid w:val="005B73F4"/>
    <w:rsid w:val="005B7B9F"/>
    <w:rsid w:val="005C0E33"/>
    <w:rsid w:val="005C51E6"/>
    <w:rsid w:val="005C7132"/>
    <w:rsid w:val="005D06BF"/>
    <w:rsid w:val="005D13FD"/>
    <w:rsid w:val="005D1492"/>
    <w:rsid w:val="005D352F"/>
    <w:rsid w:val="005D45A4"/>
    <w:rsid w:val="005D4A1C"/>
    <w:rsid w:val="005D6107"/>
    <w:rsid w:val="005E04CA"/>
    <w:rsid w:val="005E2572"/>
    <w:rsid w:val="005E4E41"/>
    <w:rsid w:val="005E7B09"/>
    <w:rsid w:val="005F1614"/>
    <w:rsid w:val="005F3D63"/>
    <w:rsid w:val="005F45B8"/>
    <w:rsid w:val="005F6154"/>
    <w:rsid w:val="005F637F"/>
    <w:rsid w:val="006011A1"/>
    <w:rsid w:val="00601F8D"/>
    <w:rsid w:val="0060383C"/>
    <w:rsid w:val="00604E37"/>
    <w:rsid w:val="00606E0D"/>
    <w:rsid w:val="00606F14"/>
    <w:rsid w:val="006104F4"/>
    <w:rsid w:val="006106C6"/>
    <w:rsid w:val="00613C61"/>
    <w:rsid w:val="006144CA"/>
    <w:rsid w:val="006167E1"/>
    <w:rsid w:val="0062110E"/>
    <w:rsid w:val="00621312"/>
    <w:rsid w:val="006220A3"/>
    <w:rsid w:val="00622A6D"/>
    <w:rsid w:val="00623D38"/>
    <w:rsid w:val="00623D4B"/>
    <w:rsid w:val="00624ED5"/>
    <w:rsid w:val="00625CCD"/>
    <w:rsid w:val="00627749"/>
    <w:rsid w:val="00631AE6"/>
    <w:rsid w:val="00635559"/>
    <w:rsid w:val="00635D12"/>
    <w:rsid w:val="006366D6"/>
    <w:rsid w:val="00640A68"/>
    <w:rsid w:val="00640E59"/>
    <w:rsid w:val="0064286B"/>
    <w:rsid w:val="00642EC3"/>
    <w:rsid w:val="00643967"/>
    <w:rsid w:val="00644463"/>
    <w:rsid w:val="006448F7"/>
    <w:rsid w:val="00646361"/>
    <w:rsid w:val="006478FF"/>
    <w:rsid w:val="00647994"/>
    <w:rsid w:val="006513A5"/>
    <w:rsid w:val="006535A1"/>
    <w:rsid w:val="00654DC0"/>
    <w:rsid w:val="00656FB7"/>
    <w:rsid w:val="006570B7"/>
    <w:rsid w:val="006574B0"/>
    <w:rsid w:val="0066170F"/>
    <w:rsid w:val="006656D0"/>
    <w:rsid w:val="00666824"/>
    <w:rsid w:val="00670000"/>
    <w:rsid w:val="00670202"/>
    <w:rsid w:val="00670BED"/>
    <w:rsid w:val="00673C7F"/>
    <w:rsid w:val="00673DB4"/>
    <w:rsid w:val="00673FED"/>
    <w:rsid w:val="006750AE"/>
    <w:rsid w:val="0067587B"/>
    <w:rsid w:val="0067683B"/>
    <w:rsid w:val="00676C05"/>
    <w:rsid w:val="0068103C"/>
    <w:rsid w:val="00682739"/>
    <w:rsid w:val="00682864"/>
    <w:rsid w:val="00682B65"/>
    <w:rsid w:val="00683DF0"/>
    <w:rsid w:val="00687E8F"/>
    <w:rsid w:val="00690D5D"/>
    <w:rsid w:val="00695C9B"/>
    <w:rsid w:val="006A0A95"/>
    <w:rsid w:val="006A1EF1"/>
    <w:rsid w:val="006A3FE1"/>
    <w:rsid w:val="006A4063"/>
    <w:rsid w:val="006B2570"/>
    <w:rsid w:val="006B2891"/>
    <w:rsid w:val="006B2AD7"/>
    <w:rsid w:val="006B2F7D"/>
    <w:rsid w:val="006B33C1"/>
    <w:rsid w:val="006B400D"/>
    <w:rsid w:val="006C24D7"/>
    <w:rsid w:val="006C24F4"/>
    <w:rsid w:val="006C3C97"/>
    <w:rsid w:val="006C53D0"/>
    <w:rsid w:val="006D43E9"/>
    <w:rsid w:val="006D59C8"/>
    <w:rsid w:val="006E0EC1"/>
    <w:rsid w:val="006E3A6C"/>
    <w:rsid w:val="006E611F"/>
    <w:rsid w:val="006E6D7A"/>
    <w:rsid w:val="006F20A7"/>
    <w:rsid w:val="006F51B6"/>
    <w:rsid w:val="006F68C3"/>
    <w:rsid w:val="006F7CB8"/>
    <w:rsid w:val="0070073A"/>
    <w:rsid w:val="00700BCE"/>
    <w:rsid w:val="00702582"/>
    <w:rsid w:val="00712152"/>
    <w:rsid w:val="007131FE"/>
    <w:rsid w:val="00716B36"/>
    <w:rsid w:val="00717553"/>
    <w:rsid w:val="00720A1D"/>
    <w:rsid w:val="007213CA"/>
    <w:rsid w:val="0072379B"/>
    <w:rsid w:val="00725C81"/>
    <w:rsid w:val="00726C03"/>
    <w:rsid w:val="00726C61"/>
    <w:rsid w:val="00730F23"/>
    <w:rsid w:val="007318E2"/>
    <w:rsid w:val="007332D7"/>
    <w:rsid w:val="007350F3"/>
    <w:rsid w:val="007357B4"/>
    <w:rsid w:val="0074007E"/>
    <w:rsid w:val="007430F4"/>
    <w:rsid w:val="007432AB"/>
    <w:rsid w:val="00744296"/>
    <w:rsid w:val="00744327"/>
    <w:rsid w:val="00744F43"/>
    <w:rsid w:val="00745EFC"/>
    <w:rsid w:val="0074600D"/>
    <w:rsid w:val="00746305"/>
    <w:rsid w:val="00746B6F"/>
    <w:rsid w:val="00747F6A"/>
    <w:rsid w:val="007502C1"/>
    <w:rsid w:val="00751AFB"/>
    <w:rsid w:val="00752355"/>
    <w:rsid w:val="00753964"/>
    <w:rsid w:val="00753CE9"/>
    <w:rsid w:val="0076532D"/>
    <w:rsid w:val="00766B1A"/>
    <w:rsid w:val="007708F7"/>
    <w:rsid w:val="0077153B"/>
    <w:rsid w:val="0077181E"/>
    <w:rsid w:val="00771B99"/>
    <w:rsid w:val="007721A8"/>
    <w:rsid w:val="00772499"/>
    <w:rsid w:val="00774EC2"/>
    <w:rsid w:val="00776F61"/>
    <w:rsid w:val="0078046A"/>
    <w:rsid w:val="0078324A"/>
    <w:rsid w:val="00786053"/>
    <w:rsid w:val="00791B06"/>
    <w:rsid w:val="007935CA"/>
    <w:rsid w:val="007935F7"/>
    <w:rsid w:val="00793881"/>
    <w:rsid w:val="007955FC"/>
    <w:rsid w:val="00795859"/>
    <w:rsid w:val="00796B23"/>
    <w:rsid w:val="007A222D"/>
    <w:rsid w:val="007A297D"/>
    <w:rsid w:val="007A2DCD"/>
    <w:rsid w:val="007A6417"/>
    <w:rsid w:val="007B01B4"/>
    <w:rsid w:val="007B0BC7"/>
    <w:rsid w:val="007B1239"/>
    <w:rsid w:val="007B359E"/>
    <w:rsid w:val="007B35C4"/>
    <w:rsid w:val="007B7619"/>
    <w:rsid w:val="007C1E4A"/>
    <w:rsid w:val="007C3FCE"/>
    <w:rsid w:val="007C42E3"/>
    <w:rsid w:val="007C4591"/>
    <w:rsid w:val="007C4594"/>
    <w:rsid w:val="007C4618"/>
    <w:rsid w:val="007C5298"/>
    <w:rsid w:val="007C5F8F"/>
    <w:rsid w:val="007C6172"/>
    <w:rsid w:val="007C61E7"/>
    <w:rsid w:val="007C6A37"/>
    <w:rsid w:val="007C6FC5"/>
    <w:rsid w:val="007D3625"/>
    <w:rsid w:val="007D43DB"/>
    <w:rsid w:val="007D4D5C"/>
    <w:rsid w:val="007D5B8D"/>
    <w:rsid w:val="007D7599"/>
    <w:rsid w:val="007E4F23"/>
    <w:rsid w:val="007E7487"/>
    <w:rsid w:val="007F003F"/>
    <w:rsid w:val="007F2923"/>
    <w:rsid w:val="007F2B69"/>
    <w:rsid w:val="007F64A1"/>
    <w:rsid w:val="007F6FE5"/>
    <w:rsid w:val="007F7987"/>
    <w:rsid w:val="00801ACC"/>
    <w:rsid w:val="00801F7D"/>
    <w:rsid w:val="00802B7F"/>
    <w:rsid w:val="00805AEF"/>
    <w:rsid w:val="008102EB"/>
    <w:rsid w:val="008126E1"/>
    <w:rsid w:val="00812889"/>
    <w:rsid w:val="00813B45"/>
    <w:rsid w:val="008147CC"/>
    <w:rsid w:val="00814F44"/>
    <w:rsid w:val="008208AF"/>
    <w:rsid w:val="00821632"/>
    <w:rsid w:val="008220E0"/>
    <w:rsid w:val="0082434D"/>
    <w:rsid w:val="008254BF"/>
    <w:rsid w:val="008257BA"/>
    <w:rsid w:val="008279DF"/>
    <w:rsid w:val="00831FFF"/>
    <w:rsid w:val="0084088A"/>
    <w:rsid w:val="00841975"/>
    <w:rsid w:val="00844F1D"/>
    <w:rsid w:val="00844FB5"/>
    <w:rsid w:val="00851385"/>
    <w:rsid w:val="00851398"/>
    <w:rsid w:val="00856307"/>
    <w:rsid w:val="00856654"/>
    <w:rsid w:val="008600E5"/>
    <w:rsid w:val="008615DD"/>
    <w:rsid w:val="00862754"/>
    <w:rsid w:val="008636B8"/>
    <w:rsid w:val="00865750"/>
    <w:rsid w:val="00865D2A"/>
    <w:rsid w:val="00866891"/>
    <w:rsid w:val="008706CC"/>
    <w:rsid w:val="0087084E"/>
    <w:rsid w:val="008708BB"/>
    <w:rsid w:val="00870AE9"/>
    <w:rsid w:val="00871E4D"/>
    <w:rsid w:val="00871EBA"/>
    <w:rsid w:val="00872692"/>
    <w:rsid w:val="00874A5E"/>
    <w:rsid w:val="00880E4D"/>
    <w:rsid w:val="0088442B"/>
    <w:rsid w:val="008872BB"/>
    <w:rsid w:val="00887FEF"/>
    <w:rsid w:val="00890796"/>
    <w:rsid w:val="00892723"/>
    <w:rsid w:val="00892DB2"/>
    <w:rsid w:val="00893593"/>
    <w:rsid w:val="008973F4"/>
    <w:rsid w:val="008A5129"/>
    <w:rsid w:val="008A51A9"/>
    <w:rsid w:val="008A6E71"/>
    <w:rsid w:val="008A6F32"/>
    <w:rsid w:val="008A7C5E"/>
    <w:rsid w:val="008B064E"/>
    <w:rsid w:val="008B0A42"/>
    <w:rsid w:val="008B11EA"/>
    <w:rsid w:val="008B286B"/>
    <w:rsid w:val="008B33BA"/>
    <w:rsid w:val="008B4717"/>
    <w:rsid w:val="008C1EA4"/>
    <w:rsid w:val="008C27E3"/>
    <w:rsid w:val="008C3A80"/>
    <w:rsid w:val="008D0DF2"/>
    <w:rsid w:val="008D169A"/>
    <w:rsid w:val="008D3284"/>
    <w:rsid w:val="008D4A49"/>
    <w:rsid w:val="008D4DEF"/>
    <w:rsid w:val="008D6FF0"/>
    <w:rsid w:val="008D7998"/>
    <w:rsid w:val="008E04E7"/>
    <w:rsid w:val="008E1D55"/>
    <w:rsid w:val="008E2149"/>
    <w:rsid w:val="008E27BC"/>
    <w:rsid w:val="008E613B"/>
    <w:rsid w:val="008E62E1"/>
    <w:rsid w:val="008E7638"/>
    <w:rsid w:val="0090060D"/>
    <w:rsid w:val="00905D07"/>
    <w:rsid w:val="00906463"/>
    <w:rsid w:val="00911F0A"/>
    <w:rsid w:val="00914154"/>
    <w:rsid w:val="0091482F"/>
    <w:rsid w:val="00916277"/>
    <w:rsid w:val="009166F5"/>
    <w:rsid w:val="00916CE1"/>
    <w:rsid w:val="00920AD5"/>
    <w:rsid w:val="00921584"/>
    <w:rsid w:val="00921DB2"/>
    <w:rsid w:val="009237AA"/>
    <w:rsid w:val="0092482C"/>
    <w:rsid w:val="00925EF2"/>
    <w:rsid w:val="009304BA"/>
    <w:rsid w:val="0093289B"/>
    <w:rsid w:val="009333DD"/>
    <w:rsid w:val="00934998"/>
    <w:rsid w:val="00936232"/>
    <w:rsid w:val="009362AA"/>
    <w:rsid w:val="0094051D"/>
    <w:rsid w:val="00941E80"/>
    <w:rsid w:val="00942996"/>
    <w:rsid w:val="00942B88"/>
    <w:rsid w:val="00943D5D"/>
    <w:rsid w:val="00944964"/>
    <w:rsid w:val="00944B23"/>
    <w:rsid w:val="009459D5"/>
    <w:rsid w:val="00945D8B"/>
    <w:rsid w:val="00951191"/>
    <w:rsid w:val="0095337C"/>
    <w:rsid w:val="00954520"/>
    <w:rsid w:val="00955E3B"/>
    <w:rsid w:val="00957BA8"/>
    <w:rsid w:val="00960328"/>
    <w:rsid w:val="00960B66"/>
    <w:rsid w:val="00961E00"/>
    <w:rsid w:val="00964131"/>
    <w:rsid w:val="00970179"/>
    <w:rsid w:val="00971102"/>
    <w:rsid w:val="00971347"/>
    <w:rsid w:val="0097156D"/>
    <w:rsid w:val="0097238C"/>
    <w:rsid w:val="00974932"/>
    <w:rsid w:val="0097514A"/>
    <w:rsid w:val="009752DE"/>
    <w:rsid w:val="00975C2D"/>
    <w:rsid w:val="009765E0"/>
    <w:rsid w:val="00976AD5"/>
    <w:rsid w:val="009770AA"/>
    <w:rsid w:val="00977C5B"/>
    <w:rsid w:val="00980E93"/>
    <w:rsid w:val="00981154"/>
    <w:rsid w:val="009832F1"/>
    <w:rsid w:val="009837DF"/>
    <w:rsid w:val="00983ED7"/>
    <w:rsid w:val="0098539A"/>
    <w:rsid w:val="009904BC"/>
    <w:rsid w:val="00993956"/>
    <w:rsid w:val="00993E88"/>
    <w:rsid w:val="0099445B"/>
    <w:rsid w:val="00995840"/>
    <w:rsid w:val="00997D9B"/>
    <w:rsid w:val="009A3F7E"/>
    <w:rsid w:val="009A43CE"/>
    <w:rsid w:val="009A4594"/>
    <w:rsid w:val="009A53FF"/>
    <w:rsid w:val="009A66C8"/>
    <w:rsid w:val="009B19F8"/>
    <w:rsid w:val="009B5F97"/>
    <w:rsid w:val="009B6530"/>
    <w:rsid w:val="009B7C0C"/>
    <w:rsid w:val="009C1823"/>
    <w:rsid w:val="009C20E4"/>
    <w:rsid w:val="009C41B4"/>
    <w:rsid w:val="009C45E9"/>
    <w:rsid w:val="009C5BB5"/>
    <w:rsid w:val="009C5C7E"/>
    <w:rsid w:val="009C6159"/>
    <w:rsid w:val="009C6363"/>
    <w:rsid w:val="009D28A8"/>
    <w:rsid w:val="009D31F3"/>
    <w:rsid w:val="009D44B7"/>
    <w:rsid w:val="009D472B"/>
    <w:rsid w:val="009D6057"/>
    <w:rsid w:val="009E161F"/>
    <w:rsid w:val="009E3E69"/>
    <w:rsid w:val="009E49F0"/>
    <w:rsid w:val="009E6CC3"/>
    <w:rsid w:val="009E79A3"/>
    <w:rsid w:val="009F0786"/>
    <w:rsid w:val="009F15D8"/>
    <w:rsid w:val="009F3C5E"/>
    <w:rsid w:val="009F4C17"/>
    <w:rsid w:val="009F651D"/>
    <w:rsid w:val="009F6F9B"/>
    <w:rsid w:val="00A05963"/>
    <w:rsid w:val="00A104A6"/>
    <w:rsid w:val="00A12F6E"/>
    <w:rsid w:val="00A13C99"/>
    <w:rsid w:val="00A149A9"/>
    <w:rsid w:val="00A150BD"/>
    <w:rsid w:val="00A160F2"/>
    <w:rsid w:val="00A175DA"/>
    <w:rsid w:val="00A21D6A"/>
    <w:rsid w:val="00A23B2B"/>
    <w:rsid w:val="00A24A56"/>
    <w:rsid w:val="00A3131E"/>
    <w:rsid w:val="00A3156C"/>
    <w:rsid w:val="00A319C1"/>
    <w:rsid w:val="00A31D64"/>
    <w:rsid w:val="00A31F15"/>
    <w:rsid w:val="00A33DEE"/>
    <w:rsid w:val="00A33FC5"/>
    <w:rsid w:val="00A362A5"/>
    <w:rsid w:val="00A37BEF"/>
    <w:rsid w:val="00A41E9D"/>
    <w:rsid w:val="00A43644"/>
    <w:rsid w:val="00A44735"/>
    <w:rsid w:val="00A44A27"/>
    <w:rsid w:val="00A46968"/>
    <w:rsid w:val="00A510D3"/>
    <w:rsid w:val="00A51897"/>
    <w:rsid w:val="00A51E81"/>
    <w:rsid w:val="00A52505"/>
    <w:rsid w:val="00A533B5"/>
    <w:rsid w:val="00A545CD"/>
    <w:rsid w:val="00A54CA3"/>
    <w:rsid w:val="00A554F9"/>
    <w:rsid w:val="00A62579"/>
    <w:rsid w:val="00A62C53"/>
    <w:rsid w:val="00A64516"/>
    <w:rsid w:val="00A64B20"/>
    <w:rsid w:val="00A65BF8"/>
    <w:rsid w:val="00A71D49"/>
    <w:rsid w:val="00A728A9"/>
    <w:rsid w:val="00A75ADB"/>
    <w:rsid w:val="00A7772C"/>
    <w:rsid w:val="00A77D63"/>
    <w:rsid w:val="00A84F6E"/>
    <w:rsid w:val="00A861FD"/>
    <w:rsid w:val="00A86318"/>
    <w:rsid w:val="00A904DD"/>
    <w:rsid w:val="00A91648"/>
    <w:rsid w:val="00A91FEC"/>
    <w:rsid w:val="00A947A5"/>
    <w:rsid w:val="00A9628B"/>
    <w:rsid w:val="00A966EF"/>
    <w:rsid w:val="00AA0F1A"/>
    <w:rsid w:val="00AA274D"/>
    <w:rsid w:val="00AA3283"/>
    <w:rsid w:val="00AA61C2"/>
    <w:rsid w:val="00AA72F7"/>
    <w:rsid w:val="00AB3D4F"/>
    <w:rsid w:val="00AB5210"/>
    <w:rsid w:val="00AB5EBA"/>
    <w:rsid w:val="00AC12A5"/>
    <w:rsid w:val="00AC1409"/>
    <w:rsid w:val="00AC1F47"/>
    <w:rsid w:val="00AC2F63"/>
    <w:rsid w:val="00AC4209"/>
    <w:rsid w:val="00AC4C5E"/>
    <w:rsid w:val="00AC7C34"/>
    <w:rsid w:val="00AC7E57"/>
    <w:rsid w:val="00AD09D3"/>
    <w:rsid w:val="00AD0A0A"/>
    <w:rsid w:val="00AD110D"/>
    <w:rsid w:val="00AD4228"/>
    <w:rsid w:val="00AD5BEA"/>
    <w:rsid w:val="00AD74D2"/>
    <w:rsid w:val="00AE0D8F"/>
    <w:rsid w:val="00AE199A"/>
    <w:rsid w:val="00AE3CF0"/>
    <w:rsid w:val="00AE48E4"/>
    <w:rsid w:val="00AE56A7"/>
    <w:rsid w:val="00AE67E5"/>
    <w:rsid w:val="00AF2902"/>
    <w:rsid w:val="00AF448A"/>
    <w:rsid w:val="00AF44E9"/>
    <w:rsid w:val="00AF6E3C"/>
    <w:rsid w:val="00B02D2A"/>
    <w:rsid w:val="00B03529"/>
    <w:rsid w:val="00B05A0E"/>
    <w:rsid w:val="00B06DD0"/>
    <w:rsid w:val="00B10BF0"/>
    <w:rsid w:val="00B113F3"/>
    <w:rsid w:val="00B120D9"/>
    <w:rsid w:val="00B12354"/>
    <w:rsid w:val="00B1623F"/>
    <w:rsid w:val="00B222CA"/>
    <w:rsid w:val="00B22A4B"/>
    <w:rsid w:val="00B22C79"/>
    <w:rsid w:val="00B26964"/>
    <w:rsid w:val="00B30408"/>
    <w:rsid w:val="00B3091B"/>
    <w:rsid w:val="00B30E2F"/>
    <w:rsid w:val="00B312AA"/>
    <w:rsid w:val="00B339E1"/>
    <w:rsid w:val="00B33FF3"/>
    <w:rsid w:val="00B34E28"/>
    <w:rsid w:val="00B36D43"/>
    <w:rsid w:val="00B37922"/>
    <w:rsid w:val="00B40ECC"/>
    <w:rsid w:val="00B441F7"/>
    <w:rsid w:val="00B46712"/>
    <w:rsid w:val="00B46C5D"/>
    <w:rsid w:val="00B52100"/>
    <w:rsid w:val="00B529C4"/>
    <w:rsid w:val="00B54023"/>
    <w:rsid w:val="00B545B3"/>
    <w:rsid w:val="00B55E2C"/>
    <w:rsid w:val="00B55EAD"/>
    <w:rsid w:val="00B605CA"/>
    <w:rsid w:val="00B610B8"/>
    <w:rsid w:val="00B640DD"/>
    <w:rsid w:val="00B6502C"/>
    <w:rsid w:val="00B659FF"/>
    <w:rsid w:val="00B66398"/>
    <w:rsid w:val="00B66748"/>
    <w:rsid w:val="00B6695C"/>
    <w:rsid w:val="00B66F7B"/>
    <w:rsid w:val="00B702B2"/>
    <w:rsid w:val="00B70AED"/>
    <w:rsid w:val="00B70DDF"/>
    <w:rsid w:val="00B74BAB"/>
    <w:rsid w:val="00B7604E"/>
    <w:rsid w:val="00B76189"/>
    <w:rsid w:val="00B77819"/>
    <w:rsid w:val="00B836BB"/>
    <w:rsid w:val="00B91086"/>
    <w:rsid w:val="00B92166"/>
    <w:rsid w:val="00B93A6B"/>
    <w:rsid w:val="00B95064"/>
    <w:rsid w:val="00B958AE"/>
    <w:rsid w:val="00B95F70"/>
    <w:rsid w:val="00B9700F"/>
    <w:rsid w:val="00BA1AC2"/>
    <w:rsid w:val="00BA29CF"/>
    <w:rsid w:val="00BA600C"/>
    <w:rsid w:val="00BB058C"/>
    <w:rsid w:val="00BB172C"/>
    <w:rsid w:val="00BB2CB5"/>
    <w:rsid w:val="00BB2D41"/>
    <w:rsid w:val="00BB37B6"/>
    <w:rsid w:val="00BB48D5"/>
    <w:rsid w:val="00BB505B"/>
    <w:rsid w:val="00BC00EB"/>
    <w:rsid w:val="00BC1CAD"/>
    <w:rsid w:val="00BC33AB"/>
    <w:rsid w:val="00BC6606"/>
    <w:rsid w:val="00BC666D"/>
    <w:rsid w:val="00BC6CEB"/>
    <w:rsid w:val="00BD1327"/>
    <w:rsid w:val="00BD1647"/>
    <w:rsid w:val="00BD2D8B"/>
    <w:rsid w:val="00BD3323"/>
    <w:rsid w:val="00BD3BEF"/>
    <w:rsid w:val="00BD4BED"/>
    <w:rsid w:val="00BE0EC1"/>
    <w:rsid w:val="00BE131A"/>
    <w:rsid w:val="00BE19D7"/>
    <w:rsid w:val="00BE3F97"/>
    <w:rsid w:val="00BE41B2"/>
    <w:rsid w:val="00BE443A"/>
    <w:rsid w:val="00BE489A"/>
    <w:rsid w:val="00BE4C44"/>
    <w:rsid w:val="00BE4D80"/>
    <w:rsid w:val="00BE51FA"/>
    <w:rsid w:val="00BF425E"/>
    <w:rsid w:val="00BF4A82"/>
    <w:rsid w:val="00C00187"/>
    <w:rsid w:val="00C0083F"/>
    <w:rsid w:val="00C02271"/>
    <w:rsid w:val="00C0254D"/>
    <w:rsid w:val="00C02FCC"/>
    <w:rsid w:val="00C04B93"/>
    <w:rsid w:val="00C10763"/>
    <w:rsid w:val="00C10E67"/>
    <w:rsid w:val="00C1199C"/>
    <w:rsid w:val="00C12265"/>
    <w:rsid w:val="00C1520D"/>
    <w:rsid w:val="00C15475"/>
    <w:rsid w:val="00C1551D"/>
    <w:rsid w:val="00C157D1"/>
    <w:rsid w:val="00C26D88"/>
    <w:rsid w:val="00C30201"/>
    <w:rsid w:val="00C30E7E"/>
    <w:rsid w:val="00C32B40"/>
    <w:rsid w:val="00C363AD"/>
    <w:rsid w:val="00C366D6"/>
    <w:rsid w:val="00C3721F"/>
    <w:rsid w:val="00C43683"/>
    <w:rsid w:val="00C44CE5"/>
    <w:rsid w:val="00C461A1"/>
    <w:rsid w:val="00C461F7"/>
    <w:rsid w:val="00C50AEB"/>
    <w:rsid w:val="00C51550"/>
    <w:rsid w:val="00C522D5"/>
    <w:rsid w:val="00C527F2"/>
    <w:rsid w:val="00C52F45"/>
    <w:rsid w:val="00C55EA0"/>
    <w:rsid w:val="00C57E95"/>
    <w:rsid w:val="00C61E2B"/>
    <w:rsid w:val="00C65192"/>
    <w:rsid w:val="00C65922"/>
    <w:rsid w:val="00C6595F"/>
    <w:rsid w:val="00C65D04"/>
    <w:rsid w:val="00C66623"/>
    <w:rsid w:val="00C67A9E"/>
    <w:rsid w:val="00C70170"/>
    <w:rsid w:val="00C713CD"/>
    <w:rsid w:val="00C73B3E"/>
    <w:rsid w:val="00C75F00"/>
    <w:rsid w:val="00C774B4"/>
    <w:rsid w:val="00C77D19"/>
    <w:rsid w:val="00C81C60"/>
    <w:rsid w:val="00C81F0D"/>
    <w:rsid w:val="00C8330C"/>
    <w:rsid w:val="00C83C71"/>
    <w:rsid w:val="00C842E6"/>
    <w:rsid w:val="00C84ED8"/>
    <w:rsid w:val="00C85B7D"/>
    <w:rsid w:val="00C921D3"/>
    <w:rsid w:val="00C94760"/>
    <w:rsid w:val="00C94F8A"/>
    <w:rsid w:val="00C96C15"/>
    <w:rsid w:val="00CA057E"/>
    <w:rsid w:val="00CA3226"/>
    <w:rsid w:val="00CA37EA"/>
    <w:rsid w:val="00CA462F"/>
    <w:rsid w:val="00CA505D"/>
    <w:rsid w:val="00CA5115"/>
    <w:rsid w:val="00CA7CC1"/>
    <w:rsid w:val="00CB1A1B"/>
    <w:rsid w:val="00CB3757"/>
    <w:rsid w:val="00CB40FF"/>
    <w:rsid w:val="00CB5EBD"/>
    <w:rsid w:val="00CB73F6"/>
    <w:rsid w:val="00CC0222"/>
    <w:rsid w:val="00CC0362"/>
    <w:rsid w:val="00CC0F70"/>
    <w:rsid w:val="00CC161D"/>
    <w:rsid w:val="00CC4369"/>
    <w:rsid w:val="00CC459A"/>
    <w:rsid w:val="00CC5CE8"/>
    <w:rsid w:val="00CC6147"/>
    <w:rsid w:val="00CC7628"/>
    <w:rsid w:val="00CD0170"/>
    <w:rsid w:val="00CD10CD"/>
    <w:rsid w:val="00CD5E44"/>
    <w:rsid w:val="00CD5FC8"/>
    <w:rsid w:val="00CE0786"/>
    <w:rsid w:val="00CE1371"/>
    <w:rsid w:val="00CE4898"/>
    <w:rsid w:val="00CE5AE6"/>
    <w:rsid w:val="00CE5AF1"/>
    <w:rsid w:val="00CE5F94"/>
    <w:rsid w:val="00CE6F21"/>
    <w:rsid w:val="00CE72B9"/>
    <w:rsid w:val="00CE7CB3"/>
    <w:rsid w:val="00CF06DA"/>
    <w:rsid w:val="00CF0C91"/>
    <w:rsid w:val="00CF15AE"/>
    <w:rsid w:val="00CF1A04"/>
    <w:rsid w:val="00CF53E7"/>
    <w:rsid w:val="00CF7098"/>
    <w:rsid w:val="00D0073A"/>
    <w:rsid w:val="00D011D6"/>
    <w:rsid w:val="00D02008"/>
    <w:rsid w:val="00D03DF9"/>
    <w:rsid w:val="00D0429D"/>
    <w:rsid w:val="00D04402"/>
    <w:rsid w:val="00D0555B"/>
    <w:rsid w:val="00D05B73"/>
    <w:rsid w:val="00D060D4"/>
    <w:rsid w:val="00D07055"/>
    <w:rsid w:val="00D16E08"/>
    <w:rsid w:val="00D17986"/>
    <w:rsid w:val="00D17BDD"/>
    <w:rsid w:val="00D17CF6"/>
    <w:rsid w:val="00D2024A"/>
    <w:rsid w:val="00D214F2"/>
    <w:rsid w:val="00D23EA4"/>
    <w:rsid w:val="00D23ED9"/>
    <w:rsid w:val="00D3494F"/>
    <w:rsid w:val="00D35403"/>
    <w:rsid w:val="00D42598"/>
    <w:rsid w:val="00D43438"/>
    <w:rsid w:val="00D4612C"/>
    <w:rsid w:val="00D50F1A"/>
    <w:rsid w:val="00D5107F"/>
    <w:rsid w:val="00D51418"/>
    <w:rsid w:val="00D53D43"/>
    <w:rsid w:val="00D55A11"/>
    <w:rsid w:val="00D60217"/>
    <w:rsid w:val="00D60824"/>
    <w:rsid w:val="00D621B7"/>
    <w:rsid w:val="00D627EB"/>
    <w:rsid w:val="00D62D38"/>
    <w:rsid w:val="00D632E5"/>
    <w:rsid w:val="00D638A1"/>
    <w:rsid w:val="00D6511A"/>
    <w:rsid w:val="00D70C40"/>
    <w:rsid w:val="00D70D3E"/>
    <w:rsid w:val="00D70F60"/>
    <w:rsid w:val="00D730A5"/>
    <w:rsid w:val="00D748CD"/>
    <w:rsid w:val="00D74C5B"/>
    <w:rsid w:val="00D74D19"/>
    <w:rsid w:val="00D7522B"/>
    <w:rsid w:val="00D760AB"/>
    <w:rsid w:val="00D77B6D"/>
    <w:rsid w:val="00D80983"/>
    <w:rsid w:val="00D83377"/>
    <w:rsid w:val="00D83D51"/>
    <w:rsid w:val="00D84364"/>
    <w:rsid w:val="00D8595F"/>
    <w:rsid w:val="00D86B27"/>
    <w:rsid w:val="00D86F60"/>
    <w:rsid w:val="00D92A83"/>
    <w:rsid w:val="00D93D2B"/>
    <w:rsid w:val="00D940FE"/>
    <w:rsid w:val="00D9433E"/>
    <w:rsid w:val="00D960C4"/>
    <w:rsid w:val="00D96ABE"/>
    <w:rsid w:val="00DA0FDE"/>
    <w:rsid w:val="00DA3148"/>
    <w:rsid w:val="00DA42B8"/>
    <w:rsid w:val="00DA4821"/>
    <w:rsid w:val="00DA4FDE"/>
    <w:rsid w:val="00DA5D39"/>
    <w:rsid w:val="00DA66B6"/>
    <w:rsid w:val="00DB2C4E"/>
    <w:rsid w:val="00DB5B3C"/>
    <w:rsid w:val="00DB6D7F"/>
    <w:rsid w:val="00DC2C37"/>
    <w:rsid w:val="00DC506C"/>
    <w:rsid w:val="00DC5E64"/>
    <w:rsid w:val="00DC66E5"/>
    <w:rsid w:val="00DC7F95"/>
    <w:rsid w:val="00DD0DB2"/>
    <w:rsid w:val="00DD17C5"/>
    <w:rsid w:val="00DD226C"/>
    <w:rsid w:val="00DD3BEB"/>
    <w:rsid w:val="00DD3F62"/>
    <w:rsid w:val="00DD409F"/>
    <w:rsid w:val="00DD603B"/>
    <w:rsid w:val="00DD6268"/>
    <w:rsid w:val="00DD719D"/>
    <w:rsid w:val="00DE19FF"/>
    <w:rsid w:val="00DE4368"/>
    <w:rsid w:val="00DE53AC"/>
    <w:rsid w:val="00DE57C2"/>
    <w:rsid w:val="00DE6653"/>
    <w:rsid w:val="00DF0A26"/>
    <w:rsid w:val="00DF125E"/>
    <w:rsid w:val="00DF1397"/>
    <w:rsid w:val="00DF5195"/>
    <w:rsid w:val="00DF5A8C"/>
    <w:rsid w:val="00DF6C59"/>
    <w:rsid w:val="00E01A97"/>
    <w:rsid w:val="00E031FA"/>
    <w:rsid w:val="00E03B3A"/>
    <w:rsid w:val="00E1088E"/>
    <w:rsid w:val="00E11972"/>
    <w:rsid w:val="00E139AF"/>
    <w:rsid w:val="00E15B00"/>
    <w:rsid w:val="00E21B87"/>
    <w:rsid w:val="00E22581"/>
    <w:rsid w:val="00E22E3C"/>
    <w:rsid w:val="00E25D10"/>
    <w:rsid w:val="00E277D7"/>
    <w:rsid w:val="00E324AE"/>
    <w:rsid w:val="00E33AA2"/>
    <w:rsid w:val="00E35B08"/>
    <w:rsid w:val="00E36DAF"/>
    <w:rsid w:val="00E37D6D"/>
    <w:rsid w:val="00E40D91"/>
    <w:rsid w:val="00E40DAE"/>
    <w:rsid w:val="00E414DA"/>
    <w:rsid w:val="00E436CC"/>
    <w:rsid w:val="00E44D6D"/>
    <w:rsid w:val="00E47D75"/>
    <w:rsid w:val="00E5515B"/>
    <w:rsid w:val="00E55401"/>
    <w:rsid w:val="00E558FB"/>
    <w:rsid w:val="00E636FB"/>
    <w:rsid w:val="00E714AF"/>
    <w:rsid w:val="00E74EF0"/>
    <w:rsid w:val="00E76498"/>
    <w:rsid w:val="00E76B1E"/>
    <w:rsid w:val="00E76B6F"/>
    <w:rsid w:val="00E775DB"/>
    <w:rsid w:val="00E80489"/>
    <w:rsid w:val="00E80746"/>
    <w:rsid w:val="00E84CB5"/>
    <w:rsid w:val="00E84F8A"/>
    <w:rsid w:val="00E85CB4"/>
    <w:rsid w:val="00E85F68"/>
    <w:rsid w:val="00E86446"/>
    <w:rsid w:val="00E94C9C"/>
    <w:rsid w:val="00E950E6"/>
    <w:rsid w:val="00EA141E"/>
    <w:rsid w:val="00EA20A2"/>
    <w:rsid w:val="00EA3186"/>
    <w:rsid w:val="00EA384F"/>
    <w:rsid w:val="00EA3FBE"/>
    <w:rsid w:val="00EA4778"/>
    <w:rsid w:val="00EA6F7E"/>
    <w:rsid w:val="00EA714D"/>
    <w:rsid w:val="00EA7D3A"/>
    <w:rsid w:val="00EB12D2"/>
    <w:rsid w:val="00EB1452"/>
    <w:rsid w:val="00EB3269"/>
    <w:rsid w:val="00EB353B"/>
    <w:rsid w:val="00EB46A9"/>
    <w:rsid w:val="00EB5C3F"/>
    <w:rsid w:val="00EB5CCA"/>
    <w:rsid w:val="00EB6D88"/>
    <w:rsid w:val="00EB6F16"/>
    <w:rsid w:val="00EC025A"/>
    <w:rsid w:val="00EC0471"/>
    <w:rsid w:val="00EC127C"/>
    <w:rsid w:val="00EC1D93"/>
    <w:rsid w:val="00EC1F3B"/>
    <w:rsid w:val="00EC3AC1"/>
    <w:rsid w:val="00EC4272"/>
    <w:rsid w:val="00EC536D"/>
    <w:rsid w:val="00EC5681"/>
    <w:rsid w:val="00EC6ABD"/>
    <w:rsid w:val="00ED083B"/>
    <w:rsid w:val="00ED12AA"/>
    <w:rsid w:val="00ED16FB"/>
    <w:rsid w:val="00ED2E17"/>
    <w:rsid w:val="00ED33B8"/>
    <w:rsid w:val="00ED374B"/>
    <w:rsid w:val="00ED5B9B"/>
    <w:rsid w:val="00ED73A2"/>
    <w:rsid w:val="00EE32AD"/>
    <w:rsid w:val="00EE3C9A"/>
    <w:rsid w:val="00EE5052"/>
    <w:rsid w:val="00EE73A9"/>
    <w:rsid w:val="00EE7D84"/>
    <w:rsid w:val="00EF0340"/>
    <w:rsid w:val="00EF0AA4"/>
    <w:rsid w:val="00EF1DB6"/>
    <w:rsid w:val="00EF3138"/>
    <w:rsid w:val="00EF4306"/>
    <w:rsid w:val="00EF60B3"/>
    <w:rsid w:val="00F01F9C"/>
    <w:rsid w:val="00F02D55"/>
    <w:rsid w:val="00F03053"/>
    <w:rsid w:val="00F030E6"/>
    <w:rsid w:val="00F03403"/>
    <w:rsid w:val="00F06BE4"/>
    <w:rsid w:val="00F10C63"/>
    <w:rsid w:val="00F11275"/>
    <w:rsid w:val="00F14216"/>
    <w:rsid w:val="00F14812"/>
    <w:rsid w:val="00F16438"/>
    <w:rsid w:val="00F166D2"/>
    <w:rsid w:val="00F166F5"/>
    <w:rsid w:val="00F16A8C"/>
    <w:rsid w:val="00F21AF9"/>
    <w:rsid w:val="00F22E28"/>
    <w:rsid w:val="00F2320A"/>
    <w:rsid w:val="00F250F3"/>
    <w:rsid w:val="00F2614B"/>
    <w:rsid w:val="00F26860"/>
    <w:rsid w:val="00F30FDC"/>
    <w:rsid w:val="00F31E3B"/>
    <w:rsid w:val="00F324AF"/>
    <w:rsid w:val="00F329FC"/>
    <w:rsid w:val="00F337F1"/>
    <w:rsid w:val="00F3384C"/>
    <w:rsid w:val="00F35E5C"/>
    <w:rsid w:val="00F406D6"/>
    <w:rsid w:val="00F43C49"/>
    <w:rsid w:val="00F450E0"/>
    <w:rsid w:val="00F4583F"/>
    <w:rsid w:val="00F45846"/>
    <w:rsid w:val="00F45F26"/>
    <w:rsid w:val="00F53514"/>
    <w:rsid w:val="00F540F2"/>
    <w:rsid w:val="00F5502E"/>
    <w:rsid w:val="00F55D4A"/>
    <w:rsid w:val="00F610A6"/>
    <w:rsid w:val="00F640D2"/>
    <w:rsid w:val="00F64313"/>
    <w:rsid w:val="00F647A4"/>
    <w:rsid w:val="00F6493D"/>
    <w:rsid w:val="00F656FB"/>
    <w:rsid w:val="00F66CC5"/>
    <w:rsid w:val="00F67B6B"/>
    <w:rsid w:val="00F67D77"/>
    <w:rsid w:val="00F71521"/>
    <w:rsid w:val="00F72780"/>
    <w:rsid w:val="00F72A3F"/>
    <w:rsid w:val="00F767F3"/>
    <w:rsid w:val="00F7739D"/>
    <w:rsid w:val="00F803F0"/>
    <w:rsid w:val="00F83DE8"/>
    <w:rsid w:val="00F856EB"/>
    <w:rsid w:val="00F86E18"/>
    <w:rsid w:val="00F900B4"/>
    <w:rsid w:val="00F914A3"/>
    <w:rsid w:val="00F915B2"/>
    <w:rsid w:val="00F9288A"/>
    <w:rsid w:val="00F942BC"/>
    <w:rsid w:val="00F94E33"/>
    <w:rsid w:val="00F963C7"/>
    <w:rsid w:val="00F965AB"/>
    <w:rsid w:val="00FA099C"/>
    <w:rsid w:val="00FA2674"/>
    <w:rsid w:val="00FA4AD1"/>
    <w:rsid w:val="00FA4AD9"/>
    <w:rsid w:val="00FA4FA8"/>
    <w:rsid w:val="00FB0975"/>
    <w:rsid w:val="00FB12A9"/>
    <w:rsid w:val="00FB130F"/>
    <w:rsid w:val="00FB4035"/>
    <w:rsid w:val="00FB448E"/>
    <w:rsid w:val="00FB4C1C"/>
    <w:rsid w:val="00FB5FEF"/>
    <w:rsid w:val="00FB75B5"/>
    <w:rsid w:val="00FC04AF"/>
    <w:rsid w:val="00FC1C83"/>
    <w:rsid w:val="00FC2901"/>
    <w:rsid w:val="00FD2E51"/>
    <w:rsid w:val="00FD48C8"/>
    <w:rsid w:val="00FD4CAD"/>
    <w:rsid w:val="00FD7293"/>
    <w:rsid w:val="00FD7CB7"/>
    <w:rsid w:val="00FE16B1"/>
    <w:rsid w:val="00FE2EBC"/>
    <w:rsid w:val="00FE4AC8"/>
    <w:rsid w:val="00FE631B"/>
    <w:rsid w:val="00FE7376"/>
    <w:rsid w:val="00FF038A"/>
    <w:rsid w:val="00FF0535"/>
    <w:rsid w:val="00FF0550"/>
    <w:rsid w:val="00FF05DD"/>
    <w:rsid w:val="00FF0964"/>
    <w:rsid w:val="00FF0A5F"/>
    <w:rsid w:val="00FF0E84"/>
    <w:rsid w:val="00FF0F93"/>
    <w:rsid w:val="00FF14B2"/>
    <w:rsid w:val="00FF2D7F"/>
    <w:rsid w:val="00FF3144"/>
    <w:rsid w:val="00FF3F1C"/>
    <w:rsid w:val="00FF5059"/>
    <w:rsid w:val="00FF5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81C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48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4898"/>
  </w:style>
  <w:style w:type="paragraph" w:styleId="Footer">
    <w:name w:val="footer"/>
    <w:basedOn w:val="Normal"/>
    <w:link w:val="FooterChar"/>
    <w:uiPriority w:val="99"/>
    <w:unhideWhenUsed/>
    <w:rsid w:val="00CE48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4898"/>
  </w:style>
  <w:style w:type="paragraph" w:styleId="ListParagraph">
    <w:name w:val="List Paragraph"/>
    <w:basedOn w:val="Normal"/>
    <w:uiPriority w:val="34"/>
    <w:qFormat/>
    <w:rsid w:val="00CE4898"/>
    <w:pPr>
      <w:ind w:left="720"/>
      <w:contextualSpacing/>
    </w:pPr>
    <w:rPr>
      <w:rFonts w:eastAsiaTheme="minorEastAsia"/>
      <w:lang w:eastAsia="en-GB"/>
    </w:rPr>
  </w:style>
  <w:style w:type="paragraph" w:styleId="NormalWeb">
    <w:name w:val="Normal (Web)"/>
    <w:basedOn w:val="Normal"/>
    <w:uiPriority w:val="99"/>
    <w:unhideWhenUsed/>
    <w:rsid w:val="0092482C"/>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924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82C"/>
    <w:rPr>
      <w:rFonts w:ascii="Tahoma" w:hAnsi="Tahoma" w:cs="Tahoma"/>
      <w:sz w:val="16"/>
      <w:szCs w:val="16"/>
    </w:rPr>
  </w:style>
  <w:style w:type="paragraph" w:styleId="Subtitle">
    <w:name w:val="Subtitle"/>
    <w:basedOn w:val="Normal"/>
    <w:link w:val="SubtitleChar"/>
    <w:uiPriority w:val="99"/>
    <w:qFormat/>
    <w:rsid w:val="009A43CE"/>
    <w:pPr>
      <w:spacing w:after="0" w:line="240" w:lineRule="auto"/>
    </w:pPr>
    <w:rPr>
      <w:rFonts w:ascii="Arial" w:eastAsia="Times New Roman" w:hAnsi="Arial" w:cs="Arial"/>
      <w:b/>
      <w:bCs/>
      <w:color w:val="808080"/>
      <w:sz w:val="28"/>
      <w:szCs w:val="24"/>
    </w:rPr>
  </w:style>
  <w:style w:type="character" w:customStyle="1" w:styleId="SubtitleChar">
    <w:name w:val="Subtitle Char"/>
    <w:basedOn w:val="DefaultParagraphFont"/>
    <w:link w:val="Subtitle"/>
    <w:uiPriority w:val="99"/>
    <w:rsid w:val="009A43CE"/>
    <w:rPr>
      <w:rFonts w:ascii="Arial" w:eastAsia="Times New Roman" w:hAnsi="Arial" w:cs="Arial"/>
      <w:b/>
      <w:bCs/>
      <w:color w:val="808080"/>
      <w:sz w:val="28"/>
      <w:szCs w:val="24"/>
    </w:rPr>
  </w:style>
  <w:style w:type="character" w:styleId="CommentReference">
    <w:name w:val="annotation reference"/>
    <w:basedOn w:val="DefaultParagraphFont"/>
    <w:uiPriority w:val="99"/>
    <w:semiHidden/>
    <w:unhideWhenUsed/>
    <w:rsid w:val="00D93D2B"/>
    <w:rPr>
      <w:sz w:val="16"/>
      <w:szCs w:val="16"/>
    </w:rPr>
  </w:style>
  <w:style w:type="paragraph" w:styleId="CommentText">
    <w:name w:val="annotation text"/>
    <w:basedOn w:val="Normal"/>
    <w:link w:val="CommentTextChar"/>
    <w:uiPriority w:val="99"/>
    <w:semiHidden/>
    <w:unhideWhenUsed/>
    <w:rsid w:val="00D93D2B"/>
    <w:pPr>
      <w:spacing w:line="240" w:lineRule="auto"/>
    </w:pPr>
    <w:rPr>
      <w:sz w:val="20"/>
      <w:szCs w:val="20"/>
    </w:rPr>
  </w:style>
  <w:style w:type="character" w:customStyle="1" w:styleId="CommentTextChar">
    <w:name w:val="Comment Text Char"/>
    <w:basedOn w:val="DefaultParagraphFont"/>
    <w:link w:val="CommentText"/>
    <w:uiPriority w:val="99"/>
    <w:semiHidden/>
    <w:rsid w:val="00D93D2B"/>
    <w:rPr>
      <w:sz w:val="20"/>
      <w:szCs w:val="20"/>
    </w:rPr>
  </w:style>
  <w:style w:type="paragraph" w:styleId="CommentSubject">
    <w:name w:val="annotation subject"/>
    <w:basedOn w:val="CommentText"/>
    <w:next w:val="CommentText"/>
    <w:link w:val="CommentSubjectChar"/>
    <w:uiPriority w:val="99"/>
    <w:semiHidden/>
    <w:unhideWhenUsed/>
    <w:rsid w:val="00D93D2B"/>
    <w:rPr>
      <w:b/>
      <w:bCs/>
    </w:rPr>
  </w:style>
  <w:style w:type="character" w:customStyle="1" w:styleId="CommentSubjectChar">
    <w:name w:val="Comment Subject Char"/>
    <w:basedOn w:val="CommentTextChar"/>
    <w:link w:val="CommentSubject"/>
    <w:uiPriority w:val="99"/>
    <w:semiHidden/>
    <w:rsid w:val="00D93D2B"/>
    <w:rPr>
      <w:b/>
      <w:bCs/>
      <w:sz w:val="20"/>
      <w:szCs w:val="20"/>
    </w:rPr>
  </w:style>
  <w:style w:type="character" w:customStyle="1" w:styleId="Heading1Char">
    <w:name w:val="Heading 1 Char"/>
    <w:basedOn w:val="DefaultParagraphFont"/>
    <w:link w:val="Heading1"/>
    <w:uiPriority w:val="9"/>
    <w:rsid w:val="00281C1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281C1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81C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48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4898"/>
  </w:style>
  <w:style w:type="paragraph" w:styleId="Footer">
    <w:name w:val="footer"/>
    <w:basedOn w:val="Normal"/>
    <w:link w:val="FooterChar"/>
    <w:uiPriority w:val="99"/>
    <w:unhideWhenUsed/>
    <w:rsid w:val="00CE48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4898"/>
  </w:style>
  <w:style w:type="paragraph" w:styleId="ListParagraph">
    <w:name w:val="List Paragraph"/>
    <w:basedOn w:val="Normal"/>
    <w:uiPriority w:val="34"/>
    <w:qFormat/>
    <w:rsid w:val="00CE4898"/>
    <w:pPr>
      <w:ind w:left="720"/>
      <w:contextualSpacing/>
    </w:pPr>
    <w:rPr>
      <w:rFonts w:eastAsiaTheme="minorEastAsia"/>
      <w:lang w:eastAsia="en-GB"/>
    </w:rPr>
  </w:style>
  <w:style w:type="paragraph" w:styleId="NormalWeb">
    <w:name w:val="Normal (Web)"/>
    <w:basedOn w:val="Normal"/>
    <w:uiPriority w:val="99"/>
    <w:unhideWhenUsed/>
    <w:rsid w:val="0092482C"/>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924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82C"/>
    <w:rPr>
      <w:rFonts w:ascii="Tahoma" w:hAnsi="Tahoma" w:cs="Tahoma"/>
      <w:sz w:val="16"/>
      <w:szCs w:val="16"/>
    </w:rPr>
  </w:style>
  <w:style w:type="paragraph" w:styleId="Subtitle">
    <w:name w:val="Subtitle"/>
    <w:basedOn w:val="Normal"/>
    <w:link w:val="SubtitleChar"/>
    <w:uiPriority w:val="99"/>
    <w:qFormat/>
    <w:rsid w:val="009A43CE"/>
    <w:pPr>
      <w:spacing w:after="0" w:line="240" w:lineRule="auto"/>
    </w:pPr>
    <w:rPr>
      <w:rFonts w:ascii="Arial" w:eastAsia="Times New Roman" w:hAnsi="Arial" w:cs="Arial"/>
      <w:b/>
      <w:bCs/>
      <w:color w:val="808080"/>
      <w:sz w:val="28"/>
      <w:szCs w:val="24"/>
    </w:rPr>
  </w:style>
  <w:style w:type="character" w:customStyle="1" w:styleId="SubtitleChar">
    <w:name w:val="Subtitle Char"/>
    <w:basedOn w:val="DefaultParagraphFont"/>
    <w:link w:val="Subtitle"/>
    <w:uiPriority w:val="99"/>
    <w:rsid w:val="009A43CE"/>
    <w:rPr>
      <w:rFonts w:ascii="Arial" w:eastAsia="Times New Roman" w:hAnsi="Arial" w:cs="Arial"/>
      <w:b/>
      <w:bCs/>
      <w:color w:val="808080"/>
      <w:sz w:val="28"/>
      <w:szCs w:val="24"/>
    </w:rPr>
  </w:style>
  <w:style w:type="character" w:styleId="CommentReference">
    <w:name w:val="annotation reference"/>
    <w:basedOn w:val="DefaultParagraphFont"/>
    <w:uiPriority w:val="99"/>
    <w:semiHidden/>
    <w:unhideWhenUsed/>
    <w:rsid w:val="00D93D2B"/>
    <w:rPr>
      <w:sz w:val="16"/>
      <w:szCs w:val="16"/>
    </w:rPr>
  </w:style>
  <w:style w:type="paragraph" w:styleId="CommentText">
    <w:name w:val="annotation text"/>
    <w:basedOn w:val="Normal"/>
    <w:link w:val="CommentTextChar"/>
    <w:uiPriority w:val="99"/>
    <w:semiHidden/>
    <w:unhideWhenUsed/>
    <w:rsid w:val="00D93D2B"/>
    <w:pPr>
      <w:spacing w:line="240" w:lineRule="auto"/>
    </w:pPr>
    <w:rPr>
      <w:sz w:val="20"/>
      <w:szCs w:val="20"/>
    </w:rPr>
  </w:style>
  <w:style w:type="character" w:customStyle="1" w:styleId="CommentTextChar">
    <w:name w:val="Comment Text Char"/>
    <w:basedOn w:val="DefaultParagraphFont"/>
    <w:link w:val="CommentText"/>
    <w:uiPriority w:val="99"/>
    <w:semiHidden/>
    <w:rsid w:val="00D93D2B"/>
    <w:rPr>
      <w:sz w:val="20"/>
      <w:szCs w:val="20"/>
    </w:rPr>
  </w:style>
  <w:style w:type="paragraph" w:styleId="CommentSubject">
    <w:name w:val="annotation subject"/>
    <w:basedOn w:val="CommentText"/>
    <w:next w:val="CommentText"/>
    <w:link w:val="CommentSubjectChar"/>
    <w:uiPriority w:val="99"/>
    <w:semiHidden/>
    <w:unhideWhenUsed/>
    <w:rsid w:val="00D93D2B"/>
    <w:rPr>
      <w:b/>
      <w:bCs/>
    </w:rPr>
  </w:style>
  <w:style w:type="character" w:customStyle="1" w:styleId="CommentSubjectChar">
    <w:name w:val="Comment Subject Char"/>
    <w:basedOn w:val="CommentTextChar"/>
    <w:link w:val="CommentSubject"/>
    <w:uiPriority w:val="99"/>
    <w:semiHidden/>
    <w:rsid w:val="00D93D2B"/>
    <w:rPr>
      <w:b/>
      <w:bCs/>
      <w:sz w:val="20"/>
      <w:szCs w:val="20"/>
    </w:rPr>
  </w:style>
  <w:style w:type="character" w:customStyle="1" w:styleId="Heading1Char">
    <w:name w:val="Heading 1 Char"/>
    <w:basedOn w:val="DefaultParagraphFont"/>
    <w:link w:val="Heading1"/>
    <w:uiPriority w:val="9"/>
    <w:rsid w:val="00281C1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281C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292611">
      <w:bodyDiv w:val="1"/>
      <w:marLeft w:val="0"/>
      <w:marRight w:val="0"/>
      <w:marTop w:val="0"/>
      <w:marBottom w:val="0"/>
      <w:divBdr>
        <w:top w:val="none" w:sz="0" w:space="0" w:color="auto"/>
        <w:left w:val="none" w:sz="0" w:space="0" w:color="auto"/>
        <w:bottom w:val="none" w:sz="0" w:space="0" w:color="auto"/>
        <w:right w:val="none" w:sz="0" w:space="0" w:color="auto"/>
      </w:divBdr>
      <w:divsChild>
        <w:div w:id="1331786711">
          <w:marLeft w:val="0"/>
          <w:marRight w:val="0"/>
          <w:marTop w:val="0"/>
          <w:marBottom w:val="0"/>
          <w:divBdr>
            <w:top w:val="none" w:sz="0" w:space="0" w:color="auto"/>
            <w:left w:val="none" w:sz="0" w:space="0" w:color="auto"/>
            <w:bottom w:val="none" w:sz="0" w:space="0" w:color="auto"/>
            <w:right w:val="none" w:sz="0" w:space="0" w:color="auto"/>
          </w:divBdr>
          <w:divsChild>
            <w:div w:id="209095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683035">
      <w:bodyDiv w:val="1"/>
      <w:marLeft w:val="0"/>
      <w:marRight w:val="0"/>
      <w:marTop w:val="0"/>
      <w:marBottom w:val="0"/>
      <w:divBdr>
        <w:top w:val="none" w:sz="0" w:space="0" w:color="auto"/>
        <w:left w:val="none" w:sz="0" w:space="0" w:color="auto"/>
        <w:bottom w:val="none" w:sz="0" w:space="0" w:color="auto"/>
        <w:right w:val="none" w:sz="0" w:space="0" w:color="auto"/>
      </w:divBdr>
    </w:div>
    <w:div w:id="322855526">
      <w:bodyDiv w:val="1"/>
      <w:marLeft w:val="0"/>
      <w:marRight w:val="0"/>
      <w:marTop w:val="0"/>
      <w:marBottom w:val="0"/>
      <w:divBdr>
        <w:top w:val="none" w:sz="0" w:space="0" w:color="auto"/>
        <w:left w:val="none" w:sz="0" w:space="0" w:color="auto"/>
        <w:bottom w:val="none" w:sz="0" w:space="0" w:color="auto"/>
        <w:right w:val="none" w:sz="0" w:space="0" w:color="auto"/>
      </w:divBdr>
    </w:div>
    <w:div w:id="337199456">
      <w:bodyDiv w:val="1"/>
      <w:marLeft w:val="0"/>
      <w:marRight w:val="0"/>
      <w:marTop w:val="0"/>
      <w:marBottom w:val="0"/>
      <w:divBdr>
        <w:top w:val="none" w:sz="0" w:space="0" w:color="auto"/>
        <w:left w:val="none" w:sz="0" w:space="0" w:color="auto"/>
        <w:bottom w:val="none" w:sz="0" w:space="0" w:color="auto"/>
        <w:right w:val="none" w:sz="0" w:space="0" w:color="auto"/>
      </w:divBdr>
    </w:div>
    <w:div w:id="446242225">
      <w:bodyDiv w:val="1"/>
      <w:marLeft w:val="0"/>
      <w:marRight w:val="0"/>
      <w:marTop w:val="0"/>
      <w:marBottom w:val="0"/>
      <w:divBdr>
        <w:top w:val="none" w:sz="0" w:space="0" w:color="auto"/>
        <w:left w:val="none" w:sz="0" w:space="0" w:color="auto"/>
        <w:bottom w:val="none" w:sz="0" w:space="0" w:color="auto"/>
        <w:right w:val="none" w:sz="0" w:space="0" w:color="auto"/>
      </w:divBdr>
    </w:div>
    <w:div w:id="677848185">
      <w:bodyDiv w:val="1"/>
      <w:marLeft w:val="0"/>
      <w:marRight w:val="0"/>
      <w:marTop w:val="0"/>
      <w:marBottom w:val="0"/>
      <w:divBdr>
        <w:top w:val="none" w:sz="0" w:space="0" w:color="auto"/>
        <w:left w:val="none" w:sz="0" w:space="0" w:color="auto"/>
        <w:bottom w:val="none" w:sz="0" w:space="0" w:color="auto"/>
        <w:right w:val="none" w:sz="0" w:space="0" w:color="auto"/>
      </w:divBdr>
      <w:divsChild>
        <w:div w:id="240409437">
          <w:marLeft w:val="0"/>
          <w:marRight w:val="0"/>
          <w:marTop w:val="0"/>
          <w:marBottom w:val="0"/>
          <w:divBdr>
            <w:top w:val="none" w:sz="0" w:space="0" w:color="auto"/>
            <w:left w:val="none" w:sz="0" w:space="0" w:color="auto"/>
            <w:bottom w:val="none" w:sz="0" w:space="0" w:color="auto"/>
            <w:right w:val="none" w:sz="0" w:space="0" w:color="auto"/>
          </w:divBdr>
          <w:divsChild>
            <w:div w:id="279530373">
              <w:marLeft w:val="0"/>
              <w:marRight w:val="0"/>
              <w:marTop w:val="0"/>
              <w:marBottom w:val="0"/>
              <w:divBdr>
                <w:top w:val="none" w:sz="0" w:space="0" w:color="auto"/>
                <w:left w:val="none" w:sz="0" w:space="0" w:color="auto"/>
                <w:bottom w:val="none" w:sz="0" w:space="0" w:color="auto"/>
                <w:right w:val="none" w:sz="0" w:space="0" w:color="auto"/>
              </w:divBdr>
              <w:divsChild>
                <w:div w:id="1238515559">
                  <w:marLeft w:val="0"/>
                  <w:marRight w:val="0"/>
                  <w:marTop w:val="0"/>
                  <w:marBottom w:val="0"/>
                  <w:divBdr>
                    <w:top w:val="none" w:sz="0" w:space="0" w:color="auto"/>
                    <w:left w:val="none" w:sz="0" w:space="0" w:color="auto"/>
                    <w:bottom w:val="none" w:sz="0" w:space="0" w:color="auto"/>
                    <w:right w:val="none" w:sz="0" w:space="0" w:color="auto"/>
                  </w:divBdr>
                  <w:divsChild>
                    <w:div w:id="176857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268467">
      <w:bodyDiv w:val="1"/>
      <w:marLeft w:val="0"/>
      <w:marRight w:val="0"/>
      <w:marTop w:val="0"/>
      <w:marBottom w:val="0"/>
      <w:divBdr>
        <w:top w:val="none" w:sz="0" w:space="0" w:color="auto"/>
        <w:left w:val="none" w:sz="0" w:space="0" w:color="auto"/>
        <w:bottom w:val="none" w:sz="0" w:space="0" w:color="auto"/>
        <w:right w:val="none" w:sz="0" w:space="0" w:color="auto"/>
      </w:divBdr>
    </w:div>
    <w:div w:id="1708289537">
      <w:bodyDiv w:val="1"/>
      <w:marLeft w:val="0"/>
      <w:marRight w:val="0"/>
      <w:marTop w:val="0"/>
      <w:marBottom w:val="0"/>
      <w:divBdr>
        <w:top w:val="none" w:sz="0" w:space="0" w:color="auto"/>
        <w:left w:val="none" w:sz="0" w:space="0" w:color="auto"/>
        <w:bottom w:val="none" w:sz="0" w:space="0" w:color="auto"/>
        <w:right w:val="none" w:sz="0" w:space="0" w:color="auto"/>
      </w:divBdr>
      <w:divsChild>
        <w:div w:id="1037776511">
          <w:marLeft w:val="0"/>
          <w:marRight w:val="0"/>
          <w:marTop w:val="0"/>
          <w:marBottom w:val="0"/>
          <w:divBdr>
            <w:top w:val="none" w:sz="0" w:space="0" w:color="auto"/>
            <w:left w:val="none" w:sz="0" w:space="0" w:color="auto"/>
            <w:bottom w:val="none" w:sz="0" w:space="0" w:color="auto"/>
            <w:right w:val="none" w:sz="0" w:space="0" w:color="auto"/>
          </w:divBdr>
          <w:divsChild>
            <w:div w:id="748380413">
              <w:marLeft w:val="0"/>
              <w:marRight w:val="0"/>
              <w:marTop w:val="0"/>
              <w:marBottom w:val="0"/>
              <w:divBdr>
                <w:top w:val="none" w:sz="0" w:space="0" w:color="auto"/>
                <w:left w:val="none" w:sz="0" w:space="0" w:color="auto"/>
                <w:bottom w:val="none" w:sz="0" w:space="0" w:color="auto"/>
                <w:right w:val="none" w:sz="0" w:space="0" w:color="auto"/>
              </w:divBdr>
              <w:divsChild>
                <w:div w:id="2099667803">
                  <w:marLeft w:val="0"/>
                  <w:marRight w:val="0"/>
                  <w:marTop w:val="0"/>
                  <w:marBottom w:val="0"/>
                  <w:divBdr>
                    <w:top w:val="none" w:sz="0" w:space="0" w:color="auto"/>
                    <w:left w:val="none" w:sz="0" w:space="0" w:color="auto"/>
                    <w:bottom w:val="none" w:sz="0" w:space="0" w:color="auto"/>
                    <w:right w:val="none" w:sz="0" w:space="0" w:color="auto"/>
                  </w:divBdr>
                  <w:divsChild>
                    <w:div w:id="7583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970978">
      <w:bodyDiv w:val="1"/>
      <w:marLeft w:val="0"/>
      <w:marRight w:val="0"/>
      <w:marTop w:val="0"/>
      <w:marBottom w:val="0"/>
      <w:divBdr>
        <w:top w:val="none" w:sz="0" w:space="0" w:color="auto"/>
        <w:left w:val="none" w:sz="0" w:space="0" w:color="auto"/>
        <w:bottom w:val="none" w:sz="0" w:space="0" w:color="auto"/>
        <w:right w:val="none" w:sz="0" w:space="0" w:color="auto"/>
      </w:divBdr>
      <w:divsChild>
        <w:div w:id="724376931">
          <w:marLeft w:val="0"/>
          <w:marRight w:val="0"/>
          <w:marTop w:val="0"/>
          <w:marBottom w:val="0"/>
          <w:divBdr>
            <w:top w:val="none" w:sz="0" w:space="0" w:color="auto"/>
            <w:left w:val="none" w:sz="0" w:space="0" w:color="auto"/>
            <w:bottom w:val="none" w:sz="0" w:space="0" w:color="auto"/>
            <w:right w:val="none" w:sz="0" w:space="0" w:color="auto"/>
          </w:divBdr>
          <w:divsChild>
            <w:div w:id="123262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893825">
      <w:bodyDiv w:val="1"/>
      <w:marLeft w:val="0"/>
      <w:marRight w:val="0"/>
      <w:marTop w:val="0"/>
      <w:marBottom w:val="0"/>
      <w:divBdr>
        <w:top w:val="none" w:sz="0" w:space="0" w:color="auto"/>
        <w:left w:val="none" w:sz="0" w:space="0" w:color="auto"/>
        <w:bottom w:val="none" w:sz="0" w:space="0" w:color="auto"/>
        <w:right w:val="none" w:sz="0" w:space="0" w:color="auto"/>
      </w:divBdr>
    </w:div>
    <w:div w:id="1883207985">
      <w:bodyDiv w:val="1"/>
      <w:marLeft w:val="0"/>
      <w:marRight w:val="0"/>
      <w:marTop w:val="0"/>
      <w:marBottom w:val="0"/>
      <w:divBdr>
        <w:top w:val="none" w:sz="0" w:space="0" w:color="auto"/>
        <w:left w:val="none" w:sz="0" w:space="0" w:color="auto"/>
        <w:bottom w:val="none" w:sz="0" w:space="0" w:color="auto"/>
        <w:right w:val="none" w:sz="0" w:space="0" w:color="auto"/>
      </w:divBdr>
    </w:div>
    <w:div w:id="2045322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E1BBC-758F-4601-BB2E-BE6036FB4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18</Pages>
  <Words>26494</Words>
  <Characters>151016</Characters>
  <Application>Microsoft Office Word</Application>
  <DocSecurity>0</DocSecurity>
  <Lines>1258</Lines>
  <Paragraphs>354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177156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Rawson</dc:creator>
  <cp:lastModifiedBy>Tim Rawson</cp:lastModifiedBy>
  <cp:revision>4</cp:revision>
  <dcterms:created xsi:type="dcterms:W3CDTF">2017-07-12T09:36:00Z</dcterms:created>
  <dcterms:modified xsi:type="dcterms:W3CDTF">2017-07-12T09:56:00Z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tmr07@ic.ac.uk@www.mendeley.com</vt:lpwstr>
  </property>
  <property fmtid="{D5CDD505-2E9C-101B-9397-08002B2CF9AE}" pid="4" name="Mendeley Citation Style_1">
    <vt:lpwstr>http://www.zotero.org/styles/electrochemistry-communications</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http://www.zotero.org/styles/bmc-medicine</vt:lpwstr>
  </property>
  <property fmtid="{D5CDD505-2E9C-101B-9397-08002B2CF9AE}" pid="8" name="Mendeley Recent Style Name 1_1">
    <vt:lpwstr>BMC Medicine</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16th edition (author-date)</vt:lpwstr>
  </property>
  <property fmtid="{D5CDD505-2E9C-101B-9397-08002B2CF9AE}" pid="11" name="Mendeley Recent Style Id 3_1">
    <vt:lpwstr>http://www.zotero.org/styles/electrochemistry-communications</vt:lpwstr>
  </property>
  <property fmtid="{D5CDD505-2E9C-101B-9397-08002B2CF9AE}" pid="12" name="Mendeley Recent Style Name 3_1">
    <vt:lpwstr>Electrochemistry Communications</vt:lpwstr>
  </property>
  <property fmtid="{D5CDD505-2E9C-101B-9397-08002B2CF9AE}" pid="13" name="Mendeley Recent Style Id 4_1">
    <vt:lpwstr>http://www.zotero.org/styles/ieee</vt:lpwstr>
  </property>
  <property fmtid="{D5CDD505-2E9C-101B-9397-08002B2CF9AE}" pid="14" name="Mendeley Recent Style Name 4_1">
    <vt:lpwstr>IEEE</vt:lpwstr>
  </property>
  <property fmtid="{D5CDD505-2E9C-101B-9397-08002B2CF9AE}" pid="15" name="Mendeley Recent Style Id 5_1">
    <vt:lpwstr>http://www.zotero.org/styles/international-journal-of-antimicrobial-agents</vt:lpwstr>
  </property>
  <property fmtid="{D5CDD505-2E9C-101B-9397-08002B2CF9AE}" pid="16" name="Mendeley Recent Style Name 5_1">
    <vt:lpwstr>International Journal of Antimicrobial Agents</vt:lpwstr>
  </property>
  <property fmtid="{D5CDD505-2E9C-101B-9397-08002B2CF9AE}" pid="17" name="Mendeley Recent Style Id 6_1">
    <vt:lpwstr>http://www.zotero.org/styles/journal-of-antimicrobial-chemotherapy</vt:lpwstr>
  </property>
  <property fmtid="{D5CDD505-2E9C-101B-9397-08002B2CF9AE}" pid="18" name="Mendeley Recent Style Name 6_1">
    <vt:lpwstr>Journal of Antimicrobial Chemotherapy</vt:lpwstr>
  </property>
  <property fmtid="{D5CDD505-2E9C-101B-9397-08002B2CF9AE}" pid="19" name="Mendeley Recent Style Id 7_1">
    <vt:lpwstr>http://www.zotero.org/styles/medical-education</vt:lpwstr>
  </property>
  <property fmtid="{D5CDD505-2E9C-101B-9397-08002B2CF9AE}" pid="20" name="Mendeley Recent Style Name 7_1">
    <vt:lpwstr>Medical Education</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