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47E" w:rsidRPr="005B0C64" w:rsidRDefault="00AF147E" w:rsidP="00AF147E">
      <w:pPr>
        <w:spacing w:after="210" w:line="360" w:lineRule="auto"/>
        <w:rPr>
          <w:rFonts w:asciiTheme="minorHAnsi" w:hAnsiTheme="minorHAnsi"/>
          <w:b/>
          <w:sz w:val="20"/>
          <w:szCs w:val="20"/>
          <w:lang w:eastAsia="en-GB"/>
        </w:rPr>
      </w:pPr>
      <w:r w:rsidRPr="005B0C64">
        <w:rPr>
          <w:rFonts w:asciiTheme="minorHAnsi" w:hAnsiTheme="minorHAnsi"/>
          <w:b/>
          <w:sz w:val="20"/>
          <w:szCs w:val="20"/>
          <w:lang w:eastAsia="en-GB"/>
        </w:rPr>
        <w:t>Cardiovascular toxicities of systemic treatments of prostate cancer: oestrogen to the rescue?</w:t>
      </w:r>
    </w:p>
    <w:p w:rsidR="00AF147E" w:rsidRPr="005B0C64" w:rsidRDefault="00AF147E" w:rsidP="005B0C64">
      <w:pPr>
        <w:spacing w:before="100" w:beforeAutospacing="1" w:after="100" w:afterAutospacing="1" w:line="360" w:lineRule="auto"/>
        <w:rPr>
          <w:rFonts w:asciiTheme="minorHAnsi" w:eastAsia="Times New Roman" w:hAnsiTheme="minorHAnsi"/>
          <w:sz w:val="20"/>
          <w:szCs w:val="20"/>
          <w:lang w:eastAsia="en-GB"/>
        </w:rPr>
      </w:pPr>
      <w:r w:rsidRPr="005B0C64">
        <w:rPr>
          <w:rFonts w:asciiTheme="minorHAnsi" w:eastAsia="Times New Roman" w:hAnsiTheme="minorHAnsi"/>
          <w:sz w:val="20"/>
          <w:szCs w:val="20"/>
          <w:lang w:eastAsia="en-GB"/>
        </w:rPr>
        <w:t>Syed Imran A. Shah</w:t>
      </w:r>
      <w:r w:rsidR="005B0C64">
        <w:rPr>
          <w:rFonts w:asciiTheme="minorHAnsi" w:eastAsia="Times New Roman" w:hAnsiTheme="minorHAnsi"/>
          <w:sz w:val="20"/>
          <w:szCs w:val="20"/>
          <w:lang w:eastAsia="en-GB"/>
        </w:rPr>
        <w:t>,</w:t>
      </w:r>
      <w:r w:rsidRPr="005B0C64">
        <w:rPr>
          <w:rFonts w:asciiTheme="minorHAnsi" w:eastAsia="Times New Roman" w:hAnsiTheme="minorHAnsi"/>
          <w:sz w:val="20"/>
          <w:szCs w:val="20"/>
          <w:lang w:eastAsia="en-GB"/>
        </w:rPr>
        <w:t> Hannah C. P. Wilson &amp; Paul D. Abel</w:t>
      </w:r>
    </w:p>
    <w:p w:rsidR="00AF147E" w:rsidRPr="005B0C64" w:rsidRDefault="00AF147E" w:rsidP="00AF147E">
      <w:pPr>
        <w:shd w:val="clear" w:color="auto" w:fill="FFFFFF"/>
        <w:spacing w:after="420" w:line="360" w:lineRule="auto"/>
        <w:rPr>
          <w:rFonts w:asciiTheme="minorHAnsi" w:hAnsiTheme="minorHAnsi"/>
          <w:color w:val="222222"/>
          <w:spacing w:val="3"/>
          <w:sz w:val="20"/>
          <w:szCs w:val="20"/>
          <w:lang w:eastAsia="en-GB"/>
        </w:rPr>
      </w:pPr>
      <w:r w:rsidRPr="005B0C64">
        <w:rPr>
          <w:rFonts w:asciiTheme="minorHAnsi" w:hAnsiTheme="minorHAnsi"/>
          <w:color w:val="222222"/>
          <w:spacing w:val="3"/>
          <w:sz w:val="20"/>
          <w:szCs w:val="20"/>
          <w:lang w:eastAsia="en-GB"/>
        </w:rPr>
        <w:t>In their Review (Cardiovascular toxicities of systemic treatments of prostate cancer. </w:t>
      </w:r>
      <w:r w:rsidRPr="005B0C64">
        <w:rPr>
          <w:rFonts w:asciiTheme="minorHAnsi" w:hAnsiTheme="minorHAnsi"/>
          <w:i/>
          <w:iCs/>
          <w:spacing w:val="3"/>
          <w:sz w:val="20"/>
          <w:szCs w:val="20"/>
          <w:lang w:eastAsia="en-GB"/>
        </w:rPr>
        <w:t>Nat. Rev. Urol</w:t>
      </w:r>
      <w:r w:rsidRPr="005B0C64">
        <w:rPr>
          <w:rFonts w:asciiTheme="minorHAnsi" w:hAnsiTheme="minorHAnsi"/>
          <w:spacing w:val="3"/>
          <w:sz w:val="20"/>
          <w:szCs w:val="20"/>
          <w:lang w:eastAsia="en-GB"/>
        </w:rPr>
        <w:t>. </w:t>
      </w:r>
      <w:r w:rsidRPr="005B0C64">
        <w:rPr>
          <w:rFonts w:asciiTheme="minorHAnsi" w:hAnsiTheme="minorHAnsi"/>
          <w:b/>
          <w:bCs/>
          <w:spacing w:val="3"/>
          <w:sz w:val="20"/>
          <w:szCs w:val="20"/>
          <w:lang w:eastAsia="en-GB"/>
        </w:rPr>
        <w:t>14</w:t>
      </w:r>
      <w:r w:rsidRPr="005B0C64">
        <w:rPr>
          <w:rFonts w:asciiTheme="minorHAnsi" w:hAnsiTheme="minorHAnsi"/>
          <w:spacing w:val="3"/>
          <w:sz w:val="20"/>
          <w:szCs w:val="20"/>
          <w:lang w:eastAsia="en-GB"/>
        </w:rPr>
        <w:t>, 230–243 (2017)</w:t>
      </w:r>
      <w:proofErr w:type="gramStart"/>
      <w:r w:rsidRPr="005B0C64">
        <w:rPr>
          <w:rFonts w:asciiTheme="minorHAnsi" w:hAnsiTheme="minorHAnsi"/>
          <w:color w:val="222222"/>
          <w:spacing w:val="3"/>
          <w:sz w:val="20"/>
          <w:szCs w:val="20"/>
          <w:lang w:eastAsia="en-GB"/>
        </w:rPr>
        <w:t>)</w:t>
      </w:r>
      <w:proofErr w:type="gramEnd"/>
      <w:r w:rsidRPr="005B0C64">
        <w:rPr>
          <w:rFonts w:asciiTheme="minorHAnsi" w:hAnsiTheme="minorHAnsi"/>
          <w:color w:val="222222"/>
          <w:spacing w:val="3"/>
          <w:sz w:val="20"/>
          <w:szCs w:val="20"/>
          <w:vertAlign w:val="superscript"/>
          <w:lang w:eastAsia="en-GB"/>
        </w:rPr>
        <w:fldChar w:fldCharType="begin"/>
      </w:r>
      <w:r w:rsidRPr="005B0C64">
        <w:rPr>
          <w:rFonts w:asciiTheme="minorHAnsi" w:hAnsiTheme="minorHAnsi"/>
          <w:color w:val="222222"/>
          <w:spacing w:val="3"/>
          <w:sz w:val="20"/>
          <w:szCs w:val="20"/>
          <w:vertAlign w:val="superscript"/>
          <w:lang w:eastAsia="en-GB"/>
        </w:rPr>
        <w:instrText xml:space="preserve"> HYPERLINK "https://www.nature.com/articles/nrurol.2017.126" \l "ref1" \o "Veccia, A., Maines, F., Kinspergher, S., Galligioni, E. &amp; Caffo, O. Cardiovascular toxicities of systemic treatments of prostate cancer. Nat. Rev. Urol. 14, 230–243 (2017)." </w:instrText>
      </w:r>
      <w:r w:rsidRPr="005B0C64">
        <w:rPr>
          <w:rFonts w:asciiTheme="minorHAnsi" w:hAnsiTheme="minorHAnsi"/>
          <w:color w:val="222222"/>
          <w:spacing w:val="3"/>
          <w:sz w:val="20"/>
          <w:szCs w:val="20"/>
          <w:vertAlign w:val="superscript"/>
          <w:lang w:eastAsia="en-GB"/>
        </w:rPr>
        <w:fldChar w:fldCharType="separate"/>
      </w:r>
      <w:r w:rsidRPr="005B0C64">
        <w:rPr>
          <w:rStyle w:val="Hyperlink"/>
          <w:rFonts w:asciiTheme="minorHAnsi" w:hAnsiTheme="minorHAnsi"/>
          <w:color w:val="006699"/>
          <w:spacing w:val="3"/>
          <w:sz w:val="20"/>
          <w:szCs w:val="20"/>
          <w:lang w:eastAsia="en-GB"/>
        </w:rPr>
        <w:t>1</w:t>
      </w:r>
      <w:r w:rsidRPr="005B0C64">
        <w:rPr>
          <w:rFonts w:asciiTheme="minorHAnsi" w:hAnsiTheme="minorHAnsi"/>
          <w:color w:val="222222"/>
          <w:spacing w:val="3"/>
          <w:sz w:val="20"/>
          <w:szCs w:val="20"/>
          <w:vertAlign w:val="superscript"/>
          <w:lang w:eastAsia="en-GB"/>
        </w:rPr>
        <w:fldChar w:fldCharType="end"/>
      </w:r>
      <w:r w:rsidRPr="005B0C64">
        <w:rPr>
          <w:rFonts w:asciiTheme="minorHAnsi" w:hAnsiTheme="minorHAnsi"/>
          <w:color w:val="222222"/>
          <w:spacing w:val="3"/>
          <w:sz w:val="20"/>
          <w:szCs w:val="20"/>
          <w:lang w:eastAsia="en-GB"/>
        </w:rPr>
        <w:t> </w:t>
      </w:r>
      <w:proofErr w:type="spellStart"/>
      <w:r w:rsidRPr="005B0C64">
        <w:rPr>
          <w:rFonts w:asciiTheme="minorHAnsi" w:hAnsiTheme="minorHAnsi"/>
          <w:color w:val="222222"/>
          <w:spacing w:val="3"/>
          <w:sz w:val="20"/>
          <w:szCs w:val="20"/>
          <w:lang w:eastAsia="en-GB"/>
        </w:rPr>
        <w:t>Veccia</w:t>
      </w:r>
      <w:proofErr w:type="spellEnd"/>
      <w:r w:rsidRPr="005B0C64">
        <w:rPr>
          <w:rFonts w:asciiTheme="minorHAnsi" w:hAnsiTheme="minorHAnsi"/>
          <w:color w:val="222222"/>
          <w:spacing w:val="3"/>
          <w:sz w:val="20"/>
          <w:szCs w:val="20"/>
          <w:lang w:eastAsia="en-GB"/>
        </w:rPr>
        <w:t> </w:t>
      </w:r>
      <w:r w:rsidRPr="005B0C64">
        <w:rPr>
          <w:rFonts w:asciiTheme="minorHAnsi" w:hAnsiTheme="minorHAnsi"/>
          <w:i/>
          <w:iCs/>
          <w:color w:val="222222"/>
          <w:spacing w:val="3"/>
          <w:sz w:val="20"/>
          <w:szCs w:val="20"/>
          <w:lang w:eastAsia="en-GB"/>
        </w:rPr>
        <w:t>et al</w:t>
      </w:r>
      <w:r w:rsidRPr="005B0C64">
        <w:rPr>
          <w:rFonts w:asciiTheme="minorHAnsi" w:hAnsiTheme="minorHAnsi"/>
          <w:color w:val="222222"/>
          <w:spacing w:val="3"/>
          <w:sz w:val="20"/>
          <w:szCs w:val="20"/>
          <w:lang w:eastAsia="en-GB"/>
        </w:rPr>
        <w:t>. offer u</w:t>
      </w:r>
      <w:bookmarkStart w:id="0" w:name="_GoBack"/>
      <w:bookmarkEnd w:id="0"/>
      <w:r w:rsidRPr="005B0C64">
        <w:rPr>
          <w:rFonts w:asciiTheme="minorHAnsi" w:hAnsiTheme="minorHAnsi"/>
          <w:color w:val="222222"/>
          <w:spacing w:val="3"/>
          <w:sz w:val="20"/>
          <w:szCs w:val="20"/>
          <w:lang w:eastAsia="en-GB"/>
        </w:rPr>
        <w:t xml:space="preserve">seful insight into current knowledge concerning cardiovascular complications of oral oestrogen, androgen deprivation therapy (ADT), and prostate cancer. However, we do not share the confidence and strength of their assertion that “oestrogens are no longer used in patients with prostate cancer owing to the severity of their adverse events, which include thromboembolic and cardiovascular effects”. This misconception, based on the oral mode of administration of the drug, has led to a long period of disuse, but early data derived from the current UK national Prostate Adenocarcinoma </w:t>
      </w:r>
      <w:proofErr w:type="spellStart"/>
      <w:r w:rsidRPr="005B0C64">
        <w:rPr>
          <w:rFonts w:asciiTheme="minorHAnsi" w:hAnsiTheme="minorHAnsi"/>
          <w:color w:val="222222"/>
          <w:spacing w:val="3"/>
          <w:sz w:val="20"/>
          <w:szCs w:val="20"/>
          <w:lang w:eastAsia="en-GB"/>
        </w:rPr>
        <w:t>TransCutaneous</w:t>
      </w:r>
      <w:proofErr w:type="spellEnd"/>
      <w:r w:rsidRPr="005B0C64">
        <w:rPr>
          <w:rFonts w:asciiTheme="minorHAnsi" w:hAnsiTheme="minorHAnsi"/>
          <w:color w:val="222222"/>
          <w:spacing w:val="3"/>
          <w:sz w:val="20"/>
          <w:szCs w:val="20"/>
          <w:lang w:eastAsia="en-GB"/>
        </w:rPr>
        <w:t xml:space="preserve"> Hormones (PATCH) study</w:t>
      </w:r>
      <w:hyperlink r:id="rId5" w:anchor="ref2" w:tooltip="Langley, R. E.  et al. Cardiovascular outcomes in patients with locally advanced and metastatic prostate cancer treated with luteinising-hormone-releasing-hormone agonists or transdermal oestrogen: the randomised, phase 2 MRC PATCH trial (PR09). Lancet On" w:history="1">
        <w:r w:rsidRPr="005B0C64">
          <w:rPr>
            <w:rStyle w:val="Hyperlink"/>
            <w:rFonts w:asciiTheme="minorHAnsi" w:hAnsiTheme="minorHAnsi"/>
            <w:color w:val="006699"/>
            <w:spacing w:val="3"/>
            <w:sz w:val="20"/>
            <w:szCs w:val="20"/>
            <w:lang w:eastAsia="en-GB"/>
          </w:rPr>
          <w:t>2</w:t>
        </w:r>
      </w:hyperlink>
      <w:r w:rsidRPr="005B0C64">
        <w:rPr>
          <w:rFonts w:asciiTheme="minorHAnsi" w:hAnsiTheme="minorHAnsi"/>
          <w:color w:val="222222"/>
          <w:spacing w:val="3"/>
          <w:sz w:val="20"/>
          <w:szCs w:val="20"/>
          <w:vertAlign w:val="superscript"/>
          <w:lang w:eastAsia="en-GB"/>
        </w:rPr>
        <w:t>,</w:t>
      </w:r>
      <w:hyperlink r:id="rId6" w:anchor="ref3" w:tooltip="Langley, R. E.  et al. Early hormonal data from a multicentre phase II trial using transdermal oestrogen patches as first-line hormonal therapy in patients with locally advanced or metastatic prostate cancer. BJU Int. 102, 442–445 (2008)." w:history="1">
        <w:r w:rsidRPr="005B0C64">
          <w:rPr>
            <w:rStyle w:val="Hyperlink"/>
            <w:rFonts w:asciiTheme="minorHAnsi" w:hAnsiTheme="minorHAnsi"/>
            <w:color w:val="006699"/>
            <w:spacing w:val="3"/>
            <w:sz w:val="20"/>
            <w:szCs w:val="20"/>
            <w:lang w:eastAsia="en-GB"/>
          </w:rPr>
          <w:t>3</w:t>
        </w:r>
      </w:hyperlink>
      <w:r w:rsidRPr="005B0C64">
        <w:rPr>
          <w:rFonts w:asciiTheme="minorHAnsi" w:hAnsiTheme="minorHAnsi"/>
          <w:color w:val="222222"/>
          <w:spacing w:val="3"/>
          <w:sz w:val="20"/>
          <w:szCs w:val="20"/>
          <w:lang w:eastAsia="en-GB"/>
        </w:rPr>
        <w:t>, promise to improve our understanding of the value of oestrogen for treating prostate cancer and to explain the reasons for the various adverse effects (including, for example, osteoporosis and metabolic syndrome). This study could also provide a possible route to personalized medicine in hormone therapy for prostate cancer and an improved quality of life for men with this disease.</w:t>
      </w:r>
    </w:p>
    <w:p w:rsidR="00AF147E" w:rsidRPr="005B0C64" w:rsidRDefault="00AF147E" w:rsidP="00AF147E">
      <w:pPr>
        <w:shd w:val="clear" w:color="auto" w:fill="FFFFFF"/>
        <w:spacing w:after="420" w:line="360" w:lineRule="auto"/>
        <w:rPr>
          <w:rFonts w:asciiTheme="minorHAnsi" w:hAnsiTheme="minorHAnsi"/>
          <w:color w:val="222222"/>
          <w:spacing w:val="3"/>
          <w:sz w:val="20"/>
          <w:szCs w:val="20"/>
          <w:lang w:eastAsia="en-GB"/>
        </w:rPr>
      </w:pPr>
      <w:r w:rsidRPr="005B0C64">
        <w:rPr>
          <w:rFonts w:asciiTheme="minorHAnsi" w:hAnsiTheme="minorHAnsi"/>
          <w:color w:val="222222"/>
          <w:spacing w:val="3"/>
          <w:sz w:val="20"/>
          <w:szCs w:val="20"/>
          <w:lang w:eastAsia="en-GB"/>
        </w:rPr>
        <w:t xml:space="preserve">Initially, ADT (or total </w:t>
      </w:r>
      <w:proofErr w:type="spellStart"/>
      <w:r w:rsidRPr="005B0C64">
        <w:rPr>
          <w:rFonts w:asciiTheme="minorHAnsi" w:hAnsiTheme="minorHAnsi"/>
          <w:color w:val="222222"/>
          <w:spacing w:val="3"/>
          <w:sz w:val="20"/>
          <w:szCs w:val="20"/>
          <w:lang w:eastAsia="en-GB"/>
        </w:rPr>
        <w:t>orchidectomy</w:t>
      </w:r>
      <w:proofErr w:type="spellEnd"/>
      <w:r w:rsidRPr="005B0C64">
        <w:rPr>
          <w:rFonts w:asciiTheme="minorHAnsi" w:hAnsiTheme="minorHAnsi"/>
          <w:color w:val="222222"/>
          <w:spacing w:val="3"/>
          <w:sz w:val="20"/>
          <w:szCs w:val="20"/>
          <w:lang w:eastAsia="en-GB"/>
        </w:rPr>
        <w:t>) was widely accepted to achieve androgen suppression for treating advanced prostate cancer. However, the Veterans' Administration Cooperative Urological Research Group studies on prostate cancer revealed unexpected outcomes; oral oestrogen resulted in improved prostate-cancer-specific survival, but overall survival worsened substantially, exposing patients to particularly serious cardiovascular and thromboembolic toxicities arising from oral use</w:t>
      </w:r>
      <w:hyperlink r:id="rId7" w:anchor="ref4" w:tooltip="Byar, D. P. The veterans administration cooperative urological research group's studies of cancer of the prostate. Cancer 32, 1126–1130 (1973)." w:history="1">
        <w:r w:rsidRPr="005B0C64">
          <w:rPr>
            <w:rStyle w:val="Hyperlink"/>
            <w:rFonts w:asciiTheme="minorHAnsi" w:hAnsiTheme="minorHAnsi"/>
            <w:color w:val="006699"/>
            <w:spacing w:val="3"/>
            <w:sz w:val="20"/>
            <w:szCs w:val="20"/>
            <w:lang w:eastAsia="en-GB"/>
          </w:rPr>
          <w:t>4</w:t>
        </w:r>
      </w:hyperlink>
      <w:r w:rsidRPr="005B0C64">
        <w:rPr>
          <w:rFonts w:asciiTheme="minorHAnsi" w:hAnsiTheme="minorHAnsi"/>
          <w:color w:val="222222"/>
          <w:spacing w:val="3"/>
          <w:sz w:val="20"/>
          <w:szCs w:val="20"/>
          <w:lang w:eastAsia="en-GB"/>
        </w:rPr>
        <w:t xml:space="preserve">. Thus, oral oestrogen, which necessarily passes through the </w:t>
      </w:r>
      <w:proofErr w:type="spellStart"/>
      <w:r w:rsidRPr="005B0C64">
        <w:rPr>
          <w:rFonts w:asciiTheme="minorHAnsi" w:hAnsiTheme="minorHAnsi"/>
          <w:color w:val="222222"/>
          <w:spacing w:val="3"/>
          <w:sz w:val="20"/>
          <w:szCs w:val="20"/>
          <w:lang w:eastAsia="en-GB"/>
        </w:rPr>
        <w:t>enterohepatic</w:t>
      </w:r>
      <w:proofErr w:type="spellEnd"/>
      <w:r w:rsidRPr="005B0C64">
        <w:rPr>
          <w:rFonts w:asciiTheme="minorHAnsi" w:hAnsiTheme="minorHAnsi"/>
          <w:color w:val="222222"/>
          <w:spacing w:val="3"/>
          <w:sz w:val="20"/>
          <w:szCs w:val="20"/>
          <w:lang w:eastAsia="en-GB"/>
        </w:rPr>
        <w:t xml:space="preserve"> circulation and bathes the liver in high levels of oestrogen resulting in induction of </w:t>
      </w:r>
      <w:proofErr w:type="spellStart"/>
      <w:r w:rsidRPr="005B0C64">
        <w:rPr>
          <w:rFonts w:asciiTheme="minorHAnsi" w:hAnsiTheme="minorHAnsi"/>
          <w:color w:val="222222"/>
          <w:spacing w:val="3"/>
          <w:sz w:val="20"/>
          <w:szCs w:val="20"/>
          <w:lang w:eastAsia="en-GB"/>
        </w:rPr>
        <w:t>procoagulant</w:t>
      </w:r>
      <w:proofErr w:type="spellEnd"/>
      <w:r w:rsidRPr="005B0C64">
        <w:rPr>
          <w:rFonts w:asciiTheme="minorHAnsi" w:hAnsiTheme="minorHAnsi"/>
          <w:color w:val="222222"/>
          <w:spacing w:val="3"/>
          <w:sz w:val="20"/>
          <w:szCs w:val="20"/>
          <w:lang w:eastAsia="en-GB"/>
        </w:rPr>
        <w:t xml:space="preserve"> molecules</w:t>
      </w:r>
      <w:hyperlink r:id="rId8" w:anchor="ref5" w:tooltip="Von Schoultz, B.  et al. Estrogen therapy and liver function—metabolic effects of oral and parenteral administration. Prostate 14, 389–395 (1989)." w:history="1">
        <w:r w:rsidRPr="005B0C64">
          <w:rPr>
            <w:rStyle w:val="Hyperlink"/>
            <w:rFonts w:asciiTheme="minorHAnsi" w:hAnsiTheme="minorHAnsi"/>
            <w:color w:val="006699"/>
            <w:spacing w:val="3"/>
            <w:sz w:val="20"/>
            <w:szCs w:val="20"/>
            <w:lang w:eastAsia="en-GB"/>
          </w:rPr>
          <w:t>5</w:t>
        </w:r>
      </w:hyperlink>
      <w:r w:rsidRPr="005B0C64">
        <w:rPr>
          <w:rFonts w:asciiTheme="minorHAnsi" w:hAnsiTheme="minorHAnsi"/>
          <w:color w:val="222222"/>
          <w:spacing w:val="3"/>
          <w:sz w:val="20"/>
          <w:szCs w:val="20"/>
          <w:lang w:eastAsia="en-GB"/>
        </w:rPr>
        <w:t>, was soon abandoned</w:t>
      </w:r>
      <w:hyperlink r:id="rId9" w:anchor="ref4" w:tooltip="Byar, D. P. The veterans administration cooperative urological research group's studies of cancer of the prostate. Cancer 32, 1126–1130 (1973)." w:history="1">
        <w:r w:rsidRPr="005B0C64">
          <w:rPr>
            <w:rStyle w:val="Hyperlink"/>
            <w:rFonts w:asciiTheme="minorHAnsi" w:hAnsiTheme="minorHAnsi"/>
            <w:color w:val="006699"/>
            <w:spacing w:val="3"/>
            <w:sz w:val="20"/>
            <w:szCs w:val="20"/>
            <w:lang w:eastAsia="en-GB"/>
          </w:rPr>
          <w:t>4</w:t>
        </w:r>
      </w:hyperlink>
      <w:r w:rsidRPr="005B0C64">
        <w:rPr>
          <w:rFonts w:asciiTheme="minorHAnsi" w:hAnsiTheme="minorHAnsi"/>
          <w:color w:val="222222"/>
          <w:spacing w:val="3"/>
          <w:sz w:val="20"/>
          <w:szCs w:val="20"/>
          <w:lang w:eastAsia="en-GB"/>
        </w:rPr>
        <w:t>.</w:t>
      </w:r>
    </w:p>
    <w:p w:rsidR="00AF147E" w:rsidRPr="005B0C64" w:rsidRDefault="00AF147E" w:rsidP="00AF147E">
      <w:pPr>
        <w:shd w:val="clear" w:color="auto" w:fill="FFFFFF"/>
        <w:spacing w:after="420" w:line="360" w:lineRule="auto"/>
        <w:rPr>
          <w:rFonts w:asciiTheme="minorHAnsi" w:hAnsiTheme="minorHAnsi"/>
          <w:color w:val="222222"/>
          <w:spacing w:val="3"/>
          <w:sz w:val="20"/>
          <w:szCs w:val="20"/>
          <w:lang w:eastAsia="en-GB"/>
        </w:rPr>
      </w:pPr>
      <w:r w:rsidRPr="005B0C64">
        <w:rPr>
          <w:rFonts w:asciiTheme="minorHAnsi" w:hAnsiTheme="minorHAnsi"/>
          <w:color w:val="222222"/>
          <w:spacing w:val="3"/>
          <w:sz w:val="20"/>
          <w:szCs w:val="20"/>
          <w:lang w:eastAsia="en-GB"/>
        </w:rPr>
        <w:t xml:space="preserve">By the early 1990s, reports of parenteral oestrogen administration for prostate cancer (injection or skin patch) had been encouraging. A Scandinavian research team recruited 915 men into a two-arm study of luteinising-hormone-releasing hormone (LHRH) agonist plus </w:t>
      </w:r>
      <w:proofErr w:type="spellStart"/>
      <w:r w:rsidRPr="005B0C64">
        <w:rPr>
          <w:rFonts w:asciiTheme="minorHAnsi" w:hAnsiTheme="minorHAnsi"/>
          <w:color w:val="222222"/>
          <w:spacing w:val="3"/>
          <w:sz w:val="20"/>
          <w:szCs w:val="20"/>
          <w:lang w:eastAsia="en-GB"/>
        </w:rPr>
        <w:t>antiandrogens</w:t>
      </w:r>
      <w:proofErr w:type="spellEnd"/>
      <w:r w:rsidRPr="005B0C64">
        <w:rPr>
          <w:rFonts w:asciiTheme="minorHAnsi" w:hAnsiTheme="minorHAnsi"/>
          <w:color w:val="222222"/>
          <w:spacing w:val="3"/>
          <w:sz w:val="20"/>
          <w:szCs w:val="20"/>
          <w:lang w:eastAsia="en-GB"/>
        </w:rPr>
        <w:t xml:space="preserve"> versus intramuscular </w:t>
      </w:r>
      <w:proofErr w:type="spellStart"/>
      <w:r w:rsidRPr="005B0C64">
        <w:rPr>
          <w:rFonts w:asciiTheme="minorHAnsi" w:hAnsiTheme="minorHAnsi"/>
          <w:color w:val="222222"/>
          <w:spacing w:val="3"/>
          <w:sz w:val="20"/>
          <w:szCs w:val="20"/>
          <w:lang w:eastAsia="en-GB"/>
        </w:rPr>
        <w:t>polyestradiol</w:t>
      </w:r>
      <w:proofErr w:type="spellEnd"/>
      <w:r w:rsidRPr="005B0C64">
        <w:rPr>
          <w:rFonts w:asciiTheme="minorHAnsi" w:hAnsiTheme="minorHAnsi"/>
          <w:color w:val="222222"/>
          <w:spacing w:val="3"/>
          <w:sz w:val="20"/>
          <w:szCs w:val="20"/>
          <w:lang w:eastAsia="en-GB"/>
        </w:rPr>
        <w:t xml:space="preserve"> phosphate (a synthetic oestrogen). Overall prostate cancer mortality was equivalent between groups, but cardiovascular morbidity was either not reported or slightly increased in the oestrogen arm</w:t>
      </w:r>
      <w:hyperlink r:id="rId10" w:anchor="ref6" w:tooltip="Hedlund, P. O.  et al. Parenteral estrogen versus combined androgen deprivation in the treatment of metastatic prostatic cancer: part 2. Final evaluation of the Scandinavian Prostatic Cancer Group (SPCG) Study No. 5. Scand. J. Urol. Nephrol. 42, 220–229 (" w:history="1">
        <w:r w:rsidRPr="005B0C64">
          <w:rPr>
            <w:rStyle w:val="Hyperlink"/>
            <w:rFonts w:asciiTheme="minorHAnsi" w:hAnsiTheme="minorHAnsi"/>
            <w:color w:val="006699"/>
            <w:spacing w:val="3"/>
            <w:sz w:val="20"/>
            <w:szCs w:val="20"/>
            <w:lang w:eastAsia="en-GB"/>
          </w:rPr>
          <w:t>6</w:t>
        </w:r>
      </w:hyperlink>
      <w:r w:rsidRPr="005B0C64">
        <w:rPr>
          <w:rFonts w:asciiTheme="minorHAnsi" w:hAnsiTheme="minorHAnsi"/>
          <w:color w:val="222222"/>
          <w:spacing w:val="3"/>
          <w:sz w:val="20"/>
          <w:szCs w:val="20"/>
          <w:lang w:eastAsia="en-GB"/>
        </w:rPr>
        <w:t>. Application of transdermal oestrogen patches (used for hormone-replacement therapy in women) in a phase II, single-arm study of 20 men with prostate cancer reported just one case of cardiovascular toxicity at 12-months follow-up duration</w:t>
      </w:r>
      <w:hyperlink r:id="rId11" w:anchor="ref7" w:tooltip="Ockrim, J. L., Lalani, E. N., Laniado, M. E., Carter, S. S. &amp; Abel, P. D. Transdermal estradiol therapy for advanced prostate cancer–forward to the past? J. Urol. 169, 1735–1737 (2003)." w:history="1">
        <w:r w:rsidRPr="005B0C64">
          <w:rPr>
            <w:rStyle w:val="Hyperlink"/>
            <w:rFonts w:asciiTheme="minorHAnsi" w:hAnsiTheme="minorHAnsi"/>
            <w:color w:val="006699"/>
            <w:spacing w:val="3"/>
            <w:sz w:val="20"/>
            <w:szCs w:val="20"/>
            <w:lang w:eastAsia="en-GB"/>
          </w:rPr>
          <w:t>7</w:t>
        </w:r>
      </w:hyperlink>
      <w:r w:rsidRPr="005B0C64">
        <w:rPr>
          <w:rFonts w:asciiTheme="minorHAnsi" w:hAnsiTheme="minorHAnsi"/>
          <w:color w:val="222222"/>
          <w:spacing w:val="3"/>
          <w:sz w:val="20"/>
          <w:szCs w:val="20"/>
          <w:lang w:eastAsia="en-GB"/>
        </w:rPr>
        <w:t>. Most recently, the ongoing PATCH trial has now recruited &gt;1,300 men into two study arms, LHRH agonist or oestrogen patches. The independent data trial monitoring committee have unlimited access to any data, and, to date, have not reported any reason to pause or stop the trial, suggesting no considerable disadvantage to transdermal oestrogen</w:t>
      </w:r>
      <w:hyperlink r:id="rId12" w:anchor="ref2" w:tooltip="Langley, R. E.  et al. Cardiovascular outcomes in patients with locally advanced and metastatic prostate cancer treated with luteinising-hormone-releasing-hormone agonists or transdermal oestrogen: the randomised, phase 2 MRC PATCH trial (PR09). Lancet On" w:history="1">
        <w:r w:rsidRPr="005B0C64">
          <w:rPr>
            <w:rStyle w:val="Hyperlink"/>
            <w:rFonts w:asciiTheme="minorHAnsi" w:hAnsiTheme="minorHAnsi"/>
            <w:color w:val="006699"/>
            <w:spacing w:val="3"/>
            <w:sz w:val="20"/>
            <w:szCs w:val="20"/>
            <w:lang w:eastAsia="en-GB"/>
          </w:rPr>
          <w:t>2</w:t>
        </w:r>
      </w:hyperlink>
      <w:r w:rsidRPr="005B0C64">
        <w:rPr>
          <w:rFonts w:asciiTheme="minorHAnsi" w:hAnsiTheme="minorHAnsi"/>
          <w:color w:val="222222"/>
          <w:spacing w:val="3"/>
          <w:sz w:val="20"/>
          <w:szCs w:val="20"/>
          <w:lang w:eastAsia="en-GB"/>
        </w:rPr>
        <w:t>.</w:t>
      </w:r>
    </w:p>
    <w:p w:rsidR="00AF147E" w:rsidRPr="005B0C64" w:rsidRDefault="00AF147E" w:rsidP="00AF147E">
      <w:pPr>
        <w:shd w:val="clear" w:color="auto" w:fill="FFFFFF"/>
        <w:spacing w:after="420" w:line="360" w:lineRule="auto"/>
        <w:rPr>
          <w:rFonts w:asciiTheme="minorHAnsi" w:hAnsiTheme="minorHAnsi"/>
          <w:color w:val="222222"/>
          <w:spacing w:val="3"/>
          <w:sz w:val="20"/>
          <w:szCs w:val="20"/>
          <w:lang w:eastAsia="en-GB"/>
        </w:rPr>
      </w:pPr>
      <w:r w:rsidRPr="005B0C64">
        <w:rPr>
          <w:rFonts w:asciiTheme="minorHAnsi" w:hAnsiTheme="minorHAnsi"/>
          <w:color w:val="222222"/>
          <w:spacing w:val="3"/>
          <w:sz w:val="20"/>
          <w:szCs w:val="20"/>
          <w:lang w:eastAsia="en-GB"/>
        </w:rPr>
        <w:lastRenderedPageBreak/>
        <w:t>The final PATCH trial data are needed for confirmation (which are estimated in 2023), but current analysis suggests that oral administration bears responsibility for the cardiovascular adverse events of oestrogen, that the consequences of oral oestrogen can be mitigated by parenteral administration.</w:t>
      </w:r>
    </w:p>
    <w:p w:rsidR="00AF147E" w:rsidRPr="005B0C64" w:rsidRDefault="00AF147E" w:rsidP="00AF147E">
      <w:pPr>
        <w:shd w:val="clear" w:color="auto" w:fill="FFFFFF"/>
        <w:spacing w:after="420" w:line="360" w:lineRule="auto"/>
        <w:rPr>
          <w:rFonts w:asciiTheme="minorHAnsi" w:hAnsiTheme="minorHAnsi"/>
          <w:color w:val="222222"/>
          <w:spacing w:val="3"/>
          <w:sz w:val="20"/>
          <w:szCs w:val="20"/>
          <w:lang w:eastAsia="en-GB"/>
        </w:rPr>
      </w:pPr>
      <w:r w:rsidRPr="005B0C64">
        <w:rPr>
          <w:rFonts w:asciiTheme="minorHAnsi" w:hAnsiTheme="minorHAnsi"/>
          <w:color w:val="222222"/>
          <w:spacing w:val="3"/>
          <w:sz w:val="20"/>
          <w:szCs w:val="20"/>
          <w:lang w:eastAsia="en-GB"/>
        </w:rPr>
        <w:t>With accumulating knowledge, it seems timely to improve investigations into the potential benefits of oestrogen therapy in prostate cancer treatment and in particular clarify the longstanding misinterpretation that oestrogen be dismissed owing to its cardiovascular toxicity. We conclude that updating knowledge of a potentially important role for oestrogen in prostate cancer management is necessary, after which patients and their clinicians will have acquired the appropriate knowledge to participate in choosing favoured therapies. Sharing decision making will offer opportunities for patients, enabling them, together with their families and friends, to engage with personalized medicine, but this process requires thorough acquisition of comprehensive, up-to-date, relevant background data.</w:t>
      </w:r>
    </w:p>
    <w:p w:rsidR="00AF147E" w:rsidRPr="005B0C64" w:rsidRDefault="00AF147E" w:rsidP="00AF147E">
      <w:pPr>
        <w:shd w:val="clear" w:color="auto" w:fill="EEEEEE"/>
        <w:spacing w:before="210" w:after="420" w:line="360" w:lineRule="auto"/>
        <w:rPr>
          <w:rFonts w:asciiTheme="minorHAnsi" w:hAnsiTheme="minorHAnsi"/>
          <w:b/>
          <w:bCs/>
          <w:color w:val="222222"/>
          <w:spacing w:val="3"/>
          <w:sz w:val="20"/>
          <w:szCs w:val="20"/>
          <w:lang w:eastAsia="en-GB"/>
        </w:rPr>
      </w:pPr>
      <w:r w:rsidRPr="005B0C64">
        <w:rPr>
          <w:rFonts w:asciiTheme="minorHAnsi" w:hAnsiTheme="minorHAnsi"/>
          <w:b/>
          <w:bCs/>
          <w:color w:val="222222"/>
          <w:spacing w:val="3"/>
          <w:sz w:val="20"/>
          <w:szCs w:val="20"/>
          <w:lang w:eastAsia="en-GB"/>
        </w:rPr>
        <w:t>References</w:t>
      </w:r>
    </w:p>
    <w:p w:rsidR="00AF147E" w:rsidRPr="005B0C64" w:rsidRDefault="00AF147E" w:rsidP="005B0C64">
      <w:pPr>
        <w:shd w:val="clear" w:color="auto" w:fill="FFFFFF"/>
        <w:spacing w:before="100" w:beforeAutospacing="1" w:after="210" w:line="360" w:lineRule="auto"/>
        <w:rPr>
          <w:rFonts w:asciiTheme="minorHAnsi" w:hAnsiTheme="minorHAnsi"/>
          <w:color w:val="222222"/>
          <w:spacing w:val="3"/>
          <w:sz w:val="20"/>
          <w:szCs w:val="20"/>
          <w:lang w:eastAsia="en-GB"/>
        </w:rPr>
      </w:pPr>
      <w:r w:rsidRPr="005B0C64">
        <w:rPr>
          <w:rFonts w:asciiTheme="minorHAnsi" w:hAnsiTheme="minorHAnsi"/>
          <w:color w:val="222222"/>
          <w:spacing w:val="3"/>
          <w:sz w:val="20"/>
          <w:szCs w:val="20"/>
          <w:lang w:eastAsia="en-GB"/>
        </w:rPr>
        <w:t>1.</w:t>
      </w:r>
    </w:p>
    <w:p w:rsidR="00AF147E" w:rsidRPr="005B0C64" w:rsidRDefault="00AF147E" w:rsidP="00AF147E">
      <w:pPr>
        <w:shd w:val="clear" w:color="auto" w:fill="FFFFFF"/>
        <w:spacing w:after="105" w:line="360" w:lineRule="auto"/>
        <w:ind w:left="750"/>
        <w:rPr>
          <w:rFonts w:asciiTheme="minorHAnsi" w:hAnsiTheme="minorHAnsi"/>
          <w:color w:val="222222"/>
          <w:spacing w:val="3"/>
          <w:sz w:val="20"/>
          <w:szCs w:val="20"/>
          <w:lang w:eastAsia="en-GB"/>
        </w:rPr>
      </w:pPr>
      <w:proofErr w:type="spellStart"/>
      <w:r w:rsidRPr="005B0C64">
        <w:rPr>
          <w:rFonts w:asciiTheme="minorHAnsi" w:hAnsiTheme="minorHAnsi"/>
          <w:color w:val="222222"/>
          <w:spacing w:val="3"/>
          <w:sz w:val="20"/>
          <w:szCs w:val="20"/>
          <w:lang w:eastAsia="en-GB"/>
        </w:rPr>
        <w:t>Veccia</w:t>
      </w:r>
      <w:proofErr w:type="spellEnd"/>
      <w:r w:rsidRPr="005B0C64">
        <w:rPr>
          <w:rFonts w:asciiTheme="minorHAnsi" w:hAnsiTheme="minorHAnsi"/>
          <w:color w:val="222222"/>
          <w:spacing w:val="3"/>
          <w:sz w:val="20"/>
          <w:szCs w:val="20"/>
          <w:lang w:eastAsia="en-GB"/>
        </w:rPr>
        <w:t>, A., </w:t>
      </w:r>
      <w:proofErr w:type="spellStart"/>
      <w:r w:rsidRPr="005B0C64">
        <w:rPr>
          <w:rFonts w:asciiTheme="minorHAnsi" w:hAnsiTheme="minorHAnsi"/>
          <w:color w:val="222222"/>
          <w:spacing w:val="3"/>
          <w:sz w:val="20"/>
          <w:szCs w:val="20"/>
          <w:lang w:eastAsia="en-GB"/>
        </w:rPr>
        <w:t>Maines</w:t>
      </w:r>
      <w:proofErr w:type="spellEnd"/>
      <w:r w:rsidRPr="005B0C64">
        <w:rPr>
          <w:rFonts w:asciiTheme="minorHAnsi" w:hAnsiTheme="minorHAnsi"/>
          <w:color w:val="222222"/>
          <w:spacing w:val="3"/>
          <w:sz w:val="20"/>
          <w:szCs w:val="20"/>
          <w:lang w:eastAsia="en-GB"/>
        </w:rPr>
        <w:t>, F., </w:t>
      </w:r>
      <w:proofErr w:type="spellStart"/>
      <w:r w:rsidRPr="005B0C64">
        <w:rPr>
          <w:rFonts w:asciiTheme="minorHAnsi" w:hAnsiTheme="minorHAnsi"/>
          <w:color w:val="222222"/>
          <w:spacing w:val="3"/>
          <w:sz w:val="20"/>
          <w:szCs w:val="20"/>
          <w:lang w:eastAsia="en-GB"/>
        </w:rPr>
        <w:t>Kinspergher</w:t>
      </w:r>
      <w:proofErr w:type="spellEnd"/>
      <w:r w:rsidRPr="005B0C64">
        <w:rPr>
          <w:rFonts w:asciiTheme="minorHAnsi" w:hAnsiTheme="minorHAnsi"/>
          <w:color w:val="222222"/>
          <w:spacing w:val="3"/>
          <w:sz w:val="20"/>
          <w:szCs w:val="20"/>
          <w:lang w:eastAsia="en-GB"/>
        </w:rPr>
        <w:t>, S., </w:t>
      </w:r>
      <w:proofErr w:type="spellStart"/>
      <w:r w:rsidRPr="005B0C64">
        <w:rPr>
          <w:rFonts w:asciiTheme="minorHAnsi" w:hAnsiTheme="minorHAnsi"/>
          <w:color w:val="222222"/>
          <w:spacing w:val="3"/>
          <w:sz w:val="20"/>
          <w:szCs w:val="20"/>
          <w:lang w:eastAsia="en-GB"/>
        </w:rPr>
        <w:t>Galligioni</w:t>
      </w:r>
      <w:proofErr w:type="spellEnd"/>
      <w:r w:rsidRPr="005B0C64">
        <w:rPr>
          <w:rFonts w:asciiTheme="minorHAnsi" w:hAnsiTheme="minorHAnsi"/>
          <w:color w:val="222222"/>
          <w:spacing w:val="3"/>
          <w:sz w:val="20"/>
          <w:szCs w:val="20"/>
          <w:lang w:eastAsia="en-GB"/>
        </w:rPr>
        <w:t>, E. &amp; </w:t>
      </w:r>
      <w:proofErr w:type="spellStart"/>
      <w:r w:rsidRPr="005B0C64">
        <w:rPr>
          <w:rFonts w:asciiTheme="minorHAnsi" w:hAnsiTheme="minorHAnsi"/>
          <w:color w:val="222222"/>
          <w:spacing w:val="3"/>
          <w:sz w:val="20"/>
          <w:szCs w:val="20"/>
          <w:lang w:eastAsia="en-GB"/>
        </w:rPr>
        <w:t>Caffo</w:t>
      </w:r>
      <w:proofErr w:type="spellEnd"/>
      <w:r w:rsidRPr="005B0C64">
        <w:rPr>
          <w:rFonts w:asciiTheme="minorHAnsi" w:hAnsiTheme="minorHAnsi"/>
          <w:color w:val="222222"/>
          <w:spacing w:val="3"/>
          <w:sz w:val="20"/>
          <w:szCs w:val="20"/>
          <w:lang w:eastAsia="en-GB"/>
        </w:rPr>
        <w:t xml:space="preserve">, </w:t>
      </w:r>
      <w:proofErr w:type="spellStart"/>
      <w:r w:rsidRPr="005B0C64">
        <w:rPr>
          <w:rFonts w:asciiTheme="minorHAnsi" w:hAnsiTheme="minorHAnsi"/>
          <w:color w:val="222222"/>
          <w:spacing w:val="3"/>
          <w:sz w:val="20"/>
          <w:szCs w:val="20"/>
          <w:lang w:eastAsia="en-GB"/>
        </w:rPr>
        <w:t>O.Cardiovascular</w:t>
      </w:r>
      <w:proofErr w:type="spellEnd"/>
      <w:r w:rsidRPr="005B0C64">
        <w:rPr>
          <w:rFonts w:asciiTheme="minorHAnsi" w:hAnsiTheme="minorHAnsi"/>
          <w:color w:val="222222"/>
          <w:spacing w:val="3"/>
          <w:sz w:val="20"/>
          <w:szCs w:val="20"/>
          <w:lang w:eastAsia="en-GB"/>
        </w:rPr>
        <w:t xml:space="preserve"> toxicities of systemic treatments of prostate cancer. </w:t>
      </w:r>
      <w:r w:rsidRPr="005B0C64">
        <w:rPr>
          <w:rFonts w:asciiTheme="minorHAnsi" w:hAnsiTheme="minorHAnsi"/>
          <w:i/>
          <w:iCs/>
          <w:color w:val="222222"/>
          <w:spacing w:val="3"/>
          <w:sz w:val="20"/>
          <w:szCs w:val="20"/>
          <w:lang w:eastAsia="en-GB"/>
        </w:rPr>
        <w:t>Nat. Rev. Urol.</w:t>
      </w:r>
      <w:r w:rsidRPr="005B0C64">
        <w:rPr>
          <w:rFonts w:asciiTheme="minorHAnsi" w:hAnsiTheme="minorHAnsi"/>
          <w:color w:val="222222"/>
          <w:spacing w:val="3"/>
          <w:sz w:val="20"/>
          <w:szCs w:val="20"/>
          <w:lang w:eastAsia="en-GB"/>
        </w:rPr>
        <w:t> </w:t>
      </w:r>
      <w:r w:rsidRPr="005B0C64">
        <w:rPr>
          <w:rFonts w:asciiTheme="minorHAnsi" w:hAnsiTheme="minorHAnsi"/>
          <w:b/>
          <w:bCs/>
          <w:color w:val="222222"/>
          <w:spacing w:val="3"/>
          <w:sz w:val="20"/>
          <w:szCs w:val="20"/>
          <w:lang w:eastAsia="en-GB"/>
        </w:rPr>
        <w:t>14</w:t>
      </w:r>
      <w:r w:rsidRPr="005B0C64">
        <w:rPr>
          <w:rFonts w:asciiTheme="minorHAnsi" w:hAnsiTheme="minorHAnsi"/>
          <w:color w:val="222222"/>
          <w:spacing w:val="3"/>
          <w:sz w:val="20"/>
          <w:szCs w:val="20"/>
          <w:lang w:eastAsia="en-GB"/>
        </w:rPr>
        <w:t>, 230–243 (2017).</w:t>
      </w:r>
    </w:p>
    <w:p w:rsidR="00AF147E" w:rsidRPr="005B0C64" w:rsidRDefault="00AF147E" w:rsidP="005B0C64">
      <w:pPr>
        <w:shd w:val="clear" w:color="auto" w:fill="FFFFFF"/>
        <w:spacing w:before="100" w:beforeAutospacing="1" w:after="210" w:line="360" w:lineRule="auto"/>
        <w:rPr>
          <w:rFonts w:asciiTheme="minorHAnsi" w:hAnsiTheme="minorHAnsi"/>
          <w:color w:val="222222"/>
          <w:spacing w:val="3"/>
          <w:sz w:val="20"/>
          <w:szCs w:val="20"/>
          <w:lang w:eastAsia="en-GB"/>
        </w:rPr>
      </w:pPr>
      <w:r w:rsidRPr="005B0C64">
        <w:rPr>
          <w:rFonts w:asciiTheme="minorHAnsi" w:hAnsiTheme="minorHAnsi"/>
          <w:color w:val="222222"/>
          <w:spacing w:val="3"/>
          <w:sz w:val="20"/>
          <w:szCs w:val="20"/>
          <w:lang w:eastAsia="en-GB"/>
        </w:rPr>
        <w:t>2.</w:t>
      </w:r>
    </w:p>
    <w:p w:rsidR="00AF147E" w:rsidRPr="005B0C64" w:rsidRDefault="00AF147E" w:rsidP="00AF147E">
      <w:pPr>
        <w:shd w:val="clear" w:color="auto" w:fill="FFFFFF"/>
        <w:spacing w:after="105" w:line="360" w:lineRule="auto"/>
        <w:ind w:left="750"/>
        <w:rPr>
          <w:rFonts w:asciiTheme="minorHAnsi" w:hAnsiTheme="minorHAnsi"/>
          <w:color w:val="222222"/>
          <w:spacing w:val="3"/>
          <w:sz w:val="20"/>
          <w:szCs w:val="20"/>
          <w:lang w:eastAsia="en-GB"/>
        </w:rPr>
      </w:pPr>
      <w:r w:rsidRPr="005B0C64">
        <w:rPr>
          <w:rFonts w:asciiTheme="minorHAnsi" w:hAnsiTheme="minorHAnsi"/>
          <w:color w:val="222222"/>
          <w:spacing w:val="3"/>
          <w:sz w:val="20"/>
          <w:szCs w:val="20"/>
          <w:lang w:eastAsia="en-GB"/>
        </w:rPr>
        <w:t>Langley, R. E. </w:t>
      </w:r>
      <w:r w:rsidRPr="005B0C64">
        <w:rPr>
          <w:rFonts w:asciiTheme="minorHAnsi" w:hAnsiTheme="minorHAnsi"/>
          <w:i/>
          <w:iCs/>
          <w:color w:val="222222"/>
          <w:spacing w:val="3"/>
          <w:sz w:val="20"/>
          <w:szCs w:val="20"/>
          <w:lang w:eastAsia="en-GB"/>
        </w:rPr>
        <w:t>et al</w:t>
      </w:r>
      <w:r w:rsidRPr="005B0C64">
        <w:rPr>
          <w:rFonts w:asciiTheme="minorHAnsi" w:hAnsiTheme="minorHAnsi"/>
          <w:color w:val="222222"/>
          <w:spacing w:val="3"/>
          <w:sz w:val="20"/>
          <w:szCs w:val="20"/>
          <w:lang w:eastAsia="en-GB"/>
        </w:rPr>
        <w:t>. Cardiovascular outcomes in patients with locally advanced and metastatic prostate cancer treated with luteinising-hormone-releasing-hormone agonists or transdermal oestrogen: the randomised, phase 2 MRC PATCH trial (PR09). </w:t>
      </w:r>
      <w:r w:rsidRPr="005B0C64">
        <w:rPr>
          <w:rFonts w:asciiTheme="minorHAnsi" w:hAnsiTheme="minorHAnsi"/>
          <w:i/>
          <w:iCs/>
          <w:color w:val="222222"/>
          <w:spacing w:val="3"/>
          <w:sz w:val="20"/>
          <w:szCs w:val="20"/>
          <w:lang w:eastAsia="en-GB"/>
        </w:rPr>
        <w:t xml:space="preserve">Lancet </w:t>
      </w:r>
      <w:proofErr w:type="spellStart"/>
      <w:r w:rsidRPr="005B0C64">
        <w:rPr>
          <w:rFonts w:asciiTheme="minorHAnsi" w:hAnsiTheme="minorHAnsi"/>
          <w:i/>
          <w:iCs/>
          <w:color w:val="222222"/>
          <w:spacing w:val="3"/>
          <w:sz w:val="20"/>
          <w:szCs w:val="20"/>
          <w:lang w:eastAsia="en-GB"/>
        </w:rPr>
        <w:t>Oncol</w:t>
      </w:r>
      <w:proofErr w:type="spellEnd"/>
      <w:r w:rsidRPr="005B0C64">
        <w:rPr>
          <w:rFonts w:asciiTheme="minorHAnsi" w:hAnsiTheme="minorHAnsi"/>
          <w:i/>
          <w:iCs/>
          <w:color w:val="222222"/>
          <w:spacing w:val="3"/>
          <w:sz w:val="20"/>
          <w:szCs w:val="20"/>
          <w:lang w:eastAsia="en-GB"/>
        </w:rPr>
        <w:t>.</w:t>
      </w:r>
      <w:r w:rsidRPr="005B0C64">
        <w:rPr>
          <w:rFonts w:asciiTheme="minorHAnsi" w:hAnsiTheme="minorHAnsi"/>
          <w:color w:val="222222"/>
          <w:spacing w:val="3"/>
          <w:sz w:val="20"/>
          <w:szCs w:val="20"/>
          <w:lang w:eastAsia="en-GB"/>
        </w:rPr>
        <w:t> </w:t>
      </w:r>
      <w:r w:rsidRPr="005B0C64">
        <w:rPr>
          <w:rFonts w:asciiTheme="minorHAnsi" w:hAnsiTheme="minorHAnsi"/>
          <w:b/>
          <w:bCs/>
          <w:color w:val="222222"/>
          <w:spacing w:val="3"/>
          <w:sz w:val="20"/>
          <w:szCs w:val="20"/>
          <w:lang w:eastAsia="en-GB"/>
        </w:rPr>
        <w:t>14</w:t>
      </w:r>
      <w:r w:rsidRPr="005B0C64">
        <w:rPr>
          <w:rFonts w:asciiTheme="minorHAnsi" w:hAnsiTheme="minorHAnsi"/>
          <w:color w:val="222222"/>
          <w:spacing w:val="3"/>
          <w:sz w:val="20"/>
          <w:szCs w:val="20"/>
          <w:lang w:eastAsia="en-GB"/>
        </w:rPr>
        <w:t>, 306–316 (2013).</w:t>
      </w:r>
    </w:p>
    <w:p w:rsidR="00AF147E" w:rsidRPr="005B0C64" w:rsidRDefault="00AF147E" w:rsidP="005B0C64">
      <w:pPr>
        <w:shd w:val="clear" w:color="auto" w:fill="FFFFFF"/>
        <w:spacing w:before="100" w:beforeAutospacing="1" w:after="210" w:line="360" w:lineRule="auto"/>
        <w:rPr>
          <w:rFonts w:asciiTheme="minorHAnsi" w:hAnsiTheme="minorHAnsi"/>
          <w:color w:val="222222"/>
          <w:spacing w:val="3"/>
          <w:sz w:val="20"/>
          <w:szCs w:val="20"/>
          <w:lang w:eastAsia="en-GB"/>
        </w:rPr>
      </w:pPr>
      <w:r w:rsidRPr="005B0C64">
        <w:rPr>
          <w:rFonts w:asciiTheme="minorHAnsi" w:hAnsiTheme="minorHAnsi"/>
          <w:color w:val="222222"/>
          <w:spacing w:val="3"/>
          <w:sz w:val="20"/>
          <w:szCs w:val="20"/>
          <w:lang w:eastAsia="en-GB"/>
        </w:rPr>
        <w:t>3.</w:t>
      </w:r>
    </w:p>
    <w:p w:rsidR="00AF147E" w:rsidRPr="005B0C64" w:rsidRDefault="00AF147E" w:rsidP="00AF147E">
      <w:pPr>
        <w:shd w:val="clear" w:color="auto" w:fill="FFFFFF"/>
        <w:spacing w:after="105" w:line="360" w:lineRule="auto"/>
        <w:ind w:left="750"/>
        <w:rPr>
          <w:rFonts w:asciiTheme="minorHAnsi" w:hAnsiTheme="minorHAnsi"/>
          <w:color w:val="222222"/>
          <w:spacing w:val="3"/>
          <w:sz w:val="20"/>
          <w:szCs w:val="20"/>
          <w:lang w:eastAsia="en-GB"/>
        </w:rPr>
      </w:pPr>
      <w:r w:rsidRPr="005B0C64">
        <w:rPr>
          <w:rFonts w:asciiTheme="minorHAnsi" w:hAnsiTheme="minorHAnsi"/>
          <w:color w:val="222222"/>
          <w:spacing w:val="3"/>
          <w:sz w:val="20"/>
          <w:szCs w:val="20"/>
          <w:lang w:eastAsia="en-GB"/>
        </w:rPr>
        <w:t>Langley, R. E. </w:t>
      </w:r>
      <w:r w:rsidRPr="005B0C64">
        <w:rPr>
          <w:rFonts w:asciiTheme="minorHAnsi" w:hAnsiTheme="minorHAnsi"/>
          <w:i/>
          <w:iCs/>
          <w:color w:val="222222"/>
          <w:spacing w:val="3"/>
          <w:sz w:val="20"/>
          <w:szCs w:val="20"/>
          <w:lang w:eastAsia="en-GB"/>
        </w:rPr>
        <w:t>et al</w:t>
      </w:r>
      <w:r w:rsidRPr="005B0C64">
        <w:rPr>
          <w:rFonts w:asciiTheme="minorHAnsi" w:hAnsiTheme="minorHAnsi"/>
          <w:color w:val="222222"/>
          <w:spacing w:val="3"/>
          <w:sz w:val="20"/>
          <w:szCs w:val="20"/>
          <w:lang w:eastAsia="en-GB"/>
        </w:rPr>
        <w:t>. Early hormonal data from a multicentre phase II trial using transdermal oestrogen patches as first-line hormonal therapy in patients with locally advanced or metastatic prostate cancer. </w:t>
      </w:r>
      <w:r w:rsidRPr="005B0C64">
        <w:rPr>
          <w:rFonts w:asciiTheme="minorHAnsi" w:hAnsiTheme="minorHAnsi"/>
          <w:i/>
          <w:iCs/>
          <w:color w:val="222222"/>
          <w:spacing w:val="3"/>
          <w:sz w:val="20"/>
          <w:szCs w:val="20"/>
          <w:lang w:eastAsia="en-GB"/>
        </w:rPr>
        <w:t>BJU Int.</w:t>
      </w:r>
      <w:r w:rsidRPr="005B0C64">
        <w:rPr>
          <w:rFonts w:asciiTheme="minorHAnsi" w:hAnsiTheme="minorHAnsi"/>
          <w:color w:val="222222"/>
          <w:spacing w:val="3"/>
          <w:sz w:val="20"/>
          <w:szCs w:val="20"/>
          <w:lang w:eastAsia="en-GB"/>
        </w:rPr>
        <w:t> </w:t>
      </w:r>
      <w:r w:rsidRPr="005B0C64">
        <w:rPr>
          <w:rFonts w:asciiTheme="minorHAnsi" w:hAnsiTheme="minorHAnsi"/>
          <w:b/>
          <w:bCs/>
          <w:color w:val="222222"/>
          <w:spacing w:val="3"/>
          <w:sz w:val="20"/>
          <w:szCs w:val="20"/>
          <w:lang w:eastAsia="en-GB"/>
        </w:rPr>
        <w:t>102</w:t>
      </w:r>
      <w:r w:rsidRPr="005B0C64">
        <w:rPr>
          <w:rFonts w:asciiTheme="minorHAnsi" w:hAnsiTheme="minorHAnsi"/>
          <w:color w:val="222222"/>
          <w:spacing w:val="3"/>
          <w:sz w:val="20"/>
          <w:szCs w:val="20"/>
          <w:lang w:eastAsia="en-GB"/>
        </w:rPr>
        <w:t>, 442–445 (2008).</w:t>
      </w:r>
    </w:p>
    <w:p w:rsidR="00AF147E" w:rsidRPr="005B0C64" w:rsidRDefault="00AF147E" w:rsidP="005B0C64">
      <w:pPr>
        <w:shd w:val="clear" w:color="auto" w:fill="FFFFFF"/>
        <w:spacing w:before="100" w:beforeAutospacing="1" w:after="210" w:line="360" w:lineRule="auto"/>
        <w:rPr>
          <w:rFonts w:asciiTheme="minorHAnsi" w:hAnsiTheme="minorHAnsi"/>
          <w:color w:val="222222"/>
          <w:spacing w:val="3"/>
          <w:sz w:val="20"/>
          <w:szCs w:val="20"/>
          <w:lang w:eastAsia="en-GB"/>
        </w:rPr>
      </w:pPr>
      <w:r w:rsidRPr="005B0C64">
        <w:rPr>
          <w:rFonts w:asciiTheme="minorHAnsi" w:hAnsiTheme="minorHAnsi"/>
          <w:color w:val="222222"/>
          <w:spacing w:val="3"/>
          <w:sz w:val="20"/>
          <w:szCs w:val="20"/>
          <w:lang w:eastAsia="en-GB"/>
        </w:rPr>
        <w:t>4.</w:t>
      </w:r>
    </w:p>
    <w:p w:rsidR="00AF147E" w:rsidRPr="005B0C64" w:rsidRDefault="00AF147E" w:rsidP="00AF147E">
      <w:pPr>
        <w:shd w:val="clear" w:color="auto" w:fill="FFFFFF"/>
        <w:spacing w:after="105" w:line="360" w:lineRule="auto"/>
        <w:ind w:left="750"/>
        <w:rPr>
          <w:rFonts w:asciiTheme="minorHAnsi" w:hAnsiTheme="minorHAnsi"/>
          <w:color w:val="222222"/>
          <w:spacing w:val="3"/>
          <w:sz w:val="20"/>
          <w:szCs w:val="20"/>
          <w:lang w:eastAsia="en-GB"/>
        </w:rPr>
      </w:pPr>
      <w:proofErr w:type="spellStart"/>
      <w:r w:rsidRPr="005B0C64">
        <w:rPr>
          <w:rFonts w:asciiTheme="minorHAnsi" w:hAnsiTheme="minorHAnsi"/>
          <w:color w:val="222222"/>
          <w:spacing w:val="3"/>
          <w:sz w:val="20"/>
          <w:szCs w:val="20"/>
          <w:lang w:eastAsia="en-GB"/>
        </w:rPr>
        <w:t>Byar</w:t>
      </w:r>
      <w:proofErr w:type="spellEnd"/>
      <w:r w:rsidRPr="005B0C64">
        <w:rPr>
          <w:rFonts w:asciiTheme="minorHAnsi" w:hAnsiTheme="minorHAnsi"/>
          <w:color w:val="222222"/>
          <w:spacing w:val="3"/>
          <w:sz w:val="20"/>
          <w:szCs w:val="20"/>
          <w:lang w:eastAsia="en-GB"/>
        </w:rPr>
        <w:t xml:space="preserve">, D. P. The </w:t>
      </w:r>
      <w:proofErr w:type="gramStart"/>
      <w:r w:rsidRPr="005B0C64">
        <w:rPr>
          <w:rFonts w:asciiTheme="minorHAnsi" w:hAnsiTheme="minorHAnsi"/>
          <w:color w:val="222222"/>
          <w:spacing w:val="3"/>
          <w:sz w:val="20"/>
          <w:szCs w:val="20"/>
          <w:lang w:eastAsia="en-GB"/>
        </w:rPr>
        <w:t>veterans</w:t>
      </w:r>
      <w:proofErr w:type="gramEnd"/>
      <w:r w:rsidRPr="005B0C64">
        <w:rPr>
          <w:rFonts w:asciiTheme="minorHAnsi" w:hAnsiTheme="minorHAnsi"/>
          <w:color w:val="222222"/>
          <w:spacing w:val="3"/>
          <w:sz w:val="20"/>
          <w:szCs w:val="20"/>
          <w:lang w:eastAsia="en-GB"/>
        </w:rPr>
        <w:t xml:space="preserve"> administration cooperative urological research group's studies of cancer of the prostate. </w:t>
      </w:r>
      <w:r w:rsidRPr="005B0C64">
        <w:rPr>
          <w:rFonts w:asciiTheme="minorHAnsi" w:hAnsiTheme="minorHAnsi"/>
          <w:i/>
          <w:iCs/>
          <w:color w:val="222222"/>
          <w:spacing w:val="3"/>
          <w:sz w:val="20"/>
          <w:szCs w:val="20"/>
          <w:lang w:eastAsia="en-GB"/>
        </w:rPr>
        <w:t>Cancer</w:t>
      </w:r>
      <w:r w:rsidRPr="005B0C64">
        <w:rPr>
          <w:rFonts w:asciiTheme="minorHAnsi" w:hAnsiTheme="minorHAnsi"/>
          <w:color w:val="222222"/>
          <w:spacing w:val="3"/>
          <w:sz w:val="20"/>
          <w:szCs w:val="20"/>
          <w:lang w:eastAsia="en-GB"/>
        </w:rPr>
        <w:t> </w:t>
      </w:r>
      <w:r w:rsidRPr="005B0C64">
        <w:rPr>
          <w:rFonts w:asciiTheme="minorHAnsi" w:hAnsiTheme="minorHAnsi"/>
          <w:b/>
          <w:bCs/>
          <w:color w:val="222222"/>
          <w:spacing w:val="3"/>
          <w:sz w:val="20"/>
          <w:szCs w:val="20"/>
          <w:lang w:eastAsia="en-GB"/>
        </w:rPr>
        <w:t>32</w:t>
      </w:r>
      <w:r w:rsidRPr="005B0C64">
        <w:rPr>
          <w:rFonts w:asciiTheme="minorHAnsi" w:hAnsiTheme="minorHAnsi"/>
          <w:color w:val="222222"/>
          <w:spacing w:val="3"/>
          <w:sz w:val="20"/>
          <w:szCs w:val="20"/>
          <w:lang w:eastAsia="en-GB"/>
        </w:rPr>
        <w:t>, 1126–1130 (1973).</w:t>
      </w:r>
    </w:p>
    <w:p w:rsidR="00AF147E" w:rsidRPr="005B0C64" w:rsidRDefault="00AF147E" w:rsidP="005B0C64">
      <w:pPr>
        <w:shd w:val="clear" w:color="auto" w:fill="FFFFFF"/>
        <w:spacing w:before="100" w:beforeAutospacing="1" w:after="210" w:line="360" w:lineRule="auto"/>
        <w:rPr>
          <w:rFonts w:asciiTheme="minorHAnsi" w:hAnsiTheme="minorHAnsi"/>
          <w:color w:val="222222"/>
          <w:spacing w:val="3"/>
          <w:sz w:val="20"/>
          <w:szCs w:val="20"/>
          <w:lang w:eastAsia="en-GB"/>
        </w:rPr>
      </w:pPr>
      <w:r w:rsidRPr="005B0C64">
        <w:rPr>
          <w:rFonts w:asciiTheme="minorHAnsi" w:hAnsiTheme="minorHAnsi"/>
          <w:color w:val="222222"/>
          <w:spacing w:val="3"/>
          <w:sz w:val="20"/>
          <w:szCs w:val="20"/>
          <w:lang w:eastAsia="en-GB"/>
        </w:rPr>
        <w:t>5.</w:t>
      </w:r>
    </w:p>
    <w:p w:rsidR="00AF147E" w:rsidRPr="005B0C64" w:rsidRDefault="00AF147E" w:rsidP="00AF147E">
      <w:pPr>
        <w:shd w:val="clear" w:color="auto" w:fill="FFFFFF"/>
        <w:spacing w:after="105" w:line="360" w:lineRule="auto"/>
        <w:ind w:left="750"/>
        <w:rPr>
          <w:rFonts w:asciiTheme="minorHAnsi" w:hAnsiTheme="minorHAnsi"/>
          <w:color w:val="222222"/>
          <w:spacing w:val="3"/>
          <w:sz w:val="20"/>
          <w:szCs w:val="20"/>
          <w:lang w:eastAsia="en-GB"/>
        </w:rPr>
      </w:pPr>
      <w:r w:rsidRPr="005B0C64">
        <w:rPr>
          <w:rFonts w:asciiTheme="minorHAnsi" w:hAnsiTheme="minorHAnsi"/>
          <w:color w:val="222222"/>
          <w:spacing w:val="3"/>
          <w:sz w:val="20"/>
          <w:szCs w:val="20"/>
          <w:lang w:eastAsia="en-GB"/>
        </w:rPr>
        <w:t xml:space="preserve">Von </w:t>
      </w:r>
      <w:proofErr w:type="spellStart"/>
      <w:r w:rsidRPr="005B0C64">
        <w:rPr>
          <w:rFonts w:asciiTheme="minorHAnsi" w:hAnsiTheme="minorHAnsi"/>
          <w:color w:val="222222"/>
          <w:spacing w:val="3"/>
          <w:sz w:val="20"/>
          <w:szCs w:val="20"/>
          <w:lang w:eastAsia="en-GB"/>
        </w:rPr>
        <w:t>Schoultz</w:t>
      </w:r>
      <w:proofErr w:type="spellEnd"/>
      <w:r w:rsidRPr="005B0C64">
        <w:rPr>
          <w:rFonts w:asciiTheme="minorHAnsi" w:hAnsiTheme="minorHAnsi"/>
          <w:color w:val="222222"/>
          <w:spacing w:val="3"/>
          <w:sz w:val="20"/>
          <w:szCs w:val="20"/>
          <w:lang w:eastAsia="en-GB"/>
        </w:rPr>
        <w:t>, B. </w:t>
      </w:r>
      <w:r w:rsidRPr="005B0C64">
        <w:rPr>
          <w:rFonts w:asciiTheme="minorHAnsi" w:hAnsiTheme="minorHAnsi"/>
          <w:i/>
          <w:iCs/>
          <w:color w:val="222222"/>
          <w:spacing w:val="3"/>
          <w:sz w:val="20"/>
          <w:szCs w:val="20"/>
          <w:lang w:eastAsia="en-GB"/>
        </w:rPr>
        <w:t>et al</w:t>
      </w:r>
      <w:r w:rsidRPr="005B0C64">
        <w:rPr>
          <w:rFonts w:asciiTheme="minorHAnsi" w:hAnsiTheme="minorHAnsi"/>
          <w:color w:val="222222"/>
          <w:spacing w:val="3"/>
          <w:sz w:val="20"/>
          <w:szCs w:val="20"/>
          <w:lang w:eastAsia="en-GB"/>
        </w:rPr>
        <w:t>. </w:t>
      </w:r>
      <w:proofErr w:type="spellStart"/>
      <w:r w:rsidRPr="005B0C64">
        <w:rPr>
          <w:rFonts w:asciiTheme="minorHAnsi" w:hAnsiTheme="minorHAnsi"/>
          <w:color w:val="222222"/>
          <w:spacing w:val="3"/>
          <w:sz w:val="20"/>
          <w:szCs w:val="20"/>
          <w:lang w:eastAsia="en-GB"/>
        </w:rPr>
        <w:t>Estrogen</w:t>
      </w:r>
      <w:proofErr w:type="spellEnd"/>
      <w:r w:rsidRPr="005B0C64">
        <w:rPr>
          <w:rFonts w:asciiTheme="minorHAnsi" w:hAnsiTheme="minorHAnsi"/>
          <w:color w:val="222222"/>
          <w:spacing w:val="3"/>
          <w:sz w:val="20"/>
          <w:szCs w:val="20"/>
          <w:lang w:eastAsia="en-GB"/>
        </w:rPr>
        <w:t xml:space="preserve"> therapy and liver function—metabolic effects of oral and parenteral administration. </w:t>
      </w:r>
      <w:r w:rsidRPr="005B0C64">
        <w:rPr>
          <w:rFonts w:asciiTheme="minorHAnsi" w:hAnsiTheme="minorHAnsi"/>
          <w:i/>
          <w:iCs/>
          <w:color w:val="222222"/>
          <w:spacing w:val="3"/>
          <w:sz w:val="20"/>
          <w:szCs w:val="20"/>
          <w:lang w:eastAsia="en-GB"/>
        </w:rPr>
        <w:t>Prostate</w:t>
      </w:r>
      <w:r w:rsidRPr="005B0C64">
        <w:rPr>
          <w:rFonts w:asciiTheme="minorHAnsi" w:hAnsiTheme="minorHAnsi"/>
          <w:b/>
          <w:bCs/>
          <w:color w:val="222222"/>
          <w:spacing w:val="3"/>
          <w:sz w:val="20"/>
          <w:szCs w:val="20"/>
          <w:lang w:eastAsia="en-GB"/>
        </w:rPr>
        <w:t>14</w:t>
      </w:r>
      <w:r w:rsidRPr="005B0C64">
        <w:rPr>
          <w:rFonts w:asciiTheme="minorHAnsi" w:hAnsiTheme="minorHAnsi"/>
          <w:color w:val="222222"/>
          <w:spacing w:val="3"/>
          <w:sz w:val="20"/>
          <w:szCs w:val="20"/>
          <w:lang w:eastAsia="en-GB"/>
        </w:rPr>
        <w:t>, 389–395 (1989).</w:t>
      </w:r>
    </w:p>
    <w:p w:rsidR="00AF147E" w:rsidRPr="005B0C64" w:rsidRDefault="00AF147E" w:rsidP="005B0C64">
      <w:pPr>
        <w:shd w:val="clear" w:color="auto" w:fill="FFFFFF"/>
        <w:spacing w:before="100" w:beforeAutospacing="1" w:after="210" w:line="360" w:lineRule="auto"/>
        <w:rPr>
          <w:rFonts w:asciiTheme="minorHAnsi" w:hAnsiTheme="minorHAnsi"/>
          <w:color w:val="222222"/>
          <w:spacing w:val="3"/>
          <w:sz w:val="20"/>
          <w:szCs w:val="20"/>
          <w:lang w:eastAsia="en-GB"/>
        </w:rPr>
      </w:pPr>
      <w:r w:rsidRPr="005B0C64">
        <w:rPr>
          <w:rFonts w:asciiTheme="minorHAnsi" w:hAnsiTheme="minorHAnsi"/>
          <w:color w:val="222222"/>
          <w:spacing w:val="3"/>
          <w:sz w:val="20"/>
          <w:szCs w:val="20"/>
          <w:lang w:eastAsia="en-GB"/>
        </w:rPr>
        <w:lastRenderedPageBreak/>
        <w:t>6.</w:t>
      </w:r>
    </w:p>
    <w:p w:rsidR="00AF147E" w:rsidRPr="005B0C64" w:rsidRDefault="00AF147E" w:rsidP="00AF147E">
      <w:pPr>
        <w:shd w:val="clear" w:color="auto" w:fill="FFFFFF"/>
        <w:spacing w:after="105" w:line="360" w:lineRule="auto"/>
        <w:ind w:left="750"/>
        <w:rPr>
          <w:rFonts w:asciiTheme="minorHAnsi" w:hAnsiTheme="minorHAnsi"/>
          <w:color w:val="222222"/>
          <w:spacing w:val="3"/>
          <w:sz w:val="20"/>
          <w:szCs w:val="20"/>
          <w:lang w:eastAsia="en-GB"/>
        </w:rPr>
      </w:pPr>
      <w:proofErr w:type="spellStart"/>
      <w:r w:rsidRPr="005B0C64">
        <w:rPr>
          <w:rFonts w:asciiTheme="minorHAnsi" w:hAnsiTheme="minorHAnsi"/>
          <w:color w:val="222222"/>
          <w:spacing w:val="3"/>
          <w:sz w:val="20"/>
          <w:szCs w:val="20"/>
          <w:lang w:eastAsia="en-GB"/>
        </w:rPr>
        <w:t>Hedlund</w:t>
      </w:r>
      <w:proofErr w:type="spellEnd"/>
      <w:r w:rsidRPr="005B0C64">
        <w:rPr>
          <w:rFonts w:asciiTheme="minorHAnsi" w:hAnsiTheme="minorHAnsi"/>
          <w:color w:val="222222"/>
          <w:spacing w:val="3"/>
          <w:sz w:val="20"/>
          <w:szCs w:val="20"/>
          <w:lang w:eastAsia="en-GB"/>
        </w:rPr>
        <w:t>, P. O. </w:t>
      </w:r>
      <w:r w:rsidRPr="005B0C64">
        <w:rPr>
          <w:rFonts w:asciiTheme="minorHAnsi" w:hAnsiTheme="minorHAnsi"/>
          <w:i/>
          <w:iCs/>
          <w:color w:val="222222"/>
          <w:spacing w:val="3"/>
          <w:sz w:val="20"/>
          <w:szCs w:val="20"/>
          <w:lang w:eastAsia="en-GB"/>
        </w:rPr>
        <w:t>et al</w:t>
      </w:r>
      <w:r w:rsidRPr="005B0C64">
        <w:rPr>
          <w:rFonts w:asciiTheme="minorHAnsi" w:hAnsiTheme="minorHAnsi"/>
          <w:color w:val="222222"/>
          <w:spacing w:val="3"/>
          <w:sz w:val="20"/>
          <w:szCs w:val="20"/>
          <w:lang w:eastAsia="en-GB"/>
        </w:rPr>
        <w:t xml:space="preserve">. Parenteral </w:t>
      </w:r>
      <w:proofErr w:type="spellStart"/>
      <w:r w:rsidRPr="005B0C64">
        <w:rPr>
          <w:rFonts w:asciiTheme="minorHAnsi" w:hAnsiTheme="minorHAnsi"/>
          <w:color w:val="222222"/>
          <w:spacing w:val="3"/>
          <w:sz w:val="20"/>
          <w:szCs w:val="20"/>
          <w:lang w:eastAsia="en-GB"/>
        </w:rPr>
        <w:t>estrogen</w:t>
      </w:r>
      <w:proofErr w:type="spellEnd"/>
      <w:r w:rsidRPr="005B0C64">
        <w:rPr>
          <w:rFonts w:asciiTheme="minorHAnsi" w:hAnsiTheme="minorHAnsi"/>
          <w:color w:val="222222"/>
          <w:spacing w:val="3"/>
          <w:sz w:val="20"/>
          <w:szCs w:val="20"/>
          <w:lang w:eastAsia="en-GB"/>
        </w:rPr>
        <w:t xml:space="preserve"> versus combined androgen deprivation in the treatment of metastatic prostatic cancer: part 2. Final evaluation of the Scandinavian Prostatic Cancer Group (SPCG) Study No. 5. </w:t>
      </w:r>
      <w:r w:rsidRPr="005B0C64">
        <w:rPr>
          <w:rFonts w:asciiTheme="minorHAnsi" w:hAnsiTheme="minorHAnsi"/>
          <w:i/>
          <w:iCs/>
          <w:color w:val="222222"/>
          <w:spacing w:val="3"/>
          <w:sz w:val="20"/>
          <w:szCs w:val="20"/>
          <w:lang w:eastAsia="en-GB"/>
        </w:rPr>
        <w:t xml:space="preserve">Scand. J. Urol. </w:t>
      </w:r>
      <w:proofErr w:type="spellStart"/>
      <w:r w:rsidRPr="005B0C64">
        <w:rPr>
          <w:rFonts w:asciiTheme="minorHAnsi" w:hAnsiTheme="minorHAnsi"/>
          <w:i/>
          <w:iCs/>
          <w:color w:val="222222"/>
          <w:spacing w:val="3"/>
          <w:sz w:val="20"/>
          <w:szCs w:val="20"/>
          <w:lang w:eastAsia="en-GB"/>
        </w:rPr>
        <w:t>Nephrol</w:t>
      </w:r>
      <w:proofErr w:type="spellEnd"/>
      <w:r w:rsidRPr="005B0C64">
        <w:rPr>
          <w:rFonts w:asciiTheme="minorHAnsi" w:hAnsiTheme="minorHAnsi"/>
          <w:i/>
          <w:iCs/>
          <w:color w:val="222222"/>
          <w:spacing w:val="3"/>
          <w:sz w:val="20"/>
          <w:szCs w:val="20"/>
          <w:lang w:eastAsia="en-GB"/>
        </w:rPr>
        <w:t>.</w:t>
      </w:r>
      <w:r w:rsidRPr="005B0C64">
        <w:rPr>
          <w:rFonts w:asciiTheme="minorHAnsi" w:hAnsiTheme="minorHAnsi"/>
          <w:color w:val="222222"/>
          <w:spacing w:val="3"/>
          <w:sz w:val="20"/>
          <w:szCs w:val="20"/>
          <w:lang w:eastAsia="en-GB"/>
        </w:rPr>
        <w:t> </w:t>
      </w:r>
      <w:r w:rsidRPr="005B0C64">
        <w:rPr>
          <w:rFonts w:asciiTheme="minorHAnsi" w:hAnsiTheme="minorHAnsi"/>
          <w:b/>
          <w:bCs/>
          <w:color w:val="222222"/>
          <w:spacing w:val="3"/>
          <w:sz w:val="20"/>
          <w:szCs w:val="20"/>
          <w:lang w:eastAsia="en-GB"/>
        </w:rPr>
        <w:t>42</w:t>
      </w:r>
      <w:r w:rsidRPr="005B0C64">
        <w:rPr>
          <w:rFonts w:asciiTheme="minorHAnsi" w:hAnsiTheme="minorHAnsi"/>
          <w:color w:val="222222"/>
          <w:spacing w:val="3"/>
          <w:sz w:val="20"/>
          <w:szCs w:val="20"/>
          <w:lang w:eastAsia="en-GB"/>
        </w:rPr>
        <w:t>, 220–229 (2008).</w:t>
      </w:r>
    </w:p>
    <w:p w:rsidR="00AF147E" w:rsidRPr="005B0C64" w:rsidRDefault="00AF147E" w:rsidP="005B0C64">
      <w:pPr>
        <w:shd w:val="clear" w:color="auto" w:fill="FFFFFF"/>
        <w:spacing w:before="100" w:beforeAutospacing="1" w:after="210" w:line="360" w:lineRule="auto"/>
        <w:rPr>
          <w:rFonts w:asciiTheme="minorHAnsi" w:hAnsiTheme="minorHAnsi"/>
          <w:color w:val="222222"/>
          <w:spacing w:val="3"/>
          <w:sz w:val="20"/>
          <w:szCs w:val="20"/>
          <w:lang w:eastAsia="en-GB"/>
        </w:rPr>
      </w:pPr>
      <w:r w:rsidRPr="005B0C64">
        <w:rPr>
          <w:rFonts w:asciiTheme="minorHAnsi" w:hAnsiTheme="minorHAnsi"/>
          <w:color w:val="222222"/>
          <w:spacing w:val="3"/>
          <w:sz w:val="20"/>
          <w:szCs w:val="20"/>
          <w:lang w:eastAsia="en-GB"/>
        </w:rPr>
        <w:t>7.</w:t>
      </w:r>
    </w:p>
    <w:p w:rsidR="00AF147E" w:rsidRPr="005B0C64" w:rsidRDefault="00AF147E" w:rsidP="00AF147E">
      <w:pPr>
        <w:shd w:val="clear" w:color="auto" w:fill="FFFFFF"/>
        <w:spacing w:after="105" w:line="360" w:lineRule="auto"/>
        <w:ind w:left="750"/>
        <w:rPr>
          <w:rFonts w:asciiTheme="minorHAnsi" w:hAnsiTheme="minorHAnsi"/>
          <w:color w:val="222222"/>
          <w:spacing w:val="3"/>
          <w:sz w:val="20"/>
          <w:szCs w:val="20"/>
          <w:lang w:eastAsia="en-GB"/>
        </w:rPr>
      </w:pPr>
      <w:proofErr w:type="spellStart"/>
      <w:r w:rsidRPr="005B0C64">
        <w:rPr>
          <w:rFonts w:asciiTheme="minorHAnsi" w:hAnsiTheme="minorHAnsi"/>
          <w:color w:val="222222"/>
          <w:spacing w:val="3"/>
          <w:sz w:val="20"/>
          <w:szCs w:val="20"/>
          <w:lang w:eastAsia="en-GB"/>
        </w:rPr>
        <w:t>Ockrim</w:t>
      </w:r>
      <w:proofErr w:type="spellEnd"/>
      <w:r w:rsidRPr="005B0C64">
        <w:rPr>
          <w:rFonts w:asciiTheme="minorHAnsi" w:hAnsiTheme="minorHAnsi"/>
          <w:color w:val="222222"/>
          <w:spacing w:val="3"/>
          <w:sz w:val="20"/>
          <w:szCs w:val="20"/>
          <w:lang w:eastAsia="en-GB"/>
        </w:rPr>
        <w:t>, J. L., </w:t>
      </w:r>
      <w:proofErr w:type="spellStart"/>
      <w:r w:rsidRPr="005B0C64">
        <w:rPr>
          <w:rFonts w:asciiTheme="minorHAnsi" w:hAnsiTheme="minorHAnsi"/>
          <w:color w:val="222222"/>
          <w:spacing w:val="3"/>
          <w:sz w:val="20"/>
          <w:szCs w:val="20"/>
          <w:lang w:eastAsia="en-GB"/>
        </w:rPr>
        <w:t>Lalani</w:t>
      </w:r>
      <w:proofErr w:type="spellEnd"/>
      <w:r w:rsidRPr="005B0C64">
        <w:rPr>
          <w:rFonts w:asciiTheme="minorHAnsi" w:hAnsiTheme="minorHAnsi"/>
          <w:color w:val="222222"/>
          <w:spacing w:val="3"/>
          <w:sz w:val="20"/>
          <w:szCs w:val="20"/>
          <w:lang w:eastAsia="en-GB"/>
        </w:rPr>
        <w:t>, E. N., </w:t>
      </w:r>
      <w:proofErr w:type="spellStart"/>
      <w:r w:rsidRPr="005B0C64">
        <w:rPr>
          <w:rFonts w:asciiTheme="minorHAnsi" w:hAnsiTheme="minorHAnsi"/>
          <w:color w:val="222222"/>
          <w:spacing w:val="3"/>
          <w:sz w:val="20"/>
          <w:szCs w:val="20"/>
          <w:lang w:eastAsia="en-GB"/>
        </w:rPr>
        <w:t>Laniado</w:t>
      </w:r>
      <w:proofErr w:type="spellEnd"/>
      <w:r w:rsidRPr="005B0C64">
        <w:rPr>
          <w:rFonts w:asciiTheme="minorHAnsi" w:hAnsiTheme="minorHAnsi"/>
          <w:color w:val="222222"/>
          <w:spacing w:val="3"/>
          <w:sz w:val="20"/>
          <w:szCs w:val="20"/>
          <w:lang w:eastAsia="en-GB"/>
        </w:rPr>
        <w:t xml:space="preserve">, M. E., Carter, S. S. &amp; Abel, P. </w:t>
      </w:r>
      <w:proofErr w:type="spellStart"/>
      <w:r w:rsidRPr="005B0C64">
        <w:rPr>
          <w:rFonts w:asciiTheme="minorHAnsi" w:hAnsiTheme="minorHAnsi"/>
          <w:color w:val="222222"/>
          <w:spacing w:val="3"/>
          <w:sz w:val="20"/>
          <w:szCs w:val="20"/>
          <w:lang w:eastAsia="en-GB"/>
        </w:rPr>
        <w:t>D.Transdermal</w:t>
      </w:r>
      <w:proofErr w:type="spellEnd"/>
      <w:r w:rsidRPr="005B0C64">
        <w:rPr>
          <w:rFonts w:asciiTheme="minorHAnsi" w:hAnsiTheme="minorHAnsi"/>
          <w:color w:val="222222"/>
          <w:spacing w:val="3"/>
          <w:sz w:val="20"/>
          <w:szCs w:val="20"/>
          <w:lang w:eastAsia="en-GB"/>
        </w:rPr>
        <w:t xml:space="preserve"> </w:t>
      </w:r>
      <w:proofErr w:type="spellStart"/>
      <w:r w:rsidRPr="005B0C64">
        <w:rPr>
          <w:rFonts w:asciiTheme="minorHAnsi" w:hAnsiTheme="minorHAnsi"/>
          <w:color w:val="222222"/>
          <w:spacing w:val="3"/>
          <w:sz w:val="20"/>
          <w:szCs w:val="20"/>
          <w:lang w:eastAsia="en-GB"/>
        </w:rPr>
        <w:t>estradiol</w:t>
      </w:r>
      <w:proofErr w:type="spellEnd"/>
      <w:r w:rsidRPr="005B0C64">
        <w:rPr>
          <w:rFonts w:asciiTheme="minorHAnsi" w:hAnsiTheme="minorHAnsi"/>
          <w:color w:val="222222"/>
          <w:spacing w:val="3"/>
          <w:sz w:val="20"/>
          <w:szCs w:val="20"/>
          <w:lang w:eastAsia="en-GB"/>
        </w:rPr>
        <w:t xml:space="preserve"> therapy for advanced prostate cancer–forward to the past? </w:t>
      </w:r>
      <w:r w:rsidRPr="005B0C64">
        <w:rPr>
          <w:rFonts w:asciiTheme="minorHAnsi" w:hAnsiTheme="minorHAnsi"/>
          <w:i/>
          <w:iCs/>
          <w:color w:val="222222"/>
          <w:spacing w:val="3"/>
          <w:sz w:val="20"/>
          <w:szCs w:val="20"/>
          <w:lang w:eastAsia="en-GB"/>
        </w:rPr>
        <w:t>J. Urol.</w:t>
      </w:r>
      <w:r w:rsidRPr="005B0C64">
        <w:rPr>
          <w:rFonts w:asciiTheme="minorHAnsi" w:hAnsiTheme="minorHAnsi"/>
          <w:color w:val="222222"/>
          <w:spacing w:val="3"/>
          <w:sz w:val="20"/>
          <w:szCs w:val="20"/>
          <w:lang w:eastAsia="en-GB"/>
        </w:rPr>
        <w:t> </w:t>
      </w:r>
      <w:r w:rsidRPr="005B0C64">
        <w:rPr>
          <w:rFonts w:asciiTheme="minorHAnsi" w:hAnsiTheme="minorHAnsi"/>
          <w:b/>
          <w:bCs/>
          <w:color w:val="222222"/>
          <w:spacing w:val="3"/>
          <w:sz w:val="20"/>
          <w:szCs w:val="20"/>
          <w:lang w:eastAsia="en-GB"/>
        </w:rPr>
        <w:t>169</w:t>
      </w:r>
      <w:r w:rsidRPr="005B0C64">
        <w:rPr>
          <w:rFonts w:asciiTheme="minorHAnsi" w:hAnsiTheme="minorHAnsi"/>
          <w:color w:val="222222"/>
          <w:spacing w:val="3"/>
          <w:sz w:val="20"/>
          <w:szCs w:val="20"/>
          <w:lang w:eastAsia="en-GB"/>
        </w:rPr>
        <w:t>, 1735–1737 (2003).</w:t>
      </w:r>
    </w:p>
    <w:p w:rsidR="00AF147E" w:rsidRPr="005B0C64" w:rsidRDefault="00AF147E" w:rsidP="00AF147E">
      <w:pPr>
        <w:shd w:val="clear" w:color="auto" w:fill="FFFFFF"/>
        <w:spacing w:after="60" w:line="360" w:lineRule="auto"/>
        <w:rPr>
          <w:rFonts w:asciiTheme="minorHAnsi" w:hAnsiTheme="minorHAnsi"/>
          <w:b/>
          <w:bCs/>
          <w:color w:val="222222"/>
          <w:spacing w:val="3"/>
          <w:sz w:val="20"/>
          <w:szCs w:val="20"/>
          <w:lang w:eastAsia="en-GB"/>
        </w:rPr>
      </w:pPr>
      <w:r w:rsidRPr="005B0C64">
        <w:rPr>
          <w:rFonts w:asciiTheme="minorHAnsi" w:hAnsiTheme="minorHAnsi"/>
          <w:b/>
          <w:bCs/>
          <w:color w:val="222222"/>
          <w:spacing w:val="3"/>
          <w:sz w:val="20"/>
          <w:szCs w:val="20"/>
          <w:lang w:eastAsia="en-GB"/>
        </w:rPr>
        <w:t>Affiliations</w:t>
      </w:r>
    </w:p>
    <w:p w:rsidR="00AF147E" w:rsidRPr="005B0C64" w:rsidRDefault="00AF147E" w:rsidP="00AF147E">
      <w:pPr>
        <w:numPr>
          <w:ilvl w:val="0"/>
          <w:numId w:val="3"/>
        </w:numPr>
        <w:shd w:val="clear" w:color="auto" w:fill="FFFFFF"/>
        <w:spacing w:line="360" w:lineRule="auto"/>
        <w:rPr>
          <w:rFonts w:asciiTheme="minorHAnsi" w:hAnsiTheme="minorHAnsi"/>
          <w:i/>
          <w:iCs/>
          <w:color w:val="222222"/>
          <w:spacing w:val="3"/>
          <w:sz w:val="20"/>
          <w:szCs w:val="20"/>
          <w:lang w:eastAsia="en-GB"/>
        </w:rPr>
      </w:pPr>
      <w:r w:rsidRPr="005B0C64">
        <w:rPr>
          <w:rFonts w:asciiTheme="minorHAnsi" w:hAnsiTheme="minorHAnsi"/>
          <w:i/>
          <w:iCs/>
          <w:color w:val="222222"/>
          <w:spacing w:val="3"/>
          <w:sz w:val="20"/>
          <w:szCs w:val="20"/>
          <w:lang w:eastAsia="en-GB"/>
        </w:rPr>
        <w:t xml:space="preserve">Syed Imran A. Shah is at the Biochemistry Department at Central Park Medical College, Central Park Housing Scheme, </w:t>
      </w:r>
      <w:proofErr w:type="gramStart"/>
      <w:r w:rsidRPr="005B0C64">
        <w:rPr>
          <w:rFonts w:asciiTheme="minorHAnsi" w:hAnsiTheme="minorHAnsi"/>
          <w:i/>
          <w:iCs/>
          <w:color w:val="222222"/>
          <w:spacing w:val="3"/>
          <w:sz w:val="20"/>
          <w:szCs w:val="20"/>
          <w:lang w:eastAsia="en-GB"/>
        </w:rPr>
        <w:t>31</w:t>
      </w:r>
      <w:proofErr w:type="gramEnd"/>
      <w:r w:rsidRPr="005B0C64">
        <w:rPr>
          <w:rFonts w:asciiTheme="minorHAnsi" w:hAnsiTheme="minorHAnsi"/>
          <w:i/>
          <w:iCs/>
          <w:color w:val="222222"/>
          <w:spacing w:val="3"/>
          <w:sz w:val="20"/>
          <w:szCs w:val="20"/>
          <w:lang w:eastAsia="en-GB"/>
        </w:rPr>
        <w:t xml:space="preserve"> km </w:t>
      </w:r>
      <w:proofErr w:type="spellStart"/>
      <w:r w:rsidRPr="005B0C64">
        <w:rPr>
          <w:rFonts w:asciiTheme="minorHAnsi" w:hAnsiTheme="minorHAnsi"/>
          <w:i/>
          <w:iCs/>
          <w:color w:val="222222"/>
          <w:spacing w:val="3"/>
          <w:sz w:val="20"/>
          <w:szCs w:val="20"/>
          <w:lang w:eastAsia="en-GB"/>
        </w:rPr>
        <w:t>Ferozepur</w:t>
      </w:r>
      <w:proofErr w:type="spellEnd"/>
      <w:r w:rsidRPr="005B0C64">
        <w:rPr>
          <w:rFonts w:asciiTheme="minorHAnsi" w:hAnsiTheme="minorHAnsi"/>
          <w:i/>
          <w:iCs/>
          <w:color w:val="222222"/>
          <w:spacing w:val="3"/>
          <w:sz w:val="20"/>
          <w:szCs w:val="20"/>
          <w:lang w:eastAsia="en-GB"/>
        </w:rPr>
        <w:t xml:space="preserve"> Road, </w:t>
      </w:r>
      <w:proofErr w:type="spellStart"/>
      <w:r w:rsidRPr="005B0C64">
        <w:rPr>
          <w:rFonts w:asciiTheme="minorHAnsi" w:hAnsiTheme="minorHAnsi"/>
          <w:i/>
          <w:iCs/>
          <w:color w:val="222222"/>
          <w:spacing w:val="3"/>
          <w:sz w:val="20"/>
          <w:szCs w:val="20"/>
          <w:lang w:eastAsia="en-GB"/>
        </w:rPr>
        <w:t>Kahna</w:t>
      </w:r>
      <w:proofErr w:type="spellEnd"/>
      <w:r w:rsidRPr="005B0C64">
        <w:rPr>
          <w:rFonts w:asciiTheme="minorHAnsi" w:hAnsiTheme="minorHAnsi"/>
          <w:i/>
          <w:iCs/>
          <w:color w:val="222222"/>
          <w:spacing w:val="3"/>
          <w:sz w:val="20"/>
          <w:szCs w:val="20"/>
          <w:lang w:eastAsia="en-GB"/>
        </w:rPr>
        <w:t xml:space="preserve"> </w:t>
      </w:r>
      <w:proofErr w:type="spellStart"/>
      <w:r w:rsidRPr="005B0C64">
        <w:rPr>
          <w:rFonts w:asciiTheme="minorHAnsi" w:hAnsiTheme="minorHAnsi"/>
          <w:i/>
          <w:iCs/>
          <w:color w:val="222222"/>
          <w:spacing w:val="3"/>
          <w:sz w:val="20"/>
          <w:szCs w:val="20"/>
          <w:lang w:eastAsia="en-GB"/>
        </w:rPr>
        <w:t>Nau</w:t>
      </w:r>
      <w:proofErr w:type="spellEnd"/>
      <w:r w:rsidRPr="005B0C64">
        <w:rPr>
          <w:rFonts w:asciiTheme="minorHAnsi" w:hAnsiTheme="minorHAnsi"/>
          <w:i/>
          <w:iCs/>
          <w:color w:val="222222"/>
          <w:spacing w:val="3"/>
          <w:sz w:val="20"/>
          <w:szCs w:val="20"/>
          <w:lang w:eastAsia="en-GB"/>
        </w:rPr>
        <w:t>, Lahore, Punjab, Pakistan.</w:t>
      </w:r>
    </w:p>
    <w:p w:rsidR="00AF147E" w:rsidRPr="005B0C64" w:rsidRDefault="00AF147E" w:rsidP="00AF147E">
      <w:pPr>
        <w:numPr>
          <w:ilvl w:val="1"/>
          <w:numId w:val="3"/>
        </w:numPr>
        <w:shd w:val="clear" w:color="auto" w:fill="FFFFFF"/>
        <w:spacing w:before="100" w:beforeAutospacing="1" w:after="100" w:afterAutospacing="1" w:line="360" w:lineRule="auto"/>
        <w:rPr>
          <w:rFonts w:asciiTheme="minorHAnsi" w:hAnsiTheme="minorHAnsi"/>
          <w:color w:val="222222"/>
          <w:spacing w:val="3"/>
          <w:sz w:val="20"/>
          <w:szCs w:val="20"/>
          <w:lang w:eastAsia="en-GB"/>
        </w:rPr>
      </w:pPr>
      <w:r w:rsidRPr="005B0C64">
        <w:rPr>
          <w:rFonts w:asciiTheme="minorHAnsi" w:hAnsiTheme="minorHAnsi"/>
          <w:color w:val="222222"/>
          <w:spacing w:val="3"/>
          <w:sz w:val="20"/>
          <w:szCs w:val="20"/>
          <w:lang w:eastAsia="en-GB"/>
        </w:rPr>
        <w:t>Syed Imran A. Shah</w:t>
      </w:r>
    </w:p>
    <w:p w:rsidR="00AF147E" w:rsidRPr="005B0C64" w:rsidRDefault="00AF147E" w:rsidP="00AF147E">
      <w:pPr>
        <w:numPr>
          <w:ilvl w:val="0"/>
          <w:numId w:val="3"/>
        </w:numPr>
        <w:shd w:val="clear" w:color="auto" w:fill="FFFFFF"/>
        <w:spacing w:line="360" w:lineRule="auto"/>
        <w:rPr>
          <w:rFonts w:asciiTheme="minorHAnsi" w:hAnsiTheme="minorHAnsi"/>
          <w:i/>
          <w:iCs/>
          <w:color w:val="222222"/>
          <w:spacing w:val="3"/>
          <w:sz w:val="20"/>
          <w:szCs w:val="20"/>
          <w:lang w:eastAsia="en-GB"/>
        </w:rPr>
      </w:pPr>
      <w:r w:rsidRPr="005B0C64">
        <w:rPr>
          <w:rFonts w:asciiTheme="minorHAnsi" w:hAnsiTheme="minorHAnsi"/>
          <w:i/>
          <w:iCs/>
          <w:color w:val="222222"/>
          <w:spacing w:val="3"/>
          <w:sz w:val="20"/>
          <w:szCs w:val="20"/>
          <w:lang w:eastAsia="en-GB"/>
        </w:rPr>
        <w:t>Hannah C. P. Wilson is at Imperial NHS Trust, The Bays, South Wharf Road, St Mary's Hospital, London W2 1NY.</w:t>
      </w:r>
    </w:p>
    <w:p w:rsidR="00AF147E" w:rsidRPr="005B0C64" w:rsidRDefault="00AF147E" w:rsidP="00AF147E">
      <w:pPr>
        <w:numPr>
          <w:ilvl w:val="1"/>
          <w:numId w:val="3"/>
        </w:numPr>
        <w:shd w:val="clear" w:color="auto" w:fill="FFFFFF"/>
        <w:spacing w:before="100" w:beforeAutospacing="1" w:after="100" w:afterAutospacing="1" w:line="360" w:lineRule="auto"/>
        <w:rPr>
          <w:rFonts w:asciiTheme="minorHAnsi" w:hAnsiTheme="minorHAnsi"/>
          <w:color w:val="222222"/>
          <w:spacing w:val="3"/>
          <w:sz w:val="20"/>
          <w:szCs w:val="20"/>
          <w:lang w:eastAsia="en-GB"/>
        </w:rPr>
      </w:pPr>
      <w:r w:rsidRPr="005B0C64">
        <w:rPr>
          <w:rFonts w:asciiTheme="minorHAnsi" w:hAnsiTheme="minorHAnsi"/>
          <w:color w:val="222222"/>
          <w:spacing w:val="3"/>
          <w:sz w:val="20"/>
          <w:szCs w:val="20"/>
          <w:lang w:eastAsia="en-GB"/>
        </w:rPr>
        <w:t>Hannah C. P. Wilson</w:t>
      </w:r>
    </w:p>
    <w:p w:rsidR="00AF147E" w:rsidRPr="005B0C64" w:rsidRDefault="00AF147E" w:rsidP="00AF147E">
      <w:pPr>
        <w:numPr>
          <w:ilvl w:val="0"/>
          <w:numId w:val="3"/>
        </w:numPr>
        <w:shd w:val="clear" w:color="auto" w:fill="FFFFFF"/>
        <w:spacing w:line="360" w:lineRule="auto"/>
        <w:rPr>
          <w:rFonts w:asciiTheme="minorHAnsi" w:hAnsiTheme="minorHAnsi"/>
          <w:i/>
          <w:iCs/>
          <w:color w:val="222222"/>
          <w:spacing w:val="3"/>
          <w:sz w:val="20"/>
          <w:szCs w:val="20"/>
          <w:lang w:eastAsia="en-GB"/>
        </w:rPr>
      </w:pPr>
      <w:r w:rsidRPr="005B0C64">
        <w:rPr>
          <w:rFonts w:asciiTheme="minorHAnsi" w:hAnsiTheme="minorHAnsi"/>
          <w:i/>
          <w:iCs/>
          <w:color w:val="222222"/>
          <w:spacing w:val="3"/>
          <w:sz w:val="20"/>
          <w:szCs w:val="20"/>
          <w:lang w:eastAsia="en-GB"/>
        </w:rPr>
        <w:t>Paul D. Abel is at South Kensington Campus, London, SW7 2AZ, UK.</w:t>
      </w:r>
    </w:p>
    <w:p w:rsidR="00AF147E" w:rsidRPr="005B0C64" w:rsidRDefault="00AF147E" w:rsidP="00AF147E">
      <w:pPr>
        <w:numPr>
          <w:ilvl w:val="1"/>
          <w:numId w:val="3"/>
        </w:numPr>
        <w:shd w:val="clear" w:color="auto" w:fill="FFFFFF"/>
        <w:spacing w:before="100" w:beforeAutospacing="1" w:after="100" w:afterAutospacing="1" w:line="360" w:lineRule="auto"/>
        <w:rPr>
          <w:rFonts w:asciiTheme="minorHAnsi" w:hAnsiTheme="minorHAnsi"/>
          <w:color w:val="222222"/>
          <w:spacing w:val="3"/>
          <w:sz w:val="20"/>
          <w:szCs w:val="20"/>
          <w:lang w:eastAsia="en-GB"/>
        </w:rPr>
      </w:pPr>
      <w:r w:rsidRPr="005B0C64">
        <w:rPr>
          <w:rFonts w:asciiTheme="minorHAnsi" w:hAnsiTheme="minorHAnsi"/>
          <w:color w:val="222222"/>
          <w:spacing w:val="3"/>
          <w:sz w:val="20"/>
          <w:szCs w:val="20"/>
          <w:lang w:eastAsia="en-GB"/>
        </w:rPr>
        <w:t>Paul D. Abel</w:t>
      </w:r>
    </w:p>
    <w:p w:rsidR="00AF147E" w:rsidRPr="005B0C64" w:rsidRDefault="00AF147E" w:rsidP="00AF147E">
      <w:pPr>
        <w:shd w:val="clear" w:color="auto" w:fill="FFFFFF"/>
        <w:spacing w:after="60" w:line="360" w:lineRule="auto"/>
        <w:rPr>
          <w:rFonts w:asciiTheme="minorHAnsi" w:hAnsiTheme="minorHAnsi"/>
          <w:b/>
          <w:bCs/>
          <w:color w:val="222222"/>
          <w:spacing w:val="3"/>
          <w:sz w:val="20"/>
          <w:szCs w:val="20"/>
          <w:lang w:eastAsia="en-GB"/>
        </w:rPr>
      </w:pPr>
      <w:r w:rsidRPr="005B0C64">
        <w:rPr>
          <w:rFonts w:asciiTheme="minorHAnsi" w:hAnsiTheme="minorHAnsi"/>
          <w:b/>
          <w:bCs/>
          <w:color w:val="222222"/>
          <w:spacing w:val="3"/>
          <w:sz w:val="20"/>
          <w:szCs w:val="20"/>
          <w:lang w:eastAsia="en-GB"/>
        </w:rPr>
        <w:t>Contributions</w:t>
      </w:r>
    </w:p>
    <w:p w:rsidR="00AF147E" w:rsidRPr="005B0C64" w:rsidRDefault="00AF147E" w:rsidP="00AF147E">
      <w:pPr>
        <w:shd w:val="clear" w:color="auto" w:fill="FFFFFF"/>
        <w:spacing w:after="420" w:line="360" w:lineRule="auto"/>
        <w:rPr>
          <w:rFonts w:asciiTheme="minorHAnsi" w:hAnsiTheme="minorHAnsi"/>
          <w:color w:val="222222"/>
          <w:spacing w:val="3"/>
          <w:sz w:val="20"/>
          <w:szCs w:val="20"/>
          <w:lang w:eastAsia="en-GB"/>
        </w:rPr>
      </w:pPr>
      <w:r w:rsidRPr="005B0C64">
        <w:rPr>
          <w:rFonts w:asciiTheme="minorHAnsi" w:hAnsiTheme="minorHAnsi"/>
          <w:color w:val="222222"/>
          <w:spacing w:val="3"/>
          <w:sz w:val="20"/>
          <w:szCs w:val="20"/>
          <w:lang w:eastAsia="en-GB"/>
        </w:rPr>
        <w:t xml:space="preserve">S.I.A.S. and P.A. had the idea for the article, S.I.A.S. researched data for the article, </w:t>
      </w:r>
      <w:proofErr w:type="gramStart"/>
      <w:r w:rsidRPr="005B0C64">
        <w:rPr>
          <w:rFonts w:asciiTheme="minorHAnsi" w:hAnsiTheme="minorHAnsi"/>
          <w:color w:val="222222"/>
          <w:spacing w:val="3"/>
          <w:sz w:val="20"/>
          <w:szCs w:val="20"/>
          <w:lang w:eastAsia="en-GB"/>
        </w:rPr>
        <w:t>all</w:t>
      </w:r>
      <w:proofErr w:type="gramEnd"/>
      <w:r w:rsidRPr="005B0C64">
        <w:rPr>
          <w:rFonts w:asciiTheme="minorHAnsi" w:hAnsiTheme="minorHAnsi"/>
          <w:color w:val="222222"/>
          <w:spacing w:val="3"/>
          <w:sz w:val="20"/>
          <w:szCs w:val="20"/>
          <w:lang w:eastAsia="en-GB"/>
        </w:rPr>
        <w:t xml:space="preserve"> authors wrote, edited and reviewed the manuscript before submission.</w:t>
      </w:r>
    </w:p>
    <w:p w:rsidR="00AF147E" w:rsidRPr="005B0C64" w:rsidRDefault="00AF147E" w:rsidP="00AF147E">
      <w:pPr>
        <w:shd w:val="clear" w:color="auto" w:fill="FFFFFF"/>
        <w:spacing w:after="60" w:line="360" w:lineRule="auto"/>
        <w:rPr>
          <w:rFonts w:asciiTheme="minorHAnsi" w:hAnsiTheme="minorHAnsi"/>
          <w:b/>
          <w:bCs/>
          <w:color w:val="222222"/>
          <w:spacing w:val="3"/>
          <w:sz w:val="20"/>
          <w:szCs w:val="20"/>
          <w:lang w:eastAsia="en-GB"/>
        </w:rPr>
      </w:pPr>
      <w:r w:rsidRPr="005B0C64">
        <w:rPr>
          <w:rFonts w:asciiTheme="minorHAnsi" w:hAnsiTheme="minorHAnsi"/>
          <w:b/>
          <w:bCs/>
          <w:color w:val="222222"/>
          <w:spacing w:val="3"/>
          <w:sz w:val="20"/>
          <w:szCs w:val="20"/>
          <w:lang w:eastAsia="en-GB"/>
        </w:rPr>
        <w:t>Competing interests</w:t>
      </w:r>
    </w:p>
    <w:p w:rsidR="00AF147E" w:rsidRPr="005B0C64" w:rsidRDefault="00AF147E" w:rsidP="00AF147E">
      <w:pPr>
        <w:shd w:val="clear" w:color="auto" w:fill="FFFFFF"/>
        <w:spacing w:after="420" w:line="360" w:lineRule="auto"/>
        <w:rPr>
          <w:rFonts w:asciiTheme="minorHAnsi" w:hAnsiTheme="minorHAnsi"/>
          <w:color w:val="222222"/>
          <w:spacing w:val="3"/>
          <w:sz w:val="20"/>
          <w:szCs w:val="20"/>
          <w:lang w:eastAsia="en-GB"/>
        </w:rPr>
      </w:pPr>
      <w:r w:rsidRPr="005B0C64">
        <w:rPr>
          <w:rFonts w:asciiTheme="minorHAnsi" w:hAnsiTheme="minorHAnsi"/>
          <w:color w:val="222222"/>
          <w:spacing w:val="3"/>
          <w:sz w:val="20"/>
          <w:szCs w:val="20"/>
          <w:lang w:eastAsia="en-GB"/>
        </w:rPr>
        <w:t xml:space="preserve">P.A. is </w:t>
      </w:r>
      <w:proofErr w:type="spellStart"/>
      <w:r w:rsidRPr="005B0C64">
        <w:rPr>
          <w:rFonts w:asciiTheme="minorHAnsi" w:hAnsiTheme="minorHAnsi"/>
          <w:color w:val="222222"/>
          <w:spacing w:val="3"/>
          <w:sz w:val="20"/>
          <w:szCs w:val="20"/>
          <w:lang w:eastAsia="en-GB"/>
        </w:rPr>
        <w:t>coprincipal</w:t>
      </w:r>
      <w:proofErr w:type="spellEnd"/>
      <w:r w:rsidRPr="005B0C64">
        <w:rPr>
          <w:rFonts w:asciiTheme="minorHAnsi" w:hAnsiTheme="minorHAnsi"/>
          <w:color w:val="222222"/>
          <w:spacing w:val="3"/>
          <w:sz w:val="20"/>
          <w:szCs w:val="20"/>
          <w:lang w:eastAsia="en-GB"/>
        </w:rPr>
        <w:t xml:space="preserve"> investigator of the UK national Prostate Adenocarcinoma </w:t>
      </w:r>
      <w:proofErr w:type="spellStart"/>
      <w:r w:rsidRPr="005B0C64">
        <w:rPr>
          <w:rFonts w:asciiTheme="minorHAnsi" w:hAnsiTheme="minorHAnsi"/>
          <w:color w:val="222222"/>
          <w:spacing w:val="3"/>
          <w:sz w:val="20"/>
          <w:szCs w:val="20"/>
          <w:lang w:eastAsia="en-GB"/>
        </w:rPr>
        <w:t>TransCutaneous</w:t>
      </w:r>
      <w:proofErr w:type="spellEnd"/>
      <w:r w:rsidRPr="005B0C64">
        <w:rPr>
          <w:rFonts w:asciiTheme="minorHAnsi" w:hAnsiTheme="minorHAnsi"/>
          <w:color w:val="222222"/>
          <w:spacing w:val="3"/>
          <w:sz w:val="20"/>
          <w:szCs w:val="20"/>
          <w:lang w:eastAsia="en-GB"/>
        </w:rPr>
        <w:t xml:space="preserve"> Hormones (PATCH) study and has grant funding from Cancer Research UK. The PATCH study is a phase III randomized controlled clinical trial comparing efficacy and toxicity of transcutaneous oestrogen patches and luteinising-hormone-releasing hormone agonist funded by Cancer Research UK and supported by the UK Medical Research council S. I. A. S. received a PhD grant from the Commonwealth Scholarship Commission. H.C.P.W. declares no competing interests.</w:t>
      </w:r>
    </w:p>
    <w:p w:rsidR="00C302DE" w:rsidRPr="005B0C64" w:rsidRDefault="005B0C64" w:rsidP="00AF147E">
      <w:pPr>
        <w:shd w:val="clear" w:color="auto" w:fill="FFFFFF"/>
        <w:spacing w:after="420" w:line="360" w:lineRule="auto"/>
        <w:rPr>
          <w:rFonts w:asciiTheme="minorHAnsi" w:hAnsiTheme="minorHAnsi"/>
          <w:color w:val="222222"/>
          <w:spacing w:val="3"/>
          <w:sz w:val="20"/>
          <w:szCs w:val="20"/>
          <w:lang w:eastAsia="en-GB"/>
        </w:rPr>
      </w:pPr>
    </w:p>
    <w:sectPr w:rsidR="00C302DE" w:rsidRPr="005B0C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502E5A"/>
    <w:multiLevelType w:val="multilevel"/>
    <w:tmpl w:val="EB84EF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EE616B7"/>
    <w:multiLevelType w:val="multilevel"/>
    <w:tmpl w:val="4E6297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68001656"/>
    <w:multiLevelType w:val="multilevel"/>
    <w:tmpl w:val="3DAC6F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47E"/>
    <w:rsid w:val="005B0C64"/>
    <w:rsid w:val="005F292D"/>
    <w:rsid w:val="00AF147E"/>
    <w:rsid w:val="00D218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F38C53-2D09-43FC-B4D8-A3E8D0241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47E"/>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F147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471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nrurol.2017.12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ature.com/articles/nrurol.2017.126" TargetMode="External"/><Relationship Id="rId12" Type="http://schemas.openxmlformats.org/officeDocument/2006/relationships/hyperlink" Target="https://www.nature.com/articles/nrurol.2017.1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ture.com/articles/nrurol.2017.126" TargetMode="External"/><Relationship Id="rId11" Type="http://schemas.openxmlformats.org/officeDocument/2006/relationships/hyperlink" Target="https://www.nature.com/articles/nrurol.2017.126" TargetMode="External"/><Relationship Id="rId5" Type="http://schemas.openxmlformats.org/officeDocument/2006/relationships/hyperlink" Target="https://www.nature.com/articles/nrurol.2017.126" TargetMode="External"/><Relationship Id="rId10" Type="http://schemas.openxmlformats.org/officeDocument/2006/relationships/hyperlink" Target="https://www.nature.com/articles/nrurol.2017.126" TargetMode="External"/><Relationship Id="rId4" Type="http://schemas.openxmlformats.org/officeDocument/2006/relationships/webSettings" Target="webSettings.xml"/><Relationship Id="rId9" Type="http://schemas.openxmlformats.org/officeDocument/2006/relationships/hyperlink" Target="https://www.nature.com/articles/nrurol.2017.12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1390</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9301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Stork, Leigh A</dc:creator>
  <cp:keywords/>
  <dc:description/>
  <cp:lastModifiedBy>Stork, Leigh A</cp:lastModifiedBy>
  <cp:revision>2</cp:revision>
  <dcterms:created xsi:type="dcterms:W3CDTF">2017-11-13T13:13:00Z</dcterms:created>
  <dcterms:modified xsi:type="dcterms:W3CDTF">2017-11-13T13:18:00Z</dcterms:modified>
</cp:coreProperties>
</file>