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B736FA" w14:textId="77777777" w:rsidR="00CE4D98" w:rsidRDefault="00FA4CA4">
      <w:pPr>
        <w:pStyle w:val="Body"/>
        <w:spacing w:after="0" w:line="480" w:lineRule="auto"/>
        <w:jc w:val="center"/>
        <w:rPr>
          <w:rFonts w:ascii="Times New Roman" w:eastAsia="Times New Roman" w:hAnsi="Times New Roman" w:cs="Times New Roman"/>
          <w:b/>
          <w:bCs/>
          <w:sz w:val="32"/>
          <w:szCs w:val="32"/>
        </w:rPr>
      </w:pPr>
      <w:r>
        <w:rPr>
          <w:rFonts w:ascii="Times New Roman" w:hAnsi="Times New Roman"/>
          <w:b/>
          <w:bCs/>
          <w:sz w:val="32"/>
          <w:szCs w:val="32"/>
        </w:rPr>
        <w:t>Estimating particulate exposure from modern Municipal Waste Incinerators (MWIs) in Great Britain</w:t>
      </w:r>
    </w:p>
    <w:p w14:paraId="44C4DB8D" w14:textId="77777777" w:rsidR="00CE4D98" w:rsidRDefault="00FA4CA4">
      <w:pPr>
        <w:pStyle w:val="Body"/>
        <w:spacing w:after="0" w:line="480" w:lineRule="auto"/>
        <w:rPr>
          <w:rFonts w:ascii="Times New Roman" w:eastAsia="Times New Roman" w:hAnsi="Times New Roman" w:cs="Times New Roman"/>
          <w:sz w:val="24"/>
          <w:szCs w:val="24"/>
        </w:rPr>
      </w:pPr>
      <w:r>
        <w:rPr>
          <w:rFonts w:ascii="Times New Roman" w:hAnsi="Times New Roman"/>
          <w:sz w:val="24"/>
          <w:szCs w:val="24"/>
          <w:lang w:val="da-DK"/>
        </w:rPr>
        <w:t>Philippa Douglas</w:t>
      </w:r>
      <w:r>
        <w:rPr>
          <w:rFonts w:ascii="Times New Roman" w:hAnsi="Times New Roman"/>
          <w:sz w:val="24"/>
          <w:szCs w:val="24"/>
          <w:vertAlign w:val="superscript"/>
        </w:rPr>
        <w:t>a</w:t>
      </w:r>
      <w:r>
        <w:rPr>
          <w:rFonts w:ascii="Times New Roman" w:hAnsi="Times New Roman"/>
          <w:sz w:val="24"/>
          <w:szCs w:val="24"/>
          <w:lang w:val="it-IT"/>
        </w:rPr>
        <w:t>, Anna Freni Sterrantino</w:t>
      </w:r>
      <w:r>
        <w:rPr>
          <w:rFonts w:ascii="Times New Roman" w:hAnsi="Times New Roman"/>
          <w:sz w:val="24"/>
          <w:szCs w:val="24"/>
          <w:vertAlign w:val="superscript"/>
        </w:rPr>
        <w:t>a</w:t>
      </w:r>
      <w:r>
        <w:rPr>
          <w:rFonts w:ascii="Times New Roman" w:hAnsi="Times New Roman"/>
          <w:sz w:val="24"/>
          <w:szCs w:val="24"/>
          <w:lang w:val="it-IT"/>
        </w:rPr>
        <w:t>, Maria Leal Sanchez</w:t>
      </w:r>
      <w:r>
        <w:rPr>
          <w:rFonts w:ascii="Times New Roman" w:hAnsi="Times New Roman"/>
          <w:sz w:val="24"/>
          <w:szCs w:val="24"/>
          <w:vertAlign w:val="superscript"/>
        </w:rPr>
        <w:t>a</w:t>
      </w:r>
      <w:r>
        <w:rPr>
          <w:rFonts w:ascii="Times New Roman" w:hAnsi="Times New Roman"/>
          <w:sz w:val="24"/>
          <w:szCs w:val="24"/>
          <w:lang w:val="de-DE"/>
        </w:rPr>
        <w:t>, Danielle C Ashworth</w:t>
      </w:r>
      <w:r>
        <w:rPr>
          <w:rFonts w:ascii="Times New Roman" w:hAnsi="Times New Roman"/>
          <w:sz w:val="24"/>
          <w:szCs w:val="24"/>
          <w:vertAlign w:val="superscript"/>
        </w:rPr>
        <w:t>a</w:t>
      </w:r>
      <w:r>
        <w:rPr>
          <w:rFonts w:ascii="Times New Roman" w:hAnsi="Times New Roman"/>
          <w:sz w:val="24"/>
          <w:szCs w:val="24"/>
          <w:lang w:val="it-IT"/>
        </w:rPr>
        <w:t>, Rebecca E Ghosh</w:t>
      </w:r>
      <w:r>
        <w:rPr>
          <w:rFonts w:ascii="Times New Roman" w:hAnsi="Times New Roman"/>
          <w:sz w:val="24"/>
          <w:szCs w:val="24"/>
          <w:vertAlign w:val="superscript"/>
        </w:rPr>
        <w:t>a</w:t>
      </w:r>
      <w:r>
        <w:rPr>
          <w:rFonts w:ascii="Times New Roman" w:hAnsi="Times New Roman"/>
          <w:sz w:val="24"/>
          <w:szCs w:val="24"/>
          <w:lang w:val="it-IT"/>
        </w:rPr>
        <w:t>, Daniela Fecht</w:t>
      </w:r>
      <w:r>
        <w:rPr>
          <w:rFonts w:ascii="Times New Roman" w:hAnsi="Times New Roman"/>
          <w:sz w:val="24"/>
          <w:szCs w:val="24"/>
          <w:vertAlign w:val="superscript"/>
        </w:rPr>
        <w:t>a</w:t>
      </w:r>
      <w:r>
        <w:rPr>
          <w:rFonts w:ascii="Times New Roman" w:hAnsi="Times New Roman"/>
          <w:sz w:val="24"/>
          <w:szCs w:val="24"/>
          <w:lang w:val="it-IT"/>
        </w:rPr>
        <w:t>, Anna Font</w:t>
      </w:r>
      <w:r>
        <w:rPr>
          <w:rFonts w:ascii="Times New Roman" w:hAnsi="Times New Roman"/>
          <w:sz w:val="24"/>
          <w:szCs w:val="24"/>
          <w:vertAlign w:val="superscript"/>
        </w:rPr>
        <w:t>b</w:t>
      </w:r>
      <w:r>
        <w:rPr>
          <w:rFonts w:ascii="Times New Roman" w:hAnsi="Times New Roman"/>
          <w:sz w:val="24"/>
          <w:szCs w:val="24"/>
          <w:lang w:val="it-IT"/>
        </w:rPr>
        <w:t>, Marta Blangiardo</w:t>
      </w:r>
      <w:r>
        <w:rPr>
          <w:rFonts w:ascii="Times New Roman" w:hAnsi="Times New Roman"/>
          <w:sz w:val="24"/>
          <w:szCs w:val="24"/>
          <w:vertAlign w:val="superscript"/>
        </w:rPr>
        <w:t>a</w:t>
      </w:r>
      <w:r>
        <w:rPr>
          <w:rFonts w:ascii="Times New Roman" w:hAnsi="Times New Roman"/>
          <w:sz w:val="24"/>
          <w:szCs w:val="24"/>
        </w:rPr>
        <w:t xml:space="preserve">, John </w:t>
      </w:r>
      <w:proofErr w:type="spellStart"/>
      <w:r>
        <w:rPr>
          <w:rFonts w:ascii="Times New Roman" w:hAnsi="Times New Roman"/>
          <w:sz w:val="24"/>
          <w:szCs w:val="24"/>
        </w:rPr>
        <w:t>Gulliver</w:t>
      </w:r>
      <w:r>
        <w:rPr>
          <w:rFonts w:ascii="Times New Roman" w:hAnsi="Times New Roman"/>
          <w:sz w:val="24"/>
          <w:szCs w:val="24"/>
          <w:vertAlign w:val="superscript"/>
        </w:rPr>
        <w:t>a</w:t>
      </w:r>
      <w:proofErr w:type="spellEnd"/>
      <w:r>
        <w:rPr>
          <w:rFonts w:ascii="Times New Roman" w:hAnsi="Times New Roman"/>
          <w:sz w:val="24"/>
          <w:szCs w:val="24"/>
        </w:rPr>
        <w:t xml:space="preserve">, Mireille B </w:t>
      </w:r>
      <w:proofErr w:type="spellStart"/>
      <w:r>
        <w:rPr>
          <w:rFonts w:ascii="Times New Roman" w:hAnsi="Times New Roman"/>
          <w:sz w:val="24"/>
          <w:szCs w:val="24"/>
        </w:rPr>
        <w:t>Toledano</w:t>
      </w:r>
      <w:r>
        <w:rPr>
          <w:rFonts w:ascii="Times New Roman" w:hAnsi="Times New Roman"/>
          <w:sz w:val="24"/>
          <w:szCs w:val="24"/>
          <w:vertAlign w:val="superscript"/>
        </w:rPr>
        <w:t>a</w:t>
      </w:r>
      <w:proofErr w:type="spellEnd"/>
      <w:r>
        <w:rPr>
          <w:rFonts w:ascii="Times New Roman" w:hAnsi="Times New Roman"/>
          <w:sz w:val="24"/>
          <w:szCs w:val="24"/>
        </w:rPr>
        <w:t xml:space="preserve">, Paul </w:t>
      </w:r>
      <w:proofErr w:type="spellStart"/>
      <w:r>
        <w:rPr>
          <w:rFonts w:ascii="Times New Roman" w:hAnsi="Times New Roman"/>
          <w:sz w:val="24"/>
          <w:szCs w:val="24"/>
        </w:rPr>
        <w:t>Elliott</w:t>
      </w:r>
      <w:r>
        <w:rPr>
          <w:rFonts w:ascii="Times New Roman" w:hAnsi="Times New Roman"/>
          <w:sz w:val="24"/>
          <w:szCs w:val="24"/>
          <w:vertAlign w:val="superscript"/>
        </w:rPr>
        <w:t>a</w:t>
      </w:r>
      <w:proofErr w:type="spellEnd"/>
      <w:r>
        <w:rPr>
          <w:rFonts w:ascii="Times New Roman" w:hAnsi="Times New Roman"/>
          <w:sz w:val="24"/>
          <w:szCs w:val="24"/>
          <w:lang w:val="nl-NL"/>
        </w:rPr>
        <w:t>, Kees de Hoogh</w:t>
      </w:r>
      <w:proofErr w:type="spellStart"/>
      <w:r>
        <w:rPr>
          <w:rFonts w:ascii="Times New Roman" w:hAnsi="Times New Roman"/>
          <w:sz w:val="24"/>
          <w:szCs w:val="24"/>
          <w:vertAlign w:val="superscript"/>
          <w:lang w:val="es-ES_tradnl"/>
        </w:rPr>
        <w:t>a,c,d</w:t>
      </w:r>
      <w:proofErr w:type="spellEnd"/>
      <w:r>
        <w:rPr>
          <w:rFonts w:ascii="Times New Roman" w:hAnsi="Times New Roman"/>
          <w:sz w:val="24"/>
          <w:szCs w:val="24"/>
        </w:rPr>
        <w:t xml:space="preserve">, Gary W </w:t>
      </w:r>
      <w:proofErr w:type="spellStart"/>
      <w:r>
        <w:rPr>
          <w:rFonts w:ascii="Times New Roman" w:hAnsi="Times New Roman"/>
          <w:sz w:val="24"/>
          <w:szCs w:val="24"/>
        </w:rPr>
        <w:t>Fuller</w:t>
      </w:r>
      <w:r>
        <w:rPr>
          <w:rFonts w:ascii="Times New Roman" w:hAnsi="Times New Roman"/>
          <w:sz w:val="24"/>
          <w:szCs w:val="24"/>
          <w:vertAlign w:val="superscript"/>
        </w:rPr>
        <w:t>b</w:t>
      </w:r>
      <w:proofErr w:type="spellEnd"/>
      <w:r>
        <w:rPr>
          <w:rFonts w:ascii="Times New Roman" w:hAnsi="Times New Roman"/>
          <w:sz w:val="24"/>
          <w:szCs w:val="24"/>
        </w:rPr>
        <w:t>, and Anna L Hansell</w:t>
      </w:r>
      <w:proofErr w:type="spellStart"/>
      <w:r>
        <w:rPr>
          <w:rFonts w:ascii="Times New Roman" w:hAnsi="Times New Roman"/>
          <w:sz w:val="24"/>
          <w:szCs w:val="24"/>
          <w:vertAlign w:val="superscript"/>
          <w:lang w:val="es-ES_tradnl"/>
        </w:rPr>
        <w:t>a,e</w:t>
      </w:r>
      <w:proofErr w:type="spellEnd"/>
      <w:r>
        <w:rPr>
          <w:rFonts w:ascii="Times New Roman" w:hAnsi="Times New Roman"/>
          <w:sz w:val="24"/>
          <w:szCs w:val="24"/>
        </w:rPr>
        <w:t>*</w:t>
      </w:r>
    </w:p>
    <w:p w14:paraId="4F279C0B" w14:textId="77777777" w:rsidR="00CE4D98" w:rsidRDefault="00CE4D98">
      <w:pPr>
        <w:pStyle w:val="Affiliation"/>
        <w:spacing w:before="0" w:line="480" w:lineRule="auto"/>
        <w:rPr>
          <w:i w:val="0"/>
          <w:iCs w:val="0"/>
        </w:rPr>
      </w:pPr>
    </w:p>
    <w:p w14:paraId="3D9A3A72" w14:textId="77777777" w:rsidR="00CE4D98" w:rsidRDefault="00FA4CA4">
      <w:pPr>
        <w:pStyle w:val="Affiliation"/>
        <w:numPr>
          <w:ilvl w:val="0"/>
          <w:numId w:val="2"/>
        </w:numPr>
        <w:spacing w:before="0" w:line="480" w:lineRule="auto"/>
        <w:rPr>
          <w:i w:val="0"/>
          <w:iCs w:val="0"/>
        </w:rPr>
      </w:pPr>
      <w:r>
        <w:rPr>
          <w:i w:val="0"/>
          <w:iCs w:val="0"/>
        </w:rPr>
        <w:t>UK Small Area Health Statistics Unit, MRC-PHE Centre for Environment and Health, Imperial College London, London, United Kingdom</w:t>
      </w:r>
    </w:p>
    <w:p w14:paraId="60C10932" w14:textId="77777777" w:rsidR="00CE4D98" w:rsidRDefault="00FA4CA4">
      <w:pPr>
        <w:pStyle w:val="Affiliation"/>
        <w:numPr>
          <w:ilvl w:val="0"/>
          <w:numId w:val="2"/>
        </w:numPr>
        <w:spacing w:before="0" w:line="480" w:lineRule="auto"/>
        <w:rPr>
          <w:i w:val="0"/>
          <w:iCs w:val="0"/>
        </w:rPr>
      </w:pPr>
      <w:r>
        <w:rPr>
          <w:i w:val="0"/>
          <w:iCs w:val="0"/>
        </w:rPr>
        <w:t>Environment Research Group, MRC-PHE Centre for Environment and Health, Imperial College London, London, United Kingdom</w:t>
      </w:r>
    </w:p>
    <w:p w14:paraId="688A9E93" w14:textId="77777777" w:rsidR="00CE4D98" w:rsidRDefault="00FA4CA4">
      <w:pPr>
        <w:pStyle w:val="Affiliation"/>
        <w:numPr>
          <w:ilvl w:val="0"/>
          <w:numId w:val="2"/>
        </w:numPr>
        <w:spacing w:before="0" w:line="480" w:lineRule="auto"/>
        <w:rPr>
          <w:i w:val="0"/>
          <w:iCs w:val="0"/>
        </w:rPr>
      </w:pPr>
      <w:r>
        <w:rPr>
          <w:i w:val="0"/>
          <w:iCs w:val="0"/>
        </w:rPr>
        <w:t>Swiss Tropical and Public Health Institute, Basel, Switzerland</w:t>
      </w:r>
    </w:p>
    <w:p w14:paraId="28F25E52" w14:textId="77777777" w:rsidR="00CE4D98" w:rsidRDefault="00FA4CA4">
      <w:pPr>
        <w:pStyle w:val="Affiliation"/>
        <w:numPr>
          <w:ilvl w:val="0"/>
          <w:numId w:val="2"/>
        </w:numPr>
        <w:spacing w:before="0" w:line="480" w:lineRule="auto"/>
        <w:rPr>
          <w:i w:val="0"/>
          <w:iCs w:val="0"/>
        </w:rPr>
      </w:pPr>
      <w:r>
        <w:rPr>
          <w:i w:val="0"/>
          <w:iCs w:val="0"/>
        </w:rPr>
        <w:t>University of Basel, Basel, Switzerland</w:t>
      </w:r>
    </w:p>
    <w:p w14:paraId="75193F5C" w14:textId="77777777" w:rsidR="00CE4D98" w:rsidRDefault="00FA4CA4">
      <w:pPr>
        <w:pStyle w:val="Affiliation"/>
        <w:numPr>
          <w:ilvl w:val="0"/>
          <w:numId w:val="2"/>
        </w:numPr>
        <w:spacing w:before="0" w:line="480" w:lineRule="auto"/>
        <w:rPr>
          <w:i w:val="0"/>
          <w:iCs w:val="0"/>
        </w:rPr>
      </w:pPr>
      <w:r>
        <w:rPr>
          <w:i w:val="0"/>
          <w:iCs w:val="0"/>
        </w:rPr>
        <w:t>Directorate of Public Health and Primary Care, Imperial College Healthcare NHS Trust, London, United Kingdom</w:t>
      </w:r>
    </w:p>
    <w:p w14:paraId="64A0A8E0" w14:textId="77777777" w:rsidR="00CE4D98" w:rsidRDefault="00CE4D98">
      <w:pPr>
        <w:pStyle w:val="Affiliation"/>
        <w:spacing w:before="0" w:line="480" w:lineRule="auto"/>
        <w:rPr>
          <w:i w:val="0"/>
          <w:iCs w:val="0"/>
        </w:rPr>
      </w:pPr>
    </w:p>
    <w:p w14:paraId="027B8E58" w14:textId="77777777" w:rsidR="00CE4D98" w:rsidRDefault="00FA4CA4">
      <w:pPr>
        <w:pStyle w:val="Correspondencedetails"/>
        <w:spacing w:before="0" w:line="480" w:lineRule="auto"/>
      </w:pPr>
      <w:r>
        <w:t>*Corresponding author</w:t>
      </w:r>
    </w:p>
    <w:p w14:paraId="591067D6" w14:textId="77777777" w:rsidR="00CE4D98" w:rsidRDefault="00FA4CA4">
      <w:pPr>
        <w:pStyle w:val="Correspondencedetails"/>
        <w:spacing w:before="0" w:line="480" w:lineRule="auto"/>
      </w:pPr>
      <w:r>
        <w:t>UK Small Area Health Statistics Unit (SAHSU), Department of Epidemiology and Biostatistics</w:t>
      </w:r>
    </w:p>
    <w:p w14:paraId="656C5A7A" w14:textId="77777777" w:rsidR="00CE4D98" w:rsidRDefault="00FA4CA4">
      <w:pPr>
        <w:pStyle w:val="Correspondencedetails"/>
        <w:spacing w:before="0" w:line="480" w:lineRule="auto"/>
      </w:pPr>
      <w:r>
        <w:t>School of Public Health, Imperial College London</w:t>
      </w:r>
    </w:p>
    <w:p w14:paraId="08D7F415" w14:textId="77777777" w:rsidR="00CE4D98" w:rsidRDefault="00FA4CA4">
      <w:pPr>
        <w:pStyle w:val="Correspondencedetails"/>
        <w:spacing w:before="0" w:line="480" w:lineRule="auto"/>
      </w:pPr>
      <w:r>
        <w:t>St Mary’s Campus, Norfolk Place, W2 1PG</w:t>
      </w:r>
    </w:p>
    <w:p w14:paraId="5FBB8379" w14:textId="77777777" w:rsidR="00CE4D98" w:rsidRDefault="00FA4CA4">
      <w:pPr>
        <w:pStyle w:val="Correspondencedetails"/>
        <w:spacing w:before="0" w:line="480" w:lineRule="auto"/>
      </w:pPr>
      <w:r>
        <w:t xml:space="preserve">a.hansell@imperial.ac.uk </w:t>
      </w:r>
    </w:p>
    <w:p w14:paraId="37AF9B7D" w14:textId="77777777" w:rsidR="00CE4D98" w:rsidRDefault="00FA4CA4">
      <w:pPr>
        <w:pStyle w:val="Correspondencedetails"/>
        <w:spacing w:before="0" w:line="480" w:lineRule="auto"/>
      </w:pPr>
      <w:r>
        <w:t>+44 (0)20 7594 3344</w:t>
      </w:r>
    </w:p>
    <w:p w14:paraId="66ECDEC7" w14:textId="77777777" w:rsidR="00CE4D98" w:rsidRDefault="00CE4D98">
      <w:pPr>
        <w:pStyle w:val="Body"/>
      </w:pPr>
    </w:p>
    <w:p w14:paraId="282B665D" w14:textId="77777777" w:rsidR="00CE4D98" w:rsidRDefault="00FA4CA4" w:rsidP="0042487D">
      <w:pPr>
        <w:pStyle w:val="Heading"/>
        <w:spacing w:line="480" w:lineRule="auto"/>
        <w:rPr>
          <w:sz w:val="32"/>
          <w:szCs w:val="32"/>
        </w:rPr>
      </w:pPr>
      <w:r>
        <w:lastRenderedPageBreak/>
        <w:t>Abstract</w:t>
      </w:r>
    </w:p>
    <w:p w14:paraId="2402D11C" w14:textId="1B53FA7B" w:rsidR="00CE4D98" w:rsidRDefault="006F4CEC" w:rsidP="0042487D">
      <w:pPr>
        <w:pStyle w:val="Body"/>
        <w:spacing w:before="240" w:after="0" w:line="480" w:lineRule="auto"/>
        <w:rPr>
          <w:rFonts w:eastAsia="Times New Roman"/>
        </w:rPr>
      </w:pPr>
      <w:r>
        <w:rPr>
          <w:noProof/>
          <w:lang w:val="en-GB"/>
        </w:rPr>
        <w:drawing>
          <wp:anchor distT="0" distB="0" distL="114300" distR="114300" simplePos="0" relativeHeight="251658240" behindDoc="0" locked="0" layoutInCell="1" allowOverlap="1" wp14:anchorId="2F2853FF" wp14:editId="60F4E0EB">
            <wp:simplePos x="0" y="0"/>
            <wp:positionH relativeFrom="margin">
              <wp:align>right</wp:align>
            </wp:positionH>
            <wp:positionV relativeFrom="paragraph">
              <wp:posOffset>243782</wp:posOffset>
            </wp:positionV>
            <wp:extent cx="1713230" cy="1997710"/>
            <wp:effectExtent l="0" t="0" r="127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al abstrac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3230" cy="1997710"/>
                    </a:xfrm>
                    <a:prstGeom prst="rect">
                      <a:avLst/>
                    </a:prstGeom>
                  </pic:spPr>
                </pic:pic>
              </a:graphicData>
            </a:graphic>
            <wp14:sizeRelH relativeFrom="page">
              <wp14:pctWidth>0</wp14:pctWidth>
            </wp14:sizeRelH>
            <wp14:sizeRelV relativeFrom="page">
              <wp14:pctHeight>0</wp14:pctHeight>
            </wp14:sizeRelV>
          </wp:anchor>
        </w:drawing>
      </w:r>
      <w:r w:rsidR="00FA4CA4">
        <w:rPr>
          <w:rFonts w:ascii="Times New Roman" w:hAnsi="Times New Roman"/>
          <w:sz w:val="24"/>
          <w:szCs w:val="24"/>
        </w:rPr>
        <w:t>Municipal Waste Incineration (MWI) is regulated through the European Union Directive on Industrial Emissions (IED), but there is ongoing public concern regarding potential hazards to health. Using dispersion modelling, we estimated spatial variability in PM</w:t>
      </w:r>
      <w:r w:rsidR="00FA4CA4">
        <w:rPr>
          <w:rFonts w:ascii="Times New Roman" w:hAnsi="Times New Roman"/>
          <w:sz w:val="24"/>
          <w:szCs w:val="24"/>
          <w:vertAlign w:val="subscript"/>
        </w:rPr>
        <w:t>10</w:t>
      </w:r>
      <w:r w:rsidR="00FA4CA4">
        <w:rPr>
          <w:rFonts w:ascii="Times New Roman" w:hAnsi="Times New Roman"/>
          <w:sz w:val="24"/>
          <w:szCs w:val="24"/>
        </w:rPr>
        <w:t xml:space="preserve"> concentrations arising from MWIs at postcodes (average 12 households) within 10km of MWIs in Great Britain (GB) in 2003-10. We also investigated change points in PM</w:t>
      </w:r>
      <w:r w:rsidR="00FA4CA4">
        <w:rPr>
          <w:rFonts w:ascii="Times New Roman" w:hAnsi="Times New Roman"/>
          <w:sz w:val="24"/>
          <w:szCs w:val="24"/>
          <w:vertAlign w:val="subscript"/>
        </w:rPr>
        <w:t>10</w:t>
      </w:r>
      <w:r w:rsidR="00FA4CA4">
        <w:rPr>
          <w:rFonts w:ascii="Times New Roman" w:hAnsi="Times New Roman"/>
          <w:sz w:val="24"/>
          <w:szCs w:val="24"/>
        </w:rPr>
        <w:t xml:space="preserve"> emissions in relation to introduction of EU Waste Incinerator Directive (EU-WID) (subsequently transposed into IED) and correlations of PM</w:t>
      </w:r>
      <w:r w:rsidR="00FA4CA4">
        <w:rPr>
          <w:rFonts w:ascii="Times New Roman" w:hAnsi="Times New Roman"/>
          <w:sz w:val="24"/>
          <w:szCs w:val="24"/>
          <w:vertAlign w:val="subscript"/>
        </w:rPr>
        <w:t>10</w:t>
      </w:r>
      <w:r w:rsidR="00FA4CA4">
        <w:rPr>
          <w:rFonts w:ascii="Times New Roman" w:hAnsi="Times New Roman"/>
          <w:sz w:val="24"/>
          <w:szCs w:val="24"/>
        </w:rPr>
        <w:t xml:space="preserve"> with SO</w:t>
      </w:r>
      <w:r w:rsidR="00FA4CA4">
        <w:rPr>
          <w:rFonts w:ascii="Times New Roman" w:hAnsi="Times New Roman"/>
          <w:sz w:val="24"/>
          <w:szCs w:val="24"/>
          <w:vertAlign w:val="subscript"/>
        </w:rPr>
        <w:t>2</w:t>
      </w:r>
      <w:r w:rsidR="00FA4CA4">
        <w:rPr>
          <w:rFonts w:ascii="Times New Roman" w:hAnsi="Times New Roman"/>
          <w:sz w:val="24"/>
          <w:szCs w:val="24"/>
        </w:rPr>
        <w:t xml:space="preserve">, </w:t>
      </w:r>
      <w:proofErr w:type="spellStart"/>
      <w:r w:rsidR="00FA4CA4">
        <w:rPr>
          <w:rFonts w:ascii="Times New Roman" w:hAnsi="Times New Roman"/>
          <w:sz w:val="24"/>
          <w:szCs w:val="24"/>
        </w:rPr>
        <w:t>NOx</w:t>
      </w:r>
      <w:proofErr w:type="spellEnd"/>
      <w:r w:rsidR="00FA4CA4">
        <w:rPr>
          <w:rFonts w:ascii="Times New Roman" w:hAnsi="Times New Roman"/>
          <w:sz w:val="24"/>
          <w:szCs w:val="24"/>
        </w:rPr>
        <w:t xml:space="preserve">, heavy metals and polychlorinated </w:t>
      </w:r>
      <w:proofErr w:type="spellStart"/>
      <w:r w:rsidR="00FA4CA4">
        <w:rPr>
          <w:rFonts w:ascii="Times New Roman" w:hAnsi="Times New Roman"/>
          <w:sz w:val="24"/>
          <w:szCs w:val="24"/>
        </w:rPr>
        <w:t>dibenzo</w:t>
      </w:r>
      <w:proofErr w:type="spellEnd"/>
      <w:r w:rsidR="00FA4CA4">
        <w:rPr>
          <w:rFonts w:ascii="Times New Roman" w:hAnsi="Times New Roman"/>
          <w:sz w:val="24"/>
          <w:szCs w:val="24"/>
        </w:rPr>
        <w:t xml:space="preserve">-p-dioxins/furans (PCDD/Fs) emissions. </w:t>
      </w:r>
    </w:p>
    <w:p w14:paraId="1B1CD20D" w14:textId="61C9F1F4" w:rsidR="00CE4D98" w:rsidRDefault="00FA4CA4" w:rsidP="0042487D">
      <w:pPr>
        <w:pStyle w:val="Body"/>
        <w:spacing w:before="240" w:after="0" w:line="480" w:lineRule="auto"/>
        <w:rPr>
          <w:rFonts w:eastAsia="Times New Roman"/>
        </w:rPr>
      </w:pPr>
      <w:r>
        <w:rPr>
          <w:rFonts w:ascii="Times New Roman" w:hAnsi="Times New Roman"/>
          <w:sz w:val="24"/>
          <w:szCs w:val="24"/>
        </w:rPr>
        <w:t>Yearly average modelled PM</w:t>
      </w:r>
      <w:r>
        <w:rPr>
          <w:rFonts w:ascii="Times New Roman" w:hAnsi="Times New Roman"/>
          <w:sz w:val="24"/>
          <w:szCs w:val="24"/>
          <w:vertAlign w:val="subscript"/>
        </w:rPr>
        <w:t>10</w:t>
      </w:r>
      <w:r>
        <w:rPr>
          <w:rFonts w:ascii="Times New Roman" w:hAnsi="Times New Roman"/>
          <w:sz w:val="24"/>
          <w:szCs w:val="24"/>
        </w:rPr>
        <w:t xml:space="preserve"> concentrations were 1.00 10</w:t>
      </w:r>
      <w:r>
        <w:rPr>
          <w:rFonts w:ascii="Times New Roman" w:hAnsi="Times New Roman"/>
          <w:sz w:val="24"/>
          <w:szCs w:val="24"/>
          <w:vertAlign w:val="superscript"/>
        </w:rPr>
        <w:t>-5</w:t>
      </w:r>
      <w:r>
        <w:rPr>
          <w:rFonts w:ascii="Times New Roman" w:hAnsi="Times New Roman"/>
          <w:sz w:val="24"/>
          <w:szCs w:val="24"/>
        </w:rPr>
        <w:t xml:space="preserve"> to 5.53 10</w:t>
      </w:r>
      <w:r w:rsidRPr="0042487D">
        <w:rPr>
          <w:rFonts w:ascii="Times New Roman" w:hAnsi="Times New Roman"/>
          <w:sz w:val="24"/>
          <w:vertAlign w:val="superscript"/>
          <w:lang w:val="it-IT"/>
        </w:rPr>
        <w:t xml:space="preserve">-2 </w:t>
      </w:r>
      <w:r>
        <w:rPr>
          <w:rFonts w:ascii="Times New Roman" w:hAnsi="Times New Roman"/>
          <w:sz w:val="24"/>
          <w:szCs w:val="24"/>
        </w:rPr>
        <w:t>µ</w:t>
      </w:r>
      <w:r w:rsidRPr="0042487D">
        <w:rPr>
          <w:rFonts w:ascii="Times New Roman" w:hAnsi="Times New Roman"/>
          <w:sz w:val="24"/>
          <w:lang w:val="nl-NL"/>
        </w:rPr>
        <w:t>g m</w:t>
      </w:r>
      <w:r>
        <w:rPr>
          <w:rFonts w:ascii="Times New Roman" w:hAnsi="Times New Roman"/>
          <w:sz w:val="24"/>
          <w:szCs w:val="24"/>
          <w:vertAlign w:val="superscript"/>
        </w:rPr>
        <w:t>-3</w:t>
      </w:r>
      <w:r>
        <w:rPr>
          <w:rFonts w:ascii="Times New Roman" w:hAnsi="Times New Roman"/>
          <w:sz w:val="24"/>
          <w:szCs w:val="24"/>
        </w:rPr>
        <w:t xml:space="preserve">; a small </w:t>
      </w:r>
      <w:r w:rsidRPr="002E792A">
        <w:rPr>
          <w:rFonts w:ascii="Times New Roman" w:hAnsi="Times New Roman"/>
          <w:sz w:val="24"/>
          <w:szCs w:val="24"/>
        </w:rPr>
        <w:t>contribution to ambient background levels which were typically 6.59 – 2.68 10</w:t>
      </w:r>
      <w:r w:rsidRPr="002E792A">
        <w:rPr>
          <w:rFonts w:ascii="Times New Roman" w:hAnsi="Times New Roman"/>
          <w:sz w:val="24"/>
          <w:szCs w:val="24"/>
          <w:vertAlign w:val="superscript"/>
        </w:rPr>
        <w:t>1</w:t>
      </w:r>
      <w:r w:rsidRPr="002E792A">
        <w:rPr>
          <w:rFonts w:ascii="Times New Roman" w:hAnsi="Times New Roman"/>
          <w:sz w:val="24"/>
          <w:szCs w:val="24"/>
        </w:rPr>
        <w:t xml:space="preserve"> µ</w:t>
      </w:r>
      <w:r w:rsidRPr="002E792A">
        <w:rPr>
          <w:rFonts w:ascii="Times New Roman" w:hAnsi="Times New Roman"/>
          <w:sz w:val="24"/>
          <w:szCs w:val="24"/>
          <w:lang w:val="nl-NL"/>
        </w:rPr>
        <w:t>g m</w:t>
      </w:r>
      <w:r w:rsidRPr="002E792A">
        <w:rPr>
          <w:rFonts w:ascii="Times New Roman" w:hAnsi="Times New Roman"/>
          <w:sz w:val="24"/>
          <w:szCs w:val="24"/>
          <w:vertAlign w:val="superscript"/>
        </w:rPr>
        <w:t>-3</w:t>
      </w:r>
      <w:r w:rsidRPr="002E792A">
        <w:rPr>
          <w:rFonts w:ascii="Times New Roman" w:hAnsi="Times New Roman"/>
          <w:sz w:val="24"/>
          <w:szCs w:val="24"/>
        </w:rPr>
        <w:t>, 3-5 orders of magnitude higher. While low, concentration surfaces are likely to represent a spatial proxy of other relevant pollutants.</w:t>
      </w:r>
      <w:r w:rsidR="002E792A">
        <w:rPr>
          <w:rFonts w:ascii="Times New Roman" w:hAnsi="Times New Roman"/>
          <w:sz w:val="24"/>
          <w:szCs w:val="24"/>
        </w:rPr>
        <w:t xml:space="preserve"> There were statistically significant correlations between PM</w:t>
      </w:r>
      <w:r w:rsidR="002E792A">
        <w:rPr>
          <w:rFonts w:ascii="Times New Roman" w:hAnsi="Times New Roman"/>
          <w:sz w:val="24"/>
          <w:szCs w:val="24"/>
          <w:vertAlign w:val="subscript"/>
        </w:rPr>
        <w:t>10</w:t>
      </w:r>
      <w:r w:rsidR="002E792A">
        <w:rPr>
          <w:rFonts w:ascii="Times New Roman" w:hAnsi="Times New Roman"/>
          <w:sz w:val="24"/>
          <w:szCs w:val="24"/>
        </w:rPr>
        <w:t xml:space="preserve"> and heavy metal compounds (other heavy metals (r=0.43, p=&lt;0.001)), polycyclic aromatic hydrocarbons (PAHs) (r=0.20, p=0.050) and polychlorinated biphenyls (PCBs) (r=0.19, p-0.022). </w:t>
      </w:r>
      <w:r w:rsidRPr="002E792A">
        <w:rPr>
          <w:rFonts w:ascii="Times New Roman" w:hAnsi="Times New Roman"/>
          <w:sz w:val="24"/>
          <w:szCs w:val="24"/>
        </w:rPr>
        <w:t>No clear</w:t>
      </w:r>
      <w:r>
        <w:rPr>
          <w:rFonts w:ascii="Times New Roman" w:hAnsi="Times New Roman"/>
          <w:sz w:val="24"/>
          <w:szCs w:val="24"/>
        </w:rPr>
        <w:t xml:space="preserve"> change points were detected following EU-WID implementation, </w:t>
      </w:r>
      <w:r w:rsidR="002C3F88">
        <w:rPr>
          <w:rFonts w:ascii="Times New Roman" w:hAnsi="Times New Roman"/>
          <w:sz w:val="24"/>
          <w:szCs w:val="24"/>
        </w:rPr>
        <w:t xml:space="preserve">possibly </w:t>
      </w:r>
      <w:r>
        <w:rPr>
          <w:rFonts w:ascii="Times New Roman" w:hAnsi="Times New Roman"/>
          <w:sz w:val="24"/>
          <w:szCs w:val="24"/>
        </w:rPr>
        <w:t>as incinerators were operating to EU-WID standards before the implementation date. Results will be used in an epidemiological analysis examining potential associations between MWIs and health outcomes.</w:t>
      </w:r>
    </w:p>
    <w:p w14:paraId="3BB2FD03" w14:textId="77777777" w:rsidR="00CE4D98" w:rsidRDefault="00FA4CA4" w:rsidP="0042487D">
      <w:pPr>
        <w:pStyle w:val="Heading"/>
        <w:spacing w:line="480" w:lineRule="auto"/>
      </w:pPr>
      <w:r w:rsidRPr="0042487D">
        <w:rPr>
          <w:lang w:val="en-US"/>
        </w:rPr>
        <w:lastRenderedPageBreak/>
        <w:t>Keywords</w:t>
      </w:r>
    </w:p>
    <w:p w14:paraId="5CA13015" w14:textId="77777777" w:rsidR="00CE4D98" w:rsidRDefault="00FA4CA4" w:rsidP="0042487D">
      <w:pPr>
        <w:pStyle w:val="Body"/>
        <w:spacing w:after="0" w:line="480" w:lineRule="auto"/>
        <w:rPr>
          <w:rFonts w:eastAsia="Times New Roman"/>
        </w:rPr>
      </w:pPr>
      <w:r>
        <w:rPr>
          <w:rFonts w:ascii="Times New Roman" w:hAnsi="Times New Roman"/>
          <w:sz w:val="24"/>
          <w:szCs w:val="24"/>
        </w:rPr>
        <w:t>Municipal Waste Incineration, exposure assessment, particulate matter, air quality, dispersion modelling</w:t>
      </w:r>
    </w:p>
    <w:p w14:paraId="2EBE8739" w14:textId="77777777" w:rsidR="00CE4D98" w:rsidRDefault="00FA4CA4" w:rsidP="0042487D">
      <w:pPr>
        <w:pStyle w:val="Heading"/>
        <w:spacing w:before="0" w:line="480" w:lineRule="auto"/>
      </w:pPr>
      <w:r w:rsidRPr="0042487D">
        <w:rPr>
          <w:lang w:val="fr-FR"/>
        </w:rPr>
        <w:t>Introduction</w:t>
      </w:r>
    </w:p>
    <w:p w14:paraId="5E565745" w14:textId="5A9A9489" w:rsidR="00CE4D98" w:rsidRDefault="00FA4CA4" w:rsidP="0042487D">
      <w:pPr>
        <w:pStyle w:val="Body"/>
        <w:spacing w:after="0" w:line="480" w:lineRule="auto"/>
        <w:rPr>
          <w:rFonts w:eastAsia="Times New Roman"/>
        </w:rPr>
      </w:pPr>
      <w:r>
        <w:rPr>
          <w:rFonts w:ascii="Times New Roman" w:hAnsi="Times New Roman"/>
          <w:sz w:val="24"/>
          <w:szCs w:val="24"/>
        </w:rPr>
        <w:t>Incineration of domestic and commercial waste is increasing in Europe in response to European Union (EU) legislation to divert waste from landfill. Waste incinerator feedstock includes paper, food, plastics, glass, electrical appliances and other non-hazardous materials and may vary day to day and from incinerator to incinerator</w:t>
      </w:r>
      <w:r>
        <w:rPr>
          <w:vertAlign w:val="superscript"/>
        </w:rPr>
        <w:t>1</w:t>
      </w:r>
      <w:r>
        <w:rPr>
          <w:rFonts w:ascii="Times New Roman" w:hAnsi="Times New Roman"/>
          <w:sz w:val="24"/>
          <w:szCs w:val="24"/>
        </w:rPr>
        <w:t>. Composition of combustion emissions depends on feedstock mix but potentially comprises particulate matter</w:t>
      </w:r>
      <w:r>
        <w:rPr>
          <w:rFonts w:ascii="Times New Roman" w:hAnsi="Times New Roman"/>
          <w:sz w:val="24"/>
          <w:szCs w:val="24"/>
          <w:vertAlign w:val="subscript"/>
        </w:rPr>
        <w:t xml:space="preserve">, </w:t>
      </w:r>
      <w:r w:rsidRPr="0042487D">
        <w:rPr>
          <w:rFonts w:ascii="Times New Roman" w:hAnsi="Times New Roman"/>
          <w:sz w:val="24"/>
          <w:lang w:val="sv-SE"/>
        </w:rPr>
        <w:t>sulphur dioxide (SO</w:t>
      </w:r>
      <w:r>
        <w:rPr>
          <w:rFonts w:ascii="Times New Roman" w:hAnsi="Times New Roman"/>
          <w:sz w:val="24"/>
          <w:szCs w:val="24"/>
          <w:vertAlign w:val="subscript"/>
        </w:rPr>
        <w:t>2</w:t>
      </w:r>
      <w:r>
        <w:rPr>
          <w:rFonts w:ascii="Times New Roman" w:hAnsi="Times New Roman"/>
          <w:sz w:val="24"/>
          <w:szCs w:val="24"/>
        </w:rPr>
        <w:t>), nitrogen oxides (</w:t>
      </w:r>
      <w:proofErr w:type="spellStart"/>
      <w:r>
        <w:rPr>
          <w:rFonts w:ascii="Times New Roman" w:hAnsi="Times New Roman"/>
          <w:sz w:val="24"/>
          <w:szCs w:val="24"/>
        </w:rPr>
        <w:t>NOx</w:t>
      </w:r>
      <w:proofErr w:type="spellEnd"/>
      <w:r>
        <w:rPr>
          <w:rFonts w:ascii="Times New Roman" w:hAnsi="Times New Roman"/>
          <w:sz w:val="24"/>
          <w:szCs w:val="24"/>
        </w:rPr>
        <w:t>), hydrogen chloride (</w:t>
      </w:r>
      <w:proofErr w:type="spellStart"/>
      <w:r>
        <w:rPr>
          <w:rFonts w:ascii="Times New Roman" w:hAnsi="Times New Roman"/>
          <w:sz w:val="24"/>
          <w:szCs w:val="24"/>
        </w:rPr>
        <w:t>HCl</w:t>
      </w:r>
      <w:proofErr w:type="spellEnd"/>
      <w:r>
        <w:rPr>
          <w:rFonts w:ascii="Times New Roman" w:hAnsi="Times New Roman"/>
          <w:sz w:val="24"/>
          <w:szCs w:val="24"/>
        </w:rPr>
        <w:t xml:space="preserve">), carbon monoxide (CO), Volatile Organic Compounds (VOCS), Persistent Organic Pollutants (POPs) such as polychlorinated </w:t>
      </w:r>
      <w:proofErr w:type="spellStart"/>
      <w:r>
        <w:rPr>
          <w:rFonts w:ascii="Times New Roman" w:hAnsi="Times New Roman"/>
          <w:sz w:val="24"/>
          <w:szCs w:val="24"/>
        </w:rPr>
        <w:t>dibenzo</w:t>
      </w:r>
      <w:proofErr w:type="spellEnd"/>
      <w:r>
        <w:rPr>
          <w:rFonts w:ascii="Times New Roman" w:hAnsi="Times New Roman"/>
          <w:sz w:val="24"/>
          <w:szCs w:val="24"/>
        </w:rPr>
        <w:t>-p-dioxins/furans (PCDD/Fs), polychlorinated biphenyls (PCBs), polycyclic aromatic hydrocarbons (PAHs); and heavy metals.</w:t>
      </w:r>
      <w:r>
        <w:rPr>
          <w:rFonts w:ascii="Times New Roman" w:hAnsi="Times New Roman"/>
          <w:sz w:val="24"/>
          <w:szCs w:val="24"/>
          <w:vertAlign w:val="superscript"/>
        </w:rPr>
        <w:t>1</w:t>
      </w:r>
      <w:proofErr w:type="gramStart"/>
      <w:r>
        <w:rPr>
          <w:rFonts w:ascii="Times New Roman" w:hAnsi="Times New Roman"/>
          <w:sz w:val="24"/>
          <w:szCs w:val="24"/>
          <w:vertAlign w:val="superscript"/>
        </w:rPr>
        <w:t>,2</w:t>
      </w:r>
      <w:proofErr w:type="gramEnd"/>
      <w:r>
        <w:rPr>
          <w:rFonts w:ascii="Times New Roman" w:hAnsi="Times New Roman"/>
          <w:sz w:val="24"/>
          <w:szCs w:val="24"/>
        </w:rPr>
        <w:t xml:space="preserve"> Limits for incinerator emissions are set by the EU. The Waste Incineration Directive (EU-WID) (2000/76/EC) was implemented in Great Britain (GB) on 28 December 2002 for new municipal waste incinerators (MWIs) and on 28 December 2005 for existing facilities. In 2010 the EU-WID was transposed into the Industrial Emissions Directive (IED) (2010/75/EU) which combined several directives; this was implemented in GB in 2013 for new MWIs and 2014 for existing facilities.</w:t>
      </w:r>
      <w:r>
        <w:rPr>
          <w:rFonts w:ascii="Times New Roman" w:hAnsi="Times New Roman"/>
          <w:sz w:val="24"/>
          <w:szCs w:val="24"/>
          <w:vertAlign w:val="superscript"/>
        </w:rPr>
        <w:t>3</w:t>
      </w:r>
      <w:proofErr w:type="gramStart"/>
      <w:r>
        <w:rPr>
          <w:rFonts w:ascii="Times New Roman" w:hAnsi="Times New Roman"/>
          <w:sz w:val="24"/>
          <w:szCs w:val="24"/>
          <w:vertAlign w:val="superscript"/>
        </w:rPr>
        <w:t>,4</w:t>
      </w:r>
      <w:proofErr w:type="gramEnd"/>
      <w:r>
        <w:rPr>
          <w:rFonts w:ascii="Times New Roman" w:hAnsi="Times New Roman"/>
          <w:sz w:val="24"/>
          <w:szCs w:val="24"/>
        </w:rPr>
        <w:t xml:space="preserve"> </w:t>
      </w:r>
    </w:p>
    <w:p w14:paraId="315EC96F" w14:textId="77777777" w:rsidR="00CE4D98" w:rsidRDefault="00CE4D98" w:rsidP="0042487D">
      <w:pPr>
        <w:pStyle w:val="Body"/>
        <w:spacing w:after="0" w:line="480" w:lineRule="auto"/>
        <w:rPr>
          <w:rFonts w:eastAsia="Times New Roman"/>
        </w:rPr>
      </w:pPr>
    </w:p>
    <w:p w14:paraId="1C627939" w14:textId="6D865D4B" w:rsidR="00CE4D98" w:rsidRDefault="002C3F88" w:rsidP="0042487D">
      <w:pPr>
        <w:pStyle w:val="Body"/>
        <w:spacing w:after="0" w:line="480" w:lineRule="auto"/>
        <w:rPr>
          <w:rFonts w:eastAsia="Times New Roman"/>
        </w:rPr>
      </w:pPr>
      <w:r>
        <w:rPr>
          <w:rFonts w:ascii="Times New Roman" w:hAnsi="Times New Roman"/>
          <w:sz w:val="24"/>
          <w:szCs w:val="24"/>
        </w:rPr>
        <w:t>While t</w:t>
      </w:r>
      <w:r w:rsidR="00FA4CA4">
        <w:rPr>
          <w:rFonts w:ascii="Times New Roman" w:hAnsi="Times New Roman"/>
          <w:sz w:val="24"/>
          <w:szCs w:val="24"/>
        </w:rPr>
        <w:t>here is public concern regarding potential adverse health effects from MWI emissions, findings from epidemiological studies are inconsistent and inconclusive.</w:t>
      </w:r>
      <w:r w:rsidR="00FA4CA4">
        <w:rPr>
          <w:rFonts w:ascii="Times New Roman" w:hAnsi="Times New Roman"/>
          <w:sz w:val="24"/>
          <w:szCs w:val="24"/>
          <w:vertAlign w:val="superscript"/>
        </w:rPr>
        <w:t>5</w:t>
      </w:r>
      <w:r w:rsidR="00FA4CA4">
        <w:rPr>
          <w:rFonts w:ascii="Times New Roman" w:hAnsi="Times New Roman"/>
          <w:sz w:val="24"/>
          <w:szCs w:val="24"/>
        </w:rPr>
        <w:t xml:space="preserve"> Most studies have focused on adult cancers, </w:t>
      </w:r>
      <w:r w:rsidR="00FA4CA4">
        <w:rPr>
          <w:rFonts w:ascii="Times New Roman" w:hAnsi="Times New Roman"/>
          <w:sz w:val="24"/>
          <w:szCs w:val="24"/>
          <w:vertAlign w:val="superscript"/>
        </w:rPr>
        <w:t>6–9</w:t>
      </w:r>
      <w:r w:rsidR="00FA4CA4">
        <w:rPr>
          <w:rFonts w:ascii="Times New Roman" w:hAnsi="Times New Roman"/>
          <w:sz w:val="24"/>
          <w:szCs w:val="24"/>
        </w:rPr>
        <w:t xml:space="preserve"> and to a lesser extent reproductive and child health outcomes.</w:t>
      </w:r>
      <w:r w:rsidR="00FA4CA4">
        <w:rPr>
          <w:rFonts w:ascii="Times New Roman" w:hAnsi="Times New Roman"/>
          <w:sz w:val="24"/>
          <w:szCs w:val="24"/>
          <w:vertAlign w:val="superscript"/>
        </w:rPr>
        <w:t>10–15</w:t>
      </w:r>
      <w:r w:rsidR="00FA4CA4">
        <w:rPr>
          <w:rFonts w:ascii="Times New Roman" w:hAnsi="Times New Roman"/>
          <w:sz w:val="24"/>
          <w:szCs w:val="24"/>
        </w:rPr>
        <w:t xml:space="preserve"> Exposure assessment has often used simple proxies, adopting proximity to incinerator as the exposure measure.</w:t>
      </w:r>
      <w:r w:rsidR="00FA4CA4">
        <w:rPr>
          <w:rFonts w:ascii="Times New Roman" w:hAnsi="Times New Roman"/>
          <w:sz w:val="24"/>
          <w:szCs w:val="24"/>
          <w:vertAlign w:val="superscript"/>
        </w:rPr>
        <w:t>16–19</w:t>
      </w:r>
      <w:r w:rsidR="00FA4CA4">
        <w:rPr>
          <w:rFonts w:ascii="Times New Roman" w:hAnsi="Times New Roman"/>
          <w:sz w:val="24"/>
          <w:szCs w:val="24"/>
        </w:rPr>
        <w:t xml:space="preserve"> There have been three recent studies of incinerators conducted </w:t>
      </w:r>
      <w:r w:rsidR="00FA4CA4" w:rsidRPr="0042487D">
        <w:rPr>
          <w:rFonts w:ascii="Times New Roman" w:hAnsi="Times New Roman"/>
          <w:sz w:val="24"/>
          <w:lang w:val="it-IT"/>
        </w:rPr>
        <w:t xml:space="preserve">in </w:t>
      </w:r>
      <w:r w:rsidR="00FA4CA4" w:rsidRPr="0042487D">
        <w:rPr>
          <w:rFonts w:ascii="Times New Roman" w:hAnsi="Times New Roman"/>
          <w:sz w:val="24"/>
          <w:lang w:val="it-IT"/>
        </w:rPr>
        <w:lastRenderedPageBreak/>
        <w:t>Italy</w:t>
      </w:r>
      <w:r w:rsidR="00FA4CA4">
        <w:rPr>
          <w:rFonts w:ascii="Times New Roman" w:hAnsi="Times New Roman"/>
          <w:sz w:val="24"/>
          <w:szCs w:val="24"/>
        </w:rPr>
        <w:t>. One used a modified risk-assessment model to estimate lung cancer risk .</w:t>
      </w:r>
      <w:r w:rsidR="00FA4CA4">
        <w:rPr>
          <w:rFonts w:ascii="Times New Roman" w:hAnsi="Times New Roman"/>
          <w:sz w:val="24"/>
          <w:szCs w:val="24"/>
          <w:vertAlign w:val="superscript"/>
        </w:rPr>
        <w:t>35</w:t>
      </w:r>
      <w:r w:rsidR="00FA4CA4">
        <w:rPr>
          <w:rFonts w:ascii="Times New Roman" w:hAnsi="Times New Roman"/>
          <w:sz w:val="24"/>
          <w:szCs w:val="24"/>
        </w:rPr>
        <w:t xml:space="preserve"> The remaining two used</w:t>
      </w:r>
      <w:r w:rsidR="00FA4CA4" w:rsidRPr="0042487D">
        <w:rPr>
          <w:rFonts w:ascii="Times New Roman" w:hAnsi="Times New Roman"/>
          <w:sz w:val="24"/>
          <w:lang w:val="it-IT"/>
        </w:rPr>
        <w:t xml:space="preserve"> a dispersion model to assess exposure to particulate matter with a diameter &lt;10 </w:t>
      </w:r>
      <w:r w:rsidR="00FA4CA4">
        <w:rPr>
          <w:rFonts w:ascii="Times New Roman" w:hAnsi="Times New Roman"/>
          <w:sz w:val="24"/>
          <w:szCs w:val="24"/>
        </w:rPr>
        <w:t>µm (PM</w:t>
      </w:r>
      <w:r w:rsidR="00FA4CA4">
        <w:rPr>
          <w:rFonts w:ascii="Times New Roman" w:hAnsi="Times New Roman"/>
          <w:sz w:val="24"/>
          <w:szCs w:val="24"/>
          <w:vertAlign w:val="subscript"/>
        </w:rPr>
        <w:t>10</w:t>
      </w:r>
      <w:r w:rsidR="00FA4CA4">
        <w:rPr>
          <w:rFonts w:ascii="Times New Roman" w:hAnsi="Times New Roman"/>
          <w:sz w:val="24"/>
          <w:szCs w:val="24"/>
        </w:rPr>
        <w:t>) and found a higher risk of miscarriage</w:t>
      </w:r>
      <w:r w:rsidR="00FA4CA4">
        <w:rPr>
          <w:rFonts w:ascii="Times New Roman" w:hAnsi="Times New Roman"/>
          <w:sz w:val="24"/>
          <w:szCs w:val="24"/>
          <w:vertAlign w:val="superscript"/>
        </w:rPr>
        <w:t>14</w:t>
      </w:r>
      <w:r w:rsidR="00FA4CA4">
        <w:rPr>
          <w:rFonts w:ascii="Times New Roman" w:hAnsi="Times New Roman"/>
          <w:sz w:val="24"/>
          <w:szCs w:val="24"/>
        </w:rPr>
        <w:t xml:space="preserve"> and pre-term delivery</w:t>
      </w:r>
      <w:r w:rsidR="00FA4CA4">
        <w:rPr>
          <w:rFonts w:ascii="Times New Roman" w:hAnsi="Times New Roman"/>
          <w:sz w:val="24"/>
          <w:szCs w:val="24"/>
          <w:vertAlign w:val="superscript"/>
        </w:rPr>
        <w:t>15</w:t>
      </w:r>
      <w:r w:rsidR="00FA4CA4">
        <w:rPr>
          <w:rFonts w:ascii="Times New Roman" w:hAnsi="Times New Roman"/>
          <w:sz w:val="24"/>
          <w:szCs w:val="24"/>
        </w:rPr>
        <w:t xml:space="preserve"> with increasing PM</w:t>
      </w:r>
      <w:r w:rsidR="00FA4CA4">
        <w:rPr>
          <w:rFonts w:ascii="Times New Roman" w:hAnsi="Times New Roman"/>
          <w:sz w:val="24"/>
          <w:szCs w:val="24"/>
          <w:vertAlign w:val="subscript"/>
        </w:rPr>
        <w:t>10</w:t>
      </w:r>
      <w:r w:rsidR="00FA4CA4">
        <w:rPr>
          <w:rFonts w:ascii="Times New Roman" w:hAnsi="Times New Roman"/>
          <w:sz w:val="24"/>
          <w:szCs w:val="24"/>
        </w:rPr>
        <w:t xml:space="preserve"> exposure (but no associations with sex ratio, multiple births, or frequency of small for gestational age</w:t>
      </w:r>
      <w:r w:rsidR="00FA4CA4">
        <w:rPr>
          <w:rFonts w:ascii="Times New Roman" w:hAnsi="Times New Roman"/>
          <w:sz w:val="24"/>
          <w:szCs w:val="24"/>
          <w:vertAlign w:val="superscript"/>
        </w:rPr>
        <w:t>15</w:t>
      </w:r>
      <w:r w:rsidR="00FA4CA4">
        <w:rPr>
          <w:rFonts w:ascii="Times New Roman" w:hAnsi="Times New Roman"/>
          <w:sz w:val="24"/>
          <w:szCs w:val="24"/>
        </w:rPr>
        <w:t>), where estimated PM</w:t>
      </w:r>
      <w:r w:rsidR="00FA4CA4">
        <w:rPr>
          <w:rFonts w:ascii="Times New Roman" w:hAnsi="Times New Roman"/>
          <w:sz w:val="24"/>
          <w:szCs w:val="24"/>
          <w:vertAlign w:val="subscript"/>
        </w:rPr>
        <w:t>10</w:t>
      </w:r>
      <w:r w:rsidR="00FA4CA4">
        <w:rPr>
          <w:rFonts w:ascii="Times New Roman" w:hAnsi="Times New Roman"/>
          <w:sz w:val="24"/>
          <w:szCs w:val="24"/>
        </w:rPr>
        <w:t xml:space="preserve"> levels from incinerators were consistent with those estimated near two British incinerators.</w:t>
      </w:r>
      <w:r w:rsidR="00FA4CA4">
        <w:rPr>
          <w:rFonts w:ascii="Times New Roman" w:hAnsi="Times New Roman"/>
          <w:sz w:val="24"/>
          <w:szCs w:val="24"/>
          <w:vertAlign w:val="superscript"/>
        </w:rPr>
        <w:t>20</w:t>
      </w:r>
      <w:r w:rsidR="00FA4CA4">
        <w:rPr>
          <w:rFonts w:ascii="Times New Roman" w:hAnsi="Times New Roman"/>
          <w:sz w:val="24"/>
          <w:szCs w:val="24"/>
        </w:rPr>
        <w:t xml:space="preserve"> </w:t>
      </w:r>
    </w:p>
    <w:p w14:paraId="08D147A4" w14:textId="77777777" w:rsidR="00CE4D98" w:rsidRDefault="00CE4D98" w:rsidP="0042487D">
      <w:pPr>
        <w:pStyle w:val="Body"/>
        <w:spacing w:after="0" w:line="480" w:lineRule="auto"/>
        <w:rPr>
          <w:rFonts w:eastAsia="Times New Roman"/>
        </w:rPr>
      </w:pPr>
    </w:p>
    <w:p w14:paraId="5FB62070" w14:textId="1B960FFB" w:rsidR="00CE4D98" w:rsidRDefault="00FA4CA4" w:rsidP="0042487D">
      <w:pPr>
        <w:pStyle w:val="Body"/>
        <w:spacing w:after="0" w:line="480" w:lineRule="auto"/>
        <w:rPr>
          <w:rFonts w:eastAsia="Times New Roman"/>
        </w:rPr>
      </w:pPr>
      <w:r>
        <w:rPr>
          <w:rFonts w:ascii="Times New Roman" w:hAnsi="Times New Roman"/>
          <w:sz w:val="24"/>
          <w:szCs w:val="24"/>
        </w:rPr>
        <w:t xml:space="preserve">Particulate matter/total dust emissions are monitored continuously and reported as daily means as part of the EU-WID regulations, </w:t>
      </w:r>
      <w:r w:rsidR="002C3F88">
        <w:rPr>
          <w:rFonts w:ascii="Times New Roman" w:hAnsi="Times New Roman"/>
          <w:sz w:val="24"/>
          <w:szCs w:val="24"/>
        </w:rPr>
        <w:t xml:space="preserve">so that </w:t>
      </w:r>
      <w:r>
        <w:rPr>
          <w:rFonts w:ascii="Times New Roman" w:hAnsi="Times New Roman"/>
          <w:sz w:val="24"/>
          <w:szCs w:val="24"/>
        </w:rPr>
        <w:t xml:space="preserve">dispersion of these emissions can be modelled in areas near incinerators </w:t>
      </w:r>
      <w:r w:rsidR="002C3F88">
        <w:rPr>
          <w:rFonts w:ascii="Times New Roman" w:hAnsi="Times New Roman"/>
          <w:sz w:val="24"/>
          <w:szCs w:val="24"/>
        </w:rPr>
        <w:t xml:space="preserve">on a </w:t>
      </w:r>
      <w:r>
        <w:rPr>
          <w:rFonts w:ascii="Times New Roman" w:hAnsi="Times New Roman"/>
          <w:sz w:val="24"/>
          <w:szCs w:val="24"/>
        </w:rPr>
        <w:t>daily basis (whereas heavy metals, PCDD/Fs, PAHs, PCBs are measured periodically</w:t>
      </w:r>
      <w:r>
        <w:rPr>
          <w:rFonts w:ascii="Times New Roman" w:hAnsi="Times New Roman"/>
          <w:sz w:val="24"/>
          <w:szCs w:val="24"/>
          <w:vertAlign w:val="superscript"/>
        </w:rPr>
        <w:t>3</w:t>
      </w:r>
      <w:r>
        <w:rPr>
          <w:rFonts w:ascii="Times New Roman" w:hAnsi="Times New Roman"/>
          <w:sz w:val="24"/>
          <w:szCs w:val="24"/>
        </w:rPr>
        <w:t xml:space="preserve"> to check compliance). We previously reported</w:t>
      </w:r>
      <w:r>
        <w:rPr>
          <w:rFonts w:ascii="Times New Roman" w:hAnsi="Times New Roman"/>
          <w:sz w:val="24"/>
          <w:szCs w:val="24"/>
          <w:vertAlign w:val="superscript"/>
        </w:rPr>
        <w:t>20</w:t>
      </w:r>
      <w:r>
        <w:rPr>
          <w:rFonts w:ascii="Times New Roman" w:hAnsi="Times New Roman"/>
          <w:sz w:val="24"/>
          <w:szCs w:val="24"/>
        </w:rPr>
        <w:t xml:space="preserve"> methods for dispersion modelling around two MWIs. In the present study, our main aim was to model the spatial distribution of PM</w:t>
      </w:r>
      <w:r>
        <w:rPr>
          <w:rFonts w:ascii="Times New Roman" w:hAnsi="Times New Roman"/>
          <w:sz w:val="24"/>
          <w:szCs w:val="24"/>
          <w:vertAlign w:val="subscript"/>
        </w:rPr>
        <w:t>10</w:t>
      </w:r>
      <w:r>
        <w:rPr>
          <w:rFonts w:ascii="Times New Roman" w:hAnsi="Times New Roman"/>
          <w:sz w:val="24"/>
          <w:szCs w:val="24"/>
        </w:rPr>
        <w:t xml:space="preserve"> concentrations within 10 km of GB MWIs in operation 2003-10 for the resident population. We were also able to look at whether there were:</w:t>
      </w:r>
    </w:p>
    <w:p w14:paraId="69075BED" w14:textId="77777777" w:rsidR="00CE4D98" w:rsidRDefault="00CE4D98" w:rsidP="0042487D">
      <w:pPr>
        <w:pStyle w:val="Body"/>
        <w:spacing w:after="0" w:line="480" w:lineRule="auto"/>
        <w:rPr>
          <w:rFonts w:eastAsia="Times New Roman"/>
        </w:rPr>
      </w:pPr>
    </w:p>
    <w:p w14:paraId="5A5E7ADF" w14:textId="776B7DEE" w:rsidR="00CE4D98" w:rsidRDefault="00FA4CA4" w:rsidP="0042487D">
      <w:pPr>
        <w:pStyle w:val="ListParagraph"/>
        <w:numPr>
          <w:ilvl w:val="0"/>
          <w:numId w:val="4"/>
        </w:numPr>
        <w:spacing w:after="0" w:line="480" w:lineRule="auto"/>
        <w:rPr>
          <w:rFonts w:ascii="Times New Roman" w:eastAsia="Times New Roman" w:hAnsi="Times New Roman" w:cs="Times New Roman"/>
          <w:sz w:val="24"/>
          <w:szCs w:val="24"/>
        </w:rPr>
      </w:pPr>
      <w:r>
        <w:rPr>
          <w:rFonts w:ascii="Times New Roman" w:hAnsi="Times New Roman"/>
          <w:sz w:val="24"/>
          <w:szCs w:val="24"/>
        </w:rPr>
        <w:t>Emissions above the EU-WID daily average particulate</w:t>
      </w:r>
      <w:r w:rsidR="00420FA3">
        <w:rPr>
          <w:rFonts w:ascii="Times New Roman" w:hAnsi="Times New Roman"/>
          <w:sz w:val="24"/>
          <w:szCs w:val="24"/>
        </w:rPr>
        <w:t xml:space="preserve"> (total dust)</w:t>
      </w:r>
      <w:r>
        <w:rPr>
          <w:rFonts w:ascii="Times New Roman" w:hAnsi="Times New Roman"/>
          <w:sz w:val="24"/>
          <w:szCs w:val="24"/>
        </w:rPr>
        <w:t xml:space="preserve"> limit value of 10 mg m</w:t>
      </w:r>
      <w:r>
        <w:rPr>
          <w:rFonts w:ascii="Times New Roman" w:hAnsi="Times New Roman"/>
          <w:sz w:val="24"/>
          <w:szCs w:val="24"/>
          <w:vertAlign w:val="superscript"/>
        </w:rPr>
        <w:t xml:space="preserve">-3 </w:t>
      </w:r>
      <w:r>
        <w:rPr>
          <w:rFonts w:ascii="Times New Roman" w:hAnsi="Times New Roman"/>
          <w:sz w:val="24"/>
          <w:szCs w:val="24"/>
        </w:rPr>
        <w:t>per flue.</w:t>
      </w:r>
      <w:r w:rsidR="00420FA3">
        <w:rPr>
          <w:rFonts w:ascii="Times New Roman" w:hAnsi="Times New Roman"/>
          <w:sz w:val="24"/>
          <w:szCs w:val="24"/>
          <w:vertAlign w:val="superscript"/>
        </w:rPr>
        <w:t>4</w:t>
      </w:r>
    </w:p>
    <w:p w14:paraId="759CACCD" w14:textId="66EFBE30" w:rsidR="00CE4D98" w:rsidRDefault="00FA4CA4" w:rsidP="0042487D">
      <w:pPr>
        <w:pStyle w:val="ListParagraph"/>
        <w:numPr>
          <w:ilvl w:val="0"/>
          <w:numId w:val="4"/>
        </w:numPr>
        <w:spacing w:after="0" w:line="480" w:lineRule="auto"/>
        <w:rPr>
          <w:rFonts w:ascii="Times New Roman" w:eastAsia="Times New Roman" w:hAnsi="Times New Roman" w:cs="Times New Roman"/>
          <w:sz w:val="24"/>
          <w:szCs w:val="24"/>
        </w:rPr>
      </w:pPr>
      <w:r>
        <w:rPr>
          <w:rFonts w:ascii="Times New Roman" w:hAnsi="Times New Roman"/>
          <w:sz w:val="24"/>
          <w:szCs w:val="24"/>
        </w:rPr>
        <w:t>Correlations and associations between PM</w:t>
      </w:r>
      <w:r>
        <w:rPr>
          <w:rFonts w:ascii="Times New Roman" w:hAnsi="Times New Roman"/>
          <w:sz w:val="24"/>
          <w:szCs w:val="24"/>
          <w:vertAlign w:val="subscript"/>
        </w:rPr>
        <w:t>10</w:t>
      </w:r>
      <w:r>
        <w:rPr>
          <w:rFonts w:ascii="Times New Roman" w:hAnsi="Times New Roman"/>
          <w:sz w:val="24"/>
          <w:szCs w:val="24"/>
        </w:rPr>
        <w:t xml:space="preserve"> emissions and within</w:t>
      </w:r>
      <w:r w:rsidR="002C3F88">
        <w:rPr>
          <w:rFonts w:ascii="Times New Roman" w:hAnsi="Times New Roman"/>
          <w:sz w:val="24"/>
          <w:szCs w:val="24"/>
        </w:rPr>
        <w:t>-</w:t>
      </w:r>
      <w:r>
        <w:rPr>
          <w:rFonts w:ascii="Times New Roman" w:hAnsi="Times New Roman"/>
          <w:sz w:val="24"/>
          <w:szCs w:val="24"/>
        </w:rPr>
        <w:t>flue emission measurements of heavy metals, PCDD/Fs, PAHs and PCBs (to provide information about the chemical composition of PM</w:t>
      </w:r>
      <w:r>
        <w:rPr>
          <w:rFonts w:ascii="Times New Roman" w:hAnsi="Times New Roman"/>
          <w:sz w:val="24"/>
          <w:szCs w:val="24"/>
          <w:vertAlign w:val="subscript"/>
        </w:rPr>
        <w:t>10</w:t>
      </w:r>
      <w:r>
        <w:rPr>
          <w:rFonts w:ascii="Times New Roman" w:hAnsi="Times New Roman"/>
          <w:sz w:val="24"/>
          <w:szCs w:val="24"/>
        </w:rPr>
        <w:t xml:space="preserve"> being emitted from flues).</w:t>
      </w:r>
    </w:p>
    <w:p w14:paraId="169E34FA" w14:textId="77777777" w:rsidR="00CE4D98" w:rsidRDefault="00FA4CA4" w:rsidP="0042487D">
      <w:pPr>
        <w:pStyle w:val="ListParagraph"/>
        <w:numPr>
          <w:ilvl w:val="0"/>
          <w:numId w:val="4"/>
        </w:numPr>
        <w:spacing w:after="0" w:line="480" w:lineRule="auto"/>
        <w:rPr>
          <w:rFonts w:ascii="Times New Roman" w:eastAsia="Times New Roman" w:hAnsi="Times New Roman" w:cs="Times New Roman"/>
          <w:sz w:val="24"/>
          <w:szCs w:val="24"/>
        </w:rPr>
      </w:pPr>
      <w:r>
        <w:rPr>
          <w:rFonts w:ascii="Times New Roman" w:hAnsi="Times New Roman"/>
          <w:sz w:val="24"/>
          <w:szCs w:val="24"/>
        </w:rPr>
        <w:t>Changes in levels of PM</w:t>
      </w:r>
      <w:r>
        <w:rPr>
          <w:rFonts w:ascii="Times New Roman" w:hAnsi="Times New Roman"/>
          <w:sz w:val="24"/>
          <w:szCs w:val="24"/>
          <w:vertAlign w:val="subscript"/>
        </w:rPr>
        <w:t>10</w:t>
      </w:r>
      <w:r>
        <w:rPr>
          <w:rFonts w:ascii="Times New Roman" w:hAnsi="Times New Roman"/>
          <w:sz w:val="24"/>
          <w:szCs w:val="24"/>
        </w:rPr>
        <w:t xml:space="preserve"> emissions after the implementation of the EU-WID, which reduced daily average emission limit values from 30 mg m</w:t>
      </w:r>
      <w:r>
        <w:rPr>
          <w:rFonts w:ascii="Times New Roman" w:hAnsi="Times New Roman"/>
          <w:sz w:val="24"/>
          <w:szCs w:val="24"/>
          <w:vertAlign w:val="superscript"/>
        </w:rPr>
        <w:t>-3</w:t>
      </w:r>
      <w:r>
        <w:rPr>
          <w:rFonts w:ascii="Times New Roman" w:hAnsi="Times New Roman"/>
          <w:sz w:val="24"/>
          <w:szCs w:val="24"/>
        </w:rPr>
        <w:t xml:space="preserve"> to 10 mg m</w:t>
      </w:r>
      <w:r>
        <w:rPr>
          <w:rFonts w:ascii="Times New Roman" w:hAnsi="Times New Roman"/>
          <w:sz w:val="24"/>
          <w:szCs w:val="24"/>
          <w:vertAlign w:val="superscript"/>
        </w:rPr>
        <w:t>-3</w:t>
      </w:r>
      <w:r>
        <w:rPr>
          <w:rFonts w:ascii="Times New Roman" w:hAnsi="Times New Roman"/>
          <w:sz w:val="24"/>
          <w:szCs w:val="24"/>
        </w:rPr>
        <w:t xml:space="preserve"> for particulate matter/total dust.</w:t>
      </w:r>
      <w:r>
        <w:rPr>
          <w:rFonts w:ascii="Times New Roman" w:hAnsi="Times New Roman"/>
          <w:sz w:val="24"/>
          <w:szCs w:val="24"/>
          <w:vertAlign w:val="superscript"/>
        </w:rPr>
        <w:t>21</w:t>
      </w:r>
    </w:p>
    <w:p w14:paraId="4E632214" w14:textId="77777777" w:rsidR="00CE4D98" w:rsidRDefault="00CE4D98">
      <w:pPr>
        <w:pStyle w:val="ListParagraph"/>
        <w:spacing w:after="0" w:line="480" w:lineRule="auto"/>
        <w:rPr>
          <w:rFonts w:ascii="Times New Roman" w:eastAsia="Times New Roman" w:hAnsi="Times New Roman" w:cs="Times New Roman"/>
          <w:sz w:val="24"/>
          <w:szCs w:val="24"/>
        </w:rPr>
      </w:pPr>
    </w:p>
    <w:p w14:paraId="4C1F2924" w14:textId="2AC196AE" w:rsidR="00CE4D98" w:rsidRDefault="00FA4CA4" w:rsidP="0042487D">
      <w:pPr>
        <w:pStyle w:val="Body"/>
        <w:spacing w:line="480" w:lineRule="auto"/>
        <w:rPr>
          <w:rFonts w:eastAsia="Times New Roman"/>
        </w:rPr>
      </w:pPr>
      <w:r>
        <w:rPr>
          <w:rFonts w:ascii="Times New Roman" w:hAnsi="Times New Roman"/>
          <w:sz w:val="24"/>
          <w:szCs w:val="24"/>
        </w:rPr>
        <w:lastRenderedPageBreak/>
        <w:t>We refer to PM</w:t>
      </w:r>
      <w:r>
        <w:rPr>
          <w:rFonts w:ascii="Times New Roman" w:hAnsi="Times New Roman"/>
          <w:sz w:val="24"/>
          <w:szCs w:val="24"/>
          <w:vertAlign w:val="subscript"/>
        </w:rPr>
        <w:t xml:space="preserve">10 </w:t>
      </w:r>
      <w:r>
        <w:rPr>
          <w:rFonts w:ascii="Times New Roman" w:hAnsi="Times New Roman"/>
          <w:sz w:val="24"/>
          <w:szCs w:val="24"/>
        </w:rPr>
        <w:t xml:space="preserve">rather than total suspended particulates </w:t>
      </w:r>
      <w:r w:rsidR="00420FA3">
        <w:rPr>
          <w:rFonts w:ascii="Times New Roman" w:hAnsi="Times New Roman"/>
          <w:sz w:val="24"/>
          <w:szCs w:val="24"/>
        </w:rPr>
        <w:t xml:space="preserve">(total dust) </w:t>
      </w:r>
      <w:r>
        <w:rPr>
          <w:rFonts w:ascii="Times New Roman" w:hAnsi="Times New Roman"/>
          <w:sz w:val="24"/>
          <w:szCs w:val="24"/>
        </w:rPr>
        <w:t>throughout as size fraction studies have found all particulate incinerator emissions are &lt;10 µ</w:t>
      </w:r>
      <w:r w:rsidRPr="0042487D">
        <w:rPr>
          <w:rFonts w:ascii="Times New Roman" w:hAnsi="Times New Roman"/>
          <w:sz w:val="24"/>
          <w:lang w:val="pt-PT"/>
        </w:rPr>
        <w:t>m diameter.</w:t>
      </w:r>
      <w:r>
        <w:rPr>
          <w:rFonts w:ascii="Times New Roman" w:hAnsi="Times New Roman"/>
          <w:sz w:val="24"/>
          <w:szCs w:val="24"/>
          <w:vertAlign w:val="superscript"/>
        </w:rPr>
        <w:t>22</w:t>
      </w:r>
      <w:r>
        <w:rPr>
          <w:rFonts w:ascii="Times New Roman" w:hAnsi="Times New Roman"/>
          <w:sz w:val="24"/>
          <w:szCs w:val="24"/>
        </w:rPr>
        <w:t xml:space="preserve"> </w:t>
      </w:r>
    </w:p>
    <w:p w14:paraId="627A15AE" w14:textId="77777777" w:rsidR="00CE4D98" w:rsidRDefault="00CE4D98" w:rsidP="0042487D">
      <w:pPr>
        <w:pStyle w:val="Body"/>
        <w:spacing w:after="0" w:line="480" w:lineRule="auto"/>
        <w:rPr>
          <w:rFonts w:eastAsia="Times New Roman"/>
        </w:rPr>
      </w:pPr>
    </w:p>
    <w:p w14:paraId="009E989E" w14:textId="77777777" w:rsidR="00CE4D98" w:rsidRDefault="00FA4CA4" w:rsidP="0042487D">
      <w:pPr>
        <w:pStyle w:val="Body"/>
        <w:spacing w:after="0" w:line="480" w:lineRule="auto"/>
        <w:rPr>
          <w:rFonts w:eastAsia="Times New Roman"/>
          <w:b/>
          <w:bCs/>
          <w:sz w:val="28"/>
          <w:szCs w:val="28"/>
        </w:rPr>
      </w:pPr>
      <w:r>
        <w:rPr>
          <w:rFonts w:ascii="Times New Roman" w:hAnsi="Times New Roman"/>
          <w:b/>
          <w:bCs/>
          <w:sz w:val="28"/>
          <w:szCs w:val="28"/>
        </w:rPr>
        <w:t>Materials and Methods</w:t>
      </w:r>
    </w:p>
    <w:p w14:paraId="5F51A828" w14:textId="77777777" w:rsidR="00CE4D98" w:rsidRDefault="00FA4CA4" w:rsidP="0042487D">
      <w:pPr>
        <w:pStyle w:val="Body"/>
        <w:spacing w:after="0" w:line="480" w:lineRule="auto"/>
        <w:rPr>
          <w:rFonts w:eastAsia="Times New Roman"/>
          <w:b/>
          <w:bCs/>
        </w:rPr>
      </w:pPr>
      <w:r>
        <w:rPr>
          <w:rFonts w:ascii="Times New Roman" w:hAnsi="Times New Roman"/>
          <w:b/>
          <w:bCs/>
          <w:sz w:val="24"/>
          <w:szCs w:val="24"/>
        </w:rPr>
        <w:t>Study area</w:t>
      </w:r>
    </w:p>
    <w:p w14:paraId="5AAD00AA" w14:textId="16602583" w:rsidR="00CE4D98" w:rsidRDefault="00FA4CA4" w:rsidP="0042487D">
      <w:pPr>
        <w:pStyle w:val="Body"/>
        <w:spacing w:after="0" w:line="480" w:lineRule="auto"/>
        <w:rPr>
          <w:rFonts w:eastAsia="Times New Roman"/>
        </w:rPr>
      </w:pPr>
      <w:r>
        <w:rPr>
          <w:rFonts w:ascii="Times New Roman" w:hAnsi="Times New Roman"/>
          <w:sz w:val="24"/>
          <w:szCs w:val="24"/>
        </w:rPr>
        <w:t>We included all 22 MWIs in Great Britain (Figure 1) in operation between 2003-10, comprising 14 existing MWIs and 8 new MWIs opening after 2003. We excluded one MWI in the Isle of Man (Richmond Hill) for which we did not have health or emissions data and three other incinerators open during this time as they were not solely MWIs (</w:t>
      </w:r>
      <w:proofErr w:type="spellStart"/>
      <w:r>
        <w:rPr>
          <w:rFonts w:ascii="Times New Roman" w:hAnsi="Times New Roman"/>
          <w:sz w:val="24"/>
          <w:szCs w:val="24"/>
        </w:rPr>
        <w:t>Fawley</w:t>
      </w:r>
      <w:proofErr w:type="spellEnd"/>
      <w:r>
        <w:rPr>
          <w:rFonts w:ascii="Times New Roman" w:hAnsi="Times New Roman"/>
          <w:sz w:val="24"/>
          <w:szCs w:val="24"/>
        </w:rPr>
        <w:t xml:space="preserve">, Hampshire; Ellesmere Port, Cheshire ; Peak Load Boiler, Shetland). The location of MWIs varied </w:t>
      </w:r>
      <w:r w:rsidR="002C3F88">
        <w:rPr>
          <w:rFonts w:ascii="Times New Roman" w:hAnsi="Times New Roman"/>
          <w:sz w:val="24"/>
          <w:szCs w:val="24"/>
        </w:rPr>
        <w:t xml:space="preserve">as to </w:t>
      </w:r>
      <w:r>
        <w:rPr>
          <w:rFonts w:ascii="Times New Roman" w:hAnsi="Times New Roman"/>
          <w:sz w:val="24"/>
          <w:szCs w:val="24"/>
        </w:rPr>
        <w:t xml:space="preserve">the geographical characteristics of their location and topography. A 10 km radius around each MWI was chosen as the study area as per Ashworth </w:t>
      </w:r>
      <w:proofErr w:type="gramStart"/>
      <w:r>
        <w:rPr>
          <w:rFonts w:ascii="Times New Roman" w:hAnsi="Times New Roman"/>
          <w:sz w:val="24"/>
          <w:szCs w:val="24"/>
        </w:rPr>
        <w:t>et</w:t>
      </w:r>
      <w:proofErr w:type="gramEnd"/>
      <w:r>
        <w:rPr>
          <w:rFonts w:ascii="Times New Roman" w:hAnsi="Times New Roman"/>
          <w:sz w:val="24"/>
          <w:szCs w:val="24"/>
        </w:rPr>
        <w:t xml:space="preserve"> al.</w:t>
      </w:r>
      <w:r>
        <w:rPr>
          <w:vertAlign w:val="superscript"/>
        </w:rPr>
        <w:t>20</w:t>
      </w:r>
    </w:p>
    <w:p w14:paraId="39FF61E9" w14:textId="77777777" w:rsidR="00CE4D98" w:rsidRDefault="00CE4D98" w:rsidP="0042487D">
      <w:pPr>
        <w:pStyle w:val="Body"/>
        <w:spacing w:after="0" w:line="480" w:lineRule="auto"/>
        <w:rPr>
          <w:rFonts w:eastAsia="Times New Roman"/>
        </w:rPr>
      </w:pPr>
    </w:p>
    <w:p w14:paraId="155BED8E" w14:textId="77777777" w:rsidR="00CE4D98" w:rsidRDefault="00FA4CA4" w:rsidP="0042487D">
      <w:pPr>
        <w:pStyle w:val="Body"/>
        <w:spacing w:after="0" w:line="480" w:lineRule="auto"/>
        <w:rPr>
          <w:rFonts w:eastAsia="Times New Roman"/>
          <w:b/>
          <w:bCs/>
        </w:rPr>
      </w:pPr>
      <w:r w:rsidRPr="0042487D">
        <w:rPr>
          <w:rFonts w:ascii="Times New Roman" w:hAnsi="Times New Roman"/>
          <w:b/>
          <w:sz w:val="24"/>
          <w:lang w:val="de-DE"/>
        </w:rPr>
        <w:t>Incinerator Data</w:t>
      </w:r>
    </w:p>
    <w:p w14:paraId="02B52620" w14:textId="5F8EA0BC" w:rsidR="00CE4D98" w:rsidRDefault="00FA4CA4" w:rsidP="0042487D">
      <w:pPr>
        <w:pStyle w:val="Body"/>
        <w:spacing w:after="0" w:line="480" w:lineRule="auto"/>
        <w:rPr>
          <w:rFonts w:eastAsia="Times New Roman"/>
        </w:rPr>
      </w:pPr>
      <w:r>
        <w:rPr>
          <w:rFonts w:ascii="Times New Roman" w:hAnsi="Times New Roman"/>
          <w:sz w:val="24"/>
          <w:szCs w:val="24"/>
        </w:rPr>
        <w:t>Information on the emissions, total annual licensed throughput, the number of flues, and whether an MWI opened to or adopted EU-WID specifications were provided by the Environment Agency (EA), Natural Resources Wales and the Scottish Environment Protection Agency (SEPA) (Table 1). Information on characteristics used in dispersion modelling including; height and diameter of the MWI stack (m),</w:t>
      </w:r>
      <w:r w:rsidRPr="0042487D">
        <w:rPr>
          <w:rFonts w:ascii="Times New Roman" w:hAnsi="Times New Roman"/>
          <w:sz w:val="24"/>
          <w:lang w:val="fr-FR"/>
        </w:rPr>
        <w:t xml:space="preserve"> exit </w:t>
      </w:r>
      <w:proofErr w:type="spellStart"/>
      <w:r w:rsidRPr="0042487D">
        <w:rPr>
          <w:rFonts w:ascii="Times New Roman" w:hAnsi="Times New Roman"/>
          <w:sz w:val="24"/>
          <w:lang w:val="fr-FR"/>
        </w:rPr>
        <w:t>temperature</w:t>
      </w:r>
      <w:proofErr w:type="spellEnd"/>
      <w:r w:rsidRPr="0042487D">
        <w:rPr>
          <w:rFonts w:ascii="Times New Roman" w:hAnsi="Times New Roman"/>
          <w:sz w:val="24"/>
          <w:lang w:val="fr-FR"/>
        </w:rPr>
        <w:t xml:space="preserve"> (</w:t>
      </w:r>
      <w:r>
        <w:rPr>
          <w:rFonts w:ascii="Times New Roman" w:hAnsi="Times New Roman"/>
          <w:sz w:val="24"/>
          <w:szCs w:val="24"/>
        </w:rPr>
        <w:t>°C), flow rate (m s</w:t>
      </w:r>
      <w:r w:rsidRPr="0042487D">
        <w:rPr>
          <w:rFonts w:ascii="Times New Roman" w:hAnsi="Times New Roman"/>
          <w:sz w:val="24"/>
          <w:vertAlign w:val="superscript"/>
          <w:lang w:val="ru-RU"/>
        </w:rPr>
        <w:t>-1</w:t>
      </w:r>
      <w:r>
        <w:rPr>
          <w:rFonts w:ascii="Times New Roman" w:hAnsi="Times New Roman"/>
          <w:sz w:val="24"/>
          <w:szCs w:val="24"/>
        </w:rPr>
        <w:t>), and velocity (m s</w:t>
      </w:r>
      <w:r w:rsidRPr="0042487D">
        <w:rPr>
          <w:rFonts w:ascii="Times New Roman" w:hAnsi="Times New Roman"/>
          <w:sz w:val="24"/>
          <w:vertAlign w:val="superscript"/>
          <w:lang w:val="ru-RU"/>
        </w:rPr>
        <w:t>-1</w:t>
      </w:r>
      <w:r>
        <w:rPr>
          <w:rFonts w:ascii="Times New Roman" w:hAnsi="Times New Roman"/>
          <w:sz w:val="24"/>
          <w:szCs w:val="24"/>
        </w:rPr>
        <w:t>) per MWI per flue are reported in Supporting Information (SI) A, Table S1. Daily measured PM</w:t>
      </w:r>
      <w:r>
        <w:rPr>
          <w:rFonts w:ascii="Times New Roman" w:hAnsi="Times New Roman"/>
          <w:sz w:val="24"/>
          <w:szCs w:val="24"/>
          <w:vertAlign w:val="subscript"/>
        </w:rPr>
        <w:t>10</w:t>
      </w:r>
      <w:r>
        <w:rPr>
          <w:rFonts w:ascii="Times New Roman" w:hAnsi="Times New Roman"/>
          <w:sz w:val="24"/>
          <w:szCs w:val="24"/>
        </w:rPr>
        <w:t xml:space="preserve"> emissions per MWI, per flue and per year (some originally in paper format, which were </w:t>
      </w:r>
      <w:proofErr w:type="spellStart"/>
      <w:r>
        <w:rPr>
          <w:rFonts w:ascii="Times New Roman" w:hAnsi="Times New Roman"/>
          <w:sz w:val="24"/>
          <w:szCs w:val="24"/>
        </w:rPr>
        <w:t>digitised</w:t>
      </w:r>
      <w:proofErr w:type="spellEnd"/>
      <w:r>
        <w:rPr>
          <w:rFonts w:ascii="Times New Roman" w:hAnsi="Times New Roman"/>
          <w:sz w:val="24"/>
          <w:szCs w:val="24"/>
        </w:rPr>
        <w:t xml:space="preserve"> and quality checked by a third party) were provided by the EA and SEPA. Non-numeric and negative values were recoded according to an algorithm agreed with the EA and SEPA (SI B, Table S2). </w:t>
      </w:r>
    </w:p>
    <w:p w14:paraId="3F6AB7DC" w14:textId="77777777" w:rsidR="00CE4D98" w:rsidRDefault="00CE4D98" w:rsidP="0042487D">
      <w:pPr>
        <w:pStyle w:val="Body"/>
        <w:spacing w:after="0" w:line="480" w:lineRule="auto"/>
        <w:rPr>
          <w:rFonts w:eastAsia="Times New Roman"/>
        </w:rPr>
      </w:pPr>
    </w:p>
    <w:p w14:paraId="2A01C487" w14:textId="77777777" w:rsidR="00A979E9" w:rsidRDefault="00A979E9">
      <w:pPr>
        <w:spacing w:line="480" w:lineRule="auto"/>
      </w:pPr>
      <w:r w:rsidRPr="003C74B9">
        <w:lastRenderedPageBreak/>
        <w:t>MWIs varied in size and location (Figure 1). The licensed throughput varied from 3,500 (</w:t>
      </w:r>
      <w:proofErr w:type="spellStart"/>
      <w:r w:rsidRPr="003C74B9">
        <w:t>Porthmellon</w:t>
      </w:r>
      <w:proofErr w:type="spellEnd"/>
      <w:r w:rsidRPr="003C74B9">
        <w:t>) to 750,0</w:t>
      </w:r>
      <w:r>
        <w:t xml:space="preserve">00 (Edmonton) </w:t>
      </w:r>
      <w:proofErr w:type="spellStart"/>
      <w:r>
        <w:t>tonnes</w:t>
      </w:r>
      <w:proofErr w:type="spellEnd"/>
      <w:r>
        <w:t xml:space="preserve"> per annum (Table 1). Populations living within 10 km of each </w:t>
      </w:r>
      <w:r w:rsidRPr="00166D2B">
        <w:t>MWI varied from 2,203 (</w:t>
      </w:r>
      <w:proofErr w:type="spellStart"/>
      <w:r w:rsidRPr="00166D2B">
        <w:t>Porthmellon</w:t>
      </w:r>
      <w:proofErr w:type="spellEnd"/>
      <w:r w:rsidRPr="00166D2B">
        <w:t>) to 2,726,145 (SELCHP) (information from census data from 2011). The majority of MWIs had multiple flues (15 MWIs; 12 with two flues, three with three</w:t>
      </w:r>
      <w:r>
        <w:t xml:space="preserve"> flues).</w:t>
      </w:r>
      <w:r w:rsidRPr="00806A84">
        <w:t xml:space="preserve"> The</w:t>
      </w:r>
      <w:r>
        <w:t xml:space="preserve"> number of non-operational and missing days varied from MWI to MWI and from year to year, and occurred sporadically for a few days, or for longer periods (e.g. several months; </w:t>
      </w:r>
      <w:r w:rsidRPr="00806A84">
        <w:t>Tabl</w:t>
      </w:r>
      <w:r>
        <w:t>e 1 and SI E Table S4</w:t>
      </w:r>
      <w:r w:rsidRPr="00806A84">
        <w:t>)</w:t>
      </w:r>
      <w:r>
        <w:t xml:space="preserve">). </w:t>
      </w:r>
    </w:p>
    <w:p w14:paraId="1FC90572" w14:textId="77777777" w:rsidR="00A979E9" w:rsidRPr="0042487D" w:rsidRDefault="00A979E9" w:rsidP="0042487D">
      <w:pPr>
        <w:pStyle w:val="Body"/>
        <w:spacing w:after="0" w:line="480" w:lineRule="auto"/>
        <w:rPr>
          <w:sz w:val="24"/>
        </w:rPr>
      </w:pPr>
    </w:p>
    <w:p w14:paraId="7C1C37DA" w14:textId="77777777" w:rsidR="00CE4D98" w:rsidRDefault="00FA4CA4" w:rsidP="0042487D">
      <w:pPr>
        <w:pStyle w:val="Body"/>
        <w:spacing w:after="0" w:line="480" w:lineRule="auto"/>
        <w:rPr>
          <w:rFonts w:eastAsia="Times New Roman"/>
        </w:rPr>
      </w:pPr>
      <w:r>
        <w:rPr>
          <w:rFonts w:ascii="Times New Roman" w:hAnsi="Times New Roman"/>
          <w:sz w:val="24"/>
          <w:szCs w:val="24"/>
        </w:rPr>
        <w:t>The availability of heavy metals, PCDD/Fs, PAHs and PCB measurements varied. MWIs are required to complete up to four measurements per annum.</w:t>
      </w:r>
      <w:r>
        <w:rPr>
          <w:rFonts w:ascii="Times New Roman" w:hAnsi="Times New Roman"/>
          <w:sz w:val="24"/>
          <w:szCs w:val="24"/>
          <w:vertAlign w:val="superscript"/>
        </w:rPr>
        <w:t>23</w:t>
      </w:r>
      <w:r>
        <w:rPr>
          <w:rFonts w:ascii="Times New Roman" w:hAnsi="Times New Roman"/>
          <w:sz w:val="24"/>
          <w:szCs w:val="24"/>
        </w:rPr>
        <w:t xml:space="preserve"> </w:t>
      </w:r>
      <w:proofErr w:type="gramStart"/>
      <w:r>
        <w:rPr>
          <w:rFonts w:ascii="Times New Roman" w:hAnsi="Times New Roman"/>
          <w:sz w:val="24"/>
          <w:szCs w:val="24"/>
        </w:rPr>
        <w:t>Typically</w:t>
      </w:r>
      <w:proofErr w:type="gramEnd"/>
      <w:r>
        <w:rPr>
          <w:rFonts w:ascii="Times New Roman" w:hAnsi="Times New Roman"/>
          <w:sz w:val="24"/>
          <w:szCs w:val="24"/>
        </w:rPr>
        <w:t xml:space="preserve"> in-flue measurements of 6-8 heavy metals and 3-4 PCDD/F, PAH and PCBs are completed per year, per MWI and per flue, but repeated measurements are taken if higher than limit values. Heavy metals, PCDD/Fs, PAHs and PCBs were monitored in-flue, usually at the same time as each other over an eight hour period, using European committee standards (CEN). </w:t>
      </w:r>
    </w:p>
    <w:p w14:paraId="6197AA98" w14:textId="77777777" w:rsidR="00CE4D98" w:rsidRDefault="00CE4D98" w:rsidP="0042487D">
      <w:pPr>
        <w:pStyle w:val="Body"/>
        <w:spacing w:after="0" w:line="480" w:lineRule="auto"/>
        <w:rPr>
          <w:rFonts w:eastAsia="Times New Roman"/>
        </w:rPr>
      </w:pPr>
    </w:p>
    <w:p w14:paraId="12786190" w14:textId="7DB92BC1" w:rsidR="00CE4D98" w:rsidRDefault="00FA4CA4" w:rsidP="0042487D">
      <w:pPr>
        <w:pStyle w:val="Body"/>
        <w:spacing w:after="0" w:line="480" w:lineRule="auto"/>
        <w:rPr>
          <w:rFonts w:eastAsia="Times New Roman"/>
          <w:b/>
          <w:bCs/>
        </w:rPr>
      </w:pPr>
      <w:r>
        <w:rPr>
          <w:rFonts w:ascii="Times New Roman" w:hAnsi="Times New Roman"/>
          <w:b/>
          <w:bCs/>
          <w:sz w:val="24"/>
          <w:szCs w:val="24"/>
        </w:rPr>
        <w:t xml:space="preserve">Dispersion modelling to </w:t>
      </w:r>
      <w:r w:rsidR="009D7FD1">
        <w:rPr>
          <w:rFonts w:ascii="Times New Roman" w:hAnsi="Times New Roman"/>
          <w:b/>
          <w:bCs/>
          <w:sz w:val="24"/>
          <w:szCs w:val="24"/>
        </w:rPr>
        <w:t xml:space="preserve">estimate </w:t>
      </w:r>
      <w:r>
        <w:rPr>
          <w:rFonts w:ascii="Times New Roman" w:hAnsi="Times New Roman"/>
          <w:b/>
          <w:bCs/>
          <w:sz w:val="24"/>
          <w:szCs w:val="24"/>
        </w:rPr>
        <w:t>spatial distribution of PM</w:t>
      </w:r>
      <w:r>
        <w:rPr>
          <w:rFonts w:ascii="Times New Roman" w:hAnsi="Times New Roman"/>
          <w:b/>
          <w:bCs/>
          <w:sz w:val="24"/>
          <w:szCs w:val="24"/>
          <w:vertAlign w:val="subscript"/>
        </w:rPr>
        <w:t>10</w:t>
      </w:r>
      <w:r>
        <w:rPr>
          <w:rFonts w:ascii="Times New Roman" w:hAnsi="Times New Roman"/>
          <w:b/>
          <w:bCs/>
          <w:sz w:val="24"/>
          <w:szCs w:val="24"/>
        </w:rPr>
        <w:t xml:space="preserve"> concentrations within 10 km of GB MWIs</w:t>
      </w:r>
    </w:p>
    <w:p w14:paraId="2F438AB5" w14:textId="77777777" w:rsidR="00CE4D98" w:rsidRDefault="00FA4CA4" w:rsidP="0042487D">
      <w:pPr>
        <w:pStyle w:val="Body"/>
        <w:spacing w:after="0" w:line="480" w:lineRule="auto"/>
        <w:rPr>
          <w:rFonts w:eastAsia="Times New Roman"/>
        </w:rPr>
      </w:pPr>
      <w:r>
        <w:rPr>
          <w:rFonts w:ascii="Times New Roman" w:hAnsi="Times New Roman"/>
          <w:sz w:val="24"/>
          <w:szCs w:val="24"/>
        </w:rPr>
        <w:t xml:space="preserve">The Atmospheric Dispersion Modelling System Urban (ADMS-Urban) (version 2.3), </w:t>
      </w:r>
      <w:proofErr w:type="spellStart"/>
      <w:r>
        <w:rPr>
          <w:rFonts w:ascii="Times New Roman" w:hAnsi="Times New Roman"/>
          <w:sz w:val="24"/>
          <w:szCs w:val="24"/>
        </w:rPr>
        <w:t>utilised</w:t>
      </w:r>
      <w:proofErr w:type="spellEnd"/>
      <w:r>
        <w:rPr>
          <w:rFonts w:ascii="Times New Roman" w:hAnsi="Times New Roman"/>
          <w:sz w:val="24"/>
          <w:szCs w:val="24"/>
        </w:rPr>
        <w:t xml:space="preserve"> in previous studies </w:t>
      </w:r>
      <w:proofErr w:type="spellStart"/>
      <w:r>
        <w:rPr>
          <w:rFonts w:ascii="Times New Roman" w:hAnsi="Times New Roman"/>
          <w:sz w:val="24"/>
          <w:szCs w:val="24"/>
        </w:rPr>
        <w:t>characterising</w:t>
      </w:r>
      <w:proofErr w:type="spellEnd"/>
      <w:r>
        <w:rPr>
          <w:rFonts w:ascii="Times New Roman" w:hAnsi="Times New Roman"/>
          <w:sz w:val="24"/>
          <w:szCs w:val="24"/>
        </w:rPr>
        <w:t xml:space="preserve"> emissions from MWIs,</w:t>
      </w:r>
      <w:r>
        <w:rPr>
          <w:rFonts w:ascii="Times New Roman" w:hAnsi="Times New Roman"/>
          <w:sz w:val="24"/>
          <w:szCs w:val="24"/>
          <w:vertAlign w:val="superscript"/>
        </w:rPr>
        <w:t>14,15,20,24,25</w:t>
      </w:r>
      <w:r>
        <w:rPr>
          <w:rFonts w:ascii="Times New Roman" w:hAnsi="Times New Roman"/>
          <w:sz w:val="24"/>
          <w:szCs w:val="24"/>
        </w:rPr>
        <w:t xml:space="preserve"> was used to model ground-level PM</w:t>
      </w:r>
      <w:r>
        <w:rPr>
          <w:rFonts w:ascii="Times New Roman" w:hAnsi="Times New Roman"/>
          <w:sz w:val="24"/>
          <w:szCs w:val="24"/>
          <w:vertAlign w:val="subscript"/>
        </w:rPr>
        <w:t>10</w:t>
      </w:r>
      <w:r>
        <w:rPr>
          <w:rFonts w:ascii="Times New Roman" w:hAnsi="Times New Roman"/>
          <w:sz w:val="24"/>
          <w:szCs w:val="24"/>
        </w:rPr>
        <w:t xml:space="preserve"> concentrations for postcode (average 12 household per postcode) area centroids within a 10 km radius of the MWIs. ADMS-Urban is a Gaussian based dispersion model that has been widely used and extensively validated. The model </w:t>
      </w:r>
      <w:proofErr w:type="spellStart"/>
      <w:r>
        <w:rPr>
          <w:rFonts w:ascii="Times New Roman" w:hAnsi="Times New Roman"/>
          <w:sz w:val="24"/>
          <w:szCs w:val="24"/>
        </w:rPr>
        <w:t>characterises</w:t>
      </w:r>
      <w:proofErr w:type="spellEnd"/>
      <w:r>
        <w:rPr>
          <w:rFonts w:ascii="Times New Roman" w:hAnsi="Times New Roman"/>
          <w:sz w:val="24"/>
          <w:szCs w:val="24"/>
        </w:rPr>
        <w:t xml:space="preserve"> the atmospheric boundary layer using the </w:t>
      </w:r>
      <w:proofErr w:type="spellStart"/>
      <w:r>
        <w:rPr>
          <w:rFonts w:ascii="Times New Roman" w:hAnsi="Times New Roman"/>
          <w:sz w:val="24"/>
          <w:szCs w:val="24"/>
        </w:rPr>
        <w:t>Monin-Obukhov</w:t>
      </w:r>
      <w:proofErr w:type="spellEnd"/>
      <w:r>
        <w:rPr>
          <w:rFonts w:ascii="Times New Roman" w:hAnsi="Times New Roman"/>
          <w:sz w:val="24"/>
          <w:szCs w:val="24"/>
        </w:rPr>
        <w:t xml:space="preserve"> length and boundary layer depth. It is capable of simulating the effects of plume rise, and the effects of buildings and complex topography on dispersion.</w:t>
      </w:r>
      <w:r>
        <w:rPr>
          <w:vertAlign w:val="superscript"/>
        </w:rPr>
        <w:t>26</w:t>
      </w:r>
      <w:r>
        <w:rPr>
          <w:rFonts w:ascii="Times New Roman" w:hAnsi="Times New Roman"/>
          <w:sz w:val="24"/>
          <w:szCs w:val="24"/>
        </w:rPr>
        <w:t xml:space="preserve"> </w:t>
      </w:r>
    </w:p>
    <w:p w14:paraId="4D2D20D6" w14:textId="77777777" w:rsidR="00CE4D98" w:rsidRDefault="00CE4D98" w:rsidP="0042487D">
      <w:pPr>
        <w:pStyle w:val="Body"/>
        <w:spacing w:after="0" w:line="480" w:lineRule="auto"/>
        <w:rPr>
          <w:rFonts w:eastAsia="Times New Roman"/>
          <w:i/>
          <w:iCs/>
        </w:rPr>
      </w:pPr>
    </w:p>
    <w:p w14:paraId="71476390" w14:textId="1D2B1C98" w:rsidR="00CE4D98" w:rsidRDefault="00FA4CA4" w:rsidP="0042487D">
      <w:pPr>
        <w:pStyle w:val="Body"/>
        <w:spacing w:after="0" w:line="480" w:lineRule="auto"/>
        <w:rPr>
          <w:rFonts w:eastAsia="Times New Roman"/>
        </w:rPr>
      </w:pPr>
      <w:r>
        <w:rPr>
          <w:rFonts w:ascii="Times New Roman" w:hAnsi="Times New Roman"/>
          <w:sz w:val="24"/>
          <w:szCs w:val="24"/>
        </w:rPr>
        <w:t xml:space="preserve">The </w:t>
      </w:r>
      <w:proofErr w:type="spellStart"/>
      <w:r>
        <w:rPr>
          <w:rFonts w:ascii="Times New Roman" w:hAnsi="Times New Roman"/>
          <w:sz w:val="24"/>
          <w:szCs w:val="24"/>
        </w:rPr>
        <w:t>parameterisation</w:t>
      </w:r>
      <w:proofErr w:type="spellEnd"/>
      <w:r>
        <w:rPr>
          <w:rFonts w:ascii="Times New Roman" w:hAnsi="Times New Roman"/>
          <w:sz w:val="24"/>
          <w:szCs w:val="24"/>
        </w:rPr>
        <w:t xml:space="preserve"> of the dispersion model is described in Ashworth </w:t>
      </w:r>
      <w:proofErr w:type="gramStart"/>
      <w:r>
        <w:rPr>
          <w:rFonts w:ascii="Times New Roman" w:hAnsi="Times New Roman"/>
          <w:sz w:val="24"/>
          <w:szCs w:val="24"/>
        </w:rPr>
        <w:t>et</w:t>
      </w:r>
      <w:proofErr w:type="gramEnd"/>
      <w:r>
        <w:rPr>
          <w:rFonts w:ascii="Times New Roman" w:hAnsi="Times New Roman"/>
          <w:sz w:val="24"/>
          <w:szCs w:val="24"/>
        </w:rPr>
        <w:t xml:space="preserve"> al.</w:t>
      </w:r>
      <w:r>
        <w:rPr>
          <w:vertAlign w:val="superscript"/>
        </w:rPr>
        <w:t>20</w:t>
      </w:r>
      <w:r>
        <w:t xml:space="preserve"> </w:t>
      </w:r>
      <w:r>
        <w:rPr>
          <w:rFonts w:ascii="Times New Roman" w:hAnsi="Times New Roman"/>
          <w:sz w:val="24"/>
          <w:szCs w:val="24"/>
        </w:rPr>
        <w:t>In brief, all MWIs were modelled as point sources. Locations were verified using site addresses, grid references and aerial photography. The EU-WID requires that average emission values are reported after subtraction of a fixed amount (taken as 30%) to account for measurement instrument uncertainty.</w:t>
      </w:r>
      <w:r>
        <w:rPr>
          <w:rFonts w:ascii="Times New Roman" w:hAnsi="Times New Roman"/>
          <w:sz w:val="24"/>
          <w:szCs w:val="24"/>
          <w:vertAlign w:val="superscript"/>
        </w:rPr>
        <w:t>4</w:t>
      </w:r>
      <w:r>
        <w:rPr>
          <w:rFonts w:ascii="Times New Roman" w:hAnsi="Times New Roman"/>
          <w:sz w:val="24"/>
          <w:szCs w:val="24"/>
        </w:rPr>
        <w:t xml:space="preserve"> The EU-WID also allows up to ten measured daily average values to be discarded per year if there has been measurement instrument calibration or maintenance. For the purposes of the dispersion modelling, the emissions data were therefore increased by 30% from the reported values provided (except for Isle of Wight MWI, which did not subtract 30% to account for measurement instrument uncertainty). For the purposes of assessing emissions above the EU-WID daily average, emission values with 30% subtracted were used, as this is how compliance is assessed against the EU-WID limits. Missing emissions data were imputed using the median PM</w:t>
      </w:r>
      <w:r>
        <w:rPr>
          <w:rFonts w:ascii="Times New Roman" w:hAnsi="Times New Roman"/>
          <w:sz w:val="24"/>
          <w:szCs w:val="24"/>
          <w:vertAlign w:val="subscript"/>
        </w:rPr>
        <w:t>10</w:t>
      </w:r>
      <w:r>
        <w:rPr>
          <w:rFonts w:ascii="Times New Roman" w:hAnsi="Times New Roman"/>
          <w:sz w:val="24"/>
          <w:szCs w:val="24"/>
        </w:rPr>
        <w:t xml:space="preserve"> value of the operational days for each year and each MWI (for justification of this approach see SI D; for counts of days with missing data per flue/year/MWI see SI E). For Coventry, Dudley and </w:t>
      </w:r>
      <w:proofErr w:type="spellStart"/>
      <w:r>
        <w:rPr>
          <w:rFonts w:ascii="Times New Roman" w:hAnsi="Times New Roman"/>
          <w:sz w:val="24"/>
          <w:szCs w:val="24"/>
        </w:rPr>
        <w:t>Kirklees</w:t>
      </w:r>
      <w:proofErr w:type="spellEnd"/>
      <w:r>
        <w:rPr>
          <w:rFonts w:ascii="Times New Roman" w:hAnsi="Times New Roman"/>
          <w:sz w:val="24"/>
          <w:szCs w:val="24"/>
        </w:rPr>
        <w:t xml:space="preserve"> MWIs, data were missing for entire year(s), and therefore it was not possible to model PM</w:t>
      </w:r>
      <w:r>
        <w:rPr>
          <w:rFonts w:ascii="Times New Roman" w:hAnsi="Times New Roman"/>
          <w:sz w:val="24"/>
          <w:szCs w:val="24"/>
          <w:vertAlign w:val="subscript"/>
        </w:rPr>
        <w:t>10</w:t>
      </w:r>
      <w:r>
        <w:rPr>
          <w:rFonts w:ascii="Times New Roman" w:hAnsi="Times New Roman"/>
          <w:sz w:val="24"/>
          <w:szCs w:val="24"/>
        </w:rPr>
        <w:t xml:space="preserve"> dispersion for these years. Hourly meteorological data from meteorological stations within 30 km of each MWI were obtained, and selected for use based on land cover (to ensure that the land type surrounding the meteorological station was representative of the MWI) and completeness of data (for choice of meteorological station and justification see SI F). The </w:t>
      </w:r>
      <w:proofErr w:type="spellStart"/>
      <w:r>
        <w:rPr>
          <w:rFonts w:ascii="Times New Roman" w:hAnsi="Times New Roman"/>
          <w:sz w:val="24"/>
          <w:szCs w:val="24"/>
        </w:rPr>
        <w:t>Monin-Obukhov</w:t>
      </w:r>
      <w:proofErr w:type="spellEnd"/>
      <w:r>
        <w:rPr>
          <w:rFonts w:ascii="Times New Roman" w:hAnsi="Times New Roman"/>
          <w:sz w:val="24"/>
          <w:szCs w:val="24"/>
        </w:rPr>
        <w:t xml:space="preserve"> (MO) length (the height at which turbulence is driven by buoyancy instead of wind) and surface roughness (SR) at the dispersion site was computed by ADMS-Urban based on input meteorological variables and surface information extracted from CORINE land cover data from 2000 as per Ashworth et al.</w:t>
      </w:r>
      <w:r>
        <w:rPr>
          <w:rFonts w:ascii="Times New Roman" w:hAnsi="Times New Roman"/>
          <w:sz w:val="24"/>
          <w:szCs w:val="24"/>
          <w:vertAlign w:val="superscript"/>
        </w:rPr>
        <w:t>20</w:t>
      </w:r>
      <w:r>
        <w:rPr>
          <w:rFonts w:ascii="Times New Roman" w:hAnsi="Times New Roman"/>
          <w:sz w:val="24"/>
          <w:szCs w:val="24"/>
        </w:rPr>
        <w:t xml:space="preserve"> (SI G, Table S6 contains MO and SR values). Complex terrain was included in the dispersion modelling if more than 5% of the </w:t>
      </w:r>
      <w:r>
        <w:rPr>
          <w:rFonts w:ascii="Times New Roman" w:hAnsi="Times New Roman"/>
          <w:sz w:val="24"/>
          <w:szCs w:val="24"/>
        </w:rPr>
        <w:lastRenderedPageBreak/>
        <w:t>area surrounding a MWI (within 10 km) contained slopes of 10% or higher, which was assessed using Ordnance Survey PANORAMA data. Daily average PM</w:t>
      </w:r>
      <w:r>
        <w:rPr>
          <w:rFonts w:ascii="Times New Roman" w:hAnsi="Times New Roman"/>
          <w:sz w:val="24"/>
          <w:szCs w:val="24"/>
          <w:vertAlign w:val="subscript"/>
        </w:rPr>
        <w:t>10</w:t>
      </w:r>
      <w:r>
        <w:rPr>
          <w:rFonts w:ascii="Times New Roman" w:hAnsi="Times New Roman"/>
          <w:sz w:val="24"/>
          <w:szCs w:val="24"/>
        </w:rPr>
        <w:t xml:space="preserve"> concentrations were calculated at every postcode area centroid within 10 km of each MWI. Where the 10 km radius around MWIs overlapped (Edmonton and SELCHP in London; </w:t>
      </w:r>
      <w:proofErr w:type="spellStart"/>
      <w:r>
        <w:rPr>
          <w:rFonts w:ascii="Times New Roman" w:hAnsi="Times New Roman"/>
          <w:sz w:val="24"/>
          <w:szCs w:val="24"/>
        </w:rPr>
        <w:t>Tyseley</w:t>
      </w:r>
      <w:proofErr w:type="spellEnd"/>
      <w:r>
        <w:rPr>
          <w:rFonts w:ascii="Times New Roman" w:hAnsi="Times New Roman"/>
          <w:sz w:val="24"/>
          <w:szCs w:val="24"/>
        </w:rPr>
        <w:t xml:space="preserve">, Dudley and </w:t>
      </w:r>
      <w:proofErr w:type="spellStart"/>
      <w:r>
        <w:rPr>
          <w:rFonts w:ascii="Times New Roman" w:hAnsi="Times New Roman"/>
          <w:sz w:val="24"/>
          <w:szCs w:val="24"/>
        </w:rPr>
        <w:t>Wolverhampton</w:t>
      </w:r>
      <w:proofErr w:type="spellEnd"/>
      <w:r>
        <w:rPr>
          <w:rFonts w:ascii="Times New Roman" w:hAnsi="Times New Roman"/>
          <w:sz w:val="24"/>
          <w:szCs w:val="24"/>
        </w:rPr>
        <w:t xml:space="preserve"> in the Midlands) the modelled output concentrations were summed for each day.</w:t>
      </w:r>
      <w:r w:rsidR="00B82F15">
        <w:rPr>
          <w:rFonts w:ascii="Times New Roman" w:eastAsia="Times New Roman" w:hAnsi="Times New Roman" w:cs="Times New Roman"/>
          <w:sz w:val="24"/>
          <w:szCs w:val="24"/>
        </w:rPr>
        <w:t xml:space="preserve"> </w:t>
      </w:r>
      <w:r>
        <w:rPr>
          <w:rFonts w:ascii="Times New Roman" w:hAnsi="Times New Roman"/>
          <w:sz w:val="24"/>
          <w:szCs w:val="24"/>
        </w:rPr>
        <w:t>Our dispersion modelling was specific for MWIs and did not account for sources of PM</w:t>
      </w:r>
      <w:r>
        <w:rPr>
          <w:rFonts w:ascii="Times New Roman" w:hAnsi="Times New Roman"/>
          <w:sz w:val="24"/>
          <w:szCs w:val="24"/>
          <w:vertAlign w:val="subscript"/>
        </w:rPr>
        <w:t xml:space="preserve">10 </w:t>
      </w:r>
      <w:r>
        <w:rPr>
          <w:rFonts w:ascii="Times New Roman" w:hAnsi="Times New Roman"/>
          <w:sz w:val="24"/>
          <w:szCs w:val="24"/>
        </w:rPr>
        <w:t xml:space="preserve">around the incinerators. </w:t>
      </w:r>
    </w:p>
    <w:p w14:paraId="5AC373C3" w14:textId="586CABA1" w:rsidR="00CE4D98" w:rsidRDefault="00CE4D98">
      <w:pPr>
        <w:pStyle w:val="Body"/>
        <w:spacing w:after="0" w:line="480" w:lineRule="auto"/>
        <w:ind w:left="360"/>
        <w:rPr>
          <w:rFonts w:ascii="Times New Roman" w:eastAsia="Times New Roman" w:hAnsi="Times New Roman" w:cs="Times New Roman"/>
          <w:sz w:val="24"/>
          <w:szCs w:val="24"/>
        </w:rPr>
      </w:pPr>
    </w:p>
    <w:p w14:paraId="173CE1C6" w14:textId="77777777" w:rsidR="00CE4D98" w:rsidRDefault="00FA4CA4" w:rsidP="0042487D">
      <w:pPr>
        <w:pStyle w:val="Body"/>
        <w:spacing w:after="0" w:line="480" w:lineRule="auto"/>
        <w:rPr>
          <w:rFonts w:eastAsia="Times New Roman"/>
        </w:rPr>
      </w:pPr>
      <w:r>
        <w:rPr>
          <w:rFonts w:ascii="Times New Roman" w:hAnsi="Times New Roman"/>
          <w:sz w:val="24"/>
          <w:szCs w:val="24"/>
        </w:rPr>
        <w:t>It was not practical to include the effects of buildings within the ADMS-Urban model as the study area was large (10km radius from each MWI). Moreover the MWI stack height was high (median = 72.5m, max = 100m),</w:t>
      </w:r>
      <w:r w:rsidR="009D7FD1">
        <w:rPr>
          <w:rFonts w:ascii="Times New Roman" w:hAnsi="Times New Roman"/>
          <w:sz w:val="24"/>
          <w:szCs w:val="24"/>
        </w:rPr>
        <w:t xml:space="preserve"> </w:t>
      </w:r>
      <w:r>
        <w:rPr>
          <w:rFonts w:ascii="Times New Roman" w:hAnsi="Times New Roman"/>
          <w:sz w:val="24"/>
          <w:szCs w:val="24"/>
        </w:rPr>
        <w:t>taller than surrounding buildings, and thus nearby buildings would not affect dispersion patterns. Instead different MO and SR lengths for each MWI were used to represent different land-uses around each MWI and effects on pollutant turbulence and dispersion (see SI G). It was not considered possible to model spatial distributions of PCDD/F, PCB, PAH or heavy metals using flue emissions data due to the sparseness and variability of the measurements.</w:t>
      </w:r>
    </w:p>
    <w:p w14:paraId="15AE2BEB" w14:textId="77777777" w:rsidR="00CE4D98" w:rsidRDefault="00CE4D98" w:rsidP="0042487D">
      <w:pPr>
        <w:pStyle w:val="Body"/>
        <w:spacing w:after="0" w:line="480" w:lineRule="auto"/>
        <w:rPr>
          <w:rFonts w:eastAsia="Times New Roman"/>
        </w:rPr>
      </w:pPr>
    </w:p>
    <w:p w14:paraId="55D798AE" w14:textId="77777777" w:rsidR="00CE4D98" w:rsidRDefault="00FA4CA4" w:rsidP="0042487D">
      <w:pPr>
        <w:pStyle w:val="Body"/>
        <w:spacing w:after="0" w:line="480" w:lineRule="auto"/>
        <w:rPr>
          <w:rFonts w:eastAsia="Times New Roman"/>
        </w:rPr>
      </w:pPr>
      <w:proofErr w:type="spellStart"/>
      <w:r w:rsidRPr="0042487D">
        <w:rPr>
          <w:rFonts w:ascii="Times New Roman" w:hAnsi="Times New Roman"/>
          <w:b/>
          <w:sz w:val="24"/>
          <w:lang w:val="fr-FR"/>
        </w:rPr>
        <w:t>Correlations</w:t>
      </w:r>
      <w:proofErr w:type="spellEnd"/>
      <w:r w:rsidRPr="0042487D">
        <w:rPr>
          <w:rFonts w:ascii="Times New Roman" w:hAnsi="Times New Roman"/>
          <w:b/>
          <w:sz w:val="24"/>
          <w:lang w:val="fr-FR"/>
        </w:rPr>
        <w:t xml:space="preserve"> </w:t>
      </w:r>
      <w:r>
        <w:rPr>
          <w:rFonts w:ascii="Times New Roman" w:hAnsi="Times New Roman"/>
          <w:b/>
          <w:bCs/>
          <w:sz w:val="24"/>
          <w:szCs w:val="24"/>
        </w:rPr>
        <w:t>and associations between PM</w:t>
      </w:r>
      <w:r>
        <w:rPr>
          <w:rFonts w:ascii="Times New Roman" w:hAnsi="Times New Roman"/>
          <w:b/>
          <w:bCs/>
          <w:sz w:val="24"/>
          <w:szCs w:val="24"/>
          <w:vertAlign w:val="subscript"/>
        </w:rPr>
        <w:t>10</w:t>
      </w:r>
      <w:r>
        <w:rPr>
          <w:rFonts w:ascii="Times New Roman" w:hAnsi="Times New Roman"/>
          <w:b/>
          <w:bCs/>
          <w:sz w:val="24"/>
          <w:szCs w:val="24"/>
        </w:rPr>
        <w:t xml:space="preserve"> emissions and other flue emissions</w:t>
      </w:r>
    </w:p>
    <w:p w14:paraId="4B0941E6" w14:textId="098A353A" w:rsidR="00CE4D98" w:rsidRDefault="00FA4CA4" w:rsidP="0042487D">
      <w:pPr>
        <w:pStyle w:val="Body"/>
        <w:spacing w:after="0" w:line="480" w:lineRule="auto"/>
        <w:rPr>
          <w:rFonts w:eastAsia="Times New Roman"/>
        </w:rPr>
      </w:pPr>
      <w:r>
        <w:rPr>
          <w:rFonts w:ascii="Times New Roman" w:hAnsi="Times New Roman"/>
          <w:sz w:val="24"/>
          <w:szCs w:val="24"/>
        </w:rPr>
        <w:t>Pair-wise correlation was used to evaluate correlations of heavy metal compounds, PCDD/Fs, PAHs and PCBs and daily averages of SO</w:t>
      </w:r>
      <w:r>
        <w:rPr>
          <w:rFonts w:ascii="Times New Roman" w:hAnsi="Times New Roman"/>
          <w:sz w:val="24"/>
          <w:szCs w:val="24"/>
          <w:vertAlign w:val="subscript"/>
        </w:rPr>
        <w:t>2</w:t>
      </w:r>
      <w:r>
        <w:rPr>
          <w:rFonts w:ascii="Times New Roman" w:hAnsi="Times New Roman"/>
          <w:sz w:val="24"/>
          <w:szCs w:val="24"/>
        </w:rPr>
        <w:t>, NO</w:t>
      </w:r>
      <w:r>
        <w:rPr>
          <w:rFonts w:ascii="Times New Roman" w:hAnsi="Times New Roman"/>
          <w:sz w:val="24"/>
          <w:szCs w:val="24"/>
          <w:vertAlign w:val="subscript"/>
          <w:lang w:val="fr-FR"/>
        </w:rPr>
        <w:t xml:space="preserve">x </w:t>
      </w:r>
      <w:r>
        <w:rPr>
          <w:rFonts w:ascii="Times New Roman" w:hAnsi="Times New Roman"/>
          <w:sz w:val="24"/>
          <w:szCs w:val="24"/>
        </w:rPr>
        <w:t>and</w:t>
      </w:r>
      <w:r w:rsidRPr="0042487D">
        <w:rPr>
          <w:rFonts w:ascii="Times New Roman" w:hAnsi="Times New Roman"/>
          <w:sz w:val="24"/>
          <w:lang w:val="sv-SE"/>
        </w:rPr>
        <w:t xml:space="preserve"> PM</w:t>
      </w:r>
      <w:r>
        <w:rPr>
          <w:rFonts w:ascii="Times New Roman" w:hAnsi="Times New Roman"/>
          <w:sz w:val="24"/>
          <w:szCs w:val="24"/>
          <w:vertAlign w:val="subscript"/>
        </w:rPr>
        <w:t>10</w:t>
      </w:r>
      <w:r>
        <w:rPr>
          <w:rFonts w:ascii="Times New Roman" w:hAnsi="Times New Roman"/>
          <w:sz w:val="24"/>
          <w:szCs w:val="24"/>
        </w:rPr>
        <w:t xml:space="preserve"> measured during the same time period. Measurements of heavy metals for most incinerators were reported as Cd and Tl and their compounds (</w:t>
      </w:r>
      <w:proofErr w:type="spellStart"/>
      <w:r>
        <w:rPr>
          <w:rFonts w:ascii="Times New Roman" w:hAnsi="Times New Roman"/>
          <w:sz w:val="24"/>
          <w:szCs w:val="24"/>
        </w:rPr>
        <w:t>CdTl</w:t>
      </w:r>
      <w:proofErr w:type="spellEnd"/>
      <w:r>
        <w:rPr>
          <w:rFonts w:ascii="Times New Roman" w:hAnsi="Times New Roman"/>
          <w:sz w:val="24"/>
          <w:szCs w:val="24"/>
        </w:rPr>
        <w:t>), Hg and its compounds (</w:t>
      </w:r>
      <w:proofErr w:type="spellStart"/>
      <w:r>
        <w:rPr>
          <w:rFonts w:ascii="Times New Roman" w:hAnsi="Times New Roman"/>
          <w:sz w:val="24"/>
          <w:szCs w:val="24"/>
        </w:rPr>
        <w:t>HgComp</w:t>
      </w:r>
      <w:proofErr w:type="spellEnd"/>
      <w:r>
        <w:rPr>
          <w:rFonts w:ascii="Times New Roman" w:hAnsi="Times New Roman"/>
          <w:sz w:val="24"/>
          <w:szCs w:val="24"/>
        </w:rPr>
        <w:t xml:space="preserve">) and grouped other heavy metals (OHMs) comprising Sb, As, Cr, </w:t>
      </w:r>
      <w:proofErr w:type="spellStart"/>
      <w:r>
        <w:rPr>
          <w:rFonts w:ascii="Times New Roman" w:hAnsi="Times New Roman"/>
          <w:sz w:val="24"/>
          <w:szCs w:val="24"/>
        </w:rPr>
        <w:t>Pb</w:t>
      </w:r>
      <w:proofErr w:type="spellEnd"/>
      <w:r>
        <w:rPr>
          <w:rFonts w:ascii="Times New Roman" w:hAnsi="Times New Roman"/>
          <w:sz w:val="24"/>
          <w:szCs w:val="24"/>
        </w:rPr>
        <w:t xml:space="preserve">, Co, Cu, </w:t>
      </w:r>
      <w:proofErr w:type="spellStart"/>
      <w:r>
        <w:rPr>
          <w:rFonts w:ascii="Times New Roman" w:hAnsi="Times New Roman"/>
          <w:sz w:val="24"/>
          <w:szCs w:val="24"/>
        </w:rPr>
        <w:t>Mn</w:t>
      </w:r>
      <w:proofErr w:type="spellEnd"/>
      <w:r>
        <w:rPr>
          <w:rFonts w:ascii="Times New Roman" w:hAnsi="Times New Roman"/>
          <w:sz w:val="24"/>
          <w:szCs w:val="24"/>
        </w:rPr>
        <w:t xml:space="preserve">, Ni, and V (see </w:t>
      </w:r>
      <w:r>
        <w:rPr>
          <w:rFonts w:ascii="Times New Roman" w:hAnsi="Times New Roman"/>
          <w:sz w:val="24"/>
          <w:szCs w:val="24"/>
          <w:lang w:val="es-ES_tradnl"/>
        </w:rPr>
        <w:t xml:space="preserve">SI C, </w:t>
      </w:r>
      <w:proofErr w:type="spellStart"/>
      <w:r>
        <w:rPr>
          <w:rFonts w:ascii="Times New Roman" w:hAnsi="Times New Roman"/>
          <w:sz w:val="24"/>
          <w:szCs w:val="24"/>
          <w:lang w:val="es-ES_tradnl"/>
        </w:rPr>
        <w:t>Table</w:t>
      </w:r>
      <w:proofErr w:type="spellEnd"/>
      <w:r>
        <w:rPr>
          <w:rFonts w:ascii="Times New Roman" w:hAnsi="Times New Roman"/>
          <w:sz w:val="24"/>
          <w:szCs w:val="24"/>
          <w:lang w:val="es-ES_tradnl"/>
        </w:rPr>
        <w:t xml:space="preserve"> S3). </w:t>
      </w:r>
      <w:r>
        <w:rPr>
          <w:rFonts w:ascii="Times New Roman" w:hAnsi="Times New Roman"/>
          <w:sz w:val="24"/>
          <w:szCs w:val="24"/>
        </w:rPr>
        <w:t>As the data were not normal</w:t>
      </w:r>
      <w:r w:rsidR="009D7FD1">
        <w:rPr>
          <w:rFonts w:ascii="Times New Roman" w:hAnsi="Times New Roman"/>
          <w:sz w:val="24"/>
          <w:szCs w:val="24"/>
        </w:rPr>
        <w:t>ly distributed</w:t>
      </w:r>
      <w:r>
        <w:rPr>
          <w:rFonts w:ascii="Times New Roman" w:hAnsi="Times New Roman"/>
          <w:sz w:val="24"/>
          <w:szCs w:val="24"/>
        </w:rPr>
        <w:t xml:space="preserve">, a nonparametric Spearman’s rank correlation was used. This produces a coefficient, r, which ranges from -1 to 1. Values of -1 and 1 represent perfect </w:t>
      </w:r>
      <w:r>
        <w:rPr>
          <w:rFonts w:ascii="Times New Roman" w:hAnsi="Times New Roman"/>
          <w:sz w:val="24"/>
          <w:szCs w:val="24"/>
        </w:rPr>
        <w:lastRenderedPageBreak/>
        <w:t xml:space="preserve">negative or positive correlation respectively, whereas a value of 0 represents no correlation. </w:t>
      </w:r>
      <w:r>
        <w:rPr>
          <w:rFonts w:ascii="Times New Roman" w:hAnsi="Times New Roman"/>
          <w:sz w:val="24"/>
          <w:szCs w:val="24"/>
          <w:lang w:val="pt-PT"/>
        </w:rPr>
        <w:t xml:space="preserve">A </w:t>
      </w:r>
      <w:r>
        <w:rPr>
          <w:rFonts w:ascii="Times New Roman" w:hAnsi="Times New Roman"/>
          <w:sz w:val="24"/>
          <w:szCs w:val="24"/>
        </w:rPr>
        <w:t>Spearman correlation p-value &lt;0.05 was considered  statistically significant. As a Spearman’</w:t>
      </w:r>
      <w:r>
        <w:rPr>
          <w:rFonts w:ascii="Times New Roman" w:hAnsi="Times New Roman"/>
          <w:sz w:val="24"/>
          <w:szCs w:val="24"/>
          <w:lang w:val="fr-FR"/>
        </w:rPr>
        <w:t xml:space="preserve">s </w:t>
      </w:r>
      <w:proofErr w:type="spellStart"/>
      <w:r>
        <w:rPr>
          <w:rFonts w:ascii="Times New Roman" w:hAnsi="Times New Roman"/>
          <w:sz w:val="24"/>
          <w:szCs w:val="24"/>
          <w:lang w:val="fr-FR"/>
        </w:rPr>
        <w:t>rank</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correlation</w:t>
      </w:r>
      <w:proofErr w:type="spellEnd"/>
      <w:r>
        <w:rPr>
          <w:rFonts w:ascii="Times New Roman" w:hAnsi="Times New Roman"/>
          <w:sz w:val="24"/>
          <w:szCs w:val="24"/>
          <w:lang w:val="fr-FR"/>
        </w:rPr>
        <w:t xml:space="preserve"> </w:t>
      </w:r>
      <w:r>
        <w:rPr>
          <w:rFonts w:ascii="Times New Roman" w:hAnsi="Times New Roman"/>
          <w:sz w:val="24"/>
          <w:szCs w:val="24"/>
        </w:rPr>
        <w:t>will not account for differen</w:t>
      </w:r>
      <w:r w:rsidR="009D7FD1">
        <w:rPr>
          <w:rFonts w:ascii="Times New Roman" w:hAnsi="Times New Roman"/>
          <w:sz w:val="24"/>
          <w:szCs w:val="24"/>
        </w:rPr>
        <w:t>ces in</w:t>
      </w:r>
      <w:r>
        <w:rPr>
          <w:rFonts w:ascii="Times New Roman" w:hAnsi="Times New Roman"/>
          <w:sz w:val="24"/>
          <w:szCs w:val="24"/>
        </w:rPr>
        <w:t xml:space="preserve"> MWI</w:t>
      </w:r>
      <w:r w:rsidR="009D7FD1">
        <w:rPr>
          <w:rFonts w:ascii="Times New Roman" w:hAnsi="Times New Roman"/>
          <w:sz w:val="24"/>
          <w:szCs w:val="24"/>
        </w:rPr>
        <w:t xml:space="preserve"> operation</w:t>
      </w:r>
      <w:r>
        <w:rPr>
          <w:rFonts w:ascii="Times New Roman" w:hAnsi="Times New Roman"/>
          <w:sz w:val="24"/>
          <w:szCs w:val="24"/>
        </w:rPr>
        <w:t>s, flues, and years of data, a linear multiple regression model was used to adjust for these factors; we considered one pollutant at a time and used PM</w:t>
      </w:r>
      <w:r>
        <w:rPr>
          <w:rFonts w:ascii="Times New Roman" w:hAnsi="Times New Roman"/>
          <w:sz w:val="24"/>
          <w:szCs w:val="24"/>
          <w:vertAlign w:val="subscript"/>
        </w:rPr>
        <w:t>10</w:t>
      </w:r>
      <w:r>
        <w:rPr>
          <w:rFonts w:ascii="Times New Roman" w:hAnsi="Times New Roman"/>
          <w:sz w:val="24"/>
          <w:szCs w:val="24"/>
        </w:rPr>
        <w:t>, year, flues and MWI as predictors. Data were checked for normality (</w:t>
      </w:r>
      <w:r w:rsidR="009D7FD1">
        <w:rPr>
          <w:rFonts w:ascii="Times New Roman" w:hAnsi="Times New Roman"/>
          <w:sz w:val="24"/>
          <w:szCs w:val="24"/>
        </w:rPr>
        <w:t>from</w:t>
      </w:r>
      <w:r>
        <w:rPr>
          <w:rFonts w:ascii="Times New Roman" w:hAnsi="Times New Roman"/>
          <w:sz w:val="24"/>
          <w:szCs w:val="24"/>
        </w:rPr>
        <w:t xml:space="preserve"> Q-Q plots) and log transformed if necessary. We report the estimated coefficients with p-values, and the partial η</w:t>
      </w:r>
      <w:r>
        <w:rPr>
          <w:rFonts w:ascii="Times New Roman" w:hAnsi="Times New Roman"/>
          <w:sz w:val="24"/>
          <w:szCs w:val="24"/>
          <w:vertAlign w:val="superscript"/>
        </w:rPr>
        <w:t>2</w:t>
      </w:r>
      <w:r>
        <w:rPr>
          <w:rFonts w:ascii="Times New Roman" w:hAnsi="Times New Roman"/>
          <w:sz w:val="24"/>
          <w:szCs w:val="24"/>
        </w:rPr>
        <w:t xml:space="preserve"> -which is the variance associated with an effect divided by that variance plus the error variance</w:t>
      </w:r>
      <w:r w:rsidR="009D7FD1">
        <w:rPr>
          <w:rFonts w:ascii="Times New Roman" w:hAnsi="Times New Roman"/>
          <w:sz w:val="24"/>
          <w:szCs w:val="24"/>
        </w:rPr>
        <w:t>,</w:t>
      </w:r>
      <w:r>
        <w:rPr>
          <w:rFonts w:ascii="Times New Roman" w:hAnsi="Times New Roman"/>
          <w:sz w:val="24"/>
          <w:szCs w:val="24"/>
        </w:rPr>
        <w:t xml:space="preserve"> </w:t>
      </w:r>
      <w:r w:rsidR="009D7FD1">
        <w:rPr>
          <w:rFonts w:ascii="Times New Roman" w:hAnsi="Times New Roman"/>
          <w:sz w:val="24"/>
          <w:szCs w:val="24"/>
        </w:rPr>
        <w:t xml:space="preserve">to </w:t>
      </w:r>
      <w:r>
        <w:rPr>
          <w:rFonts w:ascii="Times New Roman" w:hAnsi="Times New Roman"/>
          <w:sz w:val="24"/>
          <w:szCs w:val="24"/>
        </w:rPr>
        <w:t>describe the proportion of variance accounted for by the variable.</w:t>
      </w:r>
    </w:p>
    <w:p w14:paraId="3D31E39B" w14:textId="77777777" w:rsidR="00CE4D98" w:rsidRDefault="00CE4D98" w:rsidP="0042487D">
      <w:pPr>
        <w:pStyle w:val="Body"/>
        <w:spacing w:after="0" w:line="480" w:lineRule="auto"/>
        <w:rPr>
          <w:rFonts w:eastAsia="Times New Roman"/>
        </w:rPr>
      </w:pPr>
    </w:p>
    <w:p w14:paraId="3DF57CFD" w14:textId="77777777" w:rsidR="00CE4D98" w:rsidRDefault="00FA4CA4" w:rsidP="0042487D">
      <w:pPr>
        <w:pStyle w:val="Body"/>
        <w:spacing w:after="0" w:line="480" w:lineRule="auto"/>
        <w:rPr>
          <w:rFonts w:eastAsia="Times New Roman"/>
          <w:b/>
          <w:bCs/>
        </w:rPr>
      </w:pPr>
      <w:r>
        <w:rPr>
          <w:rFonts w:ascii="Times New Roman" w:hAnsi="Times New Roman"/>
          <w:b/>
          <w:bCs/>
          <w:sz w:val="24"/>
          <w:szCs w:val="24"/>
        </w:rPr>
        <w:t>Detecting changes in levels of PM</w:t>
      </w:r>
      <w:r>
        <w:rPr>
          <w:rFonts w:ascii="Times New Roman" w:hAnsi="Times New Roman"/>
          <w:b/>
          <w:bCs/>
          <w:sz w:val="24"/>
          <w:szCs w:val="24"/>
          <w:vertAlign w:val="subscript"/>
        </w:rPr>
        <w:t>10</w:t>
      </w:r>
      <w:r>
        <w:rPr>
          <w:rFonts w:ascii="Times New Roman" w:hAnsi="Times New Roman"/>
          <w:b/>
          <w:bCs/>
          <w:sz w:val="24"/>
          <w:szCs w:val="24"/>
        </w:rPr>
        <w:t xml:space="preserve"> emissions after the implementation of the EU-WID</w:t>
      </w:r>
    </w:p>
    <w:p w14:paraId="0DC8BAEC" w14:textId="1628A9F8" w:rsidR="00CE4D98" w:rsidRDefault="00FA4CA4" w:rsidP="0042487D">
      <w:pPr>
        <w:pStyle w:val="Body"/>
        <w:spacing w:after="0" w:line="480" w:lineRule="auto"/>
        <w:jc w:val="both"/>
        <w:rPr>
          <w:rFonts w:eastAsia="Times New Roman"/>
        </w:rPr>
      </w:pPr>
      <w:r>
        <w:rPr>
          <w:rFonts w:ascii="Times New Roman" w:hAnsi="Times New Roman"/>
          <w:sz w:val="24"/>
          <w:szCs w:val="24"/>
        </w:rPr>
        <w:t xml:space="preserve">Data from MWI installations operating prior to the EU-WID were investigated to determine if emissions changed before or after the implementation date and when any change took place, as timings could be used to inform epidemiological analyses investigating changes in health outcomes rates before/after EU-WID implementation. Firstly, we conducted a descriptive analysis of the daily average modelled concentrations (Table 2, SI H, </w:t>
      </w:r>
      <w:proofErr w:type="gramStart"/>
      <w:r>
        <w:rPr>
          <w:rFonts w:ascii="Times New Roman" w:hAnsi="Times New Roman"/>
          <w:sz w:val="24"/>
          <w:szCs w:val="24"/>
        </w:rPr>
        <w:t>Figure</w:t>
      </w:r>
      <w:proofErr w:type="gramEnd"/>
      <w:r>
        <w:rPr>
          <w:rFonts w:ascii="Times New Roman" w:hAnsi="Times New Roman"/>
          <w:sz w:val="24"/>
          <w:szCs w:val="24"/>
        </w:rPr>
        <w:t xml:space="preserve"> S3) over time. Secondly, as MWIs had implemented technical changes at unspecified time points leading up to the EU-WID implementation date of 28 December 2005, we carried out a retrospective change point identification analysis using a Batch Change Detection (BCD) approach, which attempts to identify periods when there are changes in the time series distribution. We were unable to use time trend analysis due to gaps in the data from non-operational days and missing data. For the BCD analysis we used monitored in-flue 2003-10 PM</w:t>
      </w:r>
      <w:r>
        <w:rPr>
          <w:rFonts w:ascii="Times New Roman" w:hAnsi="Times New Roman"/>
          <w:sz w:val="24"/>
          <w:szCs w:val="24"/>
          <w:vertAlign w:val="subscript"/>
        </w:rPr>
        <w:t>10</w:t>
      </w:r>
      <w:r>
        <w:rPr>
          <w:rFonts w:ascii="Times New Roman" w:hAnsi="Times New Roman"/>
          <w:sz w:val="24"/>
          <w:szCs w:val="24"/>
        </w:rPr>
        <w:t xml:space="preserve"> emissions data for 11 of the 14 existing MWIs in operation when the EU-WID was adopted (Table 1). Dundee MWI was excluded as data were only available from 2005, Dudley MWI and </w:t>
      </w:r>
      <w:proofErr w:type="spellStart"/>
      <w:r>
        <w:rPr>
          <w:rFonts w:ascii="Times New Roman" w:hAnsi="Times New Roman"/>
          <w:sz w:val="24"/>
          <w:szCs w:val="24"/>
        </w:rPr>
        <w:t>Kirklees</w:t>
      </w:r>
      <w:proofErr w:type="spellEnd"/>
      <w:r>
        <w:rPr>
          <w:rFonts w:ascii="Times New Roman" w:hAnsi="Times New Roman"/>
          <w:sz w:val="24"/>
          <w:szCs w:val="24"/>
        </w:rPr>
        <w:t xml:space="preserve"> MWI </w:t>
      </w:r>
      <w:r w:rsidR="009D7FD1">
        <w:rPr>
          <w:rFonts w:ascii="Times New Roman" w:hAnsi="Times New Roman"/>
          <w:sz w:val="24"/>
          <w:szCs w:val="24"/>
        </w:rPr>
        <w:t>were</w:t>
      </w:r>
      <w:r>
        <w:rPr>
          <w:rFonts w:ascii="Times New Roman" w:hAnsi="Times New Roman"/>
          <w:sz w:val="24"/>
          <w:szCs w:val="24"/>
        </w:rPr>
        <w:t xml:space="preserve"> excluded as data were missing for 2003-05 and the third flue for </w:t>
      </w:r>
      <w:proofErr w:type="spellStart"/>
      <w:r>
        <w:rPr>
          <w:rFonts w:ascii="Times New Roman" w:hAnsi="Times New Roman"/>
          <w:sz w:val="24"/>
          <w:szCs w:val="24"/>
        </w:rPr>
        <w:t>Stockton-on-Tees</w:t>
      </w:r>
      <w:proofErr w:type="spellEnd"/>
      <w:r>
        <w:rPr>
          <w:rFonts w:ascii="Times New Roman" w:hAnsi="Times New Roman"/>
          <w:sz w:val="24"/>
          <w:szCs w:val="24"/>
        </w:rPr>
        <w:t xml:space="preserve"> was </w:t>
      </w:r>
      <w:r>
        <w:rPr>
          <w:rFonts w:ascii="Times New Roman" w:hAnsi="Times New Roman"/>
          <w:sz w:val="24"/>
          <w:szCs w:val="24"/>
        </w:rPr>
        <w:lastRenderedPageBreak/>
        <w:t>excluded as it was only operational in 2009 and 2010 (see SI E, Table S4). Coventry MWI could only be considered from 2004 onwards as data for 2003 were missing (see SI E, Table S4). Daily in-flue PM</w:t>
      </w:r>
      <w:r>
        <w:rPr>
          <w:rFonts w:ascii="Times New Roman" w:hAnsi="Times New Roman"/>
          <w:sz w:val="24"/>
          <w:szCs w:val="24"/>
          <w:vertAlign w:val="subscript"/>
        </w:rPr>
        <w:t>10</w:t>
      </w:r>
      <w:r>
        <w:rPr>
          <w:rFonts w:ascii="Times New Roman" w:hAnsi="Times New Roman"/>
          <w:sz w:val="24"/>
          <w:szCs w:val="24"/>
        </w:rPr>
        <w:t xml:space="preserve"> emissions data were treated as independent observations. Only days when the incinerator was classed as operational and reported daily PM</w:t>
      </w:r>
      <w:r>
        <w:rPr>
          <w:rFonts w:ascii="Times New Roman" w:hAnsi="Times New Roman"/>
          <w:sz w:val="24"/>
          <w:szCs w:val="24"/>
          <w:vertAlign w:val="subscript"/>
        </w:rPr>
        <w:t>10</w:t>
      </w:r>
      <w:r>
        <w:rPr>
          <w:rFonts w:ascii="Times New Roman" w:hAnsi="Times New Roman"/>
          <w:sz w:val="24"/>
          <w:szCs w:val="24"/>
        </w:rPr>
        <w:t xml:space="preserve"> in-flue concentrations were included. The date of the change point τ was estimated by a non-parametric Cramer-von-</w:t>
      </w:r>
      <w:proofErr w:type="spellStart"/>
      <w:r>
        <w:rPr>
          <w:rFonts w:ascii="Times New Roman" w:hAnsi="Times New Roman"/>
          <w:sz w:val="24"/>
          <w:szCs w:val="24"/>
        </w:rPr>
        <w:t>Mises</w:t>
      </w:r>
      <w:proofErr w:type="spellEnd"/>
      <w:r>
        <w:rPr>
          <w:rFonts w:ascii="Times New Roman" w:hAnsi="Times New Roman"/>
          <w:sz w:val="24"/>
          <w:szCs w:val="24"/>
        </w:rPr>
        <w:t xml:space="preserve"> test (details in SI I, Equation S1). This test was chosen as it suits non-Gaussian distributed data, </w:t>
      </w:r>
      <w:proofErr w:type="spellStart"/>
      <w:r>
        <w:rPr>
          <w:rFonts w:ascii="Times New Roman" w:hAnsi="Times New Roman"/>
          <w:sz w:val="24"/>
          <w:szCs w:val="24"/>
        </w:rPr>
        <w:t>characterised</w:t>
      </w:r>
      <w:proofErr w:type="spellEnd"/>
      <w:r>
        <w:rPr>
          <w:rFonts w:ascii="Times New Roman" w:hAnsi="Times New Roman"/>
          <w:sz w:val="24"/>
          <w:szCs w:val="24"/>
        </w:rPr>
        <w:t xml:space="preserve"> by zero inflation and by extreme values. It tests for shifts in scale (variability measures, e.g. variance) or location (e.g. mean, median). We computed a test value for each observation and defined the change point as the maximum test value. The statistical analyses were conducted in R using the </w:t>
      </w:r>
      <w:proofErr w:type="spellStart"/>
      <w:r>
        <w:rPr>
          <w:rFonts w:ascii="Times New Roman" w:hAnsi="Times New Roman"/>
          <w:sz w:val="24"/>
          <w:szCs w:val="24"/>
        </w:rPr>
        <w:t>cpm</w:t>
      </w:r>
      <w:proofErr w:type="spellEnd"/>
      <w:r>
        <w:rPr>
          <w:rFonts w:ascii="Times New Roman" w:hAnsi="Times New Roman"/>
          <w:sz w:val="24"/>
          <w:szCs w:val="24"/>
        </w:rPr>
        <w:t xml:space="preserve"> package.</w:t>
      </w:r>
      <w:r>
        <w:rPr>
          <w:rFonts w:ascii="Times New Roman" w:hAnsi="Times New Roman"/>
          <w:sz w:val="24"/>
          <w:szCs w:val="24"/>
          <w:vertAlign w:val="superscript"/>
        </w:rPr>
        <w:t>27</w:t>
      </w:r>
    </w:p>
    <w:p w14:paraId="68B7AE5F" w14:textId="77777777" w:rsidR="00CE4D98" w:rsidRDefault="00CE4D98" w:rsidP="0042487D">
      <w:pPr>
        <w:pStyle w:val="Body"/>
        <w:spacing w:after="0" w:line="480" w:lineRule="auto"/>
        <w:jc w:val="both"/>
        <w:rPr>
          <w:rFonts w:eastAsia="Times New Roman"/>
        </w:rPr>
      </w:pPr>
    </w:p>
    <w:p w14:paraId="69A96D04" w14:textId="77777777" w:rsidR="00CE4D98" w:rsidRPr="0059379F" w:rsidRDefault="00FA4CA4" w:rsidP="0042487D">
      <w:pPr>
        <w:pStyle w:val="Body"/>
        <w:spacing w:after="0" w:line="480" w:lineRule="auto"/>
        <w:rPr>
          <w:rFonts w:eastAsia="Times New Roman"/>
          <w:b/>
          <w:bCs/>
          <w:sz w:val="28"/>
          <w:szCs w:val="28"/>
        </w:rPr>
      </w:pPr>
      <w:r>
        <w:rPr>
          <w:rFonts w:ascii="Times New Roman" w:hAnsi="Times New Roman"/>
          <w:b/>
          <w:bCs/>
          <w:sz w:val="28"/>
          <w:szCs w:val="28"/>
        </w:rPr>
        <w:t xml:space="preserve">Results </w:t>
      </w:r>
    </w:p>
    <w:p w14:paraId="23C831FC" w14:textId="77777777" w:rsidR="00CE4D98" w:rsidRDefault="00FA4CA4" w:rsidP="0042487D">
      <w:pPr>
        <w:pStyle w:val="Body"/>
        <w:spacing w:after="0" w:line="480" w:lineRule="auto"/>
        <w:rPr>
          <w:rFonts w:eastAsia="Times New Roman"/>
          <w:b/>
          <w:bCs/>
        </w:rPr>
      </w:pPr>
      <w:r>
        <w:rPr>
          <w:rFonts w:ascii="Times New Roman" w:hAnsi="Times New Roman"/>
          <w:b/>
          <w:bCs/>
          <w:sz w:val="24"/>
          <w:szCs w:val="24"/>
        </w:rPr>
        <w:t>Dispersion modelling to predict spatial distribution of PM</w:t>
      </w:r>
      <w:r>
        <w:rPr>
          <w:rFonts w:ascii="Times New Roman" w:hAnsi="Times New Roman"/>
          <w:b/>
          <w:bCs/>
          <w:sz w:val="24"/>
          <w:szCs w:val="24"/>
          <w:vertAlign w:val="subscript"/>
        </w:rPr>
        <w:t>10</w:t>
      </w:r>
      <w:r>
        <w:rPr>
          <w:rFonts w:ascii="Times New Roman" w:hAnsi="Times New Roman"/>
          <w:b/>
          <w:bCs/>
          <w:sz w:val="24"/>
          <w:szCs w:val="24"/>
        </w:rPr>
        <w:t xml:space="preserve"> concentrations within 10 km of GB MWIs</w:t>
      </w:r>
    </w:p>
    <w:p w14:paraId="523249DE" w14:textId="77777777" w:rsidR="00CE4D98" w:rsidRDefault="00FA4CA4" w:rsidP="0042487D">
      <w:pPr>
        <w:pStyle w:val="Body"/>
        <w:spacing w:after="0" w:line="480" w:lineRule="auto"/>
        <w:rPr>
          <w:rFonts w:eastAsia="Times New Roman"/>
        </w:rPr>
      </w:pPr>
      <w:r>
        <w:rPr>
          <w:rFonts w:ascii="Times New Roman" w:hAnsi="Times New Roman"/>
          <w:sz w:val="24"/>
          <w:szCs w:val="24"/>
        </w:rPr>
        <w:t>Annual mean average modelled PM</w:t>
      </w:r>
      <w:r>
        <w:rPr>
          <w:rFonts w:ascii="Times New Roman" w:hAnsi="Times New Roman"/>
          <w:sz w:val="24"/>
          <w:szCs w:val="24"/>
          <w:vertAlign w:val="subscript"/>
        </w:rPr>
        <w:t>10</w:t>
      </w:r>
      <w:r>
        <w:rPr>
          <w:rFonts w:ascii="Times New Roman" w:hAnsi="Times New Roman"/>
          <w:sz w:val="24"/>
          <w:szCs w:val="24"/>
        </w:rPr>
        <w:t xml:space="preserve"> concentrations (based on daily average modelled PM</w:t>
      </w:r>
      <w:r>
        <w:rPr>
          <w:rFonts w:ascii="Times New Roman" w:hAnsi="Times New Roman"/>
          <w:sz w:val="24"/>
          <w:szCs w:val="24"/>
          <w:vertAlign w:val="subscript"/>
        </w:rPr>
        <w:t>10</w:t>
      </w:r>
      <w:r>
        <w:rPr>
          <w:rFonts w:ascii="Times New Roman" w:hAnsi="Times New Roman"/>
          <w:sz w:val="24"/>
          <w:szCs w:val="24"/>
        </w:rPr>
        <w:t xml:space="preserve"> concentrations) per MWI and per year ranged from 1.00</w:t>
      </w:r>
      <w:r w:rsidRPr="003C74B9">
        <w:rPr>
          <w:sz w:val="24"/>
        </w:rPr>
        <w:t>·</w:t>
      </w:r>
      <w:r>
        <w:rPr>
          <w:rFonts w:ascii="Times New Roman" w:hAnsi="Times New Roman"/>
          <w:sz w:val="24"/>
          <w:szCs w:val="24"/>
        </w:rPr>
        <w:t>10</w:t>
      </w:r>
      <w:r>
        <w:rPr>
          <w:rFonts w:ascii="Times New Roman" w:hAnsi="Times New Roman"/>
          <w:sz w:val="24"/>
          <w:szCs w:val="24"/>
          <w:vertAlign w:val="superscript"/>
        </w:rPr>
        <w:t>-5</w:t>
      </w:r>
      <w:r>
        <w:rPr>
          <w:rFonts w:ascii="Times New Roman" w:hAnsi="Times New Roman"/>
          <w:sz w:val="24"/>
          <w:szCs w:val="24"/>
        </w:rPr>
        <w:t xml:space="preserve"> to 5.53</w:t>
      </w:r>
      <w:r w:rsidRPr="003C74B9">
        <w:rPr>
          <w:sz w:val="24"/>
        </w:rPr>
        <w:t>·</w:t>
      </w:r>
      <w:r>
        <w:rPr>
          <w:rFonts w:ascii="Times New Roman" w:hAnsi="Times New Roman"/>
          <w:sz w:val="24"/>
          <w:szCs w:val="24"/>
        </w:rPr>
        <w:t>10</w:t>
      </w:r>
      <w:r w:rsidRPr="0042487D">
        <w:rPr>
          <w:rFonts w:ascii="Times New Roman" w:hAnsi="Times New Roman"/>
          <w:sz w:val="24"/>
          <w:vertAlign w:val="superscript"/>
          <w:lang w:val="it-IT"/>
        </w:rPr>
        <w:t xml:space="preserve">-2 </w:t>
      </w:r>
      <w:r>
        <w:rPr>
          <w:rFonts w:ascii="Times New Roman" w:hAnsi="Times New Roman"/>
          <w:sz w:val="24"/>
          <w:szCs w:val="24"/>
        </w:rPr>
        <w:t>µ</w:t>
      </w:r>
      <w:r w:rsidRPr="0042487D">
        <w:rPr>
          <w:rFonts w:ascii="Times New Roman" w:hAnsi="Times New Roman"/>
          <w:sz w:val="24"/>
          <w:lang w:val="nl-NL"/>
        </w:rPr>
        <w:t>g m</w:t>
      </w:r>
      <w:r>
        <w:rPr>
          <w:rFonts w:ascii="Times New Roman" w:hAnsi="Times New Roman"/>
          <w:sz w:val="24"/>
          <w:szCs w:val="24"/>
          <w:vertAlign w:val="superscript"/>
        </w:rPr>
        <w:t>-3</w:t>
      </w:r>
      <w:r>
        <w:rPr>
          <w:rFonts w:ascii="Times New Roman" w:hAnsi="Times New Roman"/>
          <w:sz w:val="24"/>
          <w:szCs w:val="24"/>
        </w:rPr>
        <w:t xml:space="preserve"> (Table 2). Complex overlapping dispersion patterns were shown for those areas with overlapping fields from multiple MWIs (Figure 2): surfaces (a) SELCHP and Edmonton and (b) Dudley, </w:t>
      </w:r>
      <w:proofErr w:type="spellStart"/>
      <w:r>
        <w:rPr>
          <w:rFonts w:ascii="Times New Roman" w:hAnsi="Times New Roman"/>
          <w:sz w:val="24"/>
          <w:szCs w:val="24"/>
        </w:rPr>
        <w:t>Tyseley</w:t>
      </w:r>
      <w:proofErr w:type="spellEnd"/>
      <w:r>
        <w:rPr>
          <w:rFonts w:ascii="Times New Roman" w:hAnsi="Times New Roman"/>
          <w:sz w:val="24"/>
          <w:szCs w:val="24"/>
        </w:rPr>
        <w:t xml:space="preserve"> and </w:t>
      </w:r>
      <w:proofErr w:type="spellStart"/>
      <w:r>
        <w:rPr>
          <w:rFonts w:ascii="Times New Roman" w:hAnsi="Times New Roman"/>
          <w:sz w:val="24"/>
          <w:szCs w:val="24"/>
        </w:rPr>
        <w:t>Wolverhampton</w:t>
      </w:r>
      <w:proofErr w:type="spellEnd"/>
      <w:r>
        <w:rPr>
          <w:rFonts w:ascii="Times New Roman" w:hAnsi="Times New Roman"/>
          <w:sz w:val="24"/>
          <w:szCs w:val="24"/>
        </w:rPr>
        <w:t>. In some instances (429 days total, 0-83 days per incinerator), a modelled output value was not calculated (across all postcodes) by ADMS-Urban even though the MWI was classified as being operational (‘on’ or ‘</w:t>
      </w:r>
      <w:r w:rsidRPr="0042487D">
        <w:rPr>
          <w:rFonts w:ascii="Times New Roman" w:hAnsi="Times New Roman"/>
          <w:sz w:val="24"/>
          <w:lang w:val="nl-NL"/>
        </w:rPr>
        <w:t>missing</w:t>
      </w:r>
      <w:r>
        <w:rPr>
          <w:rFonts w:ascii="Times New Roman" w:hAnsi="Times New Roman"/>
          <w:sz w:val="24"/>
          <w:szCs w:val="24"/>
        </w:rPr>
        <w:t>’). This may occur for a number of reasons, but is commonly due to data processing error (e.g. when wind speed values are very low (&lt;0.75 m s</w:t>
      </w:r>
      <w:r w:rsidRPr="0042487D">
        <w:rPr>
          <w:rFonts w:ascii="Times New Roman" w:hAnsi="Times New Roman"/>
          <w:sz w:val="24"/>
          <w:vertAlign w:val="superscript"/>
          <w:lang w:val="ru-RU"/>
        </w:rPr>
        <w:t>-1</w:t>
      </w:r>
      <w:r>
        <w:rPr>
          <w:rFonts w:ascii="Times New Roman" w:hAnsi="Times New Roman"/>
          <w:sz w:val="24"/>
          <w:szCs w:val="24"/>
        </w:rPr>
        <w:t xml:space="preserve"> when measured at 10 m above ground level), or missing meteorological data.</w:t>
      </w:r>
      <w:r>
        <w:rPr>
          <w:rFonts w:ascii="Times New Roman" w:hAnsi="Times New Roman"/>
          <w:sz w:val="24"/>
          <w:szCs w:val="24"/>
          <w:vertAlign w:val="superscript"/>
        </w:rPr>
        <w:t>28</w:t>
      </w:r>
      <w:r>
        <w:rPr>
          <w:rFonts w:ascii="Times New Roman" w:hAnsi="Times New Roman"/>
          <w:sz w:val="24"/>
          <w:szCs w:val="24"/>
        </w:rPr>
        <w:t xml:space="preserve"> </w:t>
      </w:r>
    </w:p>
    <w:p w14:paraId="6E48A1C3" w14:textId="77777777" w:rsidR="00CE4D98" w:rsidRDefault="00CE4D98" w:rsidP="0042487D">
      <w:pPr>
        <w:pStyle w:val="Body"/>
        <w:spacing w:after="0" w:line="480" w:lineRule="auto"/>
        <w:rPr>
          <w:rFonts w:eastAsia="Times New Roman"/>
          <w:b/>
          <w:bCs/>
        </w:rPr>
      </w:pPr>
    </w:p>
    <w:p w14:paraId="7372A70E" w14:textId="77777777" w:rsidR="00CE4D98" w:rsidRDefault="00FA4CA4" w:rsidP="0042487D">
      <w:pPr>
        <w:pStyle w:val="Body"/>
        <w:spacing w:after="0" w:line="480" w:lineRule="auto"/>
        <w:rPr>
          <w:rFonts w:eastAsia="Times New Roman"/>
          <w:b/>
          <w:bCs/>
        </w:rPr>
      </w:pPr>
      <w:r>
        <w:rPr>
          <w:rFonts w:ascii="Times New Roman" w:hAnsi="Times New Roman"/>
          <w:b/>
          <w:bCs/>
          <w:sz w:val="24"/>
          <w:szCs w:val="24"/>
        </w:rPr>
        <w:lastRenderedPageBreak/>
        <w:t xml:space="preserve">Emissions above the EU-WID daily average particulate limit value </w:t>
      </w:r>
    </w:p>
    <w:p w14:paraId="107FAF9C" w14:textId="77777777" w:rsidR="00CE4D98" w:rsidRDefault="00FA4CA4" w:rsidP="0042487D">
      <w:pPr>
        <w:pStyle w:val="Body"/>
        <w:spacing w:after="0" w:line="480" w:lineRule="auto"/>
        <w:rPr>
          <w:rFonts w:eastAsia="Times New Roman"/>
        </w:rPr>
      </w:pPr>
      <w:r>
        <w:rPr>
          <w:rFonts w:ascii="Times New Roman" w:hAnsi="Times New Roman"/>
          <w:sz w:val="24"/>
          <w:szCs w:val="24"/>
        </w:rPr>
        <w:t>There were a small number of days with emissions above the EU-WID daily average particulate limit value in 14 of the 22 MWIs, the majority of which were &lt;20 mg m</w:t>
      </w:r>
      <w:r>
        <w:rPr>
          <w:rFonts w:ascii="Times New Roman" w:hAnsi="Times New Roman"/>
          <w:sz w:val="24"/>
          <w:szCs w:val="24"/>
          <w:vertAlign w:val="superscript"/>
        </w:rPr>
        <w:t>-3</w:t>
      </w:r>
      <w:r>
        <w:rPr>
          <w:rFonts w:ascii="Times New Roman" w:hAnsi="Times New Roman"/>
          <w:sz w:val="24"/>
          <w:szCs w:val="24"/>
        </w:rPr>
        <w:t xml:space="preserve"> (Table 1; SI J Table S7). There was no distinct pattern that might indicate that there were fewer emissions above the EU-WID daily average particulate limit value after the implementation of the EU-WID, or more instances of emissions &gt;10 mg m</w:t>
      </w:r>
      <w:r>
        <w:rPr>
          <w:rFonts w:ascii="Times New Roman" w:hAnsi="Times New Roman"/>
          <w:sz w:val="24"/>
          <w:szCs w:val="24"/>
          <w:vertAlign w:val="superscript"/>
        </w:rPr>
        <w:t>-3</w:t>
      </w:r>
      <w:r>
        <w:rPr>
          <w:rFonts w:ascii="Times New Roman" w:hAnsi="Times New Roman"/>
          <w:sz w:val="24"/>
          <w:szCs w:val="24"/>
        </w:rPr>
        <w:t xml:space="preserve"> before it.</w:t>
      </w:r>
    </w:p>
    <w:p w14:paraId="0D80C054" w14:textId="77777777" w:rsidR="00CE4D98" w:rsidRDefault="00CE4D98" w:rsidP="0042487D">
      <w:pPr>
        <w:pStyle w:val="Body"/>
        <w:spacing w:after="0" w:line="480" w:lineRule="auto"/>
        <w:jc w:val="both"/>
        <w:rPr>
          <w:rFonts w:eastAsia="Times New Roman"/>
          <w:b/>
          <w:bCs/>
        </w:rPr>
      </w:pPr>
    </w:p>
    <w:p w14:paraId="1F5F0306" w14:textId="77777777" w:rsidR="00CE4D98" w:rsidRDefault="00FA4CA4" w:rsidP="0042487D">
      <w:pPr>
        <w:pStyle w:val="Body"/>
        <w:spacing w:after="0" w:line="480" w:lineRule="auto"/>
        <w:rPr>
          <w:rFonts w:eastAsia="Times New Roman"/>
          <w:b/>
          <w:bCs/>
        </w:rPr>
      </w:pPr>
      <w:proofErr w:type="spellStart"/>
      <w:r w:rsidRPr="0042487D">
        <w:rPr>
          <w:rFonts w:ascii="Times New Roman" w:hAnsi="Times New Roman"/>
          <w:b/>
          <w:sz w:val="24"/>
          <w:lang w:val="fr-FR"/>
        </w:rPr>
        <w:t>Correlations</w:t>
      </w:r>
      <w:proofErr w:type="spellEnd"/>
      <w:r>
        <w:rPr>
          <w:rFonts w:ascii="Times New Roman" w:hAnsi="Times New Roman"/>
          <w:b/>
          <w:bCs/>
          <w:sz w:val="24"/>
          <w:szCs w:val="24"/>
          <w:lang w:val="fr-FR"/>
        </w:rPr>
        <w:t xml:space="preserve"> </w:t>
      </w:r>
      <w:r>
        <w:rPr>
          <w:rFonts w:ascii="Times New Roman" w:hAnsi="Times New Roman"/>
          <w:b/>
          <w:bCs/>
          <w:sz w:val="24"/>
          <w:szCs w:val="24"/>
        </w:rPr>
        <w:t>and associations between PM</w:t>
      </w:r>
      <w:r>
        <w:rPr>
          <w:rFonts w:ascii="Times New Roman" w:hAnsi="Times New Roman"/>
          <w:b/>
          <w:bCs/>
          <w:sz w:val="24"/>
          <w:szCs w:val="24"/>
          <w:vertAlign w:val="subscript"/>
        </w:rPr>
        <w:t>10</w:t>
      </w:r>
      <w:r>
        <w:rPr>
          <w:rFonts w:ascii="Times New Roman" w:hAnsi="Times New Roman"/>
          <w:b/>
          <w:bCs/>
          <w:sz w:val="24"/>
          <w:szCs w:val="24"/>
        </w:rPr>
        <w:t xml:space="preserve"> emissions and other flue emissions</w:t>
      </w:r>
    </w:p>
    <w:p w14:paraId="1B03D2FA" w14:textId="30B06CC4" w:rsidR="00CE4D98" w:rsidRDefault="00FA4CA4" w:rsidP="0042487D">
      <w:pPr>
        <w:pStyle w:val="Body"/>
        <w:spacing w:after="0" w:line="480" w:lineRule="auto"/>
        <w:rPr>
          <w:rFonts w:eastAsia="Times New Roman"/>
        </w:rPr>
      </w:pPr>
      <w:r>
        <w:rPr>
          <w:rFonts w:ascii="Times New Roman" w:hAnsi="Times New Roman"/>
          <w:sz w:val="24"/>
          <w:szCs w:val="24"/>
        </w:rPr>
        <w:t>Statistically significant correlations were observed between PM</w:t>
      </w:r>
      <w:r>
        <w:rPr>
          <w:rFonts w:ascii="Times New Roman" w:hAnsi="Times New Roman"/>
          <w:sz w:val="24"/>
          <w:szCs w:val="24"/>
          <w:vertAlign w:val="subscript"/>
        </w:rPr>
        <w:t>10</w:t>
      </w:r>
      <w:r>
        <w:rPr>
          <w:rFonts w:ascii="Times New Roman" w:hAnsi="Times New Roman"/>
          <w:sz w:val="24"/>
          <w:szCs w:val="24"/>
          <w:vertAlign w:val="superscript"/>
        </w:rPr>
        <w:t xml:space="preserve"> </w:t>
      </w:r>
      <w:r>
        <w:rPr>
          <w:rFonts w:ascii="Times New Roman" w:hAnsi="Times New Roman"/>
          <w:sz w:val="24"/>
          <w:szCs w:val="24"/>
        </w:rPr>
        <w:t>and OHMs (r=0.43, p&lt;0.001), PAH</w:t>
      </w:r>
      <w:r w:rsidR="00D55320">
        <w:rPr>
          <w:rFonts w:ascii="Times New Roman" w:hAnsi="Times New Roman"/>
          <w:sz w:val="24"/>
          <w:szCs w:val="24"/>
        </w:rPr>
        <w:t>s</w:t>
      </w:r>
      <w:r>
        <w:rPr>
          <w:rFonts w:ascii="Times New Roman" w:hAnsi="Times New Roman"/>
          <w:sz w:val="24"/>
          <w:szCs w:val="24"/>
        </w:rPr>
        <w:t xml:space="preserve"> (r=0.20, p=0.050), and PCB</w:t>
      </w:r>
      <w:r w:rsidR="009D7FD1">
        <w:rPr>
          <w:rFonts w:ascii="Times New Roman" w:hAnsi="Times New Roman"/>
          <w:sz w:val="24"/>
          <w:szCs w:val="24"/>
        </w:rPr>
        <w:t>s</w:t>
      </w:r>
      <w:r>
        <w:rPr>
          <w:rFonts w:ascii="Times New Roman" w:hAnsi="Times New Roman"/>
          <w:sz w:val="24"/>
          <w:szCs w:val="24"/>
        </w:rPr>
        <w:t xml:space="preserve"> (r=0.19, p=0.022), with borderline statistically significant correlations between PM</w:t>
      </w:r>
      <w:r>
        <w:rPr>
          <w:rFonts w:ascii="Times New Roman" w:hAnsi="Times New Roman"/>
          <w:sz w:val="24"/>
          <w:szCs w:val="24"/>
          <w:vertAlign w:val="subscript"/>
        </w:rPr>
        <w:t>10</w:t>
      </w:r>
      <w:r>
        <w:rPr>
          <w:rFonts w:ascii="Times New Roman" w:hAnsi="Times New Roman"/>
          <w:sz w:val="24"/>
          <w:szCs w:val="24"/>
        </w:rPr>
        <w:t xml:space="preserve"> and </w:t>
      </w:r>
      <w:proofErr w:type="spellStart"/>
      <w:r>
        <w:rPr>
          <w:rFonts w:ascii="Times New Roman" w:hAnsi="Times New Roman"/>
          <w:sz w:val="24"/>
          <w:szCs w:val="24"/>
        </w:rPr>
        <w:t>CdTl</w:t>
      </w:r>
      <w:proofErr w:type="spellEnd"/>
      <w:r>
        <w:rPr>
          <w:rFonts w:ascii="Times New Roman" w:hAnsi="Times New Roman"/>
          <w:sz w:val="24"/>
          <w:szCs w:val="24"/>
        </w:rPr>
        <w:t xml:space="preserve"> (r=0.14, p=0.065) and PCDD/F (r=0.15, p=0.052) (Table 3).  Statistically significant estimated coefficients from the multiple linear regression were observed between PM</w:t>
      </w:r>
      <w:r>
        <w:rPr>
          <w:rFonts w:ascii="Times New Roman" w:hAnsi="Times New Roman"/>
          <w:sz w:val="24"/>
          <w:szCs w:val="24"/>
          <w:vertAlign w:val="subscript"/>
        </w:rPr>
        <w:t>10</w:t>
      </w:r>
      <w:r>
        <w:rPr>
          <w:rFonts w:ascii="Times New Roman" w:hAnsi="Times New Roman"/>
          <w:sz w:val="24"/>
          <w:szCs w:val="24"/>
        </w:rPr>
        <w:t xml:space="preserve"> and </w:t>
      </w:r>
      <w:r>
        <w:rPr>
          <w:rFonts w:ascii="Times New Roman" w:hAnsi="Times New Roman"/>
          <w:sz w:val="24"/>
          <w:szCs w:val="24"/>
          <w:lang w:val="it-IT"/>
        </w:rPr>
        <w:t>CdTl (</w:t>
      </w:r>
      <w:r w:rsidR="003C336A">
        <w:rPr>
          <w:rFonts w:ascii="Times New Roman" w:hAnsi="Times New Roman" w:cs="Times New Roman"/>
          <w:sz w:val="24"/>
          <w:szCs w:val="24"/>
        </w:rPr>
        <w:t>β</w:t>
      </w:r>
      <w:r>
        <w:rPr>
          <w:rFonts w:ascii="Times New Roman" w:hAnsi="Times New Roman"/>
          <w:sz w:val="24"/>
          <w:szCs w:val="24"/>
        </w:rPr>
        <w:t xml:space="preserve"> = 0.264, p =&lt; 0.001), OHMs (</w:t>
      </w:r>
      <w:r w:rsidR="003C336A">
        <w:rPr>
          <w:rFonts w:ascii="Times New Roman" w:hAnsi="Times New Roman" w:cs="Times New Roman"/>
          <w:sz w:val="24"/>
          <w:szCs w:val="24"/>
        </w:rPr>
        <w:t>β</w:t>
      </w:r>
      <w:r w:rsidR="003C336A" w:rsidRPr="0042487D">
        <w:rPr>
          <w:rFonts w:ascii="Times New Roman" w:hAnsi="Times New Roman"/>
          <w:sz w:val="24"/>
          <w:lang w:val="pt-PT"/>
        </w:rPr>
        <w:t xml:space="preserve"> = </w:t>
      </w:r>
      <w:r w:rsidRPr="0042487D">
        <w:rPr>
          <w:rFonts w:ascii="Times New Roman" w:hAnsi="Times New Roman"/>
          <w:sz w:val="24"/>
          <w:lang w:val="pt-PT"/>
        </w:rPr>
        <w:t>0.305, p =&lt; 0.001), PCDD/Fs (</w:t>
      </w:r>
      <w:r w:rsidR="00CE66B9">
        <w:rPr>
          <w:rFonts w:ascii="Times New Roman" w:hAnsi="Times New Roman" w:cs="Times New Roman"/>
          <w:sz w:val="24"/>
          <w:szCs w:val="24"/>
        </w:rPr>
        <w:t>β</w:t>
      </w:r>
      <w:r w:rsidR="00CE66B9">
        <w:rPr>
          <w:rFonts w:ascii="Times New Roman" w:hAnsi="Times New Roman"/>
          <w:sz w:val="24"/>
          <w:szCs w:val="24"/>
        </w:rPr>
        <w:t xml:space="preserve"> = 0.120, p = 0.008) and PCBs (</w:t>
      </w:r>
      <w:r w:rsidR="00CE66B9">
        <w:rPr>
          <w:rFonts w:ascii="Times New Roman" w:hAnsi="Times New Roman" w:cs="Times New Roman"/>
          <w:sz w:val="24"/>
          <w:szCs w:val="24"/>
        </w:rPr>
        <w:t>β</w:t>
      </w:r>
      <w:r>
        <w:rPr>
          <w:rFonts w:ascii="Times New Roman" w:hAnsi="Times New Roman"/>
          <w:sz w:val="24"/>
          <w:szCs w:val="24"/>
        </w:rPr>
        <w:t xml:space="preserve"> = 0.084, p = 0.045) (Table 4). The partial η</w:t>
      </w:r>
      <w:r>
        <w:rPr>
          <w:rFonts w:ascii="Times New Roman" w:hAnsi="Times New Roman"/>
          <w:sz w:val="24"/>
          <w:szCs w:val="24"/>
          <w:vertAlign w:val="superscript"/>
        </w:rPr>
        <w:t xml:space="preserve">2 </w:t>
      </w:r>
      <w:r>
        <w:rPr>
          <w:rFonts w:ascii="Times New Roman" w:hAnsi="Times New Roman"/>
          <w:sz w:val="24"/>
          <w:szCs w:val="24"/>
        </w:rPr>
        <w:t xml:space="preserve">are reported as percentages and these showed modest overall explanatory power of the model variance after adjusting for MWI, flue and year </w:t>
      </w:r>
      <w:r>
        <w:rPr>
          <w:rFonts w:ascii="Times New Roman" w:hAnsi="Times New Roman"/>
          <w:sz w:val="24"/>
          <w:szCs w:val="24"/>
          <w:lang w:val="it-IT"/>
        </w:rPr>
        <w:t>for CdTl (</w:t>
      </w:r>
      <w:r>
        <w:rPr>
          <w:rFonts w:ascii="Times New Roman" w:hAnsi="Times New Roman"/>
          <w:sz w:val="24"/>
          <w:szCs w:val="24"/>
        </w:rPr>
        <w:t>η</w:t>
      </w:r>
      <w:r>
        <w:rPr>
          <w:rFonts w:ascii="Times New Roman" w:hAnsi="Times New Roman"/>
          <w:sz w:val="24"/>
          <w:szCs w:val="24"/>
          <w:vertAlign w:val="superscript"/>
        </w:rPr>
        <w:t>2=</w:t>
      </w:r>
      <w:r>
        <w:rPr>
          <w:rFonts w:ascii="Times New Roman" w:hAnsi="Times New Roman"/>
          <w:sz w:val="24"/>
          <w:szCs w:val="24"/>
        </w:rPr>
        <w:t xml:space="preserve">4.99), </w:t>
      </w:r>
      <w:proofErr w:type="spellStart"/>
      <w:r>
        <w:rPr>
          <w:rFonts w:ascii="Times New Roman" w:hAnsi="Times New Roman"/>
          <w:sz w:val="24"/>
          <w:szCs w:val="24"/>
        </w:rPr>
        <w:t>NOx</w:t>
      </w:r>
      <w:proofErr w:type="spellEnd"/>
      <w:r>
        <w:rPr>
          <w:rFonts w:ascii="Times New Roman" w:hAnsi="Times New Roman"/>
          <w:sz w:val="24"/>
          <w:szCs w:val="24"/>
        </w:rPr>
        <w:t xml:space="preserve"> (η</w:t>
      </w:r>
      <w:r>
        <w:rPr>
          <w:rFonts w:ascii="Times New Roman" w:hAnsi="Times New Roman"/>
          <w:sz w:val="24"/>
          <w:szCs w:val="24"/>
          <w:vertAlign w:val="superscript"/>
        </w:rPr>
        <w:t>2</w:t>
      </w:r>
      <w:r>
        <w:rPr>
          <w:rFonts w:ascii="Times New Roman" w:hAnsi="Times New Roman"/>
          <w:sz w:val="24"/>
          <w:szCs w:val="24"/>
        </w:rPr>
        <w:t>=5.46) and OHMs (η</w:t>
      </w:r>
      <w:r>
        <w:rPr>
          <w:rFonts w:ascii="Times New Roman" w:hAnsi="Times New Roman"/>
          <w:sz w:val="24"/>
          <w:szCs w:val="24"/>
          <w:vertAlign w:val="superscript"/>
        </w:rPr>
        <w:t>2</w:t>
      </w:r>
      <w:r w:rsidR="00CE66B9">
        <w:rPr>
          <w:rFonts w:ascii="Times New Roman" w:hAnsi="Times New Roman"/>
          <w:sz w:val="24"/>
          <w:szCs w:val="24"/>
        </w:rPr>
        <w:t>=14.25</w:t>
      </w:r>
      <w:r>
        <w:rPr>
          <w:rFonts w:ascii="Times New Roman" w:hAnsi="Times New Roman"/>
          <w:sz w:val="24"/>
          <w:szCs w:val="24"/>
        </w:rPr>
        <w:t>).</w:t>
      </w:r>
    </w:p>
    <w:p w14:paraId="7CC17378" w14:textId="77777777" w:rsidR="00CE4D98" w:rsidRPr="0042487D" w:rsidRDefault="00CE4D98" w:rsidP="0042487D">
      <w:pPr>
        <w:pStyle w:val="Body"/>
        <w:spacing w:after="0" w:line="480" w:lineRule="auto"/>
        <w:rPr>
          <w:b/>
          <w:shd w:val="clear" w:color="auto" w:fill="00FF00"/>
        </w:rPr>
      </w:pPr>
    </w:p>
    <w:p w14:paraId="2477BAB5" w14:textId="77777777" w:rsidR="00CE4D98" w:rsidRDefault="00FA4CA4" w:rsidP="0042487D">
      <w:pPr>
        <w:pStyle w:val="Body"/>
        <w:spacing w:after="0" w:line="480" w:lineRule="auto"/>
        <w:rPr>
          <w:rFonts w:eastAsia="Times New Roman"/>
          <w:b/>
          <w:bCs/>
        </w:rPr>
      </w:pPr>
      <w:r>
        <w:rPr>
          <w:rFonts w:ascii="Times New Roman" w:hAnsi="Times New Roman"/>
          <w:b/>
          <w:bCs/>
          <w:sz w:val="24"/>
          <w:szCs w:val="24"/>
        </w:rPr>
        <w:t>Detecting changes in levels of PM</w:t>
      </w:r>
      <w:r>
        <w:rPr>
          <w:rFonts w:ascii="Times New Roman" w:hAnsi="Times New Roman"/>
          <w:b/>
          <w:bCs/>
          <w:sz w:val="24"/>
          <w:szCs w:val="24"/>
          <w:vertAlign w:val="subscript"/>
        </w:rPr>
        <w:t xml:space="preserve">10 </w:t>
      </w:r>
      <w:r>
        <w:rPr>
          <w:rFonts w:ascii="Times New Roman" w:hAnsi="Times New Roman"/>
          <w:b/>
          <w:bCs/>
          <w:sz w:val="24"/>
          <w:szCs w:val="24"/>
        </w:rPr>
        <w:t>emissions following the EU-WID</w:t>
      </w:r>
    </w:p>
    <w:p w14:paraId="20426BD3" w14:textId="34F8D05B" w:rsidR="00CE4D98" w:rsidRDefault="00FA4CA4" w:rsidP="0042487D">
      <w:pPr>
        <w:pStyle w:val="Body"/>
        <w:spacing w:after="0" w:line="480" w:lineRule="auto"/>
        <w:rPr>
          <w:rFonts w:eastAsia="Times New Roman"/>
        </w:rPr>
      </w:pPr>
      <w:r>
        <w:rPr>
          <w:rFonts w:ascii="Times New Roman" w:hAnsi="Times New Roman"/>
          <w:sz w:val="24"/>
          <w:szCs w:val="24"/>
        </w:rPr>
        <w:t>The descriptive analysis of the average modelled concentrations showed no clear pattern of a reduction in PM</w:t>
      </w:r>
      <w:r>
        <w:rPr>
          <w:rFonts w:ascii="Times New Roman" w:hAnsi="Times New Roman"/>
          <w:sz w:val="24"/>
          <w:szCs w:val="24"/>
          <w:vertAlign w:val="subscript"/>
        </w:rPr>
        <w:t>10</w:t>
      </w:r>
      <w:r>
        <w:rPr>
          <w:rFonts w:ascii="Times New Roman" w:hAnsi="Times New Roman"/>
          <w:sz w:val="24"/>
          <w:szCs w:val="24"/>
        </w:rPr>
        <w:t xml:space="preserve"> concentrations after the implementation of the EU-WID in MWIs adopting EU-WID specifications (Table 1, SI H, </w:t>
      </w:r>
      <w:proofErr w:type="gramStart"/>
      <w:r>
        <w:rPr>
          <w:rFonts w:ascii="Times New Roman" w:hAnsi="Times New Roman"/>
          <w:sz w:val="24"/>
          <w:szCs w:val="24"/>
        </w:rPr>
        <w:t>Figure</w:t>
      </w:r>
      <w:proofErr w:type="gramEnd"/>
      <w:r>
        <w:rPr>
          <w:rFonts w:ascii="Times New Roman" w:hAnsi="Times New Roman"/>
          <w:sz w:val="24"/>
          <w:szCs w:val="24"/>
        </w:rPr>
        <w:t xml:space="preserve"> S3), p</w:t>
      </w:r>
      <w:r w:rsidR="00D55320">
        <w:rPr>
          <w:rFonts w:ascii="Times New Roman" w:hAnsi="Times New Roman"/>
          <w:sz w:val="24"/>
          <w:szCs w:val="24"/>
        </w:rPr>
        <w:t>ossibly</w:t>
      </w:r>
      <w:r>
        <w:rPr>
          <w:rFonts w:ascii="Times New Roman" w:hAnsi="Times New Roman"/>
          <w:sz w:val="24"/>
          <w:szCs w:val="24"/>
        </w:rPr>
        <w:t xml:space="preserve"> as incinerators were already complying with EU-WID standards by the implementation date which required them to fit bag filters.</w:t>
      </w:r>
      <w:r w:rsidRPr="003C74B9">
        <w:rPr>
          <w:rFonts w:ascii="Times New Roman" w:hAnsi="Times New Roman"/>
          <w:sz w:val="24"/>
        </w:rPr>
        <w:t xml:space="preserve"> </w:t>
      </w:r>
      <w:r w:rsidRPr="0042487D">
        <w:rPr>
          <w:rFonts w:ascii="Times New Roman" w:hAnsi="Times New Roman"/>
          <w:sz w:val="24"/>
        </w:rPr>
        <w:t xml:space="preserve">These descriptive findings were supported by findings in the Batch Change Detection statistical analyses (Table </w:t>
      </w:r>
      <w:r>
        <w:rPr>
          <w:rFonts w:ascii="Times New Roman" w:hAnsi="Times New Roman"/>
          <w:sz w:val="24"/>
          <w:szCs w:val="24"/>
        </w:rPr>
        <w:t>5</w:t>
      </w:r>
      <w:r w:rsidRPr="003C74B9">
        <w:rPr>
          <w:rFonts w:ascii="Times New Roman" w:hAnsi="Times New Roman"/>
          <w:sz w:val="24"/>
        </w:rPr>
        <w:t>)</w:t>
      </w:r>
      <w:r w:rsidRPr="0042487D">
        <w:rPr>
          <w:rFonts w:ascii="Times New Roman" w:hAnsi="Times New Roman"/>
          <w:sz w:val="24"/>
        </w:rPr>
        <w:t xml:space="preserve">. In six of the 11 MWIs investigated, the change point </w:t>
      </w:r>
      <w:r w:rsidRPr="0042487D">
        <w:rPr>
          <w:rFonts w:ascii="Times New Roman" w:hAnsi="Times New Roman"/>
          <w:sz w:val="24"/>
        </w:rPr>
        <w:lastRenderedPageBreak/>
        <w:t xml:space="preserve">occurred within a year prior or posterior to the EU-WID implementation in at least one flue (Coventry, Edmonton, Sheffield, </w:t>
      </w:r>
      <w:proofErr w:type="spellStart"/>
      <w:r w:rsidRPr="0042487D">
        <w:rPr>
          <w:rFonts w:ascii="Times New Roman" w:hAnsi="Times New Roman"/>
          <w:sz w:val="24"/>
        </w:rPr>
        <w:t>Stockton-on-tees</w:t>
      </w:r>
      <w:proofErr w:type="spellEnd"/>
      <w:r w:rsidRPr="0042487D">
        <w:rPr>
          <w:rFonts w:ascii="Times New Roman" w:hAnsi="Times New Roman"/>
          <w:sz w:val="24"/>
        </w:rPr>
        <w:t xml:space="preserve">, Stoke-on-Trent, and </w:t>
      </w:r>
      <w:proofErr w:type="spellStart"/>
      <w:r w:rsidRPr="0042487D">
        <w:rPr>
          <w:rFonts w:ascii="Times New Roman" w:hAnsi="Times New Roman"/>
          <w:sz w:val="24"/>
        </w:rPr>
        <w:t>Tyseley</w:t>
      </w:r>
      <w:proofErr w:type="spellEnd"/>
      <w:r w:rsidRPr="0042487D">
        <w:rPr>
          <w:rFonts w:ascii="Times New Roman" w:hAnsi="Times New Roman"/>
          <w:sz w:val="24"/>
        </w:rPr>
        <w:t>), and lower median PM</w:t>
      </w:r>
      <w:r w:rsidRPr="0042487D">
        <w:rPr>
          <w:rFonts w:ascii="Times New Roman" w:hAnsi="Times New Roman"/>
          <w:sz w:val="24"/>
          <w:vertAlign w:val="subscript"/>
        </w:rPr>
        <w:t>10</w:t>
      </w:r>
      <w:r w:rsidRPr="0042487D">
        <w:rPr>
          <w:rFonts w:ascii="Times New Roman" w:hAnsi="Times New Roman"/>
          <w:sz w:val="24"/>
        </w:rPr>
        <w:t xml:space="preserve"> emissions were detected after the change point in five of these (in seven out of eleven flues). However, in the remaining five MWIs</w:t>
      </w:r>
      <w:r>
        <w:rPr>
          <w:rFonts w:ascii="Times New Roman" w:hAnsi="Times New Roman"/>
          <w:sz w:val="24"/>
          <w:szCs w:val="24"/>
        </w:rPr>
        <w:t xml:space="preserve"> the change point date was detected more than one year prior or posterior to the EU-WID implementation date (Bolton, </w:t>
      </w:r>
      <w:proofErr w:type="spellStart"/>
      <w:r>
        <w:rPr>
          <w:rFonts w:ascii="Times New Roman" w:hAnsi="Times New Roman"/>
          <w:sz w:val="24"/>
          <w:szCs w:val="24"/>
        </w:rPr>
        <w:t>Eastcroft</w:t>
      </w:r>
      <w:proofErr w:type="spellEnd"/>
      <w:r>
        <w:rPr>
          <w:rFonts w:ascii="Times New Roman" w:hAnsi="Times New Roman"/>
          <w:sz w:val="24"/>
          <w:szCs w:val="24"/>
        </w:rPr>
        <w:t xml:space="preserve">, </w:t>
      </w:r>
      <w:proofErr w:type="spellStart"/>
      <w:r>
        <w:rPr>
          <w:rFonts w:ascii="Times New Roman" w:hAnsi="Times New Roman"/>
          <w:sz w:val="24"/>
          <w:szCs w:val="24"/>
        </w:rPr>
        <w:t>Porthmellon</w:t>
      </w:r>
      <w:proofErr w:type="spellEnd"/>
      <w:r>
        <w:rPr>
          <w:rFonts w:ascii="Times New Roman" w:hAnsi="Times New Roman"/>
          <w:sz w:val="24"/>
          <w:szCs w:val="24"/>
        </w:rPr>
        <w:t xml:space="preserve">, SELCHP and </w:t>
      </w:r>
      <w:proofErr w:type="spellStart"/>
      <w:r>
        <w:rPr>
          <w:rFonts w:ascii="Times New Roman" w:hAnsi="Times New Roman"/>
          <w:sz w:val="24"/>
          <w:szCs w:val="24"/>
        </w:rPr>
        <w:t>Wolverhampton</w:t>
      </w:r>
      <w:proofErr w:type="spellEnd"/>
      <w:r>
        <w:rPr>
          <w:rFonts w:ascii="Times New Roman" w:hAnsi="Times New Roman"/>
          <w:sz w:val="24"/>
          <w:szCs w:val="24"/>
        </w:rPr>
        <w:t>) and a higher median level of PM</w:t>
      </w:r>
      <w:r>
        <w:rPr>
          <w:rFonts w:ascii="Times New Roman" w:hAnsi="Times New Roman"/>
          <w:sz w:val="24"/>
          <w:szCs w:val="24"/>
          <w:vertAlign w:val="subscript"/>
        </w:rPr>
        <w:t>10</w:t>
      </w:r>
      <w:r>
        <w:rPr>
          <w:rFonts w:ascii="Times New Roman" w:hAnsi="Times New Roman"/>
          <w:sz w:val="24"/>
          <w:szCs w:val="24"/>
        </w:rPr>
        <w:t xml:space="preserve"> was detected after the change point date in three of these MWIs (</w:t>
      </w:r>
      <w:proofErr w:type="spellStart"/>
      <w:r>
        <w:rPr>
          <w:rFonts w:ascii="Times New Roman" w:hAnsi="Times New Roman"/>
          <w:sz w:val="24"/>
          <w:szCs w:val="24"/>
        </w:rPr>
        <w:t>Eastcroft</w:t>
      </w:r>
      <w:proofErr w:type="spellEnd"/>
      <w:r>
        <w:rPr>
          <w:rFonts w:ascii="Times New Roman" w:hAnsi="Times New Roman"/>
          <w:sz w:val="24"/>
          <w:szCs w:val="24"/>
        </w:rPr>
        <w:t xml:space="preserve">, </w:t>
      </w:r>
      <w:proofErr w:type="spellStart"/>
      <w:r>
        <w:rPr>
          <w:rFonts w:ascii="Times New Roman" w:hAnsi="Times New Roman"/>
          <w:sz w:val="24"/>
          <w:szCs w:val="24"/>
        </w:rPr>
        <w:t>Porthmellon</w:t>
      </w:r>
      <w:proofErr w:type="spellEnd"/>
      <w:r>
        <w:rPr>
          <w:rFonts w:ascii="Times New Roman" w:hAnsi="Times New Roman"/>
          <w:sz w:val="24"/>
          <w:szCs w:val="24"/>
        </w:rPr>
        <w:t xml:space="preserve">, SELCHP), although still within EU-WID limits (Table 5). </w:t>
      </w:r>
      <w:r w:rsidRPr="003C74B9">
        <w:rPr>
          <w:rFonts w:ascii="Times New Roman" w:hAnsi="Times New Roman"/>
          <w:sz w:val="24"/>
        </w:rPr>
        <w:t xml:space="preserve">Figures showing </w:t>
      </w:r>
      <w:r w:rsidRPr="0042487D">
        <w:rPr>
          <w:rFonts w:ascii="Times New Roman" w:hAnsi="Times New Roman"/>
          <w:sz w:val="24"/>
        </w:rPr>
        <w:t>monitored PM</w:t>
      </w:r>
      <w:r w:rsidRPr="0042487D">
        <w:rPr>
          <w:rFonts w:ascii="Times New Roman" w:hAnsi="Times New Roman"/>
          <w:sz w:val="24"/>
          <w:vertAlign w:val="subscript"/>
        </w:rPr>
        <w:t>10</w:t>
      </w:r>
      <w:r w:rsidRPr="0042487D">
        <w:rPr>
          <w:rFonts w:ascii="Times New Roman" w:hAnsi="Times New Roman"/>
          <w:sz w:val="24"/>
        </w:rPr>
        <w:t xml:space="preserve"> data, with the change points for each MWI included in the analysis are presented in the supplementary information SI K (Figure S4).</w:t>
      </w:r>
    </w:p>
    <w:p w14:paraId="2F2F4EBA" w14:textId="77777777" w:rsidR="00CE4D98" w:rsidRDefault="00CE4D98" w:rsidP="0042487D">
      <w:pPr>
        <w:pStyle w:val="Body"/>
        <w:spacing w:after="0" w:line="480" w:lineRule="auto"/>
        <w:rPr>
          <w:rFonts w:eastAsia="Times New Roman"/>
          <w:sz w:val="28"/>
          <w:szCs w:val="28"/>
        </w:rPr>
      </w:pPr>
    </w:p>
    <w:p w14:paraId="44EBFD94" w14:textId="77777777" w:rsidR="00CE4D98" w:rsidRDefault="00FA4CA4" w:rsidP="0042487D">
      <w:pPr>
        <w:pStyle w:val="Body"/>
        <w:spacing w:after="0" w:line="480" w:lineRule="auto"/>
        <w:rPr>
          <w:rFonts w:eastAsia="Times New Roman"/>
          <w:b/>
          <w:bCs/>
          <w:sz w:val="28"/>
          <w:szCs w:val="28"/>
        </w:rPr>
      </w:pPr>
      <w:r>
        <w:rPr>
          <w:rFonts w:ascii="Times New Roman" w:hAnsi="Times New Roman"/>
          <w:b/>
          <w:bCs/>
          <w:sz w:val="28"/>
          <w:szCs w:val="28"/>
        </w:rPr>
        <w:t>Discussion</w:t>
      </w:r>
    </w:p>
    <w:p w14:paraId="2C6BDF99" w14:textId="23234DFC" w:rsidR="00CE4D98" w:rsidRDefault="00FA4CA4" w:rsidP="0042487D">
      <w:pPr>
        <w:pStyle w:val="Body"/>
        <w:spacing w:after="0" w:line="480" w:lineRule="auto"/>
        <w:rPr>
          <w:rFonts w:eastAsia="Times New Roman"/>
        </w:rPr>
      </w:pPr>
      <w:r>
        <w:rPr>
          <w:rFonts w:ascii="Times New Roman" w:hAnsi="Times New Roman"/>
          <w:sz w:val="24"/>
          <w:szCs w:val="24"/>
        </w:rPr>
        <w:t>Our study of all 22 British MWIs in operation 2003-10 indicate</w:t>
      </w:r>
      <w:r w:rsidR="00D55320">
        <w:rPr>
          <w:rFonts w:ascii="Times New Roman" w:hAnsi="Times New Roman"/>
          <w:sz w:val="24"/>
          <w:szCs w:val="24"/>
        </w:rPr>
        <w:t>s</w:t>
      </w:r>
      <w:r>
        <w:rPr>
          <w:rFonts w:ascii="Times New Roman" w:hAnsi="Times New Roman"/>
          <w:sz w:val="24"/>
          <w:szCs w:val="24"/>
        </w:rPr>
        <w:t xml:space="preserve"> very low concentrations of incinerator-related PM</w:t>
      </w:r>
      <w:r>
        <w:rPr>
          <w:rFonts w:ascii="Times New Roman" w:hAnsi="Times New Roman"/>
          <w:sz w:val="24"/>
          <w:szCs w:val="24"/>
          <w:vertAlign w:val="subscript"/>
        </w:rPr>
        <w:t>10</w:t>
      </w:r>
      <w:r>
        <w:rPr>
          <w:rFonts w:ascii="Times New Roman" w:hAnsi="Times New Roman"/>
          <w:sz w:val="24"/>
          <w:szCs w:val="24"/>
        </w:rPr>
        <w:t xml:space="preserve"> within 10 km of the MWIs at postcode level (annual mean concentrations ranging from 1.00 10</w:t>
      </w:r>
      <w:r>
        <w:rPr>
          <w:rFonts w:ascii="Times New Roman" w:hAnsi="Times New Roman"/>
          <w:sz w:val="24"/>
          <w:szCs w:val="24"/>
          <w:vertAlign w:val="superscript"/>
        </w:rPr>
        <w:t>-5</w:t>
      </w:r>
      <w:r>
        <w:rPr>
          <w:rFonts w:ascii="Times New Roman" w:hAnsi="Times New Roman"/>
          <w:sz w:val="24"/>
          <w:szCs w:val="24"/>
        </w:rPr>
        <w:t xml:space="preserve"> to 5.53 10</w:t>
      </w:r>
      <w:r>
        <w:rPr>
          <w:rFonts w:ascii="Times New Roman" w:hAnsi="Times New Roman"/>
          <w:sz w:val="24"/>
          <w:szCs w:val="24"/>
          <w:vertAlign w:val="superscript"/>
        </w:rPr>
        <w:t>-2</w:t>
      </w:r>
      <w:r>
        <w:rPr>
          <w:rFonts w:ascii="Times New Roman" w:hAnsi="Times New Roman"/>
          <w:sz w:val="24"/>
          <w:szCs w:val="24"/>
        </w:rPr>
        <w:t xml:space="preserve"> µ</w:t>
      </w:r>
      <w:r w:rsidRPr="0042487D">
        <w:rPr>
          <w:rFonts w:ascii="Times New Roman" w:hAnsi="Times New Roman"/>
          <w:sz w:val="24"/>
          <w:lang w:val="nl-NL"/>
        </w:rPr>
        <w:t>g m</w:t>
      </w:r>
      <w:r>
        <w:rPr>
          <w:rFonts w:ascii="Times New Roman" w:hAnsi="Times New Roman"/>
          <w:sz w:val="24"/>
          <w:szCs w:val="24"/>
          <w:vertAlign w:val="superscript"/>
        </w:rPr>
        <w:t>-3</w:t>
      </w:r>
      <w:r>
        <w:rPr>
          <w:rFonts w:ascii="Times New Roman" w:hAnsi="Times New Roman"/>
          <w:sz w:val="24"/>
          <w:szCs w:val="24"/>
        </w:rPr>
        <w:t>). There were statistically significant correlations of PM</w:t>
      </w:r>
      <w:r>
        <w:rPr>
          <w:rFonts w:ascii="Times New Roman" w:hAnsi="Times New Roman"/>
          <w:sz w:val="24"/>
          <w:szCs w:val="24"/>
          <w:vertAlign w:val="subscript"/>
        </w:rPr>
        <w:t>10</w:t>
      </w:r>
      <w:r>
        <w:rPr>
          <w:rFonts w:ascii="Times New Roman" w:hAnsi="Times New Roman"/>
          <w:sz w:val="24"/>
          <w:szCs w:val="24"/>
        </w:rPr>
        <w:t xml:space="preserve"> emissions of heavy metals, PAHs and PCBs (r = 0.19-0.43). A change point was detected in 6 of 11 MWIs adopting EU-WID specifications within a year prior or posterior to EU-WID implementation, but statistical analyses did not provide clear evidence of major changes in (the low levels of) incinerator-related PM</w:t>
      </w:r>
      <w:r>
        <w:rPr>
          <w:rFonts w:ascii="Times New Roman" w:hAnsi="Times New Roman"/>
          <w:sz w:val="24"/>
          <w:szCs w:val="24"/>
          <w:vertAlign w:val="subscript"/>
        </w:rPr>
        <w:t>10</w:t>
      </w:r>
      <w:r>
        <w:rPr>
          <w:rFonts w:ascii="Times New Roman" w:hAnsi="Times New Roman"/>
          <w:sz w:val="24"/>
          <w:szCs w:val="24"/>
        </w:rPr>
        <w:t xml:space="preserve"> concentrations after implementation.</w:t>
      </w:r>
    </w:p>
    <w:p w14:paraId="416DB956" w14:textId="77777777" w:rsidR="00CE4D98" w:rsidRDefault="00CE4D98" w:rsidP="0042487D">
      <w:pPr>
        <w:pStyle w:val="Body"/>
        <w:spacing w:after="0" w:line="480" w:lineRule="auto"/>
        <w:rPr>
          <w:rFonts w:eastAsia="Times New Roman"/>
        </w:rPr>
      </w:pPr>
    </w:p>
    <w:p w14:paraId="296C0065" w14:textId="1C737CEA" w:rsidR="00CE4D98" w:rsidRDefault="00FA4CA4" w:rsidP="0042487D">
      <w:pPr>
        <w:pStyle w:val="Body"/>
        <w:spacing w:after="0" w:line="480" w:lineRule="auto"/>
        <w:rPr>
          <w:rFonts w:eastAsia="Times New Roman"/>
          <w:b/>
          <w:bCs/>
        </w:rPr>
      </w:pPr>
      <w:r>
        <w:rPr>
          <w:rFonts w:ascii="Times New Roman" w:hAnsi="Times New Roman"/>
          <w:b/>
          <w:bCs/>
          <w:sz w:val="24"/>
          <w:szCs w:val="24"/>
        </w:rPr>
        <w:t xml:space="preserve">Dispersion modelling to </w:t>
      </w:r>
      <w:r w:rsidR="00D55320">
        <w:rPr>
          <w:rFonts w:ascii="Times New Roman" w:hAnsi="Times New Roman"/>
          <w:b/>
          <w:bCs/>
          <w:sz w:val="24"/>
          <w:szCs w:val="24"/>
        </w:rPr>
        <w:t xml:space="preserve">estimate </w:t>
      </w:r>
      <w:r>
        <w:rPr>
          <w:rFonts w:ascii="Times New Roman" w:hAnsi="Times New Roman"/>
          <w:b/>
          <w:bCs/>
          <w:sz w:val="24"/>
          <w:szCs w:val="24"/>
        </w:rPr>
        <w:t>concentrations of PM</w:t>
      </w:r>
      <w:r>
        <w:rPr>
          <w:rFonts w:ascii="Times New Roman" w:hAnsi="Times New Roman"/>
          <w:b/>
          <w:bCs/>
          <w:sz w:val="24"/>
          <w:szCs w:val="24"/>
          <w:vertAlign w:val="subscript"/>
        </w:rPr>
        <w:t>10</w:t>
      </w:r>
      <w:r>
        <w:rPr>
          <w:rFonts w:ascii="Times New Roman" w:hAnsi="Times New Roman"/>
          <w:b/>
          <w:bCs/>
          <w:sz w:val="24"/>
          <w:szCs w:val="24"/>
        </w:rPr>
        <w:t xml:space="preserve"> within 10 km of MWIs</w:t>
      </w:r>
    </w:p>
    <w:p w14:paraId="2F57E89A" w14:textId="43A9AD6D" w:rsidR="00CE4D98" w:rsidRPr="0042487D" w:rsidRDefault="00FA4CA4" w:rsidP="0042487D">
      <w:pPr>
        <w:pStyle w:val="Body"/>
        <w:spacing w:after="0" w:line="480" w:lineRule="auto"/>
        <w:rPr>
          <w:shd w:val="clear" w:color="auto" w:fill="00FF00"/>
        </w:rPr>
      </w:pPr>
      <w:r>
        <w:rPr>
          <w:rFonts w:ascii="Times New Roman" w:hAnsi="Times New Roman"/>
          <w:sz w:val="24"/>
          <w:szCs w:val="24"/>
        </w:rPr>
        <w:t>The annual mean modelled PM</w:t>
      </w:r>
      <w:r>
        <w:rPr>
          <w:rFonts w:ascii="Times New Roman" w:hAnsi="Times New Roman"/>
          <w:sz w:val="24"/>
          <w:szCs w:val="24"/>
          <w:vertAlign w:val="subscript"/>
        </w:rPr>
        <w:t>10</w:t>
      </w:r>
      <w:r>
        <w:rPr>
          <w:rFonts w:ascii="Times New Roman" w:hAnsi="Times New Roman"/>
          <w:sz w:val="24"/>
          <w:szCs w:val="24"/>
        </w:rPr>
        <w:t xml:space="preserve"> concentrations from GB MWIs ranged from 1.00 10</w:t>
      </w:r>
      <w:r>
        <w:rPr>
          <w:rFonts w:ascii="Times New Roman" w:hAnsi="Times New Roman"/>
          <w:sz w:val="24"/>
          <w:szCs w:val="24"/>
          <w:vertAlign w:val="superscript"/>
        </w:rPr>
        <w:t>-5</w:t>
      </w:r>
      <w:r>
        <w:rPr>
          <w:rFonts w:ascii="Times New Roman" w:hAnsi="Times New Roman"/>
          <w:sz w:val="24"/>
          <w:szCs w:val="24"/>
        </w:rPr>
        <w:t xml:space="preserve"> to 5.53 10</w:t>
      </w:r>
      <w:r>
        <w:rPr>
          <w:rFonts w:ascii="Times New Roman" w:hAnsi="Times New Roman"/>
          <w:sz w:val="24"/>
          <w:szCs w:val="24"/>
          <w:vertAlign w:val="superscript"/>
        </w:rPr>
        <w:t>-2</w:t>
      </w:r>
      <w:r>
        <w:rPr>
          <w:rFonts w:ascii="Times New Roman" w:hAnsi="Times New Roman"/>
          <w:sz w:val="24"/>
          <w:szCs w:val="24"/>
        </w:rPr>
        <w:t xml:space="preserve"> µ</w:t>
      </w:r>
      <w:r w:rsidRPr="0042487D">
        <w:rPr>
          <w:rFonts w:ascii="Times New Roman" w:hAnsi="Times New Roman"/>
          <w:sz w:val="24"/>
          <w:lang w:val="nl-NL"/>
        </w:rPr>
        <w:t>g m</w:t>
      </w:r>
      <w:r>
        <w:rPr>
          <w:rFonts w:ascii="Times New Roman" w:hAnsi="Times New Roman"/>
          <w:sz w:val="24"/>
          <w:szCs w:val="24"/>
          <w:vertAlign w:val="superscript"/>
        </w:rPr>
        <w:t xml:space="preserve">-3 </w:t>
      </w:r>
      <w:r>
        <w:rPr>
          <w:rFonts w:ascii="Times New Roman" w:hAnsi="Times New Roman"/>
          <w:sz w:val="24"/>
          <w:szCs w:val="24"/>
        </w:rPr>
        <w:t xml:space="preserve">within a 10 km radius of the MWI. These contribute a small proportion </w:t>
      </w:r>
      <w:proofErr w:type="gramStart"/>
      <w:r>
        <w:rPr>
          <w:rFonts w:ascii="Times New Roman" w:hAnsi="Times New Roman"/>
          <w:sz w:val="24"/>
          <w:szCs w:val="24"/>
        </w:rPr>
        <w:t>of  UK</w:t>
      </w:r>
      <w:proofErr w:type="gramEnd"/>
      <w:r>
        <w:rPr>
          <w:rFonts w:ascii="Times New Roman" w:hAnsi="Times New Roman"/>
          <w:sz w:val="24"/>
          <w:szCs w:val="24"/>
        </w:rPr>
        <w:t xml:space="preserve"> PM</w:t>
      </w:r>
      <w:r>
        <w:rPr>
          <w:rFonts w:ascii="Times New Roman" w:hAnsi="Times New Roman"/>
          <w:sz w:val="24"/>
          <w:szCs w:val="24"/>
          <w:vertAlign w:val="subscript"/>
        </w:rPr>
        <w:t>10</w:t>
      </w:r>
      <w:r>
        <w:rPr>
          <w:rFonts w:ascii="Times New Roman" w:hAnsi="Times New Roman"/>
          <w:sz w:val="24"/>
          <w:szCs w:val="24"/>
        </w:rPr>
        <w:t xml:space="preserve"> background levels, which range between 6.59 – 2.68 10</w:t>
      </w:r>
      <w:r>
        <w:rPr>
          <w:rFonts w:ascii="Times New Roman" w:hAnsi="Times New Roman"/>
          <w:sz w:val="24"/>
          <w:szCs w:val="24"/>
          <w:vertAlign w:val="superscript"/>
        </w:rPr>
        <w:t>1</w:t>
      </w:r>
      <w:r>
        <w:rPr>
          <w:rFonts w:ascii="Times New Roman" w:hAnsi="Times New Roman"/>
          <w:sz w:val="24"/>
          <w:szCs w:val="24"/>
        </w:rPr>
        <w:t xml:space="preserve"> µ</w:t>
      </w:r>
      <w:r w:rsidRPr="0042487D">
        <w:rPr>
          <w:rFonts w:ascii="Times New Roman" w:hAnsi="Times New Roman"/>
          <w:sz w:val="24"/>
          <w:lang w:val="nl-NL"/>
        </w:rPr>
        <w:t>g m</w:t>
      </w:r>
      <w:r>
        <w:rPr>
          <w:rFonts w:ascii="Times New Roman" w:hAnsi="Times New Roman"/>
          <w:sz w:val="24"/>
          <w:szCs w:val="24"/>
          <w:vertAlign w:val="superscript"/>
        </w:rPr>
        <w:t>-3</w:t>
      </w:r>
      <w:r>
        <w:rPr>
          <w:rFonts w:ascii="Times New Roman" w:hAnsi="Times New Roman"/>
          <w:sz w:val="24"/>
          <w:szCs w:val="24"/>
        </w:rPr>
        <w:t xml:space="preserve"> (annual UK means </w:t>
      </w:r>
      <w:r>
        <w:rPr>
          <w:rFonts w:ascii="Times New Roman" w:hAnsi="Times New Roman"/>
          <w:sz w:val="24"/>
          <w:szCs w:val="24"/>
        </w:rPr>
        <w:lastRenderedPageBreak/>
        <w:t>per postcode in 2010, based on modelled data)</w:t>
      </w:r>
      <w:r>
        <w:rPr>
          <w:rFonts w:ascii="Times New Roman" w:hAnsi="Times New Roman"/>
          <w:sz w:val="24"/>
          <w:szCs w:val="24"/>
          <w:vertAlign w:val="superscript"/>
        </w:rPr>
        <w:t>29</w:t>
      </w:r>
      <w:r>
        <w:rPr>
          <w:rFonts w:ascii="Times New Roman" w:hAnsi="Times New Roman"/>
          <w:sz w:val="24"/>
          <w:szCs w:val="24"/>
        </w:rPr>
        <w:t xml:space="preserve">. As all European incinerators operate to the EU WID, this suggests that MWIs also make a small contribution to European background </w:t>
      </w:r>
      <w:r w:rsidR="00CB27AA">
        <w:rPr>
          <w:rFonts w:ascii="Times New Roman" w:hAnsi="Times New Roman"/>
          <w:sz w:val="24"/>
          <w:szCs w:val="24"/>
        </w:rPr>
        <w:t xml:space="preserve">concentrations within 10 km of incinerators across Europe </w:t>
      </w:r>
      <w:r>
        <w:rPr>
          <w:rFonts w:ascii="Times New Roman" w:hAnsi="Times New Roman"/>
          <w:sz w:val="24"/>
          <w:szCs w:val="24"/>
        </w:rPr>
        <w:t>(measured ambient mean concentrations, typically in the range 2.00 10</w:t>
      </w:r>
      <w:r>
        <w:rPr>
          <w:rFonts w:ascii="Times New Roman" w:hAnsi="Times New Roman"/>
          <w:sz w:val="24"/>
          <w:szCs w:val="24"/>
          <w:vertAlign w:val="superscript"/>
        </w:rPr>
        <w:t>1</w:t>
      </w:r>
      <w:r>
        <w:rPr>
          <w:rFonts w:ascii="Times New Roman" w:hAnsi="Times New Roman"/>
          <w:sz w:val="24"/>
          <w:szCs w:val="24"/>
        </w:rPr>
        <w:t xml:space="preserve"> – 5.00 10</w:t>
      </w:r>
      <w:r w:rsidRPr="0042487D">
        <w:rPr>
          <w:rFonts w:ascii="Times New Roman" w:hAnsi="Times New Roman"/>
          <w:sz w:val="24"/>
          <w:vertAlign w:val="superscript"/>
          <w:lang w:val="ru-RU"/>
        </w:rPr>
        <w:t xml:space="preserve">1 </w:t>
      </w:r>
      <w:r>
        <w:rPr>
          <w:rFonts w:ascii="Times New Roman" w:hAnsi="Times New Roman"/>
          <w:sz w:val="24"/>
          <w:szCs w:val="24"/>
        </w:rPr>
        <w:t>µ</w:t>
      </w:r>
      <w:r w:rsidRPr="0042487D">
        <w:rPr>
          <w:rFonts w:ascii="Times New Roman" w:hAnsi="Times New Roman"/>
          <w:sz w:val="24"/>
          <w:lang w:val="nl-NL"/>
        </w:rPr>
        <w:t>g m</w:t>
      </w:r>
      <w:r>
        <w:rPr>
          <w:rFonts w:ascii="Times New Roman" w:hAnsi="Times New Roman"/>
          <w:sz w:val="24"/>
          <w:szCs w:val="24"/>
          <w:vertAlign w:val="superscript"/>
        </w:rPr>
        <w:t>-3</w:t>
      </w:r>
      <w:r>
        <w:rPr>
          <w:rFonts w:ascii="Times New Roman" w:hAnsi="Times New Roman"/>
          <w:sz w:val="24"/>
          <w:szCs w:val="24"/>
        </w:rPr>
        <w:t>).</w:t>
      </w:r>
      <w:r>
        <w:rPr>
          <w:rFonts w:ascii="Times New Roman" w:hAnsi="Times New Roman"/>
          <w:sz w:val="24"/>
          <w:szCs w:val="24"/>
          <w:vertAlign w:val="superscript"/>
        </w:rPr>
        <w:t>30</w:t>
      </w:r>
      <w:r>
        <w:rPr>
          <w:rFonts w:ascii="Times New Roman" w:hAnsi="Times New Roman"/>
          <w:sz w:val="24"/>
          <w:szCs w:val="24"/>
        </w:rPr>
        <w:t xml:space="preserve"> It is </w:t>
      </w:r>
      <w:proofErr w:type="spellStart"/>
      <w:r>
        <w:rPr>
          <w:rFonts w:ascii="Times New Roman" w:hAnsi="Times New Roman"/>
          <w:sz w:val="24"/>
          <w:szCs w:val="24"/>
        </w:rPr>
        <w:t>recognised</w:t>
      </w:r>
      <w:proofErr w:type="spellEnd"/>
      <w:r>
        <w:rPr>
          <w:rFonts w:ascii="Times New Roman" w:hAnsi="Times New Roman"/>
          <w:sz w:val="24"/>
          <w:szCs w:val="24"/>
        </w:rPr>
        <w:t xml:space="preserve"> that dispersion modelling is a simplification of reality. ADMS-Urban is a well validated, widely used dispersion model, and model errors were reduced as much as possible by using the most complete data available, and by completing a series of sensitivity analyses to ensure that model inputs best represented actual conditions (see SI D, F and G). Missing data were imputed using median values for the particular year, informed by results from a sensitivity analysis (SI D). For three incinerators in 2005, over two thirds of </w:t>
      </w:r>
      <w:r w:rsidR="00D55320">
        <w:rPr>
          <w:rFonts w:ascii="Times New Roman" w:hAnsi="Times New Roman"/>
          <w:sz w:val="24"/>
          <w:szCs w:val="24"/>
        </w:rPr>
        <w:t xml:space="preserve">data were </w:t>
      </w:r>
      <w:r>
        <w:rPr>
          <w:rFonts w:ascii="Times New Roman" w:hAnsi="Times New Roman"/>
          <w:sz w:val="24"/>
          <w:szCs w:val="24"/>
        </w:rPr>
        <w:t xml:space="preserve">missing (Coventry, Stoke-on-Trent; </w:t>
      </w:r>
      <w:proofErr w:type="spellStart"/>
      <w:r>
        <w:rPr>
          <w:rFonts w:ascii="Times New Roman" w:hAnsi="Times New Roman"/>
          <w:sz w:val="24"/>
          <w:szCs w:val="24"/>
        </w:rPr>
        <w:t>Wolverhampton</w:t>
      </w:r>
      <w:proofErr w:type="spellEnd"/>
      <w:r>
        <w:rPr>
          <w:rFonts w:ascii="Times New Roman" w:hAnsi="Times New Roman"/>
          <w:sz w:val="24"/>
          <w:szCs w:val="24"/>
        </w:rPr>
        <w:t xml:space="preserve"> (SI E)), </w:t>
      </w:r>
      <w:r w:rsidR="00D55320">
        <w:rPr>
          <w:rFonts w:ascii="Times New Roman" w:hAnsi="Times New Roman"/>
          <w:sz w:val="24"/>
          <w:szCs w:val="24"/>
        </w:rPr>
        <w:t xml:space="preserve">although </w:t>
      </w:r>
      <w:r>
        <w:rPr>
          <w:rFonts w:ascii="Times New Roman" w:hAnsi="Times New Roman"/>
          <w:sz w:val="24"/>
          <w:szCs w:val="24"/>
        </w:rPr>
        <w:t xml:space="preserve">annual mean modelled concentrations were still within similar ranges compared to other MWIs (Table 2). We do not know reasons for missing data, but this may represent maintenance periods in 2005 to ensure the MWI complied with the WID implemented at the end of that year.  </w:t>
      </w:r>
    </w:p>
    <w:p w14:paraId="5A83217A" w14:textId="77777777" w:rsidR="00CE4D98" w:rsidRDefault="00CE4D98" w:rsidP="0042487D">
      <w:pPr>
        <w:pStyle w:val="Body"/>
        <w:spacing w:after="0" w:line="480" w:lineRule="auto"/>
        <w:rPr>
          <w:rFonts w:eastAsia="Times New Roman"/>
        </w:rPr>
      </w:pPr>
    </w:p>
    <w:p w14:paraId="73A834BC" w14:textId="1774E744" w:rsidR="00CE4D98" w:rsidRDefault="00FA4CA4" w:rsidP="0042487D">
      <w:pPr>
        <w:pStyle w:val="Body"/>
        <w:spacing w:after="0" w:line="480" w:lineRule="auto"/>
        <w:rPr>
          <w:rFonts w:eastAsia="Times New Roman"/>
        </w:rPr>
      </w:pPr>
      <w:r>
        <w:rPr>
          <w:rFonts w:ascii="Times New Roman" w:hAnsi="Times New Roman"/>
          <w:sz w:val="24"/>
          <w:szCs w:val="24"/>
        </w:rPr>
        <w:t xml:space="preserve">All MWIs used moving grate technologies except for </w:t>
      </w:r>
      <w:proofErr w:type="spellStart"/>
      <w:r>
        <w:rPr>
          <w:rFonts w:ascii="Times New Roman" w:hAnsi="Times New Roman"/>
          <w:sz w:val="24"/>
          <w:szCs w:val="24"/>
        </w:rPr>
        <w:t>Allington</w:t>
      </w:r>
      <w:proofErr w:type="spellEnd"/>
      <w:r>
        <w:rPr>
          <w:rFonts w:ascii="Times New Roman" w:hAnsi="Times New Roman"/>
          <w:sz w:val="24"/>
          <w:szCs w:val="24"/>
        </w:rPr>
        <w:t xml:space="preserve"> and </w:t>
      </w:r>
      <w:proofErr w:type="spellStart"/>
      <w:r>
        <w:rPr>
          <w:rFonts w:ascii="Times New Roman" w:hAnsi="Times New Roman"/>
          <w:sz w:val="24"/>
          <w:szCs w:val="24"/>
        </w:rPr>
        <w:t>Newlincs</w:t>
      </w:r>
      <w:proofErr w:type="spellEnd"/>
      <w:r>
        <w:rPr>
          <w:rFonts w:ascii="Times New Roman" w:hAnsi="Times New Roman"/>
          <w:sz w:val="24"/>
          <w:szCs w:val="24"/>
        </w:rPr>
        <w:t xml:space="preserve"> (which used </w:t>
      </w:r>
      <w:proofErr w:type="spellStart"/>
      <w:r>
        <w:rPr>
          <w:rFonts w:ascii="Times New Roman" w:hAnsi="Times New Roman"/>
          <w:sz w:val="24"/>
          <w:szCs w:val="24"/>
        </w:rPr>
        <w:t>fluidised</w:t>
      </w:r>
      <w:proofErr w:type="spellEnd"/>
      <w:r>
        <w:rPr>
          <w:rFonts w:ascii="Times New Roman" w:hAnsi="Times New Roman"/>
          <w:sz w:val="24"/>
          <w:szCs w:val="24"/>
        </w:rPr>
        <w:t xml:space="preserve"> bed and rotary kiln technologies respectively).</w:t>
      </w:r>
      <w:r>
        <w:rPr>
          <w:rFonts w:ascii="Times New Roman" w:hAnsi="Times New Roman"/>
          <w:sz w:val="24"/>
          <w:szCs w:val="24"/>
          <w:vertAlign w:val="superscript"/>
        </w:rPr>
        <w:t>31</w:t>
      </w:r>
      <w:r w:rsidRPr="0042487D">
        <w:rPr>
          <w:rFonts w:ascii="Times New Roman" w:hAnsi="Times New Roman"/>
          <w:sz w:val="24"/>
          <w:lang w:val="fr-FR"/>
        </w:rPr>
        <w:t xml:space="preserve"> Nixon </w:t>
      </w:r>
      <w:proofErr w:type="gramStart"/>
      <w:r w:rsidRPr="0042487D">
        <w:rPr>
          <w:rFonts w:ascii="Times New Roman" w:hAnsi="Times New Roman"/>
          <w:sz w:val="24"/>
          <w:lang w:val="fr-FR"/>
        </w:rPr>
        <w:t>et</w:t>
      </w:r>
      <w:proofErr w:type="gramEnd"/>
      <w:r w:rsidRPr="0042487D">
        <w:rPr>
          <w:rFonts w:ascii="Times New Roman" w:hAnsi="Times New Roman"/>
          <w:sz w:val="24"/>
          <w:lang w:val="fr-FR"/>
        </w:rPr>
        <w:t xml:space="preserve"> al.</w:t>
      </w:r>
      <w:r>
        <w:rPr>
          <w:rFonts w:ascii="Times New Roman" w:hAnsi="Times New Roman"/>
          <w:sz w:val="24"/>
          <w:szCs w:val="24"/>
          <w:vertAlign w:val="superscript"/>
        </w:rPr>
        <w:t>31</w:t>
      </w:r>
      <w:r>
        <w:rPr>
          <w:rFonts w:ascii="Times New Roman" w:hAnsi="Times New Roman"/>
          <w:sz w:val="24"/>
          <w:szCs w:val="24"/>
        </w:rPr>
        <w:t xml:space="preserve"> found that plants using </w:t>
      </w:r>
      <w:proofErr w:type="spellStart"/>
      <w:r>
        <w:rPr>
          <w:rFonts w:ascii="Times New Roman" w:hAnsi="Times New Roman"/>
          <w:sz w:val="24"/>
          <w:szCs w:val="24"/>
        </w:rPr>
        <w:t>fluidised</w:t>
      </w:r>
      <w:proofErr w:type="spellEnd"/>
      <w:r>
        <w:rPr>
          <w:rFonts w:ascii="Times New Roman" w:hAnsi="Times New Roman"/>
          <w:sz w:val="24"/>
          <w:szCs w:val="24"/>
        </w:rPr>
        <w:t xml:space="preserve"> bed and rotary kiln technologies had higher emiss</w:t>
      </w:r>
      <w:r w:rsidR="00093F50">
        <w:rPr>
          <w:rFonts w:ascii="Times New Roman" w:hAnsi="Times New Roman"/>
          <w:sz w:val="24"/>
          <w:szCs w:val="24"/>
        </w:rPr>
        <w:t xml:space="preserve">ions of </w:t>
      </w:r>
      <w:proofErr w:type="spellStart"/>
      <w:r w:rsidR="00093F50">
        <w:rPr>
          <w:rFonts w:ascii="Times New Roman" w:hAnsi="Times New Roman"/>
          <w:sz w:val="24"/>
          <w:szCs w:val="24"/>
        </w:rPr>
        <w:t>HCl</w:t>
      </w:r>
      <w:proofErr w:type="spellEnd"/>
      <w:r w:rsidR="00093F50">
        <w:rPr>
          <w:rFonts w:ascii="Times New Roman" w:hAnsi="Times New Roman"/>
          <w:sz w:val="24"/>
          <w:szCs w:val="24"/>
        </w:rPr>
        <w:t xml:space="preserve"> and CO. We found no</w:t>
      </w:r>
      <w:r w:rsidR="004044D5">
        <w:rPr>
          <w:rFonts w:ascii="Times New Roman" w:hAnsi="Times New Roman"/>
          <w:sz w:val="24"/>
          <w:szCs w:val="24"/>
        </w:rPr>
        <w:t xml:space="preserve"> </w:t>
      </w:r>
      <w:r>
        <w:rPr>
          <w:rFonts w:ascii="Times New Roman" w:hAnsi="Times New Roman"/>
          <w:sz w:val="24"/>
          <w:szCs w:val="24"/>
        </w:rPr>
        <w:t>differences in PM</w:t>
      </w:r>
      <w:r>
        <w:rPr>
          <w:rFonts w:ascii="Times New Roman" w:hAnsi="Times New Roman"/>
          <w:sz w:val="24"/>
          <w:szCs w:val="24"/>
          <w:vertAlign w:val="subscript"/>
        </w:rPr>
        <w:t>10</w:t>
      </w:r>
      <w:r>
        <w:rPr>
          <w:rFonts w:ascii="Times New Roman" w:hAnsi="Times New Roman"/>
          <w:sz w:val="24"/>
          <w:szCs w:val="24"/>
        </w:rPr>
        <w:t xml:space="preserve"> emissions from </w:t>
      </w:r>
      <w:proofErr w:type="spellStart"/>
      <w:r>
        <w:rPr>
          <w:rFonts w:ascii="Times New Roman" w:hAnsi="Times New Roman"/>
          <w:sz w:val="24"/>
          <w:szCs w:val="24"/>
        </w:rPr>
        <w:t>Allington</w:t>
      </w:r>
      <w:proofErr w:type="spellEnd"/>
      <w:r>
        <w:rPr>
          <w:rFonts w:ascii="Times New Roman" w:hAnsi="Times New Roman"/>
          <w:sz w:val="24"/>
          <w:szCs w:val="24"/>
        </w:rPr>
        <w:t xml:space="preserve"> </w:t>
      </w:r>
      <w:r w:rsidR="00293B12">
        <w:rPr>
          <w:rFonts w:ascii="Times New Roman" w:hAnsi="Times New Roman"/>
          <w:sz w:val="24"/>
          <w:szCs w:val="24"/>
        </w:rPr>
        <w:t>(me</w:t>
      </w:r>
      <w:r w:rsidR="00093F50">
        <w:rPr>
          <w:rFonts w:ascii="Times New Roman" w:hAnsi="Times New Roman"/>
          <w:sz w:val="24"/>
          <w:szCs w:val="24"/>
        </w:rPr>
        <w:t>an (standard deviation (SD) 2.64 (3.60), median 1</w:t>
      </w:r>
      <w:r w:rsidR="00293B12">
        <w:rPr>
          <w:rFonts w:ascii="Times New Roman" w:hAnsi="Times New Roman"/>
          <w:sz w:val="24"/>
          <w:szCs w:val="24"/>
        </w:rPr>
        <w:t xml:space="preserve">.00) </w:t>
      </w:r>
      <w:r>
        <w:rPr>
          <w:rFonts w:ascii="Times New Roman" w:hAnsi="Times New Roman"/>
          <w:sz w:val="24"/>
          <w:szCs w:val="24"/>
        </w:rPr>
        <w:t xml:space="preserve">and </w:t>
      </w:r>
      <w:proofErr w:type="spellStart"/>
      <w:r>
        <w:rPr>
          <w:rFonts w:ascii="Times New Roman" w:hAnsi="Times New Roman"/>
          <w:sz w:val="24"/>
          <w:szCs w:val="24"/>
        </w:rPr>
        <w:t>Newlincs</w:t>
      </w:r>
      <w:proofErr w:type="spellEnd"/>
      <w:r>
        <w:rPr>
          <w:rFonts w:ascii="Times New Roman" w:hAnsi="Times New Roman"/>
          <w:sz w:val="24"/>
          <w:szCs w:val="24"/>
        </w:rPr>
        <w:t xml:space="preserve"> </w:t>
      </w:r>
      <w:r w:rsidR="00093F50">
        <w:rPr>
          <w:rFonts w:ascii="Times New Roman" w:hAnsi="Times New Roman"/>
          <w:sz w:val="24"/>
          <w:szCs w:val="24"/>
        </w:rPr>
        <w:t>(mean (SD) 2.44</w:t>
      </w:r>
      <w:r w:rsidR="00293B12">
        <w:rPr>
          <w:rFonts w:ascii="Times New Roman" w:hAnsi="Times New Roman"/>
          <w:sz w:val="24"/>
          <w:szCs w:val="24"/>
        </w:rPr>
        <w:t xml:space="preserve"> (1.27</w:t>
      </w:r>
      <w:r w:rsidR="00B82F15">
        <w:rPr>
          <w:rFonts w:ascii="Times New Roman" w:hAnsi="Times New Roman"/>
          <w:sz w:val="24"/>
          <w:szCs w:val="24"/>
        </w:rPr>
        <w:t>), media</w:t>
      </w:r>
      <w:r w:rsidR="00293B12">
        <w:rPr>
          <w:rFonts w:ascii="Times New Roman" w:hAnsi="Times New Roman"/>
          <w:sz w:val="24"/>
          <w:szCs w:val="24"/>
        </w:rPr>
        <w:t>n 2.30</w:t>
      </w:r>
      <w:r w:rsidR="00B82F15">
        <w:rPr>
          <w:rFonts w:ascii="Times New Roman" w:hAnsi="Times New Roman"/>
          <w:sz w:val="24"/>
          <w:szCs w:val="24"/>
        </w:rPr>
        <w:t xml:space="preserve">) </w:t>
      </w:r>
      <w:r>
        <w:rPr>
          <w:rFonts w:ascii="Times New Roman" w:hAnsi="Times New Roman"/>
          <w:sz w:val="24"/>
          <w:szCs w:val="24"/>
        </w:rPr>
        <w:t>compared with the remaining 20 MWIs</w:t>
      </w:r>
      <w:r w:rsidR="00093F50">
        <w:rPr>
          <w:rFonts w:ascii="Times New Roman" w:hAnsi="Times New Roman"/>
          <w:sz w:val="24"/>
          <w:szCs w:val="24"/>
        </w:rPr>
        <w:t xml:space="preserve"> (mean (SD) 2.13 (2.16), median 1.6</w:t>
      </w:r>
      <w:r w:rsidR="00B82F15">
        <w:rPr>
          <w:rFonts w:ascii="Times New Roman" w:hAnsi="Times New Roman"/>
          <w:sz w:val="24"/>
          <w:szCs w:val="24"/>
        </w:rPr>
        <w:t>0).</w:t>
      </w:r>
      <w:r>
        <w:rPr>
          <w:rFonts w:ascii="Times New Roman" w:hAnsi="Times New Roman"/>
          <w:sz w:val="24"/>
          <w:szCs w:val="24"/>
        </w:rPr>
        <w:t xml:space="preserve"> </w:t>
      </w:r>
    </w:p>
    <w:p w14:paraId="16FC1453" w14:textId="77777777" w:rsidR="00CE4D98" w:rsidRPr="0042487D" w:rsidRDefault="00FA4CA4" w:rsidP="0042487D">
      <w:pPr>
        <w:pStyle w:val="Body"/>
        <w:spacing w:after="0" w:line="480" w:lineRule="auto"/>
        <w:rPr>
          <w:shd w:val="clear" w:color="auto" w:fill="00FF00"/>
        </w:rPr>
      </w:pPr>
      <w:r>
        <w:rPr>
          <w:rFonts w:ascii="Times New Roman" w:hAnsi="Times New Roman"/>
          <w:sz w:val="24"/>
          <w:szCs w:val="24"/>
        </w:rPr>
        <w:t xml:space="preserve"> </w:t>
      </w:r>
      <w:bookmarkStart w:id="0" w:name="_GoBack"/>
      <w:bookmarkEnd w:id="0"/>
    </w:p>
    <w:p w14:paraId="5FA469B9" w14:textId="2B8C22A4" w:rsidR="00CE4D98" w:rsidRDefault="00FA4CA4" w:rsidP="0042487D">
      <w:pPr>
        <w:pStyle w:val="Body"/>
        <w:spacing w:after="0" w:line="480" w:lineRule="auto"/>
        <w:rPr>
          <w:rFonts w:eastAsia="Times New Roman"/>
        </w:rPr>
      </w:pPr>
      <w:r>
        <w:rPr>
          <w:rFonts w:ascii="Times New Roman" w:hAnsi="Times New Roman"/>
          <w:sz w:val="24"/>
          <w:szCs w:val="24"/>
        </w:rPr>
        <w:t xml:space="preserve">Results for GB incinerators are consistent with two studies conducted in Italy (also operating to the EU-WID) by Candela et al. </w:t>
      </w:r>
      <w:r>
        <w:rPr>
          <w:rFonts w:ascii="Times New Roman" w:hAnsi="Times New Roman"/>
          <w:sz w:val="24"/>
          <w:szCs w:val="24"/>
          <w:vertAlign w:val="superscript"/>
        </w:rPr>
        <w:t>14</w:t>
      </w:r>
      <w:r>
        <w:rPr>
          <w:rFonts w:ascii="Times New Roman" w:hAnsi="Times New Roman"/>
          <w:sz w:val="24"/>
          <w:szCs w:val="24"/>
        </w:rPr>
        <w:t xml:space="preserve"> </w:t>
      </w:r>
      <w:r>
        <w:rPr>
          <w:rFonts w:ascii="Times New Roman" w:hAnsi="Times New Roman"/>
          <w:sz w:val="24"/>
          <w:szCs w:val="24"/>
          <w:vertAlign w:val="superscript"/>
        </w:rPr>
        <w:t>15</w:t>
      </w:r>
      <w:r>
        <w:rPr>
          <w:rFonts w:ascii="Times New Roman" w:hAnsi="Times New Roman"/>
          <w:sz w:val="24"/>
          <w:szCs w:val="24"/>
        </w:rPr>
        <w:t xml:space="preserve"> and the previous study conducted in GB by Ashworth et al.</w:t>
      </w:r>
      <w:r>
        <w:rPr>
          <w:rFonts w:ascii="Times New Roman" w:hAnsi="Times New Roman"/>
          <w:sz w:val="24"/>
          <w:szCs w:val="24"/>
          <w:vertAlign w:val="superscript"/>
        </w:rPr>
        <w:t>20</w:t>
      </w:r>
      <w:r>
        <w:rPr>
          <w:rFonts w:ascii="Times New Roman" w:hAnsi="Times New Roman"/>
          <w:sz w:val="24"/>
          <w:szCs w:val="24"/>
        </w:rPr>
        <w:t xml:space="preserve"> Concentration estimates were larger in Font et al. (3.00 10</w:t>
      </w:r>
      <w:r>
        <w:rPr>
          <w:rFonts w:ascii="Times New Roman" w:hAnsi="Times New Roman"/>
          <w:sz w:val="24"/>
          <w:szCs w:val="24"/>
          <w:vertAlign w:val="superscript"/>
        </w:rPr>
        <w:t>-2</w:t>
      </w:r>
      <w:r>
        <w:rPr>
          <w:rFonts w:ascii="Times New Roman" w:hAnsi="Times New Roman"/>
          <w:sz w:val="24"/>
          <w:szCs w:val="24"/>
        </w:rPr>
        <w:t xml:space="preserve"> to 1.20 10</w:t>
      </w:r>
      <w:r w:rsidRPr="0042487D">
        <w:rPr>
          <w:rFonts w:ascii="Times New Roman" w:hAnsi="Times New Roman"/>
          <w:sz w:val="24"/>
          <w:vertAlign w:val="superscript"/>
          <w:lang w:val="ru-RU"/>
        </w:rPr>
        <w:t>-1</w:t>
      </w:r>
      <w:r>
        <w:rPr>
          <w:rFonts w:ascii="Times New Roman" w:hAnsi="Times New Roman"/>
          <w:sz w:val="24"/>
          <w:szCs w:val="24"/>
        </w:rPr>
        <w:t xml:space="preserve"> µ</w:t>
      </w:r>
      <w:r w:rsidRPr="0042487D">
        <w:rPr>
          <w:rFonts w:ascii="Times New Roman" w:hAnsi="Times New Roman"/>
          <w:sz w:val="24"/>
          <w:lang w:val="nl-NL"/>
        </w:rPr>
        <w:t>g m</w:t>
      </w:r>
      <w:r>
        <w:rPr>
          <w:rFonts w:ascii="Times New Roman" w:hAnsi="Times New Roman"/>
          <w:sz w:val="24"/>
          <w:szCs w:val="24"/>
          <w:vertAlign w:val="superscript"/>
        </w:rPr>
        <w:t>-3</w:t>
      </w:r>
      <w:r>
        <w:rPr>
          <w:rFonts w:ascii="Times New Roman" w:hAnsi="Times New Roman"/>
          <w:sz w:val="24"/>
          <w:szCs w:val="24"/>
        </w:rPr>
        <w:t>)</w:t>
      </w:r>
      <w:proofErr w:type="gramStart"/>
      <w:r>
        <w:rPr>
          <w:rFonts w:ascii="Times New Roman" w:hAnsi="Times New Roman"/>
          <w:sz w:val="24"/>
          <w:szCs w:val="24"/>
        </w:rPr>
        <w:t>,</w:t>
      </w:r>
      <w:r>
        <w:rPr>
          <w:rFonts w:ascii="Times New Roman" w:hAnsi="Times New Roman"/>
          <w:sz w:val="24"/>
          <w:szCs w:val="24"/>
          <w:vertAlign w:val="superscript"/>
        </w:rPr>
        <w:t>32</w:t>
      </w:r>
      <w:proofErr w:type="gramEnd"/>
      <w:r>
        <w:rPr>
          <w:rFonts w:ascii="Times New Roman" w:hAnsi="Times New Roman"/>
          <w:sz w:val="24"/>
          <w:szCs w:val="24"/>
        </w:rPr>
        <w:t xml:space="preserve"> </w:t>
      </w:r>
      <w:r>
        <w:rPr>
          <w:rFonts w:ascii="Times New Roman" w:hAnsi="Times New Roman"/>
          <w:sz w:val="24"/>
          <w:szCs w:val="24"/>
        </w:rPr>
        <w:lastRenderedPageBreak/>
        <w:t>however th</w:t>
      </w:r>
      <w:r w:rsidR="00D55320">
        <w:rPr>
          <w:rFonts w:ascii="Times New Roman" w:hAnsi="Times New Roman"/>
          <w:sz w:val="24"/>
          <w:szCs w:val="24"/>
        </w:rPr>
        <w:t>ey</w:t>
      </w:r>
      <w:r>
        <w:rPr>
          <w:rFonts w:ascii="Times New Roman" w:hAnsi="Times New Roman"/>
          <w:sz w:val="24"/>
          <w:szCs w:val="24"/>
        </w:rPr>
        <w:t xml:space="preserve"> did not measure PM</w:t>
      </w:r>
      <w:r>
        <w:rPr>
          <w:rFonts w:ascii="Times New Roman" w:hAnsi="Times New Roman"/>
          <w:sz w:val="24"/>
          <w:szCs w:val="24"/>
          <w:vertAlign w:val="subscript"/>
        </w:rPr>
        <w:t>10</w:t>
      </w:r>
      <w:r>
        <w:rPr>
          <w:rFonts w:ascii="Times New Roman" w:hAnsi="Times New Roman"/>
          <w:sz w:val="24"/>
          <w:szCs w:val="24"/>
        </w:rPr>
        <w:t xml:space="preserve"> directly but used tracers of heavy metals to estimate maximum ambient PM</w:t>
      </w:r>
      <w:r>
        <w:rPr>
          <w:rFonts w:ascii="Times New Roman" w:hAnsi="Times New Roman"/>
          <w:sz w:val="24"/>
          <w:szCs w:val="24"/>
          <w:vertAlign w:val="subscript"/>
        </w:rPr>
        <w:t>10</w:t>
      </w:r>
      <w:r>
        <w:rPr>
          <w:rFonts w:ascii="Times New Roman" w:hAnsi="Times New Roman"/>
          <w:sz w:val="24"/>
          <w:szCs w:val="24"/>
        </w:rPr>
        <w:t xml:space="preserve"> from two MWIs. The Font et al.</w:t>
      </w:r>
      <w:r>
        <w:rPr>
          <w:rFonts w:ascii="Times New Roman" w:hAnsi="Times New Roman"/>
          <w:sz w:val="24"/>
          <w:szCs w:val="24"/>
          <w:vertAlign w:val="superscript"/>
        </w:rPr>
        <w:t>32</w:t>
      </w:r>
      <w:r>
        <w:rPr>
          <w:rFonts w:ascii="Times New Roman" w:hAnsi="Times New Roman"/>
          <w:sz w:val="24"/>
          <w:szCs w:val="24"/>
        </w:rPr>
        <w:t xml:space="preserve"> study used Cd measured during plume grounding as a quantitative tracer for PM10 by multiplying measured ground-level Cd concentrations by representative in-flue PM</w:t>
      </w:r>
      <w:r>
        <w:rPr>
          <w:rFonts w:ascii="Times New Roman" w:hAnsi="Times New Roman"/>
          <w:sz w:val="24"/>
          <w:szCs w:val="24"/>
          <w:vertAlign w:val="subscript"/>
        </w:rPr>
        <w:t>10</w:t>
      </w:r>
      <w:proofErr w:type="gramStart"/>
      <w:r>
        <w:rPr>
          <w:rFonts w:ascii="Times New Roman" w:hAnsi="Times New Roman"/>
          <w:sz w:val="24"/>
          <w:szCs w:val="24"/>
        </w:rPr>
        <w:t>:Cd</w:t>
      </w:r>
      <w:proofErr w:type="gramEnd"/>
      <w:r>
        <w:rPr>
          <w:rFonts w:ascii="Times New Roman" w:hAnsi="Times New Roman"/>
          <w:sz w:val="24"/>
          <w:szCs w:val="24"/>
        </w:rPr>
        <w:t xml:space="preserve"> emission ratios. This approach set out to find a maximum value by assuming that all Cd was from the MWI.</w:t>
      </w:r>
      <w:r>
        <w:rPr>
          <w:rFonts w:ascii="Times New Roman" w:hAnsi="Times New Roman"/>
          <w:sz w:val="24"/>
          <w:szCs w:val="24"/>
          <w:vertAlign w:val="superscript"/>
        </w:rPr>
        <w:t xml:space="preserve">32 </w:t>
      </w:r>
      <w:r>
        <w:rPr>
          <w:rFonts w:ascii="Times New Roman" w:hAnsi="Times New Roman"/>
          <w:sz w:val="24"/>
          <w:szCs w:val="24"/>
        </w:rPr>
        <w:t>Our findings for PM</w:t>
      </w:r>
      <w:r>
        <w:rPr>
          <w:rFonts w:ascii="Times New Roman" w:hAnsi="Times New Roman"/>
          <w:sz w:val="24"/>
          <w:szCs w:val="24"/>
          <w:vertAlign w:val="subscript"/>
        </w:rPr>
        <w:t>10</w:t>
      </w:r>
      <w:r>
        <w:rPr>
          <w:rFonts w:ascii="Times New Roman" w:hAnsi="Times New Roman"/>
          <w:sz w:val="24"/>
          <w:szCs w:val="24"/>
        </w:rPr>
        <w:t xml:space="preserve"> are in agreement with studies on ultrafine particles involving measurements within MWI flues and ambient air, showing that incinerators do not have significant impacts on ultrafine particles in localities near MWIs.</w:t>
      </w:r>
      <w:r>
        <w:rPr>
          <w:rFonts w:ascii="Times New Roman" w:hAnsi="Times New Roman"/>
          <w:sz w:val="24"/>
          <w:szCs w:val="24"/>
          <w:vertAlign w:val="superscript"/>
        </w:rPr>
        <w:t>33</w:t>
      </w:r>
      <w:r>
        <w:rPr>
          <w:rFonts w:ascii="Times New Roman" w:hAnsi="Times New Roman"/>
          <w:sz w:val="24"/>
          <w:szCs w:val="24"/>
        </w:rPr>
        <w:t xml:space="preserve"> </w:t>
      </w:r>
    </w:p>
    <w:p w14:paraId="4178D98A" w14:textId="77777777" w:rsidR="00CE4D98" w:rsidRDefault="00FA4CA4" w:rsidP="0042487D">
      <w:pPr>
        <w:pStyle w:val="Body"/>
        <w:spacing w:before="240" w:after="0" w:line="480" w:lineRule="auto"/>
        <w:rPr>
          <w:rFonts w:eastAsia="Times New Roman"/>
        </w:rPr>
      </w:pPr>
      <w:r>
        <w:rPr>
          <w:rFonts w:ascii="Times New Roman" w:hAnsi="Times New Roman"/>
          <w:sz w:val="24"/>
          <w:szCs w:val="24"/>
        </w:rPr>
        <w:t>Additional work was undertaken to confirm the plausibility of the very low modelled PM</w:t>
      </w:r>
      <w:r>
        <w:rPr>
          <w:rFonts w:ascii="Times New Roman" w:hAnsi="Times New Roman"/>
          <w:sz w:val="24"/>
          <w:szCs w:val="24"/>
          <w:vertAlign w:val="subscript"/>
        </w:rPr>
        <w:t>10</w:t>
      </w:r>
      <w:r>
        <w:rPr>
          <w:rFonts w:ascii="Times New Roman" w:hAnsi="Times New Roman"/>
          <w:sz w:val="24"/>
          <w:szCs w:val="24"/>
        </w:rPr>
        <w:t xml:space="preserve"> concentrations. MWI emissions were fingerprinted using daily in-flue PM</w:t>
      </w:r>
      <w:r>
        <w:rPr>
          <w:rFonts w:ascii="Times New Roman" w:hAnsi="Times New Roman"/>
          <w:sz w:val="24"/>
          <w:szCs w:val="24"/>
          <w:vertAlign w:val="subscript"/>
        </w:rPr>
        <w:t>10</w:t>
      </w:r>
      <w:r>
        <w:rPr>
          <w:rFonts w:ascii="Times New Roman" w:hAnsi="Times New Roman"/>
          <w:sz w:val="24"/>
          <w:szCs w:val="24"/>
        </w:rPr>
        <w:t xml:space="preserve"> to NO</w:t>
      </w:r>
      <w:r>
        <w:rPr>
          <w:rFonts w:ascii="Times New Roman" w:hAnsi="Times New Roman"/>
          <w:sz w:val="24"/>
          <w:szCs w:val="24"/>
          <w:vertAlign w:val="subscript"/>
        </w:rPr>
        <w:t>X</w:t>
      </w:r>
      <w:r>
        <w:rPr>
          <w:rFonts w:ascii="Times New Roman" w:hAnsi="Times New Roman"/>
          <w:sz w:val="24"/>
          <w:szCs w:val="24"/>
        </w:rPr>
        <w:t xml:space="preserve"> concentrations and ratios were compared to data from 15 ambient monitoring sites within 10 km of four MWIs (Edmonton, SELCHP, </w:t>
      </w:r>
      <w:proofErr w:type="spellStart"/>
      <w:r>
        <w:rPr>
          <w:rFonts w:ascii="Times New Roman" w:hAnsi="Times New Roman"/>
          <w:sz w:val="24"/>
          <w:szCs w:val="24"/>
        </w:rPr>
        <w:t>Tyseley</w:t>
      </w:r>
      <w:proofErr w:type="spellEnd"/>
      <w:r>
        <w:rPr>
          <w:rFonts w:ascii="Times New Roman" w:hAnsi="Times New Roman"/>
          <w:sz w:val="24"/>
          <w:szCs w:val="24"/>
        </w:rPr>
        <w:t xml:space="preserve"> and </w:t>
      </w:r>
      <w:proofErr w:type="spellStart"/>
      <w:r>
        <w:rPr>
          <w:rFonts w:ascii="Times New Roman" w:hAnsi="Times New Roman"/>
          <w:sz w:val="24"/>
          <w:szCs w:val="24"/>
        </w:rPr>
        <w:t>Wolverhampton</w:t>
      </w:r>
      <w:proofErr w:type="spellEnd"/>
      <w:r>
        <w:rPr>
          <w:rFonts w:ascii="Times New Roman" w:hAnsi="Times New Roman"/>
          <w:sz w:val="24"/>
          <w:szCs w:val="24"/>
        </w:rPr>
        <w:t xml:space="preserve">) (SI L, Table S10). Results showed that whilst there was some evidence of </w:t>
      </w:r>
      <w:proofErr w:type="spellStart"/>
      <w:r>
        <w:rPr>
          <w:rFonts w:ascii="Times New Roman" w:hAnsi="Times New Roman"/>
          <w:sz w:val="24"/>
          <w:szCs w:val="24"/>
        </w:rPr>
        <w:t>NOx</w:t>
      </w:r>
      <w:proofErr w:type="spellEnd"/>
      <w:r>
        <w:rPr>
          <w:rFonts w:ascii="Times New Roman" w:hAnsi="Times New Roman"/>
          <w:sz w:val="24"/>
          <w:szCs w:val="24"/>
        </w:rPr>
        <w:t xml:space="preserve"> and PM</w:t>
      </w:r>
      <w:r>
        <w:rPr>
          <w:rFonts w:ascii="Times New Roman" w:hAnsi="Times New Roman"/>
          <w:sz w:val="24"/>
          <w:szCs w:val="24"/>
          <w:vertAlign w:val="subscript"/>
        </w:rPr>
        <w:t>10</w:t>
      </w:r>
      <w:r>
        <w:rPr>
          <w:rFonts w:ascii="Times New Roman" w:hAnsi="Times New Roman"/>
          <w:sz w:val="24"/>
          <w:szCs w:val="24"/>
        </w:rPr>
        <w:t xml:space="preserve"> emissions from MWIs being detected at ground-level, these were few and often could not be distinguished from other sources such as traffic (SI L, Figure S5). This supports the very low contributions of MWI PM</w:t>
      </w:r>
      <w:r>
        <w:rPr>
          <w:rFonts w:ascii="Times New Roman" w:hAnsi="Times New Roman"/>
          <w:sz w:val="24"/>
          <w:szCs w:val="24"/>
          <w:vertAlign w:val="subscript"/>
        </w:rPr>
        <w:t>10</w:t>
      </w:r>
      <w:r>
        <w:rPr>
          <w:rFonts w:ascii="Times New Roman" w:hAnsi="Times New Roman"/>
          <w:sz w:val="24"/>
          <w:szCs w:val="24"/>
        </w:rPr>
        <w:t xml:space="preserve"> to background concentrations in areas near MWIs in the present study.</w:t>
      </w:r>
    </w:p>
    <w:p w14:paraId="543E5C39" w14:textId="77777777" w:rsidR="00CE4D98" w:rsidRDefault="00FA4CA4" w:rsidP="0042487D">
      <w:pPr>
        <w:pStyle w:val="Body"/>
        <w:spacing w:before="240" w:after="0" w:line="480" w:lineRule="auto"/>
        <w:rPr>
          <w:rFonts w:eastAsia="Times New Roman"/>
        </w:rPr>
      </w:pPr>
      <w:r>
        <w:rPr>
          <w:rFonts w:ascii="Times New Roman" w:hAnsi="Times New Roman"/>
          <w:sz w:val="24"/>
          <w:szCs w:val="24"/>
        </w:rPr>
        <w:t>Exposure surfaces for selected MWIs in Figure 2 and that have been previously presented</w:t>
      </w:r>
      <w:r>
        <w:rPr>
          <w:rFonts w:ascii="Times New Roman" w:hAnsi="Times New Roman"/>
          <w:sz w:val="24"/>
          <w:szCs w:val="24"/>
          <w:vertAlign w:val="superscript"/>
        </w:rPr>
        <w:t>20</w:t>
      </w:r>
      <w:r>
        <w:rPr>
          <w:rFonts w:ascii="Times New Roman" w:hAnsi="Times New Roman"/>
          <w:sz w:val="24"/>
          <w:szCs w:val="24"/>
        </w:rPr>
        <w:t xml:space="preserve"> show that incinerator-related PM</w:t>
      </w:r>
      <w:r>
        <w:rPr>
          <w:rFonts w:ascii="Times New Roman" w:hAnsi="Times New Roman"/>
          <w:sz w:val="24"/>
          <w:szCs w:val="24"/>
          <w:vertAlign w:val="subscript"/>
        </w:rPr>
        <w:t>10</w:t>
      </w:r>
      <w:r>
        <w:rPr>
          <w:rFonts w:ascii="Times New Roman" w:hAnsi="Times New Roman"/>
          <w:sz w:val="24"/>
          <w:szCs w:val="24"/>
        </w:rPr>
        <w:t xml:space="preserve"> concentrations were not merely a function of distance from incinerator, but showed complex spatial patterns including differences between years, largely relating to differences in emission rates (including off days) and meteorology. </w:t>
      </w:r>
    </w:p>
    <w:p w14:paraId="7764CF6B" w14:textId="77777777" w:rsidR="00CE4D98" w:rsidRDefault="00FA4CA4" w:rsidP="0042487D">
      <w:pPr>
        <w:pStyle w:val="Body"/>
        <w:spacing w:before="240" w:after="0" w:line="480" w:lineRule="auto"/>
        <w:rPr>
          <w:rFonts w:eastAsia="Times New Roman"/>
          <w:b/>
          <w:bCs/>
        </w:rPr>
      </w:pPr>
      <w:r>
        <w:rPr>
          <w:rFonts w:ascii="Times New Roman" w:hAnsi="Times New Roman"/>
          <w:b/>
          <w:bCs/>
          <w:sz w:val="24"/>
          <w:szCs w:val="24"/>
        </w:rPr>
        <w:t>Consideration of other pollutants emitted from MWIs</w:t>
      </w:r>
    </w:p>
    <w:p w14:paraId="71763E78" w14:textId="5D431CD0" w:rsidR="00D55320" w:rsidRDefault="00FA4CA4">
      <w:pPr>
        <w:pStyle w:val="Body"/>
        <w:spacing w:after="0" w:line="480" w:lineRule="auto"/>
        <w:rPr>
          <w:rFonts w:ascii="Times New Roman" w:hAnsi="Times New Roman"/>
          <w:sz w:val="24"/>
          <w:szCs w:val="24"/>
        </w:rPr>
      </w:pPr>
      <w:r>
        <w:rPr>
          <w:rFonts w:ascii="Times New Roman" w:hAnsi="Times New Roman"/>
          <w:sz w:val="24"/>
          <w:szCs w:val="24"/>
        </w:rPr>
        <w:t>While ambient PM</w:t>
      </w:r>
      <w:r>
        <w:rPr>
          <w:rFonts w:ascii="Times New Roman" w:hAnsi="Times New Roman"/>
          <w:sz w:val="24"/>
          <w:szCs w:val="24"/>
          <w:vertAlign w:val="subscript"/>
        </w:rPr>
        <w:t>10</w:t>
      </w:r>
      <w:r>
        <w:rPr>
          <w:rFonts w:ascii="Times New Roman" w:hAnsi="Times New Roman"/>
          <w:sz w:val="24"/>
          <w:szCs w:val="24"/>
        </w:rPr>
        <w:t xml:space="preserve"> has been associated with adverse birth outcomes</w:t>
      </w:r>
      <w:proofErr w:type="gramStart"/>
      <w:r>
        <w:rPr>
          <w:rFonts w:ascii="Times New Roman" w:hAnsi="Times New Roman"/>
          <w:sz w:val="24"/>
          <w:szCs w:val="24"/>
        </w:rPr>
        <w:t>,</w:t>
      </w:r>
      <w:r w:rsidRPr="0042487D">
        <w:rPr>
          <w:rFonts w:ascii="Times New Roman" w:hAnsi="Times New Roman"/>
          <w:sz w:val="24"/>
          <w:vertAlign w:val="superscript"/>
          <w:lang w:val="ru-RU"/>
        </w:rPr>
        <w:t>34</w:t>
      </w:r>
      <w:proofErr w:type="gramEnd"/>
      <w:r>
        <w:rPr>
          <w:rFonts w:ascii="Times New Roman" w:hAnsi="Times New Roman"/>
          <w:sz w:val="24"/>
          <w:szCs w:val="24"/>
        </w:rPr>
        <w:t xml:space="preserve"> </w:t>
      </w:r>
      <w:r w:rsidR="00D55320">
        <w:rPr>
          <w:rFonts w:ascii="Times New Roman" w:hAnsi="Times New Roman"/>
          <w:sz w:val="24"/>
          <w:szCs w:val="24"/>
        </w:rPr>
        <w:t xml:space="preserve">levels </w:t>
      </w:r>
      <w:r>
        <w:rPr>
          <w:rFonts w:ascii="Times New Roman" w:hAnsi="Times New Roman"/>
          <w:sz w:val="24"/>
          <w:szCs w:val="24"/>
        </w:rPr>
        <w:t xml:space="preserve">are much higher than those arising from MWIs emissions. Despite this, some recent epidemiological studies relating to MWIs operating to the EU-WID have found associations with adverse </w:t>
      </w:r>
      <w:r>
        <w:rPr>
          <w:rFonts w:ascii="Times New Roman" w:hAnsi="Times New Roman"/>
          <w:sz w:val="24"/>
          <w:szCs w:val="24"/>
        </w:rPr>
        <w:lastRenderedPageBreak/>
        <w:t>birth outcomes.</w:t>
      </w:r>
      <w:r w:rsidRPr="0042487D">
        <w:rPr>
          <w:rFonts w:ascii="Times New Roman" w:hAnsi="Times New Roman"/>
          <w:sz w:val="24"/>
          <w:vertAlign w:val="superscript"/>
          <w:lang w:val="de-DE"/>
        </w:rPr>
        <w:t>14,15</w:t>
      </w:r>
      <w:r>
        <w:rPr>
          <w:rFonts w:ascii="Times New Roman" w:hAnsi="Times New Roman"/>
          <w:sz w:val="24"/>
          <w:szCs w:val="24"/>
        </w:rPr>
        <w:t xml:space="preserve"> If these are causal associations, it is likely to be due to agents other than PM</w:t>
      </w:r>
      <w:r>
        <w:rPr>
          <w:rFonts w:ascii="Times New Roman" w:hAnsi="Times New Roman"/>
          <w:sz w:val="24"/>
          <w:szCs w:val="24"/>
          <w:vertAlign w:val="subscript"/>
        </w:rPr>
        <w:t>10</w:t>
      </w:r>
      <w:r>
        <w:rPr>
          <w:rFonts w:ascii="Times New Roman" w:hAnsi="Times New Roman"/>
          <w:sz w:val="24"/>
          <w:szCs w:val="24"/>
        </w:rPr>
        <w:t xml:space="preserve"> that are also emitted from incinerators such as PCDD/Fs, PAHs and heavy metals.  We were unable to model spatial distribution of these other agents directly due to sparse emissions data. Other potential incinerator emissions including </w:t>
      </w:r>
      <w:proofErr w:type="spellStart"/>
      <w:r>
        <w:rPr>
          <w:rFonts w:ascii="Times New Roman" w:hAnsi="Times New Roman"/>
          <w:sz w:val="24"/>
          <w:szCs w:val="24"/>
        </w:rPr>
        <w:t>polybrominated</w:t>
      </w:r>
      <w:proofErr w:type="spellEnd"/>
      <w:r>
        <w:rPr>
          <w:rFonts w:ascii="Times New Roman" w:hAnsi="Times New Roman"/>
          <w:sz w:val="24"/>
          <w:szCs w:val="24"/>
        </w:rPr>
        <w:t xml:space="preserve"> or mixed </w:t>
      </w:r>
      <w:proofErr w:type="spellStart"/>
      <w:r>
        <w:rPr>
          <w:rFonts w:ascii="Times New Roman" w:hAnsi="Times New Roman"/>
          <w:sz w:val="24"/>
          <w:szCs w:val="24"/>
        </w:rPr>
        <w:t>polybrominated</w:t>
      </w:r>
      <w:proofErr w:type="spellEnd"/>
      <w:r>
        <w:rPr>
          <w:rFonts w:ascii="Times New Roman" w:hAnsi="Times New Roman"/>
          <w:sz w:val="24"/>
          <w:szCs w:val="24"/>
        </w:rPr>
        <w:t xml:space="preserve">/polychlorinated </w:t>
      </w:r>
      <w:proofErr w:type="spellStart"/>
      <w:r>
        <w:rPr>
          <w:rFonts w:ascii="Times New Roman" w:hAnsi="Times New Roman"/>
          <w:sz w:val="24"/>
          <w:szCs w:val="24"/>
        </w:rPr>
        <w:t>dibenzo</w:t>
      </w:r>
      <w:proofErr w:type="spellEnd"/>
      <w:r>
        <w:rPr>
          <w:rFonts w:ascii="Times New Roman" w:hAnsi="Times New Roman"/>
          <w:sz w:val="24"/>
          <w:szCs w:val="24"/>
        </w:rPr>
        <w:t xml:space="preserve">-p-dioxins/furans (PBDD/Fs and PXDD/Fs) were not measured. However, it is </w:t>
      </w:r>
      <w:r w:rsidR="00D55320">
        <w:rPr>
          <w:rFonts w:ascii="Times New Roman" w:hAnsi="Times New Roman"/>
          <w:sz w:val="24"/>
          <w:szCs w:val="24"/>
        </w:rPr>
        <w:t xml:space="preserve">a reasonable assumption </w:t>
      </w:r>
      <w:r>
        <w:rPr>
          <w:rFonts w:ascii="Times New Roman" w:hAnsi="Times New Roman"/>
          <w:sz w:val="24"/>
          <w:szCs w:val="24"/>
        </w:rPr>
        <w:t>that modelled spatial distribution of PM</w:t>
      </w:r>
      <w:r>
        <w:rPr>
          <w:rFonts w:ascii="Times New Roman" w:hAnsi="Times New Roman"/>
          <w:sz w:val="24"/>
          <w:szCs w:val="24"/>
          <w:vertAlign w:val="subscript"/>
        </w:rPr>
        <w:t>10</w:t>
      </w:r>
      <w:r>
        <w:rPr>
          <w:rFonts w:ascii="Times New Roman" w:hAnsi="Times New Roman"/>
          <w:sz w:val="24"/>
          <w:szCs w:val="24"/>
        </w:rPr>
        <w:t xml:space="preserve"> reflects exposure patterns of other MWI emissions. This assumption has been used in previous dispersion modelling studies, which found that heavy metals</w:t>
      </w:r>
      <w:r>
        <w:rPr>
          <w:rFonts w:ascii="Times New Roman" w:hAnsi="Times New Roman"/>
          <w:sz w:val="24"/>
          <w:szCs w:val="24"/>
          <w:vertAlign w:val="superscript"/>
        </w:rPr>
        <w:t>15</w:t>
      </w:r>
      <w:r>
        <w:rPr>
          <w:rFonts w:ascii="Times New Roman" w:hAnsi="Times New Roman"/>
          <w:sz w:val="24"/>
          <w:szCs w:val="24"/>
        </w:rPr>
        <w:t xml:space="preserve"> had a similar deposition distribution to PM</w:t>
      </w:r>
      <w:r>
        <w:rPr>
          <w:rFonts w:ascii="Times New Roman" w:hAnsi="Times New Roman"/>
          <w:sz w:val="24"/>
          <w:szCs w:val="24"/>
          <w:vertAlign w:val="subscript"/>
        </w:rPr>
        <w:t>10</w:t>
      </w:r>
      <w:r w:rsidRPr="0042487D">
        <w:rPr>
          <w:rFonts w:ascii="Times New Roman" w:hAnsi="Times New Roman"/>
          <w:sz w:val="24"/>
          <w:lang w:val="it-IT"/>
        </w:rPr>
        <w:t>. Ranzi et al.</w:t>
      </w:r>
      <w:r>
        <w:rPr>
          <w:rFonts w:ascii="Times New Roman" w:hAnsi="Times New Roman"/>
          <w:sz w:val="24"/>
          <w:szCs w:val="24"/>
          <w:vertAlign w:val="superscript"/>
        </w:rPr>
        <w:t>25</w:t>
      </w:r>
      <w:r>
        <w:rPr>
          <w:rFonts w:ascii="Times New Roman" w:hAnsi="Times New Roman"/>
          <w:sz w:val="24"/>
          <w:szCs w:val="24"/>
        </w:rPr>
        <w:t xml:space="preserve"> measured various pollutants including </w:t>
      </w:r>
      <w:proofErr w:type="spellStart"/>
      <w:r>
        <w:rPr>
          <w:rFonts w:ascii="Times New Roman" w:hAnsi="Times New Roman"/>
          <w:sz w:val="24"/>
          <w:szCs w:val="24"/>
        </w:rPr>
        <w:t>sulphur</w:t>
      </w:r>
      <w:proofErr w:type="spellEnd"/>
      <w:r>
        <w:rPr>
          <w:rFonts w:ascii="Times New Roman" w:hAnsi="Times New Roman"/>
          <w:sz w:val="24"/>
          <w:szCs w:val="24"/>
        </w:rPr>
        <w:t xml:space="preserve"> oxides, nitrogen dioxide and heavy metals in Italy at maximum and minimum fallout points estim</w:t>
      </w:r>
      <w:r w:rsidR="002532A2">
        <w:rPr>
          <w:rFonts w:ascii="Times New Roman" w:hAnsi="Times New Roman"/>
          <w:sz w:val="24"/>
          <w:szCs w:val="24"/>
        </w:rPr>
        <w:t xml:space="preserve">ated by dispersion models and </w:t>
      </w:r>
      <w:r>
        <w:rPr>
          <w:rFonts w:ascii="Times New Roman" w:hAnsi="Times New Roman"/>
          <w:sz w:val="24"/>
          <w:szCs w:val="24"/>
        </w:rPr>
        <w:t>considered heavy metals as the tracer pollutant from MWIs. We found some support for this as we detected significant correlations for in-flue measurements between PM</w:t>
      </w:r>
      <w:r>
        <w:rPr>
          <w:rFonts w:ascii="Times New Roman" w:hAnsi="Times New Roman"/>
          <w:sz w:val="24"/>
          <w:szCs w:val="24"/>
          <w:vertAlign w:val="subscript"/>
        </w:rPr>
        <w:t>10</w:t>
      </w:r>
      <w:r>
        <w:rPr>
          <w:rFonts w:ascii="Times New Roman" w:hAnsi="Times New Roman"/>
          <w:sz w:val="24"/>
          <w:szCs w:val="24"/>
        </w:rPr>
        <w:t xml:space="preserve"> and heavy </w:t>
      </w:r>
      <w:r w:rsidR="002532A2">
        <w:rPr>
          <w:rFonts w:ascii="Times New Roman" w:hAnsi="Times New Roman"/>
          <w:sz w:val="24"/>
          <w:szCs w:val="24"/>
        </w:rPr>
        <w:t xml:space="preserve">metals, </w:t>
      </w:r>
      <w:r>
        <w:rPr>
          <w:rFonts w:ascii="Times New Roman" w:hAnsi="Times New Roman"/>
          <w:sz w:val="24"/>
          <w:szCs w:val="24"/>
        </w:rPr>
        <w:t>PAHs and PCBs, which provides some support for using PM</w:t>
      </w:r>
      <w:r>
        <w:rPr>
          <w:rFonts w:ascii="Times New Roman" w:hAnsi="Times New Roman"/>
          <w:sz w:val="24"/>
          <w:szCs w:val="24"/>
          <w:vertAlign w:val="subscript"/>
        </w:rPr>
        <w:t>10</w:t>
      </w:r>
      <w:r>
        <w:rPr>
          <w:rFonts w:ascii="Times New Roman" w:hAnsi="Times New Roman"/>
          <w:sz w:val="24"/>
          <w:szCs w:val="24"/>
        </w:rPr>
        <w:t xml:space="preserve"> as a tracer.  While statistically significant, the amount of variance accounted for (partial η</w:t>
      </w:r>
      <w:r>
        <w:rPr>
          <w:rFonts w:ascii="Times New Roman" w:hAnsi="Times New Roman"/>
          <w:sz w:val="24"/>
          <w:szCs w:val="24"/>
          <w:vertAlign w:val="superscript"/>
        </w:rPr>
        <w:t>2</w:t>
      </w:r>
      <w:r>
        <w:rPr>
          <w:rFonts w:ascii="Times New Roman" w:hAnsi="Times New Roman"/>
          <w:sz w:val="24"/>
          <w:szCs w:val="24"/>
        </w:rPr>
        <w:t xml:space="preserve">) was modest, which is likely due to variability in incinerator feedstock, especially differing amounts of electrical equipment. Information on feedstock mix is not recorded by MWIs. </w:t>
      </w:r>
    </w:p>
    <w:p w14:paraId="60477282" w14:textId="77777777" w:rsidR="00D55320" w:rsidRDefault="00D55320">
      <w:pPr>
        <w:pStyle w:val="Body"/>
        <w:spacing w:after="0" w:line="480" w:lineRule="auto"/>
        <w:rPr>
          <w:rFonts w:ascii="Times New Roman" w:hAnsi="Times New Roman"/>
          <w:sz w:val="24"/>
          <w:szCs w:val="24"/>
        </w:rPr>
      </w:pPr>
    </w:p>
    <w:p w14:paraId="3000DB3D" w14:textId="77777777" w:rsidR="00CE4D98" w:rsidRDefault="00FA4CA4" w:rsidP="0042487D">
      <w:pPr>
        <w:pStyle w:val="Body"/>
        <w:spacing w:after="0" w:line="480" w:lineRule="auto"/>
        <w:rPr>
          <w:rFonts w:eastAsia="Times New Roman"/>
        </w:rPr>
      </w:pPr>
      <w:r>
        <w:rPr>
          <w:rFonts w:ascii="Times New Roman" w:hAnsi="Times New Roman"/>
          <w:sz w:val="24"/>
          <w:szCs w:val="24"/>
        </w:rPr>
        <w:t>The level of population exposure to metals and other agents from MWIs is likely to be small.  Font et al.</w:t>
      </w:r>
      <w:r>
        <w:rPr>
          <w:rFonts w:ascii="Times New Roman" w:hAnsi="Times New Roman"/>
          <w:sz w:val="24"/>
          <w:szCs w:val="24"/>
          <w:vertAlign w:val="superscript"/>
        </w:rPr>
        <w:t>32</w:t>
      </w:r>
      <w:r>
        <w:rPr>
          <w:rFonts w:ascii="Times New Roman" w:hAnsi="Times New Roman"/>
          <w:sz w:val="24"/>
          <w:szCs w:val="24"/>
        </w:rPr>
        <w:t xml:space="preserve"> compared heavy metal emission ratios  with those measured at nearby ambient metal monitoring sites around six MWIs in England, and found limited evidence that emissions from MWIs reached ground-level.</w:t>
      </w:r>
    </w:p>
    <w:p w14:paraId="2BE79039" w14:textId="77777777" w:rsidR="00CE4D98" w:rsidRPr="003C74B9" w:rsidRDefault="00CE4D98" w:rsidP="0042487D">
      <w:pPr>
        <w:pStyle w:val="Body"/>
        <w:spacing w:after="0" w:line="480" w:lineRule="auto"/>
        <w:rPr>
          <w:rFonts w:ascii="AdvOT863180fb" w:hAnsi="AdvOT863180fb"/>
        </w:rPr>
      </w:pPr>
    </w:p>
    <w:p w14:paraId="6D94A51C" w14:textId="77777777" w:rsidR="00CE4D98" w:rsidRDefault="00FA4CA4" w:rsidP="0042487D">
      <w:pPr>
        <w:pStyle w:val="Body"/>
        <w:spacing w:after="0" w:line="480" w:lineRule="auto"/>
        <w:rPr>
          <w:rFonts w:eastAsia="Times New Roman"/>
          <w:b/>
          <w:bCs/>
        </w:rPr>
      </w:pPr>
      <w:r>
        <w:rPr>
          <w:rFonts w:ascii="Times New Roman" w:hAnsi="Times New Roman"/>
          <w:b/>
          <w:bCs/>
          <w:sz w:val="24"/>
          <w:szCs w:val="24"/>
        </w:rPr>
        <w:t xml:space="preserve">Emissions above the EU-WID daily average particulate limit value </w:t>
      </w:r>
    </w:p>
    <w:p w14:paraId="7A8F0B2B" w14:textId="696CD556" w:rsidR="00CE4D98" w:rsidRDefault="00FA4CA4" w:rsidP="0042487D">
      <w:pPr>
        <w:pStyle w:val="Body"/>
        <w:spacing w:after="0" w:line="480" w:lineRule="auto"/>
        <w:rPr>
          <w:rFonts w:eastAsia="Times New Roman"/>
        </w:rPr>
      </w:pPr>
      <w:r>
        <w:rPr>
          <w:rFonts w:ascii="Times New Roman" w:hAnsi="Times New Roman"/>
          <w:sz w:val="24"/>
          <w:szCs w:val="24"/>
        </w:rPr>
        <w:lastRenderedPageBreak/>
        <w:t>Although emissions greater than the EU-WID limit of 10 mg m</w:t>
      </w:r>
      <w:r>
        <w:rPr>
          <w:rFonts w:ascii="Times New Roman" w:hAnsi="Times New Roman"/>
          <w:sz w:val="24"/>
          <w:szCs w:val="24"/>
          <w:vertAlign w:val="superscript"/>
        </w:rPr>
        <w:t xml:space="preserve">-3 </w:t>
      </w:r>
      <w:r>
        <w:rPr>
          <w:rFonts w:ascii="Times New Roman" w:hAnsi="Times New Roman"/>
          <w:sz w:val="24"/>
          <w:szCs w:val="24"/>
        </w:rPr>
        <w:t>were found in 14 of the 22 MWIs, these were usually &lt;20 mg m</w:t>
      </w:r>
      <w:r>
        <w:rPr>
          <w:rFonts w:ascii="Times New Roman" w:hAnsi="Times New Roman"/>
          <w:sz w:val="24"/>
          <w:szCs w:val="24"/>
          <w:vertAlign w:val="superscript"/>
        </w:rPr>
        <w:t>-3</w:t>
      </w:r>
      <w:r>
        <w:rPr>
          <w:rFonts w:ascii="Times New Roman" w:hAnsi="Times New Roman"/>
          <w:sz w:val="24"/>
          <w:szCs w:val="24"/>
        </w:rPr>
        <w:t xml:space="preserve"> (SI J Table S7). These may not all represent exceedances under the WID as in the event of temporary abatement failure MWIs are allowed to operate for up to 4 hours at a time (maximum 60 hours per flue per year) at an elevated half-hourly particulate limit value of 150 mg m</w:t>
      </w:r>
      <w:r>
        <w:rPr>
          <w:rFonts w:ascii="Times New Roman" w:hAnsi="Times New Roman"/>
          <w:sz w:val="24"/>
          <w:szCs w:val="24"/>
          <w:vertAlign w:val="superscript"/>
        </w:rPr>
        <w:t>-3</w:t>
      </w:r>
      <w:r>
        <w:rPr>
          <w:rFonts w:ascii="Times New Roman" w:hAnsi="Times New Roman"/>
          <w:sz w:val="24"/>
          <w:szCs w:val="24"/>
        </w:rPr>
        <w:t xml:space="preserve"> (normally 30 mg m</w:t>
      </w:r>
      <w:r>
        <w:rPr>
          <w:rFonts w:ascii="Times New Roman" w:hAnsi="Times New Roman"/>
          <w:sz w:val="24"/>
          <w:szCs w:val="24"/>
          <w:vertAlign w:val="superscript"/>
        </w:rPr>
        <w:t>-3</w:t>
      </w:r>
      <w:r>
        <w:rPr>
          <w:rFonts w:ascii="Times New Roman" w:hAnsi="Times New Roman"/>
          <w:sz w:val="24"/>
          <w:szCs w:val="24"/>
        </w:rPr>
        <w:t>). If there are less than 43 half-hourly monitoring results available in a day the daily average can be disregarded</w:t>
      </w:r>
      <w:r w:rsidR="00D55320">
        <w:rPr>
          <w:rFonts w:ascii="Times New Roman" w:hAnsi="Times New Roman"/>
          <w:sz w:val="24"/>
          <w:szCs w:val="24"/>
        </w:rPr>
        <w:t>.</w:t>
      </w:r>
      <w:r>
        <w:rPr>
          <w:rFonts w:ascii="Times New Roman" w:hAnsi="Times New Roman"/>
          <w:sz w:val="24"/>
          <w:szCs w:val="24"/>
        </w:rPr>
        <w:t xml:space="preserve"> Daily average emissions &gt;20 mg m</w:t>
      </w:r>
      <w:r>
        <w:rPr>
          <w:rFonts w:ascii="Times New Roman" w:hAnsi="Times New Roman"/>
          <w:sz w:val="24"/>
          <w:szCs w:val="24"/>
          <w:vertAlign w:val="superscript"/>
        </w:rPr>
        <w:t>-3</w:t>
      </w:r>
      <w:r>
        <w:rPr>
          <w:rFonts w:ascii="Times New Roman" w:hAnsi="Times New Roman"/>
          <w:sz w:val="24"/>
          <w:szCs w:val="24"/>
        </w:rPr>
        <w:t xml:space="preserve"> were infrequent, and there were </w:t>
      </w:r>
      <w:r w:rsidR="00D55320">
        <w:rPr>
          <w:rFonts w:ascii="Times New Roman" w:hAnsi="Times New Roman"/>
          <w:sz w:val="24"/>
          <w:szCs w:val="24"/>
        </w:rPr>
        <w:t xml:space="preserve">only </w:t>
      </w:r>
      <w:r>
        <w:rPr>
          <w:rFonts w:ascii="Times New Roman" w:hAnsi="Times New Roman"/>
          <w:sz w:val="24"/>
          <w:szCs w:val="24"/>
        </w:rPr>
        <w:t>rare occurrences &gt;30 mg m</w:t>
      </w:r>
      <w:r>
        <w:rPr>
          <w:rFonts w:ascii="Times New Roman" w:hAnsi="Times New Roman"/>
          <w:sz w:val="24"/>
          <w:szCs w:val="24"/>
          <w:vertAlign w:val="superscript"/>
        </w:rPr>
        <w:t>-3</w:t>
      </w:r>
      <w:r w:rsidR="00D55320">
        <w:rPr>
          <w:rFonts w:ascii="Times New Roman" w:hAnsi="Times New Roman"/>
          <w:sz w:val="24"/>
          <w:szCs w:val="24"/>
        </w:rPr>
        <w:t xml:space="preserve">, </w:t>
      </w:r>
      <w:r>
        <w:rPr>
          <w:rFonts w:ascii="Times New Roman" w:hAnsi="Times New Roman"/>
          <w:sz w:val="24"/>
          <w:szCs w:val="24"/>
        </w:rPr>
        <w:t>which may have occurred due to ‘one off’ changes in feedstock or failure of abatement systems. We were not provided with information on reasons for emissions greater than the EU-WID limit. However, given that mean PM</w:t>
      </w:r>
      <w:r>
        <w:rPr>
          <w:rFonts w:ascii="Times New Roman" w:hAnsi="Times New Roman"/>
          <w:sz w:val="24"/>
          <w:szCs w:val="24"/>
          <w:vertAlign w:val="subscript"/>
        </w:rPr>
        <w:t>10</w:t>
      </w:r>
      <w:r>
        <w:rPr>
          <w:rFonts w:ascii="Times New Roman" w:hAnsi="Times New Roman"/>
          <w:sz w:val="24"/>
          <w:szCs w:val="24"/>
        </w:rPr>
        <w:t xml:space="preserve"> concentrations estimated by the dispersion model were small (1.00 10</w:t>
      </w:r>
      <w:r>
        <w:rPr>
          <w:rFonts w:ascii="Times New Roman" w:hAnsi="Times New Roman"/>
          <w:sz w:val="24"/>
          <w:szCs w:val="24"/>
          <w:vertAlign w:val="superscript"/>
        </w:rPr>
        <w:t>-5</w:t>
      </w:r>
      <w:r>
        <w:rPr>
          <w:rFonts w:ascii="Times New Roman" w:hAnsi="Times New Roman"/>
          <w:sz w:val="24"/>
          <w:szCs w:val="24"/>
        </w:rPr>
        <w:t xml:space="preserve"> to 5.53 10</w:t>
      </w:r>
      <w:r>
        <w:rPr>
          <w:rFonts w:ascii="Times New Roman" w:hAnsi="Times New Roman"/>
          <w:sz w:val="24"/>
          <w:szCs w:val="24"/>
          <w:vertAlign w:val="superscript"/>
          <w:lang w:val="it-IT"/>
        </w:rPr>
        <w:t xml:space="preserve">-2 </w:t>
      </w:r>
      <w:r>
        <w:rPr>
          <w:rFonts w:ascii="Times New Roman" w:hAnsi="Times New Roman"/>
          <w:sz w:val="24"/>
          <w:szCs w:val="24"/>
        </w:rPr>
        <w:t>µ</w:t>
      </w:r>
      <w:r>
        <w:rPr>
          <w:rFonts w:ascii="Times New Roman" w:hAnsi="Times New Roman"/>
          <w:sz w:val="24"/>
          <w:szCs w:val="24"/>
          <w:lang w:val="nl-NL"/>
        </w:rPr>
        <w:t>g m</w:t>
      </w:r>
      <w:r>
        <w:rPr>
          <w:rFonts w:ascii="Times New Roman" w:hAnsi="Times New Roman"/>
          <w:sz w:val="24"/>
          <w:szCs w:val="24"/>
          <w:vertAlign w:val="superscript"/>
        </w:rPr>
        <w:t>-3</w:t>
      </w:r>
      <w:r>
        <w:rPr>
          <w:rFonts w:ascii="Times New Roman" w:hAnsi="Times New Roman"/>
          <w:sz w:val="24"/>
          <w:szCs w:val="24"/>
        </w:rPr>
        <w:t>; a small contribution to ambient background levels which were typically 6.59 – 2.68 10</w:t>
      </w:r>
      <w:r>
        <w:rPr>
          <w:rFonts w:ascii="Times New Roman" w:hAnsi="Times New Roman"/>
          <w:sz w:val="24"/>
          <w:szCs w:val="24"/>
          <w:vertAlign w:val="superscript"/>
        </w:rPr>
        <w:t>1</w:t>
      </w:r>
      <w:r>
        <w:rPr>
          <w:rFonts w:ascii="Times New Roman" w:hAnsi="Times New Roman"/>
          <w:sz w:val="24"/>
          <w:szCs w:val="24"/>
        </w:rPr>
        <w:t xml:space="preserve"> µ</w:t>
      </w:r>
      <w:r>
        <w:rPr>
          <w:rFonts w:ascii="Times New Roman" w:hAnsi="Times New Roman"/>
          <w:sz w:val="24"/>
          <w:szCs w:val="24"/>
          <w:lang w:val="nl-NL"/>
        </w:rPr>
        <w:t>g m</w:t>
      </w:r>
      <w:r>
        <w:rPr>
          <w:rFonts w:ascii="Times New Roman" w:hAnsi="Times New Roman"/>
          <w:sz w:val="24"/>
          <w:szCs w:val="24"/>
          <w:vertAlign w:val="superscript"/>
        </w:rPr>
        <w:t>-3</w:t>
      </w:r>
      <w:r w:rsidR="002532A2">
        <w:rPr>
          <w:rFonts w:ascii="Times New Roman" w:hAnsi="Times New Roman"/>
          <w:sz w:val="24"/>
          <w:szCs w:val="24"/>
        </w:rPr>
        <w:t>)</w:t>
      </w:r>
      <w:r>
        <w:rPr>
          <w:rFonts w:ascii="Times New Roman" w:hAnsi="Times New Roman"/>
          <w:sz w:val="24"/>
          <w:szCs w:val="24"/>
        </w:rPr>
        <w:t xml:space="preserve">, these infrequent emissions above EU-WID limits would still be expected to result in very low population exposures. </w:t>
      </w:r>
    </w:p>
    <w:p w14:paraId="5CAC7551" w14:textId="77777777" w:rsidR="00CE4D98" w:rsidRPr="003C74B9" w:rsidRDefault="00CE4D98" w:rsidP="0042487D">
      <w:pPr>
        <w:pStyle w:val="Body"/>
        <w:spacing w:after="0" w:line="480" w:lineRule="auto"/>
        <w:rPr>
          <w:rFonts w:ascii="AdvOT863180fb" w:hAnsi="AdvOT863180fb"/>
        </w:rPr>
      </w:pPr>
    </w:p>
    <w:p w14:paraId="5F1D98A3" w14:textId="77777777" w:rsidR="00CE4D98" w:rsidRDefault="00FA4CA4" w:rsidP="0042487D">
      <w:pPr>
        <w:pStyle w:val="Body"/>
        <w:spacing w:after="0" w:line="480" w:lineRule="auto"/>
        <w:rPr>
          <w:rFonts w:eastAsia="Times New Roman"/>
          <w:b/>
          <w:bCs/>
        </w:rPr>
      </w:pPr>
      <w:r>
        <w:rPr>
          <w:rFonts w:ascii="Times New Roman" w:hAnsi="Times New Roman"/>
          <w:b/>
          <w:bCs/>
          <w:sz w:val="24"/>
          <w:szCs w:val="24"/>
        </w:rPr>
        <w:t>Detecting changes in emissions following the EU-WID</w:t>
      </w:r>
    </w:p>
    <w:p w14:paraId="0D759ADB" w14:textId="0F4142CD" w:rsidR="00CE4D98" w:rsidRDefault="00FA4CA4" w:rsidP="0042487D">
      <w:pPr>
        <w:pStyle w:val="Body"/>
        <w:spacing w:after="0" w:line="480" w:lineRule="auto"/>
        <w:rPr>
          <w:rFonts w:eastAsia="Times New Roman"/>
        </w:rPr>
      </w:pPr>
      <w:r>
        <w:rPr>
          <w:rFonts w:ascii="Times New Roman" w:hAnsi="Times New Roman"/>
          <w:sz w:val="24"/>
          <w:szCs w:val="24"/>
        </w:rPr>
        <w:t>We conducted the change point analysis for existing incinerators using the Cramer-von-</w:t>
      </w:r>
      <w:proofErr w:type="spellStart"/>
      <w:r>
        <w:rPr>
          <w:rFonts w:ascii="Times New Roman" w:hAnsi="Times New Roman"/>
          <w:sz w:val="24"/>
          <w:szCs w:val="24"/>
        </w:rPr>
        <w:t>Mises</w:t>
      </w:r>
      <w:proofErr w:type="spellEnd"/>
      <w:r>
        <w:rPr>
          <w:rFonts w:ascii="Times New Roman" w:hAnsi="Times New Roman"/>
          <w:sz w:val="24"/>
          <w:szCs w:val="24"/>
        </w:rPr>
        <w:t xml:space="preserve"> method to account for the ordered data structure. A simpler test (e.g. a two sample t-test to compare PM</w:t>
      </w:r>
      <w:r>
        <w:rPr>
          <w:rFonts w:ascii="Times New Roman" w:hAnsi="Times New Roman"/>
          <w:sz w:val="24"/>
          <w:szCs w:val="24"/>
          <w:vertAlign w:val="subscript"/>
        </w:rPr>
        <w:t>10</w:t>
      </w:r>
      <w:r>
        <w:rPr>
          <w:rFonts w:ascii="Times New Roman" w:hAnsi="Times New Roman"/>
          <w:sz w:val="24"/>
          <w:szCs w:val="24"/>
        </w:rPr>
        <w:t xml:space="preserve"> emissions before and after the EU-WID implementation) may have introduced bias due to the number of non-operational, missing days and non-Gaussian distributed data. We assumed that a fall in emissions would be detected in existing incinerators within one year (prior or posterior) of the EU-WID implementation date, but this was only seen for five of 11 incinerators in the change point analysis. A possible explanation is that many existing MWIs may have already met (or been modified to meet) the EU-WID requirements. However information as to whether and when each MWI adopted a new abatement system </w:t>
      </w:r>
      <w:r>
        <w:rPr>
          <w:rFonts w:ascii="Times New Roman" w:hAnsi="Times New Roman"/>
          <w:sz w:val="24"/>
          <w:szCs w:val="24"/>
        </w:rPr>
        <w:lastRenderedPageBreak/>
        <w:t xml:space="preserve">was not available. In three of the six MWIs where a change point was detected within a year prior or posterior to the EU-WID implementation date (28 December 2005), a higher mean </w:t>
      </w:r>
      <w:r w:rsidRPr="003C74B9">
        <w:rPr>
          <w:rFonts w:ascii="Times New Roman" w:hAnsi="Times New Roman"/>
          <w:sz w:val="24"/>
        </w:rPr>
        <w:t>level of PM</w:t>
      </w:r>
      <w:r w:rsidRPr="0042487D">
        <w:rPr>
          <w:rFonts w:ascii="Times New Roman" w:hAnsi="Times New Roman"/>
          <w:sz w:val="24"/>
          <w:vertAlign w:val="subscript"/>
        </w:rPr>
        <w:t>10</w:t>
      </w:r>
      <w:r w:rsidRPr="0042487D">
        <w:rPr>
          <w:rFonts w:ascii="Times New Roman" w:hAnsi="Times New Roman"/>
          <w:sz w:val="24"/>
          <w:vertAlign w:val="superscript"/>
        </w:rPr>
        <w:t xml:space="preserve"> </w:t>
      </w:r>
      <w:r w:rsidRPr="0042487D">
        <w:rPr>
          <w:rFonts w:ascii="Times New Roman" w:hAnsi="Times New Roman"/>
          <w:sz w:val="24"/>
        </w:rPr>
        <w:t xml:space="preserve">was detected after the change point date in at least one flue (Edmonton, Sheffield and </w:t>
      </w:r>
      <w:proofErr w:type="spellStart"/>
      <w:r w:rsidRPr="0042487D">
        <w:rPr>
          <w:rFonts w:ascii="Times New Roman" w:hAnsi="Times New Roman"/>
          <w:sz w:val="24"/>
        </w:rPr>
        <w:t>Tyseley</w:t>
      </w:r>
      <w:proofErr w:type="spellEnd"/>
      <w:r w:rsidRPr="0042487D">
        <w:rPr>
          <w:rFonts w:ascii="Times New Roman" w:hAnsi="Times New Roman"/>
          <w:sz w:val="24"/>
        </w:rPr>
        <w:t xml:space="preserve">), though the increases after the change point date were small, and remained below EU-WID limits. </w:t>
      </w:r>
      <w:r>
        <w:rPr>
          <w:rFonts w:ascii="Times New Roman" w:hAnsi="Times New Roman"/>
          <w:sz w:val="24"/>
          <w:szCs w:val="24"/>
        </w:rPr>
        <w:t>This could be related to a number of factors including differences in the feedstock or changes in the amount of waste processed over time. Since we could not identify a clear date after which emissions fell in relation to the EU-WID in pre-existing MWIs, we conclude it is not possible to conduct before/after epidemiological studies examining impact of the EU-WID on rates of adverse health outcomes  in pre-existing MWIs. However, in MWIs opening after 28 December 2002 (n=8 in 2003-10) that have always operated to the EU-WID standards, it is possible to use the opening date of the incinerator as the before/after change point date.</w:t>
      </w:r>
    </w:p>
    <w:p w14:paraId="73C27DC6" w14:textId="77777777" w:rsidR="00CE4D98" w:rsidRDefault="00CE4D98" w:rsidP="0042487D">
      <w:pPr>
        <w:pStyle w:val="Body"/>
        <w:spacing w:after="0" w:line="480" w:lineRule="auto"/>
        <w:rPr>
          <w:rFonts w:eastAsia="Times New Roman"/>
        </w:rPr>
      </w:pPr>
    </w:p>
    <w:p w14:paraId="07601A4E" w14:textId="77777777" w:rsidR="00CE4D98" w:rsidRPr="0042487D" w:rsidRDefault="00FA4CA4" w:rsidP="0042487D">
      <w:pPr>
        <w:pStyle w:val="Body"/>
        <w:spacing w:after="0" w:line="480" w:lineRule="auto"/>
      </w:pPr>
      <w:r>
        <w:rPr>
          <w:rFonts w:ascii="Times New Roman" w:hAnsi="Times New Roman"/>
          <w:sz w:val="24"/>
          <w:szCs w:val="24"/>
        </w:rPr>
        <w:t>Overall this study suggests that PM</w:t>
      </w:r>
      <w:r>
        <w:rPr>
          <w:rFonts w:ascii="Times New Roman" w:hAnsi="Times New Roman"/>
          <w:sz w:val="24"/>
          <w:szCs w:val="24"/>
          <w:vertAlign w:val="subscript"/>
        </w:rPr>
        <w:t>10</w:t>
      </w:r>
      <w:r>
        <w:rPr>
          <w:rFonts w:ascii="Times New Roman" w:hAnsi="Times New Roman"/>
          <w:sz w:val="24"/>
          <w:szCs w:val="24"/>
        </w:rPr>
        <w:t xml:space="preserve"> exposures related to MWI emissions in Great Britain are extremely low (annual means ranging from 1.00</w:t>
      </w:r>
      <w:r w:rsidRPr="003C74B9">
        <w:rPr>
          <w:sz w:val="24"/>
        </w:rPr>
        <w:t>·</w:t>
      </w:r>
      <w:r>
        <w:rPr>
          <w:rFonts w:ascii="Times New Roman" w:hAnsi="Times New Roman"/>
          <w:sz w:val="24"/>
          <w:szCs w:val="24"/>
        </w:rPr>
        <w:t>10</w:t>
      </w:r>
      <w:r>
        <w:rPr>
          <w:rFonts w:ascii="Times New Roman" w:hAnsi="Times New Roman"/>
          <w:sz w:val="24"/>
          <w:szCs w:val="24"/>
          <w:vertAlign w:val="superscript"/>
        </w:rPr>
        <w:t>-5</w:t>
      </w:r>
      <w:r>
        <w:rPr>
          <w:rFonts w:ascii="Times New Roman" w:hAnsi="Times New Roman"/>
          <w:sz w:val="24"/>
          <w:szCs w:val="24"/>
        </w:rPr>
        <w:t xml:space="preserve"> to 5.53</w:t>
      </w:r>
      <w:r w:rsidRPr="003C74B9">
        <w:rPr>
          <w:sz w:val="24"/>
        </w:rPr>
        <w:t>·</w:t>
      </w:r>
      <w:r>
        <w:rPr>
          <w:rFonts w:ascii="Times New Roman" w:hAnsi="Times New Roman"/>
          <w:sz w:val="24"/>
          <w:szCs w:val="24"/>
        </w:rPr>
        <w:t>10</w:t>
      </w:r>
      <w:r>
        <w:rPr>
          <w:rFonts w:ascii="Times New Roman" w:hAnsi="Times New Roman"/>
          <w:sz w:val="24"/>
          <w:szCs w:val="24"/>
          <w:vertAlign w:val="superscript"/>
        </w:rPr>
        <w:t>-2</w:t>
      </w:r>
      <w:r>
        <w:rPr>
          <w:rFonts w:ascii="Times New Roman" w:hAnsi="Times New Roman"/>
          <w:sz w:val="24"/>
          <w:szCs w:val="24"/>
        </w:rPr>
        <w:t xml:space="preserve"> µ</w:t>
      </w:r>
      <w:r w:rsidRPr="0042487D">
        <w:rPr>
          <w:rFonts w:ascii="Times New Roman" w:hAnsi="Times New Roman"/>
          <w:sz w:val="24"/>
          <w:lang w:val="nl-NL"/>
        </w:rPr>
        <w:t>g m</w:t>
      </w:r>
      <w:r>
        <w:rPr>
          <w:rFonts w:ascii="Times New Roman" w:hAnsi="Times New Roman"/>
          <w:sz w:val="24"/>
          <w:szCs w:val="24"/>
          <w:vertAlign w:val="superscript"/>
        </w:rPr>
        <w:t>-3</w:t>
      </w:r>
      <w:r>
        <w:rPr>
          <w:rFonts w:ascii="Times New Roman" w:hAnsi="Times New Roman"/>
          <w:sz w:val="24"/>
          <w:szCs w:val="24"/>
        </w:rPr>
        <w:t>) especially when compared to annual mean background concentrations (typically ranging between 2.00 10</w:t>
      </w:r>
      <w:r>
        <w:rPr>
          <w:rFonts w:ascii="Times New Roman" w:hAnsi="Times New Roman"/>
          <w:sz w:val="24"/>
          <w:szCs w:val="24"/>
          <w:vertAlign w:val="superscript"/>
        </w:rPr>
        <w:t>1</w:t>
      </w:r>
      <w:r>
        <w:rPr>
          <w:rFonts w:ascii="Times New Roman" w:hAnsi="Times New Roman"/>
          <w:sz w:val="24"/>
          <w:szCs w:val="24"/>
        </w:rPr>
        <w:t xml:space="preserve"> – 5.00 10</w:t>
      </w:r>
      <w:r>
        <w:rPr>
          <w:rFonts w:ascii="Times New Roman" w:hAnsi="Times New Roman"/>
          <w:sz w:val="24"/>
          <w:szCs w:val="24"/>
          <w:vertAlign w:val="superscript"/>
        </w:rPr>
        <w:t>1</w:t>
      </w:r>
      <w:r>
        <w:rPr>
          <w:rFonts w:ascii="Times New Roman" w:hAnsi="Times New Roman"/>
          <w:sz w:val="24"/>
          <w:szCs w:val="24"/>
        </w:rPr>
        <w:t xml:space="preserve"> µ</w:t>
      </w:r>
      <w:r w:rsidRPr="0042487D">
        <w:rPr>
          <w:rFonts w:ascii="Times New Roman" w:hAnsi="Times New Roman"/>
          <w:sz w:val="24"/>
          <w:lang w:val="nl-NL"/>
        </w:rPr>
        <w:t>g m</w:t>
      </w:r>
      <w:r>
        <w:rPr>
          <w:rFonts w:ascii="Times New Roman" w:hAnsi="Times New Roman"/>
          <w:sz w:val="24"/>
          <w:szCs w:val="24"/>
          <w:vertAlign w:val="superscript"/>
        </w:rPr>
        <w:t>-3</w:t>
      </w:r>
      <w:r w:rsidRPr="0042487D">
        <w:rPr>
          <w:rFonts w:ascii="Times New Roman" w:hAnsi="Times New Roman"/>
          <w:sz w:val="24"/>
          <w:lang w:val="de-DE"/>
        </w:rPr>
        <w:t xml:space="preserve"> in Europe).</w:t>
      </w:r>
      <w:r>
        <w:rPr>
          <w:rFonts w:ascii="Times New Roman" w:hAnsi="Times New Roman"/>
          <w:sz w:val="24"/>
          <w:szCs w:val="24"/>
          <w:vertAlign w:val="superscript"/>
        </w:rPr>
        <w:t>30</w:t>
      </w:r>
      <w:r>
        <w:rPr>
          <w:rFonts w:ascii="Times New Roman" w:hAnsi="Times New Roman"/>
          <w:sz w:val="24"/>
          <w:szCs w:val="24"/>
        </w:rPr>
        <w:t xml:space="preserve"> The results of the modelling will be used in an epidemiological analysis examining associations between MWIs and potential reproductive and other health effects.  </w:t>
      </w:r>
    </w:p>
    <w:p w14:paraId="0CDDE21A" w14:textId="55FE58D5" w:rsidR="00EF4463" w:rsidRPr="0042487D" w:rsidRDefault="00EF4463" w:rsidP="0042487D">
      <w:pPr>
        <w:rPr>
          <w:b/>
          <w:color w:val="000000"/>
          <w:sz w:val="28"/>
          <w:u w:color="000000"/>
        </w:rPr>
      </w:pPr>
      <w:r w:rsidRPr="0042487D">
        <w:rPr>
          <w:b/>
          <w:sz w:val="28"/>
        </w:rPr>
        <w:br w:type="page"/>
      </w:r>
    </w:p>
    <w:p w14:paraId="3737C907" w14:textId="77777777" w:rsidR="00CE4D98" w:rsidRDefault="00FA4CA4" w:rsidP="0042487D">
      <w:pPr>
        <w:pStyle w:val="Body"/>
        <w:spacing w:after="0" w:line="480" w:lineRule="auto"/>
        <w:rPr>
          <w:rFonts w:eastAsia="Times New Roman"/>
          <w:b/>
          <w:bCs/>
          <w:sz w:val="28"/>
          <w:szCs w:val="28"/>
        </w:rPr>
      </w:pPr>
      <w:r>
        <w:rPr>
          <w:rFonts w:ascii="Times New Roman" w:hAnsi="Times New Roman"/>
          <w:b/>
          <w:bCs/>
          <w:sz w:val="28"/>
          <w:szCs w:val="28"/>
        </w:rPr>
        <w:lastRenderedPageBreak/>
        <w:t>Acknowledgements</w:t>
      </w:r>
    </w:p>
    <w:p w14:paraId="7227D341" w14:textId="3E119666" w:rsidR="00CE4D98" w:rsidRDefault="00FA4CA4" w:rsidP="0042487D">
      <w:pPr>
        <w:pStyle w:val="Body"/>
        <w:spacing w:after="0" w:line="480" w:lineRule="auto"/>
        <w:rPr>
          <w:rFonts w:eastAsia="Times New Roman"/>
        </w:rPr>
      </w:pPr>
      <w:r>
        <w:rPr>
          <w:rFonts w:ascii="Times New Roman" w:hAnsi="Times New Roman"/>
          <w:sz w:val="24"/>
          <w:szCs w:val="24"/>
        </w:rPr>
        <w:t xml:space="preserve">The study is funded by a grant from Public Health England (PHE), by a grant from the Scottish government, funding from the MRC-PHE Centre for Environment and Health and </w:t>
      </w:r>
      <w:r w:rsidRPr="003C74B9">
        <w:rPr>
          <w:rFonts w:ascii="Times New Roman" w:hAnsi="Times New Roman"/>
          <w:sz w:val="24"/>
        </w:rPr>
        <w:t>funding</w:t>
      </w:r>
      <w:r>
        <w:rPr>
          <w:rFonts w:ascii="Times New Roman" w:hAnsi="Times New Roman"/>
          <w:sz w:val="24"/>
          <w:szCs w:val="24"/>
        </w:rPr>
        <w:t xml:space="preserve"> from the National Institute for Health Research Health Protection Research Unit (NIHR HPRU) in Health Impact of Environmental Hazards at King’s College </w:t>
      </w:r>
      <w:r w:rsidR="002532A2">
        <w:rPr>
          <w:rFonts w:ascii="Times New Roman" w:hAnsi="Times New Roman"/>
          <w:sz w:val="24"/>
          <w:szCs w:val="24"/>
        </w:rPr>
        <w:t xml:space="preserve">London </w:t>
      </w:r>
      <w:r>
        <w:rPr>
          <w:rFonts w:ascii="Times New Roman" w:hAnsi="Times New Roman"/>
          <w:sz w:val="24"/>
          <w:szCs w:val="24"/>
        </w:rPr>
        <w:t xml:space="preserve">and Imperial College London in partnership with Public Health England (PHE). </w:t>
      </w:r>
      <w:r w:rsidRPr="003C74B9">
        <w:rPr>
          <w:rFonts w:ascii="Times New Roman" w:hAnsi="Times New Roman"/>
          <w:sz w:val="24"/>
        </w:rPr>
        <w:t xml:space="preserve">The work of the UK </w:t>
      </w:r>
      <w:r w:rsidRPr="0042487D">
        <w:rPr>
          <w:rFonts w:ascii="Times New Roman" w:hAnsi="Times New Roman"/>
          <w:sz w:val="24"/>
        </w:rPr>
        <w:t>Small Area Health Statistics Unit is funded by Public Health England as part of the MRC-PHE Centre for Environment and Health, funded also by the UK Medical Research Council</w:t>
      </w:r>
      <w:r w:rsidR="00E93A5F">
        <w:rPr>
          <w:rFonts w:ascii="Times New Roman" w:hAnsi="Times New Roman"/>
          <w:sz w:val="24"/>
        </w:rPr>
        <w:t xml:space="preserve"> (MR/L01341X/1)</w:t>
      </w:r>
      <w:r w:rsidRPr="0042487D">
        <w:rPr>
          <w:rFonts w:ascii="Times New Roman" w:hAnsi="Times New Roman"/>
          <w:sz w:val="24"/>
        </w:rPr>
        <w:t>.</w:t>
      </w:r>
    </w:p>
    <w:p w14:paraId="5A237A88" w14:textId="77777777" w:rsidR="00E93A5F" w:rsidRDefault="00E93A5F" w:rsidP="0042487D">
      <w:pPr>
        <w:pStyle w:val="Body"/>
        <w:spacing w:after="0" w:line="480" w:lineRule="auto"/>
        <w:rPr>
          <w:rFonts w:ascii="Times New Roman" w:hAnsi="Times New Roman"/>
          <w:sz w:val="24"/>
          <w:szCs w:val="24"/>
        </w:rPr>
      </w:pPr>
    </w:p>
    <w:p w14:paraId="7CE049EA" w14:textId="21113814" w:rsidR="00CE4D98" w:rsidRDefault="00FA4CA4" w:rsidP="0042487D">
      <w:pPr>
        <w:pStyle w:val="Body"/>
        <w:spacing w:after="0" w:line="480" w:lineRule="auto"/>
        <w:rPr>
          <w:rFonts w:eastAsia="Times New Roman"/>
        </w:rPr>
      </w:pPr>
      <w:r>
        <w:rPr>
          <w:rFonts w:ascii="Times New Roman" w:hAnsi="Times New Roman"/>
          <w:sz w:val="24"/>
          <w:szCs w:val="24"/>
        </w:rPr>
        <w:t>The views expressed are those of the author(s) and not necessarily those of the NIHR, the Department of Health or Public Health England. Danielle C Ashworth was funded by a MRC PhD studentship.</w:t>
      </w:r>
      <w:r w:rsidR="00E93A5F">
        <w:rPr>
          <w:rFonts w:ascii="Times New Roman" w:hAnsi="Times New Roman"/>
          <w:sz w:val="24"/>
          <w:szCs w:val="24"/>
        </w:rPr>
        <w:t xml:space="preserve"> </w:t>
      </w:r>
      <w:r w:rsidR="00E93A5F" w:rsidRPr="00E93A5F">
        <w:rPr>
          <w:rFonts w:ascii="Times New Roman" w:hAnsi="Times New Roman"/>
          <w:sz w:val="24"/>
          <w:szCs w:val="24"/>
        </w:rPr>
        <w:t xml:space="preserve">PE is Director of the MRC-PHE Centre for Environment and Health and a National Institute for Health Research (NIHR) senior investigator emeritus and acknowledges support from the NIHR Biomedical Research Centre at Imperial College Healthcare NHS Trust and Imperial College London. This work used the computing resources of the UK </w:t>
      </w:r>
      <w:proofErr w:type="spellStart"/>
      <w:r w:rsidR="00E93A5F" w:rsidRPr="00E93A5F">
        <w:rPr>
          <w:rFonts w:ascii="Times New Roman" w:hAnsi="Times New Roman"/>
          <w:sz w:val="24"/>
          <w:szCs w:val="24"/>
        </w:rPr>
        <w:t>MEDical</w:t>
      </w:r>
      <w:proofErr w:type="spellEnd"/>
      <w:r w:rsidR="00E93A5F" w:rsidRPr="00E93A5F">
        <w:rPr>
          <w:rFonts w:ascii="Times New Roman" w:hAnsi="Times New Roman"/>
          <w:sz w:val="24"/>
          <w:szCs w:val="24"/>
        </w:rPr>
        <w:t xml:space="preserve"> </w:t>
      </w:r>
      <w:proofErr w:type="spellStart"/>
      <w:r w:rsidR="00E93A5F" w:rsidRPr="00E93A5F">
        <w:rPr>
          <w:rFonts w:ascii="Times New Roman" w:hAnsi="Times New Roman"/>
          <w:sz w:val="24"/>
          <w:szCs w:val="24"/>
        </w:rPr>
        <w:t>BIOinformatics</w:t>
      </w:r>
      <w:proofErr w:type="spellEnd"/>
      <w:r w:rsidR="00E93A5F" w:rsidRPr="00E93A5F">
        <w:rPr>
          <w:rFonts w:ascii="Times New Roman" w:hAnsi="Times New Roman"/>
          <w:sz w:val="24"/>
          <w:szCs w:val="24"/>
        </w:rPr>
        <w:t xml:space="preserve"> partnership - aggregation, integration, </w:t>
      </w:r>
      <w:proofErr w:type="spellStart"/>
      <w:r w:rsidR="00E93A5F" w:rsidRPr="00E93A5F">
        <w:rPr>
          <w:rFonts w:ascii="Times New Roman" w:hAnsi="Times New Roman"/>
          <w:sz w:val="24"/>
          <w:szCs w:val="24"/>
        </w:rPr>
        <w:t>visualisation</w:t>
      </w:r>
      <w:proofErr w:type="spellEnd"/>
      <w:r w:rsidR="00E93A5F" w:rsidRPr="00E93A5F">
        <w:rPr>
          <w:rFonts w:ascii="Times New Roman" w:hAnsi="Times New Roman"/>
          <w:sz w:val="24"/>
          <w:szCs w:val="24"/>
        </w:rPr>
        <w:t xml:space="preserve"> and analysis of large, complex data (UK MED-BIO) which is supported by the Medical Research Council (MR/L01632X/1).</w:t>
      </w:r>
    </w:p>
    <w:p w14:paraId="43808607" w14:textId="77777777" w:rsidR="00CE4D98" w:rsidRPr="003C74B9" w:rsidRDefault="00CE4D98" w:rsidP="0042487D">
      <w:pPr>
        <w:pStyle w:val="Body"/>
        <w:spacing w:after="0" w:line="480" w:lineRule="auto"/>
      </w:pPr>
    </w:p>
    <w:p w14:paraId="320F3620" w14:textId="36DC557E" w:rsidR="00EF4463" w:rsidRDefault="00FA4CA4" w:rsidP="0042487D">
      <w:pPr>
        <w:pStyle w:val="Body"/>
        <w:spacing w:after="0" w:line="480" w:lineRule="auto"/>
        <w:rPr>
          <w:rFonts w:ascii="Times New Roman" w:hAnsi="Times New Roman"/>
          <w:sz w:val="24"/>
          <w:szCs w:val="24"/>
        </w:rPr>
      </w:pPr>
      <w:r>
        <w:rPr>
          <w:rFonts w:ascii="Times New Roman" w:hAnsi="Times New Roman"/>
          <w:sz w:val="24"/>
          <w:szCs w:val="24"/>
        </w:rPr>
        <w:t xml:space="preserve">We thank the Environment Agency, Scottish Environment protection Agency (SEPA), and Natural Resources Wales for the incinerator emissions data and for their technical input. We would also like to thank the study scientific advisory committee for their valuable comments. </w:t>
      </w:r>
    </w:p>
    <w:p w14:paraId="2CBE6042" w14:textId="77777777" w:rsidR="006F4CEC" w:rsidRDefault="006F4CEC" w:rsidP="0042487D">
      <w:pPr>
        <w:pStyle w:val="Body"/>
        <w:spacing w:after="0" w:line="480" w:lineRule="auto"/>
        <w:rPr>
          <w:rFonts w:ascii="Times New Roman" w:hAnsi="Times New Roman"/>
          <w:sz w:val="24"/>
          <w:szCs w:val="24"/>
        </w:rPr>
      </w:pPr>
    </w:p>
    <w:p w14:paraId="24A23FE7" w14:textId="77777777" w:rsidR="006F4CEC" w:rsidRDefault="006F4CEC" w:rsidP="0042487D">
      <w:pPr>
        <w:pStyle w:val="Body"/>
        <w:spacing w:after="0" w:line="480" w:lineRule="auto"/>
        <w:rPr>
          <w:rFonts w:ascii="Times New Roman" w:hAnsi="Times New Roman"/>
          <w:sz w:val="24"/>
          <w:szCs w:val="24"/>
        </w:rPr>
      </w:pPr>
    </w:p>
    <w:p w14:paraId="5A280482" w14:textId="2D66FAAA" w:rsidR="006F4CEC" w:rsidRDefault="006F4CEC" w:rsidP="0042487D">
      <w:pPr>
        <w:pStyle w:val="Body"/>
        <w:spacing w:after="0" w:line="480" w:lineRule="auto"/>
        <w:rPr>
          <w:rFonts w:ascii="Times New Roman" w:hAnsi="Times New Roman" w:cs="Times New Roman"/>
          <w:b/>
          <w:sz w:val="28"/>
        </w:rPr>
      </w:pPr>
      <w:r w:rsidRPr="006F4CEC">
        <w:rPr>
          <w:rFonts w:ascii="Times New Roman" w:hAnsi="Times New Roman" w:cs="Times New Roman"/>
          <w:b/>
          <w:sz w:val="28"/>
        </w:rPr>
        <w:lastRenderedPageBreak/>
        <w:t>S</w:t>
      </w:r>
      <w:r>
        <w:rPr>
          <w:rFonts w:ascii="Times New Roman" w:hAnsi="Times New Roman" w:cs="Times New Roman"/>
          <w:b/>
          <w:sz w:val="28"/>
        </w:rPr>
        <w:t>upporting Information Available</w:t>
      </w:r>
    </w:p>
    <w:p w14:paraId="6D51FE47" w14:textId="254E03F4" w:rsidR="002532A2" w:rsidRPr="0042487D" w:rsidRDefault="00C04296" w:rsidP="0042487D">
      <w:pPr>
        <w:pStyle w:val="Body"/>
        <w:spacing w:after="0" w:line="480" w:lineRule="auto"/>
      </w:pPr>
      <w:r w:rsidRPr="00C04296">
        <w:rPr>
          <w:rFonts w:ascii="Times New Roman" w:hAnsi="Times New Roman" w:cs="Times New Roman"/>
          <w:sz w:val="24"/>
        </w:rPr>
        <w:t>(A) Municipal Waste Incinerator (MWI) characteristics, (</w:t>
      </w:r>
      <w:r w:rsidR="00A16C85">
        <w:rPr>
          <w:rFonts w:ascii="Times New Roman" w:hAnsi="Times New Roman" w:cs="Times New Roman"/>
          <w:sz w:val="24"/>
        </w:rPr>
        <w:t>B) Non-numeric and negative PM</w:t>
      </w:r>
      <w:r w:rsidR="00A16C85">
        <w:rPr>
          <w:rFonts w:ascii="Times New Roman" w:hAnsi="Times New Roman" w:cs="Times New Roman"/>
          <w:sz w:val="24"/>
          <w:vertAlign w:val="subscript"/>
        </w:rPr>
        <w:t>10</w:t>
      </w:r>
      <w:r w:rsidRPr="00C04296">
        <w:rPr>
          <w:rFonts w:ascii="Times New Roman" w:hAnsi="Times New Roman" w:cs="Times New Roman"/>
          <w:sz w:val="24"/>
        </w:rPr>
        <w:t xml:space="preserve"> emissions value coding rules, (C) Number of times metals and other compounds were measured per pollutant per MWI, (D) Sensitivity analysis: Missing data imputation methods, (E) Number of operational, non-operational and missing days per MWI, per flue per year, (F) Meteorological data selection, (G) </w:t>
      </w:r>
      <w:proofErr w:type="spellStart"/>
      <w:r w:rsidRPr="00C04296">
        <w:rPr>
          <w:rFonts w:ascii="Times New Roman" w:hAnsi="Times New Roman" w:cs="Times New Roman"/>
          <w:sz w:val="24"/>
        </w:rPr>
        <w:t>Monin-Obukhov</w:t>
      </w:r>
      <w:proofErr w:type="spellEnd"/>
      <w:r w:rsidRPr="00C04296">
        <w:rPr>
          <w:rFonts w:ascii="Times New Roman" w:hAnsi="Times New Roman" w:cs="Times New Roman"/>
          <w:sz w:val="24"/>
        </w:rPr>
        <w:t xml:space="preserve"> and Surface Roughness length inpu</w:t>
      </w:r>
      <w:r w:rsidR="00A16C85">
        <w:rPr>
          <w:rFonts w:ascii="Times New Roman" w:hAnsi="Times New Roman" w:cs="Times New Roman"/>
          <w:sz w:val="24"/>
        </w:rPr>
        <w:t>t values, (H) Mean modelled PM</w:t>
      </w:r>
      <w:r w:rsidR="00A16C85">
        <w:rPr>
          <w:rFonts w:ascii="Times New Roman" w:hAnsi="Times New Roman" w:cs="Times New Roman"/>
          <w:sz w:val="24"/>
          <w:vertAlign w:val="subscript"/>
        </w:rPr>
        <w:t>10</w:t>
      </w:r>
      <w:r w:rsidR="00A16C85">
        <w:rPr>
          <w:rFonts w:ascii="Times New Roman" w:hAnsi="Times New Roman" w:cs="Times New Roman"/>
          <w:sz w:val="24"/>
        </w:rPr>
        <w:t xml:space="preserve"> concentrations (µg m</w:t>
      </w:r>
      <w:r w:rsidR="00A16C85">
        <w:rPr>
          <w:rFonts w:ascii="Times New Roman" w:hAnsi="Times New Roman" w:cs="Times New Roman"/>
          <w:sz w:val="24"/>
          <w:vertAlign w:val="superscript"/>
        </w:rPr>
        <w:t>-3</w:t>
      </w:r>
      <w:r w:rsidRPr="00C04296">
        <w:rPr>
          <w:rFonts w:ascii="Times New Roman" w:hAnsi="Times New Roman" w:cs="Times New Roman"/>
          <w:sz w:val="24"/>
        </w:rPr>
        <w:t>) per MWI that adopted EU-WID specifications, (I) Change point analysis equation, (J) Emissions above the EU-WID daily average particulate limit value, (K) Change point analysis results</w:t>
      </w:r>
      <w:r w:rsidR="00A16C85">
        <w:rPr>
          <w:rFonts w:ascii="Times New Roman" w:hAnsi="Times New Roman" w:cs="Times New Roman"/>
          <w:sz w:val="24"/>
        </w:rPr>
        <w:t xml:space="preserve">, (L) Fingerprinting </w:t>
      </w:r>
      <w:proofErr w:type="spellStart"/>
      <w:r w:rsidR="00A16C85">
        <w:rPr>
          <w:rFonts w:ascii="Times New Roman" w:hAnsi="Times New Roman" w:cs="Times New Roman"/>
          <w:sz w:val="24"/>
        </w:rPr>
        <w:t>NOx</w:t>
      </w:r>
      <w:proofErr w:type="spellEnd"/>
      <w:r w:rsidR="00A16C85">
        <w:rPr>
          <w:rFonts w:ascii="Times New Roman" w:hAnsi="Times New Roman" w:cs="Times New Roman"/>
          <w:sz w:val="24"/>
        </w:rPr>
        <w:t xml:space="preserve"> to PM</w:t>
      </w:r>
      <w:r w:rsidR="00A16C85">
        <w:rPr>
          <w:rFonts w:ascii="Times New Roman" w:hAnsi="Times New Roman" w:cs="Times New Roman"/>
          <w:sz w:val="24"/>
          <w:vertAlign w:val="subscript"/>
        </w:rPr>
        <w:t>10</w:t>
      </w:r>
      <w:r w:rsidRPr="00C04296">
        <w:rPr>
          <w:rFonts w:ascii="Times New Roman" w:hAnsi="Times New Roman" w:cs="Times New Roman"/>
          <w:sz w:val="24"/>
        </w:rPr>
        <w:t xml:space="preserve"> ratios from MWI in-flue concentrations</w:t>
      </w:r>
      <w:r w:rsidR="00FA4CA4">
        <w:rPr>
          <w:rFonts w:ascii="Times New Roman" w:hAnsi="Times New Roman"/>
          <w:sz w:val="24"/>
          <w:szCs w:val="24"/>
        </w:rPr>
        <w:t xml:space="preserve"> </w:t>
      </w:r>
      <w:r w:rsidR="002532A2" w:rsidRPr="0042487D">
        <w:rPr>
          <w:rFonts w:ascii="Times New Roman" w:hAnsi="Times New Roman"/>
          <w:sz w:val="24"/>
        </w:rPr>
        <w:br w:type="page"/>
      </w:r>
    </w:p>
    <w:p w14:paraId="78B20299" w14:textId="77777777" w:rsidR="00CE4D98" w:rsidRDefault="00FA4CA4" w:rsidP="0042487D">
      <w:pPr>
        <w:pStyle w:val="Body"/>
        <w:spacing w:after="0" w:line="480" w:lineRule="auto"/>
        <w:rPr>
          <w:rFonts w:eastAsia="Times New Roman"/>
          <w:b/>
          <w:bCs/>
          <w:sz w:val="28"/>
          <w:szCs w:val="28"/>
        </w:rPr>
      </w:pPr>
      <w:proofErr w:type="spellStart"/>
      <w:r w:rsidRPr="0042487D">
        <w:rPr>
          <w:rFonts w:ascii="Times New Roman" w:hAnsi="Times New Roman"/>
          <w:b/>
          <w:sz w:val="28"/>
          <w:lang w:val="fr-FR"/>
        </w:rPr>
        <w:lastRenderedPageBreak/>
        <w:t>References</w:t>
      </w:r>
      <w:proofErr w:type="spellEnd"/>
    </w:p>
    <w:p w14:paraId="601A94FA" w14:textId="2B2C057A"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(1) </w:t>
      </w:r>
      <w:r>
        <w:rPr>
          <w:rFonts w:ascii="Times New Roman" w:hAnsi="Times New Roman"/>
          <w:sz w:val="24"/>
          <w:szCs w:val="24"/>
        </w:rPr>
        <w:tab/>
        <w:t xml:space="preserve">EMEP/EEA. </w:t>
      </w:r>
      <w:r>
        <w:rPr>
          <w:rFonts w:ascii="Times New Roman" w:hAnsi="Times New Roman"/>
          <w:i/>
          <w:iCs/>
          <w:sz w:val="24"/>
          <w:szCs w:val="24"/>
        </w:rPr>
        <w:t>EMEP/EEA air pollutant emission inventory guidebook 2013: Technical guidance to prepare national emission inventories - 2013.</w:t>
      </w:r>
      <w:r>
        <w:t xml:space="preserve"> </w:t>
      </w:r>
      <w:r>
        <w:rPr>
          <w:rFonts w:ascii="Times New Roman" w:hAnsi="Times New Roman"/>
          <w:sz w:val="24"/>
          <w:szCs w:val="24"/>
        </w:rPr>
        <w:t xml:space="preserve">http://www.eea.europa.eu/publications/emep-eea-guidebook-2013 (accessed Sep 09, 2016) </w:t>
      </w:r>
    </w:p>
    <w:p w14:paraId="76D21C26" w14:textId="3C3B3472"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(2) </w:t>
      </w:r>
      <w:r>
        <w:rPr>
          <w:rFonts w:ascii="Times New Roman" w:hAnsi="Times New Roman"/>
          <w:sz w:val="24"/>
          <w:szCs w:val="24"/>
        </w:rPr>
        <w:tab/>
        <w:t xml:space="preserve">The Royal Commission on Environmental Pollution. </w:t>
      </w:r>
      <w:r>
        <w:rPr>
          <w:rFonts w:ascii="Times New Roman" w:hAnsi="Times New Roman"/>
          <w:i/>
          <w:iCs/>
          <w:sz w:val="24"/>
          <w:szCs w:val="24"/>
        </w:rPr>
        <w:t xml:space="preserve">Incineration of Waste. </w:t>
      </w:r>
      <w:r>
        <w:rPr>
          <w:rFonts w:ascii="Times New Roman" w:hAnsi="Times New Roman"/>
          <w:sz w:val="24"/>
          <w:szCs w:val="24"/>
        </w:rPr>
        <w:t xml:space="preserve">http://webarchive.nationalarchives.gov.uk/20110322143804/http:/www.rcep.org.uk/reports/index.htm (accessed Aug 8, 2015) </w:t>
      </w:r>
    </w:p>
    <w:p w14:paraId="758EDC21"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(3) </w:t>
      </w:r>
      <w:r>
        <w:rPr>
          <w:rFonts w:ascii="Times New Roman" w:hAnsi="Times New Roman"/>
          <w:sz w:val="24"/>
          <w:szCs w:val="24"/>
        </w:rPr>
        <w:tab/>
        <w:t>Environmental permitting guidance: waste incineration - GOV.UK https://www.gov.uk/government/uploads/system/uploads/attachment_data/file/211852/pb13897-ep-core-guidance-130220.pdf (accessed Jan 29, 2016).</w:t>
      </w:r>
    </w:p>
    <w:p w14:paraId="049FE7C9"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(4) </w:t>
      </w:r>
      <w:r>
        <w:rPr>
          <w:rFonts w:ascii="Times New Roman" w:hAnsi="Times New Roman"/>
          <w:sz w:val="24"/>
          <w:szCs w:val="24"/>
        </w:rPr>
        <w:tab/>
        <w:t>The European Parliament and the Council of the European Union. 2010/75/EU http://eur-lex.europa.eu/LexUriServ/LexUriServ.do?uri=OJ:L:2010:334:0017:0119:en:PDF (accessed May 25, 2016).</w:t>
      </w:r>
    </w:p>
    <w:p w14:paraId="058BBEFF"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(5) </w:t>
      </w:r>
      <w:r>
        <w:rPr>
          <w:rFonts w:ascii="Times New Roman" w:hAnsi="Times New Roman"/>
          <w:sz w:val="24"/>
          <w:szCs w:val="24"/>
        </w:rPr>
        <w:tab/>
        <w:t xml:space="preserve">Ashworth, D. C.; Elliott, P.; Toledano, M. B. Waste incineration and adverse birth and neonatal outcomes: a systematic review. </w:t>
      </w:r>
      <w:r>
        <w:rPr>
          <w:rFonts w:ascii="Times New Roman" w:hAnsi="Times New Roman"/>
          <w:i/>
          <w:iCs/>
          <w:sz w:val="24"/>
          <w:szCs w:val="24"/>
        </w:rPr>
        <w:t>Environ. Int.</w:t>
      </w:r>
      <w:r>
        <w:rPr>
          <w:rFonts w:ascii="Times New Roman" w:hAnsi="Times New Roman"/>
          <w:sz w:val="24"/>
          <w:szCs w:val="24"/>
        </w:rPr>
        <w:t xml:space="preserve"> </w:t>
      </w:r>
      <w:r>
        <w:rPr>
          <w:rFonts w:ascii="Times New Roman" w:hAnsi="Times New Roman"/>
          <w:b/>
          <w:bCs/>
          <w:sz w:val="24"/>
          <w:szCs w:val="24"/>
        </w:rPr>
        <w:t>2014</w:t>
      </w:r>
      <w:r>
        <w:rPr>
          <w:rFonts w:ascii="Times New Roman" w:hAnsi="Times New Roman"/>
          <w:sz w:val="24"/>
          <w:szCs w:val="24"/>
        </w:rPr>
        <w:t xml:space="preserve">, </w:t>
      </w:r>
      <w:r>
        <w:rPr>
          <w:rFonts w:ascii="Times New Roman" w:hAnsi="Times New Roman"/>
          <w:i/>
          <w:iCs/>
          <w:sz w:val="24"/>
          <w:szCs w:val="24"/>
        </w:rPr>
        <w:t>69</w:t>
      </w:r>
      <w:r>
        <w:rPr>
          <w:rFonts w:ascii="Times New Roman" w:hAnsi="Times New Roman"/>
          <w:sz w:val="24"/>
          <w:szCs w:val="24"/>
        </w:rPr>
        <w:t>, 120–132.</w:t>
      </w:r>
    </w:p>
    <w:p w14:paraId="5D2B0038"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(6) </w:t>
      </w:r>
      <w:r>
        <w:rPr>
          <w:rFonts w:ascii="Times New Roman" w:hAnsi="Times New Roman"/>
          <w:sz w:val="24"/>
          <w:szCs w:val="24"/>
        </w:rPr>
        <w:tab/>
        <w:t xml:space="preserve">Elliott, P.; </w:t>
      </w:r>
      <w:proofErr w:type="spellStart"/>
      <w:r>
        <w:rPr>
          <w:rFonts w:ascii="Times New Roman" w:hAnsi="Times New Roman"/>
          <w:sz w:val="24"/>
          <w:szCs w:val="24"/>
        </w:rPr>
        <w:t>Shaddick</w:t>
      </w:r>
      <w:proofErr w:type="spellEnd"/>
      <w:r>
        <w:rPr>
          <w:rFonts w:ascii="Times New Roman" w:hAnsi="Times New Roman"/>
          <w:sz w:val="24"/>
          <w:szCs w:val="24"/>
        </w:rPr>
        <w:t xml:space="preserve">, G.; </w:t>
      </w:r>
      <w:proofErr w:type="spellStart"/>
      <w:r>
        <w:rPr>
          <w:rFonts w:ascii="Times New Roman" w:hAnsi="Times New Roman"/>
          <w:sz w:val="24"/>
          <w:szCs w:val="24"/>
        </w:rPr>
        <w:t>Kleinschmidt</w:t>
      </w:r>
      <w:proofErr w:type="spellEnd"/>
      <w:r>
        <w:rPr>
          <w:rFonts w:ascii="Times New Roman" w:hAnsi="Times New Roman"/>
          <w:sz w:val="24"/>
          <w:szCs w:val="24"/>
        </w:rPr>
        <w:t xml:space="preserve">, I.; </w:t>
      </w:r>
      <w:proofErr w:type="spellStart"/>
      <w:r>
        <w:rPr>
          <w:rFonts w:ascii="Times New Roman" w:hAnsi="Times New Roman"/>
          <w:sz w:val="24"/>
          <w:szCs w:val="24"/>
        </w:rPr>
        <w:t>Jolley</w:t>
      </w:r>
      <w:proofErr w:type="spellEnd"/>
      <w:r>
        <w:rPr>
          <w:rFonts w:ascii="Times New Roman" w:hAnsi="Times New Roman"/>
          <w:sz w:val="24"/>
          <w:szCs w:val="24"/>
        </w:rPr>
        <w:t xml:space="preserve">, D.; Walls, P.; Beresford, J.; Grundy, C. Cancer incidence near municipal solid waste incinerators in Great Britain. </w:t>
      </w:r>
      <w:r w:rsidRPr="0042487D">
        <w:rPr>
          <w:rFonts w:ascii="Times New Roman" w:hAnsi="Times New Roman"/>
          <w:i/>
          <w:sz w:val="24"/>
          <w:lang w:val="fr-FR"/>
        </w:rPr>
        <w:t>Br J Cancer</w:t>
      </w:r>
      <w:r>
        <w:rPr>
          <w:rFonts w:ascii="Times New Roman" w:hAnsi="Times New Roman"/>
          <w:sz w:val="24"/>
          <w:szCs w:val="24"/>
        </w:rPr>
        <w:t xml:space="preserve"> </w:t>
      </w:r>
      <w:r>
        <w:rPr>
          <w:rFonts w:ascii="Times New Roman" w:hAnsi="Times New Roman"/>
          <w:b/>
          <w:bCs/>
          <w:sz w:val="24"/>
          <w:szCs w:val="24"/>
        </w:rPr>
        <w:t>1996</w:t>
      </w:r>
      <w:r>
        <w:rPr>
          <w:rFonts w:ascii="Times New Roman" w:hAnsi="Times New Roman"/>
          <w:sz w:val="24"/>
          <w:szCs w:val="24"/>
        </w:rPr>
        <w:t xml:space="preserve">, </w:t>
      </w:r>
      <w:r>
        <w:rPr>
          <w:rFonts w:ascii="Times New Roman" w:hAnsi="Times New Roman"/>
          <w:i/>
          <w:iCs/>
          <w:sz w:val="24"/>
          <w:szCs w:val="24"/>
        </w:rPr>
        <w:t>73</w:t>
      </w:r>
      <w:r>
        <w:rPr>
          <w:rFonts w:ascii="Times New Roman" w:hAnsi="Times New Roman"/>
          <w:sz w:val="24"/>
          <w:szCs w:val="24"/>
        </w:rPr>
        <w:t xml:space="preserve"> (5), 702–710.</w:t>
      </w:r>
    </w:p>
    <w:p w14:paraId="55B45E67"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(7) </w:t>
      </w:r>
      <w:r>
        <w:rPr>
          <w:rFonts w:ascii="Times New Roman" w:hAnsi="Times New Roman"/>
          <w:sz w:val="24"/>
          <w:szCs w:val="24"/>
        </w:rPr>
        <w:tab/>
        <w:t xml:space="preserve">Elliott, P.; Eaton, N.; </w:t>
      </w:r>
      <w:proofErr w:type="spellStart"/>
      <w:r>
        <w:rPr>
          <w:rFonts w:ascii="Times New Roman" w:hAnsi="Times New Roman"/>
          <w:sz w:val="24"/>
          <w:szCs w:val="24"/>
        </w:rPr>
        <w:t>Shaddick</w:t>
      </w:r>
      <w:proofErr w:type="spellEnd"/>
      <w:r>
        <w:rPr>
          <w:rFonts w:ascii="Times New Roman" w:hAnsi="Times New Roman"/>
          <w:sz w:val="24"/>
          <w:szCs w:val="24"/>
        </w:rPr>
        <w:t xml:space="preserve">, G.; Carter, R. Cancer incidence near municipal solid waste incinerators in Great Britain. Part 2: </w:t>
      </w:r>
      <w:proofErr w:type="spellStart"/>
      <w:r>
        <w:rPr>
          <w:rFonts w:ascii="Times New Roman" w:hAnsi="Times New Roman"/>
          <w:sz w:val="24"/>
          <w:szCs w:val="24"/>
        </w:rPr>
        <w:t>histopathological</w:t>
      </w:r>
      <w:proofErr w:type="spellEnd"/>
      <w:r>
        <w:rPr>
          <w:rFonts w:ascii="Times New Roman" w:hAnsi="Times New Roman"/>
          <w:sz w:val="24"/>
          <w:szCs w:val="24"/>
        </w:rPr>
        <w:t xml:space="preserve"> and case-note review of primary liver cancer cases. </w:t>
      </w:r>
      <w:r w:rsidRPr="0042487D">
        <w:rPr>
          <w:rFonts w:ascii="Times New Roman" w:hAnsi="Times New Roman"/>
          <w:i/>
          <w:sz w:val="24"/>
          <w:lang w:val="fr-FR"/>
        </w:rPr>
        <w:t>Br J Cancer</w:t>
      </w:r>
      <w:r>
        <w:rPr>
          <w:rFonts w:ascii="Times New Roman" w:hAnsi="Times New Roman"/>
          <w:sz w:val="24"/>
          <w:szCs w:val="24"/>
        </w:rPr>
        <w:t xml:space="preserve"> </w:t>
      </w:r>
      <w:r>
        <w:rPr>
          <w:rFonts w:ascii="Times New Roman" w:hAnsi="Times New Roman"/>
          <w:b/>
          <w:bCs/>
          <w:sz w:val="24"/>
          <w:szCs w:val="24"/>
        </w:rPr>
        <w:t>2000</w:t>
      </w:r>
      <w:r>
        <w:rPr>
          <w:rFonts w:ascii="Times New Roman" w:hAnsi="Times New Roman"/>
          <w:sz w:val="24"/>
          <w:szCs w:val="24"/>
        </w:rPr>
        <w:t xml:space="preserve">, </w:t>
      </w:r>
      <w:r>
        <w:rPr>
          <w:rFonts w:ascii="Times New Roman" w:hAnsi="Times New Roman"/>
          <w:i/>
          <w:iCs/>
          <w:sz w:val="24"/>
          <w:szCs w:val="24"/>
        </w:rPr>
        <w:t>82</w:t>
      </w:r>
      <w:r>
        <w:rPr>
          <w:rFonts w:ascii="Times New Roman" w:hAnsi="Times New Roman"/>
          <w:sz w:val="24"/>
          <w:szCs w:val="24"/>
        </w:rPr>
        <w:t xml:space="preserve"> (5), 1103–1106.</w:t>
      </w:r>
    </w:p>
    <w:p w14:paraId="03966B24"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(8) </w:t>
      </w:r>
      <w:r>
        <w:rPr>
          <w:rFonts w:ascii="Times New Roman" w:hAnsi="Times New Roman"/>
          <w:sz w:val="24"/>
          <w:szCs w:val="24"/>
        </w:rPr>
        <w:tab/>
      </w:r>
      <w:proofErr w:type="spellStart"/>
      <w:r>
        <w:rPr>
          <w:rFonts w:ascii="Times New Roman" w:hAnsi="Times New Roman"/>
          <w:sz w:val="24"/>
          <w:szCs w:val="24"/>
        </w:rPr>
        <w:t>Porta</w:t>
      </w:r>
      <w:proofErr w:type="spellEnd"/>
      <w:r>
        <w:rPr>
          <w:rFonts w:ascii="Times New Roman" w:hAnsi="Times New Roman"/>
          <w:sz w:val="24"/>
          <w:szCs w:val="24"/>
        </w:rPr>
        <w:t xml:space="preserve">, D. Systematic review of epidemiological studies on health effects associated with management of solid waste. </w:t>
      </w:r>
      <w:r>
        <w:rPr>
          <w:rFonts w:ascii="Times New Roman" w:hAnsi="Times New Roman"/>
          <w:i/>
          <w:iCs/>
          <w:sz w:val="24"/>
          <w:szCs w:val="24"/>
        </w:rPr>
        <w:t>Environ. Heal.</w:t>
      </w:r>
      <w:r>
        <w:rPr>
          <w:rFonts w:ascii="Times New Roman" w:hAnsi="Times New Roman"/>
          <w:sz w:val="24"/>
          <w:szCs w:val="24"/>
        </w:rPr>
        <w:t xml:space="preserve"> </w:t>
      </w:r>
      <w:r>
        <w:rPr>
          <w:rFonts w:ascii="Times New Roman" w:hAnsi="Times New Roman"/>
          <w:b/>
          <w:bCs/>
          <w:sz w:val="24"/>
          <w:szCs w:val="24"/>
        </w:rPr>
        <w:t>2009</w:t>
      </w:r>
      <w:r>
        <w:rPr>
          <w:rFonts w:ascii="Times New Roman" w:hAnsi="Times New Roman"/>
          <w:sz w:val="24"/>
          <w:szCs w:val="24"/>
        </w:rPr>
        <w:t xml:space="preserve">, </w:t>
      </w:r>
      <w:r>
        <w:rPr>
          <w:rFonts w:ascii="Times New Roman" w:hAnsi="Times New Roman"/>
          <w:i/>
          <w:iCs/>
          <w:sz w:val="24"/>
          <w:szCs w:val="24"/>
        </w:rPr>
        <w:t>8</w:t>
      </w:r>
      <w:r>
        <w:rPr>
          <w:rFonts w:ascii="Times New Roman" w:hAnsi="Times New Roman"/>
          <w:sz w:val="24"/>
          <w:szCs w:val="24"/>
        </w:rPr>
        <w:t xml:space="preserve"> (1), 60.</w:t>
      </w:r>
    </w:p>
    <w:p w14:paraId="3C98EFC3"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lastRenderedPageBreak/>
        <w:t xml:space="preserve">(9) </w:t>
      </w:r>
      <w:r>
        <w:rPr>
          <w:rFonts w:ascii="Times New Roman" w:hAnsi="Times New Roman"/>
          <w:sz w:val="24"/>
          <w:szCs w:val="24"/>
        </w:rPr>
        <w:tab/>
        <w:t xml:space="preserve">Reeve, N. F.; </w:t>
      </w:r>
      <w:proofErr w:type="spellStart"/>
      <w:r>
        <w:rPr>
          <w:rFonts w:ascii="Times New Roman" w:hAnsi="Times New Roman"/>
          <w:sz w:val="24"/>
          <w:szCs w:val="24"/>
        </w:rPr>
        <w:t>Fanshawe</w:t>
      </w:r>
      <w:proofErr w:type="spellEnd"/>
      <w:r>
        <w:rPr>
          <w:rFonts w:ascii="Times New Roman" w:hAnsi="Times New Roman"/>
          <w:sz w:val="24"/>
          <w:szCs w:val="24"/>
        </w:rPr>
        <w:t xml:space="preserve">, T. R.; Keegan, T. J.; Stewart, A. G.; </w:t>
      </w:r>
      <w:proofErr w:type="spellStart"/>
      <w:r>
        <w:rPr>
          <w:rFonts w:ascii="Times New Roman" w:hAnsi="Times New Roman"/>
          <w:sz w:val="24"/>
          <w:szCs w:val="24"/>
        </w:rPr>
        <w:t>Diggle</w:t>
      </w:r>
      <w:proofErr w:type="spellEnd"/>
      <w:r>
        <w:rPr>
          <w:rFonts w:ascii="Times New Roman" w:hAnsi="Times New Roman"/>
          <w:sz w:val="24"/>
          <w:szCs w:val="24"/>
        </w:rPr>
        <w:t xml:space="preserve">, P. J. Spatial analysis of health effects of large industrial incinerators in England, 1998–2008: a study using matched case–control areas. </w:t>
      </w:r>
      <w:r w:rsidRPr="0042487D">
        <w:rPr>
          <w:rFonts w:ascii="Times New Roman" w:hAnsi="Times New Roman"/>
          <w:i/>
          <w:sz w:val="24"/>
          <w:lang w:val="nl-NL"/>
        </w:rPr>
        <w:t>BMJ Open</w:t>
      </w:r>
      <w:r>
        <w:rPr>
          <w:rFonts w:ascii="Times New Roman" w:hAnsi="Times New Roman"/>
          <w:sz w:val="24"/>
          <w:szCs w:val="24"/>
        </w:rPr>
        <w:t xml:space="preserve"> </w:t>
      </w:r>
      <w:r>
        <w:rPr>
          <w:rFonts w:ascii="Times New Roman" w:hAnsi="Times New Roman"/>
          <w:b/>
          <w:bCs/>
          <w:sz w:val="24"/>
          <w:szCs w:val="24"/>
        </w:rPr>
        <w:t>2013</w:t>
      </w:r>
      <w:r>
        <w:rPr>
          <w:rFonts w:ascii="Times New Roman" w:hAnsi="Times New Roman"/>
          <w:sz w:val="24"/>
          <w:szCs w:val="24"/>
        </w:rPr>
        <w:t xml:space="preserve">, </w:t>
      </w:r>
      <w:r>
        <w:rPr>
          <w:rFonts w:ascii="Times New Roman" w:hAnsi="Times New Roman"/>
          <w:i/>
          <w:iCs/>
          <w:sz w:val="24"/>
          <w:szCs w:val="24"/>
        </w:rPr>
        <w:t>3</w:t>
      </w:r>
      <w:r>
        <w:rPr>
          <w:rFonts w:ascii="Times New Roman" w:hAnsi="Times New Roman"/>
          <w:sz w:val="24"/>
          <w:szCs w:val="24"/>
        </w:rPr>
        <w:t xml:space="preserve"> (1), e001847.</w:t>
      </w:r>
    </w:p>
    <w:p w14:paraId="5232E1B5"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(10) </w:t>
      </w:r>
      <w:r>
        <w:rPr>
          <w:rFonts w:ascii="Times New Roman" w:hAnsi="Times New Roman"/>
          <w:sz w:val="24"/>
          <w:szCs w:val="24"/>
        </w:rPr>
        <w:tab/>
      </w:r>
      <w:proofErr w:type="spellStart"/>
      <w:r>
        <w:rPr>
          <w:rFonts w:ascii="Times New Roman" w:hAnsi="Times New Roman"/>
          <w:sz w:val="24"/>
          <w:szCs w:val="24"/>
        </w:rPr>
        <w:t>Vinceti</w:t>
      </w:r>
      <w:proofErr w:type="spellEnd"/>
      <w:r>
        <w:rPr>
          <w:rFonts w:ascii="Times New Roman" w:hAnsi="Times New Roman"/>
          <w:sz w:val="24"/>
          <w:szCs w:val="24"/>
        </w:rPr>
        <w:t xml:space="preserve">, M.; </w:t>
      </w:r>
      <w:proofErr w:type="spellStart"/>
      <w:r>
        <w:rPr>
          <w:rFonts w:ascii="Times New Roman" w:hAnsi="Times New Roman"/>
          <w:sz w:val="24"/>
          <w:szCs w:val="24"/>
        </w:rPr>
        <w:t>Malagoli</w:t>
      </w:r>
      <w:proofErr w:type="spellEnd"/>
      <w:r>
        <w:rPr>
          <w:rFonts w:ascii="Times New Roman" w:hAnsi="Times New Roman"/>
          <w:sz w:val="24"/>
          <w:szCs w:val="24"/>
        </w:rPr>
        <w:t xml:space="preserve">, C.; </w:t>
      </w:r>
      <w:proofErr w:type="spellStart"/>
      <w:r>
        <w:rPr>
          <w:rFonts w:ascii="Times New Roman" w:hAnsi="Times New Roman"/>
          <w:sz w:val="24"/>
          <w:szCs w:val="24"/>
        </w:rPr>
        <w:t>Teggi</w:t>
      </w:r>
      <w:proofErr w:type="spellEnd"/>
      <w:r>
        <w:rPr>
          <w:rFonts w:ascii="Times New Roman" w:hAnsi="Times New Roman"/>
          <w:sz w:val="24"/>
          <w:szCs w:val="24"/>
        </w:rPr>
        <w:t xml:space="preserve">, S.; </w:t>
      </w:r>
      <w:proofErr w:type="spellStart"/>
      <w:r>
        <w:rPr>
          <w:rFonts w:ascii="Times New Roman" w:hAnsi="Times New Roman"/>
          <w:sz w:val="24"/>
          <w:szCs w:val="24"/>
        </w:rPr>
        <w:t>Fabbi</w:t>
      </w:r>
      <w:proofErr w:type="spellEnd"/>
      <w:r>
        <w:rPr>
          <w:rFonts w:ascii="Times New Roman" w:hAnsi="Times New Roman"/>
          <w:sz w:val="24"/>
          <w:szCs w:val="24"/>
        </w:rPr>
        <w:t xml:space="preserve">, S.; Goldoni, C.; De </w:t>
      </w:r>
      <w:proofErr w:type="spellStart"/>
      <w:r>
        <w:rPr>
          <w:rFonts w:ascii="Times New Roman" w:hAnsi="Times New Roman"/>
          <w:sz w:val="24"/>
          <w:szCs w:val="24"/>
        </w:rPr>
        <w:t>Girolamo</w:t>
      </w:r>
      <w:proofErr w:type="spellEnd"/>
      <w:r>
        <w:rPr>
          <w:rFonts w:ascii="Times New Roman" w:hAnsi="Times New Roman"/>
          <w:sz w:val="24"/>
          <w:szCs w:val="24"/>
        </w:rPr>
        <w:t xml:space="preserve">, G.; Ferrari, P.; </w:t>
      </w:r>
      <w:proofErr w:type="spellStart"/>
      <w:r>
        <w:rPr>
          <w:rFonts w:ascii="Times New Roman" w:hAnsi="Times New Roman"/>
          <w:sz w:val="24"/>
          <w:szCs w:val="24"/>
        </w:rPr>
        <w:t>Astolfi</w:t>
      </w:r>
      <w:proofErr w:type="spellEnd"/>
      <w:r>
        <w:rPr>
          <w:rFonts w:ascii="Times New Roman" w:hAnsi="Times New Roman"/>
          <w:sz w:val="24"/>
          <w:szCs w:val="24"/>
        </w:rPr>
        <w:t xml:space="preserve">, G.; </w:t>
      </w:r>
      <w:proofErr w:type="spellStart"/>
      <w:r>
        <w:rPr>
          <w:rFonts w:ascii="Times New Roman" w:hAnsi="Times New Roman"/>
          <w:sz w:val="24"/>
          <w:szCs w:val="24"/>
        </w:rPr>
        <w:t>Rivieri</w:t>
      </w:r>
      <w:proofErr w:type="spellEnd"/>
      <w:r>
        <w:rPr>
          <w:rFonts w:ascii="Times New Roman" w:hAnsi="Times New Roman"/>
          <w:sz w:val="24"/>
          <w:szCs w:val="24"/>
        </w:rPr>
        <w:t xml:space="preserve">, F.; </w:t>
      </w:r>
      <w:proofErr w:type="spellStart"/>
      <w:r>
        <w:rPr>
          <w:rFonts w:ascii="Times New Roman" w:hAnsi="Times New Roman"/>
          <w:sz w:val="24"/>
          <w:szCs w:val="24"/>
        </w:rPr>
        <w:t>Bergomi</w:t>
      </w:r>
      <w:proofErr w:type="spellEnd"/>
      <w:r>
        <w:rPr>
          <w:rFonts w:ascii="Times New Roman" w:hAnsi="Times New Roman"/>
          <w:sz w:val="24"/>
          <w:szCs w:val="24"/>
        </w:rPr>
        <w:t xml:space="preserve">, M. Adverse pregnancy outcomes in a population exposed to the emissions of a municipal waste incinerator. </w:t>
      </w:r>
      <w:r w:rsidRPr="0042487D">
        <w:rPr>
          <w:rFonts w:ascii="Times New Roman" w:hAnsi="Times New Roman"/>
          <w:i/>
          <w:sz w:val="24"/>
          <w:lang w:val="pt-PT"/>
        </w:rPr>
        <w:t>Sci. Total Environ.</w:t>
      </w:r>
      <w:r>
        <w:rPr>
          <w:rFonts w:ascii="Times New Roman" w:hAnsi="Times New Roman"/>
          <w:sz w:val="24"/>
          <w:szCs w:val="24"/>
        </w:rPr>
        <w:t xml:space="preserve"> </w:t>
      </w:r>
      <w:r>
        <w:rPr>
          <w:rFonts w:ascii="Times New Roman" w:hAnsi="Times New Roman"/>
          <w:b/>
          <w:bCs/>
          <w:sz w:val="24"/>
          <w:szCs w:val="24"/>
        </w:rPr>
        <w:t>2008</w:t>
      </w:r>
      <w:r>
        <w:rPr>
          <w:rFonts w:ascii="Times New Roman" w:hAnsi="Times New Roman"/>
          <w:sz w:val="24"/>
          <w:szCs w:val="24"/>
        </w:rPr>
        <w:t xml:space="preserve">, </w:t>
      </w:r>
      <w:r>
        <w:rPr>
          <w:rFonts w:ascii="Times New Roman" w:hAnsi="Times New Roman"/>
          <w:i/>
          <w:iCs/>
          <w:sz w:val="24"/>
          <w:szCs w:val="24"/>
        </w:rPr>
        <w:t>407</w:t>
      </w:r>
      <w:r>
        <w:rPr>
          <w:rFonts w:ascii="Times New Roman" w:hAnsi="Times New Roman"/>
          <w:sz w:val="24"/>
          <w:szCs w:val="24"/>
        </w:rPr>
        <w:t xml:space="preserve"> (1), 116–121.</w:t>
      </w:r>
    </w:p>
    <w:p w14:paraId="0509BCBE"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(11) </w:t>
      </w:r>
      <w:r>
        <w:rPr>
          <w:rFonts w:ascii="Times New Roman" w:hAnsi="Times New Roman"/>
          <w:sz w:val="24"/>
          <w:szCs w:val="24"/>
        </w:rPr>
        <w:tab/>
      </w:r>
      <w:proofErr w:type="spellStart"/>
      <w:r>
        <w:rPr>
          <w:rFonts w:ascii="Times New Roman" w:hAnsi="Times New Roman"/>
          <w:sz w:val="24"/>
          <w:szCs w:val="24"/>
        </w:rPr>
        <w:t>Vinceti</w:t>
      </w:r>
      <w:proofErr w:type="spellEnd"/>
      <w:r>
        <w:rPr>
          <w:rFonts w:ascii="Times New Roman" w:hAnsi="Times New Roman"/>
          <w:sz w:val="24"/>
          <w:szCs w:val="24"/>
        </w:rPr>
        <w:t xml:space="preserve">, M.; </w:t>
      </w:r>
      <w:proofErr w:type="spellStart"/>
      <w:r>
        <w:rPr>
          <w:rFonts w:ascii="Times New Roman" w:hAnsi="Times New Roman"/>
          <w:sz w:val="24"/>
          <w:szCs w:val="24"/>
        </w:rPr>
        <w:t>Malagoli</w:t>
      </w:r>
      <w:proofErr w:type="spellEnd"/>
      <w:r>
        <w:rPr>
          <w:rFonts w:ascii="Times New Roman" w:hAnsi="Times New Roman"/>
          <w:sz w:val="24"/>
          <w:szCs w:val="24"/>
        </w:rPr>
        <w:t xml:space="preserve">, C.; </w:t>
      </w:r>
      <w:proofErr w:type="spellStart"/>
      <w:r>
        <w:rPr>
          <w:rFonts w:ascii="Times New Roman" w:hAnsi="Times New Roman"/>
          <w:sz w:val="24"/>
          <w:szCs w:val="24"/>
        </w:rPr>
        <w:t>Fabbi</w:t>
      </w:r>
      <w:proofErr w:type="spellEnd"/>
      <w:r>
        <w:rPr>
          <w:rFonts w:ascii="Times New Roman" w:hAnsi="Times New Roman"/>
          <w:sz w:val="24"/>
          <w:szCs w:val="24"/>
        </w:rPr>
        <w:t xml:space="preserve">, S.; </w:t>
      </w:r>
      <w:proofErr w:type="spellStart"/>
      <w:r>
        <w:rPr>
          <w:rFonts w:ascii="Times New Roman" w:hAnsi="Times New Roman"/>
          <w:sz w:val="24"/>
          <w:szCs w:val="24"/>
        </w:rPr>
        <w:t>Teggi</w:t>
      </w:r>
      <w:proofErr w:type="spellEnd"/>
      <w:r>
        <w:rPr>
          <w:rFonts w:ascii="Times New Roman" w:hAnsi="Times New Roman"/>
          <w:sz w:val="24"/>
          <w:szCs w:val="24"/>
        </w:rPr>
        <w:t xml:space="preserve">, S.; </w:t>
      </w:r>
      <w:proofErr w:type="spellStart"/>
      <w:r>
        <w:rPr>
          <w:rFonts w:ascii="Times New Roman" w:hAnsi="Times New Roman"/>
          <w:sz w:val="24"/>
          <w:szCs w:val="24"/>
        </w:rPr>
        <w:t>Rodolfi</w:t>
      </w:r>
      <w:proofErr w:type="spellEnd"/>
      <w:r>
        <w:rPr>
          <w:rFonts w:ascii="Times New Roman" w:hAnsi="Times New Roman"/>
          <w:sz w:val="24"/>
          <w:szCs w:val="24"/>
        </w:rPr>
        <w:t xml:space="preserve">, R.; </w:t>
      </w:r>
      <w:proofErr w:type="spellStart"/>
      <w:r>
        <w:rPr>
          <w:rFonts w:ascii="Times New Roman" w:hAnsi="Times New Roman"/>
          <w:sz w:val="24"/>
          <w:szCs w:val="24"/>
        </w:rPr>
        <w:t>Garavelli</w:t>
      </w:r>
      <w:proofErr w:type="spellEnd"/>
      <w:r>
        <w:rPr>
          <w:rFonts w:ascii="Times New Roman" w:hAnsi="Times New Roman"/>
          <w:sz w:val="24"/>
          <w:szCs w:val="24"/>
        </w:rPr>
        <w:t xml:space="preserve">, L.; </w:t>
      </w:r>
      <w:proofErr w:type="spellStart"/>
      <w:r>
        <w:rPr>
          <w:rFonts w:ascii="Times New Roman" w:hAnsi="Times New Roman"/>
          <w:sz w:val="24"/>
          <w:szCs w:val="24"/>
        </w:rPr>
        <w:t>Astolfi</w:t>
      </w:r>
      <w:proofErr w:type="spellEnd"/>
      <w:r>
        <w:rPr>
          <w:rFonts w:ascii="Times New Roman" w:hAnsi="Times New Roman"/>
          <w:sz w:val="24"/>
          <w:szCs w:val="24"/>
        </w:rPr>
        <w:t xml:space="preserve">, G.; </w:t>
      </w:r>
      <w:proofErr w:type="spellStart"/>
      <w:r>
        <w:rPr>
          <w:rFonts w:ascii="Times New Roman" w:hAnsi="Times New Roman"/>
          <w:sz w:val="24"/>
          <w:szCs w:val="24"/>
        </w:rPr>
        <w:t>Rivieri</w:t>
      </w:r>
      <w:proofErr w:type="spellEnd"/>
      <w:r>
        <w:rPr>
          <w:rFonts w:ascii="Times New Roman" w:hAnsi="Times New Roman"/>
          <w:sz w:val="24"/>
          <w:szCs w:val="24"/>
        </w:rPr>
        <w:t xml:space="preserve">, F. Risk of congenital anomalies around a municipal solid waste incinerator: a GIS-based case-control study. </w:t>
      </w:r>
      <w:r>
        <w:rPr>
          <w:rFonts w:ascii="Times New Roman" w:hAnsi="Times New Roman"/>
          <w:i/>
          <w:iCs/>
          <w:sz w:val="24"/>
          <w:szCs w:val="24"/>
        </w:rPr>
        <w:t xml:space="preserve">Int. J. Health </w:t>
      </w:r>
      <w:proofErr w:type="spellStart"/>
      <w:r>
        <w:rPr>
          <w:rFonts w:ascii="Times New Roman" w:hAnsi="Times New Roman"/>
          <w:i/>
          <w:iCs/>
          <w:sz w:val="24"/>
          <w:szCs w:val="24"/>
        </w:rPr>
        <w:t>Geogr</w:t>
      </w:r>
      <w:proofErr w:type="spellEnd"/>
      <w:r>
        <w:rPr>
          <w:rFonts w:ascii="Times New Roman" w:hAnsi="Times New Roman"/>
          <w:i/>
          <w:iCs/>
          <w:sz w:val="24"/>
          <w:szCs w:val="24"/>
        </w:rPr>
        <w:t>.</w:t>
      </w:r>
      <w:r>
        <w:rPr>
          <w:rFonts w:ascii="Times New Roman" w:hAnsi="Times New Roman"/>
          <w:sz w:val="24"/>
          <w:szCs w:val="24"/>
        </w:rPr>
        <w:t xml:space="preserve"> </w:t>
      </w:r>
      <w:r>
        <w:rPr>
          <w:rFonts w:ascii="Times New Roman" w:hAnsi="Times New Roman"/>
          <w:b/>
          <w:bCs/>
          <w:sz w:val="24"/>
          <w:szCs w:val="24"/>
        </w:rPr>
        <w:t>2009</w:t>
      </w:r>
      <w:r>
        <w:rPr>
          <w:rFonts w:ascii="Times New Roman" w:hAnsi="Times New Roman"/>
          <w:sz w:val="24"/>
          <w:szCs w:val="24"/>
        </w:rPr>
        <w:t xml:space="preserve">, </w:t>
      </w:r>
      <w:r>
        <w:rPr>
          <w:rFonts w:ascii="Times New Roman" w:hAnsi="Times New Roman"/>
          <w:i/>
          <w:iCs/>
          <w:sz w:val="24"/>
          <w:szCs w:val="24"/>
        </w:rPr>
        <w:t>8</w:t>
      </w:r>
      <w:r>
        <w:rPr>
          <w:rFonts w:ascii="Times New Roman" w:hAnsi="Times New Roman"/>
          <w:sz w:val="24"/>
          <w:szCs w:val="24"/>
        </w:rPr>
        <w:t xml:space="preserve"> (1), 8.</w:t>
      </w:r>
    </w:p>
    <w:p w14:paraId="619A6C49"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(12) </w:t>
      </w:r>
      <w:r>
        <w:rPr>
          <w:rFonts w:ascii="Times New Roman" w:hAnsi="Times New Roman"/>
          <w:sz w:val="24"/>
          <w:szCs w:val="24"/>
        </w:rPr>
        <w:tab/>
        <w:t xml:space="preserve">Ashworth, D. C.; Elliott, P.; Toledano, M. B. Waste incineration and adverse birth and neonatal outcomes: a systematic review. </w:t>
      </w:r>
      <w:r>
        <w:rPr>
          <w:rFonts w:ascii="Times New Roman" w:hAnsi="Times New Roman"/>
          <w:i/>
          <w:iCs/>
          <w:sz w:val="24"/>
          <w:szCs w:val="24"/>
        </w:rPr>
        <w:t>Environ. Int.</w:t>
      </w:r>
      <w:r>
        <w:rPr>
          <w:rFonts w:ascii="Times New Roman" w:hAnsi="Times New Roman"/>
          <w:sz w:val="24"/>
          <w:szCs w:val="24"/>
        </w:rPr>
        <w:t xml:space="preserve"> </w:t>
      </w:r>
      <w:r>
        <w:rPr>
          <w:rFonts w:ascii="Times New Roman" w:hAnsi="Times New Roman"/>
          <w:b/>
          <w:bCs/>
          <w:sz w:val="24"/>
          <w:szCs w:val="24"/>
        </w:rPr>
        <w:t>2014</w:t>
      </w:r>
      <w:r>
        <w:rPr>
          <w:rFonts w:ascii="Times New Roman" w:hAnsi="Times New Roman"/>
          <w:sz w:val="24"/>
          <w:szCs w:val="24"/>
        </w:rPr>
        <w:t xml:space="preserve">, </w:t>
      </w:r>
      <w:r>
        <w:rPr>
          <w:rFonts w:ascii="Times New Roman" w:hAnsi="Times New Roman"/>
          <w:i/>
          <w:iCs/>
          <w:sz w:val="24"/>
          <w:szCs w:val="24"/>
        </w:rPr>
        <w:t>69</w:t>
      </w:r>
      <w:r>
        <w:rPr>
          <w:rFonts w:ascii="Times New Roman" w:hAnsi="Times New Roman"/>
          <w:sz w:val="24"/>
          <w:szCs w:val="24"/>
        </w:rPr>
        <w:t>, 120–132.</w:t>
      </w:r>
    </w:p>
    <w:p w14:paraId="7C390D40" w14:textId="77777777" w:rsidR="00CE4D98" w:rsidRPr="0042487D" w:rsidRDefault="00FA4CA4" w:rsidP="0042487D">
      <w:pPr>
        <w:pStyle w:val="Body"/>
        <w:widowControl w:val="0"/>
        <w:spacing w:after="0" w:line="480" w:lineRule="auto"/>
        <w:ind w:left="640" w:hanging="640"/>
      </w:pPr>
      <w:r>
        <w:rPr>
          <w:rFonts w:ascii="Times New Roman" w:hAnsi="Times New Roman"/>
          <w:sz w:val="24"/>
          <w:szCs w:val="24"/>
        </w:rPr>
        <w:t xml:space="preserve">(13) </w:t>
      </w:r>
      <w:r>
        <w:rPr>
          <w:rFonts w:ascii="Times New Roman" w:hAnsi="Times New Roman"/>
          <w:sz w:val="24"/>
          <w:szCs w:val="24"/>
        </w:rPr>
        <w:tab/>
      </w:r>
      <w:proofErr w:type="spellStart"/>
      <w:r>
        <w:rPr>
          <w:rFonts w:ascii="Times New Roman" w:hAnsi="Times New Roman"/>
          <w:sz w:val="24"/>
          <w:szCs w:val="24"/>
        </w:rPr>
        <w:t>Cordier</w:t>
      </w:r>
      <w:proofErr w:type="spellEnd"/>
      <w:r>
        <w:rPr>
          <w:rFonts w:ascii="Times New Roman" w:hAnsi="Times New Roman"/>
          <w:sz w:val="24"/>
          <w:szCs w:val="24"/>
        </w:rPr>
        <w:t xml:space="preserve">, S.; </w:t>
      </w:r>
      <w:proofErr w:type="spellStart"/>
      <w:r>
        <w:rPr>
          <w:rFonts w:ascii="Times New Roman" w:hAnsi="Times New Roman"/>
          <w:sz w:val="24"/>
          <w:szCs w:val="24"/>
        </w:rPr>
        <w:t>Chevrier</w:t>
      </w:r>
      <w:proofErr w:type="spellEnd"/>
      <w:r>
        <w:rPr>
          <w:rFonts w:ascii="Times New Roman" w:hAnsi="Times New Roman"/>
          <w:sz w:val="24"/>
          <w:szCs w:val="24"/>
        </w:rPr>
        <w:t>, C.; Robert-</w:t>
      </w:r>
      <w:proofErr w:type="spellStart"/>
      <w:r>
        <w:rPr>
          <w:rFonts w:ascii="Times New Roman" w:hAnsi="Times New Roman"/>
          <w:sz w:val="24"/>
          <w:szCs w:val="24"/>
        </w:rPr>
        <w:t>Gnansia</w:t>
      </w:r>
      <w:proofErr w:type="spellEnd"/>
      <w:r>
        <w:rPr>
          <w:rFonts w:ascii="Times New Roman" w:hAnsi="Times New Roman"/>
          <w:sz w:val="24"/>
          <w:szCs w:val="24"/>
        </w:rPr>
        <w:t xml:space="preserve">, E.; </w:t>
      </w:r>
      <w:proofErr w:type="spellStart"/>
      <w:r>
        <w:rPr>
          <w:rFonts w:ascii="Times New Roman" w:hAnsi="Times New Roman"/>
          <w:sz w:val="24"/>
          <w:szCs w:val="24"/>
        </w:rPr>
        <w:t>Lorente</w:t>
      </w:r>
      <w:proofErr w:type="spellEnd"/>
      <w:r>
        <w:rPr>
          <w:rFonts w:ascii="Times New Roman" w:hAnsi="Times New Roman"/>
          <w:sz w:val="24"/>
          <w:szCs w:val="24"/>
        </w:rPr>
        <w:t xml:space="preserve">, C.; </w:t>
      </w:r>
      <w:proofErr w:type="spellStart"/>
      <w:r>
        <w:rPr>
          <w:rFonts w:ascii="Times New Roman" w:hAnsi="Times New Roman"/>
          <w:sz w:val="24"/>
          <w:szCs w:val="24"/>
        </w:rPr>
        <w:t>Brula</w:t>
      </w:r>
      <w:proofErr w:type="spellEnd"/>
      <w:r>
        <w:rPr>
          <w:rFonts w:ascii="Times New Roman" w:hAnsi="Times New Roman"/>
          <w:sz w:val="24"/>
          <w:szCs w:val="24"/>
        </w:rPr>
        <w:t xml:space="preserve">, P.; Hours, M. Risk of congenital anomalies in the vicinity of municipal solid waste incinerators. </w:t>
      </w:r>
      <w:r>
        <w:rPr>
          <w:rFonts w:ascii="Times New Roman" w:hAnsi="Times New Roman"/>
          <w:i/>
          <w:iCs/>
          <w:sz w:val="24"/>
          <w:szCs w:val="24"/>
          <w:lang w:val="it-IT"/>
        </w:rPr>
        <w:t>Occup. Environ. Med.</w:t>
      </w:r>
      <w:r>
        <w:rPr>
          <w:rFonts w:ascii="Times New Roman" w:hAnsi="Times New Roman"/>
          <w:sz w:val="24"/>
          <w:szCs w:val="24"/>
          <w:lang w:val="it-IT"/>
        </w:rPr>
        <w:t xml:space="preserve"> </w:t>
      </w:r>
      <w:r>
        <w:rPr>
          <w:rFonts w:ascii="Times New Roman" w:hAnsi="Times New Roman"/>
          <w:b/>
          <w:bCs/>
          <w:sz w:val="24"/>
          <w:szCs w:val="24"/>
          <w:lang w:val="it-IT"/>
        </w:rPr>
        <w:t>2004</w:t>
      </w:r>
      <w:r>
        <w:rPr>
          <w:rFonts w:ascii="Times New Roman" w:hAnsi="Times New Roman"/>
          <w:sz w:val="24"/>
          <w:szCs w:val="24"/>
          <w:lang w:val="it-IT"/>
        </w:rPr>
        <w:t xml:space="preserve">, </w:t>
      </w:r>
      <w:r>
        <w:rPr>
          <w:rFonts w:ascii="Times New Roman" w:hAnsi="Times New Roman"/>
          <w:i/>
          <w:iCs/>
          <w:sz w:val="24"/>
          <w:szCs w:val="24"/>
          <w:lang w:val="it-IT"/>
        </w:rPr>
        <w:t>61</w:t>
      </w:r>
      <w:r>
        <w:rPr>
          <w:rFonts w:ascii="Times New Roman" w:hAnsi="Times New Roman"/>
          <w:sz w:val="24"/>
          <w:szCs w:val="24"/>
          <w:lang w:val="it-IT"/>
        </w:rPr>
        <w:t xml:space="preserve"> (1), 8–15.</w:t>
      </w:r>
    </w:p>
    <w:p w14:paraId="33BE3D32" w14:textId="77777777" w:rsidR="00CE4D98" w:rsidRPr="0042487D" w:rsidRDefault="00FA4CA4" w:rsidP="0042487D">
      <w:pPr>
        <w:pStyle w:val="Body"/>
        <w:widowControl w:val="0"/>
        <w:spacing w:after="0" w:line="480" w:lineRule="auto"/>
        <w:ind w:left="640" w:hanging="640"/>
      </w:pPr>
      <w:r>
        <w:rPr>
          <w:rFonts w:ascii="Times New Roman" w:hAnsi="Times New Roman"/>
          <w:sz w:val="24"/>
          <w:szCs w:val="24"/>
          <w:lang w:val="it-IT"/>
        </w:rPr>
        <w:t xml:space="preserve">(14) </w:t>
      </w:r>
      <w:r>
        <w:rPr>
          <w:rFonts w:ascii="Times New Roman" w:hAnsi="Times New Roman"/>
          <w:sz w:val="24"/>
          <w:szCs w:val="24"/>
          <w:lang w:val="it-IT"/>
        </w:rPr>
        <w:tab/>
        <w:t xml:space="preserve">Candela, S.; Bonvicini, L.; Ranzi,  a.; Baldacchini, F.; Broccoli, S.; Cordioli, M.; Carretta, E.; Luberto, F.; Angelini, P.; Evangelista, A.; et al. </w:t>
      </w:r>
      <w:r>
        <w:rPr>
          <w:rFonts w:ascii="Times New Roman" w:hAnsi="Times New Roman"/>
          <w:sz w:val="24"/>
          <w:szCs w:val="24"/>
        </w:rPr>
        <w:t xml:space="preserve">Exposure to emissions from municipal solid waste incinerators and miscarriages: A multisite study of the MONITER Project. </w:t>
      </w:r>
      <w:r>
        <w:rPr>
          <w:rFonts w:ascii="Times New Roman" w:hAnsi="Times New Roman"/>
          <w:i/>
          <w:iCs/>
          <w:sz w:val="24"/>
          <w:szCs w:val="24"/>
          <w:lang w:val="it-IT"/>
        </w:rPr>
        <w:t>Environ. Int.</w:t>
      </w:r>
      <w:r>
        <w:rPr>
          <w:rFonts w:ascii="Times New Roman" w:hAnsi="Times New Roman"/>
          <w:sz w:val="24"/>
          <w:szCs w:val="24"/>
          <w:lang w:val="it-IT"/>
        </w:rPr>
        <w:t xml:space="preserve"> </w:t>
      </w:r>
      <w:r>
        <w:rPr>
          <w:rFonts w:ascii="Times New Roman" w:hAnsi="Times New Roman"/>
          <w:b/>
          <w:bCs/>
          <w:sz w:val="24"/>
          <w:szCs w:val="24"/>
          <w:lang w:val="it-IT"/>
        </w:rPr>
        <w:t>2015</w:t>
      </w:r>
      <w:r>
        <w:rPr>
          <w:rFonts w:ascii="Times New Roman" w:hAnsi="Times New Roman"/>
          <w:sz w:val="24"/>
          <w:szCs w:val="24"/>
          <w:lang w:val="it-IT"/>
        </w:rPr>
        <w:t xml:space="preserve">, </w:t>
      </w:r>
      <w:r>
        <w:rPr>
          <w:rFonts w:ascii="Times New Roman" w:hAnsi="Times New Roman"/>
          <w:i/>
          <w:iCs/>
          <w:sz w:val="24"/>
          <w:szCs w:val="24"/>
          <w:lang w:val="it-IT"/>
        </w:rPr>
        <w:t>78</w:t>
      </w:r>
      <w:r>
        <w:rPr>
          <w:rFonts w:ascii="Times New Roman" w:hAnsi="Times New Roman"/>
          <w:sz w:val="24"/>
          <w:szCs w:val="24"/>
          <w:lang w:val="it-IT"/>
        </w:rPr>
        <w:t>, 51–60.</w:t>
      </w:r>
    </w:p>
    <w:p w14:paraId="243E8533"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lang w:val="it-IT"/>
        </w:rPr>
        <w:t xml:space="preserve">(15) </w:t>
      </w:r>
      <w:r>
        <w:rPr>
          <w:rFonts w:ascii="Times New Roman" w:hAnsi="Times New Roman"/>
          <w:sz w:val="24"/>
          <w:szCs w:val="24"/>
          <w:lang w:val="it-IT"/>
        </w:rPr>
        <w:tab/>
        <w:t xml:space="preserve">Candela, S.; Ranzi, A.; Bonvicini, L.; Baldacchini, F.; Marzaroli, P.; Evangelista, A.; Luberto, F.; Carretta, E.; Angelini, P.; Sterrantino, A. F.; et al. </w:t>
      </w:r>
      <w:r>
        <w:rPr>
          <w:rFonts w:ascii="Times New Roman" w:hAnsi="Times New Roman"/>
          <w:sz w:val="24"/>
          <w:szCs w:val="24"/>
        </w:rPr>
        <w:t xml:space="preserve">Air pollution from incinerators and reproductive outcomes: a multisite study. </w:t>
      </w:r>
      <w:r>
        <w:rPr>
          <w:rFonts w:ascii="Times New Roman" w:hAnsi="Times New Roman"/>
          <w:i/>
          <w:iCs/>
          <w:sz w:val="24"/>
          <w:szCs w:val="24"/>
        </w:rPr>
        <w:t>Epidemiology</w:t>
      </w:r>
      <w:r>
        <w:rPr>
          <w:rFonts w:ascii="Times New Roman" w:hAnsi="Times New Roman"/>
          <w:sz w:val="24"/>
          <w:szCs w:val="24"/>
        </w:rPr>
        <w:t xml:space="preserve"> </w:t>
      </w:r>
      <w:r>
        <w:rPr>
          <w:rFonts w:ascii="Times New Roman" w:hAnsi="Times New Roman"/>
          <w:b/>
          <w:bCs/>
          <w:sz w:val="24"/>
          <w:szCs w:val="24"/>
        </w:rPr>
        <w:t>2013</w:t>
      </w:r>
      <w:r>
        <w:rPr>
          <w:rFonts w:ascii="Times New Roman" w:hAnsi="Times New Roman"/>
          <w:sz w:val="24"/>
          <w:szCs w:val="24"/>
        </w:rPr>
        <w:t xml:space="preserve">, </w:t>
      </w:r>
      <w:r>
        <w:rPr>
          <w:rFonts w:ascii="Times New Roman" w:hAnsi="Times New Roman"/>
          <w:i/>
          <w:iCs/>
          <w:sz w:val="24"/>
          <w:szCs w:val="24"/>
        </w:rPr>
        <w:t>24</w:t>
      </w:r>
      <w:r>
        <w:rPr>
          <w:rFonts w:ascii="Times New Roman" w:hAnsi="Times New Roman"/>
          <w:sz w:val="24"/>
          <w:szCs w:val="24"/>
        </w:rPr>
        <w:t xml:space="preserve"> (6), 863–870.</w:t>
      </w:r>
    </w:p>
    <w:p w14:paraId="0D88CDCC" w14:textId="3B1856C6"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(16) </w:t>
      </w:r>
      <w:r>
        <w:rPr>
          <w:rFonts w:ascii="Times New Roman" w:hAnsi="Times New Roman"/>
          <w:sz w:val="24"/>
          <w:szCs w:val="24"/>
        </w:rPr>
        <w:tab/>
      </w:r>
      <w:proofErr w:type="spellStart"/>
      <w:r>
        <w:rPr>
          <w:rFonts w:ascii="Times New Roman" w:hAnsi="Times New Roman"/>
          <w:sz w:val="24"/>
          <w:szCs w:val="24"/>
        </w:rPr>
        <w:t>Cordioli</w:t>
      </w:r>
      <w:proofErr w:type="spellEnd"/>
      <w:r>
        <w:rPr>
          <w:rFonts w:ascii="Times New Roman" w:hAnsi="Times New Roman"/>
          <w:sz w:val="24"/>
          <w:szCs w:val="24"/>
        </w:rPr>
        <w:t xml:space="preserve">, M.; </w:t>
      </w:r>
      <w:proofErr w:type="spellStart"/>
      <w:r>
        <w:rPr>
          <w:rFonts w:ascii="Times New Roman" w:hAnsi="Times New Roman"/>
          <w:sz w:val="24"/>
          <w:szCs w:val="24"/>
        </w:rPr>
        <w:t>Ranzi</w:t>
      </w:r>
      <w:proofErr w:type="spellEnd"/>
      <w:r>
        <w:rPr>
          <w:rFonts w:ascii="Times New Roman" w:hAnsi="Times New Roman"/>
          <w:sz w:val="24"/>
          <w:szCs w:val="24"/>
        </w:rPr>
        <w:t xml:space="preserve">, A.; Leo, G. A. De; </w:t>
      </w:r>
      <w:proofErr w:type="spellStart"/>
      <w:r>
        <w:rPr>
          <w:rFonts w:ascii="Times New Roman" w:hAnsi="Times New Roman"/>
          <w:sz w:val="24"/>
          <w:szCs w:val="24"/>
        </w:rPr>
        <w:t>Lauriola</w:t>
      </w:r>
      <w:proofErr w:type="spellEnd"/>
      <w:r>
        <w:rPr>
          <w:rFonts w:ascii="Times New Roman" w:hAnsi="Times New Roman"/>
          <w:sz w:val="24"/>
          <w:szCs w:val="24"/>
        </w:rPr>
        <w:t xml:space="preserve">, P. A Review of Exposure Assessment Methods in Epidemiological Studies on Incinerators. </w:t>
      </w:r>
      <w:r>
        <w:rPr>
          <w:rFonts w:ascii="Times New Roman" w:hAnsi="Times New Roman"/>
          <w:i/>
          <w:iCs/>
          <w:sz w:val="24"/>
          <w:szCs w:val="24"/>
        </w:rPr>
        <w:t xml:space="preserve">J. Environ. Public </w:t>
      </w:r>
      <w:r>
        <w:rPr>
          <w:rFonts w:ascii="Times New Roman" w:hAnsi="Times New Roman"/>
          <w:i/>
          <w:iCs/>
          <w:sz w:val="24"/>
          <w:szCs w:val="24"/>
        </w:rPr>
        <w:lastRenderedPageBreak/>
        <w:t>Health.</w:t>
      </w:r>
      <w:r>
        <w:rPr>
          <w:rFonts w:ascii="Times New Roman" w:hAnsi="Times New Roman"/>
          <w:sz w:val="24"/>
          <w:szCs w:val="24"/>
        </w:rPr>
        <w:t xml:space="preserve"> </w:t>
      </w:r>
      <w:r>
        <w:rPr>
          <w:rFonts w:ascii="Times New Roman" w:hAnsi="Times New Roman"/>
          <w:b/>
          <w:bCs/>
          <w:sz w:val="24"/>
          <w:szCs w:val="24"/>
        </w:rPr>
        <w:t>2013</w:t>
      </w:r>
      <w:r>
        <w:rPr>
          <w:rFonts w:ascii="Times New Roman" w:hAnsi="Times New Roman"/>
          <w:i/>
          <w:iCs/>
          <w:sz w:val="24"/>
          <w:szCs w:val="24"/>
        </w:rPr>
        <w:t xml:space="preserve">, </w:t>
      </w:r>
      <w:r w:rsidRPr="00652642">
        <w:rPr>
          <w:rFonts w:ascii="Times New Roman" w:hAnsi="Times New Roman"/>
          <w:iCs/>
          <w:sz w:val="24"/>
          <w:szCs w:val="24"/>
        </w:rPr>
        <w:t>Article ID 129470</w:t>
      </w:r>
      <w:r w:rsidRPr="00652642">
        <w:rPr>
          <w:rFonts w:ascii="Times New Roman" w:hAnsi="Times New Roman"/>
          <w:sz w:val="24"/>
        </w:rPr>
        <w:t>.</w:t>
      </w:r>
      <w:r w:rsidR="00652642" w:rsidRPr="00652642">
        <w:rPr>
          <w:rFonts w:ascii="Times New Roman" w:hAnsi="Times New Roman"/>
          <w:sz w:val="24"/>
        </w:rPr>
        <w:t xml:space="preserve"> DOI 10.1155/2013/129470</w:t>
      </w:r>
      <w:r w:rsidR="00652642">
        <w:rPr>
          <w:rFonts w:ascii="Times New Roman" w:hAnsi="Times New Roman"/>
          <w:sz w:val="24"/>
        </w:rPr>
        <w:t>.</w:t>
      </w:r>
    </w:p>
    <w:p w14:paraId="544BBD89"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(17) </w:t>
      </w:r>
      <w:r>
        <w:rPr>
          <w:rFonts w:ascii="Times New Roman" w:hAnsi="Times New Roman"/>
          <w:sz w:val="24"/>
          <w:szCs w:val="24"/>
        </w:rPr>
        <w:tab/>
        <w:t xml:space="preserve">Tango, T.; Fujita, T.; </w:t>
      </w:r>
      <w:proofErr w:type="spellStart"/>
      <w:r>
        <w:rPr>
          <w:rFonts w:ascii="Times New Roman" w:hAnsi="Times New Roman"/>
          <w:sz w:val="24"/>
          <w:szCs w:val="24"/>
        </w:rPr>
        <w:t>Tanihata</w:t>
      </w:r>
      <w:proofErr w:type="spellEnd"/>
      <w:r>
        <w:rPr>
          <w:rFonts w:ascii="Times New Roman" w:hAnsi="Times New Roman"/>
          <w:sz w:val="24"/>
          <w:szCs w:val="24"/>
        </w:rPr>
        <w:t xml:space="preserve">, T.; </w:t>
      </w:r>
      <w:proofErr w:type="spellStart"/>
      <w:r>
        <w:rPr>
          <w:rFonts w:ascii="Times New Roman" w:hAnsi="Times New Roman"/>
          <w:sz w:val="24"/>
          <w:szCs w:val="24"/>
        </w:rPr>
        <w:t>Minowa</w:t>
      </w:r>
      <w:proofErr w:type="spellEnd"/>
      <w:r>
        <w:rPr>
          <w:rFonts w:ascii="Times New Roman" w:hAnsi="Times New Roman"/>
          <w:sz w:val="24"/>
          <w:szCs w:val="24"/>
        </w:rPr>
        <w:t xml:space="preserve">, M.; </w:t>
      </w:r>
      <w:proofErr w:type="spellStart"/>
      <w:r>
        <w:rPr>
          <w:rFonts w:ascii="Times New Roman" w:hAnsi="Times New Roman"/>
          <w:sz w:val="24"/>
          <w:szCs w:val="24"/>
        </w:rPr>
        <w:t>Doi</w:t>
      </w:r>
      <w:proofErr w:type="spellEnd"/>
      <w:r>
        <w:rPr>
          <w:rFonts w:ascii="Times New Roman" w:hAnsi="Times New Roman"/>
          <w:sz w:val="24"/>
          <w:szCs w:val="24"/>
        </w:rPr>
        <w:t xml:space="preserve">, Y.; Kato, N.; </w:t>
      </w:r>
      <w:proofErr w:type="spellStart"/>
      <w:r>
        <w:rPr>
          <w:rFonts w:ascii="Times New Roman" w:hAnsi="Times New Roman"/>
          <w:sz w:val="24"/>
          <w:szCs w:val="24"/>
        </w:rPr>
        <w:t>Kunikane</w:t>
      </w:r>
      <w:proofErr w:type="spellEnd"/>
      <w:r>
        <w:rPr>
          <w:rFonts w:ascii="Times New Roman" w:hAnsi="Times New Roman"/>
          <w:sz w:val="24"/>
          <w:szCs w:val="24"/>
        </w:rPr>
        <w:t xml:space="preserve">, S.; Uchiyama, I.; Tanaka, M.; </w:t>
      </w:r>
      <w:proofErr w:type="spellStart"/>
      <w:r>
        <w:rPr>
          <w:rFonts w:ascii="Times New Roman" w:hAnsi="Times New Roman"/>
          <w:sz w:val="24"/>
          <w:szCs w:val="24"/>
        </w:rPr>
        <w:t>Uehata</w:t>
      </w:r>
      <w:proofErr w:type="spellEnd"/>
      <w:r>
        <w:rPr>
          <w:rFonts w:ascii="Times New Roman" w:hAnsi="Times New Roman"/>
          <w:sz w:val="24"/>
          <w:szCs w:val="24"/>
        </w:rPr>
        <w:t xml:space="preserve">, T. Risk of Adverse Reproductive Outcomes Associated with Proximity to Municipal Solid Waste Incinerators with High Dioxin Emission Levels in Japan. </w:t>
      </w:r>
      <w:r w:rsidRPr="0042487D">
        <w:rPr>
          <w:rFonts w:ascii="Times New Roman" w:hAnsi="Times New Roman"/>
          <w:i/>
          <w:sz w:val="24"/>
          <w:lang w:val="it-IT"/>
        </w:rPr>
        <w:t>J. Epidemiol.</w:t>
      </w:r>
      <w:r>
        <w:rPr>
          <w:rFonts w:ascii="Times New Roman" w:hAnsi="Times New Roman"/>
          <w:sz w:val="24"/>
          <w:szCs w:val="24"/>
        </w:rPr>
        <w:t xml:space="preserve"> </w:t>
      </w:r>
      <w:r>
        <w:rPr>
          <w:rFonts w:ascii="Times New Roman" w:hAnsi="Times New Roman"/>
          <w:b/>
          <w:bCs/>
          <w:sz w:val="24"/>
          <w:szCs w:val="24"/>
        </w:rPr>
        <w:t>2004</w:t>
      </w:r>
      <w:r>
        <w:rPr>
          <w:rFonts w:ascii="Times New Roman" w:hAnsi="Times New Roman"/>
          <w:sz w:val="24"/>
          <w:szCs w:val="24"/>
        </w:rPr>
        <w:t xml:space="preserve">, </w:t>
      </w:r>
      <w:r>
        <w:rPr>
          <w:rFonts w:ascii="Times New Roman" w:hAnsi="Times New Roman"/>
          <w:i/>
          <w:iCs/>
          <w:sz w:val="24"/>
          <w:szCs w:val="24"/>
        </w:rPr>
        <w:t>14</w:t>
      </w:r>
      <w:r>
        <w:rPr>
          <w:rFonts w:ascii="Times New Roman" w:hAnsi="Times New Roman"/>
          <w:sz w:val="24"/>
          <w:szCs w:val="24"/>
        </w:rPr>
        <w:t xml:space="preserve"> (3), 83–93.</w:t>
      </w:r>
    </w:p>
    <w:p w14:paraId="78B313F9"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(18) </w:t>
      </w:r>
      <w:r>
        <w:rPr>
          <w:rFonts w:ascii="Times New Roman" w:hAnsi="Times New Roman"/>
          <w:sz w:val="24"/>
          <w:szCs w:val="24"/>
        </w:rPr>
        <w:tab/>
        <w:t xml:space="preserve">ten </w:t>
      </w:r>
      <w:proofErr w:type="spellStart"/>
      <w:r>
        <w:rPr>
          <w:rFonts w:ascii="Times New Roman" w:hAnsi="Times New Roman"/>
          <w:sz w:val="24"/>
          <w:szCs w:val="24"/>
        </w:rPr>
        <w:t>Tusscher</w:t>
      </w:r>
      <w:proofErr w:type="spellEnd"/>
      <w:r>
        <w:rPr>
          <w:rFonts w:ascii="Times New Roman" w:hAnsi="Times New Roman"/>
          <w:sz w:val="24"/>
          <w:szCs w:val="24"/>
        </w:rPr>
        <w:t xml:space="preserve">, G. W.; </w:t>
      </w:r>
      <w:proofErr w:type="spellStart"/>
      <w:r>
        <w:rPr>
          <w:rFonts w:ascii="Times New Roman" w:hAnsi="Times New Roman"/>
          <w:sz w:val="24"/>
          <w:szCs w:val="24"/>
        </w:rPr>
        <w:t>Stam</w:t>
      </w:r>
      <w:proofErr w:type="spellEnd"/>
      <w:r>
        <w:rPr>
          <w:rFonts w:ascii="Times New Roman" w:hAnsi="Times New Roman"/>
          <w:sz w:val="24"/>
          <w:szCs w:val="24"/>
        </w:rPr>
        <w:t xml:space="preserve">, G. A.; KOPPE, J. G. Open chemical combustions resulting in a local increased incidence of </w:t>
      </w:r>
      <w:proofErr w:type="spellStart"/>
      <w:r>
        <w:rPr>
          <w:rFonts w:ascii="Times New Roman" w:hAnsi="Times New Roman"/>
          <w:sz w:val="24"/>
          <w:szCs w:val="24"/>
        </w:rPr>
        <w:t>orofacial</w:t>
      </w:r>
      <w:proofErr w:type="spellEnd"/>
      <w:r>
        <w:rPr>
          <w:rFonts w:ascii="Times New Roman" w:hAnsi="Times New Roman"/>
          <w:sz w:val="24"/>
          <w:szCs w:val="24"/>
        </w:rPr>
        <w:t xml:space="preserve"> clefts. </w:t>
      </w:r>
      <w:r>
        <w:rPr>
          <w:rFonts w:ascii="Times New Roman" w:hAnsi="Times New Roman"/>
          <w:i/>
          <w:iCs/>
          <w:sz w:val="24"/>
          <w:szCs w:val="24"/>
        </w:rPr>
        <w:t>Chemosphere</w:t>
      </w:r>
      <w:r>
        <w:rPr>
          <w:rFonts w:ascii="Times New Roman" w:hAnsi="Times New Roman"/>
          <w:sz w:val="24"/>
          <w:szCs w:val="24"/>
        </w:rPr>
        <w:t xml:space="preserve"> </w:t>
      </w:r>
      <w:r>
        <w:rPr>
          <w:rFonts w:ascii="Times New Roman" w:hAnsi="Times New Roman"/>
          <w:b/>
          <w:bCs/>
          <w:sz w:val="24"/>
          <w:szCs w:val="24"/>
        </w:rPr>
        <w:t>2000</w:t>
      </w:r>
      <w:r>
        <w:rPr>
          <w:rFonts w:ascii="Times New Roman" w:hAnsi="Times New Roman"/>
          <w:sz w:val="24"/>
          <w:szCs w:val="24"/>
        </w:rPr>
        <w:t xml:space="preserve">, </w:t>
      </w:r>
      <w:r>
        <w:rPr>
          <w:rFonts w:ascii="Times New Roman" w:hAnsi="Times New Roman"/>
          <w:i/>
          <w:iCs/>
          <w:sz w:val="24"/>
          <w:szCs w:val="24"/>
        </w:rPr>
        <w:t>40</w:t>
      </w:r>
      <w:r>
        <w:rPr>
          <w:rFonts w:ascii="Times New Roman" w:hAnsi="Times New Roman"/>
          <w:sz w:val="24"/>
          <w:szCs w:val="24"/>
        </w:rPr>
        <w:t xml:space="preserve"> (9-11), 1263–1270.</w:t>
      </w:r>
    </w:p>
    <w:p w14:paraId="0912242F"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(19) </w:t>
      </w:r>
      <w:r>
        <w:rPr>
          <w:rFonts w:ascii="Times New Roman" w:hAnsi="Times New Roman"/>
          <w:sz w:val="24"/>
          <w:szCs w:val="24"/>
        </w:rPr>
        <w:tab/>
        <w:t>Obi-</w:t>
      </w:r>
      <w:proofErr w:type="spellStart"/>
      <w:r>
        <w:rPr>
          <w:rFonts w:ascii="Times New Roman" w:hAnsi="Times New Roman"/>
          <w:sz w:val="24"/>
          <w:szCs w:val="24"/>
        </w:rPr>
        <w:t>Osius</w:t>
      </w:r>
      <w:proofErr w:type="spellEnd"/>
      <w:r>
        <w:rPr>
          <w:rFonts w:ascii="Times New Roman" w:hAnsi="Times New Roman"/>
          <w:sz w:val="24"/>
          <w:szCs w:val="24"/>
        </w:rPr>
        <w:t xml:space="preserve">, N.; </w:t>
      </w:r>
      <w:proofErr w:type="spellStart"/>
      <w:r>
        <w:rPr>
          <w:rFonts w:ascii="Times New Roman" w:hAnsi="Times New Roman"/>
          <w:sz w:val="24"/>
          <w:szCs w:val="24"/>
        </w:rPr>
        <w:t>Misselwitz</w:t>
      </w:r>
      <w:proofErr w:type="spellEnd"/>
      <w:r>
        <w:rPr>
          <w:rFonts w:ascii="Times New Roman" w:hAnsi="Times New Roman"/>
          <w:sz w:val="24"/>
          <w:szCs w:val="24"/>
        </w:rPr>
        <w:t xml:space="preserve">, B.; </w:t>
      </w:r>
      <w:proofErr w:type="spellStart"/>
      <w:r>
        <w:rPr>
          <w:rFonts w:ascii="Times New Roman" w:hAnsi="Times New Roman"/>
          <w:sz w:val="24"/>
          <w:szCs w:val="24"/>
        </w:rPr>
        <w:t>Karmaus</w:t>
      </w:r>
      <w:proofErr w:type="spellEnd"/>
      <w:r>
        <w:rPr>
          <w:rFonts w:ascii="Times New Roman" w:hAnsi="Times New Roman"/>
          <w:sz w:val="24"/>
          <w:szCs w:val="24"/>
        </w:rPr>
        <w:t xml:space="preserve">, W.; Witten, J. Twin Frequency and Industrial Pollution in Different Regions of </w:t>
      </w:r>
      <w:proofErr w:type="spellStart"/>
      <w:r>
        <w:rPr>
          <w:rFonts w:ascii="Times New Roman" w:hAnsi="Times New Roman"/>
          <w:sz w:val="24"/>
          <w:szCs w:val="24"/>
        </w:rPr>
        <w:t>Hesse</w:t>
      </w:r>
      <w:proofErr w:type="spellEnd"/>
      <w:r>
        <w:rPr>
          <w:rFonts w:ascii="Times New Roman" w:hAnsi="Times New Roman"/>
          <w:sz w:val="24"/>
          <w:szCs w:val="24"/>
        </w:rPr>
        <w:t xml:space="preserve">, Germany. </w:t>
      </w:r>
      <w:r w:rsidRPr="0042487D">
        <w:rPr>
          <w:rFonts w:ascii="Times New Roman" w:hAnsi="Times New Roman"/>
          <w:i/>
          <w:sz w:val="24"/>
          <w:lang w:val="it-IT"/>
        </w:rPr>
        <w:t>Occup. Environ. Med.</w:t>
      </w:r>
      <w:r>
        <w:rPr>
          <w:rFonts w:ascii="Times New Roman" w:hAnsi="Times New Roman"/>
          <w:sz w:val="24"/>
          <w:szCs w:val="24"/>
        </w:rPr>
        <w:t xml:space="preserve"> </w:t>
      </w:r>
      <w:r>
        <w:rPr>
          <w:rFonts w:ascii="Times New Roman" w:hAnsi="Times New Roman"/>
          <w:b/>
          <w:bCs/>
          <w:sz w:val="24"/>
          <w:szCs w:val="24"/>
        </w:rPr>
        <w:t>2004</w:t>
      </w:r>
      <w:r>
        <w:rPr>
          <w:rFonts w:ascii="Times New Roman" w:hAnsi="Times New Roman"/>
          <w:sz w:val="24"/>
          <w:szCs w:val="24"/>
        </w:rPr>
        <w:t xml:space="preserve">, </w:t>
      </w:r>
      <w:r>
        <w:rPr>
          <w:rFonts w:ascii="Times New Roman" w:hAnsi="Times New Roman"/>
          <w:i/>
          <w:iCs/>
          <w:sz w:val="24"/>
          <w:szCs w:val="24"/>
        </w:rPr>
        <w:t>61</w:t>
      </w:r>
      <w:r>
        <w:rPr>
          <w:rFonts w:ascii="Times New Roman" w:hAnsi="Times New Roman"/>
          <w:sz w:val="24"/>
          <w:szCs w:val="24"/>
        </w:rPr>
        <w:t xml:space="preserve"> (6), 482–487.</w:t>
      </w:r>
    </w:p>
    <w:p w14:paraId="1802C1C5" w14:textId="54956BF4"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(20) </w:t>
      </w:r>
      <w:r>
        <w:rPr>
          <w:rFonts w:ascii="Times New Roman" w:hAnsi="Times New Roman"/>
          <w:sz w:val="24"/>
          <w:szCs w:val="24"/>
        </w:rPr>
        <w:tab/>
        <w:t xml:space="preserve">Ashworth, D. C.; Fuller, G. W.; Toledano, M. B.; Font, A.; Elliott, P.; Hansell, A. L.; de </w:t>
      </w:r>
      <w:proofErr w:type="spellStart"/>
      <w:r>
        <w:rPr>
          <w:rFonts w:ascii="Times New Roman" w:hAnsi="Times New Roman"/>
          <w:sz w:val="24"/>
          <w:szCs w:val="24"/>
        </w:rPr>
        <w:t>Hoogh</w:t>
      </w:r>
      <w:proofErr w:type="spellEnd"/>
      <w:r>
        <w:rPr>
          <w:rFonts w:ascii="Times New Roman" w:hAnsi="Times New Roman"/>
          <w:sz w:val="24"/>
          <w:szCs w:val="24"/>
        </w:rPr>
        <w:t xml:space="preserve">, K. Comparative assessment of particulate air pollution exposure from municipal solid waste incinerator emissions. </w:t>
      </w:r>
      <w:r>
        <w:rPr>
          <w:rFonts w:ascii="Times New Roman" w:hAnsi="Times New Roman"/>
          <w:i/>
          <w:iCs/>
          <w:sz w:val="24"/>
          <w:szCs w:val="24"/>
        </w:rPr>
        <w:t>J. Environ. Public Health.</w:t>
      </w:r>
      <w:r>
        <w:rPr>
          <w:rFonts w:ascii="Times New Roman" w:hAnsi="Times New Roman"/>
          <w:sz w:val="24"/>
          <w:szCs w:val="24"/>
        </w:rPr>
        <w:t xml:space="preserve"> </w:t>
      </w:r>
      <w:r>
        <w:rPr>
          <w:rFonts w:ascii="Times New Roman" w:hAnsi="Times New Roman"/>
          <w:b/>
          <w:bCs/>
          <w:sz w:val="24"/>
          <w:szCs w:val="24"/>
        </w:rPr>
        <w:t>2013</w:t>
      </w:r>
      <w:r>
        <w:rPr>
          <w:rFonts w:ascii="Times New Roman" w:hAnsi="Times New Roman"/>
          <w:i/>
          <w:iCs/>
          <w:sz w:val="24"/>
          <w:szCs w:val="24"/>
          <w:lang w:val="fr-FR"/>
        </w:rPr>
        <w:t xml:space="preserve">. </w:t>
      </w:r>
      <w:r w:rsidRPr="00652642">
        <w:rPr>
          <w:rFonts w:ascii="Times New Roman" w:hAnsi="Times New Roman"/>
          <w:iCs/>
          <w:sz w:val="24"/>
          <w:szCs w:val="24"/>
          <w:lang w:val="fr-FR"/>
        </w:rPr>
        <w:t>Article ID</w:t>
      </w:r>
      <w:r w:rsidRPr="00652642">
        <w:rPr>
          <w:rFonts w:ascii="Times New Roman" w:hAnsi="Times New Roman"/>
          <w:sz w:val="24"/>
        </w:rPr>
        <w:t>, 560342</w:t>
      </w:r>
      <w:r w:rsidRPr="00652642">
        <w:rPr>
          <w:rFonts w:ascii="Times New Roman" w:hAnsi="Times New Roman"/>
          <w:sz w:val="24"/>
          <w:szCs w:val="24"/>
        </w:rPr>
        <w:t>.</w:t>
      </w:r>
      <w:r w:rsidR="00652642">
        <w:rPr>
          <w:rFonts w:ascii="Times New Roman" w:hAnsi="Times New Roman"/>
          <w:sz w:val="24"/>
          <w:szCs w:val="24"/>
        </w:rPr>
        <w:t xml:space="preserve"> DOI </w:t>
      </w:r>
      <w:r w:rsidR="00652642" w:rsidRPr="00652642">
        <w:rPr>
          <w:rFonts w:ascii="Times New Roman" w:hAnsi="Times New Roman"/>
          <w:sz w:val="24"/>
          <w:szCs w:val="24"/>
        </w:rPr>
        <w:t>10.1155/2013/560342</w:t>
      </w:r>
      <w:r w:rsidR="00652642">
        <w:rPr>
          <w:rFonts w:ascii="Times New Roman" w:hAnsi="Times New Roman"/>
          <w:sz w:val="24"/>
          <w:szCs w:val="24"/>
        </w:rPr>
        <w:t>.</w:t>
      </w:r>
    </w:p>
    <w:p w14:paraId="3CD059DD"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(21) </w:t>
      </w:r>
      <w:r>
        <w:rPr>
          <w:rFonts w:ascii="Times New Roman" w:hAnsi="Times New Roman"/>
          <w:sz w:val="24"/>
          <w:szCs w:val="24"/>
        </w:rPr>
        <w:tab/>
        <w:t>The European Parliament and the Council of the European Union. 2000/76/EC http://eur-lex.europa.eu/legal-content/EN/TXT/PDF/?uri=CELEX:32000L0076&amp;from=EN (accessed May 25, 2016).</w:t>
      </w:r>
    </w:p>
    <w:p w14:paraId="20144F13"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(22) </w:t>
      </w:r>
      <w:r>
        <w:rPr>
          <w:rFonts w:ascii="Times New Roman" w:hAnsi="Times New Roman"/>
          <w:sz w:val="24"/>
          <w:szCs w:val="24"/>
        </w:rPr>
        <w:tab/>
      </w:r>
      <w:proofErr w:type="spellStart"/>
      <w:r>
        <w:rPr>
          <w:rFonts w:ascii="Times New Roman" w:hAnsi="Times New Roman"/>
          <w:sz w:val="24"/>
          <w:szCs w:val="24"/>
        </w:rPr>
        <w:t>Buonanno</w:t>
      </w:r>
      <w:proofErr w:type="spellEnd"/>
      <w:r>
        <w:rPr>
          <w:rFonts w:ascii="Times New Roman" w:hAnsi="Times New Roman"/>
          <w:sz w:val="24"/>
          <w:szCs w:val="24"/>
        </w:rPr>
        <w:t xml:space="preserve">, G.; </w:t>
      </w:r>
      <w:proofErr w:type="spellStart"/>
      <w:r>
        <w:rPr>
          <w:rFonts w:ascii="Times New Roman" w:hAnsi="Times New Roman"/>
          <w:sz w:val="24"/>
          <w:szCs w:val="24"/>
        </w:rPr>
        <w:t>Ficco</w:t>
      </w:r>
      <w:proofErr w:type="spellEnd"/>
      <w:r>
        <w:rPr>
          <w:rFonts w:ascii="Times New Roman" w:hAnsi="Times New Roman"/>
          <w:sz w:val="24"/>
          <w:szCs w:val="24"/>
        </w:rPr>
        <w:t xml:space="preserve">, G.; Stabile, L. Size distribution and number concentration of particles at the stack of a municipal waste incinerator. </w:t>
      </w:r>
      <w:r>
        <w:rPr>
          <w:rFonts w:ascii="Times New Roman" w:hAnsi="Times New Roman"/>
          <w:i/>
          <w:iCs/>
          <w:sz w:val="24"/>
          <w:szCs w:val="24"/>
        </w:rPr>
        <w:t xml:space="preserve">Waste </w:t>
      </w:r>
      <w:proofErr w:type="spellStart"/>
      <w:r>
        <w:rPr>
          <w:rFonts w:ascii="Times New Roman" w:hAnsi="Times New Roman"/>
          <w:i/>
          <w:iCs/>
          <w:sz w:val="24"/>
          <w:szCs w:val="24"/>
        </w:rPr>
        <w:t>Manag</w:t>
      </w:r>
      <w:proofErr w:type="spellEnd"/>
      <w:r>
        <w:rPr>
          <w:rFonts w:ascii="Times New Roman" w:hAnsi="Times New Roman"/>
          <w:i/>
          <w:iCs/>
          <w:sz w:val="24"/>
          <w:szCs w:val="24"/>
        </w:rPr>
        <w:t>.</w:t>
      </w:r>
      <w:r>
        <w:rPr>
          <w:rFonts w:ascii="Times New Roman" w:hAnsi="Times New Roman"/>
          <w:sz w:val="24"/>
          <w:szCs w:val="24"/>
        </w:rPr>
        <w:t xml:space="preserve"> </w:t>
      </w:r>
      <w:r>
        <w:rPr>
          <w:rFonts w:ascii="Times New Roman" w:hAnsi="Times New Roman"/>
          <w:b/>
          <w:bCs/>
          <w:sz w:val="24"/>
          <w:szCs w:val="24"/>
        </w:rPr>
        <w:t>2009</w:t>
      </w:r>
      <w:r>
        <w:rPr>
          <w:rFonts w:ascii="Times New Roman" w:hAnsi="Times New Roman"/>
          <w:sz w:val="24"/>
          <w:szCs w:val="24"/>
        </w:rPr>
        <w:t xml:space="preserve">, </w:t>
      </w:r>
      <w:r>
        <w:rPr>
          <w:rFonts w:ascii="Times New Roman" w:hAnsi="Times New Roman"/>
          <w:i/>
          <w:iCs/>
          <w:sz w:val="24"/>
          <w:szCs w:val="24"/>
        </w:rPr>
        <w:t>29</w:t>
      </w:r>
      <w:r>
        <w:rPr>
          <w:rFonts w:ascii="Times New Roman" w:hAnsi="Times New Roman"/>
          <w:sz w:val="24"/>
          <w:szCs w:val="24"/>
        </w:rPr>
        <w:t xml:space="preserve"> (2), 749–755.</w:t>
      </w:r>
    </w:p>
    <w:p w14:paraId="462A52EF"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(23) </w:t>
      </w:r>
      <w:r>
        <w:rPr>
          <w:rFonts w:ascii="Times New Roman" w:hAnsi="Times New Roman"/>
          <w:sz w:val="24"/>
          <w:szCs w:val="24"/>
        </w:rPr>
        <w:tab/>
        <w:t xml:space="preserve">DEFRA. Environmental permitting guidance: waste incineration - GOV.UK https://www.gov.uk/government/publications/environmental-permitting-guidance-the-waste-incineration-directive/environmental-permitting-guidance-waste-incineration </w:t>
      </w:r>
      <w:r>
        <w:rPr>
          <w:rFonts w:ascii="Times New Roman" w:hAnsi="Times New Roman"/>
          <w:sz w:val="24"/>
          <w:szCs w:val="24"/>
        </w:rPr>
        <w:lastRenderedPageBreak/>
        <w:t>(accessed Jan 29, 2016).</w:t>
      </w:r>
    </w:p>
    <w:p w14:paraId="60BC7C28"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(24) </w:t>
      </w:r>
      <w:r>
        <w:rPr>
          <w:rFonts w:ascii="Times New Roman" w:hAnsi="Times New Roman"/>
          <w:sz w:val="24"/>
          <w:szCs w:val="24"/>
        </w:rPr>
        <w:tab/>
        <w:t xml:space="preserve">Lin, C. M.; Li, C. Y.; Mao, I. F. Birth outcomes of infants born in areas with elevated ambient exposure to incinerator generated PCDD/Fs. </w:t>
      </w:r>
      <w:r>
        <w:rPr>
          <w:rFonts w:ascii="Times New Roman" w:hAnsi="Times New Roman"/>
          <w:i/>
          <w:iCs/>
          <w:sz w:val="24"/>
          <w:szCs w:val="24"/>
        </w:rPr>
        <w:t>Environ. Int.</w:t>
      </w:r>
      <w:r>
        <w:rPr>
          <w:rFonts w:ascii="Times New Roman" w:hAnsi="Times New Roman"/>
          <w:sz w:val="24"/>
          <w:szCs w:val="24"/>
        </w:rPr>
        <w:t xml:space="preserve"> </w:t>
      </w:r>
      <w:r>
        <w:rPr>
          <w:rFonts w:ascii="Times New Roman" w:hAnsi="Times New Roman"/>
          <w:b/>
          <w:bCs/>
          <w:sz w:val="24"/>
          <w:szCs w:val="24"/>
        </w:rPr>
        <w:t>2006</w:t>
      </w:r>
      <w:r>
        <w:rPr>
          <w:rFonts w:ascii="Times New Roman" w:hAnsi="Times New Roman"/>
          <w:sz w:val="24"/>
          <w:szCs w:val="24"/>
        </w:rPr>
        <w:t xml:space="preserve">, </w:t>
      </w:r>
      <w:r>
        <w:rPr>
          <w:rFonts w:ascii="Times New Roman" w:hAnsi="Times New Roman"/>
          <w:i/>
          <w:iCs/>
          <w:sz w:val="24"/>
          <w:szCs w:val="24"/>
        </w:rPr>
        <w:t>32</w:t>
      </w:r>
      <w:r>
        <w:rPr>
          <w:rFonts w:ascii="Times New Roman" w:hAnsi="Times New Roman"/>
          <w:sz w:val="24"/>
          <w:szCs w:val="24"/>
        </w:rPr>
        <w:t xml:space="preserve"> (5), 624–629.</w:t>
      </w:r>
    </w:p>
    <w:p w14:paraId="39F3E27F"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(25) </w:t>
      </w:r>
      <w:r>
        <w:rPr>
          <w:rFonts w:ascii="Times New Roman" w:hAnsi="Times New Roman"/>
          <w:sz w:val="24"/>
          <w:szCs w:val="24"/>
        </w:rPr>
        <w:tab/>
      </w:r>
      <w:proofErr w:type="spellStart"/>
      <w:r>
        <w:rPr>
          <w:rFonts w:ascii="Times New Roman" w:hAnsi="Times New Roman"/>
          <w:sz w:val="24"/>
          <w:szCs w:val="24"/>
        </w:rPr>
        <w:t>Ranzi</w:t>
      </w:r>
      <w:proofErr w:type="spellEnd"/>
      <w:r>
        <w:rPr>
          <w:rFonts w:ascii="Times New Roman" w:hAnsi="Times New Roman"/>
          <w:sz w:val="24"/>
          <w:szCs w:val="24"/>
        </w:rPr>
        <w:t xml:space="preserve">, A.; </w:t>
      </w:r>
      <w:proofErr w:type="spellStart"/>
      <w:r>
        <w:rPr>
          <w:rFonts w:ascii="Times New Roman" w:hAnsi="Times New Roman"/>
          <w:sz w:val="24"/>
          <w:szCs w:val="24"/>
        </w:rPr>
        <w:t>Fano</w:t>
      </w:r>
      <w:proofErr w:type="spellEnd"/>
      <w:r>
        <w:rPr>
          <w:rFonts w:ascii="Times New Roman" w:hAnsi="Times New Roman"/>
          <w:sz w:val="24"/>
          <w:szCs w:val="24"/>
        </w:rPr>
        <w:t xml:space="preserve">, V.; </w:t>
      </w:r>
      <w:proofErr w:type="spellStart"/>
      <w:r>
        <w:rPr>
          <w:rFonts w:ascii="Times New Roman" w:hAnsi="Times New Roman"/>
          <w:sz w:val="24"/>
          <w:szCs w:val="24"/>
        </w:rPr>
        <w:t>Erspamer</w:t>
      </w:r>
      <w:proofErr w:type="spellEnd"/>
      <w:r>
        <w:rPr>
          <w:rFonts w:ascii="Times New Roman" w:hAnsi="Times New Roman"/>
          <w:sz w:val="24"/>
          <w:szCs w:val="24"/>
        </w:rPr>
        <w:t xml:space="preserve">, L.; </w:t>
      </w:r>
      <w:proofErr w:type="spellStart"/>
      <w:r>
        <w:rPr>
          <w:rFonts w:ascii="Times New Roman" w:hAnsi="Times New Roman"/>
          <w:sz w:val="24"/>
          <w:szCs w:val="24"/>
        </w:rPr>
        <w:t>Lauriola</w:t>
      </w:r>
      <w:proofErr w:type="spellEnd"/>
      <w:r>
        <w:rPr>
          <w:rFonts w:ascii="Times New Roman" w:hAnsi="Times New Roman"/>
          <w:sz w:val="24"/>
          <w:szCs w:val="24"/>
        </w:rPr>
        <w:t xml:space="preserve">, P.; </w:t>
      </w:r>
      <w:proofErr w:type="spellStart"/>
      <w:r>
        <w:rPr>
          <w:rFonts w:ascii="Times New Roman" w:hAnsi="Times New Roman"/>
          <w:sz w:val="24"/>
          <w:szCs w:val="24"/>
        </w:rPr>
        <w:t>Perucci</w:t>
      </w:r>
      <w:proofErr w:type="spellEnd"/>
      <w:r>
        <w:rPr>
          <w:rFonts w:ascii="Times New Roman" w:hAnsi="Times New Roman"/>
          <w:sz w:val="24"/>
          <w:szCs w:val="24"/>
        </w:rPr>
        <w:t xml:space="preserve">, C.; </w:t>
      </w:r>
      <w:proofErr w:type="spellStart"/>
      <w:r>
        <w:rPr>
          <w:rFonts w:ascii="Times New Roman" w:hAnsi="Times New Roman"/>
          <w:sz w:val="24"/>
          <w:szCs w:val="24"/>
        </w:rPr>
        <w:t>Forastiere</w:t>
      </w:r>
      <w:proofErr w:type="spellEnd"/>
      <w:r>
        <w:rPr>
          <w:rFonts w:ascii="Times New Roman" w:hAnsi="Times New Roman"/>
          <w:sz w:val="24"/>
          <w:szCs w:val="24"/>
        </w:rPr>
        <w:t xml:space="preserve">, F. Mortality and morbidity among people living close to incinerators: a cohort study based on dispersion modeling for exposure assessment. </w:t>
      </w:r>
      <w:r>
        <w:rPr>
          <w:rFonts w:ascii="Times New Roman" w:hAnsi="Times New Roman"/>
          <w:i/>
          <w:iCs/>
          <w:sz w:val="24"/>
          <w:szCs w:val="24"/>
        </w:rPr>
        <w:t>Environ. Heal.</w:t>
      </w:r>
      <w:r>
        <w:rPr>
          <w:rFonts w:ascii="Times New Roman" w:hAnsi="Times New Roman"/>
          <w:sz w:val="24"/>
          <w:szCs w:val="24"/>
        </w:rPr>
        <w:t xml:space="preserve"> </w:t>
      </w:r>
      <w:r>
        <w:rPr>
          <w:rFonts w:ascii="Times New Roman" w:hAnsi="Times New Roman"/>
          <w:b/>
          <w:bCs/>
          <w:sz w:val="24"/>
          <w:szCs w:val="24"/>
        </w:rPr>
        <w:t>2011</w:t>
      </w:r>
      <w:r>
        <w:rPr>
          <w:rFonts w:ascii="Times New Roman" w:hAnsi="Times New Roman"/>
          <w:sz w:val="24"/>
          <w:szCs w:val="24"/>
        </w:rPr>
        <w:t xml:space="preserve">, </w:t>
      </w:r>
      <w:r>
        <w:rPr>
          <w:rFonts w:ascii="Times New Roman" w:hAnsi="Times New Roman"/>
          <w:i/>
          <w:iCs/>
          <w:sz w:val="24"/>
          <w:szCs w:val="24"/>
        </w:rPr>
        <w:t>10</w:t>
      </w:r>
      <w:r>
        <w:rPr>
          <w:rFonts w:ascii="Times New Roman" w:hAnsi="Times New Roman"/>
          <w:sz w:val="24"/>
          <w:szCs w:val="24"/>
        </w:rPr>
        <w:t xml:space="preserve"> (1), 22.</w:t>
      </w:r>
    </w:p>
    <w:p w14:paraId="5C45056A"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(26) </w:t>
      </w:r>
      <w:r>
        <w:rPr>
          <w:rFonts w:ascii="Times New Roman" w:hAnsi="Times New Roman"/>
          <w:sz w:val="24"/>
          <w:szCs w:val="24"/>
        </w:rPr>
        <w:tab/>
        <w:t>CERC. ADMS-Urban model http://www.cerc.co.uk/environmental-software/ADMS-Urban-model.html (accessed Jan 29, 2016).</w:t>
      </w:r>
    </w:p>
    <w:p w14:paraId="5EEDA732" w14:textId="56D6AC4A"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(27) </w:t>
      </w:r>
      <w:r>
        <w:rPr>
          <w:rFonts w:ascii="Times New Roman" w:hAnsi="Times New Roman"/>
          <w:sz w:val="24"/>
          <w:szCs w:val="24"/>
        </w:rPr>
        <w:tab/>
        <w:t xml:space="preserve">Ross, G. Parametric and nonparametric sequential change detection in R: The </w:t>
      </w:r>
      <w:proofErr w:type="spellStart"/>
      <w:r>
        <w:rPr>
          <w:rFonts w:ascii="Times New Roman" w:hAnsi="Times New Roman"/>
          <w:sz w:val="24"/>
          <w:szCs w:val="24"/>
        </w:rPr>
        <w:t>cpm</w:t>
      </w:r>
      <w:proofErr w:type="spellEnd"/>
      <w:r>
        <w:rPr>
          <w:rFonts w:ascii="Times New Roman" w:hAnsi="Times New Roman"/>
          <w:sz w:val="24"/>
          <w:szCs w:val="24"/>
        </w:rPr>
        <w:t xml:space="preserve"> package. </w:t>
      </w:r>
      <w:r>
        <w:rPr>
          <w:rFonts w:ascii="Times New Roman" w:hAnsi="Times New Roman"/>
          <w:i/>
          <w:iCs/>
          <w:sz w:val="24"/>
          <w:szCs w:val="24"/>
        </w:rPr>
        <w:t xml:space="preserve">J. Stat. </w:t>
      </w:r>
      <w:proofErr w:type="spellStart"/>
      <w:r>
        <w:rPr>
          <w:rFonts w:ascii="Times New Roman" w:hAnsi="Times New Roman"/>
          <w:i/>
          <w:iCs/>
          <w:sz w:val="24"/>
          <w:szCs w:val="24"/>
        </w:rPr>
        <w:t>Softw</w:t>
      </w:r>
      <w:proofErr w:type="spellEnd"/>
      <w:r>
        <w:rPr>
          <w:rFonts w:ascii="Times New Roman" w:hAnsi="Times New Roman"/>
          <w:i/>
          <w:iCs/>
          <w:sz w:val="24"/>
          <w:szCs w:val="24"/>
        </w:rPr>
        <w:t>.</w:t>
      </w:r>
      <w:r>
        <w:rPr>
          <w:rFonts w:ascii="Times New Roman" w:hAnsi="Times New Roman"/>
          <w:sz w:val="24"/>
          <w:szCs w:val="24"/>
        </w:rPr>
        <w:t xml:space="preserve"> </w:t>
      </w:r>
      <w:r>
        <w:rPr>
          <w:rFonts w:ascii="Times New Roman" w:hAnsi="Times New Roman"/>
          <w:b/>
          <w:bCs/>
          <w:sz w:val="24"/>
          <w:szCs w:val="24"/>
        </w:rPr>
        <w:t>2015</w:t>
      </w:r>
      <w:r>
        <w:rPr>
          <w:rFonts w:ascii="Times New Roman" w:hAnsi="Times New Roman"/>
          <w:sz w:val="24"/>
          <w:szCs w:val="24"/>
        </w:rPr>
        <w:t xml:space="preserve">, </w:t>
      </w:r>
      <w:r>
        <w:rPr>
          <w:rFonts w:ascii="Times New Roman" w:hAnsi="Times New Roman"/>
          <w:i/>
          <w:iCs/>
          <w:sz w:val="24"/>
          <w:szCs w:val="24"/>
        </w:rPr>
        <w:t>66</w:t>
      </w:r>
      <w:r w:rsidRPr="0042487D">
        <w:rPr>
          <w:rFonts w:ascii="Times New Roman" w:hAnsi="Times New Roman"/>
          <w:sz w:val="24"/>
          <w:lang w:val="it-IT"/>
        </w:rPr>
        <w:t xml:space="preserve"> (3), </w:t>
      </w:r>
      <w:r w:rsidR="00652642">
        <w:rPr>
          <w:rFonts w:ascii="Times New Roman" w:hAnsi="Times New Roman"/>
          <w:sz w:val="24"/>
          <w:lang w:val="it-IT"/>
        </w:rPr>
        <w:t>1-20.</w:t>
      </w:r>
    </w:p>
    <w:p w14:paraId="5E341463"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(28) </w:t>
      </w:r>
      <w:r>
        <w:rPr>
          <w:rFonts w:ascii="Times New Roman" w:hAnsi="Times New Roman"/>
          <w:sz w:val="24"/>
          <w:szCs w:val="24"/>
        </w:rPr>
        <w:tab/>
        <w:t>CERC. ADMS-Urban User guide http://www.cerc.co.uk/environmental-software/assets/data/doc_userguides/CERC_ADMS-Urban4.0_User_Guide.pdf (accessed Jun 1, 2016).</w:t>
      </w:r>
    </w:p>
    <w:p w14:paraId="0EFEF109"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(29) </w:t>
      </w:r>
      <w:r>
        <w:rPr>
          <w:rFonts w:ascii="Times New Roman" w:hAnsi="Times New Roman"/>
          <w:sz w:val="24"/>
          <w:szCs w:val="24"/>
        </w:rPr>
        <w:tab/>
        <w:t>Department for Environment, Food &amp; Rural Affairs (Defra) Modelled background pollution data – Defra UK https://uk-air.defra.gov.uk/data/pcm-data (Accessed Aug 8, 2016)</w:t>
      </w:r>
    </w:p>
    <w:p w14:paraId="65719C4A"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(30) </w:t>
      </w:r>
      <w:r>
        <w:rPr>
          <w:rFonts w:ascii="Times New Roman" w:hAnsi="Times New Roman"/>
          <w:sz w:val="24"/>
          <w:szCs w:val="24"/>
        </w:rPr>
        <w:tab/>
        <w:t>European Environment Agency. Particulate Matter (PM10): annual mean concentrations in Europe — European Environment Agency http://www.eea.europa.eu/themes/air/interactive/pm10#tab-based-on-data (accessed Feb 5, 2016).</w:t>
      </w:r>
    </w:p>
    <w:p w14:paraId="5285C1A9"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(31) </w:t>
      </w:r>
      <w:r>
        <w:rPr>
          <w:rFonts w:ascii="Times New Roman" w:hAnsi="Times New Roman"/>
          <w:sz w:val="24"/>
          <w:szCs w:val="24"/>
        </w:rPr>
        <w:tab/>
        <w:t xml:space="preserve">Nixon, J.D.; Wright, D.G.; </w:t>
      </w:r>
      <w:proofErr w:type="spellStart"/>
      <w:r>
        <w:rPr>
          <w:rFonts w:ascii="Times New Roman" w:hAnsi="Times New Roman"/>
          <w:sz w:val="24"/>
          <w:szCs w:val="24"/>
        </w:rPr>
        <w:t>Dey</w:t>
      </w:r>
      <w:proofErr w:type="spellEnd"/>
      <w:r>
        <w:rPr>
          <w:rFonts w:ascii="Times New Roman" w:hAnsi="Times New Roman"/>
          <w:sz w:val="24"/>
          <w:szCs w:val="24"/>
        </w:rPr>
        <w:t xml:space="preserve">, P.K.; Ghosh, S.K.; Davies, P.A. A comparative assessment of waste incinerators in the UK. </w:t>
      </w:r>
      <w:r>
        <w:rPr>
          <w:rFonts w:ascii="Times New Roman" w:hAnsi="Times New Roman"/>
          <w:i/>
          <w:iCs/>
          <w:sz w:val="24"/>
          <w:szCs w:val="24"/>
        </w:rPr>
        <w:t xml:space="preserve">Waste Manage. </w:t>
      </w:r>
      <w:r>
        <w:rPr>
          <w:rFonts w:ascii="Times New Roman" w:hAnsi="Times New Roman"/>
          <w:b/>
          <w:bCs/>
          <w:sz w:val="24"/>
          <w:szCs w:val="24"/>
        </w:rPr>
        <w:t>2013</w:t>
      </w:r>
      <w:r>
        <w:rPr>
          <w:rFonts w:ascii="Times New Roman" w:hAnsi="Times New Roman"/>
          <w:sz w:val="24"/>
          <w:szCs w:val="24"/>
        </w:rPr>
        <w:t xml:space="preserve">, </w:t>
      </w:r>
      <w:r>
        <w:rPr>
          <w:rFonts w:ascii="Times New Roman" w:hAnsi="Times New Roman"/>
          <w:i/>
          <w:iCs/>
          <w:sz w:val="24"/>
          <w:szCs w:val="24"/>
        </w:rPr>
        <w:t>33</w:t>
      </w:r>
      <w:r>
        <w:rPr>
          <w:rFonts w:ascii="Times New Roman" w:hAnsi="Times New Roman"/>
          <w:sz w:val="24"/>
          <w:szCs w:val="24"/>
        </w:rPr>
        <w:t xml:space="preserve">, 2234-2244. </w:t>
      </w:r>
    </w:p>
    <w:p w14:paraId="7063571E" w14:textId="77777777" w:rsidR="00CE4D98" w:rsidRDefault="00FA4CA4" w:rsidP="0042487D">
      <w:pPr>
        <w:pStyle w:val="Body"/>
        <w:widowControl w:val="0"/>
        <w:spacing w:after="0" w:line="480" w:lineRule="auto"/>
        <w:ind w:left="640" w:hanging="640"/>
        <w:rPr>
          <w:rFonts w:eastAsia="Times New Roman"/>
        </w:rPr>
      </w:pPr>
      <w:r>
        <w:rPr>
          <w:rFonts w:ascii="Times New Roman" w:hAnsi="Times New Roman"/>
          <w:sz w:val="24"/>
          <w:szCs w:val="24"/>
        </w:rPr>
        <w:t xml:space="preserve">(32) </w:t>
      </w:r>
      <w:r>
        <w:rPr>
          <w:rFonts w:ascii="Times New Roman" w:hAnsi="Times New Roman"/>
          <w:sz w:val="24"/>
          <w:szCs w:val="24"/>
        </w:rPr>
        <w:tab/>
        <w:t xml:space="preserve">Font, A.; de </w:t>
      </w:r>
      <w:proofErr w:type="spellStart"/>
      <w:r>
        <w:rPr>
          <w:rFonts w:ascii="Times New Roman" w:hAnsi="Times New Roman"/>
          <w:sz w:val="24"/>
          <w:szCs w:val="24"/>
        </w:rPr>
        <w:t>Hoogh</w:t>
      </w:r>
      <w:proofErr w:type="spellEnd"/>
      <w:r>
        <w:rPr>
          <w:rFonts w:ascii="Times New Roman" w:hAnsi="Times New Roman"/>
          <w:sz w:val="24"/>
          <w:szCs w:val="24"/>
        </w:rPr>
        <w:t xml:space="preserve">, K.; Leal-Sanchez, M.; Ashworth, D. C.; Brown, R. J. C.; Hansell, A. L.; Fuller, G. W. Using metal ratios to detect emissions from municipal waste </w:t>
      </w:r>
      <w:r>
        <w:rPr>
          <w:rFonts w:ascii="Times New Roman" w:hAnsi="Times New Roman"/>
          <w:sz w:val="24"/>
          <w:szCs w:val="24"/>
        </w:rPr>
        <w:lastRenderedPageBreak/>
        <w:t xml:space="preserve">incinerators in ambient air pollution data. </w:t>
      </w:r>
      <w:r w:rsidRPr="0042487D">
        <w:rPr>
          <w:rFonts w:ascii="Times New Roman" w:hAnsi="Times New Roman"/>
          <w:i/>
          <w:sz w:val="24"/>
          <w:lang w:val="pt-PT"/>
        </w:rPr>
        <w:t>Atmos. Environ.</w:t>
      </w:r>
      <w:r>
        <w:rPr>
          <w:rFonts w:ascii="Times New Roman" w:hAnsi="Times New Roman"/>
          <w:sz w:val="24"/>
          <w:szCs w:val="24"/>
        </w:rPr>
        <w:t xml:space="preserve"> </w:t>
      </w:r>
      <w:r>
        <w:rPr>
          <w:rFonts w:ascii="Times New Roman" w:hAnsi="Times New Roman"/>
          <w:b/>
          <w:bCs/>
          <w:sz w:val="24"/>
          <w:szCs w:val="24"/>
        </w:rPr>
        <w:t>2015</w:t>
      </w:r>
      <w:r>
        <w:rPr>
          <w:rFonts w:ascii="Times New Roman" w:hAnsi="Times New Roman"/>
          <w:sz w:val="24"/>
          <w:szCs w:val="24"/>
        </w:rPr>
        <w:t xml:space="preserve">, </w:t>
      </w:r>
      <w:r>
        <w:rPr>
          <w:rFonts w:ascii="Times New Roman" w:hAnsi="Times New Roman"/>
          <w:i/>
          <w:iCs/>
          <w:sz w:val="24"/>
          <w:szCs w:val="24"/>
        </w:rPr>
        <w:t>113</w:t>
      </w:r>
      <w:r>
        <w:rPr>
          <w:rFonts w:ascii="Times New Roman" w:hAnsi="Times New Roman"/>
          <w:sz w:val="24"/>
          <w:szCs w:val="24"/>
        </w:rPr>
        <w:t>, 177–186.</w:t>
      </w:r>
    </w:p>
    <w:p w14:paraId="2E121B3A" w14:textId="77777777" w:rsidR="00CE4D98" w:rsidRDefault="00FA4CA4" w:rsidP="0042487D">
      <w:pPr>
        <w:pStyle w:val="Body"/>
        <w:widowControl w:val="0"/>
        <w:spacing w:after="0" w:line="480" w:lineRule="auto"/>
        <w:ind w:left="640" w:hanging="640"/>
        <w:rPr>
          <w:rFonts w:eastAsia="Times New Roman"/>
          <w:b/>
          <w:bCs/>
        </w:rPr>
      </w:pPr>
      <w:r>
        <w:rPr>
          <w:rFonts w:ascii="Times New Roman" w:hAnsi="Times New Roman"/>
          <w:sz w:val="24"/>
          <w:szCs w:val="24"/>
        </w:rPr>
        <w:t>(33)</w:t>
      </w:r>
      <w:r>
        <w:rPr>
          <w:rFonts w:ascii="Times New Roman" w:hAnsi="Times New Roman"/>
          <w:sz w:val="24"/>
          <w:szCs w:val="24"/>
        </w:rPr>
        <w:tab/>
        <w:t xml:space="preserve">Jones, A.M.; Harrison, R.M. Emissions of ultrafine particles from the incineration of </w:t>
      </w:r>
      <w:proofErr w:type="spellStart"/>
      <w:r>
        <w:rPr>
          <w:rFonts w:ascii="Times New Roman" w:hAnsi="Times New Roman"/>
          <w:sz w:val="24"/>
          <w:szCs w:val="24"/>
        </w:rPr>
        <w:t>municpal</w:t>
      </w:r>
      <w:proofErr w:type="spellEnd"/>
      <w:r>
        <w:rPr>
          <w:rFonts w:ascii="Times New Roman" w:hAnsi="Times New Roman"/>
          <w:sz w:val="24"/>
          <w:szCs w:val="24"/>
        </w:rPr>
        <w:t xml:space="preserve"> solid waste: A review. </w:t>
      </w:r>
      <w:r w:rsidRPr="0042487D">
        <w:rPr>
          <w:rFonts w:ascii="Times New Roman" w:hAnsi="Times New Roman"/>
          <w:i/>
          <w:sz w:val="24"/>
          <w:lang w:val="pt-PT"/>
        </w:rPr>
        <w:t>Atmos. Environ.</w:t>
      </w:r>
      <w:r>
        <w:rPr>
          <w:rFonts w:ascii="Times New Roman" w:hAnsi="Times New Roman"/>
          <w:b/>
          <w:bCs/>
          <w:sz w:val="24"/>
          <w:szCs w:val="24"/>
        </w:rPr>
        <w:t>2016</w:t>
      </w:r>
      <w:r>
        <w:rPr>
          <w:rFonts w:ascii="Times New Roman" w:hAnsi="Times New Roman"/>
          <w:sz w:val="24"/>
          <w:szCs w:val="24"/>
        </w:rPr>
        <w:t xml:space="preserve">, </w:t>
      </w:r>
      <w:r>
        <w:rPr>
          <w:rFonts w:ascii="Times New Roman" w:hAnsi="Times New Roman"/>
          <w:i/>
          <w:iCs/>
          <w:sz w:val="24"/>
          <w:szCs w:val="24"/>
        </w:rPr>
        <w:t>140</w:t>
      </w:r>
      <w:r>
        <w:rPr>
          <w:rFonts w:ascii="Times New Roman" w:hAnsi="Times New Roman"/>
          <w:sz w:val="24"/>
          <w:szCs w:val="24"/>
        </w:rPr>
        <w:t>, 519-528.</w:t>
      </w:r>
    </w:p>
    <w:p w14:paraId="07AB4755" w14:textId="77777777" w:rsidR="00CE4D98" w:rsidRDefault="00FA4CA4">
      <w:pPr>
        <w:pStyle w:val="Body"/>
        <w:widowControl w:val="0"/>
        <w:spacing w:after="0" w:line="480" w:lineRule="auto"/>
        <w:ind w:left="640" w:hanging="640"/>
        <w:rPr>
          <w:rFonts w:ascii="Times New Roman" w:eastAsia="Times New Roman" w:hAnsi="Times New Roman" w:cs="Times New Roman"/>
          <w:sz w:val="24"/>
          <w:szCs w:val="24"/>
        </w:rPr>
      </w:pPr>
      <w:r>
        <w:rPr>
          <w:rFonts w:ascii="Times New Roman" w:hAnsi="Times New Roman"/>
          <w:sz w:val="24"/>
          <w:szCs w:val="24"/>
        </w:rPr>
        <w:t xml:space="preserve">(34) </w:t>
      </w:r>
      <w:r>
        <w:rPr>
          <w:rFonts w:ascii="Times New Roman" w:hAnsi="Times New Roman"/>
          <w:sz w:val="24"/>
          <w:szCs w:val="24"/>
        </w:rPr>
        <w:tab/>
        <w:t xml:space="preserve">Parker, J. D.; Rich, D. Q.; </w:t>
      </w:r>
      <w:proofErr w:type="spellStart"/>
      <w:r>
        <w:rPr>
          <w:rFonts w:ascii="Times New Roman" w:hAnsi="Times New Roman"/>
          <w:sz w:val="24"/>
          <w:szCs w:val="24"/>
        </w:rPr>
        <w:t>Glinianaia</w:t>
      </w:r>
      <w:proofErr w:type="spellEnd"/>
      <w:r>
        <w:rPr>
          <w:rFonts w:ascii="Times New Roman" w:hAnsi="Times New Roman"/>
          <w:sz w:val="24"/>
          <w:szCs w:val="24"/>
        </w:rPr>
        <w:t xml:space="preserve">, S. V.; </w:t>
      </w:r>
      <w:proofErr w:type="spellStart"/>
      <w:r>
        <w:rPr>
          <w:rFonts w:ascii="Times New Roman" w:hAnsi="Times New Roman"/>
          <w:sz w:val="24"/>
          <w:szCs w:val="24"/>
        </w:rPr>
        <w:t>Leem</w:t>
      </w:r>
      <w:proofErr w:type="spellEnd"/>
      <w:r>
        <w:rPr>
          <w:rFonts w:ascii="Times New Roman" w:hAnsi="Times New Roman"/>
          <w:sz w:val="24"/>
          <w:szCs w:val="24"/>
        </w:rPr>
        <w:t xml:space="preserve">, J. H.; </w:t>
      </w:r>
      <w:proofErr w:type="spellStart"/>
      <w:r>
        <w:rPr>
          <w:rFonts w:ascii="Times New Roman" w:hAnsi="Times New Roman"/>
          <w:sz w:val="24"/>
          <w:szCs w:val="24"/>
        </w:rPr>
        <w:t>Wartenberg</w:t>
      </w:r>
      <w:proofErr w:type="spellEnd"/>
      <w:r>
        <w:rPr>
          <w:rFonts w:ascii="Times New Roman" w:hAnsi="Times New Roman"/>
          <w:sz w:val="24"/>
          <w:szCs w:val="24"/>
        </w:rPr>
        <w:t xml:space="preserve">, D.; Bell, M. L.; </w:t>
      </w:r>
      <w:proofErr w:type="spellStart"/>
      <w:r>
        <w:rPr>
          <w:rFonts w:ascii="Times New Roman" w:hAnsi="Times New Roman"/>
          <w:sz w:val="24"/>
          <w:szCs w:val="24"/>
        </w:rPr>
        <w:t>Bonzini</w:t>
      </w:r>
      <w:proofErr w:type="spellEnd"/>
      <w:r>
        <w:rPr>
          <w:rFonts w:ascii="Times New Roman" w:hAnsi="Times New Roman"/>
          <w:sz w:val="24"/>
          <w:szCs w:val="24"/>
        </w:rPr>
        <w:t xml:space="preserve">, M.; </w:t>
      </w:r>
      <w:proofErr w:type="spellStart"/>
      <w:r>
        <w:rPr>
          <w:rFonts w:ascii="Times New Roman" w:hAnsi="Times New Roman"/>
          <w:sz w:val="24"/>
          <w:szCs w:val="24"/>
        </w:rPr>
        <w:t>Brauer</w:t>
      </w:r>
      <w:proofErr w:type="spellEnd"/>
      <w:r>
        <w:rPr>
          <w:rFonts w:ascii="Times New Roman" w:hAnsi="Times New Roman"/>
          <w:sz w:val="24"/>
          <w:szCs w:val="24"/>
        </w:rPr>
        <w:t xml:space="preserve">, M.; Darrow, L.; Gehring, U.; et al. The international collaboration on air pollution and pregnancy outcomes: Initial results. </w:t>
      </w:r>
      <w:r>
        <w:rPr>
          <w:rFonts w:ascii="Times New Roman" w:hAnsi="Times New Roman"/>
          <w:i/>
          <w:iCs/>
          <w:sz w:val="24"/>
          <w:szCs w:val="24"/>
          <w:lang w:val="it-IT"/>
        </w:rPr>
        <w:t>Environ. Health Perspect.</w:t>
      </w:r>
      <w:r>
        <w:rPr>
          <w:rFonts w:ascii="Times New Roman" w:hAnsi="Times New Roman"/>
          <w:sz w:val="24"/>
          <w:szCs w:val="24"/>
          <w:lang w:val="it-IT"/>
        </w:rPr>
        <w:t xml:space="preserve"> </w:t>
      </w:r>
      <w:r>
        <w:rPr>
          <w:rFonts w:ascii="Times New Roman" w:hAnsi="Times New Roman"/>
          <w:b/>
          <w:bCs/>
          <w:sz w:val="24"/>
          <w:szCs w:val="24"/>
          <w:lang w:val="it-IT"/>
        </w:rPr>
        <w:t>2011</w:t>
      </w:r>
      <w:r>
        <w:rPr>
          <w:rFonts w:ascii="Times New Roman" w:hAnsi="Times New Roman"/>
          <w:sz w:val="24"/>
          <w:szCs w:val="24"/>
          <w:lang w:val="it-IT"/>
        </w:rPr>
        <w:t xml:space="preserve">, </w:t>
      </w:r>
      <w:r>
        <w:rPr>
          <w:rFonts w:ascii="Times New Roman" w:hAnsi="Times New Roman"/>
          <w:i/>
          <w:iCs/>
          <w:sz w:val="24"/>
          <w:szCs w:val="24"/>
          <w:lang w:val="it-IT"/>
        </w:rPr>
        <w:t>119</w:t>
      </w:r>
      <w:r>
        <w:rPr>
          <w:rFonts w:ascii="Times New Roman" w:hAnsi="Times New Roman"/>
          <w:sz w:val="24"/>
          <w:szCs w:val="24"/>
          <w:lang w:val="it-IT"/>
        </w:rPr>
        <w:t xml:space="preserve"> (7), 1023–1028.</w:t>
      </w:r>
    </w:p>
    <w:p w14:paraId="50DC3163" w14:textId="77777777" w:rsidR="00CE4D98" w:rsidRPr="0042487D" w:rsidRDefault="00FA4CA4" w:rsidP="0042487D">
      <w:pPr>
        <w:pStyle w:val="Body"/>
        <w:widowControl w:val="0"/>
        <w:spacing w:after="0" w:line="480" w:lineRule="auto"/>
        <w:ind w:left="640" w:hanging="640"/>
      </w:pPr>
      <w:r>
        <w:rPr>
          <w:rFonts w:ascii="Times New Roman" w:hAnsi="Times New Roman"/>
          <w:sz w:val="24"/>
          <w:szCs w:val="24"/>
          <w:lang w:val="it-IT"/>
        </w:rPr>
        <w:t>(35)</w:t>
      </w:r>
      <w:r>
        <w:rPr>
          <w:rFonts w:ascii="Times New Roman" w:hAnsi="Times New Roman"/>
          <w:sz w:val="24"/>
          <w:szCs w:val="24"/>
          <w:lang w:val="it-IT"/>
        </w:rPr>
        <w:tab/>
        <w:t xml:space="preserve">Scungio, M.; Buonanno, G.; Stabile, L,; Ficco, G. Lung cancer risk assessment at receptor site of a waste-to-energy plant. </w:t>
      </w:r>
      <w:r>
        <w:rPr>
          <w:rFonts w:ascii="Times New Roman" w:hAnsi="Times New Roman"/>
          <w:i/>
          <w:iCs/>
          <w:sz w:val="24"/>
          <w:szCs w:val="24"/>
          <w:lang w:val="it-IT"/>
        </w:rPr>
        <w:t xml:space="preserve">Waste Manage. </w:t>
      </w:r>
      <w:r>
        <w:rPr>
          <w:rFonts w:ascii="Times New Roman" w:hAnsi="Times New Roman"/>
          <w:b/>
          <w:bCs/>
          <w:sz w:val="24"/>
          <w:szCs w:val="24"/>
          <w:lang w:val="it-IT"/>
        </w:rPr>
        <w:t xml:space="preserve">2016, </w:t>
      </w:r>
      <w:r>
        <w:rPr>
          <w:rFonts w:ascii="Times New Roman" w:hAnsi="Times New Roman"/>
          <w:i/>
          <w:iCs/>
          <w:sz w:val="24"/>
          <w:szCs w:val="24"/>
          <w:lang w:val="it-IT"/>
        </w:rPr>
        <w:t xml:space="preserve">56, </w:t>
      </w:r>
      <w:r>
        <w:rPr>
          <w:rFonts w:ascii="Times New Roman" w:hAnsi="Times New Roman"/>
          <w:sz w:val="24"/>
          <w:szCs w:val="24"/>
          <w:lang w:val="it-IT"/>
        </w:rPr>
        <w:t xml:space="preserve">207-215. </w:t>
      </w:r>
    </w:p>
    <w:sectPr w:rsidR="00CE4D98" w:rsidRPr="0042487D" w:rsidSect="0042487D">
      <w:headerReference w:type="default" r:id="rId9"/>
      <w:footerReference w:type="default" r:id="rId10"/>
      <w:pgSz w:w="11900" w:h="16840"/>
      <w:pgMar w:top="1440" w:right="1440" w:bottom="1440" w:left="1440" w:header="708" w:footer="708" w:gutter="0"/>
      <w:lnNumType w:countBy="1" w:restart="continuous"/>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FF97A5" w14:textId="77777777" w:rsidR="00A54668" w:rsidRDefault="00A54668" w:rsidP="005B61E1">
      <w:r>
        <w:separator/>
      </w:r>
    </w:p>
    <w:p w14:paraId="506958FA" w14:textId="77777777" w:rsidR="00A54668" w:rsidRDefault="00A54668"/>
  </w:endnote>
  <w:endnote w:type="continuationSeparator" w:id="0">
    <w:p w14:paraId="0493D1BA" w14:textId="77777777" w:rsidR="00A54668" w:rsidRDefault="00A54668" w:rsidP="005B61E1">
      <w:r>
        <w:continuationSeparator/>
      </w:r>
    </w:p>
    <w:p w14:paraId="35E17A81" w14:textId="77777777" w:rsidR="00A54668" w:rsidRDefault="00A54668"/>
  </w:endnote>
  <w:endnote w:type="continuationNotice" w:id="1">
    <w:p w14:paraId="04045664" w14:textId="77777777" w:rsidR="00A54668" w:rsidRDefault="00A54668" w:rsidP="005B61E1"/>
    <w:p w14:paraId="3572ECD5" w14:textId="77777777" w:rsidR="00A54668" w:rsidRDefault="00A546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vOT863180fb">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2E24D" w14:textId="218376DD" w:rsidR="00CE4D98" w:rsidRDefault="00FA4CA4" w:rsidP="0042487D">
    <w:pPr>
      <w:pStyle w:val="Footer"/>
      <w:tabs>
        <w:tab w:val="clear" w:pos="9026"/>
        <w:tab w:val="right" w:pos="9000"/>
      </w:tabs>
      <w:jc w:val="right"/>
    </w:pPr>
    <w:r>
      <w:fldChar w:fldCharType="begin"/>
    </w:r>
    <w:r>
      <w:instrText xml:space="preserve"> PAGE </w:instrText>
    </w:r>
    <w:r>
      <w:fldChar w:fldCharType="separate"/>
    </w:r>
    <w:r w:rsidR="00093F50">
      <w:rPr>
        <w:noProof/>
      </w:rPr>
      <w:t>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0AD408" w14:textId="77777777" w:rsidR="00A54668" w:rsidRDefault="00A54668" w:rsidP="005B61E1">
      <w:r>
        <w:separator/>
      </w:r>
    </w:p>
    <w:p w14:paraId="347509A1" w14:textId="77777777" w:rsidR="00A54668" w:rsidRDefault="00A54668"/>
  </w:footnote>
  <w:footnote w:type="continuationSeparator" w:id="0">
    <w:p w14:paraId="407B6A3A" w14:textId="77777777" w:rsidR="00A54668" w:rsidRDefault="00A54668" w:rsidP="005B61E1">
      <w:r>
        <w:continuationSeparator/>
      </w:r>
    </w:p>
    <w:p w14:paraId="59A70411" w14:textId="77777777" w:rsidR="00A54668" w:rsidRDefault="00A54668"/>
  </w:footnote>
  <w:footnote w:type="continuationNotice" w:id="1">
    <w:p w14:paraId="68E7E5B7" w14:textId="77777777" w:rsidR="00A54668" w:rsidRDefault="00A54668" w:rsidP="005B61E1"/>
    <w:p w14:paraId="23648C4D" w14:textId="77777777" w:rsidR="00A54668" w:rsidRDefault="00A5466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2D2FC" w14:textId="77777777" w:rsidR="00CE4D98" w:rsidRDefault="00CE4D98" w:rsidP="0042487D">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850DD"/>
    <w:multiLevelType w:val="hybridMultilevel"/>
    <w:tmpl w:val="EB54A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651B9"/>
    <w:multiLevelType w:val="hybridMultilevel"/>
    <w:tmpl w:val="EA7AFB62"/>
    <w:styleLink w:val="ImportedStyle2"/>
    <w:lvl w:ilvl="0" w:tplc="76AC1B5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A6D16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500D0A">
      <w:start w:val="1"/>
      <w:numFmt w:val="lowerRoman"/>
      <w:lvlText w:val="%3."/>
      <w:lvlJc w:val="left"/>
      <w:pPr>
        <w:ind w:left="216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84079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92EA5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041924">
      <w:start w:val="1"/>
      <w:numFmt w:val="lowerRoman"/>
      <w:lvlText w:val="%6."/>
      <w:lvlJc w:val="left"/>
      <w:pPr>
        <w:ind w:left="43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01A538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208135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06A91A">
      <w:start w:val="1"/>
      <w:numFmt w:val="lowerRoman"/>
      <w:lvlText w:val="%9."/>
      <w:lvlJc w:val="left"/>
      <w:pPr>
        <w:ind w:left="64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B6855DC"/>
    <w:multiLevelType w:val="hybridMultilevel"/>
    <w:tmpl w:val="2BA82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643CF"/>
    <w:multiLevelType w:val="hybridMultilevel"/>
    <w:tmpl w:val="07E8AE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E27D54"/>
    <w:multiLevelType w:val="hybridMultilevel"/>
    <w:tmpl w:val="C4E4F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F77D41"/>
    <w:multiLevelType w:val="hybridMultilevel"/>
    <w:tmpl w:val="00E241B4"/>
    <w:lvl w:ilvl="0" w:tplc="540E3014">
      <w:start w:val="1"/>
      <w:numFmt w:val="decimal"/>
      <w:lvlText w:val="RQ %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6" w15:restartNumberingAfterBreak="0">
    <w:nsid w:val="16BE1E07"/>
    <w:multiLevelType w:val="hybridMultilevel"/>
    <w:tmpl w:val="F842C6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A555D1"/>
    <w:multiLevelType w:val="multilevel"/>
    <w:tmpl w:val="DAF216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9E222BF"/>
    <w:multiLevelType w:val="hybridMultilevel"/>
    <w:tmpl w:val="87E017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052A4F"/>
    <w:multiLevelType w:val="hybridMultilevel"/>
    <w:tmpl w:val="85B62B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DE2C79"/>
    <w:multiLevelType w:val="hybridMultilevel"/>
    <w:tmpl w:val="FCF266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A752E1"/>
    <w:multiLevelType w:val="hybridMultilevel"/>
    <w:tmpl w:val="B442E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FA7248"/>
    <w:multiLevelType w:val="hybridMultilevel"/>
    <w:tmpl w:val="FEDE31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DB2CAE"/>
    <w:multiLevelType w:val="hybridMultilevel"/>
    <w:tmpl w:val="A4A001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F5140E"/>
    <w:multiLevelType w:val="hybridMultilevel"/>
    <w:tmpl w:val="2FDA3C38"/>
    <w:styleLink w:val="ImportedStyle1"/>
    <w:lvl w:ilvl="0" w:tplc="BA7230C6">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256654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62DFFC">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35862D0">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CAA43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C0E006">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B0AD206">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806C8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722C7E0">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EF21C0E"/>
    <w:multiLevelType w:val="hybridMultilevel"/>
    <w:tmpl w:val="07E8AE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C21AFA"/>
    <w:multiLevelType w:val="hybridMultilevel"/>
    <w:tmpl w:val="3F1EE9A6"/>
    <w:lvl w:ilvl="0" w:tplc="45346922">
      <w:start w:val="1"/>
      <w:numFmt w:val="bullet"/>
      <w:lvlText w:val="–"/>
      <w:lvlJc w:val="left"/>
      <w:pPr>
        <w:tabs>
          <w:tab w:val="num" w:pos="720"/>
        </w:tabs>
        <w:ind w:left="720" w:hanging="360"/>
      </w:pPr>
      <w:rPr>
        <w:rFonts w:ascii="Arial" w:hAnsi="Arial" w:hint="default"/>
      </w:rPr>
    </w:lvl>
    <w:lvl w:ilvl="1" w:tplc="CD5E3F1A">
      <w:start w:val="1"/>
      <w:numFmt w:val="bullet"/>
      <w:lvlText w:val="–"/>
      <w:lvlJc w:val="left"/>
      <w:pPr>
        <w:tabs>
          <w:tab w:val="num" w:pos="1440"/>
        </w:tabs>
        <w:ind w:left="1440" w:hanging="360"/>
      </w:pPr>
      <w:rPr>
        <w:rFonts w:ascii="Arial" w:hAnsi="Arial" w:hint="default"/>
      </w:rPr>
    </w:lvl>
    <w:lvl w:ilvl="2" w:tplc="395CD656" w:tentative="1">
      <w:start w:val="1"/>
      <w:numFmt w:val="bullet"/>
      <w:lvlText w:val="–"/>
      <w:lvlJc w:val="left"/>
      <w:pPr>
        <w:tabs>
          <w:tab w:val="num" w:pos="2160"/>
        </w:tabs>
        <w:ind w:left="2160" w:hanging="360"/>
      </w:pPr>
      <w:rPr>
        <w:rFonts w:ascii="Arial" w:hAnsi="Arial" w:hint="default"/>
      </w:rPr>
    </w:lvl>
    <w:lvl w:ilvl="3" w:tplc="5890037E" w:tentative="1">
      <w:start w:val="1"/>
      <w:numFmt w:val="bullet"/>
      <w:lvlText w:val="–"/>
      <w:lvlJc w:val="left"/>
      <w:pPr>
        <w:tabs>
          <w:tab w:val="num" w:pos="2880"/>
        </w:tabs>
        <w:ind w:left="2880" w:hanging="360"/>
      </w:pPr>
      <w:rPr>
        <w:rFonts w:ascii="Arial" w:hAnsi="Arial" w:hint="default"/>
      </w:rPr>
    </w:lvl>
    <w:lvl w:ilvl="4" w:tplc="339434FA" w:tentative="1">
      <w:start w:val="1"/>
      <w:numFmt w:val="bullet"/>
      <w:lvlText w:val="–"/>
      <w:lvlJc w:val="left"/>
      <w:pPr>
        <w:tabs>
          <w:tab w:val="num" w:pos="3600"/>
        </w:tabs>
        <w:ind w:left="3600" w:hanging="360"/>
      </w:pPr>
      <w:rPr>
        <w:rFonts w:ascii="Arial" w:hAnsi="Arial" w:hint="default"/>
      </w:rPr>
    </w:lvl>
    <w:lvl w:ilvl="5" w:tplc="B8EEF2F2" w:tentative="1">
      <w:start w:val="1"/>
      <w:numFmt w:val="bullet"/>
      <w:lvlText w:val="–"/>
      <w:lvlJc w:val="left"/>
      <w:pPr>
        <w:tabs>
          <w:tab w:val="num" w:pos="4320"/>
        </w:tabs>
        <w:ind w:left="4320" w:hanging="360"/>
      </w:pPr>
      <w:rPr>
        <w:rFonts w:ascii="Arial" w:hAnsi="Arial" w:hint="default"/>
      </w:rPr>
    </w:lvl>
    <w:lvl w:ilvl="6" w:tplc="D55A7976" w:tentative="1">
      <w:start w:val="1"/>
      <w:numFmt w:val="bullet"/>
      <w:lvlText w:val="–"/>
      <w:lvlJc w:val="left"/>
      <w:pPr>
        <w:tabs>
          <w:tab w:val="num" w:pos="5040"/>
        </w:tabs>
        <w:ind w:left="5040" w:hanging="360"/>
      </w:pPr>
      <w:rPr>
        <w:rFonts w:ascii="Arial" w:hAnsi="Arial" w:hint="default"/>
      </w:rPr>
    </w:lvl>
    <w:lvl w:ilvl="7" w:tplc="2B721C9A" w:tentative="1">
      <w:start w:val="1"/>
      <w:numFmt w:val="bullet"/>
      <w:lvlText w:val="–"/>
      <w:lvlJc w:val="left"/>
      <w:pPr>
        <w:tabs>
          <w:tab w:val="num" w:pos="5760"/>
        </w:tabs>
        <w:ind w:left="5760" w:hanging="360"/>
      </w:pPr>
      <w:rPr>
        <w:rFonts w:ascii="Arial" w:hAnsi="Arial" w:hint="default"/>
      </w:rPr>
    </w:lvl>
    <w:lvl w:ilvl="8" w:tplc="BF60774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8E701D0"/>
    <w:multiLevelType w:val="hybridMultilevel"/>
    <w:tmpl w:val="7E6A44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CD655B"/>
    <w:multiLevelType w:val="hybridMultilevel"/>
    <w:tmpl w:val="EA7AFB62"/>
    <w:numStyleLink w:val="ImportedStyle2"/>
  </w:abstractNum>
  <w:abstractNum w:abstractNumId="19" w15:restartNumberingAfterBreak="0">
    <w:nsid w:val="4D260069"/>
    <w:multiLevelType w:val="hybridMultilevel"/>
    <w:tmpl w:val="823A67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C96DBB"/>
    <w:multiLevelType w:val="hybridMultilevel"/>
    <w:tmpl w:val="CF0C91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0C5AE5"/>
    <w:multiLevelType w:val="hybridMultilevel"/>
    <w:tmpl w:val="BC1E49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4C2C15"/>
    <w:multiLevelType w:val="hybridMultilevel"/>
    <w:tmpl w:val="BC1E49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C83583"/>
    <w:multiLevelType w:val="hybridMultilevel"/>
    <w:tmpl w:val="4F4C8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634C1A"/>
    <w:multiLevelType w:val="hybridMultilevel"/>
    <w:tmpl w:val="9AEAACD8"/>
    <w:lvl w:ilvl="0" w:tplc="5462CECA">
      <w:start w:val="1"/>
      <w:numFmt w:val="bullet"/>
      <w:lvlText w:val="•"/>
      <w:lvlJc w:val="left"/>
      <w:pPr>
        <w:tabs>
          <w:tab w:val="num" w:pos="720"/>
        </w:tabs>
        <w:ind w:left="720" w:hanging="360"/>
      </w:pPr>
      <w:rPr>
        <w:rFonts w:ascii="Arial" w:hAnsi="Arial" w:hint="default"/>
      </w:rPr>
    </w:lvl>
    <w:lvl w:ilvl="1" w:tplc="9A52CDA2" w:tentative="1">
      <w:start w:val="1"/>
      <w:numFmt w:val="bullet"/>
      <w:lvlText w:val="•"/>
      <w:lvlJc w:val="left"/>
      <w:pPr>
        <w:tabs>
          <w:tab w:val="num" w:pos="1440"/>
        </w:tabs>
        <w:ind w:left="1440" w:hanging="360"/>
      </w:pPr>
      <w:rPr>
        <w:rFonts w:ascii="Arial" w:hAnsi="Arial" w:hint="default"/>
      </w:rPr>
    </w:lvl>
    <w:lvl w:ilvl="2" w:tplc="49EEB12E" w:tentative="1">
      <w:start w:val="1"/>
      <w:numFmt w:val="bullet"/>
      <w:lvlText w:val="•"/>
      <w:lvlJc w:val="left"/>
      <w:pPr>
        <w:tabs>
          <w:tab w:val="num" w:pos="2160"/>
        </w:tabs>
        <w:ind w:left="2160" w:hanging="360"/>
      </w:pPr>
      <w:rPr>
        <w:rFonts w:ascii="Arial" w:hAnsi="Arial" w:hint="default"/>
      </w:rPr>
    </w:lvl>
    <w:lvl w:ilvl="3" w:tplc="AFC6E50E" w:tentative="1">
      <w:start w:val="1"/>
      <w:numFmt w:val="bullet"/>
      <w:lvlText w:val="•"/>
      <w:lvlJc w:val="left"/>
      <w:pPr>
        <w:tabs>
          <w:tab w:val="num" w:pos="2880"/>
        </w:tabs>
        <w:ind w:left="2880" w:hanging="360"/>
      </w:pPr>
      <w:rPr>
        <w:rFonts w:ascii="Arial" w:hAnsi="Arial" w:hint="default"/>
      </w:rPr>
    </w:lvl>
    <w:lvl w:ilvl="4" w:tplc="EF6A46D0" w:tentative="1">
      <w:start w:val="1"/>
      <w:numFmt w:val="bullet"/>
      <w:lvlText w:val="•"/>
      <w:lvlJc w:val="left"/>
      <w:pPr>
        <w:tabs>
          <w:tab w:val="num" w:pos="3600"/>
        </w:tabs>
        <w:ind w:left="3600" w:hanging="360"/>
      </w:pPr>
      <w:rPr>
        <w:rFonts w:ascii="Arial" w:hAnsi="Arial" w:hint="default"/>
      </w:rPr>
    </w:lvl>
    <w:lvl w:ilvl="5" w:tplc="0E46FE1A" w:tentative="1">
      <w:start w:val="1"/>
      <w:numFmt w:val="bullet"/>
      <w:lvlText w:val="•"/>
      <w:lvlJc w:val="left"/>
      <w:pPr>
        <w:tabs>
          <w:tab w:val="num" w:pos="4320"/>
        </w:tabs>
        <w:ind w:left="4320" w:hanging="360"/>
      </w:pPr>
      <w:rPr>
        <w:rFonts w:ascii="Arial" w:hAnsi="Arial" w:hint="default"/>
      </w:rPr>
    </w:lvl>
    <w:lvl w:ilvl="6" w:tplc="D8BC53EC" w:tentative="1">
      <w:start w:val="1"/>
      <w:numFmt w:val="bullet"/>
      <w:lvlText w:val="•"/>
      <w:lvlJc w:val="left"/>
      <w:pPr>
        <w:tabs>
          <w:tab w:val="num" w:pos="5040"/>
        </w:tabs>
        <w:ind w:left="5040" w:hanging="360"/>
      </w:pPr>
      <w:rPr>
        <w:rFonts w:ascii="Arial" w:hAnsi="Arial" w:hint="default"/>
      </w:rPr>
    </w:lvl>
    <w:lvl w:ilvl="7" w:tplc="0ED42D3C" w:tentative="1">
      <w:start w:val="1"/>
      <w:numFmt w:val="bullet"/>
      <w:lvlText w:val="•"/>
      <w:lvlJc w:val="left"/>
      <w:pPr>
        <w:tabs>
          <w:tab w:val="num" w:pos="5760"/>
        </w:tabs>
        <w:ind w:left="5760" w:hanging="360"/>
      </w:pPr>
      <w:rPr>
        <w:rFonts w:ascii="Arial" w:hAnsi="Arial" w:hint="default"/>
      </w:rPr>
    </w:lvl>
    <w:lvl w:ilvl="8" w:tplc="CAA0DE5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F4930E4"/>
    <w:multiLevelType w:val="hybridMultilevel"/>
    <w:tmpl w:val="CEEAA6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77243E"/>
    <w:multiLevelType w:val="hybridMultilevel"/>
    <w:tmpl w:val="F19A3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1777E7"/>
    <w:multiLevelType w:val="hybridMultilevel"/>
    <w:tmpl w:val="6644A7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661E2A"/>
    <w:multiLevelType w:val="hybridMultilevel"/>
    <w:tmpl w:val="F48664A8"/>
    <w:lvl w:ilvl="0" w:tplc="540E3014">
      <w:start w:val="1"/>
      <w:numFmt w:val="decimal"/>
      <w:lvlText w:val="RQ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DB194A"/>
    <w:multiLevelType w:val="hybridMultilevel"/>
    <w:tmpl w:val="BC1E49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1B448F"/>
    <w:multiLevelType w:val="hybridMultilevel"/>
    <w:tmpl w:val="BCBE4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C96C5A"/>
    <w:multiLevelType w:val="hybridMultilevel"/>
    <w:tmpl w:val="FC807130"/>
    <w:lvl w:ilvl="0" w:tplc="08090019">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34564A2"/>
    <w:multiLevelType w:val="hybridMultilevel"/>
    <w:tmpl w:val="2FDA3C38"/>
    <w:numStyleLink w:val="ImportedStyle1"/>
  </w:abstractNum>
  <w:abstractNum w:abstractNumId="33" w15:restartNumberingAfterBreak="0">
    <w:nsid w:val="7E9730D4"/>
    <w:multiLevelType w:val="hybridMultilevel"/>
    <w:tmpl w:val="D646D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1A52CF"/>
    <w:multiLevelType w:val="hybridMultilevel"/>
    <w:tmpl w:val="F54AACCE"/>
    <w:lvl w:ilvl="0" w:tplc="9D7C1CA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32"/>
  </w:num>
  <w:num w:numId="3">
    <w:abstractNumId w:val="1"/>
  </w:num>
  <w:num w:numId="4">
    <w:abstractNumId w:val="18"/>
  </w:num>
  <w:num w:numId="5">
    <w:abstractNumId w:val="26"/>
  </w:num>
  <w:num w:numId="6">
    <w:abstractNumId w:val="31"/>
  </w:num>
  <w:num w:numId="7">
    <w:abstractNumId w:val="0"/>
  </w:num>
  <w:num w:numId="8">
    <w:abstractNumId w:val="8"/>
  </w:num>
  <w:num w:numId="9">
    <w:abstractNumId w:val="25"/>
  </w:num>
  <w:num w:numId="10">
    <w:abstractNumId w:val="10"/>
  </w:num>
  <w:num w:numId="11">
    <w:abstractNumId w:val="30"/>
  </w:num>
  <w:num w:numId="12">
    <w:abstractNumId w:val="12"/>
  </w:num>
  <w:num w:numId="13">
    <w:abstractNumId w:val="4"/>
  </w:num>
  <w:num w:numId="14">
    <w:abstractNumId w:val="6"/>
  </w:num>
  <w:num w:numId="15">
    <w:abstractNumId w:val="17"/>
  </w:num>
  <w:num w:numId="16">
    <w:abstractNumId w:val="22"/>
  </w:num>
  <w:num w:numId="17">
    <w:abstractNumId w:val="7"/>
  </w:num>
  <w:num w:numId="18">
    <w:abstractNumId w:val="23"/>
  </w:num>
  <w:num w:numId="19">
    <w:abstractNumId w:val="2"/>
  </w:num>
  <w:num w:numId="20">
    <w:abstractNumId w:val="16"/>
  </w:num>
  <w:num w:numId="21">
    <w:abstractNumId w:val="24"/>
  </w:num>
  <w:num w:numId="22">
    <w:abstractNumId w:val="33"/>
  </w:num>
  <w:num w:numId="23">
    <w:abstractNumId w:val="20"/>
  </w:num>
  <w:num w:numId="24">
    <w:abstractNumId w:val="28"/>
  </w:num>
  <w:num w:numId="25">
    <w:abstractNumId w:val="5"/>
  </w:num>
  <w:num w:numId="26">
    <w:abstractNumId w:val="11"/>
  </w:num>
  <w:num w:numId="27">
    <w:abstractNumId w:val="34"/>
  </w:num>
  <w:num w:numId="28">
    <w:abstractNumId w:val="13"/>
  </w:num>
  <w:num w:numId="29">
    <w:abstractNumId w:val="15"/>
  </w:num>
  <w:num w:numId="30">
    <w:abstractNumId w:val="19"/>
  </w:num>
  <w:num w:numId="31">
    <w:abstractNumId w:val="3"/>
  </w:num>
  <w:num w:numId="32">
    <w:abstractNumId w:val="9"/>
  </w:num>
  <w:num w:numId="33">
    <w:abstractNumId w:val="29"/>
  </w:num>
  <w:num w:numId="34">
    <w:abstractNumId w:val="27"/>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D98"/>
    <w:rsid w:val="00033A42"/>
    <w:rsid w:val="00037634"/>
    <w:rsid w:val="00071E9A"/>
    <w:rsid w:val="00093F50"/>
    <w:rsid w:val="000A4873"/>
    <w:rsid w:val="000A6C1F"/>
    <w:rsid w:val="000F2CD5"/>
    <w:rsid w:val="00101E7E"/>
    <w:rsid w:val="0010534D"/>
    <w:rsid w:val="001144AA"/>
    <w:rsid w:val="0012067D"/>
    <w:rsid w:val="001327B0"/>
    <w:rsid w:val="00166D2B"/>
    <w:rsid w:val="001750DC"/>
    <w:rsid w:val="001B1E24"/>
    <w:rsid w:val="001B6D4D"/>
    <w:rsid w:val="001F0270"/>
    <w:rsid w:val="0020720D"/>
    <w:rsid w:val="00217911"/>
    <w:rsid w:val="002272AE"/>
    <w:rsid w:val="002532A2"/>
    <w:rsid w:val="00293B12"/>
    <w:rsid w:val="002976E8"/>
    <w:rsid w:val="002A15BB"/>
    <w:rsid w:val="002B7CEF"/>
    <w:rsid w:val="002C3F88"/>
    <w:rsid w:val="002D5250"/>
    <w:rsid w:val="002E5386"/>
    <w:rsid w:val="002E792A"/>
    <w:rsid w:val="003107C4"/>
    <w:rsid w:val="00317CC2"/>
    <w:rsid w:val="00327595"/>
    <w:rsid w:val="00333592"/>
    <w:rsid w:val="00342418"/>
    <w:rsid w:val="0036552A"/>
    <w:rsid w:val="00367E8F"/>
    <w:rsid w:val="003708B8"/>
    <w:rsid w:val="00382C37"/>
    <w:rsid w:val="00390936"/>
    <w:rsid w:val="00391D6C"/>
    <w:rsid w:val="003B2C05"/>
    <w:rsid w:val="003C09DF"/>
    <w:rsid w:val="003C24EB"/>
    <w:rsid w:val="003C336A"/>
    <w:rsid w:val="003C74B9"/>
    <w:rsid w:val="003D6095"/>
    <w:rsid w:val="003F2B02"/>
    <w:rsid w:val="004044D5"/>
    <w:rsid w:val="00411213"/>
    <w:rsid w:val="00417B73"/>
    <w:rsid w:val="00420FA3"/>
    <w:rsid w:val="0042487D"/>
    <w:rsid w:val="004264FF"/>
    <w:rsid w:val="00437583"/>
    <w:rsid w:val="00445C0F"/>
    <w:rsid w:val="00452DB7"/>
    <w:rsid w:val="0048174B"/>
    <w:rsid w:val="004905E0"/>
    <w:rsid w:val="004A3D1B"/>
    <w:rsid w:val="004B786F"/>
    <w:rsid w:val="004C7FA8"/>
    <w:rsid w:val="004D647A"/>
    <w:rsid w:val="004E71D3"/>
    <w:rsid w:val="004F2F9D"/>
    <w:rsid w:val="00514978"/>
    <w:rsid w:val="005219FF"/>
    <w:rsid w:val="00551374"/>
    <w:rsid w:val="0059379F"/>
    <w:rsid w:val="00594F47"/>
    <w:rsid w:val="005A347A"/>
    <w:rsid w:val="005B61E1"/>
    <w:rsid w:val="005C1A0B"/>
    <w:rsid w:val="005F014C"/>
    <w:rsid w:val="005F17FA"/>
    <w:rsid w:val="005F2DF5"/>
    <w:rsid w:val="006008AB"/>
    <w:rsid w:val="00602BBA"/>
    <w:rsid w:val="00626485"/>
    <w:rsid w:val="00652642"/>
    <w:rsid w:val="0066041E"/>
    <w:rsid w:val="00661F49"/>
    <w:rsid w:val="00662DB9"/>
    <w:rsid w:val="00691E88"/>
    <w:rsid w:val="006A1611"/>
    <w:rsid w:val="006C14AE"/>
    <w:rsid w:val="006E2C34"/>
    <w:rsid w:val="006F4CEC"/>
    <w:rsid w:val="00723ED8"/>
    <w:rsid w:val="00724430"/>
    <w:rsid w:val="00742BC7"/>
    <w:rsid w:val="0078548E"/>
    <w:rsid w:val="00785723"/>
    <w:rsid w:val="007A7B79"/>
    <w:rsid w:val="007E7AF7"/>
    <w:rsid w:val="0082070E"/>
    <w:rsid w:val="00876268"/>
    <w:rsid w:val="00882B99"/>
    <w:rsid w:val="00887F12"/>
    <w:rsid w:val="008C3517"/>
    <w:rsid w:val="008C6B8F"/>
    <w:rsid w:val="008F15DD"/>
    <w:rsid w:val="008F684C"/>
    <w:rsid w:val="009102E8"/>
    <w:rsid w:val="00931D3F"/>
    <w:rsid w:val="0093552F"/>
    <w:rsid w:val="0094337B"/>
    <w:rsid w:val="00947068"/>
    <w:rsid w:val="00955D03"/>
    <w:rsid w:val="009A350C"/>
    <w:rsid w:val="009A43AE"/>
    <w:rsid w:val="009B07BE"/>
    <w:rsid w:val="009D42E2"/>
    <w:rsid w:val="009D7FD1"/>
    <w:rsid w:val="009E7C70"/>
    <w:rsid w:val="00A078D8"/>
    <w:rsid w:val="00A16C85"/>
    <w:rsid w:val="00A2578F"/>
    <w:rsid w:val="00A54668"/>
    <w:rsid w:val="00A60C60"/>
    <w:rsid w:val="00A63DEC"/>
    <w:rsid w:val="00A75EE9"/>
    <w:rsid w:val="00A811BB"/>
    <w:rsid w:val="00A84942"/>
    <w:rsid w:val="00A90AFA"/>
    <w:rsid w:val="00A9577A"/>
    <w:rsid w:val="00A979E9"/>
    <w:rsid w:val="00AC4D1A"/>
    <w:rsid w:val="00AD1645"/>
    <w:rsid w:val="00AD346D"/>
    <w:rsid w:val="00AE0A6B"/>
    <w:rsid w:val="00B062F7"/>
    <w:rsid w:val="00B53F6B"/>
    <w:rsid w:val="00B569BB"/>
    <w:rsid w:val="00B63E34"/>
    <w:rsid w:val="00B82F15"/>
    <w:rsid w:val="00BB1812"/>
    <w:rsid w:val="00BE3D7F"/>
    <w:rsid w:val="00C0179B"/>
    <w:rsid w:val="00C04296"/>
    <w:rsid w:val="00C15837"/>
    <w:rsid w:val="00C23AB7"/>
    <w:rsid w:val="00C31F41"/>
    <w:rsid w:val="00C71171"/>
    <w:rsid w:val="00C92AF4"/>
    <w:rsid w:val="00CB27AA"/>
    <w:rsid w:val="00CC74C6"/>
    <w:rsid w:val="00CE4D98"/>
    <w:rsid w:val="00CE66B9"/>
    <w:rsid w:val="00CF27AB"/>
    <w:rsid w:val="00CF4739"/>
    <w:rsid w:val="00CF7F4F"/>
    <w:rsid w:val="00D41286"/>
    <w:rsid w:val="00D54D51"/>
    <w:rsid w:val="00D55320"/>
    <w:rsid w:val="00D621DA"/>
    <w:rsid w:val="00D645E9"/>
    <w:rsid w:val="00DA71D7"/>
    <w:rsid w:val="00DB4525"/>
    <w:rsid w:val="00DE7ED6"/>
    <w:rsid w:val="00E172FB"/>
    <w:rsid w:val="00E23900"/>
    <w:rsid w:val="00E52F0A"/>
    <w:rsid w:val="00E567B4"/>
    <w:rsid w:val="00E93A5F"/>
    <w:rsid w:val="00EA1081"/>
    <w:rsid w:val="00EB1972"/>
    <w:rsid w:val="00EC27FF"/>
    <w:rsid w:val="00ED1428"/>
    <w:rsid w:val="00ED3831"/>
    <w:rsid w:val="00EE09F8"/>
    <w:rsid w:val="00EE23C0"/>
    <w:rsid w:val="00EE44E7"/>
    <w:rsid w:val="00EF4463"/>
    <w:rsid w:val="00F37D6B"/>
    <w:rsid w:val="00F514F7"/>
    <w:rsid w:val="00F5293F"/>
    <w:rsid w:val="00F7378C"/>
    <w:rsid w:val="00FA4CA4"/>
    <w:rsid w:val="00FA626F"/>
    <w:rsid w:val="00FD4ADD"/>
    <w:rsid w:val="00FF2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1F698"/>
  <w15:docId w15:val="{1E0F4568-C768-41C3-B155-9A375758C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74B9"/>
    <w:rPr>
      <w:sz w:val="24"/>
      <w:szCs w:val="24"/>
      <w:lang w:val="en-US" w:eastAsia="en-US"/>
    </w:rPr>
  </w:style>
  <w:style w:type="paragraph" w:styleId="Heading1">
    <w:name w:val="heading 1"/>
    <w:basedOn w:val="Normal"/>
    <w:next w:val="Normal"/>
    <w:link w:val="Heading1Char"/>
    <w:uiPriority w:val="9"/>
    <w:qFormat/>
    <w:rsid w:val="005B61E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outlineLvl w:val="0"/>
    </w:pPr>
    <w:rPr>
      <w:rFonts w:eastAsiaTheme="majorEastAsia" w:cstheme="majorBidi"/>
      <w:b/>
      <w:bCs/>
      <w:sz w:val="28"/>
      <w:szCs w:val="28"/>
      <w:bdr w:val="none" w:sz="0" w:space="0" w:color="auto"/>
      <w:lang w:val="en-GB" w:eastAsia="en-GB"/>
    </w:rPr>
  </w:style>
  <w:style w:type="paragraph" w:styleId="Heading2">
    <w:name w:val="heading 2"/>
    <w:basedOn w:val="Normal"/>
    <w:next w:val="Normal"/>
    <w:link w:val="Heading2Char"/>
    <w:uiPriority w:val="9"/>
    <w:semiHidden/>
    <w:unhideWhenUsed/>
    <w:qFormat/>
    <w:rsid w:val="005B61E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6" w:lineRule="auto"/>
      <w:outlineLvl w:val="1"/>
    </w:pPr>
    <w:rPr>
      <w:rFonts w:asciiTheme="majorHAnsi" w:eastAsiaTheme="majorEastAsia" w:hAnsiTheme="majorHAnsi" w:cstheme="majorBidi"/>
      <w:color w:val="365F91" w:themeColor="accent1" w:themeShade="BF"/>
      <w:sz w:val="26"/>
      <w:szCs w:val="26"/>
      <w:bdr w:val="none" w:sz="0" w:space="0" w:color="auto"/>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C74B9"/>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link w:val="FooterChar"/>
    <w:uiPriority w:val="99"/>
    <w:rsid w:val="003C74B9"/>
    <w:pPr>
      <w:tabs>
        <w:tab w:val="center" w:pos="4513"/>
        <w:tab w:val="right" w:pos="9026"/>
      </w:tabs>
    </w:pPr>
    <w:rPr>
      <w:rFonts w:ascii="Calibri" w:eastAsia="Calibri" w:hAnsi="Calibri" w:cs="Calibri"/>
      <w:color w:val="000000"/>
      <w:sz w:val="22"/>
      <w:szCs w:val="22"/>
      <w:u w:color="000000"/>
      <w:lang w:val="en-US"/>
    </w:rPr>
  </w:style>
  <w:style w:type="paragraph" w:customStyle="1" w:styleId="Body">
    <w:name w:val="Body"/>
    <w:pPr>
      <w:spacing w:after="200" w:line="276" w:lineRule="auto"/>
    </w:pPr>
    <w:rPr>
      <w:rFonts w:ascii="Calibri" w:eastAsia="Calibri" w:hAnsi="Calibri" w:cs="Calibri"/>
      <w:color w:val="000000"/>
      <w:sz w:val="22"/>
      <w:szCs w:val="22"/>
      <w:u w:color="000000"/>
      <w:lang w:val="en-US"/>
    </w:rPr>
  </w:style>
  <w:style w:type="paragraph" w:customStyle="1" w:styleId="Affiliation">
    <w:name w:val="Affiliation"/>
    <w:qFormat/>
    <w:rsid w:val="003C74B9"/>
    <w:pPr>
      <w:spacing w:before="240" w:line="360" w:lineRule="auto"/>
    </w:pPr>
    <w:rPr>
      <w:rFonts w:eastAsia="Times New Roman"/>
      <w:i/>
      <w:iCs/>
      <w:color w:val="000000"/>
      <w:sz w:val="24"/>
      <w:szCs w:val="24"/>
      <w:u w:color="000000"/>
      <w:lang w:val="en-US"/>
    </w:rPr>
  </w:style>
  <w:style w:type="numbering" w:customStyle="1" w:styleId="ImportedStyle1">
    <w:name w:val="Imported Style 1"/>
    <w:pPr>
      <w:numPr>
        <w:numId w:val="1"/>
      </w:numPr>
    </w:pPr>
  </w:style>
  <w:style w:type="paragraph" w:customStyle="1" w:styleId="Correspondencedetails">
    <w:name w:val="Correspondence details"/>
    <w:qFormat/>
    <w:rsid w:val="003C74B9"/>
    <w:pPr>
      <w:spacing w:before="240" w:line="360" w:lineRule="auto"/>
    </w:pPr>
    <w:rPr>
      <w:rFonts w:cs="Arial Unicode MS"/>
      <w:color w:val="000000"/>
      <w:sz w:val="24"/>
      <w:szCs w:val="24"/>
      <w:u w:color="000000"/>
      <w:lang w:val="en-US"/>
    </w:rPr>
  </w:style>
  <w:style w:type="paragraph" w:customStyle="1" w:styleId="Heading">
    <w:name w:val="Heading"/>
    <w:next w:val="Body"/>
    <w:pPr>
      <w:keepNext/>
      <w:keepLines/>
      <w:spacing w:before="480" w:line="276" w:lineRule="auto"/>
      <w:outlineLvl w:val="0"/>
    </w:pPr>
    <w:rPr>
      <w:rFonts w:cs="Arial Unicode MS"/>
      <w:b/>
      <w:bCs/>
      <w:color w:val="000000"/>
      <w:sz w:val="28"/>
      <w:szCs w:val="28"/>
      <w:u w:color="000000"/>
      <w:lang w:val="de-DE"/>
    </w:rPr>
  </w:style>
  <w:style w:type="paragraph" w:customStyle="1" w:styleId="Default">
    <w:name w:val="Default"/>
    <w:rsid w:val="003C74B9"/>
    <w:rPr>
      <w:rFonts w:ascii="Helvetica" w:eastAsia="Helvetica" w:hAnsi="Helvetica" w:cs="Helvetica"/>
      <w:color w:val="000000"/>
      <w:sz w:val="22"/>
      <w:szCs w:val="22"/>
    </w:rPr>
  </w:style>
  <w:style w:type="paragraph" w:styleId="ListParagraph">
    <w:name w:val="List Paragraph"/>
    <w:uiPriority w:val="34"/>
    <w:qFormat/>
    <w:rsid w:val="003C74B9"/>
    <w:pPr>
      <w:spacing w:after="200" w:line="276" w:lineRule="auto"/>
      <w:ind w:left="720"/>
    </w:pPr>
    <w:rPr>
      <w:rFonts w:ascii="Calibri" w:eastAsia="Calibri" w:hAnsi="Calibri" w:cs="Calibri"/>
      <w:color w:val="000000"/>
      <w:sz w:val="22"/>
      <w:szCs w:val="22"/>
      <w:u w:color="000000"/>
      <w:lang w:val="en-US"/>
    </w:rPr>
  </w:style>
  <w:style w:type="numbering" w:customStyle="1" w:styleId="ImportedStyle2">
    <w:name w:val="Imported Style 2"/>
    <w:pPr>
      <w:numPr>
        <w:numId w:val="3"/>
      </w:numPr>
    </w:pPr>
  </w:style>
  <w:style w:type="paragraph" w:styleId="CommentText">
    <w:name w:val="annotation text"/>
    <w:basedOn w:val="Normal"/>
    <w:link w:val="CommentTextChar"/>
    <w:uiPriority w:val="99"/>
    <w:unhideWhenUsed/>
    <w:rsid w:val="003C74B9"/>
    <w:rPr>
      <w:sz w:val="20"/>
      <w:szCs w:val="20"/>
    </w:rPr>
  </w:style>
  <w:style w:type="character" w:customStyle="1" w:styleId="CommentTextChar">
    <w:name w:val="Comment Text Char"/>
    <w:basedOn w:val="DefaultParagraphFont"/>
    <w:link w:val="CommentText"/>
    <w:uiPriority w:val="99"/>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C74B9"/>
    <w:rPr>
      <w:rFonts w:ascii="Tahoma" w:hAnsi="Tahoma" w:cs="Tahoma"/>
      <w:sz w:val="16"/>
      <w:szCs w:val="16"/>
    </w:rPr>
  </w:style>
  <w:style w:type="character" w:customStyle="1" w:styleId="BalloonTextChar">
    <w:name w:val="Balloon Text Char"/>
    <w:basedOn w:val="DefaultParagraphFont"/>
    <w:link w:val="BalloonText"/>
    <w:uiPriority w:val="99"/>
    <w:semiHidden/>
    <w:rsid w:val="002C3F88"/>
    <w:rPr>
      <w:rFonts w:ascii="Tahoma" w:hAnsi="Tahoma" w:cs="Tahoma"/>
      <w:sz w:val="16"/>
      <w:szCs w:val="16"/>
      <w:lang w:val="en-US" w:eastAsia="en-US"/>
    </w:rPr>
  </w:style>
  <w:style w:type="paragraph" w:styleId="CommentSubject">
    <w:name w:val="annotation subject"/>
    <w:basedOn w:val="CommentText"/>
    <w:next w:val="CommentText"/>
    <w:link w:val="CommentSubjectChar"/>
    <w:uiPriority w:val="99"/>
    <w:semiHidden/>
    <w:unhideWhenUsed/>
    <w:rsid w:val="003C74B9"/>
    <w:rPr>
      <w:b/>
      <w:bCs/>
    </w:rPr>
  </w:style>
  <w:style w:type="character" w:customStyle="1" w:styleId="CommentSubjectChar">
    <w:name w:val="Comment Subject Char"/>
    <w:basedOn w:val="CommentTextChar"/>
    <w:link w:val="CommentSubject"/>
    <w:uiPriority w:val="99"/>
    <w:semiHidden/>
    <w:rsid w:val="00D55320"/>
    <w:rPr>
      <w:b/>
      <w:bCs/>
      <w:lang w:val="en-US" w:eastAsia="en-US"/>
    </w:rPr>
  </w:style>
  <w:style w:type="character" w:styleId="LineNumber">
    <w:name w:val="line number"/>
    <w:basedOn w:val="DefaultParagraphFont"/>
    <w:uiPriority w:val="99"/>
    <w:semiHidden/>
    <w:unhideWhenUsed/>
    <w:rsid w:val="00EF4463"/>
  </w:style>
  <w:style w:type="character" w:customStyle="1" w:styleId="Heading1Char">
    <w:name w:val="Heading 1 Char"/>
    <w:basedOn w:val="DefaultParagraphFont"/>
    <w:link w:val="Heading1"/>
    <w:uiPriority w:val="9"/>
    <w:rsid w:val="005B61E1"/>
    <w:rPr>
      <w:rFonts w:eastAsiaTheme="majorEastAsia" w:cstheme="majorBidi"/>
      <w:b/>
      <w:bCs/>
      <w:sz w:val="28"/>
      <w:szCs w:val="28"/>
      <w:bdr w:val="none" w:sz="0" w:space="0" w:color="auto"/>
    </w:rPr>
  </w:style>
  <w:style w:type="character" w:customStyle="1" w:styleId="Heading2Char">
    <w:name w:val="Heading 2 Char"/>
    <w:basedOn w:val="DefaultParagraphFont"/>
    <w:link w:val="Heading2"/>
    <w:uiPriority w:val="9"/>
    <w:semiHidden/>
    <w:rsid w:val="005B61E1"/>
    <w:rPr>
      <w:rFonts w:asciiTheme="majorHAnsi" w:eastAsiaTheme="majorEastAsia" w:hAnsiTheme="majorHAnsi" w:cstheme="majorBidi"/>
      <w:color w:val="365F91" w:themeColor="accent1" w:themeShade="BF"/>
      <w:sz w:val="26"/>
      <w:szCs w:val="26"/>
      <w:bdr w:val="none" w:sz="0" w:space="0" w:color="auto"/>
    </w:rPr>
  </w:style>
  <w:style w:type="paragraph" w:customStyle="1" w:styleId="EndNoteBibliographyTitle">
    <w:name w:val="EndNote Bibliography Title"/>
    <w:basedOn w:val="Normal"/>
    <w:link w:val="EndNoteBibliographyTitleChar"/>
    <w:rsid w:val="005B61E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pPr>
    <w:rPr>
      <w:rFonts w:ascii="Calibri" w:eastAsiaTheme="minorEastAsia" w:hAnsi="Calibri" w:cstheme="minorBidi"/>
      <w:noProof/>
      <w:sz w:val="22"/>
      <w:szCs w:val="22"/>
      <w:bdr w:val="none" w:sz="0" w:space="0" w:color="auto"/>
      <w:lang w:eastAsia="en-GB"/>
    </w:rPr>
  </w:style>
  <w:style w:type="character" w:customStyle="1" w:styleId="EndNoteBibliographyTitleChar">
    <w:name w:val="EndNote Bibliography Title Char"/>
    <w:basedOn w:val="DefaultParagraphFont"/>
    <w:link w:val="EndNoteBibliographyTitle"/>
    <w:rsid w:val="005B61E1"/>
    <w:rPr>
      <w:rFonts w:ascii="Calibri" w:eastAsiaTheme="minorEastAsia" w:hAnsi="Calibri" w:cstheme="minorBidi"/>
      <w:noProof/>
      <w:sz w:val="22"/>
      <w:szCs w:val="22"/>
      <w:bdr w:val="none" w:sz="0" w:space="0" w:color="auto"/>
      <w:lang w:val="en-US"/>
    </w:rPr>
  </w:style>
  <w:style w:type="paragraph" w:customStyle="1" w:styleId="EndNoteBibliography">
    <w:name w:val="EndNote Bibliography"/>
    <w:basedOn w:val="Normal"/>
    <w:link w:val="EndNoteBibliographyChar"/>
    <w:rsid w:val="005B61E1"/>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Theme="minorEastAsia" w:hAnsi="Calibri" w:cstheme="minorBidi"/>
      <w:noProof/>
      <w:sz w:val="22"/>
      <w:szCs w:val="22"/>
      <w:bdr w:val="none" w:sz="0" w:space="0" w:color="auto"/>
      <w:lang w:eastAsia="en-GB"/>
    </w:rPr>
  </w:style>
  <w:style w:type="character" w:customStyle="1" w:styleId="EndNoteBibliographyChar">
    <w:name w:val="EndNote Bibliography Char"/>
    <w:basedOn w:val="DefaultParagraphFont"/>
    <w:link w:val="EndNoteBibliography"/>
    <w:rsid w:val="005B61E1"/>
    <w:rPr>
      <w:rFonts w:ascii="Calibri" w:eastAsiaTheme="minorEastAsia" w:hAnsi="Calibri" w:cstheme="minorBidi"/>
      <w:noProof/>
      <w:sz w:val="22"/>
      <w:szCs w:val="22"/>
      <w:bdr w:val="none" w:sz="0" w:space="0" w:color="auto"/>
      <w:lang w:val="en-US"/>
    </w:rPr>
  </w:style>
  <w:style w:type="table" w:styleId="TableGrid">
    <w:name w:val="Table Grid"/>
    <w:basedOn w:val="TableNormal"/>
    <w:uiPriority w:val="59"/>
    <w:rsid w:val="005B61E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B61E1"/>
  </w:style>
  <w:style w:type="character" w:styleId="Emphasis">
    <w:name w:val="Emphasis"/>
    <w:basedOn w:val="DefaultParagraphFont"/>
    <w:uiPriority w:val="20"/>
    <w:qFormat/>
    <w:rsid w:val="005B61E1"/>
    <w:rPr>
      <w:i/>
      <w:iCs/>
    </w:rPr>
  </w:style>
  <w:style w:type="paragraph" w:styleId="NormalWeb">
    <w:name w:val="Normal (Web)"/>
    <w:basedOn w:val="Normal"/>
    <w:uiPriority w:val="99"/>
    <w:semiHidden/>
    <w:unhideWhenUsed/>
    <w:rsid w:val="005B61E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PlaceholderText">
    <w:name w:val="Placeholder Text"/>
    <w:basedOn w:val="DefaultParagraphFont"/>
    <w:uiPriority w:val="99"/>
    <w:semiHidden/>
    <w:rsid w:val="005B61E1"/>
    <w:rPr>
      <w:color w:val="808080"/>
    </w:rPr>
  </w:style>
  <w:style w:type="table" w:styleId="LightShading">
    <w:name w:val="Light Shading"/>
    <w:basedOn w:val="TableNormal"/>
    <w:uiPriority w:val="60"/>
    <w:rsid w:val="005B61E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color w:val="000000" w:themeColor="text1" w:themeShade="BF"/>
      <w:sz w:val="22"/>
      <w:szCs w:val="22"/>
      <w:bdr w:val="none" w:sz="0" w:space="0" w:color="auto"/>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5B61E1"/>
    <w:rPr>
      <w:color w:val="FF00FF" w:themeColor="followedHyperlink"/>
      <w:u w:val="single"/>
    </w:rPr>
  </w:style>
  <w:style w:type="paragraph" w:styleId="Revision">
    <w:name w:val="Revision"/>
    <w:hidden/>
    <w:uiPriority w:val="99"/>
    <w:semiHidden/>
    <w:rsid w:val="005B61E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style>
  <w:style w:type="paragraph" w:styleId="Header">
    <w:name w:val="header"/>
    <w:basedOn w:val="Normal"/>
    <w:link w:val="HeaderChar"/>
    <w:uiPriority w:val="99"/>
    <w:unhideWhenUsed/>
    <w:rsid w:val="005B61E1"/>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pPr>
    <w:rPr>
      <w:rFonts w:asciiTheme="minorHAnsi" w:eastAsiaTheme="minorEastAsia" w:hAnsiTheme="minorHAnsi" w:cstheme="minorBidi"/>
      <w:sz w:val="22"/>
      <w:szCs w:val="22"/>
      <w:bdr w:val="none" w:sz="0" w:space="0" w:color="auto"/>
      <w:lang w:val="en-GB" w:eastAsia="en-GB"/>
    </w:rPr>
  </w:style>
  <w:style w:type="character" w:customStyle="1" w:styleId="HeaderChar">
    <w:name w:val="Header Char"/>
    <w:basedOn w:val="DefaultParagraphFont"/>
    <w:link w:val="Header"/>
    <w:uiPriority w:val="99"/>
    <w:rsid w:val="005B61E1"/>
    <w:rPr>
      <w:rFonts w:asciiTheme="minorHAnsi" w:eastAsiaTheme="minorEastAsia" w:hAnsiTheme="minorHAnsi" w:cstheme="minorBidi"/>
      <w:sz w:val="22"/>
      <w:szCs w:val="22"/>
      <w:bdr w:val="none" w:sz="0" w:space="0" w:color="auto"/>
    </w:rPr>
  </w:style>
  <w:style w:type="character" w:customStyle="1" w:styleId="FooterChar">
    <w:name w:val="Footer Char"/>
    <w:basedOn w:val="DefaultParagraphFont"/>
    <w:link w:val="Footer"/>
    <w:uiPriority w:val="99"/>
    <w:rsid w:val="005B61E1"/>
    <w:rPr>
      <w:rFonts w:ascii="Calibri" w:eastAsia="Calibri" w:hAnsi="Calibri" w:cs="Calibri"/>
      <w:color w:val="000000"/>
      <w:sz w:val="22"/>
      <w:szCs w:val="22"/>
      <w:u w:color="000000"/>
      <w:lang w:val="en-US"/>
    </w:rPr>
  </w:style>
  <w:style w:type="paragraph" w:styleId="Caption">
    <w:name w:val="caption"/>
    <w:basedOn w:val="Normal"/>
    <w:next w:val="Normal"/>
    <w:link w:val="CaptionChar"/>
    <w:uiPriority w:val="35"/>
    <w:unhideWhenUsed/>
    <w:qFormat/>
    <w:rsid w:val="005B61E1"/>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eastAsiaTheme="minorEastAsia" w:cstheme="minorBidi"/>
      <w:b/>
      <w:bCs/>
      <w:sz w:val="22"/>
      <w:szCs w:val="18"/>
      <w:bdr w:val="none" w:sz="0" w:space="0" w:color="auto"/>
      <w:lang w:val="en-GB" w:eastAsia="en-GB"/>
    </w:rPr>
  </w:style>
  <w:style w:type="paragraph" w:styleId="FootnoteText">
    <w:name w:val="footnote text"/>
    <w:basedOn w:val="Normal"/>
    <w:link w:val="FootnoteTextChar"/>
    <w:uiPriority w:val="99"/>
    <w:semiHidden/>
    <w:unhideWhenUsed/>
    <w:rsid w:val="005B61E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0"/>
      <w:szCs w:val="20"/>
      <w:bdr w:val="none" w:sz="0" w:space="0" w:color="auto"/>
      <w:lang w:val="en-GB" w:eastAsia="en-GB"/>
    </w:rPr>
  </w:style>
  <w:style w:type="character" w:customStyle="1" w:styleId="FootnoteTextChar">
    <w:name w:val="Footnote Text Char"/>
    <w:basedOn w:val="DefaultParagraphFont"/>
    <w:link w:val="FootnoteText"/>
    <w:uiPriority w:val="99"/>
    <w:semiHidden/>
    <w:rsid w:val="005B61E1"/>
    <w:rPr>
      <w:rFonts w:asciiTheme="minorHAnsi" w:eastAsiaTheme="minorEastAsia" w:hAnsiTheme="minorHAnsi" w:cstheme="minorBidi"/>
      <w:bdr w:val="none" w:sz="0" w:space="0" w:color="auto"/>
    </w:rPr>
  </w:style>
  <w:style w:type="character" w:styleId="FootnoteReference">
    <w:name w:val="footnote reference"/>
    <w:basedOn w:val="DefaultParagraphFont"/>
    <w:uiPriority w:val="99"/>
    <w:semiHidden/>
    <w:unhideWhenUsed/>
    <w:rsid w:val="005B61E1"/>
    <w:rPr>
      <w:vertAlign w:val="superscript"/>
    </w:rPr>
  </w:style>
  <w:style w:type="table" w:styleId="LightList">
    <w:name w:val="Light List"/>
    <w:basedOn w:val="TableNormal"/>
    <w:uiPriority w:val="61"/>
    <w:rsid w:val="005B61E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5B61E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rsid w:val="005B61E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CaptionChar">
    <w:name w:val="Caption Char"/>
    <w:basedOn w:val="DefaultParagraphFont"/>
    <w:link w:val="Caption"/>
    <w:uiPriority w:val="35"/>
    <w:rsid w:val="005B61E1"/>
    <w:rPr>
      <w:rFonts w:eastAsiaTheme="minorEastAsia" w:cstheme="minorBidi"/>
      <w:b/>
      <w:bCs/>
      <w:sz w:val="22"/>
      <w:szCs w:val="18"/>
      <w:bdr w:val="none" w:sz="0" w:space="0" w:color="auto"/>
    </w:rPr>
  </w:style>
  <w:style w:type="character" w:styleId="Strong">
    <w:name w:val="Strong"/>
    <w:basedOn w:val="DefaultParagraphFont"/>
    <w:uiPriority w:val="22"/>
    <w:qFormat/>
    <w:rsid w:val="005B61E1"/>
    <w:rPr>
      <w:b/>
      <w:bCs/>
    </w:rPr>
  </w:style>
  <w:style w:type="paragraph" w:styleId="TableofFigures">
    <w:name w:val="table of figures"/>
    <w:basedOn w:val="Normal"/>
    <w:next w:val="Normal"/>
    <w:uiPriority w:val="99"/>
    <w:unhideWhenUsed/>
    <w:rsid w:val="005B61E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Pr>
      <w:rFonts w:eastAsiaTheme="minorEastAsia" w:cstheme="minorBidi"/>
      <w:szCs w:val="22"/>
      <w:bdr w:val="none" w:sz="0" w:space="0" w:color="auto"/>
      <w:lang w:val="en-GB" w:eastAsia="en-GB"/>
    </w:rPr>
  </w:style>
  <w:style w:type="paragraph" w:styleId="TOCHeading">
    <w:name w:val="TOC Heading"/>
    <w:basedOn w:val="Heading1"/>
    <w:next w:val="Normal"/>
    <w:uiPriority w:val="39"/>
    <w:semiHidden/>
    <w:unhideWhenUsed/>
    <w:qFormat/>
    <w:rsid w:val="005B61E1"/>
    <w:p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5B61E1"/>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pPr>
    <w:rPr>
      <w:rFonts w:eastAsiaTheme="minorEastAsia" w:cstheme="minorBidi"/>
      <w:szCs w:val="22"/>
      <w:bdr w:val="none" w:sz="0" w:space="0" w:color="auto"/>
      <w:lang w:val="en-GB" w:eastAsia="en-GB"/>
    </w:rPr>
  </w:style>
  <w:style w:type="paragraph" w:styleId="HTMLPreformatted">
    <w:name w:val="HTML Preformatted"/>
    <w:basedOn w:val="Normal"/>
    <w:link w:val="HTMLPreformattedChar"/>
    <w:uiPriority w:val="99"/>
    <w:unhideWhenUsed/>
    <w:rsid w:val="005B61E1"/>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en-GB" w:eastAsia="en-GB"/>
    </w:rPr>
  </w:style>
  <w:style w:type="character" w:customStyle="1" w:styleId="HTMLPreformattedChar">
    <w:name w:val="HTML Preformatted Char"/>
    <w:basedOn w:val="DefaultParagraphFont"/>
    <w:link w:val="HTMLPreformatted"/>
    <w:uiPriority w:val="99"/>
    <w:rsid w:val="005B61E1"/>
    <w:rPr>
      <w:rFonts w:ascii="Courier New" w:eastAsia="Times New Roman" w:hAnsi="Courier New" w:cs="Courier New"/>
      <w:bdr w:val="none" w:sz="0" w:space="0" w:color="auto"/>
    </w:rPr>
  </w:style>
  <w:style w:type="character" w:styleId="SubtleEmphasis">
    <w:name w:val="Subtle Emphasis"/>
    <w:basedOn w:val="DefaultParagraphFont"/>
    <w:uiPriority w:val="19"/>
    <w:qFormat/>
    <w:rsid w:val="005B61E1"/>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71631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8BDF5-D1A0-4263-81A1-20C4D4EFF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24</Pages>
  <Words>6038</Words>
  <Characters>34419</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Imperial College</Company>
  <LinksUpToDate>false</LinksUpToDate>
  <CharactersWithSpaces>40377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Elliott, Paul</dc:creator>
  <cp:lastModifiedBy>Douglas, Pippa</cp:lastModifiedBy>
  <cp:revision>5</cp:revision>
  <dcterms:created xsi:type="dcterms:W3CDTF">2017-04-19T11:05:00Z</dcterms:created>
  <dcterms:modified xsi:type="dcterms:W3CDTF">2017-05-04T06:18:00Z</dcterms:modified>
</cp:coreProperties>
</file>