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47092" w14:textId="2DC6763D" w:rsidR="00D0066B" w:rsidRPr="00F701E1" w:rsidRDefault="001C7984" w:rsidP="00D0066B">
      <w:pPr>
        <w:spacing w:line="480" w:lineRule="auto"/>
        <w:jc w:val="center"/>
        <w:rPr>
          <w:rFonts w:asciiTheme="majorHAnsi" w:hAnsiTheme="majorHAnsi"/>
          <w:b/>
        </w:rPr>
      </w:pPr>
      <w:r w:rsidRPr="00F701E1">
        <w:rPr>
          <w:rFonts w:asciiTheme="majorHAnsi" w:hAnsiTheme="majorHAnsi"/>
          <w:b/>
        </w:rPr>
        <w:t xml:space="preserve">TITLE: </w:t>
      </w:r>
      <w:r w:rsidR="008C1718" w:rsidRPr="00F701E1">
        <w:rPr>
          <w:rFonts w:asciiTheme="majorHAnsi" w:hAnsiTheme="majorHAnsi"/>
          <w:b/>
        </w:rPr>
        <w:t>E</w:t>
      </w:r>
      <w:r w:rsidR="005C0BB0" w:rsidRPr="00F701E1">
        <w:rPr>
          <w:rFonts w:asciiTheme="majorHAnsi" w:hAnsiTheme="majorHAnsi"/>
          <w:b/>
        </w:rPr>
        <w:t xml:space="preserve">MERGENCY PRESENTATION OF </w:t>
      </w:r>
      <w:r w:rsidR="008C1718" w:rsidRPr="00F701E1">
        <w:rPr>
          <w:rFonts w:asciiTheme="majorHAnsi" w:hAnsiTheme="majorHAnsi"/>
          <w:b/>
        </w:rPr>
        <w:t>ESOPHAGO-GASTRIC CANCER:  PREDICTORS AND LONG-TERM PROGNOSIS</w:t>
      </w:r>
    </w:p>
    <w:p w14:paraId="32CF8089" w14:textId="5EC5126E" w:rsidR="00D0066B" w:rsidRPr="00F701E1" w:rsidRDefault="00D0066B" w:rsidP="00D0066B">
      <w:pPr>
        <w:spacing w:line="480" w:lineRule="auto"/>
        <w:jc w:val="both"/>
        <w:rPr>
          <w:rFonts w:asciiTheme="majorHAnsi" w:hAnsiTheme="majorHAnsi"/>
        </w:rPr>
      </w:pPr>
      <w:r w:rsidRPr="00F701E1">
        <w:rPr>
          <w:rFonts w:asciiTheme="majorHAnsi" w:hAnsiTheme="majorHAnsi"/>
        </w:rPr>
        <w:t>Sheraz R. Markar</w:t>
      </w:r>
      <w:r w:rsidRPr="00F701E1">
        <w:rPr>
          <w:rFonts w:asciiTheme="majorHAnsi" w:hAnsiTheme="majorHAnsi"/>
          <w:vertAlign w:val="superscript"/>
        </w:rPr>
        <w:t>1</w:t>
      </w:r>
      <w:r w:rsidRPr="00F701E1">
        <w:rPr>
          <w:rFonts w:asciiTheme="majorHAnsi" w:hAnsiTheme="majorHAnsi"/>
        </w:rPr>
        <w:t>,</w:t>
      </w:r>
      <w:r w:rsidR="00B506B6" w:rsidRPr="00F701E1">
        <w:rPr>
          <w:rFonts w:asciiTheme="majorHAnsi" w:hAnsiTheme="majorHAnsi"/>
        </w:rPr>
        <w:t xml:space="preserve"> Hugh Mackenzie</w:t>
      </w:r>
      <w:r w:rsidR="00B506B6" w:rsidRPr="00F701E1">
        <w:rPr>
          <w:rFonts w:asciiTheme="majorHAnsi" w:hAnsiTheme="majorHAnsi"/>
          <w:vertAlign w:val="superscript"/>
        </w:rPr>
        <w:t>1</w:t>
      </w:r>
      <w:r w:rsidR="00B506B6" w:rsidRPr="00F701E1">
        <w:rPr>
          <w:rFonts w:asciiTheme="majorHAnsi" w:hAnsiTheme="majorHAnsi"/>
        </w:rPr>
        <w:t>,</w:t>
      </w:r>
      <w:r w:rsidR="001C7984" w:rsidRPr="00F701E1">
        <w:rPr>
          <w:rFonts w:asciiTheme="majorHAnsi" w:hAnsiTheme="majorHAnsi"/>
        </w:rPr>
        <w:t xml:space="preserve"> Sara Jemal</w:t>
      </w:r>
      <w:r w:rsidR="001C7984" w:rsidRPr="00F701E1">
        <w:rPr>
          <w:rFonts w:asciiTheme="majorHAnsi" w:hAnsiTheme="majorHAnsi"/>
          <w:vertAlign w:val="superscript"/>
        </w:rPr>
        <w:t>1</w:t>
      </w:r>
      <w:r w:rsidR="001C7984" w:rsidRPr="00F701E1">
        <w:rPr>
          <w:rFonts w:asciiTheme="majorHAnsi" w:hAnsiTheme="majorHAnsi"/>
        </w:rPr>
        <w:t>,</w:t>
      </w:r>
      <w:r w:rsidRPr="00F701E1">
        <w:rPr>
          <w:rFonts w:asciiTheme="majorHAnsi" w:hAnsiTheme="majorHAnsi"/>
        </w:rPr>
        <w:t xml:space="preserve"> Omar Faiz</w:t>
      </w:r>
      <w:r w:rsidR="00060512" w:rsidRPr="00F701E1">
        <w:rPr>
          <w:rFonts w:asciiTheme="majorHAnsi" w:hAnsiTheme="majorHAnsi"/>
          <w:vertAlign w:val="superscript"/>
        </w:rPr>
        <w:t>1</w:t>
      </w:r>
      <w:proofErr w:type="gramStart"/>
      <w:r w:rsidR="00060512" w:rsidRPr="00F701E1">
        <w:rPr>
          <w:rFonts w:asciiTheme="majorHAnsi" w:hAnsiTheme="majorHAnsi"/>
        </w:rPr>
        <w:t>,</w:t>
      </w:r>
      <w:r w:rsidRPr="00F701E1">
        <w:rPr>
          <w:rFonts w:asciiTheme="majorHAnsi" w:hAnsiTheme="majorHAnsi"/>
          <w:vertAlign w:val="superscript"/>
        </w:rPr>
        <w:t>2</w:t>
      </w:r>
      <w:proofErr w:type="gramEnd"/>
      <w:r w:rsidRPr="00F701E1">
        <w:rPr>
          <w:rFonts w:asciiTheme="majorHAnsi" w:hAnsiTheme="majorHAnsi"/>
        </w:rPr>
        <w:t>,</w:t>
      </w:r>
      <w:r w:rsidR="003D046F" w:rsidRPr="00F701E1">
        <w:rPr>
          <w:rFonts w:asciiTheme="majorHAnsi" w:hAnsiTheme="majorHAnsi"/>
        </w:rPr>
        <w:t xml:space="preserve"> David Cunningham</w:t>
      </w:r>
      <w:r w:rsidR="003D046F" w:rsidRPr="00F701E1">
        <w:rPr>
          <w:rFonts w:asciiTheme="majorHAnsi" w:hAnsiTheme="majorHAnsi"/>
          <w:vertAlign w:val="superscript"/>
        </w:rPr>
        <w:t>3</w:t>
      </w:r>
      <w:r w:rsidR="003D046F" w:rsidRPr="00F701E1">
        <w:rPr>
          <w:rFonts w:asciiTheme="majorHAnsi" w:hAnsiTheme="majorHAnsi"/>
        </w:rPr>
        <w:t>,</w:t>
      </w:r>
      <w:r w:rsidRPr="00F701E1">
        <w:rPr>
          <w:rFonts w:asciiTheme="majorHAnsi" w:hAnsiTheme="majorHAnsi"/>
        </w:rPr>
        <w:t xml:space="preserve"> George B. Hanna</w:t>
      </w:r>
      <w:r w:rsidRPr="00F701E1">
        <w:rPr>
          <w:rFonts w:asciiTheme="majorHAnsi" w:hAnsiTheme="majorHAnsi"/>
          <w:vertAlign w:val="superscript"/>
        </w:rPr>
        <w:t>1</w:t>
      </w:r>
      <w:r w:rsidRPr="00F701E1">
        <w:rPr>
          <w:rFonts w:asciiTheme="majorHAnsi" w:hAnsiTheme="majorHAnsi"/>
        </w:rPr>
        <w:t xml:space="preserve">. </w:t>
      </w:r>
    </w:p>
    <w:p w14:paraId="5D82C609" w14:textId="77777777" w:rsidR="00D0066B" w:rsidRPr="00F701E1" w:rsidRDefault="00D0066B" w:rsidP="00D0066B">
      <w:pPr>
        <w:spacing w:line="480" w:lineRule="auto"/>
        <w:jc w:val="both"/>
        <w:rPr>
          <w:rFonts w:asciiTheme="majorHAnsi" w:hAnsiTheme="majorHAnsi"/>
        </w:rPr>
      </w:pPr>
      <w:r w:rsidRPr="00F701E1">
        <w:rPr>
          <w:rFonts w:asciiTheme="majorHAnsi" w:hAnsiTheme="majorHAnsi"/>
        </w:rPr>
        <w:t>1 – Department Surgery &amp; Cancer, Imperial College London, United Kingdom.</w:t>
      </w:r>
    </w:p>
    <w:p w14:paraId="7CF41EEF" w14:textId="77777777" w:rsidR="00D0066B" w:rsidRPr="00F701E1" w:rsidRDefault="00D0066B" w:rsidP="00D0066B">
      <w:pPr>
        <w:spacing w:line="480" w:lineRule="auto"/>
        <w:jc w:val="both"/>
      </w:pPr>
      <w:r w:rsidRPr="00F701E1">
        <w:rPr>
          <w:rFonts w:asciiTheme="majorHAnsi" w:hAnsiTheme="majorHAnsi"/>
        </w:rPr>
        <w:t>2 – St Mark’s Hospital and Academic Institute, Harrow, United Kingdom</w:t>
      </w:r>
      <w:r w:rsidRPr="00F701E1">
        <w:t xml:space="preserve"> </w:t>
      </w:r>
    </w:p>
    <w:p w14:paraId="4960ED83" w14:textId="57907496" w:rsidR="003D046F" w:rsidRPr="00F701E1" w:rsidRDefault="003D046F" w:rsidP="00D0066B">
      <w:pPr>
        <w:spacing w:line="480" w:lineRule="auto"/>
        <w:jc w:val="both"/>
        <w:rPr>
          <w:rFonts w:asciiTheme="majorHAnsi" w:hAnsiTheme="majorHAnsi"/>
        </w:rPr>
      </w:pPr>
      <w:r w:rsidRPr="00F701E1">
        <w:rPr>
          <w:rFonts w:asciiTheme="majorHAnsi" w:hAnsiTheme="majorHAnsi"/>
        </w:rPr>
        <w:t xml:space="preserve">3 – Department of Oncology, Royal Marsden Hospital, United Kingdom </w:t>
      </w:r>
    </w:p>
    <w:p w14:paraId="3C53A498" w14:textId="77777777" w:rsidR="00D0066B" w:rsidRPr="00F701E1" w:rsidRDefault="00D0066B" w:rsidP="00D0066B">
      <w:pPr>
        <w:spacing w:line="480" w:lineRule="auto"/>
        <w:jc w:val="both"/>
        <w:rPr>
          <w:rFonts w:asciiTheme="majorHAnsi" w:hAnsiTheme="majorHAnsi"/>
        </w:rPr>
      </w:pPr>
      <w:r w:rsidRPr="00F701E1">
        <w:rPr>
          <w:rFonts w:asciiTheme="majorHAnsi" w:hAnsiTheme="majorHAnsi"/>
        </w:rPr>
        <w:t xml:space="preserve">Address for Correspondence: </w:t>
      </w:r>
    </w:p>
    <w:p w14:paraId="6FDE391A" w14:textId="77777777" w:rsidR="00D0066B" w:rsidRPr="00F701E1" w:rsidRDefault="00D0066B" w:rsidP="00D0066B">
      <w:pPr>
        <w:jc w:val="both"/>
        <w:rPr>
          <w:rFonts w:asciiTheme="majorHAnsi" w:hAnsiTheme="majorHAnsi"/>
        </w:rPr>
      </w:pPr>
      <w:r w:rsidRPr="00F701E1">
        <w:rPr>
          <w:rFonts w:asciiTheme="majorHAnsi" w:hAnsiTheme="majorHAnsi"/>
        </w:rPr>
        <w:t xml:space="preserve">Professor George Hanna, </w:t>
      </w:r>
    </w:p>
    <w:p w14:paraId="3B418B23" w14:textId="77777777" w:rsidR="00D0066B" w:rsidRPr="00F701E1" w:rsidRDefault="00D0066B" w:rsidP="00D0066B">
      <w:pPr>
        <w:jc w:val="both"/>
        <w:rPr>
          <w:rFonts w:asciiTheme="majorHAnsi" w:hAnsiTheme="majorHAnsi"/>
        </w:rPr>
      </w:pPr>
      <w:r w:rsidRPr="00F701E1">
        <w:rPr>
          <w:rFonts w:asciiTheme="majorHAnsi" w:hAnsiTheme="majorHAnsi"/>
        </w:rPr>
        <w:t xml:space="preserve">Division of Surgery, </w:t>
      </w:r>
    </w:p>
    <w:p w14:paraId="5C839EBF" w14:textId="77777777" w:rsidR="00D0066B" w:rsidRPr="00F701E1" w:rsidRDefault="00D0066B" w:rsidP="00D0066B">
      <w:pPr>
        <w:jc w:val="both"/>
        <w:rPr>
          <w:rFonts w:asciiTheme="majorHAnsi" w:hAnsiTheme="majorHAnsi"/>
        </w:rPr>
      </w:pPr>
      <w:r w:rsidRPr="00F701E1">
        <w:rPr>
          <w:rFonts w:asciiTheme="majorHAnsi" w:hAnsiTheme="majorHAnsi"/>
        </w:rPr>
        <w:t xml:space="preserve">Department of Surgery and Cancer, </w:t>
      </w:r>
    </w:p>
    <w:p w14:paraId="406DE7D8" w14:textId="77777777" w:rsidR="00D0066B" w:rsidRPr="00F701E1" w:rsidRDefault="00D0066B" w:rsidP="00D0066B">
      <w:pPr>
        <w:jc w:val="both"/>
        <w:rPr>
          <w:rFonts w:asciiTheme="majorHAnsi" w:hAnsiTheme="majorHAnsi"/>
        </w:rPr>
      </w:pPr>
      <w:r w:rsidRPr="00F701E1">
        <w:rPr>
          <w:rFonts w:asciiTheme="majorHAnsi" w:hAnsiTheme="majorHAnsi"/>
        </w:rPr>
        <w:t xml:space="preserve">Imperial College London, </w:t>
      </w:r>
    </w:p>
    <w:p w14:paraId="536416DE" w14:textId="77777777" w:rsidR="00D0066B" w:rsidRPr="00F701E1" w:rsidRDefault="00D0066B" w:rsidP="00D0066B">
      <w:pPr>
        <w:jc w:val="both"/>
        <w:rPr>
          <w:rFonts w:asciiTheme="majorHAnsi" w:hAnsiTheme="majorHAnsi"/>
        </w:rPr>
      </w:pPr>
      <w:r w:rsidRPr="00F701E1">
        <w:rPr>
          <w:rFonts w:asciiTheme="majorHAnsi" w:hAnsiTheme="majorHAnsi"/>
        </w:rPr>
        <w:t>10</w:t>
      </w:r>
      <w:r w:rsidRPr="00F701E1">
        <w:rPr>
          <w:rFonts w:asciiTheme="majorHAnsi" w:hAnsiTheme="majorHAnsi"/>
          <w:vertAlign w:val="superscript"/>
        </w:rPr>
        <w:t>th</w:t>
      </w:r>
      <w:r w:rsidRPr="00F701E1">
        <w:rPr>
          <w:rFonts w:asciiTheme="majorHAnsi" w:hAnsiTheme="majorHAnsi"/>
        </w:rPr>
        <w:t xml:space="preserve"> Floor QEQM Building, </w:t>
      </w:r>
    </w:p>
    <w:p w14:paraId="41CE34D7" w14:textId="77777777" w:rsidR="00D0066B" w:rsidRPr="00F701E1" w:rsidRDefault="00D0066B" w:rsidP="00D0066B">
      <w:pPr>
        <w:jc w:val="both"/>
        <w:rPr>
          <w:rFonts w:asciiTheme="majorHAnsi" w:hAnsiTheme="majorHAnsi"/>
        </w:rPr>
      </w:pPr>
      <w:r w:rsidRPr="00F701E1">
        <w:rPr>
          <w:rFonts w:asciiTheme="majorHAnsi" w:hAnsiTheme="majorHAnsi"/>
        </w:rPr>
        <w:t xml:space="preserve">St Mary’s Hospital, </w:t>
      </w:r>
    </w:p>
    <w:p w14:paraId="1ECDEF0E" w14:textId="77777777" w:rsidR="00D0066B" w:rsidRPr="00F701E1" w:rsidRDefault="00D0066B" w:rsidP="00D0066B">
      <w:pPr>
        <w:jc w:val="both"/>
        <w:rPr>
          <w:rFonts w:asciiTheme="majorHAnsi" w:hAnsiTheme="majorHAnsi"/>
        </w:rPr>
      </w:pPr>
      <w:r w:rsidRPr="00F701E1">
        <w:rPr>
          <w:rFonts w:asciiTheme="majorHAnsi" w:hAnsiTheme="majorHAnsi"/>
        </w:rPr>
        <w:t>South Wharf Road,</w:t>
      </w:r>
    </w:p>
    <w:p w14:paraId="5D58A27B" w14:textId="77777777" w:rsidR="00D0066B" w:rsidRPr="00F701E1" w:rsidRDefault="00D0066B" w:rsidP="00D0066B">
      <w:pPr>
        <w:jc w:val="both"/>
        <w:rPr>
          <w:rFonts w:asciiTheme="majorHAnsi" w:hAnsiTheme="majorHAnsi"/>
        </w:rPr>
      </w:pPr>
      <w:r w:rsidRPr="00F701E1">
        <w:rPr>
          <w:rFonts w:asciiTheme="majorHAnsi" w:hAnsiTheme="majorHAnsi"/>
        </w:rPr>
        <w:t xml:space="preserve"> London, W2 1NY UK</w:t>
      </w:r>
    </w:p>
    <w:p w14:paraId="2C5E43F1" w14:textId="77777777" w:rsidR="00D0066B" w:rsidRPr="00F701E1" w:rsidRDefault="00D0066B" w:rsidP="00D0066B">
      <w:pPr>
        <w:jc w:val="both"/>
        <w:rPr>
          <w:rFonts w:asciiTheme="majorHAnsi" w:hAnsiTheme="majorHAnsi"/>
        </w:rPr>
      </w:pPr>
    </w:p>
    <w:p w14:paraId="376146AC" w14:textId="77777777" w:rsidR="00D0066B" w:rsidRPr="00F701E1" w:rsidRDefault="00D0066B" w:rsidP="00D0066B">
      <w:pPr>
        <w:spacing w:line="480" w:lineRule="auto"/>
        <w:jc w:val="both"/>
        <w:rPr>
          <w:rFonts w:asciiTheme="majorHAnsi" w:hAnsiTheme="majorHAnsi"/>
          <w:lang w:val="fr-FR"/>
        </w:rPr>
      </w:pPr>
      <w:r w:rsidRPr="00F701E1">
        <w:rPr>
          <w:rFonts w:asciiTheme="majorHAnsi" w:hAnsiTheme="majorHAnsi"/>
          <w:lang w:val="fr-FR"/>
        </w:rPr>
        <w:t xml:space="preserve">E-mail: </w:t>
      </w:r>
      <w:hyperlink r:id="rId8" w:history="1">
        <w:r w:rsidRPr="00F701E1">
          <w:rPr>
            <w:rStyle w:val="Hyperlink"/>
            <w:rFonts w:asciiTheme="majorHAnsi" w:hAnsiTheme="majorHAnsi"/>
            <w:lang w:val="fr-FR"/>
          </w:rPr>
          <w:t>g.hanna@imperial.ac.uk</w:t>
        </w:r>
      </w:hyperlink>
    </w:p>
    <w:p w14:paraId="29E11152" w14:textId="77777777" w:rsidR="00D0066B" w:rsidRPr="00F701E1" w:rsidRDefault="00D0066B" w:rsidP="00D0066B">
      <w:pPr>
        <w:spacing w:line="480" w:lineRule="auto"/>
        <w:jc w:val="both"/>
        <w:rPr>
          <w:rFonts w:asciiTheme="majorHAnsi" w:hAnsiTheme="majorHAnsi"/>
        </w:rPr>
      </w:pPr>
      <w:r w:rsidRPr="00F701E1">
        <w:rPr>
          <w:rFonts w:asciiTheme="majorHAnsi" w:hAnsiTheme="majorHAnsi"/>
        </w:rPr>
        <w:t>Telephone No: +44 (</w:t>
      </w:r>
      <w:proofErr w:type="gramStart"/>
      <w:r w:rsidRPr="00F701E1">
        <w:rPr>
          <w:rFonts w:asciiTheme="majorHAnsi" w:hAnsiTheme="majorHAnsi"/>
        </w:rPr>
        <w:t>0)207</w:t>
      </w:r>
      <w:proofErr w:type="gramEnd"/>
      <w:r w:rsidRPr="00F701E1">
        <w:rPr>
          <w:rFonts w:asciiTheme="majorHAnsi" w:hAnsiTheme="majorHAnsi"/>
        </w:rPr>
        <w:t xml:space="preserve"> 886 2125</w:t>
      </w:r>
    </w:p>
    <w:p w14:paraId="3A6252A7" w14:textId="77777777" w:rsidR="00D0066B" w:rsidRPr="00F701E1" w:rsidRDefault="00D0066B" w:rsidP="00D0066B">
      <w:pPr>
        <w:spacing w:line="480" w:lineRule="auto"/>
        <w:jc w:val="both"/>
        <w:rPr>
          <w:rFonts w:asciiTheme="majorHAnsi" w:hAnsiTheme="majorHAnsi"/>
        </w:rPr>
      </w:pPr>
      <w:r w:rsidRPr="00F701E1">
        <w:rPr>
          <w:rFonts w:asciiTheme="majorHAnsi" w:hAnsiTheme="majorHAnsi"/>
        </w:rPr>
        <w:t>Fax No: +44 (</w:t>
      </w:r>
      <w:proofErr w:type="gramStart"/>
      <w:r w:rsidRPr="00F701E1">
        <w:rPr>
          <w:rFonts w:asciiTheme="majorHAnsi" w:hAnsiTheme="majorHAnsi"/>
        </w:rPr>
        <w:t>0)207</w:t>
      </w:r>
      <w:proofErr w:type="gramEnd"/>
      <w:r w:rsidRPr="00F701E1">
        <w:rPr>
          <w:rFonts w:asciiTheme="majorHAnsi" w:hAnsiTheme="majorHAnsi"/>
        </w:rPr>
        <w:t xml:space="preserve"> 8862125</w:t>
      </w:r>
    </w:p>
    <w:p w14:paraId="69099EAB" w14:textId="77777777" w:rsidR="00D0066B" w:rsidRPr="00F701E1" w:rsidRDefault="00D0066B" w:rsidP="00D0066B">
      <w:pPr>
        <w:spacing w:line="480" w:lineRule="auto"/>
        <w:rPr>
          <w:rFonts w:asciiTheme="majorHAnsi" w:hAnsiTheme="majorHAnsi"/>
        </w:rPr>
      </w:pPr>
      <w:r w:rsidRPr="00F701E1">
        <w:rPr>
          <w:rFonts w:asciiTheme="majorHAnsi" w:hAnsiTheme="majorHAnsi"/>
        </w:rPr>
        <w:t>Article category: Original article</w:t>
      </w:r>
    </w:p>
    <w:p w14:paraId="3118E355" w14:textId="0D1DDCFB" w:rsidR="00D0066B" w:rsidRPr="00F701E1" w:rsidRDefault="00D0066B" w:rsidP="00D0066B">
      <w:pPr>
        <w:spacing w:line="480" w:lineRule="auto"/>
        <w:rPr>
          <w:rFonts w:asciiTheme="majorHAnsi" w:hAnsiTheme="majorHAnsi"/>
        </w:rPr>
      </w:pPr>
      <w:r w:rsidRPr="00F701E1">
        <w:rPr>
          <w:rFonts w:asciiTheme="majorHAnsi" w:hAnsiTheme="majorHAnsi"/>
        </w:rPr>
        <w:t xml:space="preserve">Funding: </w:t>
      </w:r>
      <w:proofErr w:type="gramStart"/>
      <w:r w:rsidRPr="00F701E1">
        <w:rPr>
          <w:rFonts w:asciiTheme="majorHAnsi" w:hAnsiTheme="majorHAnsi"/>
        </w:rPr>
        <w:t>Sheraz R. Markar is supported by the National Institute</w:t>
      </w:r>
      <w:proofErr w:type="gramEnd"/>
      <w:r w:rsidRPr="00F701E1">
        <w:rPr>
          <w:rFonts w:asciiTheme="majorHAnsi" w:hAnsiTheme="majorHAnsi"/>
        </w:rPr>
        <w:t xml:space="preserve"> for Health Research (NIHR). </w:t>
      </w:r>
      <w:r w:rsidR="00BD33DA" w:rsidRPr="00F701E1">
        <w:rPr>
          <w:rFonts w:asciiTheme="majorHAnsi" w:hAnsiTheme="majorHAnsi"/>
        </w:rPr>
        <w:t>The views expressed are those of the authors and not necessarily those of the NIHR or the Department of Health.</w:t>
      </w:r>
      <w:r w:rsidR="00BD33DA" w:rsidRPr="00F701E1">
        <w:t xml:space="preserve"> </w:t>
      </w:r>
    </w:p>
    <w:p w14:paraId="22D60C39" w14:textId="77777777" w:rsidR="00D0066B" w:rsidRPr="00F701E1" w:rsidRDefault="00D0066B" w:rsidP="00D0066B">
      <w:pPr>
        <w:spacing w:line="480" w:lineRule="auto"/>
        <w:rPr>
          <w:rFonts w:asciiTheme="majorHAnsi" w:hAnsiTheme="majorHAnsi"/>
        </w:rPr>
      </w:pPr>
      <w:r w:rsidRPr="00F701E1">
        <w:rPr>
          <w:rFonts w:asciiTheme="majorHAnsi" w:hAnsiTheme="majorHAnsi"/>
        </w:rPr>
        <w:t>Conflicts of Interests: The authors declared no conflict of interest</w:t>
      </w:r>
    </w:p>
    <w:p w14:paraId="089FA01B" w14:textId="573FE7E7" w:rsidR="00D0066B" w:rsidRPr="00F701E1" w:rsidRDefault="00D0066B" w:rsidP="00D0066B">
      <w:pPr>
        <w:spacing w:line="480" w:lineRule="auto"/>
        <w:rPr>
          <w:rFonts w:asciiTheme="majorHAnsi" w:hAnsiTheme="majorHAnsi"/>
        </w:rPr>
      </w:pPr>
      <w:r w:rsidRPr="00F701E1">
        <w:rPr>
          <w:rFonts w:asciiTheme="majorHAnsi" w:hAnsiTheme="majorHAnsi"/>
        </w:rPr>
        <w:t xml:space="preserve">Word Count: </w:t>
      </w:r>
      <w:r w:rsidR="008B6D00" w:rsidRPr="00F701E1">
        <w:rPr>
          <w:rFonts w:asciiTheme="majorHAnsi" w:hAnsiTheme="majorHAnsi"/>
        </w:rPr>
        <w:t>2,</w:t>
      </w:r>
      <w:r w:rsidR="003948C0" w:rsidRPr="00F701E1">
        <w:rPr>
          <w:rFonts w:asciiTheme="majorHAnsi" w:hAnsiTheme="majorHAnsi"/>
        </w:rPr>
        <w:t>373</w:t>
      </w:r>
    </w:p>
    <w:p w14:paraId="6ECDE487" w14:textId="59938DDF" w:rsidR="00D0066B" w:rsidRPr="00F701E1" w:rsidRDefault="00D0066B" w:rsidP="00D0066B">
      <w:pPr>
        <w:spacing w:line="480" w:lineRule="auto"/>
        <w:rPr>
          <w:rFonts w:asciiTheme="majorHAnsi" w:hAnsiTheme="majorHAnsi"/>
        </w:rPr>
      </w:pPr>
      <w:r w:rsidRPr="00F701E1">
        <w:rPr>
          <w:rFonts w:asciiTheme="majorHAnsi" w:hAnsiTheme="majorHAnsi"/>
        </w:rPr>
        <w:t xml:space="preserve">Tables: </w:t>
      </w:r>
      <w:r w:rsidR="001348B0" w:rsidRPr="00F701E1">
        <w:rPr>
          <w:rFonts w:asciiTheme="majorHAnsi" w:hAnsiTheme="majorHAnsi"/>
        </w:rPr>
        <w:t>3</w:t>
      </w:r>
    </w:p>
    <w:p w14:paraId="6BC4FC23" w14:textId="0CB6990E" w:rsidR="00D0066B" w:rsidRPr="00F701E1" w:rsidRDefault="00D0066B" w:rsidP="00D0066B">
      <w:pPr>
        <w:spacing w:line="480" w:lineRule="auto"/>
        <w:rPr>
          <w:rFonts w:asciiTheme="majorHAnsi" w:hAnsiTheme="majorHAnsi"/>
        </w:rPr>
      </w:pPr>
      <w:r w:rsidRPr="00F701E1">
        <w:rPr>
          <w:rFonts w:asciiTheme="majorHAnsi" w:hAnsiTheme="majorHAnsi"/>
        </w:rPr>
        <w:t xml:space="preserve">Figures: </w:t>
      </w:r>
      <w:r w:rsidR="001348B0" w:rsidRPr="00F701E1">
        <w:rPr>
          <w:rFonts w:asciiTheme="majorHAnsi" w:hAnsiTheme="majorHAnsi"/>
        </w:rPr>
        <w:t>3</w:t>
      </w:r>
      <w:r w:rsidRPr="00F701E1">
        <w:br w:type="page"/>
      </w:r>
    </w:p>
    <w:p w14:paraId="6F39B35B" w14:textId="77777777" w:rsidR="005C0BB0" w:rsidRPr="00F701E1" w:rsidRDefault="005C0BB0" w:rsidP="005C0BB0">
      <w:pPr>
        <w:spacing w:line="480" w:lineRule="auto"/>
        <w:jc w:val="both"/>
        <w:rPr>
          <w:rFonts w:asciiTheme="majorHAnsi" w:hAnsiTheme="majorHAnsi"/>
          <w:b/>
        </w:rPr>
      </w:pPr>
      <w:r w:rsidRPr="00F701E1">
        <w:rPr>
          <w:rFonts w:asciiTheme="majorHAnsi" w:hAnsiTheme="majorHAnsi"/>
          <w:b/>
        </w:rPr>
        <w:lastRenderedPageBreak/>
        <w:t>MINI-ABSTRACT</w:t>
      </w:r>
    </w:p>
    <w:p w14:paraId="571BFCF2" w14:textId="6324AC0A" w:rsidR="005C631B" w:rsidRPr="00F701E1" w:rsidRDefault="0057251A" w:rsidP="005C631B">
      <w:pPr>
        <w:spacing w:line="480" w:lineRule="auto"/>
        <w:jc w:val="both"/>
        <w:rPr>
          <w:rFonts w:asciiTheme="majorHAnsi" w:hAnsiTheme="majorHAnsi"/>
        </w:rPr>
      </w:pPr>
      <w:r w:rsidRPr="00F701E1">
        <w:rPr>
          <w:rFonts w:asciiTheme="majorHAnsi" w:hAnsiTheme="majorHAnsi"/>
        </w:rPr>
        <w:t>O</w:t>
      </w:r>
      <w:r w:rsidR="005C631B" w:rsidRPr="00F701E1">
        <w:rPr>
          <w:rFonts w:asciiTheme="majorHAnsi" w:hAnsiTheme="majorHAnsi"/>
        </w:rPr>
        <w:t>ne quarter of patients with esophageal and gastric cancer present as an emergency. Emergency presentation is increased in vulnerable populations, the elderly, ethnic minorities and low socioeconomic groups</w:t>
      </w:r>
      <w:r w:rsidRPr="00F701E1">
        <w:rPr>
          <w:rFonts w:asciiTheme="majorHAnsi" w:hAnsiTheme="majorHAnsi"/>
        </w:rPr>
        <w:t>, and</w:t>
      </w:r>
      <w:r w:rsidR="005C631B" w:rsidRPr="00F701E1">
        <w:rPr>
          <w:rFonts w:asciiTheme="majorHAnsi" w:hAnsiTheme="majorHAnsi"/>
        </w:rPr>
        <w:t xml:space="preserve"> is associated with a poor prognosis, due to increased presence of metastatic disease at diagnosis and increased recurrence following surgical treatment.</w:t>
      </w:r>
    </w:p>
    <w:p w14:paraId="07B351B3" w14:textId="05520377" w:rsidR="002B4404" w:rsidRPr="00F701E1" w:rsidRDefault="002B4404" w:rsidP="005C631B">
      <w:pPr>
        <w:spacing w:line="480" w:lineRule="auto"/>
        <w:jc w:val="both"/>
        <w:rPr>
          <w:rFonts w:asciiTheme="majorHAnsi" w:hAnsiTheme="majorHAnsi"/>
          <w:b/>
        </w:rPr>
      </w:pPr>
      <w:r w:rsidRPr="00F701E1">
        <w:rPr>
          <w:rFonts w:asciiTheme="majorHAnsi" w:hAnsiTheme="majorHAnsi"/>
          <w:b/>
        </w:rPr>
        <w:t>Word count: 50</w:t>
      </w:r>
    </w:p>
    <w:p w14:paraId="0CD1FF3E" w14:textId="13A28EFD" w:rsidR="005C0BB0" w:rsidRPr="00F701E1" w:rsidRDefault="005C0BB0">
      <w:pPr>
        <w:rPr>
          <w:rFonts w:asciiTheme="majorHAnsi" w:hAnsiTheme="majorHAnsi"/>
          <w:b/>
        </w:rPr>
      </w:pPr>
      <w:r w:rsidRPr="00F701E1">
        <w:rPr>
          <w:rFonts w:asciiTheme="majorHAnsi" w:hAnsiTheme="majorHAnsi"/>
          <w:b/>
        </w:rPr>
        <w:br w:type="page"/>
      </w:r>
    </w:p>
    <w:p w14:paraId="7F09B688" w14:textId="239B0315" w:rsidR="00D0066B" w:rsidRPr="00F701E1" w:rsidRDefault="00A75C79" w:rsidP="00D0066B">
      <w:pPr>
        <w:rPr>
          <w:rFonts w:asciiTheme="majorHAnsi" w:hAnsiTheme="majorHAnsi"/>
          <w:b/>
        </w:rPr>
      </w:pPr>
      <w:r w:rsidRPr="00F701E1">
        <w:rPr>
          <w:rFonts w:asciiTheme="majorHAnsi" w:hAnsiTheme="majorHAnsi"/>
          <w:b/>
        </w:rPr>
        <w:lastRenderedPageBreak/>
        <w:t xml:space="preserve">STRUCTURED </w:t>
      </w:r>
      <w:r w:rsidR="00D0066B" w:rsidRPr="00F701E1">
        <w:rPr>
          <w:rFonts w:asciiTheme="majorHAnsi" w:hAnsiTheme="majorHAnsi"/>
          <w:b/>
        </w:rPr>
        <w:t>ABSTRACT</w:t>
      </w:r>
    </w:p>
    <w:p w14:paraId="32AC8E4C" w14:textId="77777777" w:rsidR="00D0066B" w:rsidRPr="00F701E1" w:rsidRDefault="00D0066B" w:rsidP="00D0066B">
      <w:pPr>
        <w:rPr>
          <w:rFonts w:asciiTheme="majorHAnsi" w:hAnsiTheme="majorHAnsi"/>
          <w:b/>
        </w:rPr>
      </w:pPr>
    </w:p>
    <w:p w14:paraId="72EAA040" w14:textId="77777777" w:rsidR="007C664A" w:rsidRPr="00F974A8" w:rsidRDefault="007C664A" w:rsidP="007C664A">
      <w:pPr>
        <w:spacing w:line="480" w:lineRule="auto"/>
        <w:jc w:val="both"/>
        <w:rPr>
          <w:rFonts w:asciiTheme="majorHAnsi" w:hAnsiTheme="majorHAnsi" w:cs="Arial"/>
          <w:lang w:val="en-GB"/>
        </w:rPr>
      </w:pPr>
      <w:r w:rsidRPr="00F974A8">
        <w:rPr>
          <w:rFonts w:asciiTheme="majorHAnsi" w:hAnsiTheme="majorHAnsi"/>
          <w:b/>
        </w:rPr>
        <w:t>Objective</w:t>
      </w:r>
      <w:r w:rsidRPr="00F974A8">
        <w:rPr>
          <w:rFonts w:asciiTheme="majorHAnsi" w:hAnsiTheme="majorHAnsi" w:cs="Arial"/>
          <w:lang w:val="en-GB"/>
        </w:rPr>
        <w:t xml:space="preserve"> </w:t>
      </w:r>
    </w:p>
    <w:p w14:paraId="2E12A253" w14:textId="77777777" w:rsidR="007C664A" w:rsidRPr="00F974A8" w:rsidRDefault="007C664A" w:rsidP="007C664A">
      <w:pPr>
        <w:spacing w:line="480" w:lineRule="auto"/>
        <w:jc w:val="both"/>
        <w:rPr>
          <w:rFonts w:asciiTheme="majorHAnsi" w:hAnsiTheme="majorHAnsi"/>
        </w:rPr>
      </w:pPr>
      <w:r w:rsidRPr="00F974A8">
        <w:rPr>
          <w:rFonts w:asciiTheme="majorHAnsi" w:hAnsiTheme="majorHAnsi"/>
        </w:rPr>
        <w:t xml:space="preserve">To identify patient factors </w:t>
      </w:r>
      <w:proofErr w:type="gramStart"/>
      <w:r w:rsidRPr="00F974A8">
        <w:rPr>
          <w:rFonts w:asciiTheme="majorHAnsi" w:hAnsiTheme="majorHAnsi"/>
        </w:rPr>
        <w:t>that are</w:t>
      </w:r>
      <w:proofErr w:type="gramEnd"/>
      <w:r w:rsidRPr="00F974A8">
        <w:rPr>
          <w:rFonts w:asciiTheme="majorHAnsi" w:hAnsiTheme="majorHAnsi"/>
        </w:rPr>
        <w:t xml:space="preserve"> associated with emergency presentation of esophageal and gastric cancer, and further to evaluate long-term prognosis in this cohort. </w:t>
      </w:r>
    </w:p>
    <w:p w14:paraId="1BEA135C" w14:textId="77777777" w:rsidR="007C664A" w:rsidRPr="00F974A8" w:rsidRDefault="007C664A" w:rsidP="007C664A">
      <w:pPr>
        <w:spacing w:line="480" w:lineRule="auto"/>
        <w:jc w:val="both"/>
        <w:rPr>
          <w:rFonts w:asciiTheme="majorHAnsi" w:hAnsiTheme="majorHAnsi"/>
          <w:b/>
        </w:rPr>
      </w:pPr>
      <w:r w:rsidRPr="00F974A8">
        <w:rPr>
          <w:rFonts w:asciiTheme="majorHAnsi" w:hAnsiTheme="majorHAnsi"/>
          <w:b/>
        </w:rPr>
        <w:t>Background</w:t>
      </w:r>
    </w:p>
    <w:p w14:paraId="7DF575A7" w14:textId="77777777" w:rsidR="007C664A" w:rsidRPr="00F974A8" w:rsidRDefault="007C664A" w:rsidP="007C664A">
      <w:pPr>
        <w:spacing w:line="480" w:lineRule="auto"/>
        <w:jc w:val="both"/>
        <w:rPr>
          <w:rFonts w:asciiTheme="majorHAnsi" w:hAnsiTheme="majorHAnsi" w:cs="Arial"/>
          <w:lang w:val="en-GB"/>
        </w:rPr>
      </w:pPr>
      <w:r w:rsidRPr="00F974A8">
        <w:rPr>
          <w:rFonts w:asciiTheme="majorHAnsi" w:hAnsiTheme="majorHAnsi"/>
        </w:rPr>
        <w:t xml:space="preserve">The incidence of emergency presentation is variable, with </w:t>
      </w:r>
      <w:r w:rsidRPr="00F974A8">
        <w:rPr>
          <w:rFonts w:asciiTheme="majorHAnsi" w:hAnsiTheme="majorHAnsi" w:cs="Arial"/>
          <w:lang w:val="en-GB"/>
        </w:rPr>
        <w:t xml:space="preserve">the prognosis of patients stabilised and discharged to return for elective surgery unknown. </w:t>
      </w:r>
    </w:p>
    <w:p w14:paraId="4CAF8193" w14:textId="77777777" w:rsidR="007C664A" w:rsidRPr="00F974A8" w:rsidRDefault="007C664A" w:rsidP="007C664A">
      <w:pPr>
        <w:spacing w:line="480" w:lineRule="auto"/>
        <w:jc w:val="both"/>
        <w:rPr>
          <w:rFonts w:asciiTheme="majorHAnsi" w:hAnsiTheme="majorHAnsi"/>
          <w:b/>
        </w:rPr>
      </w:pPr>
      <w:r w:rsidRPr="00F974A8">
        <w:rPr>
          <w:rFonts w:asciiTheme="majorHAnsi" w:hAnsiTheme="majorHAnsi"/>
          <w:b/>
        </w:rPr>
        <w:t>Methods</w:t>
      </w:r>
    </w:p>
    <w:p w14:paraId="040AD2A0" w14:textId="77777777" w:rsidR="007C664A" w:rsidRPr="00F974A8" w:rsidRDefault="007C664A" w:rsidP="007C664A">
      <w:pPr>
        <w:spacing w:line="480" w:lineRule="auto"/>
        <w:jc w:val="both"/>
        <w:rPr>
          <w:rFonts w:asciiTheme="majorHAnsi" w:hAnsiTheme="majorHAnsi"/>
        </w:rPr>
      </w:pPr>
      <w:r w:rsidRPr="00F974A8">
        <w:rPr>
          <w:rFonts w:asciiTheme="majorHAnsi" w:hAnsiTheme="majorHAnsi"/>
        </w:rPr>
        <w:t xml:space="preserve">The primary admission of patients with esophageal or gastric cancer within the Hospital Episode Statistics database (1997–2012), were used to classify as emergency or elective diagnosis. Multivariate regression analyses were used to identify patient factors associated with emergency diagnosis and prognosis.  </w:t>
      </w:r>
    </w:p>
    <w:p w14:paraId="2E3EFF05" w14:textId="77777777" w:rsidR="007C664A" w:rsidRPr="00F974A8" w:rsidRDefault="007C664A" w:rsidP="007C664A">
      <w:pPr>
        <w:spacing w:line="480" w:lineRule="auto"/>
        <w:jc w:val="both"/>
        <w:rPr>
          <w:rFonts w:asciiTheme="majorHAnsi" w:hAnsiTheme="majorHAnsi"/>
          <w:b/>
        </w:rPr>
      </w:pPr>
      <w:r w:rsidRPr="00F974A8">
        <w:rPr>
          <w:rFonts w:asciiTheme="majorHAnsi" w:hAnsiTheme="majorHAnsi"/>
          <w:b/>
        </w:rPr>
        <w:t>Results</w:t>
      </w:r>
    </w:p>
    <w:p w14:paraId="41CA33D0" w14:textId="77777777" w:rsidR="007C664A" w:rsidRPr="00F974A8" w:rsidRDefault="007C664A" w:rsidP="007C664A">
      <w:pPr>
        <w:spacing w:line="480" w:lineRule="auto"/>
        <w:jc w:val="both"/>
        <w:rPr>
          <w:rFonts w:asciiTheme="majorHAnsi" w:hAnsiTheme="majorHAnsi"/>
          <w:b/>
        </w:rPr>
      </w:pPr>
      <w:r w:rsidRPr="00F974A8">
        <w:rPr>
          <w:rFonts w:asciiTheme="majorHAnsi" w:hAnsiTheme="majorHAnsi"/>
        </w:rPr>
        <w:t>35,807 (29.4%) and 45,866 (39.6%) patients with esophageal and gastric cancer presented as an emergency over the study period. Age</w:t>
      </w:r>
      <w:r w:rsidRPr="00F974A8">
        <w:rPr>
          <w:rFonts w:asciiTheme="majorHAnsi" w:eastAsia="MS Gothic" w:hAnsiTheme="majorHAnsi"/>
          <w:color w:val="000000"/>
        </w:rPr>
        <w:t>≥</w:t>
      </w:r>
      <w:r w:rsidRPr="00F974A8">
        <w:rPr>
          <w:rFonts w:asciiTheme="majorHAnsi" w:hAnsiTheme="majorHAnsi"/>
        </w:rPr>
        <w:t xml:space="preserve">70, female gender, non-white ethnicity, </w:t>
      </w:r>
      <w:proofErr w:type="spellStart"/>
      <w:r w:rsidRPr="00F974A8">
        <w:rPr>
          <w:rFonts w:asciiTheme="majorHAnsi" w:hAnsiTheme="majorHAnsi"/>
        </w:rPr>
        <w:t>Charlson</w:t>
      </w:r>
      <w:proofErr w:type="spellEnd"/>
      <w:r w:rsidRPr="00F974A8">
        <w:rPr>
          <w:rFonts w:asciiTheme="majorHAnsi" w:hAnsiTheme="majorHAnsi"/>
        </w:rPr>
        <w:t xml:space="preserve"> comorbidity index score </w:t>
      </w:r>
      <w:r w:rsidRPr="00F974A8">
        <w:rPr>
          <w:rFonts w:asciiTheme="majorHAnsi" w:eastAsia="MS Gothic" w:hAnsiTheme="majorHAnsi"/>
          <w:color w:val="000000"/>
        </w:rPr>
        <w:t>≥3 and more deprived Townsend index were independent predictors of emergency cancer diagnosis.</w:t>
      </w:r>
      <w:r w:rsidRPr="00F974A8">
        <w:rPr>
          <w:rFonts w:asciiTheme="majorHAnsi" w:hAnsiTheme="majorHAnsi"/>
        </w:rPr>
        <w:t xml:space="preserve"> Emergency diagnosis was an independent predictor of increased 5-year mortality for all patients with esophageal cancer (HR=1.63, 95% CI 1.61–1.65) and gastric cancer (HR=1.20, 95% CI 1.16–1.23). Specifically patients receiving surgery on an elective follow-up admission with an initial emergency diagnosis had a poorer prognosis (esophageal cancer: HR=1.35, 95% CI 1.27–1.44, gastric cancer: HR=1.13. 95% CI 1.04–1.22), with </w:t>
      </w:r>
      <w:r w:rsidRPr="00F974A8">
        <w:rPr>
          <w:rFonts w:asciiTheme="majorHAnsi" w:hAnsiTheme="majorHAnsi"/>
        </w:rPr>
        <w:lastRenderedPageBreak/>
        <w:t xml:space="preserve">a significant increase in liver recurrence (esophageal cancer: 7.1% vs. 4.9%; P&lt;0.001, gastric cancer: 7.0% vs. 4.8%; P&lt;0.001) compared to patients referred electively. </w:t>
      </w:r>
    </w:p>
    <w:p w14:paraId="053299F8" w14:textId="77777777" w:rsidR="007C664A" w:rsidRPr="00F974A8" w:rsidRDefault="007C664A" w:rsidP="007C664A">
      <w:pPr>
        <w:spacing w:line="480" w:lineRule="auto"/>
        <w:jc w:val="both"/>
        <w:rPr>
          <w:rFonts w:asciiTheme="majorHAnsi" w:hAnsiTheme="majorHAnsi"/>
          <w:b/>
        </w:rPr>
      </w:pPr>
      <w:r w:rsidRPr="00F974A8">
        <w:rPr>
          <w:rFonts w:asciiTheme="majorHAnsi" w:hAnsiTheme="majorHAnsi"/>
          <w:b/>
        </w:rPr>
        <w:t>Conclusions</w:t>
      </w:r>
    </w:p>
    <w:p w14:paraId="014965B0" w14:textId="77777777" w:rsidR="007C664A" w:rsidRPr="00F974A8" w:rsidRDefault="007C664A" w:rsidP="007C664A">
      <w:pPr>
        <w:spacing w:line="480" w:lineRule="auto"/>
        <w:jc w:val="both"/>
        <w:rPr>
          <w:rFonts w:asciiTheme="majorHAnsi" w:hAnsiTheme="majorHAnsi"/>
        </w:rPr>
      </w:pPr>
      <w:r w:rsidRPr="00F974A8">
        <w:rPr>
          <w:rFonts w:asciiTheme="majorHAnsi" w:hAnsiTheme="majorHAnsi"/>
        </w:rPr>
        <w:t xml:space="preserve">Emergency presentation of esophageal and gastric cancer is associated with a poor prognosis, due to the increased incidence of metastatic disease at diagnosis and a higher recurrence rate following surgery. </w:t>
      </w:r>
    </w:p>
    <w:p w14:paraId="77CEB2F4" w14:textId="77777777" w:rsidR="007C664A" w:rsidRDefault="007C664A" w:rsidP="007C664A">
      <w:pPr>
        <w:spacing w:line="480" w:lineRule="auto"/>
        <w:jc w:val="both"/>
        <w:rPr>
          <w:rFonts w:asciiTheme="majorHAnsi" w:hAnsiTheme="majorHAnsi"/>
          <w:b/>
        </w:rPr>
      </w:pPr>
      <w:r w:rsidRPr="00F974A8">
        <w:rPr>
          <w:rFonts w:asciiTheme="majorHAnsi" w:hAnsiTheme="majorHAnsi"/>
          <w:b/>
        </w:rPr>
        <w:t>Word count: 248</w:t>
      </w:r>
    </w:p>
    <w:p w14:paraId="4893E0FB" w14:textId="77777777" w:rsidR="002A78F8" w:rsidRPr="00F701E1" w:rsidRDefault="002A78F8" w:rsidP="00655201">
      <w:pPr>
        <w:spacing w:line="480" w:lineRule="auto"/>
        <w:jc w:val="both"/>
        <w:rPr>
          <w:rFonts w:asciiTheme="majorHAnsi" w:hAnsiTheme="majorHAnsi"/>
          <w:b/>
        </w:rPr>
      </w:pPr>
      <w:bookmarkStart w:id="0" w:name="_GoBack"/>
      <w:bookmarkEnd w:id="0"/>
    </w:p>
    <w:p w14:paraId="57D19547" w14:textId="5A921A1A" w:rsidR="002A78F8" w:rsidRPr="00F701E1" w:rsidRDefault="002A78F8" w:rsidP="00655201">
      <w:pPr>
        <w:spacing w:line="480" w:lineRule="auto"/>
        <w:jc w:val="both"/>
        <w:rPr>
          <w:rFonts w:asciiTheme="majorHAnsi" w:hAnsiTheme="majorHAnsi"/>
        </w:rPr>
      </w:pPr>
      <w:r w:rsidRPr="00F701E1">
        <w:rPr>
          <w:rFonts w:asciiTheme="majorHAnsi" w:hAnsiTheme="majorHAnsi"/>
          <w:b/>
        </w:rPr>
        <w:t xml:space="preserve">Keywords: </w:t>
      </w:r>
      <w:r w:rsidR="00D01E6D" w:rsidRPr="00F701E1">
        <w:rPr>
          <w:rFonts w:asciiTheme="majorHAnsi" w:hAnsiTheme="majorHAnsi"/>
        </w:rPr>
        <w:t>emergency; (</w:t>
      </w:r>
      <w:proofErr w:type="gramStart"/>
      <w:r w:rsidR="00D01E6D" w:rsidRPr="00F701E1">
        <w:rPr>
          <w:rFonts w:asciiTheme="majorHAnsi" w:hAnsiTheme="majorHAnsi"/>
        </w:rPr>
        <w:t>o)esophageal</w:t>
      </w:r>
      <w:proofErr w:type="gramEnd"/>
      <w:r w:rsidR="00D01E6D" w:rsidRPr="00F701E1">
        <w:rPr>
          <w:rFonts w:asciiTheme="majorHAnsi" w:hAnsiTheme="majorHAnsi"/>
        </w:rPr>
        <w:t xml:space="preserve"> neoplasm; gastric neoplasm. </w:t>
      </w:r>
    </w:p>
    <w:p w14:paraId="78ED5D3A" w14:textId="1E589D36" w:rsidR="00A2270B" w:rsidRPr="00F701E1" w:rsidRDefault="00A2270B" w:rsidP="00655201">
      <w:pPr>
        <w:spacing w:line="480" w:lineRule="auto"/>
        <w:jc w:val="both"/>
        <w:rPr>
          <w:rFonts w:asciiTheme="majorHAnsi" w:hAnsiTheme="majorHAnsi"/>
          <w:b/>
        </w:rPr>
      </w:pPr>
      <w:r w:rsidRPr="00F701E1">
        <w:rPr>
          <w:rFonts w:asciiTheme="majorHAnsi" w:hAnsiTheme="majorHAnsi"/>
          <w:b/>
        </w:rPr>
        <w:br w:type="page"/>
      </w:r>
    </w:p>
    <w:p w14:paraId="28CADCCD" w14:textId="14576C95" w:rsidR="00D0066B" w:rsidRPr="00F701E1" w:rsidRDefault="00D0066B" w:rsidP="00D0066B">
      <w:pPr>
        <w:spacing w:line="480" w:lineRule="auto"/>
        <w:rPr>
          <w:rFonts w:asciiTheme="majorHAnsi" w:hAnsiTheme="majorHAnsi"/>
          <w:b/>
        </w:rPr>
      </w:pPr>
      <w:r w:rsidRPr="00F701E1">
        <w:rPr>
          <w:rFonts w:asciiTheme="majorHAnsi" w:hAnsiTheme="majorHAnsi"/>
          <w:b/>
        </w:rPr>
        <w:lastRenderedPageBreak/>
        <w:t>INTRODUCTION</w:t>
      </w:r>
    </w:p>
    <w:p w14:paraId="62565451" w14:textId="51DB94D3" w:rsidR="00876DB8" w:rsidRPr="00F701E1" w:rsidRDefault="00EA021B" w:rsidP="00D0066B">
      <w:pPr>
        <w:spacing w:line="480" w:lineRule="auto"/>
        <w:jc w:val="both"/>
        <w:rPr>
          <w:rFonts w:asciiTheme="majorHAnsi" w:hAnsiTheme="majorHAnsi" w:cs="Arial"/>
          <w:lang w:val="en-GB"/>
        </w:rPr>
      </w:pPr>
      <w:r w:rsidRPr="00F701E1">
        <w:rPr>
          <w:rFonts w:asciiTheme="majorHAnsi" w:hAnsiTheme="majorHAnsi" w:cs="Arial"/>
          <w:lang w:val="en-GB"/>
        </w:rPr>
        <w:t>E</w:t>
      </w:r>
      <w:r w:rsidR="00876DB8" w:rsidRPr="00F701E1">
        <w:rPr>
          <w:rFonts w:asciiTheme="majorHAnsi" w:hAnsiTheme="majorHAnsi" w:cs="Arial"/>
          <w:lang w:val="en-GB"/>
        </w:rPr>
        <w:t>sophageal cancer remains in the top five most rapidly rising cancer types in the Western world</w:t>
      </w:r>
      <w:proofErr w:type="gramStart"/>
      <w:r w:rsidR="00876DB8" w:rsidRPr="00F701E1">
        <w:rPr>
          <w:rFonts w:asciiTheme="majorHAnsi" w:hAnsiTheme="majorHAnsi" w:cs="Arial"/>
          <w:lang w:val="en-GB"/>
        </w:rPr>
        <w:t>,[</w:t>
      </w:r>
      <w:proofErr w:type="gramEnd"/>
      <w:r w:rsidR="00E85696" w:rsidRPr="00F701E1">
        <w:rPr>
          <w:rFonts w:asciiTheme="majorHAnsi" w:hAnsiTheme="majorHAnsi" w:cs="Arial"/>
          <w:lang w:val="en-GB"/>
        </w:rPr>
        <w:t>1–3</w:t>
      </w:r>
      <w:r w:rsidR="00876DB8" w:rsidRPr="00F701E1">
        <w:rPr>
          <w:rFonts w:asciiTheme="majorHAnsi" w:hAnsiTheme="majorHAnsi" w:cs="Arial"/>
          <w:lang w:val="en-GB"/>
        </w:rPr>
        <w:t>] and the U</w:t>
      </w:r>
      <w:r w:rsidR="00C334CC" w:rsidRPr="00F701E1">
        <w:rPr>
          <w:rFonts w:asciiTheme="majorHAnsi" w:hAnsiTheme="majorHAnsi" w:cs="Arial"/>
          <w:lang w:val="en-GB"/>
        </w:rPr>
        <w:t xml:space="preserve">K has the highest incidence of </w:t>
      </w:r>
      <w:r w:rsidR="00876DB8" w:rsidRPr="00F701E1">
        <w:rPr>
          <w:rFonts w:asciiTheme="majorHAnsi" w:hAnsiTheme="majorHAnsi" w:cs="Arial"/>
          <w:lang w:val="en-GB"/>
        </w:rPr>
        <w:t>esophageal adenocarcinoma in the World.[</w:t>
      </w:r>
      <w:r w:rsidR="00E85696" w:rsidRPr="00F701E1">
        <w:rPr>
          <w:rFonts w:asciiTheme="majorHAnsi" w:hAnsiTheme="majorHAnsi" w:cs="Arial"/>
          <w:lang w:val="en-GB"/>
        </w:rPr>
        <w:t>4</w:t>
      </w:r>
      <w:r w:rsidR="00876DB8" w:rsidRPr="00F701E1">
        <w:rPr>
          <w:rFonts w:asciiTheme="majorHAnsi" w:hAnsiTheme="majorHAnsi" w:cs="Arial"/>
          <w:lang w:val="en-GB"/>
        </w:rPr>
        <w:t xml:space="preserve">] Far Eastern countries with a high incidence of gastric cancer have shown benefits of large-population screening programmes with an increase in the </w:t>
      </w:r>
      <w:r w:rsidR="00EB790C" w:rsidRPr="00F701E1">
        <w:rPr>
          <w:rFonts w:asciiTheme="majorHAnsi" w:hAnsiTheme="majorHAnsi" w:cs="Arial"/>
          <w:lang w:val="en-GB"/>
        </w:rPr>
        <w:t xml:space="preserve">elective </w:t>
      </w:r>
      <w:r w:rsidR="00876DB8" w:rsidRPr="00F701E1">
        <w:rPr>
          <w:rFonts w:asciiTheme="majorHAnsi" w:hAnsiTheme="majorHAnsi" w:cs="Arial"/>
          <w:lang w:val="en-GB"/>
        </w:rPr>
        <w:t>detection of early cancer and improved long-term survival.[</w:t>
      </w:r>
      <w:r w:rsidR="00E85696" w:rsidRPr="00F701E1">
        <w:rPr>
          <w:rFonts w:asciiTheme="majorHAnsi" w:hAnsiTheme="majorHAnsi" w:cs="Arial"/>
          <w:lang w:val="en-GB"/>
        </w:rPr>
        <w:t>5</w:t>
      </w:r>
      <w:r w:rsidR="00876DB8" w:rsidRPr="00F701E1">
        <w:rPr>
          <w:rFonts w:asciiTheme="majorHAnsi" w:hAnsiTheme="majorHAnsi" w:cs="Arial"/>
          <w:lang w:val="en-GB"/>
        </w:rPr>
        <w:t>] However no screening programme curre</w:t>
      </w:r>
      <w:r w:rsidR="00C334CC" w:rsidRPr="00F701E1">
        <w:rPr>
          <w:rFonts w:asciiTheme="majorHAnsi" w:hAnsiTheme="majorHAnsi" w:cs="Arial"/>
          <w:lang w:val="en-GB"/>
        </w:rPr>
        <w:t xml:space="preserve">nt exists in the UK for </w:t>
      </w:r>
      <w:r w:rsidR="00876DB8" w:rsidRPr="00F701E1">
        <w:rPr>
          <w:rFonts w:asciiTheme="majorHAnsi" w:hAnsiTheme="majorHAnsi" w:cs="Arial"/>
          <w:lang w:val="en-GB"/>
        </w:rPr>
        <w:t>esophageal and gastric cancer, due to the relatively low incidence of the disease compared to other cancer types.[</w:t>
      </w:r>
      <w:r w:rsidR="00E85696" w:rsidRPr="00F701E1">
        <w:rPr>
          <w:rFonts w:asciiTheme="majorHAnsi" w:hAnsiTheme="majorHAnsi" w:cs="Arial"/>
          <w:lang w:val="en-GB"/>
        </w:rPr>
        <w:t>3</w:t>
      </w:r>
      <w:r w:rsidR="00876DB8" w:rsidRPr="00F701E1">
        <w:rPr>
          <w:rFonts w:asciiTheme="majorHAnsi" w:hAnsiTheme="majorHAnsi" w:cs="Arial"/>
          <w:lang w:val="en-GB"/>
        </w:rPr>
        <w:t xml:space="preserve">] </w:t>
      </w:r>
    </w:p>
    <w:p w14:paraId="493552B8" w14:textId="647A2026" w:rsidR="00AC5A37" w:rsidRPr="00F701E1" w:rsidRDefault="00AC5A37" w:rsidP="00AC5A37">
      <w:pPr>
        <w:spacing w:line="480" w:lineRule="auto"/>
        <w:jc w:val="both"/>
        <w:rPr>
          <w:rFonts w:asciiTheme="majorHAnsi" w:hAnsiTheme="majorHAnsi" w:cs="Arial"/>
          <w:lang w:val="en-GB"/>
        </w:rPr>
      </w:pPr>
      <w:r w:rsidRPr="00F701E1">
        <w:rPr>
          <w:rFonts w:asciiTheme="majorHAnsi" w:hAnsiTheme="majorHAnsi" w:cs="Arial"/>
          <w:lang w:val="en-GB"/>
        </w:rPr>
        <w:t>Current National Institute of Clinical Excellence (NICE) guidelines in the UK, recommend urgent primary care referral for upper gastrointestinal endoscopy in patients with dysphagia or aged 55 and over with weight loss and either upper abdominal pain, reflux and dyspepsia</w:t>
      </w:r>
      <w:proofErr w:type="gramStart"/>
      <w:r w:rsidRPr="00F701E1">
        <w:rPr>
          <w:rFonts w:asciiTheme="majorHAnsi" w:hAnsiTheme="majorHAnsi" w:cs="Arial"/>
          <w:lang w:val="en-GB"/>
        </w:rPr>
        <w:t>.[</w:t>
      </w:r>
      <w:proofErr w:type="gramEnd"/>
      <w:r w:rsidRPr="00F701E1">
        <w:rPr>
          <w:rFonts w:asciiTheme="majorHAnsi" w:hAnsiTheme="majorHAnsi" w:cs="Arial"/>
          <w:lang w:val="en-GB"/>
        </w:rPr>
        <w:t xml:space="preserve">6] Despite these guidelines </w:t>
      </w:r>
      <w:r w:rsidR="009C5414" w:rsidRPr="00F701E1">
        <w:rPr>
          <w:rFonts w:asciiTheme="majorHAnsi" w:hAnsiTheme="majorHAnsi" w:cs="Arial"/>
          <w:lang w:val="en-GB"/>
        </w:rPr>
        <w:t xml:space="preserve">a </w:t>
      </w:r>
      <w:r w:rsidRPr="00F701E1">
        <w:rPr>
          <w:rFonts w:asciiTheme="majorHAnsi" w:hAnsiTheme="majorHAnsi" w:cs="Arial"/>
          <w:lang w:val="en-GB"/>
        </w:rPr>
        <w:t>wide range in prima</w:t>
      </w:r>
      <w:r w:rsidR="00C334CC" w:rsidRPr="00F701E1">
        <w:rPr>
          <w:rFonts w:asciiTheme="majorHAnsi" w:hAnsiTheme="majorHAnsi" w:cs="Arial"/>
          <w:lang w:val="en-GB"/>
        </w:rPr>
        <w:t xml:space="preserve">ry emergency presentation with </w:t>
      </w:r>
      <w:r w:rsidRPr="00F701E1">
        <w:rPr>
          <w:rFonts w:asciiTheme="majorHAnsi" w:hAnsiTheme="majorHAnsi" w:cs="Arial"/>
          <w:lang w:val="en-GB"/>
        </w:rPr>
        <w:t>esophageal and gastric cancer, still exists between hospital trusts ranging from 0% to 30.5%.[7]</w:t>
      </w:r>
    </w:p>
    <w:p w14:paraId="1DB34346" w14:textId="1EFBAB22" w:rsidR="00AC5A37" w:rsidRPr="00F701E1" w:rsidRDefault="00AC5A37" w:rsidP="00AC5A37">
      <w:pPr>
        <w:spacing w:line="480" w:lineRule="auto"/>
        <w:jc w:val="both"/>
        <w:rPr>
          <w:rFonts w:asciiTheme="majorHAnsi" w:hAnsiTheme="majorHAnsi" w:cs="Arial"/>
          <w:lang w:val="en-GB"/>
        </w:rPr>
      </w:pPr>
      <w:r w:rsidRPr="00F701E1">
        <w:rPr>
          <w:rFonts w:asciiTheme="majorHAnsi" w:hAnsiTheme="majorHAnsi" w:cs="Arial"/>
          <w:lang w:val="en-GB"/>
        </w:rPr>
        <w:t>Single-centre studies have reported a poor prognosis of patients undergoing primary surgery at the index admission w</w:t>
      </w:r>
      <w:r w:rsidR="00C334CC" w:rsidRPr="00F701E1">
        <w:rPr>
          <w:rFonts w:asciiTheme="majorHAnsi" w:hAnsiTheme="majorHAnsi" w:cs="Arial"/>
          <w:lang w:val="en-GB"/>
        </w:rPr>
        <w:t xml:space="preserve">ith an acute complication from </w:t>
      </w:r>
      <w:r w:rsidRPr="00F701E1">
        <w:rPr>
          <w:rFonts w:asciiTheme="majorHAnsi" w:hAnsiTheme="majorHAnsi" w:cs="Arial"/>
          <w:lang w:val="en-GB"/>
        </w:rPr>
        <w:t>esophageal or gastric cancer</w:t>
      </w:r>
      <w:proofErr w:type="gramStart"/>
      <w:r w:rsidRPr="00F701E1">
        <w:rPr>
          <w:rFonts w:asciiTheme="majorHAnsi" w:hAnsiTheme="majorHAnsi" w:cs="Arial"/>
          <w:lang w:val="en-GB"/>
        </w:rPr>
        <w:t>.[</w:t>
      </w:r>
      <w:proofErr w:type="gramEnd"/>
      <w:r w:rsidRPr="00F701E1">
        <w:rPr>
          <w:rFonts w:asciiTheme="majorHAnsi" w:hAnsiTheme="majorHAnsi" w:cs="Arial"/>
          <w:lang w:val="en-GB"/>
        </w:rPr>
        <w:t>8–10] However no publications have evaluated the prognosis of patients stabilised following initial emergency presentation and discharged prior to return for elective surgery.</w:t>
      </w:r>
    </w:p>
    <w:p w14:paraId="01289386" w14:textId="638E7D22" w:rsidR="00AC5A37" w:rsidRPr="00F701E1" w:rsidRDefault="00AC5A37" w:rsidP="00AC5A37">
      <w:pPr>
        <w:spacing w:line="480" w:lineRule="auto"/>
        <w:jc w:val="both"/>
        <w:rPr>
          <w:rFonts w:asciiTheme="majorHAnsi" w:hAnsiTheme="majorHAnsi" w:cs="Arial"/>
          <w:lang w:val="en-GB"/>
        </w:rPr>
      </w:pPr>
      <w:r w:rsidRPr="00F701E1">
        <w:rPr>
          <w:rFonts w:asciiTheme="majorHAnsi" w:hAnsiTheme="majorHAnsi" w:cs="Arial"/>
          <w:lang w:val="en-GB"/>
        </w:rPr>
        <w:t xml:space="preserve">The objectives of the present large-scale English population study were to (i) evaluate changes over time </w:t>
      </w:r>
      <w:r w:rsidR="00C334CC" w:rsidRPr="00F701E1">
        <w:rPr>
          <w:rFonts w:asciiTheme="majorHAnsi" w:hAnsiTheme="majorHAnsi" w:cs="Arial"/>
          <w:lang w:val="en-GB"/>
        </w:rPr>
        <w:t xml:space="preserve">of emergency admission rate of </w:t>
      </w:r>
      <w:proofErr w:type="spellStart"/>
      <w:r w:rsidRPr="00F701E1">
        <w:rPr>
          <w:rFonts w:asciiTheme="majorHAnsi" w:hAnsiTheme="majorHAnsi" w:cs="Arial"/>
          <w:lang w:val="en-GB"/>
        </w:rPr>
        <w:t>esophago</w:t>
      </w:r>
      <w:proofErr w:type="spellEnd"/>
      <w:r w:rsidRPr="00F701E1">
        <w:rPr>
          <w:rFonts w:asciiTheme="majorHAnsi" w:hAnsiTheme="majorHAnsi" w:cs="Arial"/>
          <w:lang w:val="en-GB"/>
        </w:rPr>
        <w:t xml:space="preserve">-gastric cancer; (ii) examine the prognosis of those patients when surgery was performed on the index admission or as elective readmission following stabilisation of the patient and </w:t>
      </w:r>
      <w:r w:rsidRPr="00F701E1">
        <w:rPr>
          <w:rFonts w:asciiTheme="majorHAnsi" w:hAnsiTheme="majorHAnsi" w:cs="Arial"/>
          <w:lang w:val="en-GB"/>
        </w:rPr>
        <w:lastRenderedPageBreak/>
        <w:t xml:space="preserve">discharge and (iii) identify patient factors that may be associated with a </w:t>
      </w:r>
      <w:r w:rsidR="00C334CC" w:rsidRPr="00F701E1">
        <w:rPr>
          <w:rFonts w:asciiTheme="majorHAnsi" w:hAnsiTheme="majorHAnsi" w:cs="Arial"/>
          <w:lang w:val="en-GB"/>
        </w:rPr>
        <w:t xml:space="preserve">greater incidence of emergency </w:t>
      </w:r>
      <w:proofErr w:type="spellStart"/>
      <w:r w:rsidRPr="00F701E1">
        <w:rPr>
          <w:rFonts w:asciiTheme="majorHAnsi" w:hAnsiTheme="majorHAnsi" w:cs="Arial"/>
          <w:lang w:val="en-GB"/>
        </w:rPr>
        <w:t>esophago</w:t>
      </w:r>
      <w:proofErr w:type="spellEnd"/>
      <w:r w:rsidRPr="00F701E1">
        <w:rPr>
          <w:rFonts w:asciiTheme="majorHAnsi" w:hAnsiTheme="majorHAnsi" w:cs="Arial"/>
          <w:lang w:val="en-GB"/>
        </w:rPr>
        <w:t xml:space="preserve">-gastric cancer presentation. </w:t>
      </w:r>
    </w:p>
    <w:p w14:paraId="42ABBE2A" w14:textId="77777777" w:rsidR="00E37D58" w:rsidRPr="00F701E1" w:rsidRDefault="00E37D58" w:rsidP="00E37D58">
      <w:pPr>
        <w:pStyle w:val="ListParagraph"/>
        <w:spacing w:line="480" w:lineRule="auto"/>
        <w:jc w:val="both"/>
        <w:rPr>
          <w:rFonts w:asciiTheme="majorHAnsi" w:hAnsiTheme="majorHAnsi" w:cs="Arial"/>
          <w:lang w:val="en-GB"/>
        </w:rPr>
      </w:pPr>
    </w:p>
    <w:p w14:paraId="5E717595" w14:textId="77777777" w:rsidR="00D0066B" w:rsidRPr="00F701E1" w:rsidRDefault="00D0066B" w:rsidP="00D0066B">
      <w:pPr>
        <w:rPr>
          <w:rFonts w:asciiTheme="majorHAnsi" w:hAnsiTheme="majorHAnsi"/>
          <w:b/>
        </w:rPr>
      </w:pPr>
      <w:r w:rsidRPr="00F701E1">
        <w:rPr>
          <w:rFonts w:asciiTheme="majorHAnsi" w:hAnsiTheme="majorHAnsi"/>
          <w:b/>
        </w:rPr>
        <w:br w:type="page"/>
      </w:r>
    </w:p>
    <w:p w14:paraId="41B8B975" w14:textId="77777777" w:rsidR="00D0066B" w:rsidRPr="00F701E1" w:rsidRDefault="00D0066B" w:rsidP="00D0066B">
      <w:pPr>
        <w:spacing w:line="480" w:lineRule="auto"/>
        <w:jc w:val="both"/>
        <w:rPr>
          <w:rFonts w:asciiTheme="majorHAnsi" w:hAnsiTheme="majorHAnsi"/>
          <w:b/>
        </w:rPr>
      </w:pPr>
      <w:r w:rsidRPr="00F701E1">
        <w:rPr>
          <w:rFonts w:asciiTheme="majorHAnsi" w:hAnsiTheme="majorHAnsi"/>
          <w:b/>
        </w:rPr>
        <w:lastRenderedPageBreak/>
        <w:t>METHODS</w:t>
      </w:r>
    </w:p>
    <w:p w14:paraId="3A414A6D" w14:textId="77777777" w:rsidR="004A2E8B" w:rsidRPr="00F701E1" w:rsidRDefault="004A2E8B" w:rsidP="004A2E8B">
      <w:pPr>
        <w:spacing w:after="200" w:line="480" w:lineRule="auto"/>
        <w:jc w:val="both"/>
        <w:rPr>
          <w:rFonts w:asciiTheme="majorHAnsi" w:hAnsiTheme="majorHAnsi"/>
          <w:b/>
        </w:rPr>
      </w:pPr>
      <w:r w:rsidRPr="00F701E1">
        <w:rPr>
          <w:rFonts w:asciiTheme="majorHAnsi" w:hAnsiTheme="majorHAnsi"/>
          <w:b/>
        </w:rPr>
        <w:t>Database and coding</w:t>
      </w:r>
    </w:p>
    <w:p w14:paraId="05AFF4C5" w14:textId="5F0BC950" w:rsidR="00642F08" w:rsidRPr="00F701E1" w:rsidRDefault="004A2E8B" w:rsidP="004A2E8B">
      <w:pPr>
        <w:spacing w:after="200" w:line="480" w:lineRule="auto"/>
        <w:jc w:val="both"/>
        <w:rPr>
          <w:rFonts w:asciiTheme="majorHAnsi" w:hAnsiTheme="majorHAnsi"/>
        </w:rPr>
      </w:pPr>
      <w:r w:rsidRPr="00F701E1">
        <w:rPr>
          <w:rFonts w:asciiTheme="majorHAnsi" w:hAnsiTheme="majorHAnsi"/>
        </w:rPr>
        <w:t>Data were derived from the Hospital Ep</w:t>
      </w:r>
      <w:r w:rsidR="000F0A37" w:rsidRPr="00F701E1">
        <w:rPr>
          <w:rFonts w:asciiTheme="majorHAnsi" w:hAnsiTheme="majorHAnsi"/>
        </w:rPr>
        <w:t>isode Statistics (HES) database</w:t>
      </w:r>
      <w:proofErr w:type="gramStart"/>
      <w:r w:rsidR="000F0A37" w:rsidRPr="00F701E1">
        <w:rPr>
          <w:rFonts w:asciiTheme="majorHAnsi" w:hAnsiTheme="majorHAnsi"/>
        </w:rPr>
        <w:t>.</w:t>
      </w:r>
      <w:r w:rsidRPr="00F701E1">
        <w:rPr>
          <w:rFonts w:asciiTheme="majorHAnsi" w:hAnsiTheme="majorHAnsi"/>
        </w:rPr>
        <w:t>[</w:t>
      </w:r>
      <w:proofErr w:type="gramEnd"/>
      <w:r w:rsidR="00E85696" w:rsidRPr="00F701E1">
        <w:rPr>
          <w:rFonts w:asciiTheme="majorHAnsi" w:hAnsiTheme="majorHAnsi"/>
        </w:rPr>
        <w:t>11</w:t>
      </w:r>
      <w:r w:rsidR="000F0A37" w:rsidRPr="00F701E1">
        <w:rPr>
          <w:rFonts w:asciiTheme="majorHAnsi" w:hAnsiTheme="majorHAnsi"/>
        </w:rPr>
        <w:t>]</w:t>
      </w:r>
      <w:r w:rsidRPr="00F701E1">
        <w:rPr>
          <w:rFonts w:asciiTheme="majorHAnsi" w:hAnsiTheme="majorHAnsi"/>
        </w:rPr>
        <w:t xml:space="preserve"> This is a record-based system that collects patient-level data from all NHS hospitals in England. It captures all patients treated in public sector hospitals and a minor of patients treated in privately funded institutions. Patients are given a unique HES identifier that allows all of their hospital admissions to be tracked throughout the dataset.</w:t>
      </w:r>
      <w:r w:rsidR="00E90E0E" w:rsidRPr="00F701E1">
        <w:rPr>
          <w:rFonts w:asciiTheme="majorHAnsi" w:hAnsiTheme="majorHAnsi"/>
        </w:rPr>
        <w:t xml:space="preserve"> All patients over the age of 18</w:t>
      </w:r>
      <w:r w:rsidRPr="00F701E1">
        <w:rPr>
          <w:rFonts w:asciiTheme="majorHAnsi" w:hAnsiTheme="majorHAnsi"/>
        </w:rPr>
        <w:t xml:space="preserve"> years who </w:t>
      </w:r>
      <w:r w:rsidR="009872C7" w:rsidRPr="00F701E1">
        <w:rPr>
          <w:rFonts w:asciiTheme="majorHAnsi" w:hAnsiTheme="majorHAnsi"/>
        </w:rPr>
        <w:t xml:space="preserve">received a diagnosis of </w:t>
      </w:r>
      <w:proofErr w:type="spellStart"/>
      <w:r w:rsidR="009872C7" w:rsidRPr="00F701E1">
        <w:rPr>
          <w:rFonts w:asciiTheme="majorHAnsi" w:hAnsiTheme="majorHAnsi"/>
        </w:rPr>
        <w:t>oesophageal</w:t>
      </w:r>
      <w:proofErr w:type="spellEnd"/>
      <w:r w:rsidR="009872C7" w:rsidRPr="00F701E1">
        <w:rPr>
          <w:rFonts w:asciiTheme="majorHAnsi" w:hAnsiTheme="majorHAnsi"/>
        </w:rPr>
        <w:t xml:space="preserve"> or gastric cancer</w:t>
      </w:r>
      <w:r w:rsidRPr="00F701E1">
        <w:rPr>
          <w:rFonts w:asciiTheme="majorHAnsi" w:hAnsiTheme="majorHAnsi"/>
        </w:rPr>
        <w:t xml:space="preserve"> between 1</w:t>
      </w:r>
      <w:r w:rsidRPr="00F701E1">
        <w:rPr>
          <w:rFonts w:asciiTheme="majorHAnsi" w:hAnsiTheme="majorHAnsi"/>
          <w:vertAlign w:val="superscript"/>
        </w:rPr>
        <w:t>st</w:t>
      </w:r>
      <w:r w:rsidRPr="00F701E1">
        <w:rPr>
          <w:rFonts w:asciiTheme="majorHAnsi" w:hAnsiTheme="majorHAnsi"/>
        </w:rPr>
        <w:t xml:space="preserve"> January 1997 and 31</w:t>
      </w:r>
      <w:r w:rsidRPr="00F701E1">
        <w:rPr>
          <w:rFonts w:asciiTheme="majorHAnsi" w:hAnsiTheme="majorHAnsi"/>
          <w:vertAlign w:val="superscript"/>
        </w:rPr>
        <w:t>st</w:t>
      </w:r>
      <w:r w:rsidRPr="00F701E1">
        <w:rPr>
          <w:rFonts w:asciiTheme="majorHAnsi" w:hAnsiTheme="majorHAnsi"/>
        </w:rPr>
        <w:t xml:space="preserve"> December 2012 were included in the study. Patients were tracked through the database using their unique HES identifier to provide</w:t>
      </w:r>
      <w:r w:rsidR="009872C7" w:rsidRPr="00F701E1">
        <w:rPr>
          <w:rFonts w:asciiTheme="majorHAnsi" w:hAnsiTheme="majorHAnsi"/>
        </w:rPr>
        <w:t xml:space="preserve"> data regarding mortality and cancer recurrence</w:t>
      </w:r>
      <w:r w:rsidRPr="00F701E1">
        <w:rPr>
          <w:rFonts w:asciiTheme="majorHAnsi" w:hAnsiTheme="majorHAnsi"/>
        </w:rPr>
        <w:t xml:space="preserve">. </w:t>
      </w:r>
    </w:p>
    <w:p w14:paraId="6ED7C521" w14:textId="2A3D61CE" w:rsidR="00C94FA5" w:rsidRPr="00F701E1" w:rsidRDefault="004A2E8B" w:rsidP="004A2E8B">
      <w:pPr>
        <w:spacing w:after="200" w:line="480" w:lineRule="auto"/>
        <w:jc w:val="both"/>
        <w:rPr>
          <w:rFonts w:asciiTheme="majorHAnsi" w:hAnsiTheme="majorHAnsi"/>
        </w:rPr>
      </w:pPr>
      <w:r w:rsidRPr="00F701E1">
        <w:rPr>
          <w:rFonts w:asciiTheme="majorHAnsi" w:hAnsiTheme="majorHAnsi"/>
        </w:rPr>
        <w:t xml:space="preserve">Patients presenting with an </w:t>
      </w:r>
      <w:r w:rsidR="00E90E0E" w:rsidRPr="00F701E1">
        <w:rPr>
          <w:rFonts w:asciiTheme="majorHAnsi" w:hAnsiTheme="majorHAnsi"/>
        </w:rPr>
        <w:t xml:space="preserve">esophageal or gastric cancer </w:t>
      </w:r>
      <w:r w:rsidRPr="00F701E1">
        <w:rPr>
          <w:rFonts w:asciiTheme="majorHAnsi" w:hAnsiTheme="majorHAnsi"/>
        </w:rPr>
        <w:t>were identified using the relevant International Classification of Disease 10</w:t>
      </w:r>
      <w:r w:rsidRPr="00F701E1">
        <w:rPr>
          <w:rFonts w:asciiTheme="majorHAnsi" w:hAnsiTheme="majorHAnsi"/>
          <w:vertAlign w:val="superscript"/>
        </w:rPr>
        <w:t>th</w:t>
      </w:r>
      <w:r w:rsidR="00E90E0E" w:rsidRPr="00F701E1">
        <w:rPr>
          <w:rFonts w:asciiTheme="majorHAnsi" w:hAnsiTheme="majorHAnsi"/>
        </w:rPr>
        <w:t xml:space="preserve"> revision (ICD-10) codes. </w:t>
      </w:r>
      <w:r w:rsidR="00C94FA5" w:rsidRPr="00F701E1">
        <w:rPr>
          <w:rFonts w:asciiTheme="majorHAnsi" w:hAnsiTheme="majorHAnsi"/>
        </w:rPr>
        <w:t>The first admi</w:t>
      </w:r>
      <w:r w:rsidR="001274F4" w:rsidRPr="00F701E1">
        <w:rPr>
          <w:rFonts w:asciiTheme="majorHAnsi" w:hAnsiTheme="majorHAnsi"/>
        </w:rPr>
        <w:t xml:space="preserve">ssion providing a diagnosis of </w:t>
      </w:r>
      <w:r w:rsidR="00C94FA5" w:rsidRPr="00F701E1">
        <w:rPr>
          <w:rFonts w:asciiTheme="majorHAnsi" w:hAnsiTheme="majorHAnsi"/>
        </w:rPr>
        <w:t xml:space="preserve">esophageal or gastric cancer was used to classify the patient presentation </w:t>
      </w:r>
      <w:r w:rsidR="001274F4" w:rsidRPr="00F701E1">
        <w:rPr>
          <w:rFonts w:asciiTheme="majorHAnsi" w:hAnsiTheme="majorHAnsi"/>
        </w:rPr>
        <w:t>as emergency (admission code 21–</w:t>
      </w:r>
      <w:r w:rsidR="00C94FA5" w:rsidRPr="00F701E1">
        <w:rPr>
          <w:rFonts w:asciiTheme="majorHAnsi" w:hAnsiTheme="majorHAnsi"/>
        </w:rPr>
        <w:t>28) or elective. Based on this index admission patients were divided into two comparative groups</w:t>
      </w:r>
      <w:proofErr w:type="gramStart"/>
      <w:r w:rsidR="00C94FA5" w:rsidRPr="00F701E1">
        <w:rPr>
          <w:rFonts w:asciiTheme="majorHAnsi" w:hAnsiTheme="majorHAnsi"/>
        </w:rPr>
        <w:t>;</w:t>
      </w:r>
      <w:proofErr w:type="gramEnd"/>
      <w:r w:rsidR="00C94FA5" w:rsidRPr="00F701E1">
        <w:rPr>
          <w:rFonts w:asciiTheme="majorHAnsi" w:hAnsiTheme="majorHAnsi"/>
        </w:rPr>
        <w:t xml:space="preserve"> emergency and elective presentation. </w:t>
      </w:r>
    </w:p>
    <w:p w14:paraId="75D0FC27" w14:textId="17353D7D" w:rsidR="004A2E8B" w:rsidRPr="00F701E1" w:rsidRDefault="00E90E0E" w:rsidP="004A2E8B">
      <w:pPr>
        <w:spacing w:after="200" w:line="480" w:lineRule="auto"/>
        <w:jc w:val="both"/>
        <w:rPr>
          <w:rFonts w:asciiTheme="majorHAnsi" w:hAnsiTheme="majorHAnsi"/>
        </w:rPr>
      </w:pPr>
      <w:r w:rsidRPr="00F701E1">
        <w:rPr>
          <w:rFonts w:asciiTheme="majorHAnsi" w:hAnsiTheme="majorHAnsi"/>
        </w:rPr>
        <w:t xml:space="preserve">ICD-10 codes were also used to identify the presence of medical comorbidities, which were used in combination to calculate the </w:t>
      </w:r>
      <w:proofErr w:type="spellStart"/>
      <w:r w:rsidRPr="00F701E1">
        <w:rPr>
          <w:rFonts w:asciiTheme="majorHAnsi" w:hAnsiTheme="majorHAnsi"/>
        </w:rPr>
        <w:t>Charlson</w:t>
      </w:r>
      <w:proofErr w:type="spellEnd"/>
      <w:r w:rsidRPr="00F701E1">
        <w:rPr>
          <w:rFonts w:asciiTheme="majorHAnsi" w:hAnsiTheme="majorHAnsi"/>
        </w:rPr>
        <w:t xml:space="preserve"> Comorbidity Index score</w:t>
      </w:r>
      <w:proofErr w:type="gramStart"/>
      <w:r w:rsidRPr="00F701E1">
        <w:rPr>
          <w:rFonts w:asciiTheme="majorHAnsi" w:hAnsiTheme="majorHAnsi"/>
        </w:rPr>
        <w:t>.[</w:t>
      </w:r>
      <w:proofErr w:type="gramEnd"/>
      <w:r w:rsidR="006E4A07" w:rsidRPr="00F701E1">
        <w:rPr>
          <w:rFonts w:asciiTheme="majorHAnsi" w:hAnsiTheme="majorHAnsi"/>
        </w:rPr>
        <w:t>12</w:t>
      </w:r>
      <w:r w:rsidRPr="00F701E1">
        <w:rPr>
          <w:rFonts w:asciiTheme="majorHAnsi" w:hAnsiTheme="majorHAnsi"/>
        </w:rPr>
        <w:t>] Similarly ICD-10 codes were used to identify the presence</w:t>
      </w:r>
      <w:r w:rsidR="00AC5A37" w:rsidRPr="00F701E1">
        <w:rPr>
          <w:rFonts w:asciiTheme="majorHAnsi" w:hAnsiTheme="majorHAnsi"/>
        </w:rPr>
        <w:t xml:space="preserve"> of liver and peritoneal metastases</w:t>
      </w:r>
      <w:r w:rsidRPr="00F701E1">
        <w:rPr>
          <w:rFonts w:asciiTheme="majorHAnsi" w:hAnsiTheme="majorHAnsi"/>
        </w:rPr>
        <w:t>. Surgical and endoscopic resections</w:t>
      </w:r>
      <w:r w:rsidR="004A2E8B" w:rsidRPr="00F701E1">
        <w:rPr>
          <w:rFonts w:asciiTheme="majorHAnsi" w:hAnsiTheme="majorHAnsi"/>
        </w:rPr>
        <w:t xml:space="preserve"> were identified using the Office of Population Censuses and Surveys Classification of Surgical Operations and </w:t>
      </w:r>
      <w:r w:rsidR="004A2E8B" w:rsidRPr="00F701E1">
        <w:rPr>
          <w:rFonts w:asciiTheme="majorHAnsi" w:hAnsiTheme="majorHAnsi"/>
        </w:rPr>
        <w:lastRenderedPageBreak/>
        <w:t>Procedures 4</w:t>
      </w:r>
      <w:r w:rsidR="004A2E8B" w:rsidRPr="00F701E1">
        <w:rPr>
          <w:rFonts w:asciiTheme="majorHAnsi" w:hAnsiTheme="majorHAnsi"/>
          <w:vertAlign w:val="superscript"/>
        </w:rPr>
        <w:t>th</w:t>
      </w:r>
      <w:r w:rsidR="00642F08" w:rsidRPr="00F701E1">
        <w:rPr>
          <w:rFonts w:asciiTheme="majorHAnsi" w:hAnsiTheme="majorHAnsi"/>
        </w:rPr>
        <w:t xml:space="preserve"> revision (OPCS-4) codes. All ICD-10 and OPCS-4 codes used in this study are provided in Appendix A. </w:t>
      </w:r>
    </w:p>
    <w:p w14:paraId="62B684D5" w14:textId="142F0EA9" w:rsidR="00642F08" w:rsidRPr="00F701E1" w:rsidRDefault="00B03DD0" w:rsidP="004A2E8B">
      <w:pPr>
        <w:spacing w:after="200" w:line="480" w:lineRule="auto"/>
        <w:jc w:val="both"/>
        <w:rPr>
          <w:rFonts w:asciiTheme="majorHAnsi" w:hAnsiTheme="majorHAnsi"/>
        </w:rPr>
      </w:pPr>
      <w:r w:rsidRPr="00F701E1">
        <w:rPr>
          <w:rFonts w:asciiTheme="majorHAnsi" w:hAnsiTheme="majorHAnsi"/>
        </w:rPr>
        <w:t>Townsend</w:t>
      </w:r>
      <w:r w:rsidR="00642F08" w:rsidRPr="00F701E1">
        <w:rPr>
          <w:rFonts w:asciiTheme="majorHAnsi" w:hAnsiTheme="majorHAnsi"/>
        </w:rPr>
        <w:t xml:space="preserve"> index of deprivation was used to classify patients based upon social deprivation</w:t>
      </w:r>
      <w:proofErr w:type="gramStart"/>
      <w:r w:rsidR="00642F08" w:rsidRPr="00F701E1">
        <w:rPr>
          <w:rFonts w:asciiTheme="majorHAnsi" w:hAnsiTheme="majorHAnsi"/>
        </w:rPr>
        <w:t>.[</w:t>
      </w:r>
      <w:proofErr w:type="gramEnd"/>
      <w:r w:rsidR="006E4A07" w:rsidRPr="00F701E1">
        <w:rPr>
          <w:rFonts w:asciiTheme="majorHAnsi" w:hAnsiTheme="majorHAnsi"/>
        </w:rPr>
        <w:t>13</w:t>
      </w:r>
      <w:r w:rsidR="00642F08" w:rsidRPr="00F701E1">
        <w:rPr>
          <w:rFonts w:asciiTheme="majorHAnsi" w:hAnsiTheme="majorHAnsi"/>
        </w:rPr>
        <w:t xml:space="preserve">] Similarly ethnicity code was provided to further identify patients from ethnic minorities, and an location code used to distinguish Urban and Rural areas of residence. </w:t>
      </w:r>
      <w:r w:rsidR="0031342C" w:rsidRPr="00F701E1">
        <w:rPr>
          <w:rFonts w:asciiTheme="majorHAnsi" w:hAnsiTheme="majorHAnsi"/>
        </w:rPr>
        <w:t xml:space="preserve">Average annual hospital volume of </w:t>
      </w:r>
      <w:proofErr w:type="spellStart"/>
      <w:r w:rsidR="0031342C" w:rsidRPr="00F701E1">
        <w:rPr>
          <w:rFonts w:asciiTheme="majorHAnsi" w:hAnsiTheme="majorHAnsi"/>
        </w:rPr>
        <w:t>esophago</w:t>
      </w:r>
      <w:proofErr w:type="spellEnd"/>
      <w:r w:rsidR="0031342C" w:rsidRPr="00F701E1">
        <w:rPr>
          <w:rFonts w:asciiTheme="majorHAnsi" w:hAnsiTheme="majorHAnsi"/>
        </w:rPr>
        <w:t xml:space="preserve">-gastric cancer cases was calculated for all hospitals within the dataset over the 16-year study period. The upper quartile threshold of 156 </w:t>
      </w:r>
      <w:proofErr w:type="spellStart"/>
      <w:r w:rsidR="0031342C" w:rsidRPr="00F701E1">
        <w:rPr>
          <w:rFonts w:asciiTheme="majorHAnsi" w:hAnsiTheme="majorHAnsi"/>
        </w:rPr>
        <w:t>esophago</w:t>
      </w:r>
      <w:proofErr w:type="spellEnd"/>
      <w:r w:rsidR="0031342C" w:rsidRPr="00F701E1">
        <w:rPr>
          <w:rFonts w:asciiTheme="majorHAnsi" w:hAnsiTheme="majorHAnsi"/>
        </w:rPr>
        <w:t xml:space="preserve">-gastric cancer cases per </w:t>
      </w:r>
      <w:proofErr w:type="gramStart"/>
      <w:r w:rsidR="0031342C" w:rsidRPr="00F701E1">
        <w:rPr>
          <w:rFonts w:asciiTheme="majorHAnsi" w:hAnsiTheme="majorHAnsi"/>
        </w:rPr>
        <w:t>year,</w:t>
      </w:r>
      <w:proofErr w:type="gramEnd"/>
      <w:r w:rsidR="0031342C" w:rsidRPr="00F701E1">
        <w:rPr>
          <w:rFonts w:asciiTheme="majorHAnsi" w:hAnsiTheme="majorHAnsi"/>
        </w:rPr>
        <w:t xml:space="preserve"> was used to define a high volume hospital. </w:t>
      </w:r>
    </w:p>
    <w:p w14:paraId="6D666C16" w14:textId="5186F42F" w:rsidR="004A2E8B" w:rsidRPr="00F701E1" w:rsidRDefault="008845CF" w:rsidP="00642F08">
      <w:pPr>
        <w:spacing w:after="200" w:line="480" w:lineRule="auto"/>
        <w:jc w:val="both"/>
        <w:rPr>
          <w:rFonts w:asciiTheme="majorHAnsi" w:hAnsiTheme="majorHAnsi"/>
        </w:rPr>
      </w:pPr>
      <w:r w:rsidRPr="00F701E1">
        <w:rPr>
          <w:rFonts w:asciiTheme="majorHAnsi" w:hAnsiTheme="majorHAnsi"/>
        </w:rPr>
        <w:t>Linking HES data with data from the Office for National Statistics (ONS) identified five-year mortality</w:t>
      </w:r>
      <w:r w:rsidR="00642F08" w:rsidRPr="00F701E1">
        <w:rPr>
          <w:rFonts w:asciiTheme="majorHAnsi" w:hAnsiTheme="majorHAnsi"/>
        </w:rPr>
        <w:t xml:space="preserve">. The process of data linkage was performed centrally using a unique patient National Health Service (NHS) number, which permits linkage of data between patient datasets. </w:t>
      </w:r>
      <w:r w:rsidR="004A2E8B" w:rsidRPr="00F701E1">
        <w:rPr>
          <w:rFonts w:asciiTheme="majorHAnsi" w:hAnsiTheme="majorHAnsi"/>
        </w:rPr>
        <w:t xml:space="preserve">Patients that did not undergo surgery on the initial emergency admission were followed through the dataset to identify those that underwent later elective </w:t>
      </w:r>
      <w:r w:rsidR="00642F08" w:rsidRPr="00F701E1">
        <w:rPr>
          <w:rFonts w:asciiTheme="majorHAnsi" w:hAnsiTheme="majorHAnsi"/>
        </w:rPr>
        <w:t xml:space="preserve">surgical or endoscopic resection of </w:t>
      </w:r>
      <w:r w:rsidR="001274F4" w:rsidRPr="00F701E1">
        <w:rPr>
          <w:rFonts w:asciiTheme="majorHAnsi" w:hAnsiTheme="majorHAnsi"/>
        </w:rPr>
        <w:t>esophageal</w:t>
      </w:r>
      <w:r w:rsidR="00642F08" w:rsidRPr="00F701E1">
        <w:rPr>
          <w:rFonts w:asciiTheme="majorHAnsi" w:hAnsiTheme="majorHAnsi"/>
        </w:rPr>
        <w:t xml:space="preserve"> or gastric cancer</w:t>
      </w:r>
      <w:r w:rsidR="004A2E8B" w:rsidRPr="00F701E1">
        <w:rPr>
          <w:rFonts w:asciiTheme="majorHAnsi" w:hAnsiTheme="majorHAnsi"/>
        </w:rPr>
        <w:t xml:space="preserve">. All patients were followed until death or till December 2012 and the end of the </w:t>
      </w:r>
      <w:r w:rsidR="00C94FA5" w:rsidRPr="00F701E1">
        <w:rPr>
          <w:rFonts w:asciiTheme="majorHAnsi" w:hAnsiTheme="majorHAnsi"/>
        </w:rPr>
        <w:t>available HES dataset</w:t>
      </w:r>
      <w:r w:rsidR="004A2E8B" w:rsidRPr="00F701E1">
        <w:rPr>
          <w:rFonts w:asciiTheme="majorHAnsi" w:hAnsiTheme="majorHAnsi"/>
        </w:rPr>
        <w:t xml:space="preserve">.  Permissions for the comparison of anonymized administrative data were obtained from the National Information Governance Board for Health and Social Care in England. </w:t>
      </w:r>
    </w:p>
    <w:p w14:paraId="0D4D7504" w14:textId="77777777" w:rsidR="004A2E8B" w:rsidRPr="00F701E1" w:rsidRDefault="004A2E8B" w:rsidP="00AD2E14">
      <w:pPr>
        <w:spacing w:line="480" w:lineRule="auto"/>
        <w:jc w:val="both"/>
        <w:rPr>
          <w:rFonts w:asciiTheme="majorHAnsi" w:hAnsiTheme="majorHAnsi"/>
          <w:b/>
        </w:rPr>
      </w:pPr>
      <w:r w:rsidRPr="00F701E1">
        <w:rPr>
          <w:rFonts w:asciiTheme="majorHAnsi" w:hAnsiTheme="majorHAnsi"/>
          <w:b/>
        </w:rPr>
        <w:t>Statistical analysis</w:t>
      </w:r>
    </w:p>
    <w:p w14:paraId="512C5560" w14:textId="77777777" w:rsidR="005F1481" w:rsidRPr="00F701E1" w:rsidRDefault="00AD2E14" w:rsidP="005F1481">
      <w:pPr>
        <w:spacing w:line="480" w:lineRule="auto"/>
        <w:jc w:val="both"/>
        <w:rPr>
          <w:rFonts w:asciiTheme="majorHAnsi" w:hAnsiTheme="majorHAnsi"/>
          <w:b/>
        </w:rPr>
      </w:pPr>
      <w:r w:rsidRPr="00F701E1">
        <w:rPr>
          <w:rFonts w:asciiTheme="majorHAnsi" w:hAnsiTheme="majorHAnsi"/>
        </w:rPr>
        <w:t xml:space="preserve">Statistical analysis was performed using SPSS version 22.0 software (SPSS, Chicago, IL). </w:t>
      </w:r>
      <w:r w:rsidR="00223D8F" w:rsidRPr="00F701E1">
        <w:rPr>
          <w:rFonts w:asciiTheme="majorHAnsi" w:hAnsiTheme="majorHAnsi"/>
        </w:rPr>
        <w:t xml:space="preserve">Data are presented as prevalence (percentage) and for mortality as hazard ratio (95% confidence interval). </w:t>
      </w:r>
      <w:r w:rsidR="005A33CD" w:rsidRPr="00F701E1">
        <w:rPr>
          <w:rFonts w:asciiTheme="majorHAnsi" w:hAnsiTheme="majorHAnsi"/>
        </w:rPr>
        <w:t xml:space="preserve">Categorical variables are expressed as a percentage, with </w:t>
      </w:r>
      <w:r w:rsidR="005A33CD" w:rsidRPr="00F701E1">
        <w:rPr>
          <w:rFonts w:asciiTheme="majorHAnsi" w:hAnsiTheme="majorHAnsi"/>
        </w:rPr>
        <w:lastRenderedPageBreak/>
        <w:t xml:space="preserve">intergroup comparisons made using </w:t>
      </w:r>
      <w:r w:rsidR="005A33CD" w:rsidRPr="00F701E1">
        <w:rPr>
          <w:rFonts w:ascii="Calibri" w:hAnsi="Calibri" w:cs="Arial"/>
        </w:rPr>
        <w:t>χ2 test. Overall survival was estimated using the Kaplan-Meier method</w:t>
      </w:r>
      <w:r w:rsidR="005A33CD" w:rsidRPr="00F701E1">
        <w:rPr>
          <w:rFonts w:asciiTheme="majorHAnsi" w:hAnsiTheme="majorHAnsi"/>
          <w:b/>
        </w:rPr>
        <w:t xml:space="preserve"> </w:t>
      </w:r>
      <w:r w:rsidR="005A33CD" w:rsidRPr="00F701E1">
        <w:rPr>
          <w:rFonts w:asciiTheme="majorHAnsi" w:hAnsiTheme="majorHAnsi"/>
        </w:rPr>
        <w:t>with the long-rank test used to compare survival curves.</w:t>
      </w:r>
      <w:r w:rsidR="005A33CD" w:rsidRPr="00F701E1">
        <w:rPr>
          <w:rFonts w:asciiTheme="majorHAnsi" w:hAnsiTheme="majorHAnsi"/>
          <w:b/>
        </w:rPr>
        <w:t xml:space="preserve"> </w:t>
      </w:r>
    </w:p>
    <w:p w14:paraId="66AF9FA8" w14:textId="5660A332" w:rsidR="00D0066B" w:rsidRPr="00F701E1" w:rsidRDefault="005F1481" w:rsidP="005F1481">
      <w:pPr>
        <w:spacing w:line="480" w:lineRule="auto"/>
        <w:jc w:val="both"/>
        <w:rPr>
          <w:rFonts w:asciiTheme="majorHAnsi" w:hAnsiTheme="majorHAnsi"/>
        </w:rPr>
      </w:pPr>
      <w:r w:rsidRPr="00F701E1">
        <w:rPr>
          <w:rFonts w:asciiTheme="majorHAnsi" w:hAnsiTheme="majorHAnsi"/>
        </w:rPr>
        <w:t xml:space="preserve">Binary logistic regression was performed with emergency </w:t>
      </w:r>
      <w:r w:rsidR="00C94FA5" w:rsidRPr="00F701E1">
        <w:rPr>
          <w:rFonts w:asciiTheme="majorHAnsi" w:hAnsiTheme="majorHAnsi"/>
        </w:rPr>
        <w:t>pre</w:t>
      </w:r>
      <w:r w:rsidRPr="00F701E1">
        <w:rPr>
          <w:rFonts w:asciiTheme="majorHAnsi" w:hAnsiTheme="majorHAnsi"/>
        </w:rPr>
        <w:t>s</w:t>
      </w:r>
      <w:r w:rsidR="00C94FA5" w:rsidRPr="00F701E1">
        <w:rPr>
          <w:rFonts w:asciiTheme="majorHAnsi" w:hAnsiTheme="majorHAnsi"/>
        </w:rPr>
        <w:t>entation</w:t>
      </w:r>
      <w:r w:rsidRPr="00F701E1">
        <w:rPr>
          <w:rFonts w:asciiTheme="majorHAnsi" w:hAnsiTheme="majorHAnsi"/>
        </w:rPr>
        <w:t xml:space="preserve"> of </w:t>
      </w:r>
      <w:proofErr w:type="spellStart"/>
      <w:r w:rsidRPr="00F701E1">
        <w:rPr>
          <w:rFonts w:asciiTheme="majorHAnsi" w:hAnsiTheme="majorHAnsi"/>
        </w:rPr>
        <w:t>oesophageal</w:t>
      </w:r>
      <w:proofErr w:type="spellEnd"/>
      <w:r w:rsidRPr="00F701E1">
        <w:rPr>
          <w:rFonts w:asciiTheme="majorHAnsi" w:hAnsiTheme="majorHAnsi"/>
        </w:rPr>
        <w:t xml:space="preserve"> or gastric cancer as the dependent variable, and patient age (&lt;70 or </w:t>
      </w:r>
      <w:r w:rsidRPr="00F701E1">
        <w:rPr>
          <w:rFonts w:asciiTheme="majorHAnsi" w:eastAsia="MS Gothic" w:hAnsiTheme="majorHAnsi"/>
          <w:color w:val="000000"/>
        </w:rPr>
        <w:t>≥</w:t>
      </w:r>
      <w:r w:rsidRPr="00F701E1">
        <w:rPr>
          <w:rFonts w:asciiTheme="majorHAnsi" w:hAnsiTheme="majorHAnsi"/>
        </w:rPr>
        <w:t>70</w:t>
      </w:r>
      <w:r w:rsidR="001274F4" w:rsidRPr="00F701E1">
        <w:rPr>
          <w:rFonts w:asciiTheme="majorHAnsi" w:hAnsiTheme="majorHAnsi"/>
        </w:rPr>
        <w:t xml:space="preserve"> years</w:t>
      </w:r>
      <w:r w:rsidRPr="00F701E1">
        <w:rPr>
          <w:rFonts w:asciiTheme="majorHAnsi" w:hAnsiTheme="majorHAnsi"/>
        </w:rPr>
        <w:t xml:space="preserve">), sex (male or female), ethnicity (white or non-white), location (non-urban or urban), </w:t>
      </w:r>
      <w:proofErr w:type="spellStart"/>
      <w:r w:rsidRPr="00F701E1">
        <w:rPr>
          <w:rFonts w:asciiTheme="majorHAnsi" w:hAnsiTheme="majorHAnsi"/>
        </w:rPr>
        <w:t>Charlson</w:t>
      </w:r>
      <w:proofErr w:type="spellEnd"/>
      <w:r w:rsidRPr="00F701E1">
        <w:rPr>
          <w:rFonts w:asciiTheme="majorHAnsi" w:hAnsiTheme="majorHAnsi"/>
        </w:rPr>
        <w:t xml:space="preserve"> score (&lt;3 or </w:t>
      </w:r>
      <w:r w:rsidR="0031342C" w:rsidRPr="00F701E1">
        <w:rPr>
          <w:rFonts w:asciiTheme="majorHAnsi" w:eastAsia="MS Gothic" w:hAnsiTheme="majorHAnsi"/>
          <w:color w:val="000000"/>
        </w:rPr>
        <w:t xml:space="preserve">≥3), </w:t>
      </w:r>
      <w:r w:rsidR="00B03DD0" w:rsidRPr="00F701E1">
        <w:rPr>
          <w:rFonts w:asciiTheme="majorHAnsi" w:eastAsia="MS Gothic" w:hAnsiTheme="majorHAnsi"/>
          <w:color w:val="000000"/>
        </w:rPr>
        <w:t>Townsend</w:t>
      </w:r>
      <w:r w:rsidRPr="00F701E1">
        <w:rPr>
          <w:rFonts w:asciiTheme="majorHAnsi" w:eastAsia="MS Gothic" w:hAnsiTheme="majorHAnsi"/>
          <w:color w:val="000000"/>
        </w:rPr>
        <w:t xml:space="preserve"> deprivation index (less or more deprived)</w:t>
      </w:r>
      <w:r w:rsidR="0031342C" w:rsidRPr="00F701E1">
        <w:rPr>
          <w:rFonts w:asciiTheme="majorHAnsi" w:eastAsia="MS Gothic" w:hAnsiTheme="majorHAnsi"/>
          <w:color w:val="000000"/>
        </w:rPr>
        <w:t xml:space="preserve"> and high hospital volume (&lt;156 or ≥156 </w:t>
      </w:r>
      <w:proofErr w:type="spellStart"/>
      <w:r w:rsidR="0031342C" w:rsidRPr="00F701E1">
        <w:rPr>
          <w:rFonts w:asciiTheme="majorHAnsi" w:eastAsia="MS Gothic" w:hAnsiTheme="majorHAnsi"/>
          <w:color w:val="000000"/>
        </w:rPr>
        <w:t>esophago</w:t>
      </w:r>
      <w:proofErr w:type="spellEnd"/>
      <w:r w:rsidR="0031342C" w:rsidRPr="00F701E1">
        <w:rPr>
          <w:rFonts w:asciiTheme="majorHAnsi" w:eastAsia="MS Gothic" w:hAnsiTheme="majorHAnsi"/>
          <w:color w:val="000000"/>
        </w:rPr>
        <w:t xml:space="preserve">-gastric cancer cases per year) </w:t>
      </w:r>
      <w:r w:rsidRPr="00F701E1">
        <w:rPr>
          <w:rFonts w:asciiTheme="majorHAnsi" w:eastAsia="MS Gothic" w:hAnsiTheme="majorHAnsi"/>
          <w:color w:val="000000"/>
        </w:rPr>
        <w:t xml:space="preserve">as independent variables. </w:t>
      </w:r>
      <w:r w:rsidR="008C368E" w:rsidRPr="00F701E1">
        <w:rPr>
          <w:rFonts w:asciiTheme="majorHAnsi" w:hAnsiTheme="majorHAnsi"/>
        </w:rPr>
        <w:t xml:space="preserve">Emergency cancer </w:t>
      </w:r>
      <w:r w:rsidR="00C94FA5" w:rsidRPr="00F701E1">
        <w:rPr>
          <w:rFonts w:asciiTheme="majorHAnsi" w:hAnsiTheme="majorHAnsi"/>
        </w:rPr>
        <w:t>pre</w:t>
      </w:r>
      <w:r w:rsidR="008C368E" w:rsidRPr="00F701E1">
        <w:rPr>
          <w:rFonts w:asciiTheme="majorHAnsi" w:hAnsiTheme="majorHAnsi"/>
        </w:rPr>
        <w:t>s</w:t>
      </w:r>
      <w:r w:rsidR="00C94FA5" w:rsidRPr="00F701E1">
        <w:rPr>
          <w:rFonts w:asciiTheme="majorHAnsi" w:hAnsiTheme="majorHAnsi"/>
        </w:rPr>
        <w:t>entation</w:t>
      </w:r>
      <w:r w:rsidR="008C368E" w:rsidRPr="00F701E1">
        <w:rPr>
          <w:rFonts w:asciiTheme="majorHAnsi" w:hAnsiTheme="majorHAnsi"/>
        </w:rPr>
        <w:t xml:space="preserve"> was </w:t>
      </w:r>
      <w:proofErr w:type="spellStart"/>
      <w:r w:rsidR="008C368E" w:rsidRPr="00F701E1">
        <w:rPr>
          <w:rFonts w:asciiTheme="majorHAnsi" w:hAnsiTheme="majorHAnsi"/>
        </w:rPr>
        <w:t>analysed</w:t>
      </w:r>
      <w:proofErr w:type="spellEnd"/>
      <w:r w:rsidR="008C368E" w:rsidRPr="00F701E1">
        <w:rPr>
          <w:rFonts w:asciiTheme="majorHAnsi" w:hAnsiTheme="majorHAnsi"/>
        </w:rPr>
        <w:t xml:space="preserve"> in relation to five-year mortality using </w:t>
      </w:r>
      <w:r w:rsidR="008C368E" w:rsidRPr="00F701E1">
        <w:rPr>
          <w:rFonts w:ascii="Calibri" w:hAnsi="Calibri"/>
          <w:lang w:val="en-GB"/>
        </w:rPr>
        <w:t>a multivariable Cox-proportional hazards model, providing hazard ratios (HRs) with 95% confidence intervals (CIs), adjusted for potential confounding factors. The confounders analysed were as above</w:t>
      </w:r>
      <w:proofErr w:type="gramStart"/>
      <w:r w:rsidR="008C368E" w:rsidRPr="00F701E1">
        <w:rPr>
          <w:rFonts w:ascii="Calibri" w:hAnsi="Calibri"/>
          <w:lang w:val="en-GB"/>
        </w:rPr>
        <w:t>;</w:t>
      </w:r>
      <w:proofErr w:type="gramEnd"/>
      <w:r w:rsidR="008C368E" w:rsidRPr="00F701E1">
        <w:rPr>
          <w:rFonts w:ascii="Calibri" w:hAnsi="Calibri"/>
          <w:lang w:val="en-GB"/>
        </w:rPr>
        <w:t xml:space="preserve"> </w:t>
      </w:r>
      <w:r w:rsidR="008C368E" w:rsidRPr="00F701E1">
        <w:rPr>
          <w:rFonts w:asciiTheme="majorHAnsi" w:hAnsiTheme="majorHAnsi"/>
        </w:rPr>
        <w:t xml:space="preserve">patient age (&lt;70 or </w:t>
      </w:r>
      <w:r w:rsidR="008C368E" w:rsidRPr="00F701E1">
        <w:rPr>
          <w:rFonts w:asciiTheme="majorHAnsi" w:eastAsia="MS Gothic" w:hAnsiTheme="majorHAnsi"/>
          <w:color w:val="000000"/>
        </w:rPr>
        <w:t>≥</w:t>
      </w:r>
      <w:r w:rsidR="008C368E" w:rsidRPr="00F701E1">
        <w:rPr>
          <w:rFonts w:asciiTheme="majorHAnsi" w:hAnsiTheme="majorHAnsi"/>
        </w:rPr>
        <w:t>70</w:t>
      </w:r>
      <w:r w:rsidR="001274F4" w:rsidRPr="00F701E1">
        <w:rPr>
          <w:rFonts w:asciiTheme="majorHAnsi" w:hAnsiTheme="majorHAnsi"/>
        </w:rPr>
        <w:t xml:space="preserve"> years</w:t>
      </w:r>
      <w:r w:rsidR="008C368E" w:rsidRPr="00F701E1">
        <w:rPr>
          <w:rFonts w:asciiTheme="majorHAnsi" w:hAnsiTheme="majorHAnsi"/>
        </w:rPr>
        <w:t xml:space="preserve">), sex (male or female), ethnicity (white or non-white), location (non-urban or urban), </w:t>
      </w:r>
      <w:proofErr w:type="spellStart"/>
      <w:r w:rsidR="008C368E" w:rsidRPr="00F701E1">
        <w:rPr>
          <w:rFonts w:asciiTheme="majorHAnsi" w:hAnsiTheme="majorHAnsi"/>
        </w:rPr>
        <w:t>Charlson</w:t>
      </w:r>
      <w:proofErr w:type="spellEnd"/>
      <w:r w:rsidR="008C368E" w:rsidRPr="00F701E1">
        <w:rPr>
          <w:rFonts w:asciiTheme="majorHAnsi" w:hAnsiTheme="majorHAnsi"/>
        </w:rPr>
        <w:t xml:space="preserve"> score (&lt;3 or </w:t>
      </w:r>
      <w:r w:rsidR="008C368E" w:rsidRPr="00F701E1">
        <w:rPr>
          <w:rFonts w:asciiTheme="majorHAnsi" w:eastAsia="MS Gothic" w:hAnsiTheme="majorHAnsi"/>
          <w:color w:val="000000"/>
        </w:rPr>
        <w:t>≥ 3)</w:t>
      </w:r>
      <w:r w:rsidR="0031342C" w:rsidRPr="00F701E1">
        <w:rPr>
          <w:rFonts w:asciiTheme="majorHAnsi" w:eastAsia="MS Gothic" w:hAnsiTheme="majorHAnsi"/>
          <w:color w:val="000000"/>
        </w:rPr>
        <w:t xml:space="preserve">, </w:t>
      </w:r>
      <w:r w:rsidR="00B03DD0" w:rsidRPr="00F701E1">
        <w:rPr>
          <w:rFonts w:asciiTheme="majorHAnsi" w:eastAsia="MS Gothic" w:hAnsiTheme="majorHAnsi"/>
          <w:color w:val="000000"/>
        </w:rPr>
        <w:t>Townsend</w:t>
      </w:r>
      <w:r w:rsidR="008C368E" w:rsidRPr="00F701E1">
        <w:rPr>
          <w:rFonts w:asciiTheme="majorHAnsi" w:eastAsia="MS Gothic" w:hAnsiTheme="majorHAnsi"/>
          <w:color w:val="000000"/>
        </w:rPr>
        <w:t xml:space="preserve"> deprivation index (less or more deprived)</w:t>
      </w:r>
      <w:r w:rsidR="0031342C" w:rsidRPr="00F701E1">
        <w:rPr>
          <w:rFonts w:asciiTheme="majorHAnsi" w:eastAsia="MS Gothic" w:hAnsiTheme="majorHAnsi"/>
          <w:color w:val="000000"/>
        </w:rPr>
        <w:t xml:space="preserve"> and high hospital volume (&lt;156 or ≥156 </w:t>
      </w:r>
      <w:proofErr w:type="spellStart"/>
      <w:r w:rsidR="0031342C" w:rsidRPr="00F701E1">
        <w:rPr>
          <w:rFonts w:asciiTheme="majorHAnsi" w:eastAsia="MS Gothic" w:hAnsiTheme="majorHAnsi"/>
          <w:color w:val="000000"/>
        </w:rPr>
        <w:t>esophago</w:t>
      </w:r>
      <w:proofErr w:type="spellEnd"/>
      <w:r w:rsidR="0031342C" w:rsidRPr="00F701E1">
        <w:rPr>
          <w:rFonts w:asciiTheme="majorHAnsi" w:eastAsia="MS Gothic" w:hAnsiTheme="majorHAnsi"/>
          <w:color w:val="000000"/>
        </w:rPr>
        <w:t>-gastric cancer cases per year)</w:t>
      </w:r>
      <w:r w:rsidR="008C368E" w:rsidRPr="00F701E1">
        <w:rPr>
          <w:rFonts w:asciiTheme="majorHAnsi" w:eastAsia="MS Gothic" w:hAnsiTheme="majorHAnsi"/>
          <w:color w:val="000000"/>
        </w:rPr>
        <w:t xml:space="preserve">. Subset analyses were also performed </w:t>
      </w:r>
      <w:r w:rsidR="00B05F0E" w:rsidRPr="00F701E1">
        <w:rPr>
          <w:rFonts w:asciiTheme="majorHAnsi" w:eastAsia="MS Gothic" w:hAnsiTheme="majorHAnsi"/>
          <w:color w:val="000000"/>
        </w:rPr>
        <w:t xml:space="preserve">for patients receiving surgery on the primary index diagnostic admission and for patients discharged and returning for elective planned endoscopic or surgical cancer resection. </w:t>
      </w:r>
      <w:r w:rsidR="00D0066B" w:rsidRPr="00F701E1">
        <w:rPr>
          <w:rFonts w:asciiTheme="majorHAnsi" w:hAnsiTheme="majorHAnsi"/>
        </w:rPr>
        <w:br w:type="page"/>
      </w:r>
    </w:p>
    <w:p w14:paraId="7A8CEE48" w14:textId="77777777" w:rsidR="00D0066B" w:rsidRPr="00F701E1" w:rsidRDefault="00D0066B" w:rsidP="00D0066B">
      <w:pPr>
        <w:spacing w:line="480" w:lineRule="auto"/>
        <w:jc w:val="both"/>
        <w:rPr>
          <w:rFonts w:asciiTheme="majorHAnsi" w:hAnsiTheme="majorHAnsi"/>
        </w:rPr>
      </w:pPr>
      <w:r w:rsidRPr="00F701E1">
        <w:rPr>
          <w:rFonts w:asciiTheme="majorHAnsi" w:hAnsiTheme="majorHAnsi"/>
          <w:b/>
        </w:rPr>
        <w:lastRenderedPageBreak/>
        <w:t>RESULTS</w:t>
      </w:r>
    </w:p>
    <w:p w14:paraId="544D23FF" w14:textId="08DE5011" w:rsidR="0037435D" w:rsidRPr="00F701E1" w:rsidRDefault="006112F5" w:rsidP="00D0066B">
      <w:pPr>
        <w:spacing w:line="480" w:lineRule="auto"/>
        <w:jc w:val="both"/>
        <w:rPr>
          <w:rFonts w:asciiTheme="majorHAnsi" w:hAnsiTheme="majorHAnsi"/>
        </w:rPr>
      </w:pPr>
      <w:r w:rsidRPr="00F701E1">
        <w:rPr>
          <w:rFonts w:asciiTheme="majorHAnsi" w:hAnsiTheme="majorHAnsi"/>
        </w:rPr>
        <w:t xml:space="preserve">Over the </w:t>
      </w:r>
      <w:r w:rsidR="002A479F" w:rsidRPr="00F701E1">
        <w:rPr>
          <w:rFonts w:asciiTheme="majorHAnsi" w:hAnsiTheme="majorHAnsi"/>
        </w:rPr>
        <w:t>sixteen-year</w:t>
      </w:r>
      <w:r w:rsidRPr="00F701E1">
        <w:rPr>
          <w:rFonts w:asciiTheme="majorHAnsi" w:hAnsiTheme="majorHAnsi"/>
        </w:rPr>
        <w:t xml:space="preserve"> study period, 121,786 and </w:t>
      </w:r>
      <w:r w:rsidR="002A479F" w:rsidRPr="00F701E1">
        <w:rPr>
          <w:rFonts w:asciiTheme="majorHAnsi" w:hAnsiTheme="majorHAnsi"/>
        </w:rPr>
        <w:t>115,73</w:t>
      </w:r>
      <w:r w:rsidR="001274F4" w:rsidRPr="00F701E1">
        <w:rPr>
          <w:rFonts w:asciiTheme="majorHAnsi" w:hAnsiTheme="majorHAnsi"/>
        </w:rPr>
        <w:t xml:space="preserve">6 patients were diagnosed with </w:t>
      </w:r>
      <w:r w:rsidR="002A479F" w:rsidRPr="00F701E1">
        <w:rPr>
          <w:rFonts w:asciiTheme="majorHAnsi" w:hAnsiTheme="majorHAnsi"/>
        </w:rPr>
        <w:t xml:space="preserve">esophageal and gastric cancer respectively. The incidence of </w:t>
      </w:r>
      <w:r w:rsidR="00D76B99" w:rsidRPr="00F701E1">
        <w:rPr>
          <w:rFonts w:asciiTheme="majorHAnsi" w:hAnsiTheme="majorHAnsi"/>
        </w:rPr>
        <w:t xml:space="preserve">primary </w:t>
      </w:r>
      <w:r w:rsidR="00C94FA5" w:rsidRPr="00F701E1">
        <w:rPr>
          <w:rFonts w:asciiTheme="majorHAnsi" w:hAnsiTheme="majorHAnsi"/>
        </w:rPr>
        <w:t>emergency presentation</w:t>
      </w:r>
      <w:r w:rsidR="002A479F" w:rsidRPr="00F701E1">
        <w:rPr>
          <w:rFonts w:asciiTheme="majorHAnsi" w:hAnsiTheme="majorHAnsi"/>
        </w:rPr>
        <w:t xml:space="preserve"> was 35,807 (29.4%) and 45,866 (39.6%) for </w:t>
      </w:r>
      <w:r w:rsidR="001274F4" w:rsidRPr="00F701E1">
        <w:rPr>
          <w:rFonts w:asciiTheme="majorHAnsi" w:hAnsiTheme="majorHAnsi"/>
        </w:rPr>
        <w:t>esophageal</w:t>
      </w:r>
      <w:r w:rsidR="002A479F" w:rsidRPr="00F701E1">
        <w:rPr>
          <w:rFonts w:asciiTheme="majorHAnsi" w:hAnsiTheme="majorHAnsi"/>
        </w:rPr>
        <w:t xml:space="preserve"> and gastric cancer respectively. </w:t>
      </w:r>
      <w:r w:rsidR="002578A5" w:rsidRPr="00F701E1">
        <w:rPr>
          <w:rFonts w:asciiTheme="majorHAnsi" w:hAnsiTheme="majorHAnsi"/>
        </w:rPr>
        <w:t xml:space="preserve">There was a decrease in the proportion of patients primarily presenting as an emergency over time from 33% to 23.1% for </w:t>
      </w:r>
      <w:r w:rsidR="001274F4" w:rsidRPr="00F701E1">
        <w:rPr>
          <w:rFonts w:asciiTheme="majorHAnsi" w:hAnsiTheme="majorHAnsi"/>
        </w:rPr>
        <w:t>esophageal</w:t>
      </w:r>
      <w:r w:rsidR="002578A5" w:rsidRPr="00F701E1">
        <w:rPr>
          <w:rFonts w:asciiTheme="majorHAnsi" w:hAnsiTheme="majorHAnsi"/>
        </w:rPr>
        <w:t xml:space="preserve"> cancer (P&lt;0.001) and from 53% to 28.3% for gastric cancer (P&lt;0.001) (Figure 1). </w:t>
      </w:r>
      <w:r w:rsidR="009F12CE" w:rsidRPr="00F701E1">
        <w:rPr>
          <w:rFonts w:asciiTheme="majorHAnsi" w:hAnsiTheme="majorHAnsi"/>
        </w:rPr>
        <w:t xml:space="preserve">The </w:t>
      </w:r>
      <w:r w:rsidR="0037435D" w:rsidRPr="00F701E1">
        <w:rPr>
          <w:rFonts w:asciiTheme="majorHAnsi" w:hAnsiTheme="majorHAnsi"/>
        </w:rPr>
        <w:t xml:space="preserve">most common </w:t>
      </w:r>
      <w:r w:rsidR="009F12CE" w:rsidRPr="00F701E1">
        <w:rPr>
          <w:rFonts w:asciiTheme="majorHAnsi" w:hAnsiTheme="majorHAnsi"/>
        </w:rPr>
        <w:t xml:space="preserve">primary diagnostic causes of emergency presentation were </w:t>
      </w:r>
      <w:r w:rsidR="0037435D" w:rsidRPr="00F701E1">
        <w:rPr>
          <w:rFonts w:asciiTheme="majorHAnsi" w:hAnsiTheme="majorHAnsi"/>
        </w:rPr>
        <w:t xml:space="preserve">dysphagia/vomiting in 6364 (7.8%), heartburn/dyspepsia in 5497 (6.7%), gastrointestinal bleeding in 4618 (5.7%), abdominal pain in 2602 (3.2%), visceral perforation in 475 (0.6%), and malnutrition in 153 (0.2%) patients. </w:t>
      </w:r>
    </w:p>
    <w:p w14:paraId="2ADE2615" w14:textId="77777777" w:rsidR="001F1B4E" w:rsidRPr="00F701E1" w:rsidRDefault="001F1B4E" w:rsidP="00D0066B">
      <w:pPr>
        <w:spacing w:line="480" w:lineRule="auto"/>
        <w:jc w:val="both"/>
        <w:rPr>
          <w:rFonts w:asciiTheme="majorHAnsi" w:hAnsiTheme="majorHAnsi"/>
          <w:b/>
        </w:rPr>
      </w:pPr>
      <w:r w:rsidRPr="00F701E1">
        <w:rPr>
          <w:rFonts w:asciiTheme="majorHAnsi" w:hAnsiTheme="majorHAnsi"/>
          <w:b/>
        </w:rPr>
        <w:t>Patient demographics and Emergency presentation</w:t>
      </w:r>
    </w:p>
    <w:p w14:paraId="3DC8E9C3" w14:textId="769C9B5E" w:rsidR="00AC5A37" w:rsidRPr="00F701E1" w:rsidRDefault="00B523C5" w:rsidP="00D0066B">
      <w:pPr>
        <w:spacing w:line="480" w:lineRule="auto"/>
        <w:jc w:val="both"/>
        <w:rPr>
          <w:rFonts w:asciiTheme="majorHAnsi" w:eastAsia="MS Gothic" w:hAnsiTheme="majorHAnsi"/>
          <w:color w:val="000000"/>
        </w:rPr>
      </w:pPr>
      <w:proofErr w:type="spellStart"/>
      <w:r w:rsidRPr="00F701E1">
        <w:rPr>
          <w:rFonts w:asciiTheme="majorHAnsi" w:hAnsiTheme="majorHAnsi"/>
        </w:rPr>
        <w:t>Univariate</w:t>
      </w:r>
      <w:proofErr w:type="spellEnd"/>
      <w:r w:rsidRPr="00F701E1">
        <w:rPr>
          <w:rFonts w:asciiTheme="majorHAnsi" w:hAnsiTheme="majorHAnsi"/>
        </w:rPr>
        <w:t xml:space="preserve"> comparison identified significant increases in the emergency </w:t>
      </w:r>
      <w:r w:rsidR="00DB011A" w:rsidRPr="00F701E1">
        <w:rPr>
          <w:rFonts w:asciiTheme="majorHAnsi" w:hAnsiTheme="majorHAnsi"/>
        </w:rPr>
        <w:t xml:space="preserve">presentation </w:t>
      </w:r>
      <w:r w:rsidRPr="00F701E1">
        <w:rPr>
          <w:rFonts w:asciiTheme="majorHAnsi" w:hAnsiTheme="majorHAnsi"/>
        </w:rPr>
        <w:t xml:space="preserve">group, in the proportion of patients aged </w:t>
      </w:r>
      <w:r w:rsidRPr="00F701E1">
        <w:rPr>
          <w:rFonts w:asciiTheme="majorHAnsi" w:eastAsia="MS Gothic" w:hAnsiTheme="majorHAnsi"/>
          <w:color w:val="000000"/>
        </w:rPr>
        <w:t>≥</w:t>
      </w:r>
      <w:r w:rsidRPr="00F701E1">
        <w:rPr>
          <w:rFonts w:asciiTheme="majorHAnsi" w:hAnsiTheme="majorHAnsi"/>
        </w:rPr>
        <w:t xml:space="preserve">70, of female gender, non-white ethnicity, </w:t>
      </w:r>
      <w:proofErr w:type="spellStart"/>
      <w:r w:rsidRPr="00F701E1">
        <w:rPr>
          <w:rFonts w:asciiTheme="majorHAnsi" w:hAnsiTheme="majorHAnsi"/>
        </w:rPr>
        <w:t>Charlson</w:t>
      </w:r>
      <w:proofErr w:type="spellEnd"/>
      <w:r w:rsidRPr="00F701E1">
        <w:rPr>
          <w:rFonts w:asciiTheme="majorHAnsi" w:hAnsiTheme="majorHAnsi"/>
        </w:rPr>
        <w:t xml:space="preserve"> comorbidity index score </w:t>
      </w:r>
      <w:r w:rsidRPr="00F701E1">
        <w:rPr>
          <w:rFonts w:asciiTheme="majorHAnsi" w:eastAsia="MS Gothic" w:hAnsiTheme="majorHAnsi"/>
          <w:color w:val="000000"/>
        </w:rPr>
        <w:t xml:space="preserve">≥3 and from more deprived </w:t>
      </w:r>
      <w:r w:rsidR="00B03DD0" w:rsidRPr="00F701E1">
        <w:rPr>
          <w:rFonts w:asciiTheme="majorHAnsi" w:eastAsia="MS Gothic" w:hAnsiTheme="majorHAnsi"/>
          <w:color w:val="000000"/>
        </w:rPr>
        <w:t>Townsend</w:t>
      </w:r>
      <w:r w:rsidRPr="00F701E1">
        <w:rPr>
          <w:rFonts w:asciiTheme="majorHAnsi" w:eastAsia="MS Gothic" w:hAnsiTheme="majorHAnsi"/>
          <w:color w:val="000000"/>
        </w:rPr>
        <w:t xml:space="preserve"> index groups (Table 1). </w:t>
      </w:r>
      <w:r w:rsidR="003B4714" w:rsidRPr="00F701E1">
        <w:rPr>
          <w:rFonts w:asciiTheme="majorHAnsi" w:eastAsia="MS Gothic" w:hAnsiTheme="majorHAnsi"/>
          <w:color w:val="000000"/>
        </w:rPr>
        <w:t xml:space="preserve">High volume hospitals showed a reduction in proportion of patients presenting as an emergency (23.1 vs. 26.1%; P&lt;0.001). </w:t>
      </w:r>
      <w:r w:rsidR="00AC5A37" w:rsidRPr="00F701E1">
        <w:rPr>
          <w:rFonts w:asciiTheme="majorHAnsi" w:eastAsia="MS Gothic" w:hAnsiTheme="majorHAnsi"/>
          <w:color w:val="000000"/>
        </w:rPr>
        <w:t xml:space="preserve">0.4% and 3.4% of patients with </w:t>
      </w:r>
      <w:r w:rsidR="001274F4" w:rsidRPr="00F701E1">
        <w:rPr>
          <w:rFonts w:asciiTheme="majorHAnsi" w:eastAsia="MS Gothic" w:hAnsiTheme="majorHAnsi"/>
          <w:color w:val="000000"/>
        </w:rPr>
        <w:t>esophageal</w:t>
      </w:r>
      <w:r w:rsidR="00AC5A37" w:rsidRPr="00F701E1">
        <w:rPr>
          <w:rFonts w:asciiTheme="majorHAnsi" w:eastAsia="MS Gothic" w:hAnsiTheme="majorHAnsi"/>
          <w:color w:val="000000"/>
        </w:rPr>
        <w:t xml:space="preserve"> and gastric cancer presented as emergency had surgery with a greater proportion of those patients having resection as elective following receiving initial treatment, discharge and readmission (4.4% (</w:t>
      </w:r>
      <w:r w:rsidR="001274F4" w:rsidRPr="00F701E1">
        <w:rPr>
          <w:rFonts w:asciiTheme="majorHAnsi" w:eastAsia="MS Gothic" w:hAnsiTheme="majorHAnsi"/>
          <w:color w:val="000000"/>
        </w:rPr>
        <w:t>esophageal</w:t>
      </w:r>
      <w:r w:rsidR="00AC5A37" w:rsidRPr="00F701E1">
        <w:rPr>
          <w:rFonts w:asciiTheme="majorHAnsi" w:eastAsia="MS Gothic" w:hAnsiTheme="majorHAnsi"/>
          <w:color w:val="000000"/>
        </w:rPr>
        <w:t>) and 4.7% (gastric)) (Table1).</w:t>
      </w:r>
    </w:p>
    <w:p w14:paraId="7B24E940" w14:textId="7B8B9EE3" w:rsidR="00F633F4" w:rsidRPr="00F701E1" w:rsidRDefault="00954055" w:rsidP="00D0066B">
      <w:pPr>
        <w:spacing w:line="480" w:lineRule="auto"/>
        <w:jc w:val="both"/>
        <w:rPr>
          <w:rFonts w:asciiTheme="majorHAnsi" w:eastAsia="MS Gothic" w:hAnsiTheme="majorHAnsi"/>
          <w:color w:val="000000"/>
        </w:rPr>
      </w:pPr>
      <w:r w:rsidRPr="00F701E1">
        <w:rPr>
          <w:rFonts w:asciiTheme="majorHAnsi" w:eastAsia="MS Gothic" w:hAnsiTheme="majorHAnsi"/>
          <w:color w:val="000000"/>
        </w:rPr>
        <w:t>As expected there were significant decreases in the u</w:t>
      </w:r>
      <w:r w:rsidR="006B5AB7" w:rsidRPr="00F701E1">
        <w:rPr>
          <w:rFonts w:asciiTheme="majorHAnsi" w:eastAsia="MS Gothic" w:hAnsiTheme="majorHAnsi"/>
          <w:color w:val="000000"/>
        </w:rPr>
        <w:t>se</w:t>
      </w:r>
      <w:r w:rsidRPr="00F701E1">
        <w:rPr>
          <w:rFonts w:asciiTheme="majorHAnsi" w:eastAsia="MS Gothic" w:hAnsiTheme="majorHAnsi"/>
          <w:color w:val="000000"/>
        </w:rPr>
        <w:t xml:space="preserve"> of primary surgery</w:t>
      </w:r>
      <w:r w:rsidR="006B5AB7" w:rsidRPr="00F701E1">
        <w:rPr>
          <w:rFonts w:asciiTheme="majorHAnsi" w:eastAsia="MS Gothic" w:hAnsiTheme="majorHAnsi"/>
          <w:color w:val="000000"/>
        </w:rPr>
        <w:t xml:space="preserve"> on the index admission</w:t>
      </w:r>
      <w:r w:rsidRPr="00F701E1">
        <w:rPr>
          <w:rFonts w:asciiTheme="majorHAnsi" w:eastAsia="MS Gothic" w:hAnsiTheme="majorHAnsi"/>
          <w:color w:val="000000"/>
        </w:rPr>
        <w:t xml:space="preserve"> in the emergency </w:t>
      </w:r>
      <w:r w:rsidR="00DB011A" w:rsidRPr="00F701E1">
        <w:rPr>
          <w:rFonts w:asciiTheme="majorHAnsi" w:eastAsia="MS Gothic" w:hAnsiTheme="majorHAnsi"/>
          <w:color w:val="000000"/>
        </w:rPr>
        <w:t>presentation</w:t>
      </w:r>
      <w:r w:rsidRPr="00F701E1">
        <w:rPr>
          <w:rFonts w:asciiTheme="majorHAnsi" w:eastAsia="MS Gothic" w:hAnsiTheme="majorHAnsi"/>
          <w:color w:val="000000"/>
        </w:rPr>
        <w:t xml:space="preserve"> group. Most importantly there were also large significant decreases in the </w:t>
      </w:r>
      <w:r w:rsidR="001274F4" w:rsidRPr="00F701E1">
        <w:rPr>
          <w:rFonts w:asciiTheme="majorHAnsi" w:eastAsia="MS Gothic" w:hAnsiTheme="majorHAnsi"/>
          <w:color w:val="000000"/>
        </w:rPr>
        <w:t>utilization</w:t>
      </w:r>
      <w:r w:rsidRPr="00F701E1">
        <w:rPr>
          <w:rFonts w:asciiTheme="majorHAnsi" w:eastAsia="MS Gothic" w:hAnsiTheme="majorHAnsi"/>
          <w:color w:val="000000"/>
        </w:rPr>
        <w:t xml:space="preserve"> of follow-up surgical resection in the </w:t>
      </w:r>
      <w:r w:rsidRPr="00F701E1">
        <w:rPr>
          <w:rFonts w:asciiTheme="majorHAnsi" w:eastAsia="MS Gothic" w:hAnsiTheme="majorHAnsi"/>
          <w:color w:val="000000"/>
        </w:rPr>
        <w:lastRenderedPageBreak/>
        <w:t xml:space="preserve">emergency </w:t>
      </w:r>
      <w:r w:rsidR="00DB011A" w:rsidRPr="00F701E1">
        <w:rPr>
          <w:rFonts w:asciiTheme="majorHAnsi" w:eastAsia="MS Gothic" w:hAnsiTheme="majorHAnsi"/>
          <w:color w:val="000000"/>
        </w:rPr>
        <w:t>presentation</w:t>
      </w:r>
      <w:r w:rsidRPr="00F701E1">
        <w:rPr>
          <w:rFonts w:asciiTheme="majorHAnsi" w:eastAsia="MS Gothic" w:hAnsiTheme="majorHAnsi"/>
          <w:color w:val="000000"/>
        </w:rPr>
        <w:t xml:space="preserve"> group for both </w:t>
      </w:r>
      <w:r w:rsidR="001274F4" w:rsidRPr="00F701E1">
        <w:rPr>
          <w:rFonts w:asciiTheme="majorHAnsi" w:eastAsia="MS Gothic" w:hAnsiTheme="majorHAnsi"/>
          <w:color w:val="000000"/>
        </w:rPr>
        <w:t>esophageal</w:t>
      </w:r>
      <w:r w:rsidRPr="00F701E1">
        <w:rPr>
          <w:rFonts w:asciiTheme="majorHAnsi" w:eastAsia="MS Gothic" w:hAnsiTheme="majorHAnsi"/>
          <w:color w:val="000000"/>
        </w:rPr>
        <w:t xml:space="preserve"> (3.9% vs. 19.3%) and gastric cancer (4.6% vs. 16.8%), which was also the case for follow-up endoscopic resection (</w:t>
      </w:r>
      <w:r w:rsidR="001274F4" w:rsidRPr="00F701E1">
        <w:rPr>
          <w:rFonts w:asciiTheme="majorHAnsi" w:eastAsia="MS Gothic" w:hAnsiTheme="majorHAnsi"/>
          <w:color w:val="000000"/>
        </w:rPr>
        <w:t>Esophageal</w:t>
      </w:r>
      <w:r w:rsidRPr="00F701E1">
        <w:rPr>
          <w:rFonts w:asciiTheme="majorHAnsi" w:eastAsia="MS Gothic" w:hAnsiTheme="majorHAnsi"/>
          <w:color w:val="000000"/>
        </w:rPr>
        <w:t>: 0.5% vs. 1.2% and Gastric 0.1% vs. 0.6%)</w:t>
      </w:r>
      <w:r w:rsidR="00F633F4" w:rsidRPr="00F701E1">
        <w:rPr>
          <w:rFonts w:asciiTheme="majorHAnsi" w:eastAsia="MS Gothic" w:hAnsiTheme="majorHAnsi"/>
          <w:color w:val="000000"/>
        </w:rPr>
        <w:t xml:space="preserve"> (Table1). </w:t>
      </w:r>
    </w:p>
    <w:p w14:paraId="5CC0AA1D" w14:textId="3D8A31DC" w:rsidR="00763389" w:rsidRPr="00F701E1" w:rsidRDefault="00AE4EA7" w:rsidP="00D0066B">
      <w:pPr>
        <w:spacing w:line="480" w:lineRule="auto"/>
        <w:jc w:val="both"/>
        <w:rPr>
          <w:rFonts w:asciiTheme="majorHAnsi" w:eastAsia="MS Gothic" w:hAnsiTheme="majorHAnsi"/>
          <w:color w:val="000000"/>
        </w:rPr>
      </w:pPr>
      <w:r w:rsidRPr="00F701E1">
        <w:rPr>
          <w:rFonts w:asciiTheme="majorHAnsi" w:hAnsiTheme="majorHAnsi"/>
        </w:rPr>
        <w:t xml:space="preserve">Multivariate regression analysis confirmed aged </w:t>
      </w:r>
      <w:r w:rsidRPr="00F701E1">
        <w:rPr>
          <w:rFonts w:asciiTheme="majorHAnsi" w:eastAsia="MS Gothic" w:hAnsiTheme="majorHAnsi"/>
          <w:color w:val="000000"/>
        </w:rPr>
        <w:t>≥</w:t>
      </w:r>
      <w:r w:rsidRPr="00F701E1">
        <w:rPr>
          <w:rFonts w:asciiTheme="majorHAnsi" w:hAnsiTheme="majorHAnsi"/>
        </w:rPr>
        <w:t xml:space="preserve">70, female gender, non-white ethnicity, </w:t>
      </w:r>
      <w:proofErr w:type="spellStart"/>
      <w:r w:rsidRPr="00F701E1">
        <w:rPr>
          <w:rFonts w:asciiTheme="majorHAnsi" w:hAnsiTheme="majorHAnsi"/>
        </w:rPr>
        <w:t>Charlson</w:t>
      </w:r>
      <w:proofErr w:type="spellEnd"/>
      <w:r w:rsidRPr="00F701E1">
        <w:rPr>
          <w:rFonts w:asciiTheme="majorHAnsi" w:hAnsiTheme="majorHAnsi"/>
        </w:rPr>
        <w:t xml:space="preserve"> comorbidity index score </w:t>
      </w:r>
      <w:r w:rsidR="003B4714" w:rsidRPr="00F701E1">
        <w:rPr>
          <w:rFonts w:asciiTheme="majorHAnsi" w:eastAsia="MS Gothic" w:hAnsiTheme="majorHAnsi"/>
          <w:color w:val="000000"/>
        </w:rPr>
        <w:t xml:space="preserve">≥3, urban location, and </w:t>
      </w:r>
      <w:r w:rsidRPr="00F701E1">
        <w:rPr>
          <w:rFonts w:asciiTheme="majorHAnsi" w:eastAsia="MS Gothic" w:hAnsiTheme="majorHAnsi"/>
          <w:color w:val="000000"/>
        </w:rPr>
        <w:t xml:space="preserve">more deprived </w:t>
      </w:r>
      <w:r w:rsidR="00B03DD0" w:rsidRPr="00F701E1">
        <w:rPr>
          <w:rFonts w:asciiTheme="majorHAnsi" w:eastAsia="MS Gothic" w:hAnsiTheme="majorHAnsi"/>
          <w:color w:val="000000"/>
        </w:rPr>
        <w:t>Townsend</w:t>
      </w:r>
      <w:r w:rsidRPr="00F701E1">
        <w:rPr>
          <w:rFonts w:asciiTheme="majorHAnsi" w:eastAsia="MS Gothic" w:hAnsiTheme="majorHAnsi"/>
          <w:color w:val="000000"/>
        </w:rPr>
        <w:t xml:space="preserve"> index</w:t>
      </w:r>
      <w:r w:rsidR="003B4714" w:rsidRPr="00F701E1">
        <w:rPr>
          <w:rFonts w:asciiTheme="majorHAnsi" w:eastAsia="MS Gothic" w:hAnsiTheme="majorHAnsi"/>
          <w:color w:val="000000"/>
        </w:rPr>
        <w:t xml:space="preserve"> </w:t>
      </w:r>
      <w:r w:rsidRPr="00F701E1">
        <w:rPr>
          <w:rFonts w:asciiTheme="majorHAnsi" w:eastAsia="MS Gothic" w:hAnsiTheme="majorHAnsi"/>
          <w:color w:val="000000"/>
        </w:rPr>
        <w:t>were independent predictors of emergency</w:t>
      </w:r>
      <w:r w:rsidR="00DB011A" w:rsidRPr="00F701E1">
        <w:rPr>
          <w:rFonts w:asciiTheme="majorHAnsi" w:eastAsia="MS Gothic" w:hAnsiTheme="majorHAnsi"/>
          <w:color w:val="000000"/>
        </w:rPr>
        <w:t xml:space="preserve"> presentation of </w:t>
      </w:r>
      <w:r w:rsidR="001274F4" w:rsidRPr="00F701E1">
        <w:rPr>
          <w:rFonts w:asciiTheme="majorHAnsi" w:eastAsia="MS Gothic" w:hAnsiTheme="majorHAnsi"/>
          <w:color w:val="000000"/>
        </w:rPr>
        <w:t>esophageal</w:t>
      </w:r>
      <w:r w:rsidR="00DB011A" w:rsidRPr="00F701E1">
        <w:rPr>
          <w:rFonts w:asciiTheme="majorHAnsi" w:eastAsia="MS Gothic" w:hAnsiTheme="majorHAnsi"/>
          <w:color w:val="000000"/>
        </w:rPr>
        <w:t xml:space="preserve"> and gastric cancer</w:t>
      </w:r>
      <w:r w:rsidR="00FC117C" w:rsidRPr="00F701E1">
        <w:rPr>
          <w:rFonts w:asciiTheme="majorHAnsi" w:eastAsia="MS Gothic" w:hAnsiTheme="majorHAnsi"/>
          <w:color w:val="000000"/>
        </w:rPr>
        <w:t xml:space="preserve">. </w:t>
      </w:r>
      <w:r w:rsidR="003B4714" w:rsidRPr="00F701E1">
        <w:rPr>
          <w:rFonts w:asciiTheme="majorHAnsi" w:eastAsia="MS Gothic" w:hAnsiTheme="majorHAnsi"/>
          <w:color w:val="000000"/>
        </w:rPr>
        <w:t>High hospital volume was independently associated with reduced emergency presentation</w:t>
      </w:r>
      <w:r w:rsidR="00FC117C" w:rsidRPr="00F701E1">
        <w:rPr>
          <w:rFonts w:asciiTheme="majorHAnsi" w:eastAsia="MS Gothic" w:hAnsiTheme="majorHAnsi"/>
          <w:color w:val="000000"/>
        </w:rPr>
        <w:t xml:space="preserve"> (Table 2)</w:t>
      </w:r>
      <w:r w:rsidR="003B4714" w:rsidRPr="00F701E1">
        <w:rPr>
          <w:rFonts w:asciiTheme="majorHAnsi" w:eastAsia="MS Gothic" w:hAnsiTheme="majorHAnsi"/>
          <w:color w:val="000000"/>
        </w:rPr>
        <w:t xml:space="preserve">. </w:t>
      </w:r>
    </w:p>
    <w:p w14:paraId="1D80AE17" w14:textId="77777777" w:rsidR="009E27AC" w:rsidRPr="00F701E1" w:rsidRDefault="00763389" w:rsidP="00D0066B">
      <w:pPr>
        <w:spacing w:line="480" w:lineRule="auto"/>
        <w:jc w:val="both"/>
        <w:rPr>
          <w:rFonts w:asciiTheme="majorHAnsi" w:hAnsiTheme="majorHAnsi"/>
          <w:b/>
        </w:rPr>
      </w:pPr>
      <w:r w:rsidRPr="00F701E1">
        <w:rPr>
          <w:rFonts w:asciiTheme="majorHAnsi" w:hAnsiTheme="majorHAnsi"/>
          <w:b/>
        </w:rPr>
        <w:t xml:space="preserve">Survival and Recurrence </w:t>
      </w:r>
    </w:p>
    <w:p w14:paraId="6396DD87" w14:textId="77777777" w:rsidR="008D5782" w:rsidRPr="00F701E1" w:rsidRDefault="008D5782" w:rsidP="008D5782">
      <w:pPr>
        <w:spacing w:line="480" w:lineRule="auto"/>
        <w:jc w:val="both"/>
        <w:rPr>
          <w:rFonts w:asciiTheme="majorHAnsi" w:hAnsiTheme="majorHAnsi"/>
        </w:rPr>
      </w:pPr>
      <w:r w:rsidRPr="00F701E1">
        <w:rPr>
          <w:rFonts w:asciiTheme="majorHAnsi" w:hAnsiTheme="majorHAnsi"/>
        </w:rPr>
        <w:t xml:space="preserve">Comparison of all patients showed five-year survival was significantly reduced in the emergency presentation group for </w:t>
      </w:r>
      <w:proofErr w:type="spellStart"/>
      <w:r w:rsidRPr="00F701E1">
        <w:rPr>
          <w:rFonts w:asciiTheme="majorHAnsi" w:hAnsiTheme="majorHAnsi"/>
        </w:rPr>
        <w:t>oesophageal</w:t>
      </w:r>
      <w:proofErr w:type="spellEnd"/>
      <w:r w:rsidRPr="00F701E1">
        <w:rPr>
          <w:rFonts w:asciiTheme="majorHAnsi" w:hAnsiTheme="majorHAnsi"/>
        </w:rPr>
        <w:t xml:space="preserve"> cancer (13.3% vs. 21.9%; HR=1.20, 95% CI 1.16 – 1.24) (Figure 2a), and for gastric cancer (15.1% vs. 26.6%; HR=1.19, 95% CI 1.5 – 1.22) (Figure 2b). The proportion of patients coded as having liver metastases at the index admission was higher in the emergency presentation group for </w:t>
      </w:r>
      <w:proofErr w:type="spellStart"/>
      <w:r w:rsidRPr="00F701E1">
        <w:rPr>
          <w:rFonts w:asciiTheme="majorHAnsi" w:hAnsiTheme="majorHAnsi"/>
        </w:rPr>
        <w:t>oesophageal</w:t>
      </w:r>
      <w:proofErr w:type="spellEnd"/>
      <w:r w:rsidRPr="00F701E1">
        <w:rPr>
          <w:rFonts w:asciiTheme="majorHAnsi" w:hAnsiTheme="majorHAnsi"/>
        </w:rPr>
        <w:t xml:space="preserve"> (11.3% vs. 2.9%; P&lt;0.001) and gastric cancer (11.9% vs. 4.0%; P&lt;0.001). Similarly the emergency presentation group showed a higher incidence of peritoneal metastases at index admission (</w:t>
      </w:r>
      <w:proofErr w:type="spellStart"/>
      <w:r w:rsidRPr="00F701E1">
        <w:rPr>
          <w:rFonts w:asciiTheme="majorHAnsi" w:hAnsiTheme="majorHAnsi"/>
        </w:rPr>
        <w:t>Oesophageal</w:t>
      </w:r>
      <w:proofErr w:type="spellEnd"/>
      <w:r w:rsidRPr="00F701E1">
        <w:rPr>
          <w:rFonts w:asciiTheme="majorHAnsi" w:hAnsiTheme="majorHAnsi"/>
        </w:rPr>
        <w:t xml:space="preserve">: 1.0% vs. 0.3% P&lt;0.001 and Gastric: 4.0% vs. 1.9% P&lt;0.001). </w:t>
      </w:r>
    </w:p>
    <w:p w14:paraId="1330BC96" w14:textId="77777777" w:rsidR="008D5782" w:rsidRPr="00F701E1" w:rsidRDefault="008D5782" w:rsidP="008D5782">
      <w:pPr>
        <w:spacing w:line="480" w:lineRule="auto"/>
        <w:jc w:val="both"/>
        <w:rPr>
          <w:rFonts w:asciiTheme="majorHAnsi" w:hAnsiTheme="majorHAnsi"/>
        </w:rPr>
      </w:pPr>
      <w:r w:rsidRPr="00F701E1">
        <w:rPr>
          <w:rFonts w:asciiTheme="majorHAnsi" w:hAnsiTheme="majorHAnsi"/>
        </w:rPr>
        <w:t xml:space="preserve">Subset analysis for patients receiving surgical resection on primary admission showed a reduction in five-year survival in the emergency presentation group compared to the elective group, for gastric cancer (25.7% vs. 46.1%; HR=1.16, 95%CI 1.05–1.29) and </w:t>
      </w:r>
      <w:proofErr w:type="spellStart"/>
      <w:r w:rsidRPr="00F701E1">
        <w:rPr>
          <w:rFonts w:asciiTheme="majorHAnsi" w:hAnsiTheme="majorHAnsi"/>
        </w:rPr>
        <w:t>oesophageal</w:t>
      </w:r>
      <w:proofErr w:type="spellEnd"/>
      <w:r w:rsidRPr="00F701E1">
        <w:rPr>
          <w:rFonts w:asciiTheme="majorHAnsi" w:hAnsiTheme="majorHAnsi"/>
        </w:rPr>
        <w:t xml:space="preserve"> cancer, although was not statistically significant (30.0% vs. 48.2%; HR=1.15, 95%CI 0.86 – 1.54). </w:t>
      </w:r>
    </w:p>
    <w:p w14:paraId="4A9E2484" w14:textId="77777777" w:rsidR="008D5782" w:rsidRPr="00F701E1" w:rsidRDefault="008D5782" w:rsidP="008D5782">
      <w:pPr>
        <w:spacing w:line="480" w:lineRule="auto"/>
        <w:jc w:val="both"/>
        <w:rPr>
          <w:rFonts w:asciiTheme="majorHAnsi" w:hAnsiTheme="majorHAnsi"/>
        </w:rPr>
      </w:pPr>
      <w:r w:rsidRPr="00F701E1">
        <w:rPr>
          <w:rFonts w:asciiTheme="majorHAnsi" w:hAnsiTheme="majorHAnsi"/>
        </w:rPr>
        <w:lastRenderedPageBreak/>
        <w:t xml:space="preserve">Subset analysis for patients receiving surgical resection on follow-up admissions showed significant reductions in five-year survival in the emergency presentation group compared to the elective group, for </w:t>
      </w:r>
      <w:proofErr w:type="spellStart"/>
      <w:r w:rsidRPr="00F701E1">
        <w:rPr>
          <w:rFonts w:asciiTheme="majorHAnsi" w:hAnsiTheme="majorHAnsi"/>
        </w:rPr>
        <w:t>oesophageal</w:t>
      </w:r>
      <w:proofErr w:type="spellEnd"/>
      <w:r w:rsidRPr="00F701E1">
        <w:rPr>
          <w:rFonts w:asciiTheme="majorHAnsi" w:hAnsiTheme="majorHAnsi"/>
        </w:rPr>
        <w:t xml:space="preserve"> cancer (29.8% vs. 41.2%; HR=1.18, 95% CI 1.07 – 1.30) (Figure 3a), and for gastric cancer (33.5% vs. 44.1%; HR=1.11, 95% CI 1.03 – 1.20) (Figure 3b). Compared to the elective group follow-up demonstrated an increase in liver recurrence in the emergency presentation group for both </w:t>
      </w:r>
      <w:proofErr w:type="spellStart"/>
      <w:r w:rsidRPr="00F701E1">
        <w:rPr>
          <w:rFonts w:asciiTheme="majorHAnsi" w:hAnsiTheme="majorHAnsi"/>
        </w:rPr>
        <w:t>oesophageal</w:t>
      </w:r>
      <w:proofErr w:type="spellEnd"/>
      <w:r w:rsidRPr="00F701E1">
        <w:rPr>
          <w:rFonts w:asciiTheme="majorHAnsi" w:hAnsiTheme="majorHAnsi"/>
        </w:rPr>
        <w:t xml:space="preserve"> (7.1% vs. 4.9%; P&lt;0.001) and gastric cancer (7.0% vs. 4.8%; P&lt;0.001). Peritoneal recurrence showed no difference between emergency and elective groups for either </w:t>
      </w:r>
      <w:proofErr w:type="spellStart"/>
      <w:r w:rsidRPr="00F701E1">
        <w:rPr>
          <w:rFonts w:asciiTheme="majorHAnsi" w:hAnsiTheme="majorHAnsi"/>
        </w:rPr>
        <w:t>oesophageal</w:t>
      </w:r>
      <w:proofErr w:type="spellEnd"/>
      <w:r w:rsidRPr="00F701E1">
        <w:rPr>
          <w:rFonts w:asciiTheme="majorHAnsi" w:hAnsiTheme="majorHAnsi"/>
        </w:rPr>
        <w:t xml:space="preserve"> or gastric cancer. </w:t>
      </w:r>
    </w:p>
    <w:p w14:paraId="46D0AA7B" w14:textId="7E90C0E6" w:rsidR="00A43609" w:rsidRPr="00F701E1" w:rsidRDefault="00A43609" w:rsidP="00D0066B">
      <w:pPr>
        <w:spacing w:line="480" w:lineRule="auto"/>
        <w:jc w:val="both"/>
        <w:rPr>
          <w:rFonts w:asciiTheme="majorHAnsi" w:hAnsiTheme="majorHAnsi"/>
          <w:b/>
        </w:rPr>
      </w:pPr>
      <w:r w:rsidRPr="00F701E1">
        <w:rPr>
          <w:rFonts w:asciiTheme="majorHAnsi" w:hAnsiTheme="majorHAnsi"/>
          <w:b/>
        </w:rPr>
        <w:t>Survival Multivariate Cox-regression models</w:t>
      </w:r>
    </w:p>
    <w:p w14:paraId="0937C3C0" w14:textId="0D10F640" w:rsidR="000C21EF" w:rsidRPr="00F701E1" w:rsidRDefault="00502E68" w:rsidP="00D0066B">
      <w:pPr>
        <w:spacing w:line="480" w:lineRule="auto"/>
        <w:jc w:val="both"/>
        <w:rPr>
          <w:rFonts w:asciiTheme="majorHAnsi" w:hAnsiTheme="majorHAnsi"/>
        </w:rPr>
      </w:pPr>
      <w:r w:rsidRPr="00F701E1">
        <w:rPr>
          <w:rFonts w:asciiTheme="majorHAnsi" w:hAnsiTheme="majorHAnsi"/>
        </w:rPr>
        <w:t xml:space="preserve">Survival analyses were adjusted for age, gender, ethnicity, urban location, </w:t>
      </w:r>
      <w:proofErr w:type="spellStart"/>
      <w:r w:rsidRPr="00F701E1">
        <w:rPr>
          <w:rFonts w:asciiTheme="majorHAnsi" w:hAnsiTheme="majorHAnsi"/>
        </w:rPr>
        <w:t>Charlson</w:t>
      </w:r>
      <w:proofErr w:type="spellEnd"/>
      <w:r w:rsidRPr="00F701E1">
        <w:rPr>
          <w:rFonts w:asciiTheme="majorHAnsi" w:hAnsiTheme="majorHAnsi"/>
        </w:rPr>
        <w:t xml:space="preserve"> comorbidity index and </w:t>
      </w:r>
      <w:r w:rsidR="00B03DD0" w:rsidRPr="00F701E1">
        <w:rPr>
          <w:rFonts w:asciiTheme="majorHAnsi" w:hAnsiTheme="majorHAnsi"/>
        </w:rPr>
        <w:t>Townsend</w:t>
      </w:r>
      <w:r w:rsidRPr="00F701E1">
        <w:rPr>
          <w:rFonts w:asciiTheme="majorHAnsi" w:hAnsiTheme="majorHAnsi"/>
        </w:rPr>
        <w:t xml:space="preserve"> deprivation index. </w:t>
      </w:r>
      <w:r w:rsidR="00DB011A" w:rsidRPr="00F701E1">
        <w:rPr>
          <w:rFonts w:asciiTheme="majorHAnsi" w:hAnsiTheme="majorHAnsi"/>
        </w:rPr>
        <w:t>Emergency presentation</w:t>
      </w:r>
      <w:r w:rsidR="006B5DAF" w:rsidRPr="00F701E1">
        <w:rPr>
          <w:rFonts w:asciiTheme="majorHAnsi" w:hAnsiTheme="majorHAnsi"/>
        </w:rPr>
        <w:t xml:space="preserve"> remained an independent predictor of increased 5-year mortality from </w:t>
      </w:r>
      <w:r w:rsidR="001274F4" w:rsidRPr="00F701E1">
        <w:rPr>
          <w:rFonts w:asciiTheme="majorHAnsi" w:hAnsiTheme="majorHAnsi"/>
        </w:rPr>
        <w:t>esophageal</w:t>
      </w:r>
      <w:r w:rsidR="006B5DAF" w:rsidRPr="00F701E1">
        <w:rPr>
          <w:rFonts w:asciiTheme="majorHAnsi" w:hAnsiTheme="majorHAnsi"/>
        </w:rPr>
        <w:t xml:space="preserve"> cancer for all patients (</w:t>
      </w:r>
      <w:r w:rsidR="00086B19" w:rsidRPr="00F701E1">
        <w:rPr>
          <w:rFonts w:asciiTheme="majorHAnsi" w:hAnsiTheme="majorHAnsi"/>
        </w:rPr>
        <w:t>HR=1.63, 95% CI 1.61 – 1.65</w:t>
      </w:r>
      <w:r w:rsidR="006B5DAF" w:rsidRPr="00F701E1">
        <w:rPr>
          <w:rFonts w:asciiTheme="majorHAnsi" w:hAnsiTheme="majorHAnsi"/>
        </w:rPr>
        <w:t>) and patients receiving surgery on a follow-up admission (</w:t>
      </w:r>
      <w:r w:rsidR="00086B19" w:rsidRPr="00F701E1">
        <w:rPr>
          <w:rFonts w:asciiTheme="majorHAnsi" w:hAnsiTheme="majorHAnsi"/>
        </w:rPr>
        <w:t>HR=1.35, 95% CI 1.27 – 1.44)</w:t>
      </w:r>
      <w:r w:rsidR="006B5DAF" w:rsidRPr="00F701E1">
        <w:rPr>
          <w:rFonts w:asciiTheme="majorHAnsi" w:hAnsiTheme="majorHAnsi"/>
        </w:rPr>
        <w:t xml:space="preserve">), </w:t>
      </w:r>
      <w:r w:rsidR="00086B19" w:rsidRPr="00F701E1">
        <w:rPr>
          <w:rFonts w:asciiTheme="majorHAnsi" w:hAnsiTheme="majorHAnsi"/>
        </w:rPr>
        <w:t>and</w:t>
      </w:r>
      <w:r w:rsidR="006B5DAF" w:rsidRPr="00F701E1">
        <w:rPr>
          <w:rFonts w:asciiTheme="majorHAnsi" w:hAnsiTheme="majorHAnsi"/>
        </w:rPr>
        <w:t xml:space="preserve"> for surgery on the index primary admission</w:t>
      </w:r>
      <w:r w:rsidR="00086B19" w:rsidRPr="00F701E1">
        <w:rPr>
          <w:rFonts w:asciiTheme="majorHAnsi" w:hAnsiTheme="majorHAnsi"/>
        </w:rPr>
        <w:t xml:space="preserve"> (HR=1.68, 95%CI 1.39 – 2.01)</w:t>
      </w:r>
      <w:r w:rsidR="006B5DAF" w:rsidRPr="00F701E1">
        <w:rPr>
          <w:rFonts w:asciiTheme="majorHAnsi" w:hAnsiTheme="majorHAnsi"/>
        </w:rPr>
        <w:t xml:space="preserve">. For patients with gastric cancer, emergency </w:t>
      </w:r>
      <w:r w:rsidR="00DB011A" w:rsidRPr="00F701E1">
        <w:rPr>
          <w:rFonts w:asciiTheme="majorHAnsi" w:hAnsiTheme="majorHAnsi"/>
        </w:rPr>
        <w:t>presentation</w:t>
      </w:r>
      <w:r w:rsidR="006B5DAF" w:rsidRPr="00F701E1">
        <w:rPr>
          <w:rFonts w:asciiTheme="majorHAnsi" w:hAnsiTheme="majorHAnsi"/>
        </w:rPr>
        <w:t xml:space="preserve"> was</w:t>
      </w:r>
      <w:r w:rsidR="00086B19" w:rsidRPr="00F701E1">
        <w:rPr>
          <w:rFonts w:asciiTheme="majorHAnsi" w:hAnsiTheme="majorHAnsi"/>
        </w:rPr>
        <w:t xml:space="preserve"> also</w:t>
      </w:r>
      <w:r w:rsidR="006B5DAF" w:rsidRPr="00F701E1">
        <w:rPr>
          <w:rFonts w:asciiTheme="majorHAnsi" w:hAnsiTheme="majorHAnsi"/>
        </w:rPr>
        <w:t xml:space="preserve"> an independent predictor of increased 5-year mortality across all three comparisons, all patients (</w:t>
      </w:r>
      <w:r w:rsidR="00086B19" w:rsidRPr="00F701E1">
        <w:rPr>
          <w:rFonts w:asciiTheme="majorHAnsi" w:hAnsiTheme="majorHAnsi"/>
        </w:rPr>
        <w:t>HR=1.20, 95% CI 1.16 – 1.23</w:t>
      </w:r>
      <w:r w:rsidR="006B5DAF" w:rsidRPr="00F701E1">
        <w:rPr>
          <w:rFonts w:asciiTheme="majorHAnsi" w:hAnsiTheme="majorHAnsi"/>
        </w:rPr>
        <w:t>), patients receiving surgery on the index primary admission (</w:t>
      </w:r>
      <w:r w:rsidR="00086B19" w:rsidRPr="00F701E1">
        <w:rPr>
          <w:rFonts w:asciiTheme="majorHAnsi" w:hAnsiTheme="majorHAnsi"/>
        </w:rPr>
        <w:t>HR=1.12, 95%CI 1.02–1.23</w:t>
      </w:r>
      <w:r w:rsidR="006B5DAF" w:rsidRPr="00F701E1">
        <w:rPr>
          <w:rFonts w:asciiTheme="majorHAnsi" w:hAnsiTheme="majorHAnsi"/>
        </w:rPr>
        <w:t xml:space="preserve">), and </w:t>
      </w:r>
      <w:r w:rsidR="00B506B6" w:rsidRPr="00F701E1">
        <w:rPr>
          <w:rFonts w:asciiTheme="majorHAnsi" w:hAnsiTheme="majorHAnsi"/>
        </w:rPr>
        <w:t xml:space="preserve">surgery </w:t>
      </w:r>
      <w:r w:rsidR="006B5DAF" w:rsidRPr="00F701E1">
        <w:rPr>
          <w:rFonts w:asciiTheme="majorHAnsi" w:hAnsiTheme="majorHAnsi"/>
        </w:rPr>
        <w:t>on follow-up admissions (</w:t>
      </w:r>
      <w:r w:rsidR="00086B19" w:rsidRPr="00F701E1">
        <w:rPr>
          <w:rFonts w:asciiTheme="majorHAnsi" w:hAnsiTheme="majorHAnsi"/>
        </w:rPr>
        <w:t>HR=1.13, 95% CI 1.04 – 1.22</w:t>
      </w:r>
      <w:r w:rsidR="006B5DAF" w:rsidRPr="00F701E1">
        <w:rPr>
          <w:rFonts w:asciiTheme="majorHAnsi" w:hAnsiTheme="majorHAnsi"/>
        </w:rPr>
        <w:t xml:space="preserve">) (Table 3). </w:t>
      </w:r>
    </w:p>
    <w:p w14:paraId="0B9E42D6" w14:textId="6CA37109" w:rsidR="00D0066B" w:rsidRPr="00F701E1" w:rsidRDefault="00D0066B" w:rsidP="00D0066B">
      <w:pPr>
        <w:spacing w:line="480" w:lineRule="auto"/>
        <w:jc w:val="both"/>
        <w:rPr>
          <w:rFonts w:asciiTheme="majorHAnsi" w:hAnsiTheme="majorHAnsi"/>
          <w:b/>
        </w:rPr>
      </w:pPr>
      <w:r w:rsidRPr="00F701E1">
        <w:rPr>
          <w:rFonts w:asciiTheme="majorHAnsi" w:hAnsiTheme="majorHAnsi"/>
          <w:b/>
        </w:rPr>
        <w:br w:type="page"/>
      </w:r>
    </w:p>
    <w:p w14:paraId="5176B6D3" w14:textId="77777777" w:rsidR="00D0066B" w:rsidRPr="00F701E1" w:rsidRDefault="00D0066B" w:rsidP="00D0066B">
      <w:pPr>
        <w:spacing w:line="480" w:lineRule="auto"/>
        <w:jc w:val="both"/>
        <w:rPr>
          <w:rFonts w:asciiTheme="majorHAnsi" w:hAnsiTheme="majorHAnsi"/>
          <w:b/>
        </w:rPr>
      </w:pPr>
      <w:r w:rsidRPr="00F701E1">
        <w:rPr>
          <w:rFonts w:asciiTheme="majorHAnsi" w:hAnsiTheme="majorHAnsi"/>
          <w:b/>
        </w:rPr>
        <w:lastRenderedPageBreak/>
        <w:t>DISCUSSION</w:t>
      </w:r>
    </w:p>
    <w:p w14:paraId="06BAA761" w14:textId="7E14C1E5" w:rsidR="00EA36DA" w:rsidRPr="00F701E1" w:rsidRDefault="006058A8" w:rsidP="00D0066B">
      <w:pPr>
        <w:spacing w:line="480" w:lineRule="auto"/>
        <w:jc w:val="both"/>
        <w:rPr>
          <w:rFonts w:asciiTheme="majorHAnsi" w:hAnsiTheme="majorHAnsi"/>
        </w:rPr>
      </w:pPr>
      <w:r w:rsidRPr="00F701E1">
        <w:rPr>
          <w:rFonts w:asciiTheme="majorHAnsi" w:hAnsiTheme="majorHAnsi"/>
        </w:rPr>
        <w:t xml:space="preserve">The results of this large national study have shown a reduction in </w:t>
      </w:r>
      <w:r w:rsidR="00DB011A" w:rsidRPr="00F701E1">
        <w:rPr>
          <w:rFonts w:asciiTheme="majorHAnsi" w:hAnsiTheme="majorHAnsi"/>
        </w:rPr>
        <w:t xml:space="preserve">emergency </w:t>
      </w:r>
      <w:r w:rsidR="001274F4" w:rsidRPr="00F701E1">
        <w:rPr>
          <w:rFonts w:asciiTheme="majorHAnsi" w:hAnsiTheme="majorHAnsi"/>
        </w:rPr>
        <w:t>esophageal</w:t>
      </w:r>
      <w:r w:rsidRPr="00F701E1">
        <w:rPr>
          <w:rFonts w:asciiTheme="majorHAnsi" w:hAnsiTheme="majorHAnsi"/>
        </w:rPr>
        <w:t xml:space="preserve"> and gastric cancer </w:t>
      </w:r>
      <w:r w:rsidR="00DB011A" w:rsidRPr="00F701E1">
        <w:rPr>
          <w:rFonts w:asciiTheme="majorHAnsi" w:hAnsiTheme="majorHAnsi"/>
        </w:rPr>
        <w:t>presentation</w:t>
      </w:r>
      <w:r w:rsidRPr="00F701E1">
        <w:rPr>
          <w:rFonts w:asciiTheme="majorHAnsi" w:hAnsiTheme="majorHAnsi"/>
        </w:rPr>
        <w:t xml:space="preserve"> over time. However in 2012 still approximately 25% of cancers were diagnosed primarily through emergency admission. Vulnerable populations including the elderly, </w:t>
      </w:r>
      <w:r w:rsidR="00DB011A" w:rsidRPr="00F701E1">
        <w:rPr>
          <w:rFonts w:asciiTheme="majorHAnsi" w:hAnsiTheme="majorHAnsi"/>
        </w:rPr>
        <w:t xml:space="preserve">those </w:t>
      </w:r>
      <w:r w:rsidR="0066591E" w:rsidRPr="00F701E1">
        <w:rPr>
          <w:rFonts w:asciiTheme="majorHAnsi" w:hAnsiTheme="majorHAnsi"/>
        </w:rPr>
        <w:t xml:space="preserve">with a high rate of medical comorbidity, </w:t>
      </w:r>
      <w:r w:rsidRPr="00F701E1">
        <w:rPr>
          <w:rFonts w:asciiTheme="majorHAnsi" w:hAnsiTheme="majorHAnsi"/>
        </w:rPr>
        <w:t xml:space="preserve">ethnic minorities and those from deprived economic classes are most at risk of emergency presentation with </w:t>
      </w:r>
      <w:r w:rsidR="001274F4" w:rsidRPr="00F701E1">
        <w:rPr>
          <w:rFonts w:asciiTheme="majorHAnsi" w:hAnsiTheme="majorHAnsi"/>
        </w:rPr>
        <w:t>esophageal</w:t>
      </w:r>
      <w:r w:rsidRPr="00F701E1">
        <w:rPr>
          <w:rFonts w:asciiTheme="majorHAnsi" w:hAnsiTheme="majorHAnsi"/>
        </w:rPr>
        <w:t xml:space="preserve"> and gastric cancer. </w:t>
      </w:r>
      <w:r w:rsidR="005026A6" w:rsidRPr="00F701E1">
        <w:rPr>
          <w:rFonts w:asciiTheme="majorHAnsi" w:hAnsiTheme="majorHAnsi"/>
        </w:rPr>
        <w:t>High volume hospitals had a lower proportion of emergency cancer diagnosis patients</w:t>
      </w:r>
      <w:r w:rsidR="0008116B" w:rsidRPr="00F701E1">
        <w:rPr>
          <w:rFonts w:asciiTheme="majorHAnsi" w:hAnsiTheme="majorHAnsi"/>
        </w:rPr>
        <w:t>, suggesting a better referral pathway from primary care</w:t>
      </w:r>
      <w:r w:rsidR="005026A6" w:rsidRPr="00F701E1">
        <w:rPr>
          <w:rFonts w:asciiTheme="majorHAnsi" w:hAnsiTheme="majorHAnsi"/>
        </w:rPr>
        <w:t xml:space="preserve">. </w:t>
      </w:r>
      <w:r w:rsidR="009C6E1D" w:rsidRPr="00F701E1">
        <w:rPr>
          <w:rFonts w:asciiTheme="majorHAnsi" w:hAnsiTheme="majorHAnsi"/>
        </w:rPr>
        <w:t xml:space="preserve">Emergency cancer diagnosis carries a </w:t>
      </w:r>
      <w:r w:rsidR="00740FBA" w:rsidRPr="00F701E1">
        <w:rPr>
          <w:rFonts w:asciiTheme="majorHAnsi" w:hAnsiTheme="majorHAnsi"/>
        </w:rPr>
        <w:t>significantly</w:t>
      </w:r>
      <w:r w:rsidR="009C6E1D" w:rsidRPr="00F701E1">
        <w:rPr>
          <w:rFonts w:asciiTheme="majorHAnsi" w:hAnsiTheme="majorHAnsi"/>
        </w:rPr>
        <w:t xml:space="preserve"> poorer long-term prognosis in patients managed with or without surgical resection. </w:t>
      </w:r>
    </w:p>
    <w:p w14:paraId="0BA9A650" w14:textId="0CD680DD" w:rsidR="006E11AE" w:rsidRPr="00F701E1" w:rsidRDefault="00DB011A" w:rsidP="006E11AE">
      <w:pPr>
        <w:spacing w:line="480" w:lineRule="auto"/>
        <w:jc w:val="both"/>
        <w:rPr>
          <w:rFonts w:asciiTheme="majorHAnsi" w:hAnsiTheme="majorHAnsi"/>
        </w:rPr>
      </w:pPr>
      <w:r w:rsidRPr="00F701E1">
        <w:rPr>
          <w:rFonts w:asciiTheme="majorHAnsi" w:hAnsiTheme="majorHAnsi"/>
        </w:rPr>
        <w:t xml:space="preserve">Patients presenting as an emergency had a greater incidence of metastatic disease compared to those presenting electively. This provides an explanation for the reduced </w:t>
      </w:r>
      <w:r w:rsidR="001274F4" w:rsidRPr="00F701E1">
        <w:rPr>
          <w:rFonts w:asciiTheme="majorHAnsi" w:hAnsiTheme="majorHAnsi"/>
        </w:rPr>
        <w:t>utilization</w:t>
      </w:r>
      <w:r w:rsidRPr="00F701E1">
        <w:rPr>
          <w:rFonts w:asciiTheme="majorHAnsi" w:hAnsiTheme="majorHAnsi"/>
        </w:rPr>
        <w:t xml:space="preserve"> of surgical resection with the emergency diagnosis group on the primary and follow-up admission, and thus the reduced survival when comparing all elective and emergency diagnosed patients. </w:t>
      </w:r>
      <w:r w:rsidR="006E11AE" w:rsidRPr="00F701E1">
        <w:rPr>
          <w:rFonts w:asciiTheme="majorHAnsi" w:hAnsiTheme="majorHAnsi"/>
        </w:rPr>
        <w:t>Furthermore, patient presented as emergency are often in a less than optimal physiological state to undergo major cancer surgery, with poor short- and long-term outcomes</w:t>
      </w:r>
      <w:proofErr w:type="gramStart"/>
      <w:r w:rsidR="006E11AE" w:rsidRPr="00F701E1">
        <w:rPr>
          <w:rFonts w:asciiTheme="majorHAnsi" w:hAnsiTheme="majorHAnsi"/>
        </w:rPr>
        <w:t>.[</w:t>
      </w:r>
      <w:proofErr w:type="gramEnd"/>
      <w:r w:rsidR="006E11AE" w:rsidRPr="00F701E1">
        <w:rPr>
          <w:rFonts w:asciiTheme="majorHAnsi" w:hAnsiTheme="majorHAnsi"/>
        </w:rPr>
        <w:t>14,15]</w:t>
      </w:r>
    </w:p>
    <w:p w14:paraId="71DF53ED" w14:textId="3465E88A" w:rsidR="00AE311D" w:rsidRPr="00F701E1" w:rsidRDefault="00DB011A" w:rsidP="00D0066B">
      <w:pPr>
        <w:spacing w:line="480" w:lineRule="auto"/>
        <w:jc w:val="both"/>
        <w:rPr>
          <w:rFonts w:asciiTheme="majorHAnsi" w:hAnsiTheme="majorHAnsi"/>
        </w:rPr>
      </w:pPr>
      <w:r w:rsidRPr="00F701E1">
        <w:rPr>
          <w:rFonts w:asciiTheme="majorHAnsi" w:hAnsiTheme="majorHAnsi"/>
        </w:rPr>
        <w:t xml:space="preserve">This study also confirmed </w:t>
      </w:r>
      <w:r w:rsidR="006E11AE" w:rsidRPr="00F701E1">
        <w:rPr>
          <w:rFonts w:asciiTheme="majorHAnsi" w:hAnsiTheme="majorHAnsi"/>
        </w:rPr>
        <w:t xml:space="preserve">that </w:t>
      </w:r>
      <w:r w:rsidRPr="00F701E1">
        <w:rPr>
          <w:rFonts w:asciiTheme="majorHAnsi" w:hAnsiTheme="majorHAnsi"/>
        </w:rPr>
        <w:t xml:space="preserve">patients presenting as an emergency who are </w:t>
      </w:r>
      <w:r w:rsidR="001274F4" w:rsidRPr="00F701E1">
        <w:rPr>
          <w:rFonts w:asciiTheme="majorHAnsi" w:hAnsiTheme="majorHAnsi"/>
        </w:rPr>
        <w:t>stabilized</w:t>
      </w:r>
      <w:r w:rsidRPr="00F701E1">
        <w:rPr>
          <w:rFonts w:asciiTheme="majorHAnsi" w:hAnsiTheme="majorHAnsi"/>
        </w:rPr>
        <w:t xml:space="preserve">, </w:t>
      </w:r>
      <w:r w:rsidR="006E11AE" w:rsidRPr="00F701E1">
        <w:rPr>
          <w:rFonts w:asciiTheme="majorHAnsi" w:hAnsiTheme="majorHAnsi"/>
        </w:rPr>
        <w:t>discharged and return for follow-up surgery, have a significantly poorer prognosis compared to electively diagnosed and operated patients</w:t>
      </w:r>
      <w:r w:rsidRPr="00F701E1">
        <w:rPr>
          <w:rFonts w:asciiTheme="majorHAnsi" w:hAnsiTheme="majorHAnsi"/>
        </w:rPr>
        <w:t>.</w:t>
      </w:r>
      <w:r w:rsidR="00074082" w:rsidRPr="00F701E1">
        <w:rPr>
          <w:rFonts w:asciiTheme="majorHAnsi" w:hAnsiTheme="majorHAnsi"/>
        </w:rPr>
        <w:t xml:space="preserve"> There was an increase in liver recurrence in the emergency diagnosis group following surgical resection</w:t>
      </w:r>
      <w:r w:rsidR="00FB59F2" w:rsidRPr="00F701E1">
        <w:rPr>
          <w:rFonts w:asciiTheme="majorHAnsi" w:hAnsiTheme="majorHAnsi"/>
        </w:rPr>
        <w:t xml:space="preserve">, which is most likely a representation of advanced </w:t>
      </w:r>
      <w:r w:rsidR="001274F4" w:rsidRPr="00F701E1">
        <w:rPr>
          <w:rFonts w:asciiTheme="majorHAnsi" w:hAnsiTheme="majorHAnsi"/>
        </w:rPr>
        <w:t>tumor</w:t>
      </w:r>
      <w:r w:rsidR="00FB59F2" w:rsidRPr="00F701E1">
        <w:rPr>
          <w:rFonts w:asciiTheme="majorHAnsi" w:hAnsiTheme="majorHAnsi"/>
        </w:rPr>
        <w:t xml:space="preserve"> stage at initial diagnosis. Cox regression analysis controlled for patient age, medical comorbidities </w:t>
      </w:r>
      <w:r w:rsidR="00FB59F2" w:rsidRPr="00F701E1">
        <w:rPr>
          <w:rFonts w:asciiTheme="majorHAnsi" w:hAnsiTheme="majorHAnsi"/>
        </w:rPr>
        <w:lastRenderedPageBreak/>
        <w:t>and other factors that may have affected prognosis, with emergency diagnosis remaining an independent adverse prognostic factor.</w:t>
      </w:r>
      <w:r w:rsidR="00AE311D" w:rsidRPr="00F701E1">
        <w:rPr>
          <w:rFonts w:asciiTheme="majorHAnsi" w:hAnsiTheme="majorHAnsi"/>
        </w:rPr>
        <w:t xml:space="preserve"> Therefore the poor prognosis associated with emergency diagnosis is likely to cancer-driven and due</w:t>
      </w:r>
      <w:r w:rsidRPr="00F701E1">
        <w:rPr>
          <w:rFonts w:asciiTheme="majorHAnsi" w:hAnsiTheme="majorHAnsi"/>
        </w:rPr>
        <w:t xml:space="preserve"> to</w:t>
      </w:r>
      <w:r w:rsidR="00AE311D" w:rsidRPr="00F701E1">
        <w:rPr>
          <w:rFonts w:asciiTheme="majorHAnsi" w:hAnsiTheme="majorHAnsi"/>
        </w:rPr>
        <w:t xml:space="preserve"> an increase in metastatic disease in the non-</w:t>
      </w:r>
      <w:proofErr w:type="spellStart"/>
      <w:r w:rsidR="00AE311D" w:rsidRPr="00F701E1">
        <w:rPr>
          <w:rFonts w:asciiTheme="majorHAnsi" w:hAnsiTheme="majorHAnsi"/>
        </w:rPr>
        <w:t>resectional</w:t>
      </w:r>
      <w:proofErr w:type="spellEnd"/>
      <w:r w:rsidR="00AE311D" w:rsidRPr="00F701E1">
        <w:rPr>
          <w:rFonts w:asciiTheme="majorHAnsi" w:hAnsiTheme="majorHAnsi"/>
        </w:rPr>
        <w:t xml:space="preserve"> cohort and advanced </w:t>
      </w:r>
      <w:r w:rsidR="001274F4" w:rsidRPr="00F701E1">
        <w:rPr>
          <w:rFonts w:asciiTheme="majorHAnsi" w:hAnsiTheme="majorHAnsi"/>
        </w:rPr>
        <w:t>tumor</w:t>
      </w:r>
      <w:r w:rsidR="00AE311D" w:rsidRPr="00F701E1">
        <w:rPr>
          <w:rFonts w:asciiTheme="majorHAnsi" w:hAnsiTheme="majorHAnsi"/>
        </w:rPr>
        <w:t xml:space="preserve"> stage with increased recurrence in the surgical cohort. </w:t>
      </w:r>
    </w:p>
    <w:p w14:paraId="5FEBE060" w14:textId="70CF0FB7" w:rsidR="006E11AE" w:rsidRPr="00F701E1" w:rsidRDefault="006E11AE" w:rsidP="006E11AE">
      <w:pPr>
        <w:spacing w:line="480" w:lineRule="auto"/>
        <w:jc w:val="both"/>
        <w:rPr>
          <w:rFonts w:asciiTheme="majorHAnsi" w:hAnsiTheme="majorHAnsi"/>
        </w:rPr>
      </w:pPr>
      <w:r w:rsidRPr="00F701E1">
        <w:rPr>
          <w:rFonts w:asciiTheme="majorHAnsi" w:hAnsiTheme="majorHAnsi"/>
        </w:rPr>
        <w:t>Despite the reduction in emergency diagnosis over time, approximately one quarter of patients in 2012 were still diagnosed on emergency admission.</w:t>
      </w:r>
      <w:r w:rsidR="00440063" w:rsidRPr="00F701E1">
        <w:rPr>
          <w:rFonts w:asciiTheme="majorHAnsi" w:hAnsiTheme="majorHAnsi"/>
        </w:rPr>
        <w:t xml:space="preserve"> This reduction in emergency diagnosis over time may be a reflection of changes in national health policy over the study period, including the centralization of </w:t>
      </w:r>
      <w:proofErr w:type="spellStart"/>
      <w:r w:rsidR="00440063" w:rsidRPr="00F701E1">
        <w:rPr>
          <w:rFonts w:asciiTheme="majorHAnsi" w:hAnsiTheme="majorHAnsi"/>
        </w:rPr>
        <w:t>esophago</w:t>
      </w:r>
      <w:proofErr w:type="spellEnd"/>
      <w:r w:rsidR="00440063" w:rsidRPr="00F701E1">
        <w:rPr>
          <w:rFonts w:asciiTheme="majorHAnsi" w:hAnsiTheme="majorHAnsi"/>
        </w:rPr>
        <w:t>-gastric cancer management to high volume hospitals [16</w:t>
      </w:r>
      <w:r w:rsidR="00DE4AD7" w:rsidRPr="00F701E1">
        <w:rPr>
          <w:rFonts w:asciiTheme="majorHAnsi" w:hAnsiTheme="majorHAnsi"/>
        </w:rPr>
        <w:t>,17</w:t>
      </w:r>
      <w:r w:rsidR="00440063" w:rsidRPr="00F701E1">
        <w:rPr>
          <w:rFonts w:asciiTheme="majorHAnsi" w:hAnsiTheme="majorHAnsi"/>
        </w:rPr>
        <w:t>] and the introduction of guidelines for primary care referral for investigation of upp</w:t>
      </w:r>
      <w:r w:rsidR="00DE4AD7" w:rsidRPr="00F701E1">
        <w:rPr>
          <w:rFonts w:asciiTheme="majorHAnsi" w:hAnsiTheme="majorHAnsi"/>
        </w:rPr>
        <w:t>er gastrointestinal symptoms [18</w:t>
      </w:r>
      <w:r w:rsidR="00440063" w:rsidRPr="00F701E1">
        <w:rPr>
          <w:rFonts w:asciiTheme="majorHAnsi" w:hAnsiTheme="majorHAnsi"/>
        </w:rPr>
        <w:t>].</w:t>
      </w:r>
      <w:r w:rsidRPr="00F701E1">
        <w:rPr>
          <w:rFonts w:asciiTheme="majorHAnsi" w:hAnsiTheme="majorHAnsi"/>
        </w:rPr>
        <w:t xml:space="preserve">  Vulnerable populations include elderly, high rate of medical comorbidity, ethnic minorities and deprived socioeconomic classes. Current NICE guidelines for referral for upper gastrointestinal endoscopy rely on patient presentation to primary care with symptoms, and general practitioner correct interpretation of these symptoms for referral. Recently there have been several campaigns to raise public awareness regarding </w:t>
      </w:r>
      <w:r w:rsidR="001274F4" w:rsidRPr="00F701E1">
        <w:rPr>
          <w:rFonts w:asciiTheme="majorHAnsi" w:hAnsiTheme="majorHAnsi"/>
        </w:rPr>
        <w:t>esophageal</w:t>
      </w:r>
      <w:r w:rsidRPr="00F701E1">
        <w:rPr>
          <w:rFonts w:asciiTheme="majorHAnsi" w:hAnsiTheme="majorHAnsi"/>
        </w:rPr>
        <w:t xml:space="preserve"> and gastric cancer, and we await the final reports of these with interest. However raising public awareness may still fail to reach these vulnerable populations, who may also be hesitant to undergo endoscopy due to the invasive nature of the investigation. Alternative less invasive triage investigations to provide primary care physicians with objective criteria for endoscopic referral such as </w:t>
      </w:r>
      <w:proofErr w:type="spellStart"/>
      <w:r w:rsidRPr="00F701E1">
        <w:rPr>
          <w:rFonts w:asciiTheme="majorHAnsi" w:hAnsiTheme="majorHAnsi"/>
        </w:rPr>
        <w:t>cytosponge</w:t>
      </w:r>
      <w:proofErr w:type="spellEnd"/>
      <w:r w:rsidRPr="00F701E1">
        <w:rPr>
          <w:rFonts w:asciiTheme="majorHAnsi" w:hAnsiTheme="majorHAnsi"/>
        </w:rPr>
        <w:t xml:space="preserve"> for Barrett </w:t>
      </w:r>
      <w:r w:rsidR="001274F4" w:rsidRPr="00F701E1">
        <w:rPr>
          <w:rFonts w:asciiTheme="majorHAnsi" w:hAnsiTheme="majorHAnsi"/>
        </w:rPr>
        <w:t>esophagus</w:t>
      </w:r>
      <w:r w:rsidRPr="00F701E1">
        <w:rPr>
          <w:rFonts w:asciiTheme="majorHAnsi" w:hAnsiTheme="majorHAnsi"/>
        </w:rPr>
        <w:t xml:space="preserve"> </w:t>
      </w:r>
      <w:r w:rsidR="00440063" w:rsidRPr="00F701E1">
        <w:rPr>
          <w:rFonts w:asciiTheme="majorHAnsi" w:hAnsiTheme="majorHAnsi"/>
        </w:rPr>
        <w:t xml:space="preserve">or breath testing for </w:t>
      </w:r>
      <w:r w:rsidR="009D771F" w:rsidRPr="00F701E1">
        <w:rPr>
          <w:rFonts w:asciiTheme="majorHAnsi" w:hAnsiTheme="majorHAnsi"/>
        </w:rPr>
        <w:t xml:space="preserve">suspected </w:t>
      </w:r>
      <w:r w:rsidR="00DE4AD7" w:rsidRPr="00F701E1">
        <w:rPr>
          <w:rFonts w:asciiTheme="majorHAnsi" w:hAnsiTheme="majorHAnsi"/>
        </w:rPr>
        <w:t>cancer</w:t>
      </w:r>
      <w:proofErr w:type="gramStart"/>
      <w:r w:rsidR="00DE4AD7" w:rsidRPr="00F701E1">
        <w:rPr>
          <w:rFonts w:asciiTheme="majorHAnsi" w:hAnsiTheme="majorHAnsi"/>
        </w:rPr>
        <w:t>,[</w:t>
      </w:r>
      <w:proofErr w:type="gramEnd"/>
      <w:r w:rsidR="00DE4AD7" w:rsidRPr="00F701E1">
        <w:rPr>
          <w:rFonts w:asciiTheme="majorHAnsi" w:hAnsiTheme="majorHAnsi"/>
        </w:rPr>
        <w:t>19,20</w:t>
      </w:r>
      <w:r w:rsidRPr="00F701E1">
        <w:rPr>
          <w:rFonts w:asciiTheme="majorHAnsi" w:hAnsiTheme="majorHAnsi"/>
        </w:rPr>
        <w:t xml:space="preserve">] may provide a cost-effective solution to this diagnostic dilemma. However both </w:t>
      </w:r>
      <w:r w:rsidRPr="00F701E1">
        <w:rPr>
          <w:rFonts w:asciiTheme="majorHAnsi" w:hAnsiTheme="majorHAnsi"/>
        </w:rPr>
        <w:lastRenderedPageBreak/>
        <w:t>technologies remain in the research phase with development and validation required before clinical impl</w:t>
      </w:r>
      <w:r w:rsidR="00DE4AD7" w:rsidRPr="00F701E1">
        <w:rPr>
          <w:rFonts w:asciiTheme="majorHAnsi" w:hAnsiTheme="majorHAnsi"/>
        </w:rPr>
        <w:t>ementation may be considered</w:t>
      </w:r>
      <w:proofErr w:type="gramStart"/>
      <w:r w:rsidR="00DE4AD7" w:rsidRPr="00F701E1">
        <w:rPr>
          <w:rFonts w:asciiTheme="majorHAnsi" w:hAnsiTheme="majorHAnsi"/>
        </w:rPr>
        <w:t>.[</w:t>
      </w:r>
      <w:proofErr w:type="gramEnd"/>
      <w:r w:rsidR="00DE4AD7" w:rsidRPr="00F701E1">
        <w:rPr>
          <w:rFonts w:asciiTheme="majorHAnsi" w:hAnsiTheme="majorHAnsi"/>
        </w:rPr>
        <w:t>21</w:t>
      </w:r>
      <w:r w:rsidRPr="00F701E1">
        <w:rPr>
          <w:rFonts w:asciiTheme="majorHAnsi" w:hAnsiTheme="majorHAnsi"/>
        </w:rPr>
        <w:t>]</w:t>
      </w:r>
    </w:p>
    <w:p w14:paraId="55657783" w14:textId="4D08195C" w:rsidR="00217286" w:rsidRPr="00F701E1" w:rsidRDefault="00912F5E" w:rsidP="006E11AE">
      <w:pPr>
        <w:spacing w:line="480" w:lineRule="auto"/>
        <w:jc w:val="both"/>
        <w:rPr>
          <w:rFonts w:asciiTheme="majorHAnsi" w:hAnsiTheme="majorHAnsi"/>
        </w:rPr>
      </w:pPr>
      <w:r w:rsidRPr="00F701E1">
        <w:rPr>
          <w:rFonts w:asciiTheme="majorHAnsi" w:hAnsiTheme="majorHAnsi"/>
        </w:rPr>
        <w:t>90–</w:t>
      </w:r>
      <w:r w:rsidR="00E04169" w:rsidRPr="00F701E1">
        <w:rPr>
          <w:rFonts w:asciiTheme="majorHAnsi" w:hAnsiTheme="majorHAnsi"/>
        </w:rPr>
        <w:t>95% of patients who presented</w:t>
      </w:r>
      <w:r w:rsidRPr="00F701E1">
        <w:rPr>
          <w:rFonts w:asciiTheme="majorHAnsi" w:hAnsiTheme="majorHAnsi"/>
        </w:rPr>
        <w:t xml:space="preserve"> as an emergency with </w:t>
      </w:r>
      <w:r w:rsidR="001274F4" w:rsidRPr="00F701E1">
        <w:rPr>
          <w:rFonts w:asciiTheme="majorHAnsi" w:hAnsiTheme="majorHAnsi"/>
        </w:rPr>
        <w:t>esophageal</w:t>
      </w:r>
      <w:r w:rsidRPr="00F701E1">
        <w:rPr>
          <w:rFonts w:asciiTheme="majorHAnsi" w:hAnsiTheme="majorHAnsi"/>
        </w:rPr>
        <w:t xml:space="preserve"> or gastric cancer did not receive s</w:t>
      </w:r>
      <w:r w:rsidR="006E1C73" w:rsidRPr="00F701E1">
        <w:rPr>
          <w:rFonts w:asciiTheme="majorHAnsi" w:hAnsiTheme="majorHAnsi"/>
        </w:rPr>
        <w:t>urgical or endoscopic resection. Surgical resection was associated with a two-fold improvement in overall survival paralleling the results of the UK national audit</w:t>
      </w:r>
      <w:r w:rsidR="00203E49" w:rsidRPr="00F701E1">
        <w:rPr>
          <w:rFonts w:asciiTheme="majorHAnsi" w:hAnsiTheme="majorHAnsi"/>
        </w:rPr>
        <w:t xml:space="preserve"> [7]</w:t>
      </w:r>
      <w:r w:rsidR="006E1C73" w:rsidRPr="00F701E1">
        <w:rPr>
          <w:rFonts w:asciiTheme="majorHAnsi" w:hAnsiTheme="majorHAnsi"/>
        </w:rPr>
        <w:t xml:space="preserve">. </w:t>
      </w:r>
      <w:r w:rsidRPr="00F701E1">
        <w:rPr>
          <w:rFonts w:asciiTheme="majorHAnsi" w:hAnsiTheme="majorHAnsi"/>
        </w:rPr>
        <w:t>This highlights the clinical need for</w:t>
      </w:r>
      <w:r w:rsidR="00E04169" w:rsidRPr="00F701E1">
        <w:rPr>
          <w:rFonts w:asciiTheme="majorHAnsi" w:hAnsiTheme="majorHAnsi"/>
        </w:rPr>
        <w:t xml:space="preserve"> </w:t>
      </w:r>
      <w:r w:rsidR="001274F4" w:rsidRPr="00F701E1">
        <w:rPr>
          <w:rFonts w:asciiTheme="majorHAnsi" w:hAnsiTheme="majorHAnsi"/>
        </w:rPr>
        <w:t>specialized</w:t>
      </w:r>
      <w:r w:rsidRPr="00F701E1">
        <w:rPr>
          <w:rFonts w:asciiTheme="majorHAnsi" w:hAnsiTheme="majorHAnsi"/>
        </w:rPr>
        <w:t xml:space="preserve"> acute oncology services </w:t>
      </w:r>
      <w:r w:rsidR="00E04169" w:rsidRPr="00F701E1">
        <w:rPr>
          <w:rFonts w:asciiTheme="majorHAnsi" w:hAnsiTheme="majorHAnsi"/>
        </w:rPr>
        <w:t xml:space="preserve">that have the available expertise to manage patients with an acute new cancer diagnosis, along-with potential complications of their diagnosis and oncological treatment. </w:t>
      </w:r>
    </w:p>
    <w:p w14:paraId="050FA5F0" w14:textId="716522F4" w:rsidR="006E11AE" w:rsidRPr="00F701E1" w:rsidRDefault="006E11AE" w:rsidP="006E11AE">
      <w:pPr>
        <w:spacing w:line="480" w:lineRule="auto"/>
        <w:jc w:val="both"/>
        <w:rPr>
          <w:rFonts w:asciiTheme="majorHAnsi" w:hAnsiTheme="majorHAnsi"/>
        </w:rPr>
      </w:pPr>
      <w:r w:rsidRPr="00F701E1">
        <w:rPr>
          <w:rFonts w:asciiTheme="majorHAnsi" w:hAnsiTheme="majorHAnsi"/>
        </w:rPr>
        <w:t xml:space="preserve">During interpretation of these results it is important to consider the limitations associated with studies based upon an administrative dataset. </w:t>
      </w:r>
      <w:r w:rsidR="0037435D" w:rsidRPr="00F701E1">
        <w:rPr>
          <w:rFonts w:asciiTheme="majorHAnsi" w:hAnsiTheme="majorHAnsi"/>
        </w:rPr>
        <w:t xml:space="preserve">Primary cause of emergency presentation was only coded in </w:t>
      </w:r>
      <w:r w:rsidR="003C112F" w:rsidRPr="00F701E1">
        <w:rPr>
          <w:rFonts w:asciiTheme="majorHAnsi" w:hAnsiTheme="majorHAnsi"/>
        </w:rPr>
        <w:t xml:space="preserve">24.2% of cases, which is a limitation of an administrative dataset such as HES, as non-clinical coders are often primarily responsible for the entry of data. </w:t>
      </w:r>
      <w:r w:rsidR="0037435D" w:rsidRPr="00F701E1">
        <w:rPr>
          <w:rFonts w:asciiTheme="majorHAnsi" w:hAnsiTheme="majorHAnsi"/>
        </w:rPr>
        <w:t xml:space="preserve"> </w:t>
      </w:r>
      <w:r w:rsidRPr="00F701E1">
        <w:rPr>
          <w:rFonts w:asciiTheme="majorHAnsi" w:hAnsiTheme="majorHAnsi"/>
        </w:rPr>
        <w:t xml:space="preserve">Details pertaining to cancer stage and </w:t>
      </w:r>
      <w:r w:rsidR="001274F4" w:rsidRPr="00F701E1">
        <w:rPr>
          <w:rFonts w:asciiTheme="majorHAnsi" w:hAnsiTheme="majorHAnsi"/>
        </w:rPr>
        <w:t>utilization</w:t>
      </w:r>
      <w:r w:rsidRPr="00F701E1">
        <w:rPr>
          <w:rFonts w:asciiTheme="majorHAnsi" w:hAnsiTheme="majorHAnsi"/>
        </w:rPr>
        <w:t xml:space="preserve"> of </w:t>
      </w:r>
      <w:proofErr w:type="spellStart"/>
      <w:r w:rsidRPr="00F701E1">
        <w:rPr>
          <w:rFonts w:asciiTheme="majorHAnsi" w:hAnsiTheme="majorHAnsi"/>
        </w:rPr>
        <w:t>neoadjuvant</w:t>
      </w:r>
      <w:proofErr w:type="spellEnd"/>
      <w:r w:rsidRPr="00F701E1">
        <w:rPr>
          <w:rFonts w:asciiTheme="majorHAnsi" w:hAnsiTheme="majorHAnsi"/>
        </w:rPr>
        <w:t xml:space="preserve"> or adjuvant chemo- or radiotherapy were not available as part of this dataset. However the finding of metastases at diagnosis and recurrences following surgery infer an advanced </w:t>
      </w:r>
      <w:r w:rsidR="001274F4" w:rsidRPr="00F701E1">
        <w:rPr>
          <w:rFonts w:asciiTheme="majorHAnsi" w:hAnsiTheme="majorHAnsi"/>
        </w:rPr>
        <w:t>tumor</w:t>
      </w:r>
      <w:r w:rsidRPr="00F701E1">
        <w:rPr>
          <w:rFonts w:asciiTheme="majorHAnsi" w:hAnsiTheme="majorHAnsi"/>
        </w:rPr>
        <w:t xml:space="preserve"> stage in the emergency diagnosis group. Furthermore cause of death is not provided in a dataset such as this, but again can be inferred following adjustment for patient age and medical comorbidities and follow-up of patients for cancer recurrence. Despite the limitations of the HES dataset, it is a well validated and </w:t>
      </w:r>
      <w:r w:rsidR="001274F4" w:rsidRPr="00F701E1">
        <w:rPr>
          <w:rFonts w:asciiTheme="majorHAnsi" w:hAnsiTheme="majorHAnsi"/>
        </w:rPr>
        <w:t>utilized</w:t>
      </w:r>
      <w:r w:rsidR="00440063" w:rsidRPr="00F701E1">
        <w:rPr>
          <w:rFonts w:asciiTheme="majorHAnsi" w:hAnsiTheme="majorHAnsi"/>
        </w:rPr>
        <w:t xml:space="preserve"> dataset</w:t>
      </w:r>
      <w:proofErr w:type="gramStart"/>
      <w:r w:rsidR="00440063" w:rsidRPr="00F701E1">
        <w:rPr>
          <w:rFonts w:asciiTheme="majorHAnsi" w:hAnsiTheme="majorHAnsi"/>
        </w:rPr>
        <w:t>,[</w:t>
      </w:r>
      <w:proofErr w:type="gramEnd"/>
      <w:r w:rsidR="00DE4AD7" w:rsidRPr="00F701E1">
        <w:rPr>
          <w:rFonts w:asciiTheme="majorHAnsi" w:hAnsiTheme="majorHAnsi"/>
        </w:rPr>
        <w:t>22–24</w:t>
      </w:r>
      <w:r w:rsidRPr="00F701E1">
        <w:rPr>
          <w:rFonts w:asciiTheme="majorHAnsi" w:hAnsiTheme="majorHAnsi"/>
        </w:rPr>
        <w:t xml:space="preserve">] and achieves 100% coverage of all NHS hospitals in England with a 16-year study period, that allows patients to be tracked throughout its entirety. </w:t>
      </w:r>
    </w:p>
    <w:p w14:paraId="445DA794" w14:textId="70A4C795" w:rsidR="006E11AE" w:rsidRPr="00F701E1" w:rsidRDefault="006E11AE" w:rsidP="006E11AE">
      <w:pPr>
        <w:spacing w:line="480" w:lineRule="auto"/>
        <w:jc w:val="both"/>
        <w:rPr>
          <w:rFonts w:asciiTheme="majorHAnsi" w:hAnsiTheme="majorHAnsi"/>
        </w:rPr>
      </w:pPr>
      <w:r w:rsidRPr="00F701E1">
        <w:rPr>
          <w:rFonts w:asciiTheme="majorHAnsi" w:hAnsiTheme="majorHAnsi"/>
        </w:rPr>
        <w:lastRenderedPageBreak/>
        <w:t xml:space="preserve">In conclusion, despite decreases over time, approximately one quarter of patients with </w:t>
      </w:r>
      <w:r w:rsidR="001274F4" w:rsidRPr="00F701E1">
        <w:rPr>
          <w:rFonts w:asciiTheme="majorHAnsi" w:hAnsiTheme="majorHAnsi"/>
        </w:rPr>
        <w:t>esophageal</w:t>
      </w:r>
      <w:r w:rsidRPr="00F701E1">
        <w:rPr>
          <w:rFonts w:asciiTheme="majorHAnsi" w:hAnsiTheme="majorHAnsi"/>
        </w:rPr>
        <w:t xml:space="preserve"> and gastric cancer present as an emergency in the current era. Emergency presentation is increased in vulnerable populations, particularly the elderly with increased medical comorbidities, ethnic minorities and those from low socioeconomic groups. Emergency diagnosis is associated with a poor prognosis, due to increased presence of metastatic disease at diagnosis and increased recurrence following surgery. Future strategies must attempt to further reduce the proportion of patients presenting with emergency diagnosis. This can be through a c</w:t>
      </w:r>
      <w:r w:rsidR="001274F4" w:rsidRPr="00F701E1">
        <w:rPr>
          <w:rFonts w:asciiTheme="majorHAnsi" w:hAnsiTheme="majorHAnsi"/>
        </w:rPr>
        <w:t xml:space="preserve">ombination of raising national </w:t>
      </w:r>
      <w:proofErr w:type="spellStart"/>
      <w:r w:rsidRPr="00F701E1">
        <w:rPr>
          <w:rFonts w:asciiTheme="majorHAnsi" w:hAnsiTheme="majorHAnsi"/>
        </w:rPr>
        <w:t>esophago</w:t>
      </w:r>
      <w:proofErr w:type="spellEnd"/>
      <w:r w:rsidRPr="00F701E1">
        <w:rPr>
          <w:rFonts w:asciiTheme="majorHAnsi" w:hAnsiTheme="majorHAnsi"/>
        </w:rPr>
        <w:t xml:space="preserve">-gastric cancer awareness, increasing patient acceptability through non-invasive triage testing to streamline referral for endoscopy and targeting vulnerable populations to facilitate early elective diagnosis. </w:t>
      </w:r>
    </w:p>
    <w:p w14:paraId="5250A780" w14:textId="4DAC523E" w:rsidR="00D0066B" w:rsidRPr="00F701E1" w:rsidRDefault="00D0066B" w:rsidP="00D0066B">
      <w:pPr>
        <w:spacing w:line="480" w:lineRule="auto"/>
        <w:jc w:val="both"/>
        <w:rPr>
          <w:rFonts w:asciiTheme="majorHAnsi" w:hAnsiTheme="majorHAnsi"/>
          <w:b/>
        </w:rPr>
      </w:pPr>
      <w:r w:rsidRPr="00F701E1">
        <w:rPr>
          <w:rFonts w:asciiTheme="majorHAnsi" w:hAnsiTheme="majorHAnsi"/>
          <w:b/>
        </w:rPr>
        <w:br w:type="page"/>
      </w:r>
    </w:p>
    <w:p w14:paraId="1593EA68" w14:textId="77777777" w:rsidR="00E85696" w:rsidRPr="00F701E1" w:rsidRDefault="00E85696" w:rsidP="00E85696">
      <w:pPr>
        <w:spacing w:line="480" w:lineRule="auto"/>
        <w:jc w:val="both"/>
        <w:rPr>
          <w:rFonts w:asciiTheme="majorHAnsi" w:hAnsiTheme="majorHAnsi"/>
          <w:b/>
        </w:rPr>
      </w:pPr>
      <w:r w:rsidRPr="00F701E1">
        <w:rPr>
          <w:rFonts w:asciiTheme="majorHAnsi" w:hAnsiTheme="majorHAnsi"/>
          <w:b/>
        </w:rPr>
        <w:lastRenderedPageBreak/>
        <w:t>REFERENCES</w:t>
      </w:r>
    </w:p>
    <w:p w14:paraId="669452E6" w14:textId="77777777" w:rsidR="00E85696" w:rsidRPr="00F701E1" w:rsidRDefault="00E85696" w:rsidP="00E85696">
      <w:pPr>
        <w:pStyle w:val="ListParagraph"/>
        <w:numPr>
          <w:ilvl w:val="0"/>
          <w:numId w:val="8"/>
        </w:numPr>
        <w:tabs>
          <w:tab w:val="num" w:pos="720"/>
        </w:tabs>
        <w:spacing w:line="480" w:lineRule="auto"/>
        <w:rPr>
          <w:rFonts w:asciiTheme="majorHAnsi" w:hAnsiTheme="majorHAnsi"/>
        </w:rPr>
      </w:pPr>
      <w:r w:rsidRPr="00F701E1">
        <w:rPr>
          <w:rFonts w:asciiTheme="majorHAnsi" w:hAnsiTheme="majorHAnsi" w:cs="Arial"/>
        </w:rPr>
        <w:t xml:space="preserve">Blot WJ, </w:t>
      </w:r>
      <w:proofErr w:type="spellStart"/>
      <w:r w:rsidRPr="00F701E1">
        <w:rPr>
          <w:rFonts w:asciiTheme="majorHAnsi" w:hAnsiTheme="majorHAnsi" w:cs="Arial"/>
        </w:rPr>
        <w:t>Devesa</w:t>
      </w:r>
      <w:proofErr w:type="spellEnd"/>
      <w:r w:rsidRPr="00F701E1">
        <w:rPr>
          <w:rFonts w:asciiTheme="majorHAnsi" w:hAnsiTheme="majorHAnsi" w:cs="Arial"/>
        </w:rPr>
        <w:t xml:space="preserve"> SS, Kneller RW, et al. Rising incidence of adenocarcinoma of the esophagus and gastric </w:t>
      </w:r>
      <w:proofErr w:type="spellStart"/>
      <w:r w:rsidRPr="00F701E1">
        <w:rPr>
          <w:rFonts w:asciiTheme="majorHAnsi" w:hAnsiTheme="majorHAnsi" w:cs="Arial"/>
        </w:rPr>
        <w:t>cardia</w:t>
      </w:r>
      <w:proofErr w:type="spellEnd"/>
      <w:r w:rsidRPr="00F701E1">
        <w:rPr>
          <w:rFonts w:asciiTheme="majorHAnsi" w:hAnsiTheme="majorHAnsi" w:cs="Arial"/>
        </w:rPr>
        <w:t>. JAMA 1991</w:t>
      </w:r>
      <w:proofErr w:type="gramStart"/>
      <w:r w:rsidRPr="00F701E1">
        <w:rPr>
          <w:rFonts w:asciiTheme="majorHAnsi" w:hAnsiTheme="majorHAnsi" w:cs="Arial"/>
        </w:rPr>
        <w:t>;265:1287</w:t>
      </w:r>
      <w:proofErr w:type="gramEnd"/>
      <w:r w:rsidRPr="00F701E1">
        <w:rPr>
          <w:rFonts w:asciiTheme="majorHAnsi" w:hAnsiTheme="majorHAnsi" w:cs="Arial"/>
        </w:rPr>
        <w:t xml:space="preserve">–1289. </w:t>
      </w:r>
    </w:p>
    <w:p w14:paraId="633D2775" w14:textId="77777777" w:rsidR="00E85696" w:rsidRPr="00F701E1" w:rsidRDefault="00E85696" w:rsidP="00E85696">
      <w:pPr>
        <w:numPr>
          <w:ilvl w:val="0"/>
          <w:numId w:val="8"/>
        </w:numPr>
        <w:spacing w:after="200" w:line="480" w:lineRule="auto"/>
        <w:jc w:val="both"/>
        <w:rPr>
          <w:rFonts w:ascii="Calibri" w:hAnsi="Calibri"/>
        </w:rPr>
      </w:pPr>
      <w:r w:rsidRPr="00F701E1">
        <w:rPr>
          <w:rFonts w:ascii="Calibri" w:hAnsi="Calibri"/>
          <w:noProof/>
        </w:rPr>
        <w:t>Siegel R, Naishadham D, Jemal A. Cancer statistics 2013. CA Cancer J Clin 2013; 63: 11 – 30</w:t>
      </w:r>
    </w:p>
    <w:p w14:paraId="3C1F8E8B" w14:textId="77777777" w:rsidR="00E85696" w:rsidRPr="00F701E1" w:rsidRDefault="00E85696" w:rsidP="00E85696">
      <w:pPr>
        <w:numPr>
          <w:ilvl w:val="0"/>
          <w:numId w:val="8"/>
        </w:numPr>
        <w:spacing w:line="480" w:lineRule="auto"/>
        <w:jc w:val="both"/>
        <w:rPr>
          <w:rFonts w:ascii="Calibri" w:hAnsi="Calibri"/>
        </w:rPr>
      </w:pPr>
      <w:proofErr w:type="spellStart"/>
      <w:r w:rsidRPr="00F701E1">
        <w:rPr>
          <w:rFonts w:ascii="Calibri" w:hAnsi="Calibri"/>
          <w:lang w:val="sv-SE"/>
        </w:rPr>
        <w:t>Kamangar</w:t>
      </w:r>
      <w:proofErr w:type="spellEnd"/>
      <w:r w:rsidRPr="00F701E1">
        <w:rPr>
          <w:rFonts w:ascii="Calibri" w:hAnsi="Calibri"/>
          <w:lang w:val="sv-SE"/>
        </w:rPr>
        <w:t xml:space="preserve"> F, </w:t>
      </w:r>
      <w:proofErr w:type="spellStart"/>
      <w:r w:rsidRPr="00F701E1">
        <w:rPr>
          <w:rFonts w:ascii="Calibri" w:hAnsi="Calibri"/>
          <w:lang w:val="sv-SE"/>
        </w:rPr>
        <w:t>Dores</w:t>
      </w:r>
      <w:proofErr w:type="spellEnd"/>
      <w:r w:rsidRPr="00F701E1">
        <w:rPr>
          <w:rFonts w:ascii="Calibri" w:hAnsi="Calibri"/>
          <w:lang w:val="sv-SE"/>
        </w:rPr>
        <w:t xml:space="preserve"> GM, Anderson WF. </w:t>
      </w:r>
      <w:r w:rsidRPr="00F701E1">
        <w:rPr>
          <w:rFonts w:ascii="Calibri" w:hAnsi="Calibri"/>
        </w:rPr>
        <w:t xml:space="preserve">Patterns of Cancer incidence, mortality and prevalence across five continents: Defining priorities to reduce cancer disparities in different geographic regions of the world. J </w:t>
      </w:r>
      <w:proofErr w:type="spellStart"/>
      <w:r w:rsidRPr="00F701E1">
        <w:rPr>
          <w:rFonts w:ascii="Calibri" w:hAnsi="Calibri"/>
        </w:rPr>
        <w:t>Clin</w:t>
      </w:r>
      <w:proofErr w:type="spellEnd"/>
      <w:r w:rsidRPr="00F701E1">
        <w:rPr>
          <w:rFonts w:ascii="Calibri" w:hAnsi="Calibri"/>
        </w:rPr>
        <w:t xml:space="preserve"> </w:t>
      </w:r>
      <w:proofErr w:type="spellStart"/>
      <w:r w:rsidRPr="00F701E1">
        <w:rPr>
          <w:rFonts w:ascii="Calibri" w:hAnsi="Calibri"/>
        </w:rPr>
        <w:t>Onc</w:t>
      </w:r>
      <w:proofErr w:type="spellEnd"/>
      <w:r w:rsidRPr="00F701E1">
        <w:rPr>
          <w:rFonts w:ascii="Calibri" w:hAnsi="Calibri"/>
        </w:rPr>
        <w:t xml:space="preserve"> 2006; 24: 2137–2150 </w:t>
      </w:r>
    </w:p>
    <w:p w14:paraId="21AC3893" w14:textId="77777777" w:rsidR="00E85696" w:rsidRPr="00F701E1" w:rsidRDefault="00E85696" w:rsidP="00E85696">
      <w:pPr>
        <w:numPr>
          <w:ilvl w:val="0"/>
          <w:numId w:val="8"/>
        </w:numPr>
        <w:tabs>
          <w:tab w:val="num" w:pos="720"/>
        </w:tabs>
        <w:spacing w:line="480" w:lineRule="auto"/>
        <w:rPr>
          <w:rFonts w:ascii="Calibri" w:hAnsi="Calibri"/>
        </w:rPr>
      </w:pPr>
      <w:r w:rsidRPr="00F701E1">
        <w:rPr>
          <w:rFonts w:ascii="Calibri" w:hAnsi="Calibri"/>
        </w:rPr>
        <w:t xml:space="preserve">Cancer Statistics registrations: Registrations of cancer diagnosed in 2009; Office for National Statistics: London 2012. </w:t>
      </w:r>
    </w:p>
    <w:p w14:paraId="67031D37"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t>Khanderia</w:t>
      </w:r>
      <w:proofErr w:type="spellEnd"/>
      <w:r w:rsidRPr="00F701E1">
        <w:rPr>
          <w:rFonts w:ascii="Calibri" w:hAnsi="Calibri"/>
        </w:rPr>
        <w:t xml:space="preserve"> E, Markar SR, </w:t>
      </w:r>
      <w:proofErr w:type="spellStart"/>
      <w:r w:rsidRPr="00F701E1">
        <w:rPr>
          <w:rFonts w:ascii="Calibri" w:hAnsi="Calibri"/>
        </w:rPr>
        <w:t>Acharya</w:t>
      </w:r>
      <w:proofErr w:type="spellEnd"/>
      <w:r w:rsidRPr="00F701E1">
        <w:rPr>
          <w:rFonts w:ascii="Calibri" w:hAnsi="Calibri"/>
        </w:rPr>
        <w:t xml:space="preserve"> A, et al. The influence of gastric cancer screening on the stage at diagnosis and survival: A meta-analysis of comparative studies in the Far East. J </w:t>
      </w:r>
      <w:proofErr w:type="spellStart"/>
      <w:r w:rsidRPr="00F701E1">
        <w:rPr>
          <w:rFonts w:ascii="Calibri" w:hAnsi="Calibri"/>
        </w:rPr>
        <w:t>Clin</w:t>
      </w:r>
      <w:proofErr w:type="spellEnd"/>
      <w:r w:rsidRPr="00F701E1">
        <w:rPr>
          <w:rFonts w:ascii="Calibri" w:hAnsi="Calibri"/>
        </w:rPr>
        <w:t xml:space="preserve"> </w:t>
      </w:r>
      <w:proofErr w:type="spellStart"/>
      <w:r w:rsidRPr="00F701E1">
        <w:rPr>
          <w:rFonts w:ascii="Calibri" w:hAnsi="Calibri"/>
        </w:rPr>
        <w:t>Gastroenterol</w:t>
      </w:r>
      <w:proofErr w:type="spellEnd"/>
      <w:r w:rsidRPr="00F701E1">
        <w:rPr>
          <w:rFonts w:ascii="Calibri" w:hAnsi="Calibri"/>
        </w:rPr>
        <w:t xml:space="preserve"> 2016; 50: 190–197. </w:t>
      </w:r>
    </w:p>
    <w:p w14:paraId="7D84C18F" w14:textId="77777777" w:rsidR="00E85696" w:rsidRPr="00F701E1" w:rsidRDefault="007C664A" w:rsidP="00E85696">
      <w:pPr>
        <w:pStyle w:val="ListParagraph"/>
        <w:numPr>
          <w:ilvl w:val="0"/>
          <w:numId w:val="8"/>
        </w:numPr>
        <w:tabs>
          <w:tab w:val="num" w:pos="720"/>
        </w:tabs>
        <w:spacing w:line="480" w:lineRule="auto"/>
        <w:rPr>
          <w:rFonts w:ascii="Calibri" w:hAnsi="Calibri"/>
        </w:rPr>
      </w:pPr>
      <w:hyperlink r:id="rId9" w:anchor="upper-gastrointestinal-tract-cancers" w:history="1">
        <w:r w:rsidR="00E85696" w:rsidRPr="00F701E1">
          <w:rPr>
            <w:rStyle w:val="Hyperlink"/>
            <w:rFonts w:ascii="Calibri" w:hAnsi="Calibri"/>
          </w:rPr>
          <w:t>https://www.nice.org.uk/guidance/NG12/chapter/1-Recommendations-organised-by-site-of-cancer#upper-gastrointestinal-tract-cancers</w:t>
        </w:r>
      </w:hyperlink>
      <w:r w:rsidR="00E85696" w:rsidRPr="00F701E1">
        <w:rPr>
          <w:rFonts w:ascii="Calibri" w:hAnsi="Calibri"/>
        </w:rPr>
        <w:t xml:space="preserve"> [last accessed 25/07/16]. </w:t>
      </w:r>
    </w:p>
    <w:p w14:paraId="69029171" w14:textId="77777777" w:rsidR="00E85696" w:rsidRPr="00F701E1" w:rsidRDefault="007C664A" w:rsidP="00E85696">
      <w:pPr>
        <w:pStyle w:val="ListParagraph"/>
        <w:numPr>
          <w:ilvl w:val="0"/>
          <w:numId w:val="8"/>
        </w:numPr>
        <w:tabs>
          <w:tab w:val="num" w:pos="720"/>
        </w:tabs>
        <w:spacing w:line="480" w:lineRule="auto"/>
        <w:rPr>
          <w:rFonts w:ascii="Calibri" w:hAnsi="Calibri"/>
        </w:rPr>
      </w:pPr>
      <w:hyperlink r:id="rId10" w:history="1">
        <w:r w:rsidR="00E85696" w:rsidRPr="00F701E1">
          <w:rPr>
            <w:rStyle w:val="Hyperlink"/>
            <w:rFonts w:ascii="Calibri" w:hAnsi="Calibri"/>
          </w:rPr>
          <w:t>http://www.hscic.gov.uk/og</w:t>
        </w:r>
      </w:hyperlink>
      <w:r w:rsidR="00E85696" w:rsidRPr="00F701E1">
        <w:rPr>
          <w:rFonts w:ascii="Calibri" w:hAnsi="Calibri"/>
        </w:rPr>
        <w:t>. [</w:t>
      </w:r>
      <w:proofErr w:type="gramStart"/>
      <w:r w:rsidR="00E85696" w:rsidRPr="00F701E1">
        <w:rPr>
          <w:rFonts w:ascii="Calibri" w:hAnsi="Calibri"/>
        </w:rPr>
        <w:t>last</w:t>
      </w:r>
      <w:proofErr w:type="gramEnd"/>
      <w:r w:rsidR="00E85696" w:rsidRPr="00F701E1">
        <w:rPr>
          <w:rFonts w:ascii="Calibri" w:hAnsi="Calibri"/>
        </w:rPr>
        <w:t xml:space="preserve"> accessed 25/07/16]. </w:t>
      </w:r>
    </w:p>
    <w:p w14:paraId="22929E0E"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t>Vasas</w:t>
      </w:r>
      <w:proofErr w:type="spellEnd"/>
      <w:r w:rsidRPr="00F701E1">
        <w:rPr>
          <w:rFonts w:ascii="Calibri" w:hAnsi="Calibri"/>
        </w:rPr>
        <w:t xml:space="preserve"> P, Wiggins T, </w:t>
      </w:r>
      <w:proofErr w:type="spellStart"/>
      <w:r w:rsidRPr="00F701E1">
        <w:rPr>
          <w:rFonts w:ascii="Calibri" w:hAnsi="Calibri"/>
        </w:rPr>
        <w:t>Chaudry</w:t>
      </w:r>
      <w:proofErr w:type="spellEnd"/>
      <w:r w:rsidRPr="00F701E1">
        <w:rPr>
          <w:rFonts w:ascii="Calibri" w:hAnsi="Calibri"/>
        </w:rPr>
        <w:t xml:space="preserve"> A, </w:t>
      </w:r>
      <w:proofErr w:type="gramStart"/>
      <w:r w:rsidRPr="00F701E1">
        <w:rPr>
          <w:rFonts w:ascii="Calibri" w:hAnsi="Calibri"/>
        </w:rPr>
        <w:t>et</w:t>
      </w:r>
      <w:proofErr w:type="gramEnd"/>
      <w:r w:rsidRPr="00F701E1">
        <w:rPr>
          <w:rFonts w:ascii="Calibri" w:hAnsi="Calibri"/>
        </w:rPr>
        <w:t xml:space="preserve"> al. Emergency presentation of the gastric cancer: prognosis and implications for service planning. Word J </w:t>
      </w:r>
      <w:proofErr w:type="spellStart"/>
      <w:r w:rsidRPr="00F701E1">
        <w:rPr>
          <w:rFonts w:ascii="Calibri" w:hAnsi="Calibri"/>
        </w:rPr>
        <w:t>Emerg</w:t>
      </w:r>
      <w:proofErr w:type="spellEnd"/>
      <w:r w:rsidRPr="00F701E1">
        <w:rPr>
          <w:rFonts w:ascii="Calibri" w:hAnsi="Calibri"/>
        </w:rPr>
        <w:t xml:space="preserve"> </w:t>
      </w:r>
      <w:proofErr w:type="spellStart"/>
      <w:r w:rsidRPr="00F701E1">
        <w:rPr>
          <w:rFonts w:ascii="Calibri" w:hAnsi="Calibri"/>
        </w:rPr>
        <w:t>Surg</w:t>
      </w:r>
      <w:proofErr w:type="spellEnd"/>
      <w:r w:rsidRPr="00F701E1">
        <w:rPr>
          <w:rFonts w:ascii="Calibri" w:hAnsi="Calibri"/>
        </w:rPr>
        <w:t xml:space="preserve"> 2012; 7: 31.</w:t>
      </w:r>
    </w:p>
    <w:p w14:paraId="6DC6382E"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lastRenderedPageBreak/>
        <w:t>Kasakura</w:t>
      </w:r>
      <w:proofErr w:type="spellEnd"/>
      <w:r w:rsidRPr="00F701E1">
        <w:rPr>
          <w:rFonts w:ascii="Calibri" w:hAnsi="Calibri"/>
        </w:rPr>
        <w:t xml:space="preserve"> Y, Ajani JA, Mochizuki F, et al. Outcomes after emergency surgery for gastric perforation or severe bleeding in patients with gastric cancer. J </w:t>
      </w:r>
      <w:proofErr w:type="spellStart"/>
      <w:r w:rsidRPr="00F701E1">
        <w:rPr>
          <w:rFonts w:ascii="Calibri" w:hAnsi="Calibri"/>
        </w:rPr>
        <w:t>Surg</w:t>
      </w:r>
      <w:proofErr w:type="spellEnd"/>
      <w:r w:rsidRPr="00F701E1">
        <w:rPr>
          <w:rFonts w:ascii="Calibri" w:hAnsi="Calibri"/>
        </w:rPr>
        <w:t xml:space="preserve"> </w:t>
      </w:r>
      <w:proofErr w:type="spellStart"/>
      <w:r w:rsidRPr="00F701E1">
        <w:rPr>
          <w:rFonts w:ascii="Calibri" w:hAnsi="Calibri"/>
        </w:rPr>
        <w:t>Oncol</w:t>
      </w:r>
      <w:proofErr w:type="spellEnd"/>
      <w:r w:rsidRPr="00F701E1">
        <w:rPr>
          <w:rFonts w:ascii="Calibri" w:hAnsi="Calibri"/>
        </w:rPr>
        <w:t xml:space="preserve"> 2002; 80: 181 – 185. </w:t>
      </w:r>
    </w:p>
    <w:p w14:paraId="68662648"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Adachi Y, Mori M, </w:t>
      </w:r>
      <w:proofErr w:type="spellStart"/>
      <w:proofErr w:type="gramStart"/>
      <w:r w:rsidRPr="00F701E1">
        <w:rPr>
          <w:rFonts w:ascii="Calibri" w:hAnsi="Calibri"/>
        </w:rPr>
        <w:t>Maehara</w:t>
      </w:r>
      <w:proofErr w:type="spellEnd"/>
      <w:proofErr w:type="gramEnd"/>
      <w:r w:rsidRPr="00F701E1">
        <w:rPr>
          <w:rFonts w:ascii="Calibri" w:hAnsi="Calibri"/>
        </w:rPr>
        <w:t xml:space="preserve"> Y, et al. Surgical results of perforated gastric carcinoma: an analysis of 155 Japanese patients. Am J </w:t>
      </w:r>
      <w:proofErr w:type="spellStart"/>
      <w:r w:rsidRPr="00F701E1">
        <w:rPr>
          <w:rFonts w:ascii="Calibri" w:hAnsi="Calibri"/>
        </w:rPr>
        <w:t>Gastroenterol</w:t>
      </w:r>
      <w:proofErr w:type="spellEnd"/>
      <w:r w:rsidRPr="00F701E1">
        <w:rPr>
          <w:rFonts w:ascii="Calibri" w:hAnsi="Calibri"/>
        </w:rPr>
        <w:t xml:space="preserve"> 1997; 92: 516 – </w:t>
      </w:r>
      <w:proofErr w:type="gramStart"/>
      <w:r w:rsidRPr="00F701E1">
        <w:rPr>
          <w:rFonts w:ascii="Calibri" w:hAnsi="Calibri"/>
        </w:rPr>
        <w:t>518.</w:t>
      </w:r>
      <w:proofErr w:type="gramEnd"/>
      <w:r w:rsidRPr="00F701E1">
        <w:rPr>
          <w:rFonts w:ascii="Calibri" w:hAnsi="Calibri"/>
        </w:rPr>
        <w:t xml:space="preserve"> </w:t>
      </w:r>
    </w:p>
    <w:p w14:paraId="31D795D0" w14:textId="77777777" w:rsidR="00E85696" w:rsidRPr="00F701E1" w:rsidRDefault="00E85696" w:rsidP="00E85696">
      <w:pPr>
        <w:pStyle w:val="ListParagraph"/>
        <w:numPr>
          <w:ilvl w:val="0"/>
          <w:numId w:val="8"/>
        </w:numPr>
        <w:spacing w:after="200" w:line="480" w:lineRule="auto"/>
        <w:jc w:val="both"/>
        <w:rPr>
          <w:rFonts w:asciiTheme="majorHAnsi" w:hAnsiTheme="majorHAnsi"/>
          <w:b/>
        </w:rPr>
      </w:pPr>
      <w:r w:rsidRPr="00F701E1">
        <w:rPr>
          <w:rFonts w:asciiTheme="majorHAnsi" w:hAnsiTheme="majorHAnsi" w:cs="Times New Roman"/>
          <w:noProof/>
        </w:rPr>
        <w:t>Hospital Episode Statistics (HES). Welcome to HESonline. http://www.hscic.gov.uk/hes [accessed 1</w:t>
      </w:r>
      <w:r w:rsidRPr="00F701E1">
        <w:rPr>
          <w:rFonts w:asciiTheme="majorHAnsi" w:hAnsiTheme="majorHAnsi" w:cs="Times New Roman"/>
          <w:noProof/>
          <w:vertAlign w:val="superscript"/>
        </w:rPr>
        <w:t>st</w:t>
      </w:r>
      <w:r w:rsidRPr="00F701E1">
        <w:rPr>
          <w:rFonts w:asciiTheme="majorHAnsi" w:hAnsiTheme="majorHAnsi" w:cs="Times New Roman"/>
          <w:noProof/>
        </w:rPr>
        <w:t xml:space="preserve"> July 2015].</w:t>
      </w:r>
    </w:p>
    <w:p w14:paraId="369B177E"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t>Charlson</w:t>
      </w:r>
      <w:proofErr w:type="spellEnd"/>
      <w:r w:rsidRPr="00F701E1">
        <w:rPr>
          <w:rFonts w:ascii="Calibri" w:hAnsi="Calibri"/>
        </w:rPr>
        <w:t xml:space="preserve"> M, </w:t>
      </w:r>
      <w:proofErr w:type="spellStart"/>
      <w:r w:rsidRPr="00F701E1">
        <w:rPr>
          <w:rFonts w:ascii="Calibri" w:hAnsi="Calibri"/>
        </w:rPr>
        <w:t>Szatrowski</w:t>
      </w:r>
      <w:proofErr w:type="spellEnd"/>
      <w:r w:rsidRPr="00F701E1">
        <w:rPr>
          <w:rFonts w:ascii="Calibri" w:hAnsi="Calibri"/>
        </w:rPr>
        <w:t xml:space="preserve"> TP, Peterson J, Gold J. Validation of a combined comorbidity index. J </w:t>
      </w:r>
      <w:proofErr w:type="spellStart"/>
      <w:r w:rsidRPr="00F701E1">
        <w:rPr>
          <w:rFonts w:ascii="Calibri" w:hAnsi="Calibri"/>
        </w:rPr>
        <w:t>Clin</w:t>
      </w:r>
      <w:proofErr w:type="spellEnd"/>
      <w:r w:rsidRPr="00F701E1">
        <w:rPr>
          <w:rFonts w:ascii="Calibri" w:hAnsi="Calibri"/>
        </w:rPr>
        <w:t xml:space="preserve"> </w:t>
      </w:r>
      <w:proofErr w:type="spellStart"/>
      <w:r w:rsidRPr="00F701E1">
        <w:rPr>
          <w:rFonts w:ascii="Calibri" w:hAnsi="Calibri"/>
        </w:rPr>
        <w:t>Epidemiol</w:t>
      </w:r>
      <w:proofErr w:type="spellEnd"/>
      <w:r w:rsidRPr="00F701E1">
        <w:rPr>
          <w:rFonts w:ascii="Calibri" w:hAnsi="Calibri"/>
        </w:rPr>
        <w:t xml:space="preserve"> 1994; 47: 1245 – 1251. </w:t>
      </w:r>
    </w:p>
    <w:p w14:paraId="76E108D3" w14:textId="77777777" w:rsidR="00E85696" w:rsidRPr="00F701E1" w:rsidRDefault="007C664A" w:rsidP="00E85696">
      <w:pPr>
        <w:pStyle w:val="ListParagraph"/>
        <w:numPr>
          <w:ilvl w:val="0"/>
          <w:numId w:val="8"/>
        </w:numPr>
        <w:tabs>
          <w:tab w:val="num" w:pos="720"/>
        </w:tabs>
        <w:spacing w:line="480" w:lineRule="auto"/>
        <w:rPr>
          <w:rFonts w:ascii="Calibri" w:hAnsi="Calibri"/>
        </w:rPr>
      </w:pPr>
      <w:hyperlink r:id="rId11" w:history="1">
        <w:r w:rsidR="00E85696" w:rsidRPr="00F701E1">
          <w:rPr>
            <w:rStyle w:val="Hyperlink"/>
            <w:rFonts w:ascii="Calibri" w:hAnsi="Calibri"/>
          </w:rPr>
          <w:t>https://census.ukdataservice.ac.uk/get-data/related/deprivation</w:t>
        </w:r>
      </w:hyperlink>
      <w:r w:rsidR="00E85696" w:rsidRPr="00F701E1">
        <w:rPr>
          <w:rFonts w:ascii="Calibri" w:hAnsi="Calibri"/>
        </w:rPr>
        <w:t>. [</w:t>
      </w:r>
      <w:proofErr w:type="gramStart"/>
      <w:r w:rsidR="00E85696" w:rsidRPr="00F701E1">
        <w:rPr>
          <w:rFonts w:ascii="Calibri" w:hAnsi="Calibri"/>
        </w:rPr>
        <w:t>last</w:t>
      </w:r>
      <w:proofErr w:type="gramEnd"/>
      <w:r w:rsidR="00E85696" w:rsidRPr="00F701E1">
        <w:rPr>
          <w:rFonts w:ascii="Calibri" w:hAnsi="Calibri"/>
        </w:rPr>
        <w:t xml:space="preserve"> accessed 25/07/16]. </w:t>
      </w:r>
    </w:p>
    <w:p w14:paraId="321C6E81"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So JB, Yam A, </w:t>
      </w:r>
      <w:proofErr w:type="spellStart"/>
      <w:r w:rsidRPr="00F701E1">
        <w:rPr>
          <w:rFonts w:ascii="Calibri" w:hAnsi="Calibri"/>
        </w:rPr>
        <w:t>Cheah</w:t>
      </w:r>
      <w:proofErr w:type="spellEnd"/>
      <w:r w:rsidRPr="00F701E1">
        <w:rPr>
          <w:rFonts w:ascii="Calibri" w:hAnsi="Calibri"/>
        </w:rPr>
        <w:t xml:space="preserve"> WK, et al. Risk factors related to operative mortality and morbidity in patients undergoing emergency </w:t>
      </w:r>
      <w:proofErr w:type="spellStart"/>
      <w:r w:rsidRPr="00F701E1">
        <w:rPr>
          <w:rFonts w:ascii="Calibri" w:hAnsi="Calibri"/>
        </w:rPr>
        <w:t>gastrectomy</w:t>
      </w:r>
      <w:proofErr w:type="spellEnd"/>
      <w:r w:rsidRPr="00F701E1">
        <w:rPr>
          <w:rFonts w:ascii="Calibri" w:hAnsi="Calibri"/>
        </w:rPr>
        <w:t xml:space="preserve">. Br J </w:t>
      </w:r>
      <w:proofErr w:type="spellStart"/>
      <w:r w:rsidRPr="00F701E1">
        <w:rPr>
          <w:rFonts w:ascii="Calibri" w:hAnsi="Calibri"/>
        </w:rPr>
        <w:t>Surg</w:t>
      </w:r>
      <w:proofErr w:type="spellEnd"/>
      <w:r w:rsidRPr="00F701E1">
        <w:rPr>
          <w:rFonts w:ascii="Calibri" w:hAnsi="Calibri"/>
        </w:rPr>
        <w:t xml:space="preserve"> 2000; 87: 1702 – 1707. </w:t>
      </w:r>
    </w:p>
    <w:p w14:paraId="07C81B6A"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t>Gertsch</w:t>
      </w:r>
      <w:proofErr w:type="spellEnd"/>
      <w:r w:rsidRPr="00F701E1">
        <w:rPr>
          <w:rFonts w:ascii="Calibri" w:hAnsi="Calibri"/>
        </w:rPr>
        <w:t xml:space="preserve"> P, Chow LW, Yuen ST, et al. Long-term survival after </w:t>
      </w:r>
      <w:proofErr w:type="spellStart"/>
      <w:r w:rsidRPr="00F701E1">
        <w:rPr>
          <w:rFonts w:ascii="Calibri" w:hAnsi="Calibri"/>
        </w:rPr>
        <w:t>gastrectomy</w:t>
      </w:r>
      <w:proofErr w:type="spellEnd"/>
      <w:r w:rsidRPr="00F701E1">
        <w:rPr>
          <w:rFonts w:ascii="Calibri" w:hAnsi="Calibri"/>
        </w:rPr>
        <w:t xml:space="preserve"> for advanced bleeding or perforated gastric carcinoma. </w:t>
      </w:r>
      <w:proofErr w:type="spellStart"/>
      <w:r w:rsidRPr="00F701E1">
        <w:rPr>
          <w:rFonts w:ascii="Calibri" w:hAnsi="Calibri"/>
        </w:rPr>
        <w:t>Eur</w:t>
      </w:r>
      <w:proofErr w:type="spellEnd"/>
      <w:r w:rsidRPr="00F701E1">
        <w:rPr>
          <w:rFonts w:ascii="Calibri" w:hAnsi="Calibri"/>
        </w:rPr>
        <w:t xml:space="preserve"> J </w:t>
      </w:r>
      <w:proofErr w:type="spellStart"/>
      <w:r w:rsidRPr="00F701E1">
        <w:rPr>
          <w:rFonts w:ascii="Calibri" w:hAnsi="Calibri"/>
        </w:rPr>
        <w:t>Surg</w:t>
      </w:r>
      <w:proofErr w:type="spellEnd"/>
      <w:r w:rsidRPr="00F701E1">
        <w:rPr>
          <w:rFonts w:ascii="Calibri" w:hAnsi="Calibri"/>
        </w:rPr>
        <w:t xml:space="preserve"> 1996; 162: 723 – 727. </w:t>
      </w:r>
    </w:p>
    <w:p w14:paraId="40CC3272" w14:textId="43BD4415" w:rsidR="00DE4AD7" w:rsidRPr="00F701E1" w:rsidRDefault="00DE4AD7" w:rsidP="00DE4AD7">
      <w:pPr>
        <w:pStyle w:val="ListParagraph"/>
        <w:numPr>
          <w:ilvl w:val="0"/>
          <w:numId w:val="8"/>
        </w:numPr>
        <w:tabs>
          <w:tab w:val="num" w:pos="720"/>
        </w:tabs>
        <w:spacing w:line="480" w:lineRule="auto"/>
        <w:jc w:val="both"/>
        <w:rPr>
          <w:rFonts w:asciiTheme="majorHAnsi" w:hAnsiTheme="majorHAnsi"/>
        </w:rPr>
      </w:pPr>
      <w:r w:rsidRPr="00F701E1">
        <w:rPr>
          <w:rFonts w:asciiTheme="majorHAnsi" w:hAnsiTheme="majorHAnsi" w:cs="Gill Sans"/>
        </w:rPr>
        <w:t xml:space="preserve">Department of Health: </w:t>
      </w:r>
      <w:r w:rsidRPr="00F701E1">
        <w:rPr>
          <w:rFonts w:asciiTheme="majorHAnsi" w:hAnsiTheme="majorHAnsi" w:cs="Gill Sans"/>
          <w:i/>
          <w:iCs/>
        </w:rPr>
        <w:t xml:space="preserve">Guidance on Commissioning Cancer Services: Improving Outcomes in Upper Gastro-Intestinal Cancers: The Manual </w:t>
      </w:r>
      <w:r w:rsidRPr="00F701E1">
        <w:rPr>
          <w:rFonts w:asciiTheme="majorHAnsi" w:hAnsiTheme="majorHAnsi" w:cs="Gill Sans"/>
        </w:rPr>
        <w:t>London: Department of Health</w:t>
      </w:r>
      <w:proofErr w:type="gramStart"/>
      <w:r w:rsidRPr="00F701E1">
        <w:rPr>
          <w:rFonts w:asciiTheme="majorHAnsi" w:hAnsiTheme="majorHAnsi" w:cs="Gill Sans"/>
        </w:rPr>
        <w:t>;</w:t>
      </w:r>
      <w:proofErr w:type="gramEnd"/>
      <w:r w:rsidRPr="00F701E1">
        <w:rPr>
          <w:rFonts w:asciiTheme="majorHAnsi" w:hAnsiTheme="majorHAnsi" w:cs="Gill Sans"/>
        </w:rPr>
        <w:t xml:space="preserve"> 2001.</w:t>
      </w:r>
    </w:p>
    <w:p w14:paraId="4FAF75EF" w14:textId="554048EE" w:rsidR="00DE4AD7" w:rsidRPr="00F701E1" w:rsidRDefault="00DE4AD7" w:rsidP="00DE4AD7">
      <w:pPr>
        <w:pStyle w:val="ListParagraph"/>
        <w:numPr>
          <w:ilvl w:val="0"/>
          <w:numId w:val="8"/>
        </w:numPr>
        <w:tabs>
          <w:tab w:val="num" w:pos="720"/>
        </w:tabs>
        <w:spacing w:line="480" w:lineRule="auto"/>
        <w:jc w:val="both"/>
        <w:rPr>
          <w:rFonts w:asciiTheme="majorHAnsi" w:hAnsiTheme="majorHAnsi"/>
        </w:rPr>
      </w:pPr>
      <w:r w:rsidRPr="00F701E1">
        <w:rPr>
          <w:rFonts w:asciiTheme="majorHAnsi" w:hAnsiTheme="majorHAnsi" w:cs="Gill Sans"/>
        </w:rPr>
        <w:t xml:space="preserve">Department of Health: </w:t>
      </w:r>
      <w:r w:rsidRPr="00F701E1">
        <w:rPr>
          <w:rFonts w:asciiTheme="majorHAnsi" w:hAnsiTheme="majorHAnsi" w:cs="Gill Sans"/>
          <w:i/>
          <w:iCs/>
        </w:rPr>
        <w:t xml:space="preserve">The NHS Cancer Plan: A Plan for Investment, a plan for reform </w:t>
      </w:r>
      <w:r w:rsidRPr="00F701E1">
        <w:rPr>
          <w:rFonts w:asciiTheme="majorHAnsi" w:hAnsiTheme="majorHAnsi" w:cs="Gill Sans"/>
        </w:rPr>
        <w:t>London: Her Majesty's Stationary Office; 2000.</w:t>
      </w:r>
    </w:p>
    <w:p w14:paraId="2F7C233D" w14:textId="6B6ACBCE" w:rsidR="00175E91" w:rsidRPr="00F701E1" w:rsidRDefault="00175E91" w:rsidP="00E85696">
      <w:pPr>
        <w:pStyle w:val="ListParagraph"/>
        <w:numPr>
          <w:ilvl w:val="0"/>
          <w:numId w:val="8"/>
        </w:numPr>
        <w:tabs>
          <w:tab w:val="num" w:pos="720"/>
        </w:tabs>
        <w:spacing w:line="480" w:lineRule="auto"/>
        <w:rPr>
          <w:rFonts w:asciiTheme="majorHAnsi" w:hAnsiTheme="majorHAnsi"/>
        </w:rPr>
      </w:pPr>
      <w:r w:rsidRPr="00F701E1">
        <w:rPr>
          <w:rFonts w:asciiTheme="majorHAnsi" w:eastAsia="Times New Roman" w:hAnsiTheme="majorHAnsi" w:cs="Times New Roman"/>
        </w:rPr>
        <w:lastRenderedPageBreak/>
        <w:t xml:space="preserve">National Institute of Clinical </w:t>
      </w:r>
      <w:r w:rsidR="007B1BDD" w:rsidRPr="00F701E1">
        <w:rPr>
          <w:rFonts w:asciiTheme="majorHAnsi" w:eastAsia="Times New Roman" w:hAnsiTheme="majorHAnsi" w:cs="Times New Roman"/>
        </w:rPr>
        <w:t xml:space="preserve">Excellence. Dyspepsia: managing </w:t>
      </w:r>
      <w:r w:rsidRPr="00F701E1">
        <w:rPr>
          <w:rFonts w:asciiTheme="majorHAnsi" w:eastAsia="Times New Roman" w:hAnsiTheme="majorHAnsi" w:cs="Times New Roman"/>
        </w:rPr>
        <w:t>dyspepsia in adults in primary care. London</w:t>
      </w:r>
      <w:proofErr w:type="gramStart"/>
      <w:r w:rsidRPr="00F701E1">
        <w:rPr>
          <w:rFonts w:asciiTheme="majorHAnsi" w:eastAsia="Times New Roman" w:hAnsiTheme="majorHAnsi" w:cs="Times New Roman"/>
        </w:rPr>
        <w:t>:NICE,2004</w:t>
      </w:r>
      <w:proofErr w:type="gramEnd"/>
      <w:r w:rsidRPr="00F701E1">
        <w:rPr>
          <w:rFonts w:asciiTheme="majorHAnsi" w:eastAsia="Times New Roman" w:hAnsiTheme="majorHAnsi" w:cs="Times New Roman"/>
        </w:rPr>
        <w:t>.</w:t>
      </w:r>
    </w:p>
    <w:p w14:paraId="22D06F1A" w14:textId="77777777" w:rsidR="00E85696" w:rsidRPr="00F701E1" w:rsidRDefault="00E85696" w:rsidP="00E85696">
      <w:pPr>
        <w:pStyle w:val="ListParagraph"/>
        <w:numPr>
          <w:ilvl w:val="0"/>
          <w:numId w:val="8"/>
        </w:numPr>
        <w:tabs>
          <w:tab w:val="num" w:pos="720"/>
        </w:tabs>
        <w:spacing w:line="480" w:lineRule="auto"/>
        <w:rPr>
          <w:rFonts w:ascii="Calibri" w:hAnsi="Calibri"/>
        </w:rPr>
      </w:pPr>
      <w:proofErr w:type="spellStart"/>
      <w:r w:rsidRPr="00F701E1">
        <w:rPr>
          <w:rFonts w:ascii="Calibri" w:hAnsi="Calibri"/>
        </w:rPr>
        <w:t>Kadri</w:t>
      </w:r>
      <w:proofErr w:type="spellEnd"/>
      <w:r w:rsidRPr="00F701E1">
        <w:rPr>
          <w:rFonts w:ascii="Calibri" w:hAnsi="Calibri"/>
        </w:rPr>
        <w:t xml:space="preserve"> SR, Lao-</w:t>
      </w:r>
      <w:proofErr w:type="spellStart"/>
      <w:r w:rsidRPr="00F701E1">
        <w:rPr>
          <w:rFonts w:ascii="Calibri" w:hAnsi="Calibri"/>
        </w:rPr>
        <w:t>Siriex</w:t>
      </w:r>
      <w:proofErr w:type="spellEnd"/>
      <w:r w:rsidRPr="00F701E1">
        <w:rPr>
          <w:rFonts w:ascii="Calibri" w:hAnsi="Calibri"/>
        </w:rPr>
        <w:t xml:space="preserve"> P, O’Donovan M, et al. Acceptability and accuracy of a non-endoscopic screening test for Barrett’s </w:t>
      </w:r>
      <w:proofErr w:type="spellStart"/>
      <w:r w:rsidRPr="00F701E1">
        <w:rPr>
          <w:rFonts w:ascii="Calibri" w:hAnsi="Calibri"/>
        </w:rPr>
        <w:t>oesophagus</w:t>
      </w:r>
      <w:proofErr w:type="spellEnd"/>
      <w:r w:rsidRPr="00F701E1">
        <w:rPr>
          <w:rFonts w:ascii="Calibri" w:hAnsi="Calibri"/>
        </w:rPr>
        <w:t xml:space="preserve"> in primary care: cohort study. BMJ 2010; 341: c4362. </w:t>
      </w:r>
    </w:p>
    <w:p w14:paraId="3142F7C3"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Kumar S, Huang J, </w:t>
      </w:r>
      <w:proofErr w:type="spellStart"/>
      <w:r w:rsidRPr="00F701E1">
        <w:rPr>
          <w:rFonts w:ascii="Calibri" w:hAnsi="Calibri"/>
        </w:rPr>
        <w:t>Abbassi-Ghadi</w:t>
      </w:r>
      <w:proofErr w:type="spellEnd"/>
      <w:r w:rsidRPr="00F701E1">
        <w:rPr>
          <w:rFonts w:ascii="Calibri" w:hAnsi="Calibri"/>
        </w:rPr>
        <w:t xml:space="preserve"> N, et al. Mass spectrometric analysis of exhaled breath for the identification of volatile organic compound biomarkers in esophageal and gastric adenocarcinoma. Ann </w:t>
      </w:r>
      <w:proofErr w:type="spellStart"/>
      <w:r w:rsidRPr="00F701E1">
        <w:rPr>
          <w:rFonts w:ascii="Calibri" w:hAnsi="Calibri"/>
        </w:rPr>
        <w:t>Surg</w:t>
      </w:r>
      <w:proofErr w:type="spellEnd"/>
      <w:r w:rsidRPr="00F701E1">
        <w:rPr>
          <w:rFonts w:ascii="Calibri" w:hAnsi="Calibri"/>
        </w:rPr>
        <w:t xml:space="preserve"> 2015; 262; 981 – 990. </w:t>
      </w:r>
    </w:p>
    <w:p w14:paraId="7127B9F8"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Markar SR, </w:t>
      </w:r>
      <w:proofErr w:type="spellStart"/>
      <w:r w:rsidRPr="00F701E1">
        <w:rPr>
          <w:rFonts w:ascii="Calibri" w:hAnsi="Calibri"/>
        </w:rPr>
        <w:t>Lagergren</w:t>
      </w:r>
      <w:proofErr w:type="spellEnd"/>
      <w:r w:rsidRPr="00F701E1">
        <w:rPr>
          <w:rFonts w:ascii="Calibri" w:hAnsi="Calibri"/>
        </w:rPr>
        <w:t xml:space="preserve"> J, Hanna GB. Research protocol for a diagnostic study of non-invasive exhaled breath analysis for the prediction of </w:t>
      </w:r>
      <w:proofErr w:type="spellStart"/>
      <w:r w:rsidRPr="00F701E1">
        <w:rPr>
          <w:rFonts w:ascii="Calibri" w:hAnsi="Calibri"/>
        </w:rPr>
        <w:t>oesophago</w:t>
      </w:r>
      <w:proofErr w:type="spellEnd"/>
      <w:r w:rsidRPr="00F701E1">
        <w:rPr>
          <w:rFonts w:ascii="Calibri" w:hAnsi="Calibri"/>
        </w:rPr>
        <w:t xml:space="preserve">-gastric cancer. BMJ Open 2016; 6: e009139. </w:t>
      </w:r>
    </w:p>
    <w:p w14:paraId="1C165FE6"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Markar SR, Mackenzie H, Mikhail S, et al. Surgical resection of hepatic metastases from gastric cancer: outcomes from national series in England. Gastric cancer 2016 [</w:t>
      </w:r>
      <w:proofErr w:type="spellStart"/>
      <w:r w:rsidRPr="00F701E1">
        <w:rPr>
          <w:rFonts w:ascii="Calibri" w:hAnsi="Calibri"/>
        </w:rPr>
        <w:t>Epub</w:t>
      </w:r>
      <w:proofErr w:type="spellEnd"/>
      <w:r w:rsidRPr="00F701E1">
        <w:rPr>
          <w:rFonts w:ascii="Calibri" w:hAnsi="Calibri"/>
        </w:rPr>
        <w:t xml:space="preserve"> ahead of print]. </w:t>
      </w:r>
    </w:p>
    <w:p w14:paraId="2169B753"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Mackenzie H, Markar SR, </w:t>
      </w:r>
      <w:proofErr w:type="spellStart"/>
      <w:r w:rsidRPr="00F701E1">
        <w:rPr>
          <w:rFonts w:ascii="Calibri" w:hAnsi="Calibri"/>
        </w:rPr>
        <w:t>Askari</w:t>
      </w:r>
      <w:proofErr w:type="spellEnd"/>
      <w:r w:rsidRPr="00F701E1">
        <w:rPr>
          <w:rFonts w:ascii="Calibri" w:hAnsi="Calibri"/>
        </w:rPr>
        <w:t xml:space="preserve"> A, et al. National </w:t>
      </w:r>
      <w:proofErr w:type="spellStart"/>
      <w:r w:rsidRPr="00F701E1">
        <w:rPr>
          <w:rFonts w:ascii="Calibri" w:hAnsi="Calibri"/>
        </w:rPr>
        <w:t>profiency</w:t>
      </w:r>
      <w:proofErr w:type="spellEnd"/>
      <w:r w:rsidRPr="00F701E1">
        <w:rPr>
          <w:rFonts w:ascii="Calibri" w:hAnsi="Calibri"/>
        </w:rPr>
        <w:t xml:space="preserve">-gain curves for minimally invasive gastrointestinal cancer surgery. Br J </w:t>
      </w:r>
      <w:proofErr w:type="spellStart"/>
      <w:r w:rsidRPr="00F701E1">
        <w:rPr>
          <w:rFonts w:ascii="Calibri" w:hAnsi="Calibri"/>
        </w:rPr>
        <w:t>Surg</w:t>
      </w:r>
      <w:proofErr w:type="spellEnd"/>
      <w:r w:rsidRPr="00F701E1">
        <w:rPr>
          <w:rFonts w:ascii="Calibri" w:hAnsi="Calibri"/>
        </w:rPr>
        <w:t xml:space="preserve"> 2016; 103: 88 – 96. </w:t>
      </w:r>
    </w:p>
    <w:p w14:paraId="6FAAAA8A" w14:textId="77777777" w:rsidR="00E85696" w:rsidRPr="00F701E1" w:rsidRDefault="00E85696" w:rsidP="00E85696">
      <w:pPr>
        <w:pStyle w:val="ListParagraph"/>
        <w:numPr>
          <w:ilvl w:val="0"/>
          <w:numId w:val="8"/>
        </w:numPr>
        <w:tabs>
          <w:tab w:val="num" w:pos="720"/>
        </w:tabs>
        <w:spacing w:line="480" w:lineRule="auto"/>
        <w:rPr>
          <w:rFonts w:ascii="Calibri" w:hAnsi="Calibri"/>
        </w:rPr>
      </w:pPr>
      <w:r w:rsidRPr="00F701E1">
        <w:rPr>
          <w:rFonts w:ascii="Calibri" w:hAnsi="Calibri"/>
        </w:rPr>
        <w:t xml:space="preserve">Markar SR, Mackenzie H, Wiggins T, et al. Management and outcomes of esophageal perforation: a national study of 2,564 patients in England. Am J </w:t>
      </w:r>
      <w:proofErr w:type="spellStart"/>
      <w:r w:rsidRPr="00F701E1">
        <w:rPr>
          <w:rFonts w:ascii="Calibri" w:hAnsi="Calibri"/>
        </w:rPr>
        <w:t>Gastroenterol</w:t>
      </w:r>
      <w:proofErr w:type="spellEnd"/>
      <w:r w:rsidRPr="00F701E1">
        <w:rPr>
          <w:rFonts w:ascii="Calibri" w:hAnsi="Calibri"/>
        </w:rPr>
        <w:t xml:space="preserve"> 2015; 110: 1559 – </w:t>
      </w:r>
      <w:proofErr w:type="gramStart"/>
      <w:r w:rsidRPr="00F701E1">
        <w:rPr>
          <w:rFonts w:ascii="Calibri" w:hAnsi="Calibri"/>
        </w:rPr>
        <w:t>1566.</w:t>
      </w:r>
      <w:proofErr w:type="gramEnd"/>
      <w:r w:rsidRPr="00F701E1">
        <w:rPr>
          <w:rFonts w:ascii="Calibri" w:hAnsi="Calibri"/>
        </w:rPr>
        <w:t xml:space="preserve"> </w:t>
      </w:r>
    </w:p>
    <w:p w14:paraId="015D639A" w14:textId="77777777" w:rsidR="00E85696" w:rsidRPr="00F701E1" w:rsidRDefault="00E85696" w:rsidP="00E85696">
      <w:pPr>
        <w:spacing w:line="480" w:lineRule="auto"/>
        <w:jc w:val="both"/>
        <w:rPr>
          <w:rFonts w:asciiTheme="majorHAnsi" w:hAnsiTheme="majorHAnsi"/>
        </w:rPr>
      </w:pPr>
    </w:p>
    <w:p w14:paraId="76C2BAF9" w14:textId="77777777" w:rsidR="00E85696" w:rsidRPr="00F701E1" w:rsidRDefault="00E85696" w:rsidP="00E85696"/>
    <w:p w14:paraId="7CA7A0FB" w14:textId="77777777" w:rsidR="00D0066B" w:rsidRPr="00F701E1" w:rsidRDefault="00D0066B" w:rsidP="00D0066B">
      <w:pPr>
        <w:rPr>
          <w:rFonts w:asciiTheme="majorHAnsi" w:hAnsiTheme="majorHAnsi"/>
          <w:b/>
        </w:rPr>
      </w:pPr>
    </w:p>
    <w:p w14:paraId="45D7BA17" w14:textId="263A9F78" w:rsidR="004444C6" w:rsidRPr="00F701E1" w:rsidRDefault="004444C6">
      <w:r w:rsidRPr="00F701E1">
        <w:br w:type="page"/>
      </w:r>
    </w:p>
    <w:p w14:paraId="30C5A4DD" w14:textId="5DF36383" w:rsidR="00C31ACF" w:rsidRPr="00F701E1" w:rsidRDefault="00C31ACF" w:rsidP="00C31ACF">
      <w:pPr>
        <w:spacing w:line="480" w:lineRule="auto"/>
        <w:jc w:val="both"/>
        <w:rPr>
          <w:rFonts w:asciiTheme="majorHAnsi" w:hAnsiTheme="majorHAnsi"/>
          <w:b/>
        </w:rPr>
      </w:pPr>
      <w:r w:rsidRPr="00F701E1">
        <w:rPr>
          <w:rFonts w:asciiTheme="majorHAnsi" w:hAnsiTheme="majorHAnsi"/>
          <w:b/>
        </w:rPr>
        <w:lastRenderedPageBreak/>
        <w:t>FIGURE LEGENDS</w:t>
      </w:r>
    </w:p>
    <w:p w14:paraId="5F4C221C" w14:textId="77777777" w:rsidR="00C31ACF" w:rsidRPr="00F701E1" w:rsidRDefault="00C31ACF" w:rsidP="00C31ACF">
      <w:pPr>
        <w:jc w:val="both"/>
        <w:rPr>
          <w:rFonts w:asciiTheme="majorHAnsi" w:hAnsiTheme="majorHAnsi"/>
          <w:b/>
        </w:rPr>
      </w:pPr>
    </w:p>
    <w:p w14:paraId="11A469E9" w14:textId="7FD02FE4" w:rsidR="00962279" w:rsidRPr="00F701E1" w:rsidRDefault="00962279" w:rsidP="00C31ACF">
      <w:pPr>
        <w:spacing w:line="480" w:lineRule="auto"/>
        <w:jc w:val="both"/>
        <w:rPr>
          <w:rFonts w:asciiTheme="majorHAnsi" w:hAnsiTheme="majorHAnsi"/>
        </w:rPr>
      </w:pPr>
      <w:r w:rsidRPr="00F701E1">
        <w:rPr>
          <w:rFonts w:asciiTheme="majorHAnsi" w:hAnsiTheme="majorHAnsi"/>
        </w:rPr>
        <w:t xml:space="preserve">Figure 1: Percentage of </w:t>
      </w:r>
      <w:r w:rsidR="00CF6EC9" w:rsidRPr="00F701E1">
        <w:rPr>
          <w:rFonts w:asciiTheme="majorHAnsi" w:hAnsiTheme="majorHAnsi"/>
        </w:rPr>
        <w:t>E</w:t>
      </w:r>
      <w:r w:rsidRPr="00F701E1">
        <w:rPr>
          <w:rFonts w:asciiTheme="majorHAnsi" w:hAnsiTheme="majorHAnsi"/>
        </w:rPr>
        <w:t xml:space="preserve">sophageal and Gastric cancers presenting as an Emergency over time. </w:t>
      </w:r>
    </w:p>
    <w:p w14:paraId="1E26DCD9" w14:textId="77777777" w:rsidR="00C31ACF" w:rsidRPr="00F701E1" w:rsidRDefault="00C31ACF" w:rsidP="00C31ACF">
      <w:pPr>
        <w:spacing w:line="480" w:lineRule="auto"/>
        <w:jc w:val="both"/>
        <w:rPr>
          <w:rFonts w:asciiTheme="majorHAnsi" w:hAnsiTheme="majorHAnsi"/>
        </w:rPr>
      </w:pPr>
    </w:p>
    <w:p w14:paraId="43FDF7CE" w14:textId="168D0F2E" w:rsidR="00962279" w:rsidRPr="00F701E1" w:rsidRDefault="00C31ACF" w:rsidP="00C31ACF">
      <w:pPr>
        <w:spacing w:line="480" w:lineRule="auto"/>
        <w:jc w:val="both"/>
      </w:pPr>
      <w:r w:rsidRPr="00F701E1">
        <w:rPr>
          <w:rFonts w:asciiTheme="majorHAnsi" w:hAnsiTheme="majorHAnsi"/>
        </w:rPr>
        <w:t>Figure</w:t>
      </w:r>
      <w:r w:rsidR="00962279" w:rsidRPr="00F701E1">
        <w:rPr>
          <w:rFonts w:asciiTheme="majorHAnsi" w:hAnsiTheme="majorHAnsi"/>
        </w:rPr>
        <w:t xml:space="preserve"> 2: Survival for all patients presenting as an emergency vs. elective adm</w:t>
      </w:r>
      <w:r w:rsidRPr="00F701E1">
        <w:rPr>
          <w:rFonts w:asciiTheme="majorHAnsi" w:hAnsiTheme="majorHAnsi"/>
        </w:rPr>
        <w:t xml:space="preserve">ission </w:t>
      </w:r>
      <w:r w:rsidR="00CF6EC9" w:rsidRPr="00F701E1">
        <w:rPr>
          <w:rFonts w:asciiTheme="majorHAnsi" w:hAnsiTheme="majorHAnsi"/>
        </w:rPr>
        <w:t>for primary diagnosis of; (a) E</w:t>
      </w:r>
      <w:r w:rsidRPr="00F701E1">
        <w:rPr>
          <w:rFonts w:asciiTheme="majorHAnsi" w:hAnsiTheme="majorHAnsi"/>
        </w:rPr>
        <w:t xml:space="preserve">sophageal cancer and (b) </w:t>
      </w:r>
      <w:r w:rsidR="00962279" w:rsidRPr="00F701E1">
        <w:rPr>
          <w:rFonts w:asciiTheme="majorHAnsi" w:hAnsiTheme="majorHAnsi"/>
        </w:rPr>
        <w:t>Gastric cancer</w:t>
      </w:r>
      <w:r w:rsidR="00496C6D" w:rsidRPr="00F701E1">
        <w:rPr>
          <w:rFonts w:asciiTheme="majorHAnsi" w:hAnsiTheme="majorHAnsi"/>
        </w:rPr>
        <w:t>; Emergency presentation: green = yes, blue = no</w:t>
      </w:r>
    </w:p>
    <w:p w14:paraId="01186DAF" w14:textId="6A07001F" w:rsidR="00962279" w:rsidRPr="00F701E1" w:rsidRDefault="00962279" w:rsidP="00962279">
      <w:pPr>
        <w:spacing w:line="480" w:lineRule="auto"/>
        <w:jc w:val="both"/>
        <w:rPr>
          <w:rFonts w:asciiTheme="majorHAnsi" w:hAnsiTheme="majorHAnsi"/>
          <w:b/>
        </w:rPr>
      </w:pPr>
    </w:p>
    <w:p w14:paraId="21348FDE" w14:textId="65D4E83E" w:rsidR="00962279" w:rsidRPr="00C31ACF" w:rsidRDefault="00962279" w:rsidP="00962279">
      <w:pPr>
        <w:spacing w:line="480" w:lineRule="auto"/>
        <w:jc w:val="both"/>
        <w:rPr>
          <w:rFonts w:asciiTheme="majorHAnsi" w:hAnsiTheme="majorHAnsi"/>
        </w:rPr>
      </w:pPr>
      <w:r w:rsidRPr="00F701E1">
        <w:rPr>
          <w:rFonts w:asciiTheme="majorHAnsi" w:hAnsiTheme="majorHAnsi"/>
        </w:rPr>
        <w:t>F</w:t>
      </w:r>
      <w:r w:rsidR="00C31ACF" w:rsidRPr="00F701E1">
        <w:rPr>
          <w:rFonts w:asciiTheme="majorHAnsi" w:hAnsiTheme="majorHAnsi"/>
        </w:rPr>
        <w:t xml:space="preserve">igure </w:t>
      </w:r>
      <w:r w:rsidRPr="00F701E1">
        <w:rPr>
          <w:rFonts w:asciiTheme="majorHAnsi" w:hAnsiTheme="majorHAnsi"/>
        </w:rPr>
        <w:t>3: Survival for patients receiving follow-up resection and presenting as an emergency vs. elective admission for primary diagnosis of:</w:t>
      </w:r>
      <w:r w:rsidR="00CF6EC9" w:rsidRPr="00F701E1">
        <w:rPr>
          <w:rFonts w:asciiTheme="majorHAnsi" w:hAnsiTheme="majorHAnsi"/>
        </w:rPr>
        <w:t xml:space="preserve"> (a) E</w:t>
      </w:r>
      <w:r w:rsidR="00C31ACF" w:rsidRPr="00F701E1">
        <w:rPr>
          <w:rFonts w:asciiTheme="majorHAnsi" w:hAnsiTheme="majorHAnsi"/>
        </w:rPr>
        <w:t>sophageal cancer and (b) Gastric cancer</w:t>
      </w:r>
      <w:r w:rsidR="00496C6D" w:rsidRPr="00F701E1">
        <w:rPr>
          <w:rFonts w:asciiTheme="majorHAnsi" w:hAnsiTheme="majorHAnsi"/>
        </w:rPr>
        <w:t>; Emergency presentation: green = yes, blue = no</w:t>
      </w:r>
    </w:p>
    <w:p w14:paraId="7310BD15" w14:textId="263D38F0" w:rsidR="00962279" w:rsidRDefault="00962279" w:rsidP="00962279"/>
    <w:sectPr w:rsidR="00962279" w:rsidSect="005B6007">
      <w:headerReference w:type="even" r:id="rId12"/>
      <w:headerReference w:type="default" r:id="rId13"/>
      <w:pgSz w:w="11900" w:h="16840"/>
      <w:pgMar w:top="1440" w:right="1797" w:bottom="1440" w:left="1797" w:header="709" w:footer="709" w:gutter="0"/>
      <w:lnNumType w:countBy="2"/>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1EE7B" w14:textId="77777777" w:rsidR="00027FDB" w:rsidRDefault="00027FDB" w:rsidP="00354864">
      <w:r>
        <w:separator/>
      </w:r>
    </w:p>
  </w:endnote>
  <w:endnote w:type="continuationSeparator" w:id="0">
    <w:p w14:paraId="1FD90B22" w14:textId="77777777" w:rsidR="00027FDB" w:rsidRDefault="00027FDB" w:rsidP="0035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F5503" w14:textId="77777777" w:rsidR="00027FDB" w:rsidRDefault="00027FDB" w:rsidP="00354864">
      <w:r>
        <w:separator/>
      </w:r>
    </w:p>
  </w:footnote>
  <w:footnote w:type="continuationSeparator" w:id="0">
    <w:p w14:paraId="04A8CB8A" w14:textId="77777777" w:rsidR="00027FDB" w:rsidRDefault="00027FDB" w:rsidP="003548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0CCEA" w14:textId="77777777" w:rsidR="00027FDB" w:rsidRDefault="00027FDB" w:rsidP="003743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25BEAC" w14:textId="77777777" w:rsidR="00027FDB" w:rsidRDefault="00027FDB" w:rsidP="0035486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7F93" w14:textId="77777777" w:rsidR="00027FDB" w:rsidRDefault="00027FDB" w:rsidP="003743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64A">
      <w:rPr>
        <w:rStyle w:val="PageNumber"/>
        <w:noProof/>
      </w:rPr>
      <w:t>3</w:t>
    </w:r>
    <w:r>
      <w:rPr>
        <w:rStyle w:val="PageNumber"/>
      </w:rPr>
      <w:fldChar w:fldCharType="end"/>
    </w:r>
  </w:p>
  <w:p w14:paraId="6E4C3079" w14:textId="77777777" w:rsidR="00027FDB" w:rsidRDefault="00027FDB" w:rsidP="0035486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4FB"/>
    <w:multiLevelType w:val="hybridMultilevel"/>
    <w:tmpl w:val="3B86E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C16C04"/>
    <w:multiLevelType w:val="hybridMultilevel"/>
    <w:tmpl w:val="0BFE76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FD75F1"/>
    <w:multiLevelType w:val="hybridMultilevel"/>
    <w:tmpl w:val="75C8D540"/>
    <w:lvl w:ilvl="0" w:tplc="72905CD4">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49702D"/>
    <w:multiLevelType w:val="multilevel"/>
    <w:tmpl w:val="7362FD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681374"/>
    <w:multiLevelType w:val="hybridMultilevel"/>
    <w:tmpl w:val="F0BE3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161457"/>
    <w:multiLevelType w:val="hybridMultilevel"/>
    <w:tmpl w:val="0E8A1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606D42"/>
    <w:multiLevelType w:val="hybridMultilevel"/>
    <w:tmpl w:val="219E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E1135A"/>
    <w:multiLevelType w:val="hybridMultilevel"/>
    <w:tmpl w:val="D9482DA2"/>
    <w:lvl w:ilvl="0" w:tplc="5C2EE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03614D"/>
    <w:multiLevelType w:val="hybridMultilevel"/>
    <w:tmpl w:val="336E8F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538705C"/>
    <w:multiLevelType w:val="hybridMultilevel"/>
    <w:tmpl w:val="19B46904"/>
    <w:lvl w:ilvl="0" w:tplc="F02ECE7C">
      <w:start w:val="1"/>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7F1445A"/>
    <w:multiLevelType w:val="hybridMultilevel"/>
    <w:tmpl w:val="D7A69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75D785B"/>
    <w:multiLevelType w:val="hybridMultilevel"/>
    <w:tmpl w:val="07908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8AC3BF5"/>
    <w:multiLevelType w:val="hybridMultilevel"/>
    <w:tmpl w:val="BBC862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A240AD2"/>
    <w:multiLevelType w:val="multilevel"/>
    <w:tmpl w:val="943407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1"/>
  </w:num>
  <w:num w:numId="3">
    <w:abstractNumId w:val="6"/>
  </w:num>
  <w:num w:numId="4">
    <w:abstractNumId w:val="7"/>
  </w:num>
  <w:num w:numId="5">
    <w:abstractNumId w:val="9"/>
  </w:num>
  <w:num w:numId="6">
    <w:abstractNumId w:val="8"/>
  </w:num>
  <w:num w:numId="7">
    <w:abstractNumId w:val="1"/>
  </w:num>
  <w:num w:numId="8">
    <w:abstractNumId w:val="2"/>
  </w:num>
  <w:num w:numId="9">
    <w:abstractNumId w:val="10"/>
  </w:num>
  <w:num w:numId="10">
    <w:abstractNumId w:val="0"/>
  </w:num>
  <w:num w:numId="11">
    <w:abstractNumId w:val="5"/>
  </w:num>
  <w:num w:numId="12">
    <w:abstractNumId w:val="4"/>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6B"/>
    <w:rsid w:val="000160AB"/>
    <w:rsid w:val="00024596"/>
    <w:rsid w:val="00027FDB"/>
    <w:rsid w:val="00060512"/>
    <w:rsid w:val="00066122"/>
    <w:rsid w:val="00074082"/>
    <w:rsid w:val="0008116B"/>
    <w:rsid w:val="00081882"/>
    <w:rsid w:val="00086B19"/>
    <w:rsid w:val="0009096C"/>
    <w:rsid w:val="000A2AD9"/>
    <w:rsid w:val="000B3B6E"/>
    <w:rsid w:val="000C21EF"/>
    <w:rsid w:val="000C4CDC"/>
    <w:rsid w:val="000C562F"/>
    <w:rsid w:val="000F0A37"/>
    <w:rsid w:val="001274F4"/>
    <w:rsid w:val="001348B0"/>
    <w:rsid w:val="00150294"/>
    <w:rsid w:val="00175E91"/>
    <w:rsid w:val="001909B4"/>
    <w:rsid w:val="001954A0"/>
    <w:rsid w:val="00195807"/>
    <w:rsid w:val="001B6F13"/>
    <w:rsid w:val="001C7984"/>
    <w:rsid w:val="001E42C9"/>
    <w:rsid w:val="001F1B4E"/>
    <w:rsid w:val="00203E49"/>
    <w:rsid w:val="00217286"/>
    <w:rsid w:val="0022048D"/>
    <w:rsid w:val="00223D6B"/>
    <w:rsid w:val="00223D8F"/>
    <w:rsid w:val="00246944"/>
    <w:rsid w:val="002578A5"/>
    <w:rsid w:val="002A230C"/>
    <w:rsid w:val="002A479F"/>
    <w:rsid w:val="002A78F8"/>
    <w:rsid w:val="002B4404"/>
    <w:rsid w:val="002E79DF"/>
    <w:rsid w:val="0031342C"/>
    <w:rsid w:val="00354864"/>
    <w:rsid w:val="0037435D"/>
    <w:rsid w:val="00375E6C"/>
    <w:rsid w:val="003948C0"/>
    <w:rsid w:val="003B4714"/>
    <w:rsid w:val="003C112F"/>
    <w:rsid w:val="003C1BC3"/>
    <w:rsid w:val="003D046F"/>
    <w:rsid w:val="00402964"/>
    <w:rsid w:val="00440063"/>
    <w:rsid w:val="004444C6"/>
    <w:rsid w:val="004446A8"/>
    <w:rsid w:val="00496C6D"/>
    <w:rsid w:val="004A2E8B"/>
    <w:rsid w:val="004A3125"/>
    <w:rsid w:val="004B534D"/>
    <w:rsid w:val="004E22EB"/>
    <w:rsid w:val="004E2634"/>
    <w:rsid w:val="005026A6"/>
    <w:rsid w:val="00502E68"/>
    <w:rsid w:val="00504627"/>
    <w:rsid w:val="0057251A"/>
    <w:rsid w:val="005A33CD"/>
    <w:rsid w:val="005B6007"/>
    <w:rsid w:val="005C0BB0"/>
    <w:rsid w:val="005C5127"/>
    <w:rsid w:val="005C631B"/>
    <w:rsid w:val="005F1481"/>
    <w:rsid w:val="006058A8"/>
    <w:rsid w:val="006112F5"/>
    <w:rsid w:val="00631252"/>
    <w:rsid w:val="00642F08"/>
    <w:rsid w:val="00655201"/>
    <w:rsid w:val="0066591E"/>
    <w:rsid w:val="0069781A"/>
    <w:rsid w:val="006B5AB7"/>
    <w:rsid w:val="006B5DAF"/>
    <w:rsid w:val="006D305E"/>
    <w:rsid w:val="006E11AE"/>
    <w:rsid w:val="006E1C73"/>
    <w:rsid w:val="006E4A07"/>
    <w:rsid w:val="00711966"/>
    <w:rsid w:val="00732118"/>
    <w:rsid w:val="00740FBA"/>
    <w:rsid w:val="00751C2C"/>
    <w:rsid w:val="00763389"/>
    <w:rsid w:val="00764E7E"/>
    <w:rsid w:val="0079285F"/>
    <w:rsid w:val="007B1BDD"/>
    <w:rsid w:val="007C664A"/>
    <w:rsid w:val="0081008C"/>
    <w:rsid w:val="00836E33"/>
    <w:rsid w:val="008476F2"/>
    <w:rsid w:val="008518B9"/>
    <w:rsid w:val="0085471F"/>
    <w:rsid w:val="00876DB8"/>
    <w:rsid w:val="00880A55"/>
    <w:rsid w:val="00881B63"/>
    <w:rsid w:val="008845CF"/>
    <w:rsid w:val="00895D7D"/>
    <w:rsid w:val="008B6D00"/>
    <w:rsid w:val="008C1718"/>
    <w:rsid w:val="008C368E"/>
    <w:rsid w:val="008D5782"/>
    <w:rsid w:val="008E4CC6"/>
    <w:rsid w:val="00902869"/>
    <w:rsid w:val="00912F5E"/>
    <w:rsid w:val="0094123F"/>
    <w:rsid w:val="00943D43"/>
    <w:rsid w:val="00947CFB"/>
    <w:rsid w:val="00954055"/>
    <w:rsid w:val="0095686A"/>
    <w:rsid w:val="00962279"/>
    <w:rsid w:val="00982650"/>
    <w:rsid w:val="00984994"/>
    <w:rsid w:val="009872C7"/>
    <w:rsid w:val="009C5414"/>
    <w:rsid w:val="009C6E1D"/>
    <w:rsid w:val="009D6BDC"/>
    <w:rsid w:val="009D771F"/>
    <w:rsid w:val="009E27AC"/>
    <w:rsid w:val="009F0166"/>
    <w:rsid w:val="009F12CE"/>
    <w:rsid w:val="00A2270B"/>
    <w:rsid w:val="00A43609"/>
    <w:rsid w:val="00A71300"/>
    <w:rsid w:val="00A75C79"/>
    <w:rsid w:val="00A943DF"/>
    <w:rsid w:val="00AA2DA6"/>
    <w:rsid w:val="00AC5A37"/>
    <w:rsid w:val="00AD0AE6"/>
    <w:rsid w:val="00AD2E14"/>
    <w:rsid w:val="00AE311D"/>
    <w:rsid w:val="00AE4EA7"/>
    <w:rsid w:val="00AF6F01"/>
    <w:rsid w:val="00B03DD0"/>
    <w:rsid w:val="00B05F0E"/>
    <w:rsid w:val="00B506B6"/>
    <w:rsid w:val="00B523C5"/>
    <w:rsid w:val="00B67740"/>
    <w:rsid w:val="00BA25C5"/>
    <w:rsid w:val="00BD33DA"/>
    <w:rsid w:val="00BE6AD8"/>
    <w:rsid w:val="00C2074E"/>
    <w:rsid w:val="00C31ACF"/>
    <w:rsid w:val="00C334CC"/>
    <w:rsid w:val="00C77710"/>
    <w:rsid w:val="00C906EC"/>
    <w:rsid w:val="00C94FA5"/>
    <w:rsid w:val="00CA7651"/>
    <w:rsid w:val="00CF6EC9"/>
    <w:rsid w:val="00D0066B"/>
    <w:rsid w:val="00D01E6D"/>
    <w:rsid w:val="00D43DA7"/>
    <w:rsid w:val="00D7140E"/>
    <w:rsid w:val="00D76B99"/>
    <w:rsid w:val="00D8026F"/>
    <w:rsid w:val="00D9510E"/>
    <w:rsid w:val="00DB011A"/>
    <w:rsid w:val="00DB208C"/>
    <w:rsid w:val="00DE4AD7"/>
    <w:rsid w:val="00E04169"/>
    <w:rsid w:val="00E254BC"/>
    <w:rsid w:val="00E37D58"/>
    <w:rsid w:val="00E4001C"/>
    <w:rsid w:val="00E54FF1"/>
    <w:rsid w:val="00E7247D"/>
    <w:rsid w:val="00E85696"/>
    <w:rsid w:val="00E90E0E"/>
    <w:rsid w:val="00E955E0"/>
    <w:rsid w:val="00EA021B"/>
    <w:rsid w:val="00EA36DA"/>
    <w:rsid w:val="00EB790C"/>
    <w:rsid w:val="00EC5B2C"/>
    <w:rsid w:val="00EE315A"/>
    <w:rsid w:val="00EF133F"/>
    <w:rsid w:val="00F36C44"/>
    <w:rsid w:val="00F633F4"/>
    <w:rsid w:val="00F67043"/>
    <w:rsid w:val="00F701E1"/>
    <w:rsid w:val="00FB59F2"/>
    <w:rsid w:val="00FB5DF7"/>
    <w:rsid w:val="00FC117C"/>
    <w:rsid w:val="00FE2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D003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066B"/>
    <w:rPr>
      <w:color w:val="0000FF"/>
      <w:u w:val="single"/>
    </w:rPr>
  </w:style>
  <w:style w:type="paragraph" w:styleId="ListParagraph">
    <w:name w:val="List Paragraph"/>
    <w:basedOn w:val="Normal"/>
    <w:uiPriority w:val="34"/>
    <w:qFormat/>
    <w:rsid w:val="00D0066B"/>
    <w:pPr>
      <w:ind w:left="720"/>
      <w:contextualSpacing/>
    </w:pPr>
  </w:style>
  <w:style w:type="table" w:styleId="TableGrid">
    <w:name w:val="Table Grid"/>
    <w:basedOn w:val="TableNormal"/>
    <w:uiPriority w:val="39"/>
    <w:rsid w:val="00BA2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22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279"/>
    <w:rPr>
      <w:rFonts w:ascii="Lucida Grande" w:hAnsi="Lucida Grande" w:cs="Lucida Grande"/>
      <w:sz w:val="18"/>
      <w:szCs w:val="18"/>
    </w:rPr>
  </w:style>
  <w:style w:type="paragraph" w:styleId="Header">
    <w:name w:val="header"/>
    <w:basedOn w:val="Normal"/>
    <w:link w:val="HeaderChar"/>
    <w:uiPriority w:val="99"/>
    <w:unhideWhenUsed/>
    <w:rsid w:val="00354864"/>
    <w:pPr>
      <w:tabs>
        <w:tab w:val="center" w:pos="4320"/>
        <w:tab w:val="right" w:pos="8640"/>
      </w:tabs>
    </w:pPr>
  </w:style>
  <w:style w:type="character" w:customStyle="1" w:styleId="HeaderChar">
    <w:name w:val="Header Char"/>
    <w:basedOn w:val="DefaultParagraphFont"/>
    <w:link w:val="Header"/>
    <w:uiPriority w:val="99"/>
    <w:rsid w:val="00354864"/>
  </w:style>
  <w:style w:type="character" w:styleId="PageNumber">
    <w:name w:val="page number"/>
    <w:basedOn w:val="DefaultParagraphFont"/>
    <w:uiPriority w:val="99"/>
    <w:semiHidden/>
    <w:unhideWhenUsed/>
    <w:rsid w:val="00354864"/>
  </w:style>
  <w:style w:type="paragraph" w:styleId="Footer">
    <w:name w:val="footer"/>
    <w:basedOn w:val="Normal"/>
    <w:link w:val="FooterChar"/>
    <w:uiPriority w:val="99"/>
    <w:unhideWhenUsed/>
    <w:rsid w:val="00354864"/>
    <w:pPr>
      <w:tabs>
        <w:tab w:val="center" w:pos="4320"/>
        <w:tab w:val="right" w:pos="8640"/>
      </w:tabs>
    </w:pPr>
  </w:style>
  <w:style w:type="character" w:customStyle="1" w:styleId="FooterChar">
    <w:name w:val="Footer Char"/>
    <w:basedOn w:val="DefaultParagraphFont"/>
    <w:link w:val="Footer"/>
    <w:uiPriority w:val="99"/>
    <w:rsid w:val="00354864"/>
  </w:style>
  <w:style w:type="character" w:styleId="CommentReference">
    <w:name w:val="annotation reference"/>
    <w:basedOn w:val="DefaultParagraphFont"/>
    <w:uiPriority w:val="99"/>
    <w:semiHidden/>
    <w:unhideWhenUsed/>
    <w:rsid w:val="00AC5A37"/>
    <w:rPr>
      <w:sz w:val="18"/>
      <w:szCs w:val="18"/>
    </w:rPr>
  </w:style>
  <w:style w:type="paragraph" w:styleId="CommentText">
    <w:name w:val="annotation text"/>
    <w:basedOn w:val="Normal"/>
    <w:link w:val="CommentTextChar"/>
    <w:uiPriority w:val="99"/>
    <w:unhideWhenUsed/>
    <w:rsid w:val="00AC5A37"/>
  </w:style>
  <w:style w:type="character" w:customStyle="1" w:styleId="CommentTextChar">
    <w:name w:val="Comment Text Char"/>
    <w:basedOn w:val="DefaultParagraphFont"/>
    <w:link w:val="CommentText"/>
    <w:uiPriority w:val="99"/>
    <w:rsid w:val="00AC5A37"/>
  </w:style>
  <w:style w:type="character" w:styleId="LineNumber">
    <w:name w:val="line number"/>
    <w:basedOn w:val="DefaultParagraphFont"/>
    <w:uiPriority w:val="99"/>
    <w:semiHidden/>
    <w:unhideWhenUsed/>
    <w:rsid w:val="005B6007"/>
  </w:style>
  <w:style w:type="character" w:styleId="FollowedHyperlink">
    <w:name w:val="FollowedHyperlink"/>
    <w:basedOn w:val="DefaultParagraphFont"/>
    <w:uiPriority w:val="99"/>
    <w:semiHidden/>
    <w:unhideWhenUsed/>
    <w:rsid w:val="00175E9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27FDB"/>
    <w:rPr>
      <w:b/>
      <w:bCs/>
      <w:sz w:val="20"/>
      <w:szCs w:val="20"/>
    </w:rPr>
  </w:style>
  <w:style w:type="character" w:customStyle="1" w:styleId="CommentSubjectChar">
    <w:name w:val="Comment Subject Char"/>
    <w:basedOn w:val="CommentTextChar"/>
    <w:link w:val="CommentSubject"/>
    <w:uiPriority w:val="99"/>
    <w:semiHidden/>
    <w:rsid w:val="00027FDB"/>
    <w:rPr>
      <w:b/>
      <w:bCs/>
      <w:sz w:val="20"/>
      <w:szCs w:val="20"/>
    </w:rPr>
  </w:style>
  <w:style w:type="paragraph" w:styleId="NormalWeb">
    <w:name w:val="Normal (Web)"/>
    <w:basedOn w:val="Normal"/>
    <w:uiPriority w:val="99"/>
    <w:semiHidden/>
    <w:unhideWhenUsed/>
    <w:rsid w:val="00027FDB"/>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066B"/>
    <w:rPr>
      <w:color w:val="0000FF"/>
      <w:u w:val="single"/>
    </w:rPr>
  </w:style>
  <w:style w:type="paragraph" w:styleId="ListParagraph">
    <w:name w:val="List Paragraph"/>
    <w:basedOn w:val="Normal"/>
    <w:uiPriority w:val="34"/>
    <w:qFormat/>
    <w:rsid w:val="00D0066B"/>
    <w:pPr>
      <w:ind w:left="720"/>
      <w:contextualSpacing/>
    </w:pPr>
  </w:style>
  <w:style w:type="table" w:styleId="TableGrid">
    <w:name w:val="Table Grid"/>
    <w:basedOn w:val="TableNormal"/>
    <w:uiPriority w:val="39"/>
    <w:rsid w:val="00BA2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22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279"/>
    <w:rPr>
      <w:rFonts w:ascii="Lucida Grande" w:hAnsi="Lucida Grande" w:cs="Lucida Grande"/>
      <w:sz w:val="18"/>
      <w:szCs w:val="18"/>
    </w:rPr>
  </w:style>
  <w:style w:type="paragraph" w:styleId="Header">
    <w:name w:val="header"/>
    <w:basedOn w:val="Normal"/>
    <w:link w:val="HeaderChar"/>
    <w:uiPriority w:val="99"/>
    <w:unhideWhenUsed/>
    <w:rsid w:val="00354864"/>
    <w:pPr>
      <w:tabs>
        <w:tab w:val="center" w:pos="4320"/>
        <w:tab w:val="right" w:pos="8640"/>
      </w:tabs>
    </w:pPr>
  </w:style>
  <w:style w:type="character" w:customStyle="1" w:styleId="HeaderChar">
    <w:name w:val="Header Char"/>
    <w:basedOn w:val="DefaultParagraphFont"/>
    <w:link w:val="Header"/>
    <w:uiPriority w:val="99"/>
    <w:rsid w:val="00354864"/>
  </w:style>
  <w:style w:type="character" w:styleId="PageNumber">
    <w:name w:val="page number"/>
    <w:basedOn w:val="DefaultParagraphFont"/>
    <w:uiPriority w:val="99"/>
    <w:semiHidden/>
    <w:unhideWhenUsed/>
    <w:rsid w:val="00354864"/>
  </w:style>
  <w:style w:type="paragraph" w:styleId="Footer">
    <w:name w:val="footer"/>
    <w:basedOn w:val="Normal"/>
    <w:link w:val="FooterChar"/>
    <w:uiPriority w:val="99"/>
    <w:unhideWhenUsed/>
    <w:rsid w:val="00354864"/>
    <w:pPr>
      <w:tabs>
        <w:tab w:val="center" w:pos="4320"/>
        <w:tab w:val="right" w:pos="8640"/>
      </w:tabs>
    </w:pPr>
  </w:style>
  <w:style w:type="character" w:customStyle="1" w:styleId="FooterChar">
    <w:name w:val="Footer Char"/>
    <w:basedOn w:val="DefaultParagraphFont"/>
    <w:link w:val="Footer"/>
    <w:uiPriority w:val="99"/>
    <w:rsid w:val="00354864"/>
  </w:style>
  <w:style w:type="character" w:styleId="CommentReference">
    <w:name w:val="annotation reference"/>
    <w:basedOn w:val="DefaultParagraphFont"/>
    <w:uiPriority w:val="99"/>
    <w:semiHidden/>
    <w:unhideWhenUsed/>
    <w:rsid w:val="00AC5A37"/>
    <w:rPr>
      <w:sz w:val="18"/>
      <w:szCs w:val="18"/>
    </w:rPr>
  </w:style>
  <w:style w:type="paragraph" w:styleId="CommentText">
    <w:name w:val="annotation text"/>
    <w:basedOn w:val="Normal"/>
    <w:link w:val="CommentTextChar"/>
    <w:uiPriority w:val="99"/>
    <w:unhideWhenUsed/>
    <w:rsid w:val="00AC5A37"/>
  </w:style>
  <w:style w:type="character" w:customStyle="1" w:styleId="CommentTextChar">
    <w:name w:val="Comment Text Char"/>
    <w:basedOn w:val="DefaultParagraphFont"/>
    <w:link w:val="CommentText"/>
    <w:uiPriority w:val="99"/>
    <w:rsid w:val="00AC5A37"/>
  </w:style>
  <w:style w:type="character" w:styleId="LineNumber">
    <w:name w:val="line number"/>
    <w:basedOn w:val="DefaultParagraphFont"/>
    <w:uiPriority w:val="99"/>
    <w:semiHidden/>
    <w:unhideWhenUsed/>
    <w:rsid w:val="005B6007"/>
  </w:style>
  <w:style w:type="character" w:styleId="FollowedHyperlink">
    <w:name w:val="FollowedHyperlink"/>
    <w:basedOn w:val="DefaultParagraphFont"/>
    <w:uiPriority w:val="99"/>
    <w:semiHidden/>
    <w:unhideWhenUsed/>
    <w:rsid w:val="00175E9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27FDB"/>
    <w:rPr>
      <w:b/>
      <w:bCs/>
      <w:sz w:val="20"/>
      <w:szCs w:val="20"/>
    </w:rPr>
  </w:style>
  <w:style w:type="character" w:customStyle="1" w:styleId="CommentSubjectChar">
    <w:name w:val="Comment Subject Char"/>
    <w:basedOn w:val="CommentTextChar"/>
    <w:link w:val="CommentSubject"/>
    <w:uiPriority w:val="99"/>
    <w:semiHidden/>
    <w:rsid w:val="00027FDB"/>
    <w:rPr>
      <w:b/>
      <w:bCs/>
      <w:sz w:val="20"/>
      <w:szCs w:val="20"/>
    </w:rPr>
  </w:style>
  <w:style w:type="paragraph" w:styleId="NormalWeb">
    <w:name w:val="Normal (Web)"/>
    <w:basedOn w:val="Normal"/>
    <w:uiPriority w:val="99"/>
    <w:semiHidden/>
    <w:unhideWhenUsed/>
    <w:rsid w:val="00027FDB"/>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9512">
      <w:bodyDiv w:val="1"/>
      <w:marLeft w:val="0"/>
      <w:marRight w:val="0"/>
      <w:marTop w:val="0"/>
      <w:marBottom w:val="0"/>
      <w:divBdr>
        <w:top w:val="none" w:sz="0" w:space="0" w:color="auto"/>
        <w:left w:val="none" w:sz="0" w:space="0" w:color="auto"/>
        <w:bottom w:val="none" w:sz="0" w:space="0" w:color="auto"/>
        <w:right w:val="none" w:sz="0" w:space="0" w:color="auto"/>
      </w:divBdr>
      <w:divsChild>
        <w:div w:id="224147203">
          <w:marLeft w:val="0"/>
          <w:marRight w:val="0"/>
          <w:marTop w:val="0"/>
          <w:marBottom w:val="0"/>
          <w:divBdr>
            <w:top w:val="none" w:sz="0" w:space="0" w:color="auto"/>
            <w:left w:val="none" w:sz="0" w:space="0" w:color="auto"/>
            <w:bottom w:val="none" w:sz="0" w:space="0" w:color="auto"/>
            <w:right w:val="none" w:sz="0" w:space="0" w:color="auto"/>
          </w:divBdr>
          <w:divsChild>
            <w:div w:id="373844913">
              <w:marLeft w:val="0"/>
              <w:marRight w:val="0"/>
              <w:marTop w:val="0"/>
              <w:marBottom w:val="0"/>
              <w:divBdr>
                <w:top w:val="none" w:sz="0" w:space="0" w:color="auto"/>
                <w:left w:val="none" w:sz="0" w:space="0" w:color="auto"/>
                <w:bottom w:val="none" w:sz="0" w:space="0" w:color="auto"/>
                <w:right w:val="none" w:sz="0" w:space="0" w:color="auto"/>
              </w:divBdr>
              <w:divsChild>
                <w:div w:id="15508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4562">
      <w:bodyDiv w:val="1"/>
      <w:marLeft w:val="0"/>
      <w:marRight w:val="0"/>
      <w:marTop w:val="0"/>
      <w:marBottom w:val="0"/>
      <w:divBdr>
        <w:top w:val="none" w:sz="0" w:space="0" w:color="auto"/>
        <w:left w:val="none" w:sz="0" w:space="0" w:color="auto"/>
        <w:bottom w:val="none" w:sz="0" w:space="0" w:color="auto"/>
        <w:right w:val="none" w:sz="0" w:space="0" w:color="auto"/>
      </w:divBdr>
      <w:divsChild>
        <w:div w:id="298386493">
          <w:marLeft w:val="0"/>
          <w:marRight w:val="0"/>
          <w:marTop w:val="0"/>
          <w:marBottom w:val="0"/>
          <w:divBdr>
            <w:top w:val="none" w:sz="0" w:space="0" w:color="auto"/>
            <w:left w:val="none" w:sz="0" w:space="0" w:color="auto"/>
            <w:bottom w:val="none" w:sz="0" w:space="0" w:color="auto"/>
            <w:right w:val="none" w:sz="0" w:space="0" w:color="auto"/>
          </w:divBdr>
          <w:divsChild>
            <w:div w:id="1520005215">
              <w:marLeft w:val="0"/>
              <w:marRight w:val="0"/>
              <w:marTop w:val="0"/>
              <w:marBottom w:val="0"/>
              <w:divBdr>
                <w:top w:val="none" w:sz="0" w:space="0" w:color="auto"/>
                <w:left w:val="none" w:sz="0" w:space="0" w:color="auto"/>
                <w:bottom w:val="none" w:sz="0" w:space="0" w:color="auto"/>
                <w:right w:val="none" w:sz="0" w:space="0" w:color="auto"/>
              </w:divBdr>
              <w:divsChild>
                <w:div w:id="19983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ensus.ukdataservice.ac.uk/get-data/related/deprivation"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g.hanna@imperial.ac.uk" TargetMode="External"/><Relationship Id="rId9" Type="http://schemas.openxmlformats.org/officeDocument/2006/relationships/hyperlink" Target="https://www.nice.org.uk/guidance/NG12/chapter/1-Recommendations-organised-by-site-of-cancer" TargetMode="External"/><Relationship Id="rId10" Type="http://schemas.openxmlformats.org/officeDocument/2006/relationships/hyperlink" Target="http://www.hscic.gov.uk/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20</Pages>
  <Words>3853</Words>
  <Characters>21966</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25768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Sheraz Markar</dc:creator>
  <cp:keywords/>
  <dc:description/>
  <cp:lastModifiedBy>Sheraz Markar</cp:lastModifiedBy>
  <cp:revision>69</cp:revision>
  <dcterms:created xsi:type="dcterms:W3CDTF">2016-07-31T10:38:00Z</dcterms:created>
  <dcterms:modified xsi:type="dcterms:W3CDTF">2017-02-15T10:32:00Z</dcterms:modified>
</cp:coreProperties>
</file>