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736" w:rsidRDefault="00F852A1" w:rsidP="003920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GB"/>
        </w:rPr>
      </w:pPr>
      <w:r w:rsidRPr="008F560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n-GB"/>
        </w:rPr>
        <w:t>Title: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n-GB"/>
        </w:rPr>
        <w:t xml:space="preserve"> TLR3 priming following subsequent TLR6 and TLR4 bacterial agonist stimulation in amniocytes, myocytes and vaginal epithelial cells increases the producti</w:t>
      </w:r>
      <w:r w:rsidR="004713C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n-GB"/>
        </w:rPr>
        <w:t>on of pro-inflammatory cytokine</w:t>
      </w:r>
    </w:p>
    <w:p w:rsidR="00EC37F7" w:rsidRDefault="00EC37F7" w:rsidP="003920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GB"/>
        </w:rPr>
      </w:pPr>
    </w:p>
    <w:p w:rsidR="003920D7" w:rsidRPr="008F560A" w:rsidRDefault="003920D7" w:rsidP="0039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GB"/>
        </w:rPr>
      </w:pPr>
      <w:bookmarkStart w:id="0" w:name="OLE_LINK2"/>
      <w:r w:rsidRPr="008F560A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Mohamed Rasheed ZB</w:t>
      </w:r>
      <w:bookmarkEnd w:id="0"/>
      <w:r w:rsidR="009704A7" w:rsidRPr="008F560A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, </w:t>
      </w:r>
      <w:r w:rsidR="001E416B" w:rsidRPr="008F560A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Rai RK</w:t>
      </w:r>
      <w:r w:rsidR="00523AF1" w:rsidRPr="008F560A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, </w:t>
      </w:r>
      <w:r w:rsidR="00F07C0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Anucha E, </w:t>
      </w:r>
      <w:r w:rsidR="00F852A1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Lee YS, </w:t>
      </w:r>
      <w:r w:rsidR="00F07C0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Kim SH, </w:t>
      </w:r>
      <w:r w:rsidRPr="008F560A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MacIntyre DA, Bennett PR and Sykes L.</w:t>
      </w:r>
    </w:p>
    <w:p w:rsidR="003920D7" w:rsidRPr="008F560A" w:rsidRDefault="003920D7" w:rsidP="0039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8F560A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Parturition Research Group, IRDB, Imperial College London, London, England, United Kingdom </w:t>
      </w:r>
    </w:p>
    <w:p w:rsidR="00AC1065" w:rsidRDefault="00884CFE" w:rsidP="001F2BE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F560A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Introduction:</w:t>
      </w:r>
      <w:r w:rsidRPr="008F560A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B82E25" w:rsidRPr="00C847D8">
        <w:rPr>
          <w:rFonts w:ascii="Times New Roman" w:eastAsia="Times New Roman" w:hAnsi="Times New Roman" w:cs="Times New Roman"/>
          <w:sz w:val="20"/>
          <w:szCs w:val="20"/>
          <w:lang w:eastAsia="en-GB"/>
        </w:rPr>
        <w:t>Ascending infection is a common cause of preterm birth</w:t>
      </w:r>
      <w:r w:rsidR="0035033A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and new evidence linking</w:t>
      </w:r>
      <w:r w:rsidR="0076080F" w:rsidRPr="0076080F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viral infections with preterm birth risk</w:t>
      </w:r>
      <w:r w:rsidR="0076080F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. </w:t>
      </w:r>
      <w:r w:rsidR="00B82E25" w:rsidRPr="00C847D8">
        <w:rPr>
          <w:rFonts w:ascii="Times New Roman" w:eastAsia="Times New Roman" w:hAnsi="Times New Roman" w:cs="Times New Roman"/>
          <w:sz w:val="20"/>
          <w:szCs w:val="20"/>
          <w:lang w:eastAsia="en-GB"/>
        </w:rPr>
        <w:t>A 'double-hit' hypothesis exists</w:t>
      </w:r>
      <w:r w:rsidR="00B82E25" w:rsidRPr="00C847D8"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</w:rPr>
        <w:t> </w:t>
      </w:r>
      <w:r w:rsidR="00B82E25" w:rsidRPr="00C847D8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whereby a viral infection leads to increased susceptibility to bacterial infection and increased risk of preterm delivery. </w:t>
      </w:r>
      <w:r w:rsidR="00AF0E31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14% </w:t>
      </w:r>
      <w:r w:rsidR="002C521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of mice treated with the </w:t>
      </w:r>
      <w:proofErr w:type="spellStart"/>
      <w:r w:rsidR="002C521B">
        <w:rPr>
          <w:rFonts w:ascii="Times New Roman" w:eastAsia="Times New Roman" w:hAnsi="Times New Roman" w:cs="Times New Roman"/>
          <w:sz w:val="20"/>
          <w:szCs w:val="20"/>
          <w:lang w:eastAsia="en-GB"/>
        </w:rPr>
        <w:t>TLR3</w:t>
      </w:r>
      <w:proofErr w:type="spellEnd"/>
      <w:r w:rsidR="002C521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agonist (PIC) </w:t>
      </w:r>
      <w:r w:rsidR="0035033A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and 22% </w:t>
      </w:r>
      <w:r w:rsidR="00AF0E31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of mice treated </w:t>
      </w:r>
      <w:r w:rsidR="002C521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with the </w:t>
      </w:r>
      <w:proofErr w:type="spellStart"/>
      <w:r w:rsidR="0035033A">
        <w:rPr>
          <w:rFonts w:ascii="Times New Roman" w:eastAsia="Times New Roman" w:hAnsi="Times New Roman" w:cs="Times New Roman"/>
          <w:sz w:val="20"/>
          <w:szCs w:val="20"/>
          <w:lang w:eastAsia="en-GB"/>
        </w:rPr>
        <w:t>TLR2</w:t>
      </w:r>
      <w:proofErr w:type="spellEnd"/>
      <w:r w:rsidR="002C521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35033A">
        <w:rPr>
          <w:rFonts w:ascii="Times New Roman" w:eastAsia="Times New Roman" w:hAnsi="Times New Roman" w:cs="Times New Roman"/>
          <w:sz w:val="20"/>
          <w:szCs w:val="20"/>
          <w:lang w:eastAsia="en-GB"/>
        </w:rPr>
        <w:t>agonist</w:t>
      </w:r>
      <w:r w:rsidR="00C149F6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B82E25" w:rsidRPr="00C847D8">
        <w:rPr>
          <w:rFonts w:ascii="Times New Roman" w:eastAsia="Times New Roman" w:hAnsi="Times New Roman" w:cs="Times New Roman"/>
          <w:sz w:val="20"/>
          <w:szCs w:val="20"/>
          <w:lang w:eastAsia="en-GB"/>
        </w:rPr>
        <w:t>deliver preterm</w:t>
      </w:r>
      <w:r w:rsidR="002C521B">
        <w:rPr>
          <w:rFonts w:ascii="Times New Roman" w:eastAsia="Times New Roman" w:hAnsi="Times New Roman" w:cs="Times New Roman"/>
          <w:sz w:val="20"/>
          <w:szCs w:val="20"/>
          <w:lang w:eastAsia="en-GB"/>
        </w:rPr>
        <w:t>.</w:t>
      </w:r>
      <w:r w:rsidR="00B82E25" w:rsidRPr="00C847D8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2C521B">
        <w:rPr>
          <w:rFonts w:ascii="Times New Roman" w:eastAsia="Times New Roman" w:hAnsi="Times New Roman" w:cs="Times New Roman"/>
          <w:sz w:val="20"/>
          <w:szCs w:val="20"/>
          <w:lang w:eastAsia="en-GB"/>
        </w:rPr>
        <w:t>This</w:t>
      </w:r>
      <w:r w:rsidR="0076080F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B82E25" w:rsidRPr="00C847D8">
        <w:rPr>
          <w:rFonts w:ascii="Times New Roman" w:eastAsia="Times New Roman" w:hAnsi="Times New Roman" w:cs="Times New Roman"/>
          <w:sz w:val="20"/>
          <w:szCs w:val="20"/>
          <w:lang w:eastAsia="en-GB"/>
        </w:rPr>
        <w:t>increases to 100% if treated with both agonists</w:t>
      </w:r>
      <w:r w:rsidR="00033314" w:rsidRPr="00C847D8">
        <w:rPr>
          <w:rFonts w:ascii="Times New Roman" w:eastAsia="Times New Roman" w:hAnsi="Times New Roman" w:cs="Times New Roman"/>
          <w:lang w:eastAsia="en-GB"/>
        </w:rPr>
        <w:t xml:space="preserve"> (</w:t>
      </w:r>
      <w:proofErr w:type="spellStart"/>
      <w:r w:rsidR="00AC1890" w:rsidRPr="00C847D8">
        <w:rPr>
          <w:rFonts w:ascii="Times New Roman" w:eastAsia="Times New Roman" w:hAnsi="Times New Roman" w:cs="Times New Roman"/>
          <w:lang w:eastAsia="en-GB"/>
        </w:rPr>
        <w:t>Ilievski</w:t>
      </w:r>
      <w:proofErr w:type="spellEnd"/>
      <w:r w:rsidR="00AC1890" w:rsidRPr="00C847D8">
        <w:rPr>
          <w:rFonts w:ascii="Times New Roman" w:eastAsia="Times New Roman" w:hAnsi="Times New Roman" w:cs="Times New Roman"/>
          <w:lang w:eastAsia="en-GB"/>
        </w:rPr>
        <w:t>, 2010</w:t>
      </w:r>
      <w:r w:rsidR="00033314" w:rsidRPr="00C847D8">
        <w:rPr>
          <w:rFonts w:ascii="Times New Roman" w:eastAsia="Times New Roman" w:hAnsi="Times New Roman" w:cs="Times New Roman"/>
          <w:lang w:eastAsia="en-GB"/>
        </w:rPr>
        <w:t>)</w:t>
      </w:r>
      <w:r w:rsidR="00C847D8" w:rsidRPr="00C847D8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. </w:t>
      </w:r>
      <w:r w:rsidR="00AC1065">
        <w:rPr>
          <w:rFonts w:ascii="Times New Roman" w:eastAsia="Times New Roman" w:hAnsi="Times New Roman" w:cs="Times New Roman"/>
          <w:sz w:val="20"/>
          <w:szCs w:val="20"/>
          <w:lang w:eastAsia="en-GB"/>
        </w:rPr>
        <w:t>We hypothesi</w:t>
      </w:r>
      <w:r w:rsidR="002C521B">
        <w:rPr>
          <w:rFonts w:ascii="Times New Roman" w:eastAsia="Times New Roman" w:hAnsi="Times New Roman" w:cs="Times New Roman"/>
          <w:sz w:val="20"/>
          <w:szCs w:val="20"/>
          <w:lang w:eastAsia="en-GB"/>
        </w:rPr>
        <w:t>se</w:t>
      </w:r>
      <w:r w:rsidR="00AC1065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that </w:t>
      </w:r>
      <w:r w:rsidR="00F852A1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this </w:t>
      </w:r>
      <w:r w:rsidR="002C521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synergistic </w:t>
      </w:r>
      <w:r w:rsidR="00F852A1">
        <w:rPr>
          <w:rFonts w:ascii="Times New Roman" w:eastAsia="Times New Roman" w:hAnsi="Times New Roman" w:cs="Times New Roman"/>
          <w:sz w:val="20"/>
          <w:szCs w:val="20"/>
          <w:lang w:eastAsia="en-GB"/>
        </w:rPr>
        <w:t>effect also exists</w:t>
      </w:r>
      <w:r w:rsidR="00A313E1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in human</w:t>
      </w:r>
      <w:r w:rsidR="00F852A1">
        <w:rPr>
          <w:rFonts w:ascii="Times New Roman" w:eastAsia="Times New Roman" w:hAnsi="Times New Roman" w:cs="Times New Roman"/>
          <w:sz w:val="20"/>
          <w:szCs w:val="20"/>
          <w:lang w:eastAsia="en-GB"/>
        </w:rPr>
        <w:t>s</w:t>
      </w:r>
      <w:r w:rsidR="00A313E1">
        <w:rPr>
          <w:rFonts w:ascii="Times New Roman" w:eastAsia="Times New Roman" w:hAnsi="Times New Roman" w:cs="Times New Roman"/>
          <w:sz w:val="20"/>
          <w:szCs w:val="20"/>
          <w:lang w:eastAsia="en-GB"/>
        </w:rPr>
        <w:t>.</w:t>
      </w:r>
    </w:p>
    <w:p w:rsidR="0064786D" w:rsidRDefault="00AC1065" w:rsidP="001F2BE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AC1065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Objective: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9447DC">
        <w:rPr>
          <w:rFonts w:ascii="Times New Roman" w:eastAsia="Times New Roman" w:hAnsi="Times New Roman" w:cs="Times New Roman"/>
          <w:sz w:val="20"/>
          <w:szCs w:val="20"/>
          <w:lang w:eastAsia="en-GB"/>
        </w:rPr>
        <w:t>T</w:t>
      </w:r>
      <w:r w:rsidR="00B82E25" w:rsidRPr="00C847D8">
        <w:rPr>
          <w:rFonts w:ascii="Times New Roman" w:eastAsia="Times New Roman" w:hAnsi="Times New Roman" w:cs="Times New Roman"/>
          <w:sz w:val="20"/>
          <w:szCs w:val="20"/>
          <w:lang w:eastAsia="en-GB"/>
        </w:rPr>
        <w:t>o determine the res</w:t>
      </w:r>
      <w:r w:rsidR="005A3FAF" w:rsidRPr="00C847D8">
        <w:rPr>
          <w:rFonts w:ascii="Times New Roman" w:eastAsia="Times New Roman" w:hAnsi="Times New Roman" w:cs="Times New Roman"/>
          <w:sz w:val="20"/>
          <w:szCs w:val="20"/>
          <w:lang w:eastAsia="en-GB"/>
        </w:rPr>
        <w:t>ponsiveness of human</w:t>
      </w:r>
      <w:r w:rsidR="00F852A1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placental explants,</w:t>
      </w:r>
      <w:r w:rsidR="005A3FAF" w:rsidRPr="00C847D8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2C521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whole blood, </w:t>
      </w:r>
      <w:r w:rsidR="00F852A1" w:rsidRPr="00C847D8">
        <w:rPr>
          <w:rFonts w:ascii="Times New Roman" w:eastAsia="Times New Roman" w:hAnsi="Times New Roman" w:cs="Times New Roman"/>
          <w:sz w:val="20"/>
          <w:szCs w:val="20"/>
          <w:lang w:eastAsia="en-GB"/>
        </w:rPr>
        <w:t>myo</w:t>
      </w:r>
      <w:r w:rsidR="00F852A1">
        <w:rPr>
          <w:rFonts w:ascii="Times New Roman" w:eastAsia="Times New Roman" w:hAnsi="Times New Roman" w:cs="Times New Roman"/>
          <w:sz w:val="20"/>
          <w:szCs w:val="20"/>
          <w:lang w:eastAsia="en-GB"/>
        </w:rPr>
        <w:t>cy</w:t>
      </w:r>
      <w:bookmarkStart w:id="1" w:name="_GoBack"/>
      <w:bookmarkEnd w:id="1"/>
      <w:r w:rsidR="00F852A1">
        <w:rPr>
          <w:rFonts w:ascii="Times New Roman" w:eastAsia="Times New Roman" w:hAnsi="Times New Roman" w:cs="Times New Roman"/>
          <w:sz w:val="20"/>
          <w:szCs w:val="20"/>
          <w:lang w:eastAsia="en-GB"/>
        </w:rPr>
        <w:t>tes</w:t>
      </w:r>
      <w:r w:rsidR="00035EDF">
        <w:rPr>
          <w:rFonts w:ascii="Times New Roman" w:eastAsia="Times New Roman" w:hAnsi="Times New Roman" w:cs="Times New Roman"/>
          <w:sz w:val="20"/>
          <w:szCs w:val="20"/>
          <w:lang w:eastAsia="en-GB"/>
        </w:rPr>
        <w:t>,</w:t>
      </w:r>
      <w:r w:rsidR="00035EDF" w:rsidRPr="00C847D8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F852A1">
        <w:rPr>
          <w:rFonts w:ascii="Times New Roman" w:eastAsia="Times New Roman" w:hAnsi="Times New Roman" w:cs="Times New Roman"/>
          <w:sz w:val="20"/>
          <w:szCs w:val="20"/>
          <w:lang w:eastAsia="en-GB"/>
        </w:rPr>
        <w:t>amniocytes</w:t>
      </w:r>
      <w:r w:rsidR="00F852A1" w:rsidRPr="00C847D8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5A3FAF" w:rsidRPr="00C847D8">
        <w:rPr>
          <w:rFonts w:ascii="Times New Roman" w:eastAsia="Times New Roman" w:hAnsi="Times New Roman" w:cs="Times New Roman"/>
          <w:sz w:val="20"/>
          <w:szCs w:val="20"/>
          <w:lang w:eastAsia="en-GB"/>
        </w:rPr>
        <w:t>and vaginal epithelial cells</w:t>
      </w:r>
      <w:r w:rsidR="009447DC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(VK2)</w:t>
      </w:r>
      <w:r w:rsidR="005A3FAF" w:rsidRPr="00C847D8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 xml:space="preserve"> </w:t>
      </w:r>
      <w:r w:rsidR="005A3FAF" w:rsidRPr="00C847D8">
        <w:rPr>
          <w:rFonts w:ascii="Times New Roman" w:eastAsia="Times New Roman" w:hAnsi="Times New Roman" w:cs="Times New Roman"/>
          <w:sz w:val="20"/>
          <w:szCs w:val="20"/>
          <w:lang w:eastAsia="en-GB"/>
        </w:rPr>
        <w:t>to the TLR3</w:t>
      </w:r>
      <w:r w:rsidR="00C149F6">
        <w:rPr>
          <w:rFonts w:ascii="Times New Roman" w:eastAsia="Times New Roman" w:hAnsi="Times New Roman" w:cs="Times New Roman"/>
          <w:sz w:val="20"/>
          <w:szCs w:val="20"/>
          <w:lang w:eastAsia="en-GB"/>
        </w:rPr>
        <w:t>(PIC)</w:t>
      </w:r>
      <w:r w:rsidR="005A3FAF" w:rsidRPr="00C847D8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priming followin</w:t>
      </w:r>
      <w:r w:rsidR="00C847D8" w:rsidRPr="00C847D8">
        <w:rPr>
          <w:rFonts w:ascii="Times New Roman" w:eastAsia="Times New Roman" w:hAnsi="Times New Roman" w:cs="Times New Roman"/>
          <w:sz w:val="20"/>
          <w:szCs w:val="20"/>
          <w:lang w:eastAsia="en-GB"/>
        </w:rPr>
        <w:t>g subsequent bacterial exposure</w:t>
      </w:r>
      <w:r w:rsidR="0076080F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of TLR4(LPS) and TL6</w:t>
      </w:r>
      <w:r w:rsidR="00C92FCB">
        <w:rPr>
          <w:rFonts w:ascii="Times New Roman" w:eastAsia="Times New Roman" w:hAnsi="Times New Roman" w:cs="Times New Roman"/>
          <w:sz w:val="20"/>
          <w:szCs w:val="20"/>
          <w:lang w:eastAsia="en-GB"/>
        </w:rPr>
        <w:t>(FSL-1).</w:t>
      </w:r>
    </w:p>
    <w:p w:rsidR="001A76E7" w:rsidRDefault="00884CFE" w:rsidP="001F2BE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</w:pPr>
      <w:r w:rsidRPr="008F560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n-GB"/>
        </w:rPr>
        <w:t>Methods:</w:t>
      </w:r>
      <w:r w:rsidRPr="008F560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</w:t>
      </w:r>
      <w:r w:rsidR="007649C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All samples </w:t>
      </w:r>
      <w:r w:rsidR="009447D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were taken from women pre-</w:t>
      </w:r>
      <w:r w:rsidR="009862B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labour at term. </w:t>
      </w:r>
      <w:r w:rsidR="00F852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Myocytes</w:t>
      </w:r>
      <w:r w:rsidR="002C52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, blood</w:t>
      </w:r>
      <w:r w:rsidR="00F852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and placental explants were studied to reflect haematogenous spread of infection</w:t>
      </w:r>
      <w:r w:rsidR="002C52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,</w:t>
      </w:r>
      <w:r w:rsidR="00F852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whereas amniocytes and </w:t>
      </w:r>
      <w:proofErr w:type="spellStart"/>
      <w:r w:rsidR="009447D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VK2</w:t>
      </w:r>
      <w:proofErr w:type="spellEnd"/>
      <w:r w:rsidR="002C52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cells</w:t>
      </w:r>
      <w:r w:rsidR="00F852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were studied to represent </w:t>
      </w:r>
      <w:r w:rsidR="002C52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an </w:t>
      </w:r>
      <w:r w:rsidR="00F852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ascending infection</w:t>
      </w:r>
      <w:r w:rsidR="00C149F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model</w:t>
      </w:r>
      <w:r w:rsidR="00F852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. C</w:t>
      </w:r>
      <w:r w:rsidR="008F560A" w:rsidRPr="008F560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ells were cultured and primed wit</w:t>
      </w:r>
      <w:r w:rsidR="00D95F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h or without 25µg/</w:t>
      </w:r>
      <w:proofErr w:type="gramStart"/>
      <w:r w:rsidR="00D95F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ml(</w:t>
      </w:r>
      <w:proofErr w:type="gramEnd"/>
      <w:r w:rsidR="00D95F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PIC)</w:t>
      </w:r>
      <w:r w:rsidR="008F560A" w:rsidRPr="008F560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before subsequent </w:t>
      </w:r>
      <w:r w:rsidR="00C149F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stimulation with PIC</w:t>
      </w:r>
      <w:r w:rsidR="0076080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, LPS</w:t>
      </w:r>
      <w:r w:rsidR="00C847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(ultrapure for </w:t>
      </w:r>
      <w:r w:rsidR="009447D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VK2</w:t>
      </w:r>
      <w:r w:rsidR="00C847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)</w:t>
      </w:r>
      <w:r w:rsidR="0076080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or FSL-1</w:t>
      </w:r>
      <w:r w:rsidR="001A76E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. </w:t>
      </w:r>
      <w:r w:rsidR="006318D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Placental explants were primed with 100</w:t>
      </w:r>
      <w:r w:rsidR="006318DC" w:rsidRPr="008F560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µg</w:t>
      </w:r>
      <w:r w:rsidR="00C85FF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/ml</w:t>
      </w:r>
      <w:r w:rsidR="00D95F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(PIC)</w:t>
      </w:r>
      <w:r w:rsidR="009447D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, TLR4(</w:t>
      </w:r>
      <w:r w:rsidR="00C85FF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10</w:t>
      </w:r>
      <w:r w:rsidR="00C85FF3" w:rsidRPr="008F560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µg</w:t>
      </w:r>
      <w:r w:rsidR="00C85FF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/ml</w:t>
      </w:r>
      <w:r w:rsidR="009447D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) and TLR6(</w:t>
      </w:r>
      <w:r w:rsidR="00C85FF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0.1</w:t>
      </w:r>
      <w:r w:rsidR="00C85FF3" w:rsidRPr="008F560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µg</w:t>
      </w:r>
      <w:r w:rsidR="00C85FF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/ml</w:t>
      </w:r>
      <w:r w:rsidR="009447D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) and </w:t>
      </w:r>
      <w:r w:rsidR="009862B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50</w:t>
      </w:r>
      <w:r w:rsidR="009862B5" w:rsidRPr="008F560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µg/ml</w:t>
      </w:r>
      <w:r w:rsidR="00D95F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(PIC)</w:t>
      </w:r>
      <w:r w:rsidR="009447D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for the whole blood</w:t>
      </w:r>
      <w:r w:rsidR="009862B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. </w:t>
      </w:r>
      <w:r w:rsidR="006318D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Supernatant was collected at 24 hours </w:t>
      </w:r>
      <w:r w:rsidR="00AF0E3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and c</w:t>
      </w:r>
      <w:r w:rsidR="006318D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ytokines were </w:t>
      </w:r>
      <w:r w:rsidR="001A76E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measured using </w:t>
      </w:r>
      <w:r w:rsidR="006318D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MSD ELISA.</w:t>
      </w:r>
      <w:r w:rsidR="001A76E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</w:t>
      </w:r>
    </w:p>
    <w:p w:rsidR="00C149F6" w:rsidRDefault="00884CFE" w:rsidP="00E14D1B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</w:pPr>
      <w:r w:rsidRPr="008F560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GB"/>
        </w:rPr>
        <w:t>Results:</w:t>
      </w:r>
      <w:bookmarkStart w:id="2" w:name="OLE_LINK3"/>
      <w:r w:rsidR="003368A8" w:rsidRPr="008F560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</w:t>
      </w:r>
      <w:r w:rsidR="002C52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Incubation </w:t>
      </w:r>
      <w:r w:rsidR="009447D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with the </w:t>
      </w:r>
      <w:r w:rsidR="00F07C0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agonists alone stimulate</w:t>
      </w:r>
      <w:r w:rsidR="002C52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d</w:t>
      </w:r>
      <w:r w:rsidR="00F07C0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the production</w:t>
      </w:r>
      <w:r w:rsidR="005E2D1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of IL-6</w:t>
      </w:r>
      <w:r w:rsidR="0017449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,</w:t>
      </w:r>
      <w:r w:rsidR="00D95F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</w:t>
      </w:r>
      <w:r w:rsidR="009447D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IL-8,</w:t>
      </w:r>
      <w:r w:rsidR="00D95F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</w:t>
      </w:r>
      <w:r w:rsidR="005E2D1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TNF-α </w:t>
      </w:r>
      <w:r w:rsidR="00F07C0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in placental explants, myocytes, amniocytes and </w:t>
      </w:r>
      <w:r w:rsidR="009447D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VK2</w:t>
      </w:r>
      <w:r w:rsidR="00F07C0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. </w:t>
      </w:r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The effect of TLR3/6 as compared to </w:t>
      </w:r>
      <w:r w:rsidR="00C8357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TLR6 alone</w:t>
      </w:r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</w:t>
      </w:r>
      <w:r w:rsidR="00C8357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led to further increase in cytokine production </w:t>
      </w:r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in </w:t>
      </w:r>
      <w:proofErr w:type="gramStart"/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amniocytes(</w:t>
      </w:r>
      <w:proofErr w:type="gramEnd"/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IL-6</w:t>
      </w:r>
      <w:r w:rsidR="00BF7E5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</w:t>
      </w:r>
      <w:r w:rsidR="002C521B" w:rsidRPr="00815DD8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en-GB"/>
        </w:rPr>
        <w:t>p</w:t>
      </w:r>
      <w:r w:rsidR="002C52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&lt;0.001</w:t>
      </w:r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), </w:t>
      </w:r>
      <w:proofErr w:type="spellStart"/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VK2</w:t>
      </w:r>
      <w:proofErr w:type="spellEnd"/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(</w:t>
      </w:r>
      <w:r w:rsidR="000F602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IL-6</w:t>
      </w:r>
      <w:r w:rsidR="002C52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and IL-8</w:t>
      </w:r>
      <w:r w:rsidR="002C521B" w:rsidRPr="002C521B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en-GB"/>
        </w:rPr>
        <w:t xml:space="preserve"> </w:t>
      </w:r>
      <w:r w:rsidR="002C521B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en-GB"/>
        </w:rPr>
        <w:t>(</w:t>
      </w:r>
      <w:r w:rsidR="002C521B" w:rsidRPr="00815DD8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en-GB"/>
        </w:rPr>
        <w:t>p</w:t>
      </w:r>
      <w:r w:rsidR="002C52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&lt;0.001)</w:t>
      </w:r>
      <w:r w:rsidR="00BF7E5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</w:t>
      </w:r>
      <w:r w:rsidR="002C52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</w:t>
      </w:r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TNF-α</w:t>
      </w:r>
      <w:r w:rsidR="00BF7E5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,</w:t>
      </w:r>
      <w:r w:rsidR="002C521B" w:rsidRPr="002C521B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en-GB"/>
        </w:rPr>
        <w:t xml:space="preserve"> </w:t>
      </w:r>
      <w:r w:rsidR="002C521B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en-GB"/>
        </w:rPr>
        <w:t>(</w:t>
      </w:r>
      <w:r w:rsidR="002C521B" w:rsidRPr="00815DD8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en-GB"/>
        </w:rPr>
        <w:t>p</w:t>
      </w:r>
      <w:r w:rsidR="002C52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&lt;0.01)</w:t>
      </w:r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) and myocytes</w:t>
      </w:r>
      <w:r w:rsidR="00BF7E5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</w:t>
      </w:r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(</w:t>
      </w:r>
      <w:r w:rsidR="000F602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IL-</w:t>
      </w:r>
      <w:proofErr w:type="spellStart"/>
      <w:r w:rsidR="000F602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6,</w:t>
      </w:r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IL</w:t>
      </w:r>
      <w:proofErr w:type="spellEnd"/>
      <w:r w:rsidR="000F602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-8,</w:t>
      </w:r>
      <w:r w:rsidR="00BF7E5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and </w:t>
      </w:r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TNF-α</w:t>
      </w:r>
      <w:r w:rsidR="00BF7E5B" w:rsidRPr="00BF7E5B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en-GB"/>
        </w:rPr>
        <w:t xml:space="preserve"> </w:t>
      </w:r>
      <w:r w:rsidR="00BF7E5B" w:rsidRPr="00815DD8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en-GB"/>
        </w:rPr>
        <w:t>p</w:t>
      </w:r>
      <w:r w:rsidR="00BF7E5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&lt;0.001</w:t>
      </w:r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). Similarly, </w:t>
      </w:r>
      <w:r w:rsidR="00C8357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TLR3 priming with subsequent TLR4 stimulation</w:t>
      </w:r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led to significantly higher cytokine production compar</w:t>
      </w:r>
      <w:r w:rsidR="00D95F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ed with </w:t>
      </w:r>
      <w:proofErr w:type="spellStart"/>
      <w:r w:rsidR="00D95F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TLR4</w:t>
      </w:r>
      <w:proofErr w:type="spellEnd"/>
      <w:r w:rsidR="00D95F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alone in amniocytes</w:t>
      </w:r>
      <w:r w:rsidR="00BF7E5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</w:t>
      </w:r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(IL</w:t>
      </w:r>
      <w:r w:rsidR="00C8357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-6</w:t>
      </w:r>
      <w:r w:rsidR="00BF7E5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(</w:t>
      </w:r>
      <w:r w:rsidR="00BF7E5B" w:rsidRPr="00815DD8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en-GB"/>
        </w:rPr>
        <w:t>p</w:t>
      </w:r>
      <w:r w:rsidR="00BF7E5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&lt;0.001</w:t>
      </w:r>
      <w:proofErr w:type="gramStart"/>
      <w:r w:rsidR="00BF7E5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), </w:t>
      </w:r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IL</w:t>
      </w:r>
      <w:proofErr w:type="gramEnd"/>
      <w:r w:rsidR="00C8357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-8</w:t>
      </w:r>
      <w:r w:rsidR="00BF7E5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and TNF-α (</w:t>
      </w:r>
      <w:r w:rsidR="00BF7E5B" w:rsidRPr="00815DD8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en-GB"/>
        </w:rPr>
        <w:t>p</w:t>
      </w:r>
      <w:r w:rsidR="00BF7E5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&lt;0.01))</w:t>
      </w:r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</w:t>
      </w:r>
      <w:r w:rsidR="00D95F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and myocytes</w:t>
      </w:r>
      <w:r w:rsidR="00BF7E5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</w:t>
      </w:r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(</w:t>
      </w:r>
      <w:r w:rsidR="00C8357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IL-</w:t>
      </w:r>
      <w:proofErr w:type="spellStart"/>
      <w:r w:rsidR="00C8357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6,</w:t>
      </w:r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IL</w:t>
      </w:r>
      <w:proofErr w:type="spellEnd"/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-8</w:t>
      </w:r>
      <w:r w:rsidR="00BF7E5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</w:t>
      </w:r>
      <w:r w:rsidR="00BF7E5B" w:rsidRPr="00815DD8">
        <w:rPr>
          <w:rFonts w:ascii="Times New Roman" w:eastAsia="Times New Roman" w:hAnsi="Times New Roman" w:cs="Times New Roman"/>
          <w:bCs/>
          <w:i/>
          <w:color w:val="000000"/>
          <w:sz w:val="20"/>
          <w:szCs w:val="20"/>
          <w:lang w:eastAsia="en-GB"/>
        </w:rPr>
        <w:t>p</w:t>
      </w:r>
      <w:r w:rsidR="00BF7E5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&lt;0.01</w:t>
      </w:r>
      <w:r w:rsidR="00E14D1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). </w:t>
      </w:r>
      <w:r w:rsidR="00C149F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No priming effects was observed in placental explants and no cytokine response </w:t>
      </w:r>
      <w:r w:rsidR="00BF7E5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to </w:t>
      </w:r>
      <w:r w:rsidR="00C149F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PIC </w:t>
      </w:r>
      <w:r w:rsidR="00BF7E5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>was seen in</w:t>
      </w:r>
      <w:r w:rsidR="00C149F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  <w:t xml:space="preserve"> blood samples.</w:t>
      </w:r>
    </w:p>
    <w:p w:rsidR="00F302A2" w:rsidRDefault="00884CFE" w:rsidP="00605C1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en-GB"/>
        </w:rPr>
      </w:pPr>
      <w:r w:rsidRPr="008F560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n-GB"/>
        </w:rPr>
        <w:t>Conclusion:</w:t>
      </w:r>
      <w:r w:rsidR="00E1692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n-GB"/>
        </w:rPr>
        <w:t xml:space="preserve"> </w:t>
      </w:r>
      <w:r w:rsidR="007649C2" w:rsidRPr="008243EC">
        <w:rPr>
          <w:rFonts w:ascii="Times New Roman" w:eastAsia="Times New Roman" w:hAnsi="Times New Roman" w:cs="Times New Roman"/>
          <w:bCs/>
          <w:sz w:val="20"/>
          <w:szCs w:val="20"/>
          <w:lang w:eastAsia="en-GB"/>
        </w:rPr>
        <w:t xml:space="preserve">Priming </w:t>
      </w:r>
      <w:r w:rsidR="00BB60D1">
        <w:rPr>
          <w:rFonts w:ascii="Times New Roman" w:eastAsia="Times New Roman" w:hAnsi="Times New Roman" w:cs="Times New Roman"/>
          <w:bCs/>
          <w:sz w:val="20"/>
          <w:szCs w:val="20"/>
          <w:lang w:eastAsia="en-GB"/>
        </w:rPr>
        <w:t>of</w:t>
      </w:r>
      <w:r w:rsidR="007649C2">
        <w:rPr>
          <w:rFonts w:ascii="Times New Roman" w:eastAsia="Times New Roman" w:hAnsi="Times New Roman" w:cs="Times New Roman"/>
          <w:bCs/>
          <w:sz w:val="20"/>
          <w:szCs w:val="20"/>
          <w:lang w:eastAsia="en-GB"/>
        </w:rPr>
        <w:t xml:space="preserve"> reproductive tract </w:t>
      </w:r>
      <w:r w:rsidR="00BB60D1">
        <w:rPr>
          <w:rFonts w:ascii="Times New Roman" w:eastAsia="Times New Roman" w:hAnsi="Times New Roman" w:cs="Times New Roman"/>
          <w:bCs/>
          <w:sz w:val="20"/>
          <w:szCs w:val="20"/>
          <w:lang w:eastAsia="en-GB"/>
        </w:rPr>
        <w:t xml:space="preserve">cells </w:t>
      </w:r>
      <w:r w:rsidR="005E2D10">
        <w:rPr>
          <w:rFonts w:ascii="Times New Roman" w:eastAsia="Times New Roman" w:hAnsi="Times New Roman" w:cs="Times New Roman"/>
          <w:bCs/>
          <w:sz w:val="20"/>
          <w:szCs w:val="20"/>
          <w:lang w:eastAsia="en-GB"/>
        </w:rPr>
        <w:t xml:space="preserve">with </w:t>
      </w:r>
      <w:r w:rsidR="00C149F6">
        <w:rPr>
          <w:rFonts w:ascii="Times New Roman" w:eastAsia="Times New Roman" w:hAnsi="Times New Roman" w:cs="Times New Roman"/>
          <w:bCs/>
          <w:sz w:val="20"/>
          <w:szCs w:val="20"/>
          <w:lang w:eastAsia="en-GB"/>
        </w:rPr>
        <w:t>PIC</w:t>
      </w:r>
      <w:r w:rsidR="007649C2">
        <w:rPr>
          <w:rFonts w:ascii="Times New Roman" w:eastAsia="Times New Roman" w:hAnsi="Times New Roman" w:cs="Times New Roman"/>
          <w:bCs/>
          <w:sz w:val="20"/>
          <w:szCs w:val="20"/>
          <w:lang w:eastAsia="en-GB"/>
        </w:rPr>
        <w:t xml:space="preserve"> increases the susceptibility to TLR4 and TLR6 agonist </w:t>
      </w:r>
      <w:r w:rsidR="009862B5">
        <w:rPr>
          <w:rFonts w:ascii="Times New Roman" w:eastAsia="Times New Roman" w:hAnsi="Times New Roman" w:cs="Times New Roman"/>
          <w:bCs/>
          <w:sz w:val="20"/>
          <w:szCs w:val="20"/>
          <w:lang w:eastAsia="en-GB"/>
        </w:rPr>
        <w:t xml:space="preserve">stimulation of cytokines. </w:t>
      </w:r>
      <w:r w:rsidR="005E2D10">
        <w:rPr>
          <w:rFonts w:ascii="Times New Roman" w:eastAsia="Times New Roman" w:hAnsi="Times New Roman" w:cs="Times New Roman"/>
          <w:bCs/>
          <w:sz w:val="20"/>
          <w:szCs w:val="20"/>
          <w:lang w:eastAsia="en-GB"/>
        </w:rPr>
        <w:t xml:space="preserve">However, whole blood and placenta were not as responsive. </w:t>
      </w:r>
      <w:r w:rsidR="009862B5">
        <w:rPr>
          <w:rFonts w:ascii="Times New Roman" w:eastAsia="Times New Roman" w:hAnsi="Times New Roman" w:cs="Times New Roman"/>
          <w:bCs/>
          <w:sz w:val="20"/>
          <w:szCs w:val="20"/>
          <w:lang w:eastAsia="en-GB"/>
        </w:rPr>
        <w:t xml:space="preserve">This </w:t>
      </w:r>
      <w:r w:rsidR="005E2D10">
        <w:rPr>
          <w:rFonts w:ascii="Times New Roman" w:eastAsia="Times New Roman" w:hAnsi="Times New Roman" w:cs="Times New Roman"/>
          <w:bCs/>
          <w:sz w:val="20"/>
          <w:szCs w:val="20"/>
          <w:lang w:eastAsia="en-GB"/>
        </w:rPr>
        <w:t xml:space="preserve">implies </w:t>
      </w:r>
      <w:r w:rsidR="009862B5">
        <w:rPr>
          <w:rFonts w:ascii="Times New Roman" w:eastAsia="Times New Roman" w:hAnsi="Times New Roman" w:cs="Times New Roman"/>
          <w:bCs/>
          <w:sz w:val="20"/>
          <w:szCs w:val="20"/>
          <w:lang w:eastAsia="en-GB"/>
        </w:rPr>
        <w:t>that</w:t>
      </w:r>
      <w:r w:rsidR="007649C2" w:rsidRPr="00471380" w:rsidDel="007649C2">
        <w:rPr>
          <w:rFonts w:ascii="Times New Roman" w:eastAsia="Times New Roman" w:hAnsi="Times New Roman" w:cs="Times New Roman"/>
          <w:bCs/>
          <w:sz w:val="20"/>
          <w:szCs w:val="20"/>
          <w:lang w:eastAsia="en-GB"/>
        </w:rPr>
        <w:t xml:space="preserve"> </w:t>
      </w:r>
      <w:r w:rsidR="005E2D10">
        <w:rPr>
          <w:rFonts w:ascii="Times New Roman" w:eastAsia="Times New Roman" w:hAnsi="Times New Roman" w:cs="Times New Roman"/>
          <w:bCs/>
          <w:sz w:val="20"/>
          <w:szCs w:val="20"/>
          <w:lang w:eastAsia="en-GB"/>
        </w:rPr>
        <w:t>the two –hit hypothesis may be a feature of ascending infection</w:t>
      </w:r>
      <w:r w:rsidR="00FB27A0" w:rsidRPr="00471380">
        <w:rPr>
          <w:rFonts w:ascii="Times New Roman" w:eastAsia="Times New Roman" w:hAnsi="Times New Roman" w:cs="Times New Roman"/>
          <w:bCs/>
          <w:sz w:val="20"/>
          <w:szCs w:val="20"/>
          <w:lang w:eastAsia="en-GB"/>
        </w:rPr>
        <w:t xml:space="preserve"> </w:t>
      </w:r>
      <w:r w:rsidR="005E2D10">
        <w:rPr>
          <w:rFonts w:ascii="Times New Roman" w:eastAsia="Times New Roman" w:hAnsi="Times New Roman" w:cs="Times New Roman"/>
          <w:bCs/>
          <w:sz w:val="20"/>
          <w:szCs w:val="20"/>
          <w:lang w:eastAsia="en-GB"/>
        </w:rPr>
        <w:t>rather than haematogenous spread in infection induced</w:t>
      </w:r>
      <w:r w:rsidR="00FB27A0" w:rsidRPr="00471380">
        <w:rPr>
          <w:rFonts w:ascii="Times New Roman" w:eastAsia="Times New Roman" w:hAnsi="Times New Roman" w:cs="Times New Roman"/>
          <w:bCs/>
          <w:sz w:val="20"/>
          <w:szCs w:val="20"/>
          <w:lang w:eastAsia="en-GB"/>
        </w:rPr>
        <w:t xml:space="preserve"> preterm labour</w:t>
      </w:r>
      <w:bookmarkEnd w:id="2"/>
      <w:r w:rsidR="00471380">
        <w:rPr>
          <w:rFonts w:ascii="Times New Roman" w:eastAsia="Times New Roman" w:hAnsi="Times New Roman" w:cs="Times New Roman"/>
          <w:bCs/>
          <w:sz w:val="20"/>
          <w:szCs w:val="20"/>
          <w:lang w:eastAsia="en-GB"/>
        </w:rPr>
        <w:t xml:space="preserve">. </w:t>
      </w:r>
    </w:p>
    <w:p w:rsidR="00F302A2" w:rsidRPr="008F560A" w:rsidRDefault="00F302A2" w:rsidP="00605C12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GB"/>
        </w:rPr>
      </w:pPr>
    </w:p>
    <w:sectPr w:rsidR="00F302A2" w:rsidRPr="008F56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0D7"/>
    <w:rsid w:val="00033314"/>
    <w:rsid w:val="00035EDF"/>
    <w:rsid w:val="00040076"/>
    <w:rsid w:val="00043CF4"/>
    <w:rsid w:val="000A24C4"/>
    <w:rsid w:val="000B2E43"/>
    <w:rsid w:val="000B33C6"/>
    <w:rsid w:val="000D6AF1"/>
    <w:rsid w:val="000F6023"/>
    <w:rsid w:val="000F63FC"/>
    <w:rsid w:val="00174496"/>
    <w:rsid w:val="00196C1B"/>
    <w:rsid w:val="001A52EC"/>
    <w:rsid w:val="001A76E7"/>
    <w:rsid w:val="001E416B"/>
    <w:rsid w:val="001F2BE0"/>
    <w:rsid w:val="001F59BD"/>
    <w:rsid w:val="00252F69"/>
    <w:rsid w:val="00264A52"/>
    <w:rsid w:val="002C521B"/>
    <w:rsid w:val="002D437A"/>
    <w:rsid w:val="00334518"/>
    <w:rsid w:val="003368A8"/>
    <w:rsid w:val="0035033A"/>
    <w:rsid w:val="0039160F"/>
    <w:rsid w:val="003920D7"/>
    <w:rsid w:val="003930E9"/>
    <w:rsid w:val="003C0C64"/>
    <w:rsid w:val="003C3F82"/>
    <w:rsid w:val="004420C6"/>
    <w:rsid w:val="00471380"/>
    <w:rsid w:val="004713C9"/>
    <w:rsid w:val="004A13DA"/>
    <w:rsid w:val="004B10C0"/>
    <w:rsid w:val="004E2AE1"/>
    <w:rsid w:val="004E41EA"/>
    <w:rsid w:val="0050044D"/>
    <w:rsid w:val="00503A4D"/>
    <w:rsid w:val="00523AF1"/>
    <w:rsid w:val="0053566D"/>
    <w:rsid w:val="00572E23"/>
    <w:rsid w:val="005A3FAF"/>
    <w:rsid w:val="005E2D10"/>
    <w:rsid w:val="005E3C4A"/>
    <w:rsid w:val="00603199"/>
    <w:rsid w:val="00605C12"/>
    <w:rsid w:val="006144E5"/>
    <w:rsid w:val="006318DC"/>
    <w:rsid w:val="00641F18"/>
    <w:rsid w:val="0064786D"/>
    <w:rsid w:val="00666BBD"/>
    <w:rsid w:val="00673057"/>
    <w:rsid w:val="00692689"/>
    <w:rsid w:val="006A096B"/>
    <w:rsid w:val="006C6AEA"/>
    <w:rsid w:val="007210B6"/>
    <w:rsid w:val="00753C4B"/>
    <w:rsid w:val="0076080F"/>
    <w:rsid w:val="007649C2"/>
    <w:rsid w:val="007B172C"/>
    <w:rsid w:val="007C1567"/>
    <w:rsid w:val="007F031A"/>
    <w:rsid w:val="00815DD8"/>
    <w:rsid w:val="00876736"/>
    <w:rsid w:val="00884CFE"/>
    <w:rsid w:val="00890524"/>
    <w:rsid w:val="008D03D1"/>
    <w:rsid w:val="008E3549"/>
    <w:rsid w:val="008F560A"/>
    <w:rsid w:val="009447DC"/>
    <w:rsid w:val="009704A7"/>
    <w:rsid w:val="009862B5"/>
    <w:rsid w:val="00A063BD"/>
    <w:rsid w:val="00A262B8"/>
    <w:rsid w:val="00A30F66"/>
    <w:rsid w:val="00A313E1"/>
    <w:rsid w:val="00A51102"/>
    <w:rsid w:val="00A71728"/>
    <w:rsid w:val="00A93B3E"/>
    <w:rsid w:val="00AC1065"/>
    <w:rsid w:val="00AC1890"/>
    <w:rsid w:val="00AF0E31"/>
    <w:rsid w:val="00B1477A"/>
    <w:rsid w:val="00B82E25"/>
    <w:rsid w:val="00B9494D"/>
    <w:rsid w:val="00BB60D1"/>
    <w:rsid w:val="00BF7E5B"/>
    <w:rsid w:val="00C149F6"/>
    <w:rsid w:val="00C37BD7"/>
    <w:rsid w:val="00C56EC6"/>
    <w:rsid w:val="00C665DC"/>
    <w:rsid w:val="00C83571"/>
    <w:rsid w:val="00C847D8"/>
    <w:rsid w:val="00C85FF3"/>
    <w:rsid w:val="00C92FCB"/>
    <w:rsid w:val="00CD2C13"/>
    <w:rsid w:val="00CF7F23"/>
    <w:rsid w:val="00D07C85"/>
    <w:rsid w:val="00D14D8E"/>
    <w:rsid w:val="00D74DAD"/>
    <w:rsid w:val="00D95FD8"/>
    <w:rsid w:val="00D9791E"/>
    <w:rsid w:val="00E14D1B"/>
    <w:rsid w:val="00E1692F"/>
    <w:rsid w:val="00EA4573"/>
    <w:rsid w:val="00EC1F6B"/>
    <w:rsid w:val="00EC37F7"/>
    <w:rsid w:val="00EC5988"/>
    <w:rsid w:val="00F07C07"/>
    <w:rsid w:val="00F302A2"/>
    <w:rsid w:val="00F82B0E"/>
    <w:rsid w:val="00F852A1"/>
    <w:rsid w:val="00FB27A0"/>
    <w:rsid w:val="00FD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2E0143"/>
  <w15:docId w15:val="{3C67B10B-8320-44BF-994F-8E0268A3F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20D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5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C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GFMR</dc:creator>
  <cp:lastModifiedBy>lynne Sykes</cp:lastModifiedBy>
  <cp:revision>4</cp:revision>
  <cp:lastPrinted>2016-10-14T08:54:00Z</cp:lastPrinted>
  <dcterms:created xsi:type="dcterms:W3CDTF">2017-10-12T21:29:00Z</dcterms:created>
  <dcterms:modified xsi:type="dcterms:W3CDTF">2019-02-18T23:00:00Z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yle">
    <vt:lpwstr>ieee</vt:lpwstr>
  </property>
</Properties>
</file>