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838CF" w14:textId="60B336DB" w:rsidR="00AB3F21" w:rsidRPr="002A34F0" w:rsidRDefault="00AB3F21" w:rsidP="00AB3F21">
      <w:pPr>
        <w:pStyle w:val="Articletitle"/>
      </w:pPr>
      <w:r w:rsidRPr="002A34F0">
        <w:rPr>
          <w:color w:val="222222"/>
          <w:shd w:val="clear" w:color="auto" w:fill="FFFFFF"/>
        </w:rPr>
        <w:t xml:space="preserve">Strangers in </w:t>
      </w:r>
      <w:r w:rsidR="00383905" w:rsidRPr="002A34F0">
        <w:rPr>
          <w:color w:val="222222"/>
          <w:shd w:val="clear" w:color="auto" w:fill="FFFFFF"/>
        </w:rPr>
        <w:t xml:space="preserve">a </w:t>
      </w:r>
      <w:r w:rsidRPr="002A34F0">
        <w:rPr>
          <w:color w:val="222222"/>
          <w:shd w:val="clear" w:color="auto" w:fill="FFFFFF"/>
        </w:rPr>
        <w:t xml:space="preserve">strange land: </w:t>
      </w:r>
      <w:r w:rsidR="00EE10A1" w:rsidRPr="002A34F0">
        <w:rPr>
          <w:color w:val="222222"/>
          <w:shd w:val="clear" w:color="auto" w:fill="FFFFFF"/>
        </w:rPr>
        <w:t xml:space="preserve">mapping </w:t>
      </w:r>
      <w:r w:rsidRPr="002A34F0">
        <w:rPr>
          <w:color w:val="222222"/>
          <w:shd w:val="clear" w:color="auto" w:fill="FFFFFF"/>
        </w:rPr>
        <w:t>household and neighbourhood associations with improved wellbeing outcomes in Accra, Ghana</w:t>
      </w:r>
    </w:p>
    <w:p w14:paraId="54CC8D15" w14:textId="1C8EE9E7" w:rsidR="00274701" w:rsidRPr="002A34F0" w:rsidRDefault="00274701" w:rsidP="00274701">
      <w:pPr>
        <w:pStyle w:val="Abstract"/>
        <w:rPr>
          <w:lang w:val="en-US"/>
        </w:rPr>
      </w:pPr>
      <w:bookmarkStart w:id="0" w:name="_Hlk140826707"/>
      <w:r w:rsidRPr="002A34F0">
        <w:rPr>
          <w:lang w:val="en-US"/>
        </w:rPr>
        <w:t xml:space="preserve">Urban poverty is not limited to </w:t>
      </w:r>
      <w:r w:rsidR="0090489B" w:rsidRPr="002A34F0">
        <w:rPr>
          <w:lang w:val="en-US"/>
        </w:rPr>
        <w:t>informal</w:t>
      </w:r>
      <w:r w:rsidRPr="002A34F0">
        <w:rPr>
          <w:lang w:val="en-US"/>
        </w:rPr>
        <w:t xml:space="preserve"> settlements, </w:t>
      </w:r>
      <w:r w:rsidR="001C2F72" w:rsidRPr="002A34F0">
        <w:rPr>
          <w:lang w:val="en-US"/>
        </w:rPr>
        <w:t xml:space="preserve">rather </w:t>
      </w:r>
      <w:r w:rsidRPr="002A34F0">
        <w:rPr>
          <w:lang w:val="en-US"/>
        </w:rPr>
        <w:t>it extends throughout cit</w:t>
      </w:r>
      <w:r w:rsidR="001116A8" w:rsidRPr="002A34F0">
        <w:rPr>
          <w:lang w:val="en-US"/>
        </w:rPr>
        <w:t>ies,</w:t>
      </w:r>
      <w:r w:rsidRPr="002A34F0">
        <w:rPr>
          <w:lang w:val="en-US"/>
        </w:rPr>
        <w:t xml:space="preserve"> with the poor and affluent</w:t>
      </w:r>
      <w:r w:rsidR="009B0380" w:rsidRPr="002A34F0">
        <w:rPr>
          <w:lang w:val="en-US"/>
        </w:rPr>
        <w:t xml:space="preserve"> often</w:t>
      </w:r>
      <w:r w:rsidRPr="002A34F0">
        <w:rPr>
          <w:lang w:val="en-US"/>
        </w:rPr>
        <w:t xml:space="preserve"> living in close proximity. </w:t>
      </w:r>
      <w:r w:rsidR="00B01236" w:rsidRPr="002A34F0">
        <w:rPr>
          <w:lang w:val="en-US"/>
        </w:rPr>
        <w:t>Using</w:t>
      </w:r>
      <w:r w:rsidR="001106D5" w:rsidRPr="002A34F0">
        <w:rPr>
          <w:lang w:val="en-US"/>
        </w:rPr>
        <w:t xml:space="preserve"> a novel</w:t>
      </w:r>
      <w:r w:rsidR="00B01236" w:rsidRPr="002A34F0">
        <w:rPr>
          <w:lang w:val="en-US"/>
        </w:rPr>
        <w:t xml:space="preserve"> data</w:t>
      </w:r>
      <w:r w:rsidR="001106D5" w:rsidRPr="002A34F0">
        <w:rPr>
          <w:lang w:val="en-US"/>
        </w:rPr>
        <w:t>set</w:t>
      </w:r>
      <w:r w:rsidR="00B01236" w:rsidRPr="002A34F0">
        <w:rPr>
          <w:lang w:val="en-US"/>
        </w:rPr>
        <w:t xml:space="preserve"> derived</w:t>
      </w:r>
      <w:r w:rsidRPr="002A34F0">
        <w:rPr>
          <w:lang w:val="en-US"/>
        </w:rPr>
        <w:t xml:space="preserve"> from </w:t>
      </w:r>
      <w:r w:rsidR="00B01236" w:rsidRPr="002A34F0">
        <w:rPr>
          <w:lang w:val="en-US"/>
        </w:rPr>
        <w:t>the full</w:t>
      </w:r>
      <w:r w:rsidR="0037090E" w:rsidRPr="002A34F0">
        <w:rPr>
          <w:lang w:val="en-US"/>
        </w:rPr>
        <w:t xml:space="preserve"> </w:t>
      </w:r>
      <w:r w:rsidRPr="002A34F0">
        <w:rPr>
          <w:lang w:val="en-US"/>
        </w:rPr>
        <w:t>Ghana</w:t>
      </w:r>
      <w:r w:rsidR="00186016" w:rsidRPr="002A34F0">
        <w:rPr>
          <w:lang w:val="en-US"/>
        </w:rPr>
        <w:t xml:space="preserve">ian </w:t>
      </w:r>
      <w:r w:rsidR="005812DC" w:rsidRPr="002A34F0">
        <w:rPr>
          <w:lang w:val="en-US"/>
        </w:rPr>
        <w:t>C</w:t>
      </w:r>
      <w:r w:rsidR="00186016" w:rsidRPr="002A34F0">
        <w:rPr>
          <w:lang w:val="en-US"/>
        </w:rPr>
        <w:t>ensus, we</w:t>
      </w:r>
      <w:r w:rsidRPr="002A34F0">
        <w:rPr>
          <w:lang w:val="en-US"/>
        </w:rPr>
        <w:t xml:space="preserve"> </w:t>
      </w:r>
      <w:r w:rsidR="00186016" w:rsidRPr="002A34F0">
        <w:t xml:space="preserve">investigate how neighbourhood versus household socio-economic status (SES) </w:t>
      </w:r>
      <w:r w:rsidR="001106D5" w:rsidRPr="002A34F0">
        <w:t>relate</w:t>
      </w:r>
      <w:r w:rsidR="006034DB" w:rsidRPr="002A34F0">
        <w:t>s</w:t>
      </w:r>
      <w:r w:rsidR="001106D5" w:rsidRPr="002A34F0">
        <w:t xml:space="preserve"> to</w:t>
      </w:r>
      <w:r w:rsidR="00186016" w:rsidRPr="002A34F0">
        <w:t xml:space="preserve"> </w:t>
      </w:r>
      <w:r w:rsidR="005812DC" w:rsidRPr="002A34F0">
        <w:t xml:space="preserve">a set of </w:t>
      </w:r>
      <w:r w:rsidR="00186016" w:rsidRPr="002A34F0">
        <w:t xml:space="preserve">household </w:t>
      </w:r>
      <w:r w:rsidR="001106D5" w:rsidRPr="002A34F0">
        <w:t xml:space="preserve">development </w:t>
      </w:r>
      <w:r w:rsidR="005812DC" w:rsidRPr="002A34F0">
        <w:t>outcomes</w:t>
      </w:r>
      <w:r w:rsidR="005812DC" w:rsidRPr="002A34F0">
        <w:rPr>
          <w:lang w:val="en-US"/>
        </w:rPr>
        <w:t xml:space="preserve"> </w:t>
      </w:r>
      <w:r w:rsidR="005812DC" w:rsidRPr="002A34F0">
        <w:t xml:space="preserve">(related to </w:t>
      </w:r>
      <w:r w:rsidR="005812DC" w:rsidRPr="002A34F0">
        <w:rPr>
          <w:lang w:val="en-US"/>
        </w:rPr>
        <w:t xml:space="preserve">housing quality, energy, water and sanitation, and information technology) </w:t>
      </w:r>
      <w:r w:rsidR="009C2A1B" w:rsidRPr="002A34F0">
        <w:rPr>
          <w:lang w:val="en-US"/>
        </w:rPr>
        <w:t>in Accra</w:t>
      </w:r>
      <w:r w:rsidR="001106D5" w:rsidRPr="002A34F0">
        <w:rPr>
          <w:lang w:val="en-US"/>
        </w:rPr>
        <w:t>, Ghana</w:t>
      </w:r>
      <w:r w:rsidRPr="002A34F0">
        <w:rPr>
          <w:lang w:val="en-US"/>
        </w:rPr>
        <w:t xml:space="preserve">. </w:t>
      </w:r>
      <w:r w:rsidR="00F328E3" w:rsidRPr="002A34F0">
        <w:t>We</w:t>
      </w:r>
      <w:r w:rsidR="009C2A1B" w:rsidRPr="002A34F0">
        <w:t xml:space="preserve"> </w:t>
      </w:r>
      <w:r w:rsidR="00A00805" w:rsidRPr="002A34F0">
        <w:t xml:space="preserve">then </w:t>
      </w:r>
      <w:r w:rsidR="001B3FE6" w:rsidRPr="002A34F0">
        <w:t xml:space="preserve">assess </w:t>
      </w:r>
      <w:r w:rsidR="00BA5466" w:rsidRPr="002A34F0">
        <w:t>“</w:t>
      </w:r>
      <w:r w:rsidR="009C2A1B" w:rsidRPr="002A34F0">
        <w:t>stranger</w:t>
      </w:r>
      <w:r w:rsidR="00BA5466" w:rsidRPr="002A34F0">
        <w:t>”</w:t>
      </w:r>
      <w:r w:rsidR="009C2A1B" w:rsidRPr="002A34F0">
        <w:t xml:space="preserve"> </w:t>
      </w:r>
      <w:r w:rsidR="00BA5466" w:rsidRPr="002A34F0">
        <w:t>households’</w:t>
      </w:r>
      <w:r w:rsidR="001B3FE6" w:rsidRPr="002A34F0">
        <w:t xml:space="preserve"> outcomes</w:t>
      </w:r>
      <w:r w:rsidR="009C2A1B" w:rsidRPr="002A34F0">
        <w:t xml:space="preserve"> within neighbourhoods: do poor households fare better in </w:t>
      </w:r>
      <w:r w:rsidR="00280ED7" w:rsidRPr="002A34F0">
        <w:t xml:space="preserve">affluent </w:t>
      </w:r>
      <w:r w:rsidR="009C2A1B" w:rsidRPr="002A34F0">
        <w:t xml:space="preserve">neighbourhoods, and are </w:t>
      </w:r>
      <w:r w:rsidR="00280ED7" w:rsidRPr="002A34F0">
        <w:t xml:space="preserve">affluent </w:t>
      </w:r>
      <w:r w:rsidR="009C2A1B" w:rsidRPr="002A34F0">
        <w:t xml:space="preserve">households negatively impacted by being in poor neighbourhoods? </w:t>
      </w:r>
      <w:r w:rsidR="00A00805" w:rsidRPr="002A34F0">
        <w:t>Through</w:t>
      </w:r>
      <w:r w:rsidR="00D903BB" w:rsidRPr="002A34F0">
        <w:rPr>
          <w:lang w:val="en-US"/>
        </w:rPr>
        <w:t xml:space="preserve"> a simple</w:t>
      </w:r>
      <w:r w:rsidRPr="002A34F0">
        <w:rPr>
          <w:lang w:val="en-US"/>
        </w:rPr>
        <w:t xml:space="preserve"> generalized linear model</w:t>
      </w:r>
      <w:r w:rsidR="00F83285" w:rsidRPr="002A34F0">
        <w:rPr>
          <w:lang w:val="en-US"/>
        </w:rPr>
        <w:t xml:space="preserve"> </w:t>
      </w:r>
      <w:r w:rsidR="00A00805" w:rsidRPr="002A34F0">
        <w:rPr>
          <w:lang w:val="en-US"/>
        </w:rPr>
        <w:t>we</w:t>
      </w:r>
      <w:r w:rsidR="00F83285" w:rsidRPr="002A34F0">
        <w:rPr>
          <w:lang w:val="en-US"/>
        </w:rPr>
        <w:t xml:space="preserve"> estimate the </w:t>
      </w:r>
      <w:r w:rsidR="00F83285" w:rsidRPr="002A34F0">
        <w:t xml:space="preserve">variance components associated with household and neighbourhood status </w:t>
      </w:r>
      <w:r w:rsidR="005812DC" w:rsidRPr="002A34F0">
        <w:t>for our</w:t>
      </w:r>
      <w:r w:rsidR="00EF05E7" w:rsidRPr="002A34F0">
        <w:rPr>
          <w:lang w:val="en-US"/>
        </w:rPr>
        <w:t xml:space="preserve"> </w:t>
      </w:r>
      <w:r w:rsidR="00EF05E7" w:rsidRPr="002A34F0">
        <w:t>outcome</w:t>
      </w:r>
      <w:r w:rsidR="005812DC" w:rsidRPr="002A34F0">
        <w:t xml:space="preserve"> measures</w:t>
      </w:r>
      <w:r w:rsidRPr="002A34F0">
        <w:rPr>
          <w:lang w:val="en-US"/>
        </w:rPr>
        <w:t xml:space="preserve">. </w:t>
      </w:r>
      <w:r w:rsidR="00A9192D" w:rsidRPr="002A34F0">
        <w:t>H</w:t>
      </w:r>
      <w:r w:rsidR="005812DC" w:rsidRPr="002A34F0">
        <w:t xml:space="preserve">ousehold SES is more closely associated with 13 of the 16 outcomes assessed compared to the neighbourhood average SES. Second, </w:t>
      </w:r>
      <w:r w:rsidR="003B3124" w:rsidRPr="002A34F0">
        <w:t>for</w:t>
      </w:r>
      <w:r w:rsidR="005812DC" w:rsidRPr="002A34F0">
        <w:t xml:space="preserve"> 9 outcomes</w:t>
      </w:r>
      <w:bookmarkStart w:id="1" w:name="_Hlk140825986"/>
      <w:r w:rsidR="00C50A53" w:rsidRPr="002A34F0">
        <w:t xml:space="preserve"> </w:t>
      </w:r>
      <w:r w:rsidR="005812DC" w:rsidRPr="002A34F0">
        <w:t xml:space="preserve">poor households in affluent areas fair better, </w:t>
      </w:r>
      <w:r w:rsidR="00C50A53" w:rsidRPr="002A34F0">
        <w:t xml:space="preserve">and the </w:t>
      </w:r>
      <w:r w:rsidR="005812DC" w:rsidRPr="002A34F0">
        <w:t>affluent in poor areas are worse off</w:t>
      </w:r>
      <w:bookmarkStart w:id="2" w:name="_Hlk140824063"/>
      <w:r w:rsidR="005812DC" w:rsidRPr="002A34F0">
        <w:t xml:space="preserve">. </w:t>
      </w:r>
      <w:bookmarkEnd w:id="2"/>
      <w:r w:rsidR="005812DC" w:rsidRPr="002A34F0">
        <w:t xml:space="preserve">For </w:t>
      </w:r>
      <w:r w:rsidR="002B62C7" w:rsidRPr="002A34F0">
        <w:t>two outcomes</w:t>
      </w:r>
      <w:r w:rsidR="005812DC" w:rsidRPr="002A34F0">
        <w:t>, poor households have worse outcomes in affluent areas, and the affluent have better outcomes in poor areas</w:t>
      </w:r>
      <w:r w:rsidR="002B62C7" w:rsidRPr="002A34F0">
        <w:t>, on average</w:t>
      </w:r>
      <w:r w:rsidR="005812DC" w:rsidRPr="002A34F0">
        <w:t xml:space="preserve">. </w:t>
      </w:r>
      <w:bookmarkStart w:id="3" w:name="_Hlk141356896"/>
      <w:r w:rsidR="002B62C7" w:rsidRPr="002A34F0">
        <w:t>For three outcomes “</w:t>
      </w:r>
      <w:r w:rsidR="005812DC" w:rsidRPr="002A34F0">
        <w:t>stranger</w:t>
      </w:r>
      <w:r w:rsidR="002B62C7" w:rsidRPr="002A34F0">
        <w:t>” household</w:t>
      </w:r>
      <w:r w:rsidR="005812DC" w:rsidRPr="002A34F0">
        <w:t xml:space="preserve">s do worse in strange neighbourhoods. </w:t>
      </w:r>
      <w:bookmarkEnd w:id="3"/>
      <w:r w:rsidR="00626FBC" w:rsidRPr="002A34F0">
        <w:t>We discuss</w:t>
      </w:r>
      <w:r w:rsidR="005812DC" w:rsidRPr="002A34F0">
        <w:t xml:space="preserve"> implications for mixed development and how to direct resources through households versus location-based targets. </w:t>
      </w:r>
      <w:r w:rsidR="008F5252" w:rsidRPr="002A34F0">
        <w:t xml:space="preserve"> </w:t>
      </w:r>
      <w:bookmarkEnd w:id="1"/>
    </w:p>
    <w:bookmarkEnd w:id="0"/>
    <w:p w14:paraId="30C17F1D" w14:textId="7AE0D479" w:rsidR="0020415E" w:rsidRPr="002A34F0" w:rsidRDefault="00997B0F" w:rsidP="009D05A5">
      <w:pPr>
        <w:pStyle w:val="Abstract"/>
      </w:pPr>
      <w:r w:rsidRPr="002A34F0">
        <w:t xml:space="preserve">Keywords: </w:t>
      </w:r>
      <w:r w:rsidR="00937299" w:rsidRPr="002A34F0">
        <w:t>inequality</w:t>
      </w:r>
      <w:r w:rsidRPr="002A34F0">
        <w:t>;</w:t>
      </w:r>
      <w:r w:rsidR="00A3068B" w:rsidRPr="002A34F0">
        <w:t xml:space="preserve"> poverty; Africa;</w:t>
      </w:r>
      <w:r w:rsidRPr="002A34F0">
        <w:t xml:space="preserve"> </w:t>
      </w:r>
      <w:r w:rsidR="00937299" w:rsidRPr="002A34F0">
        <w:t>neighbourhood effects</w:t>
      </w:r>
      <w:r w:rsidRPr="002A34F0">
        <w:t xml:space="preserve">; </w:t>
      </w:r>
      <w:r w:rsidR="00937299" w:rsidRPr="002A34F0">
        <w:t>segregation</w:t>
      </w:r>
      <w:r w:rsidR="001216FB" w:rsidRPr="002A34F0">
        <w:t>; well-being</w:t>
      </w:r>
    </w:p>
    <w:p w14:paraId="666F396E" w14:textId="45C1C67E" w:rsidR="00636B51" w:rsidRPr="002A34F0" w:rsidRDefault="00636B51" w:rsidP="0098557D">
      <w:pPr>
        <w:spacing w:before="240" w:after="240" w:line="480" w:lineRule="auto"/>
      </w:pPr>
    </w:p>
    <w:p w14:paraId="55364CA4" w14:textId="77777777" w:rsidR="008A0B12" w:rsidRPr="002A34F0" w:rsidRDefault="008A0B12" w:rsidP="0098557D">
      <w:pPr>
        <w:spacing w:before="240" w:after="240" w:line="480" w:lineRule="auto"/>
      </w:pPr>
    </w:p>
    <w:p w14:paraId="0D94B495" w14:textId="77777777" w:rsidR="008A0B12" w:rsidRPr="002A34F0" w:rsidRDefault="008A0B12" w:rsidP="0098557D">
      <w:pPr>
        <w:spacing w:before="240" w:after="240" w:line="480" w:lineRule="auto"/>
      </w:pPr>
    </w:p>
    <w:p w14:paraId="6039682A" w14:textId="473C11BF" w:rsidR="002975F6" w:rsidRPr="002A34F0" w:rsidRDefault="002975F6">
      <w:pPr>
        <w:rPr>
          <w:rFonts w:cs="Arial"/>
          <w:b/>
          <w:bCs/>
          <w:kern w:val="32"/>
          <w:szCs w:val="32"/>
          <w:lang w:val="en-GB" w:eastAsia="en-GB"/>
        </w:rPr>
      </w:pPr>
      <w:r w:rsidRPr="002A34F0">
        <w:br w:type="page"/>
      </w:r>
    </w:p>
    <w:p w14:paraId="7F35404D" w14:textId="77777777" w:rsidR="003747C1" w:rsidRPr="002A34F0" w:rsidRDefault="003747C1" w:rsidP="00467F27">
      <w:pPr>
        <w:pStyle w:val="Heading1"/>
        <w:spacing w:line="480" w:lineRule="auto"/>
      </w:pPr>
    </w:p>
    <w:p w14:paraId="1A8751D9" w14:textId="4D9F9C1F" w:rsidR="00FB2F6E" w:rsidRPr="002A34F0" w:rsidRDefault="00FB2F6E" w:rsidP="00467F27">
      <w:pPr>
        <w:pStyle w:val="Heading1"/>
        <w:spacing w:line="480" w:lineRule="auto"/>
      </w:pPr>
      <w:r w:rsidRPr="002A34F0">
        <w:t>Introduction</w:t>
      </w:r>
    </w:p>
    <w:p w14:paraId="7899A2ED" w14:textId="7EF92425" w:rsidR="005E03D9" w:rsidRPr="002A34F0" w:rsidRDefault="00FB2F6E" w:rsidP="00467F27">
      <w:pPr>
        <w:shd w:val="clear" w:color="auto" w:fill="FFFFFF"/>
        <w:spacing w:before="240" w:after="240" w:line="480" w:lineRule="auto"/>
      </w:pPr>
      <w:r w:rsidRPr="002A34F0">
        <w:t>The global development agenda has focused on poverty reduction since its inception. Adequate financial resources allow households to protect themselves from risks and make investment choices that capitalize on endowments, skills, or other natural advantages</w:t>
      </w:r>
      <w:r w:rsidR="004E7DEA" w:rsidRPr="002A34F0">
        <w:t xml:space="preserve"> and</w:t>
      </w:r>
      <w:r w:rsidRPr="002A34F0">
        <w:t xml:space="preserve"> make choices</w:t>
      </w:r>
      <w:r w:rsidR="00AD5CEF" w:rsidRPr="002A34F0">
        <w:t>, sometimes implying</w:t>
      </w:r>
      <w:r w:rsidRPr="002A34F0">
        <w:t xml:space="preserve"> </w:t>
      </w:r>
      <w:r w:rsidR="007E113E" w:rsidRPr="002A34F0">
        <w:t>trade-offs</w:t>
      </w:r>
      <w:r w:rsidR="00AD5CEF" w:rsidRPr="002A34F0">
        <w:t>,</w:t>
      </w:r>
      <w:r w:rsidRPr="002A34F0">
        <w:t xml:space="preserve"> </w:t>
      </w:r>
      <w:r w:rsidR="004E7DEA" w:rsidRPr="002A34F0">
        <w:t xml:space="preserve">to </w:t>
      </w:r>
      <w:r w:rsidRPr="002A34F0">
        <w:t>maximize utility given their budget constraints. Th</w:t>
      </w:r>
      <w:r w:rsidR="003A53D4" w:rsidRPr="002A34F0">
        <w:t>ese</w:t>
      </w:r>
      <w:r w:rsidRPr="002A34F0">
        <w:t xml:space="preserve"> may include investments in education, asset accumulation, or other forms of capital that help buffer risk and improve overall well-being</w:t>
      </w:r>
      <w:r w:rsidR="00571432" w:rsidRPr="002A34F0">
        <w:t xml:space="preserve">, but </w:t>
      </w:r>
      <w:r w:rsidRPr="002A34F0">
        <w:t xml:space="preserve">households with limited </w:t>
      </w:r>
      <w:r w:rsidR="00571432" w:rsidRPr="002A34F0">
        <w:t xml:space="preserve">means </w:t>
      </w:r>
      <w:r w:rsidRPr="002A34F0">
        <w:t>may</w:t>
      </w:r>
      <w:r w:rsidR="006E75DC" w:rsidRPr="002A34F0">
        <w:t xml:space="preserve"> also</w:t>
      </w:r>
      <w:r w:rsidRPr="002A34F0">
        <w:t xml:space="preserve"> be forced to make </w:t>
      </w:r>
      <w:r w:rsidR="00A24C3D" w:rsidRPr="002A34F0">
        <w:t>trade-off</w:t>
      </w:r>
      <w:r w:rsidR="001B59A7" w:rsidRPr="002A34F0">
        <w:t>s</w:t>
      </w:r>
      <w:r w:rsidRPr="002A34F0">
        <w:t xml:space="preserve"> </w:t>
      </w:r>
      <w:r w:rsidR="00D02FDC" w:rsidRPr="002A34F0">
        <w:t xml:space="preserve">in </w:t>
      </w:r>
      <w:r w:rsidRPr="002A34F0">
        <w:t>meeting basic needs</w:t>
      </w:r>
      <w:r w:rsidR="00270CD6" w:rsidRPr="002A34F0">
        <w:t xml:space="preserve"> and making such investments</w:t>
      </w:r>
      <w:r w:rsidRPr="002A34F0">
        <w:t>. A dominant focus of development policy</w:t>
      </w:r>
      <w:r w:rsidR="009E4283" w:rsidRPr="002A34F0">
        <w:t xml:space="preserve"> and the current </w:t>
      </w:r>
      <w:r w:rsidR="00BF0CE8" w:rsidRPr="002A34F0">
        <w:t>Sustainable Development Goals (i.e., SDG 10)</w:t>
      </w:r>
      <w:r w:rsidRPr="002A34F0">
        <w:t xml:space="preserve"> has </w:t>
      </w:r>
      <w:r w:rsidR="00A24C3D" w:rsidRPr="002A34F0">
        <w:t>centred</w:t>
      </w:r>
      <w:r w:rsidRPr="002A34F0">
        <w:t xml:space="preserve"> around how to support such households and break cycles of poverty</w:t>
      </w:r>
      <w:r w:rsidR="00BF0CE8" w:rsidRPr="002A34F0">
        <w:t xml:space="preserve"> and reduce overall inequalities</w:t>
      </w:r>
      <w:r w:rsidR="00980EF8" w:rsidRPr="002A34F0">
        <w:t xml:space="preserve">, particularly in Lower </w:t>
      </w:r>
      <w:r w:rsidR="00DE4893" w:rsidRPr="002A34F0">
        <w:t>Middle-Income</w:t>
      </w:r>
      <w:r w:rsidR="00980EF8" w:rsidRPr="002A34F0">
        <w:t xml:space="preserve"> Countries (LMIC)</w:t>
      </w:r>
      <w:r w:rsidRPr="002A34F0">
        <w:t xml:space="preserve">. </w:t>
      </w:r>
    </w:p>
    <w:p w14:paraId="15407747" w14:textId="54E864D3" w:rsidR="00B346B8" w:rsidRPr="002A34F0" w:rsidRDefault="000C126A" w:rsidP="00467F27">
      <w:pPr>
        <w:shd w:val="clear" w:color="auto" w:fill="FFFFFF"/>
        <w:spacing w:before="240" w:after="240" w:line="480" w:lineRule="auto"/>
        <w:ind w:firstLine="720"/>
      </w:pPr>
      <w:r w:rsidRPr="002A34F0">
        <w:t>In addition to this</w:t>
      </w:r>
      <w:r w:rsidR="00181FEA" w:rsidRPr="002A34F0">
        <w:t xml:space="preserve"> focus on </w:t>
      </w:r>
      <w:r w:rsidR="00EE45C4" w:rsidRPr="002A34F0">
        <w:t>household</w:t>
      </w:r>
      <w:r w:rsidR="00A5372A" w:rsidRPr="002A34F0">
        <w:t xml:space="preserve">-level </w:t>
      </w:r>
      <w:r w:rsidR="00EA1A44" w:rsidRPr="002A34F0">
        <w:t>poverty</w:t>
      </w:r>
      <w:r w:rsidR="00B346B8" w:rsidRPr="002A34F0">
        <w:t xml:space="preserve">, </w:t>
      </w:r>
      <w:r w:rsidR="00EE45C4" w:rsidRPr="002A34F0">
        <w:t>a broad literature across a m</w:t>
      </w:r>
      <w:r w:rsidR="00DD6305" w:rsidRPr="002A34F0">
        <w:t xml:space="preserve">yriad of disciplines </w:t>
      </w:r>
      <w:r w:rsidR="00312A9A" w:rsidRPr="002A34F0">
        <w:t>now also investigat</w:t>
      </w:r>
      <w:r w:rsidR="00515E6F" w:rsidRPr="002A34F0">
        <w:t>es</w:t>
      </w:r>
      <w:r w:rsidR="00DD6305" w:rsidRPr="002A34F0">
        <w:t xml:space="preserve"> how </w:t>
      </w:r>
      <w:r w:rsidR="00B346B8" w:rsidRPr="002A34F0">
        <w:t>one’s location and the neighbourhood environment</w:t>
      </w:r>
      <w:r w:rsidR="00AB0DC6" w:rsidRPr="002A34F0">
        <w:t xml:space="preserve"> </w:t>
      </w:r>
      <w:r w:rsidR="00DD6305" w:rsidRPr="002A34F0">
        <w:t xml:space="preserve">can have dramatic and independent effects on </w:t>
      </w:r>
      <w:r w:rsidR="006E651A" w:rsidRPr="002A34F0">
        <w:t xml:space="preserve">household </w:t>
      </w:r>
      <w:r w:rsidR="001E79F9" w:rsidRPr="002A34F0">
        <w:t>living conditions</w:t>
      </w:r>
      <w:r w:rsidR="006B25A0" w:rsidRPr="002A34F0">
        <w:t>, well-being</w:t>
      </w:r>
      <w:r w:rsidR="009908C5" w:rsidRPr="002A34F0">
        <w:t>,</w:t>
      </w:r>
      <w:r w:rsidR="001E79F9" w:rsidRPr="002A34F0">
        <w:t xml:space="preserve"> and health </w:t>
      </w:r>
      <w:r w:rsidR="006E651A" w:rsidRPr="002A34F0">
        <w:t xml:space="preserve">outcomes </w:t>
      </w:r>
      <w:r w:rsidR="00B346B8" w:rsidRPr="002A34F0">
        <w:t>(Sampson</w:t>
      </w:r>
      <w:r w:rsidR="008458C5" w:rsidRPr="002A34F0">
        <w:t>,</w:t>
      </w:r>
      <w:r w:rsidR="00B346B8" w:rsidRPr="002A34F0">
        <w:t xml:space="preserve"> </w:t>
      </w:r>
      <w:r w:rsidR="006B25A0" w:rsidRPr="002A34F0">
        <w:t xml:space="preserve">2008, </w:t>
      </w:r>
      <w:r w:rsidR="00B346B8" w:rsidRPr="002A34F0">
        <w:t>2011</w:t>
      </w:r>
      <w:r w:rsidR="002A59BC" w:rsidRPr="002A34F0">
        <w:t xml:space="preserve">; Reardon </w:t>
      </w:r>
      <w:r w:rsidR="00DB582C" w:rsidRPr="002A34F0">
        <w:t xml:space="preserve">&amp; </w:t>
      </w:r>
      <w:r w:rsidR="002A59BC" w:rsidRPr="002A34F0">
        <w:t>Bischoff</w:t>
      </w:r>
      <w:r w:rsidR="008458C5" w:rsidRPr="002A34F0">
        <w:t>,</w:t>
      </w:r>
      <w:r w:rsidR="002A59BC" w:rsidRPr="002A34F0">
        <w:t xml:space="preserve"> 2011; </w:t>
      </w:r>
      <w:r w:rsidR="00976710" w:rsidRPr="002A34F0">
        <w:t xml:space="preserve">Parks et al., 2014; </w:t>
      </w:r>
      <w:r w:rsidR="002A59BC" w:rsidRPr="002A34F0">
        <w:t>Ansong et al.</w:t>
      </w:r>
      <w:r w:rsidR="008458C5" w:rsidRPr="002A34F0">
        <w:t>,</w:t>
      </w:r>
      <w:r w:rsidR="002A59BC" w:rsidRPr="002A34F0">
        <w:t xml:space="preserve"> 2015</w:t>
      </w:r>
      <w:r w:rsidR="00F0087E" w:rsidRPr="002A34F0">
        <w:t xml:space="preserve">; </w:t>
      </w:r>
      <w:r w:rsidR="006B25A0" w:rsidRPr="002A34F0">
        <w:t xml:space="preserve">Fowler &amp; Kleit, 2015; </w:t>
      </w:r>
      <w:r w:rsidR="009F67DD" w:rsidRPr="002A34F0">
        <w:t xml:space="preserve">Montgomery &amp; Hewitt, 2015; </w:t>
      </w:r>
      <w:r w:rsidR="006B25A0" w:rsidRPr="002A34F0">
        <w:t xml:space="preserve">Rothwell &amp; Massey, 2015; </w:t>
      </w:r>
      <w:r w:rsidR="00F0087E" w:rsidRPr="002A34F0">
        <w:t>Doiron et al., 2020; Mah et al., 2022</w:t>
      </w:r>
      <w:r w:rsidR="00B346B8" w:rsidRPr="002A34F0">
        <w:t>). Recent reviews</w:t>
      </w:r>
      <w:r w:rsidR="00776F6B" w:rsidRPr="002A34F0">
        <w:t xml:space="preserve"> of</w:t>
      </w:r>
      <w:r w:rsidR="00B346B8" w:rsidRPr="002A34F0">
        <w:t xml:space="preserve"> </w:t>
      </w:r>
      <w:r w:rsidR="002A59BC" w:rsidRPr="002A34F0">
        <w:t>‘</w:t>
      </w:r>
      <w:r w:rsidR="00B346B8" w:rsidRPr="002A34F0">
        <w:t>neighbourhood effects</w:t>
      </w:r>
      <w:r w:rsidR="002A59BC" w:rsidRPr="002A34F0">
        <w:t>’</w:t>
      </w:r>
      <w:r w:rsidR="00B346B8" w:rsidRPr="002A34F0">
        <w:t xml:space="preserve"> suggest</w:t>
      </w:r>
      <w:r w:rsidR="00711A7D" w:rsidRPr="002A34F0">
        <w:t xml:space="preserve"> a</w:t>
      </w:r>
      <w:r w:rsidR="009C342D" w:rsidRPr="002A34F0">
        <w:t xml:space="preserve"> </w:t>
      </w:r>
      <w:r w:rsidR="00711A7D" w:rsidRPr="002A34F0">
        <w:t xml:space="preserve">household’s </w:t>
      </w:r>
      <w:r w:rsidR="008440F1" w:rsidRPr="002A34F0">
        <w:t>location</w:t>
      </w:r>
      <w:r w:rsidR="009C342D" w:rsidRPr="002A34F0">
        <w:t xml:space="preserve"> can</w:t>
      </w:r>
      <w:r w:rsidR="008440F1" w:rsidRPr="002A34F0">
        <w:t xml:space="preserve"> impact outcomes</w:t>
      </w:r>
      <w:r w:rsidR="009C342D" w:rsidRPr="002A34F0">
        <w:t xml:space="preserve"> through both physical and social contextual factors</w:t>
      </w:r>
      <w:r w:rsidR="00B03FD0" w:rsidRPr="002A34F0">
        <w:t xml:space="preserve"> beyond just income</w:t>
      </w:r>
      <w:r w:rsidR="008440F1" w:rsidRPr="002A34F0">
        <w:t xml:space="preserve">. </w:t>
      </w:r>
      <w:r w:rsidR="007D700D" w:rsidRPr="002A34F0">
        <w:t>T</w:t>
      </w:r>
      <w:r w:rsidR="00A023B0" w:rsidRPr="002A34F0">
        <w:t>he p</w:t>
      </w:r>
      <w:r w:rsidR="00B346B8" w:rsidRPr="002A34F0">
        <w:t xml:space="preserve">hysical environment </w:t>
      </w:r>
      <w:r w:rsidR="00585E65" w:rsidRPr="002A34F0">
        <w:t>includes</w:t>
      </w:r>
      <w:r w:rsidR="00B75F98" w:rsidRPr="002A34F0">
        <w:t xml:space="preserve"> commons </w:t>
      </w:r>
      <w:r w:rsidR="00B346B8" w:rsidRPr="002A34F0">
        <w:t>that everyone shares (e.</w:t>
      </w:r>
      <w:r w:rsidR="005460C6" w:rsidRPr="002A34F0">
        <w:t>g</w:t>
      </w:r>
      <w:r w:rsidR="00B346B8" w:rsidRPr="002A34F0">
        <w:t xml:space="preserve">. air quality, </w:t>
      </w:r>
      <w:r w:rsidR="00585E65" w:rsidRPr="002A34F0">
        <w:t>soils, etc.</w:t>
      </w:r>
      <w:r w:rsidR="00B346B8" w:rsidRPr="002A34F0">
        <w:t xml:space="preserve">), </w:t>
      </w:r>
      <w:r w:rsidR="007C55D6" w:rsidRPr="002A34F0">
        <w:t>general l</w:t>
      </w:r>
      <w:r w:rsidR="00B346B8" w:rsidRPr="002A34F0">
        <w:t>iving and working conditions (e.g. quality of housing stock, reliable and safe employment)</w:t>
      </w:r>
      <w:r w:rsidR="007C55D6" w:rsidRPr="002A34F0">
        <w:t>,</w:t>
      </w:r>
      <w:r w:rsidR="00B346B8" w:rsidRPr="002A34F0">
        <w:t xml:space="preserve"> </w:t>
      </w:r>
      <w:r w:rsidR="00BF30CF" w:rsidRPr="002A34F0">
        <w:t>or</w:t>
      </w:r>
      <w:r w:rsidR="00B346B8" w:rsidRPr="002A34F0">
        <w:t xml:space="preserve"> access to services (e.g. education, transport, health, sanitation) (</w:t>
      </w:r>
      <w:r w:rsidR="008709BF" w:rsidRPr="002A34F0">
        <w:t xml:space="preserve">Fowler </w:t>
      </w:r>
      <w:r w:rsidR="008709BF" w:rsidRPr="002A34F0">
        <w:lastRenderedPageBreak/>
        <w:t xml:space="preserve">&amp; Kleit, 2015; </w:t>
      </w:r>
      <w:r w:rsidR="00B346B8" w:rsidRPr="002A34F0">
        <w:t>Wen</w:t>
      </w:r>
      <w:r w:rsidR="00DB582C" w:rsidRPr="002A34F0">
        <w:t xml:space="preserve"> et al.,</w:t>
      </w:r>
      <w:r w:rsidR="00B346B8" w:rsidRPr="002A34F0">
        <w:t xml:space="preserve"> 2003)</w:t>
      </w:r>
      <w:r w:rsidR="00BF30CF" w:rsidRPr="002A34F0">
        <w:t xml:space="preserve">. </w:t>
      </w:r>
      <w:r w:rsidR="00F0066C" w:rsidRPr="002A34F0">
        <w:t>Social</w:t>
      </w:r>
      <w:r w:rsidR="00B346B8" w:rsidRPr="002A34F0">
        <w:t xml:space="preserve"> </w:t>
      </w:r>
      <w:r w:rsidR="00BF30CF" w:rsidRPr="002A34F0">
        <w:t xml:space="preserve">environments can </w:t>
      </w:r>
      <w:r w:rsidR="00C961BF" w:rsidRPr="002A34F0">
        <w:t>indicate</w:t>
      </w:r>
      <w:r w:rsidR="00B346B8" w:rsidRPr="002A34F0">
        <w:t xml:space="preserve"> the cohesiveness of community networks</w:t>
      </w:r>
      <w:r w:rsidR="00902F9B" w:rsidRPr="002A34F0">
        <w:t>,</w:t>
      </w:r>
      <w:r w:rsidR="00B346B8" w:rsidRPr="002A34F0">
        <w:t xml:space="preserve"> levels of crime, </w:t>
      </w:r>
      <w:r w:rsidR="00BF30CF" w:rsidRPr="002A34F0">
        <w:t>and</w:t>
      </w:r>
      <w:r w:rsidR="00B346B8" w:rsidRPr="002A34F0">
        <w:t xml:space="preserve"> how </w:t>
      </w:r>
      <w:r w:rsidR="00B26290" w:rsidRPr="002A34F0">
        <w:t>a</w:t>
      </w:r>
      <w:r w:rsidR="00B346B8" w:rsidRPr="002A34F0">
        <w:t xml:space="preserve"> neighbourhood is perceived by the wider </w:t>
      </w:r>
      <w:r w:rsidR="00B26290" w:rsidRPr="002A34F0">
        <w:t>community</w:t>
      </w:r>
      <w:r w:rsidR="00B346B8" w:rsidRPr="002A34F0">
        <w:t xml:space="preserve"> (Macintyre</w:t>
      </w:r>
      <w:r w:rsidR="00DB582C" w:rsidRPr="002A34F0">
        <w:t xml:space="preserve"> et al.,</w:t>
      </w:r>
      <w:r w:rsidR="00D02FDC" w:rsidRPr="002A34F0">
        <w:t xml:space="preserve"> </w:t>
      </w:r>
      <w:r w:rsidR="00B346B8" w:rsidRPr="002A34F0">
        <w:t>2002</w:t>
      </w:r>
      <w:r w:rsidR="008709BF" w:rsidRPr="002A34F0">
        <w:t>; Rothwell &amp; Massey, 2015</w:t>
      </w:r>
      <w:r w:rsidR="00B346B8" w:rsidRPr="002A34F0">
        <w:t xml:space="preserve">). </w:t>
      </w:r>
      <w:r w:rsidR="00F0066C" w:rsidRPr="002A34F0">
        <w:t>These</w:t>
      </w:r>
      <w:r w:rsidR="00E61061" w:rsidRPr="002A34F0">
        <w:t xml:space="preserve"> </w:t>
      </w:r>
      <w:r w:rsidR="00B346B8" w:rsidRPr="002A34F0">
        <w:t xml:space="preserve">neighbourhood </w:t>
      </w:r>
      <w:r w:rsidR="007266C3" w:rsidRPr="002A34F0">
        <w:t>characteristics</w:t>
      </w:r>
      <w:r w:rsidR="00B346B8" w:rsidRPr="002A34F0">
        <w:t xml:space="preserve"> often </w:t>
      </w:r>
      <w:r w:rsidR="00A01AA0" w:rsidRPr="002A34F0">
        <w:t xml:space="preserve">accumulate </w:t>
      </w:r>
      <w:r w:rsidR="007266C3" w:rsidRPr="002A34F0">
        <w:t>through</w:t>
      </w:r>
      <w:r w:rsidR="00B346B8" w:rsidRPr="002A34F0">
        <w:t xml:space="preserve"> multiple individual choices that </w:t>
      </w:r>
      <w:r w:rsidR="00B26290" w:rsidRPr="002A34F0">
        <w:t xml:space="preserve">can </w:t>
      </w:r>
      <w:r w:rsidR="00B346B8" w:rsidRPr="002A34F0">
        <w:t>sort individuals and households into particular neighbourhoods (</w:t>
      </w:r>
      <w:r w:rsidR="0016631E" w:rsidRPr="002A34F0">
        <w:t xml:space="preserve">Brock &amp; Durlauf, 2001; </w:t>
      </w:r>
      <w:r w:rsidR="00B346B8" w:rsidRPr="002A34F0">
        <w:t>Salhab et al</w:t>
      </w:r>
      <w:r w:rsidR="00DB582C" w:rsidRPr="002A34F0">
        <w:t>.,</w:t>
      </w:r>
      <w:r w:rsidR="00B346B8" w:rsidRPr="002A34F0">
        <w:t xml:space="preserve"> 2018; </w:t>
      </w:r>
      <w:r w:rsidR="004654CF" w:rsidRPr="002A34F0">
        <w:t xml:space="preserve">Walks, 2014; </w:t>
      </w:r>
      <w:r w:rsidR="0016631E" w:rsidRPr="002A34F0">
        <w:t>Wessel, 2022</w:t>
      </w:r>
      <w:r w:rsidR="00B346B8" w:rsidRPr="002A34F0">
        <w:t xml:space="preserve">). </w:t>
      </w:r>
    </w:p>
    <w:p w14:paraId="41AA0F8D" w14:textId="1EA27EC0" w:rsidR="00F32BD8" w:rsidRPr="002A34F0" w:rsidRDefault="00F86D46" w:rsidP="00467F27">
      <w:pPr>
        <w:shd w:val="clear" w:color="auto" w:fill="FFFFFF"/>
        <w:spacing w:before="240" w:after="240" w:line="480" w:lineRule="auto"/>
        <w:ind w:firstLine="720"/>
      </w:pPr>
      <w:r w:rsidRPr="002A34F0">
        <w:t>Yet the</w:t>
      </w:r>
      <w:r w:rsidR="000B001C" w:rsidRPr="002A34F0">
        <w:t xml:space="preserve"> literature </w:t>
      </w:r>
      <w:r w:rsidR="00712C3E" w:rsidRPr="002A34F0">
        <w:t>on</w:t>
      </w:r>
      <w:r w:rsidR="00DC2020" w:rsidRPr="002A34F0">
        <w:t xml:space="preserve"> </w:t>
      </w:r>
      <w:r w:rsidR="000B001C" w:rsidRPr="002A34F0">
        <w:t>povert</w:t>
      </w:r>
      <w:r w:rsidR="00BB724F" w:rsidRPr="002A34F0">
        <w:t>y</w:t>
      </w:r>
      <w:r w:rsidR="00691FE1" w:rsidRPr="002A34F0">
        <w:t xml:space="preserve"> </w:t>
      </w:r>
      <w:r w:rsidRPr="002A34F0">
        <w:t>and</w:t>
      </w:r>
      <w:r w:rsidR="00691FE1" w:rsidRPr="002A34F0">
        <w:t xml:space="preserve"> </w:t>
      </w:r>
      <w:r w:rsidR="00E155E1" w:rsidRPr="002A34F0">
        <w:t>neighbourhood effect</w:t>
      </w:r>
      <w:r w:rsidR="00E34706" w:rsidRPr="002A34F0">
        <w:t>s</w:t>
      </w:r>
      <w:r w:rsidRPr="002A34F0">
        <w:t xml:space="preserve"> remains relatively siloed</w:t>
      </w:r>
      <w:r w:rsidR="00E34706" w:rsidRPr="002A34F0">
        <w:t>.</w:t>
      </w:r>
      <w:r w:rsidR="00D25C85" w:rsidRPr="002A34F0">
        <w:t xml:space="preserve"> </w:t>
      </w:r>
      <w:r w:rsidR="001F361F" w:rsidRPr="002A34F0">
        <w:t>For example, n</w:t>
      </w:r>
      <w:r w:rsidR="007B69F9" w:rsidRPr="002A34F0">
        <w:t xml:space="preserve">eighbourhood context </w:t>
      </w:r>
      <w:r w:rsidRPr="002A34F0">
        <w:t>has been shown to</w:t>
      </w:r>
      <w:r w:rsidR="007B69F9" w:rsidRPr="002A34F0">
        <w:t xml:space="preserve"> </w:t>
      </w:r>
      <w:r w:rsidRPr="002A34F0">
        <w:t>mediate</w:t>
      </w:r>
      <w:r w:rsidR="007B69F9" w:rsidRPr="002A34F0">
        <w:t xml:space="preserve"> access</w:t>
      </w:r>
      <w:r w:rsidR="006C1681" w:rsidRPr="002A34F0">
        <w:t xml:space="preserve"> to</w:t>
      </w:r>
      <w:r w:rsidR="007B69F9" w:rsidRPr="002A34F0">
        <w:t xml:space="preserve"> jobs, </w:t>
      </w:r>
      <w:r w:rsidR="009908C5" w:rsidRPr="002A34F0">
        <w:t xml:space="preserve">earning potential, </w:t>
      </w:r>
      <w:r w:rsidR="007B69F9" w:rsidRPr="002A34F0">
        <w:t xml:space="preserve">education, </w:t>
      </w:r>
      <w:r w:rsidR="006C1681" w:rsidRPr="002A34F0">
        <w:t xml:space="preserve">or </w:t>
      </w:r>
      <w:r w:rsidR="0016631E" w:rsidRPr="002A34F0">
        <w:t xml:space="preserve">limit </w:t>
      </w:r>
      <w:r w:rsidR="009908C5" w:rsidRPr="002A34F0">
        <w:t xml:space="preserve">access to </w:t>
      </w:r>
      <w:r w:rsidR="007B69F9" w:rsidRPr="002A34F0">
        <w:t>public and health services</w:t>
      </w:r>
      <w:r w:rsidR="001E77F6" w:rsidRPr="002A34F0">
        <w:t xml:space="preserve">, but the influence of household </w:t>
      </w:r>
      <w:r w:rsidR="00280ED7" w:rsidRPr="002A34F0">
        <w:t xml:space="preserve">SES </w:t>
      </w:r>
      <w:r w:rsidR="001E77F6" w:rsidRPr="002A34F0">
        <w:t>relative to neighbo</w:t>
      </w:r>
      <w:r w:rsidR="003A5320" w:rsidRPr="002A34F0">
        <w:t>u</w:t>
      </w:r>
      <w:r w:rsidR="001E77F6" w:rsidRPr="002A34F0">
        <w:t>rhood conditions are not directly compared</w:t>
      </w:r>
      <w:r w:rsidR="007B69F9" w:rsidRPr="002A34F0">
        <w:t xml:space="preserve"> (Massey </w:t>
      </w:r>
      <w:r w:rsidR="00DB582C" w:rsidRPr="002A34F0">
        <w:t>&amp;</w:t>
      </w:r>
      <w:r w:rsidR="00745737" w:rsidRPr="002A34F0">
        <w:t xml:space="preserve"> </w:t>
      </w:r>
      <w:r w:rsidR="007B69F9" w:rsidRPr="002A34F0">
        <w:t>Denton</w:t>
      </w:r>
      <w:r w:rsidR="008458C5" w:rsidRPr="002A34F0">
        <w:t>,</w:t>
      </w:r>
      <w:r w:rsidR="007B69F9" w:rsidRPr="002A34F0">
        <w:t xml:space="preserve"> 1993</w:t>
      </w:r>
      <w:r w:rsidR="008458C5" w:rsidRPr="002A34F0">
        <w:t xml:space="preserve">; </w:t>
      </w:r>
      <w:r w:rsidR="007B69F9" w:rsidRPr="002A34F0">
        <w:t xml:space="preserve">Smets </w:t>
      </w:r>
      <w:r w:rsidR="00DB582C" w:rsidRPr="002A34F0">
        <w:t>&amp;</w:t>
      </w:r>
      <w:r w:rsidR="00D02FDC" w:rsidRPr="002A34F0">
        <w:t xml:space="preserve"> </w:t>
      </w:r>
      <w:r w:rsidR="007B69F9" w:rsidRPr="002A34F0">
        <w:t>Salman</w:t>
      </w:r>
      <w:r w:rsidR="008458C5" w:rsidRPr="002A34F0">
        <w:t>,</w:t>
      </w:r>
      <w:r w:rsidR="007B69F9" w:rsidRPr="002A34F0">
        <w:t xml:space="preserve"> 2008; Ludwig et al.</w:t>
      </w:r>
      <w:r w:rsidR="008458C5" w:rsidRPr="002A34F0">
        <w:t>,</w:t>
      </w:r>
      <w:r w:rsidR="007B69F9" w:rsidRPr="002A34F0">
        <w:t xml:space="preserve"> </w:t>
      </w:r>
      <w:r w:rsidR="00745737" w:rsidRPr="002A34F0">
        <w:t>2012</w:t>
      </w:r>
      <w:r w:rsidR="007B69F9" w:rsidRPr="002A34F0">
        <w:t xml:space="preserve">; </w:t>
      </w:r>
      <w:r w:rsidR="009908C5" w:rsidRPr="002A34F0">
        <w:t xml:space="preserve">Rothwell &amp; Massey, 2015; </w:t>
      </w:r>
      <w:r w:rsidR="007B69F9" w:rsidRPr="002A34F0">
        <w:t>Chetty</w:t>
      </w:r>
      <w:r w:rsidR="00DB582C" w:rsidRPr="002A34F0">
        <w:t xml:space="preserve"> et al.,</w:t>
      </w:r>
      <w:r w:rsidR="00D02FDC" w:rsidRPr="002A34F0">
        <w:t xml:space="preserve"> </w:t>
      </w:r>
      <w:r w:rsidR="007B69F9" w:rsidRPr="002A34F0">
        <w:t xml:space="preserve">2016). </w:t>
      </w:r>
      <w:r w:rsidR="00C961BF" w:rsidRPr="002A34F0">
        <w:t>N</w:t>
      </w:r>
      <w:r w:rsidR="004E0D02" w:rsidRPr="002A34F0">
        <w:t>eighbourhoods with larger middle- or upper-class populations are associated with greater access to material and social resources that support local institutions (Wilson</w:t>
      </w:r>
      <w:r w:rsidR="008458C5" w:rsidRPr="002A34F0">
        <w:t>,</w:t>
      </w:r>
      <w:r w:rsidR="004E0D02" w:rsidRPr="002A34F0">
        <w:t xml:space="preserve"> 1987</w:t>
      </w:r>
      <w:r w:rsidR="008458C5" w:rsidRPr="002A34F0">
        <w:t xml:space="preserve">; </w:t>
      </w:r>
      <w:r w:rsidR="004E0D02" w:rsidRPr="002A34F0">
        <w:t xml:space="preserve">Browning </w:t>
      </w:r>
      <w:r w:rsidR="00DB582C" w:rsidRPr="002A34F0">
        <w:t xml:space="preserve">&amp; </w:t>
      </w:r>
      <w:r w:rsidR="004E0D02" w:rsidRPr="002A34F0">
        <w:t>Cagney</w:t>
      </w:r>
      <w:r w:rsidR="008458C5" w:rsidRPr="002A34F0">
        <w:t>,</w:t>
      </w:r>
      <w:r w:rsidR="004E0D02" w:rsidRPr="002A34F0">
        <w:t xml:space="preserve"> 2003), implying poorer households located in affluent communities may be better off than a poor household in a poor community, and affluent households may be worse off when they are in a poor neighbourhood</w:t>
      </w:r>
      <w:r w:rsidR="00176C0F" w:rsidRPr="002A34F0">
        <w:t>, though these are not directly assessed</w:t>
      </w:r>
      <w:r w:rsidR="004E0D02" w:rsidRPr="002A34F0">
        <w:t xml:space="preserve">. </w:t>
      </w:r>
      <w:r w:rsidR="00553685" w:rsidRPr="002A34F0">
        <w:t xml:space="preserve">Massey (2001, 46) </w:t>
      </w:r>
      <w:r w:rsidR="00ED48B5" w:rsidRPr="002A34F0">
        <w:t xml:space="preserve">succinctly </w:t>
      </w:r>
      <w:r w:rsidR="00553685" w:rsidRPr="002A34F0">
        <w:t>suggest</w:t>
      </w:r>
      <w:r w:rsidR="00ED48B5" w:rsidRPr="002A34F0">
        <w:t>ed that</w:t>
      </w:r>
      <w:r w:rsidR="00553685" w:rsidRPr="002A34F0">
        <w:t xml:space="preserve"> “living in a neighbourhood of concentrated poverty accentuates and exacerbates whatever disadvantages come from living in a poor family, and that living in a neighbourhood of concentrated affluence reinforces and strengthens the advantages of coming from an economically privileged family</w:t>
      </w:r>
      <w:r w:rsidR="00B21500" w:rsidRPr="002A34F0">
        <w:t>.</w:t>
      </w:r>
      <w:r w:rsidR="00553685" w:rsidRPr="002A34F0">
        <w:t xml:space="preserve">” </w:t>
      </w:r>
    </w:p>
    <w:p w14:paraId="272C916B" w14:textId="2EB72757" w:rsidR="00FB10C1" w:rsidRPr="002A34F0" w:rsidRDefault="000E16E0" w:rsidP="00F32BD8">
      <w:pPr>
        <w:shd w:val="clear" w:color="auto" w:fill="FFFFFF"/>
        <w:spacing w:before="240" w:after="240" w:line="480" w:lineRule="auto"/>
        <w:ind w:firstLine="720"/>
      </w:pPr>
      <w:r w:rsidRPr="002A34F0">
        <w:t xml:space="preserve">Moreover, </w:t>
      </w:r>
      <w:r w:rsidR="00553685" w:rsidRPr="002A34F0">
        <w:t>the literature on spatial inequalities and segregation shed</w:t>
      </w:r>
      <w:r w:rsidR="00C97176" w:rsidRPr="002A34F0">
        <w:t>s little</w:t>
      </w:r>
      <w:r w:rsidR="00553685" w:rsidRPr="002A34F0">
        <w:t xml:space="preserve"> light on how and when the neighbourhood context matters</w:t>
      </w:r>
      <w:r w:rsidR="00CC1B78" w:rsidRPr="002A34F0">
        <w:t xml:space="preserve"> relative to household</w:t>
      </w:r>
      <w:r w:rsidR="00773FC8" w:rsidRPr="002A34F0">
        <w:t xml:space="preserve"> factors like income</w:t>
      </w:r>
      <w:r w:rsidR="00553685" w:rsidRPr="002A34F0">
        <w:t xml:space="preserve"> (Sharkey </w:t>
      </w:r>
      <w:r w:rsidR="00DB582C" w:rsidRPr="002A34F0">
        <w:t>&amp;</w:t>
      </w:r>
      <w:r w:rsidR="00D02FDC" w:rsidRPr="002A34F0">
        <w:t xml:space="preserve"> </w:t>
      </w:r>
      <w:r w:rsidR="00553685" w:rsidRPr="002A34F0">
        <w:t>Faber</w:t>
      </w:r>
      <w:r w:rsidR="008458C5" w:rsidRPr="002A34F0">
        <w:t>,</w:t>
      </w:r>
      <w:r w:rsidR="00553685" w:rsidRPr="002A34F0">
        <w:t xml:space="preserve"> 2016).</w:t>
      </w:r>
      <w:r w:rsidR="00236CD1" w:rsidRPr="002A34F0">
        <w:t xml:space="preserve"> </w:t>
      </w:r>
      <w:r w:rsidR="00F32BD8" w:rsidRPr="002A34F0">
        <w:t xml:space="preserve">Segregation alone has received a great deal of </w:t>
      </w:r>
      <w:r w:rsidR="00F32BD8" w:rsidRPr="002A34F0">
        <w:lastRenderedPageBreak/>
        <w:t>attention in</w:t>
      </w:r>
      <w:r w:rsidR="005D407C" w:rsidRPr="002A34F0">
        <w:t xml:space="preserve"> </w:t>
      </w:r>
      <w:r w:rsidR="00F32BD8" w:rsidRPr="002A34F0">
        <w:t>h</w:t>
      </w:r>
      <w:r w:rsidR="00DE4893" w:rsidRPr="002A34F0">
        <w:t>igh</w:t>
      </w:r>
      <w:r w:rsidR="00CE23D6" w:rsidRPr="002A34F0">
        <w:t>er</w:t>
      </w:r>
      <w:r w:rsidR="00DE4893" w:rsidRPr="002A34F0">
        <w:t>-</w:t>
      </w:r>
      <w:r w:rsidR="00980EF8" w:rsidRPr="002A34F0">
        <w:t xml:space="preserve"> </w:t>
      </w:r>
      <w:r w:rsidR="00F32BD8" w:rsidRPr="002A34F0">
        <w:t>and lower-income c</w:t>
      </w:r>
      <w:r w:rsidR="00980EF8" w:rsidRPr="002A34F0">
        <w:t>ountr</w:t>
      </w:r>
      <w:r w:rsidR="00796671" w:rsidRPr="002A34F0">
        <w:t>y</w:t>
      </w:r>
      <w:r w:rsidR="00980EF8" w:rsidRPr="002A34F0">
        <w:t xml:space="preserve"> (HIC</w:t>
      </w:r>
      <w:r w:rsidR="00F32BD8" w:rsidRPr="002A34F0">
        <w:t xml:space="preserve"> and LMIC, respectively</w:t>
      </w:r>
      <w:r w:rsidR="00980EF8" w:rsidRPr="002A34F0">
        <w:t>)</w:t>
      </w:r>
      <w:r w:rsidR="00F32BD8" w:rsidRPr="002A34F0">
        <w:t xml:space="preserve"> cities </w:t>
      </w:r>
      <w:r w:rsidR="005D407C" w:rsidRPr="002A34F0">
        <w:t>(van Ham et al., 2021)</w:t>
      </w:r>
      <w:r w:rsidR="00F32BD8" w:rsidRPr="002A34F0">
        <w:t xml:space="preserve">, but the literature on segregation </w:t>
      </w:r>
      <w:r w:rsidR="00D12022" w:rsidRPr="002A34F0">
        <w:t>is generally silent on</w:t>
      </w:r>
      <w:r w:rsidR="00F32BD8" w:rsidRPr="002A34F0">
        <w:t xml:space="preserve"> interactions with household factors. </w:t>
      </w:r>
      <w:r w:rsidR="00D12022" w:rsidRPr="002A34F0">
        <w:t>Although i</w:t>
      </w:r>
      <w:r w:rsidR="00F32BD8" w:rsidRPr="002A34F0">
        <w:t>ndividual, h</w:t>
      </w:r>
      <w:r w:rsidR="005D407C" w:rsidRPr="002A34F0">
        <w:t>ousehold, and neighbo</w:t>
      </w:r>
      <w:r w:rsidR="003A5320" w:rsidRPr="002A34F0">
        <w:t>u</w:t>
      </w:r>
      <w:r w:rsidR="005D407C" w:rsidRPr="002A34F0">
        <w:t>rhood effects</w:t>
      </w:r>
      <w:r w:rsidR="004C61CB" w:rsidRPr="002A34F0">
        <w:t xml:space="preserve"> </w:t>
      </w:r>
      <w:r w:rsidR="00F32BD8" w:rsidRPr="002A34F0">
        <w:t xml:space="preserve">have been </w:t>
      </w:r>
      <w:r w:rsidR="00563AB0" w:rsidRPr="002A34F0">
        <w:t>well-</w:t>
      </w:r>
      <w:r w:rsidR="00F32BD8" w:rsidRPr="002A34F0">
        <w:t xml:space="preserve">examined in </w:t>
      </w:r>
      <w:r w:rsidR="004C61CB" w:rsidRPr="002A34F0">
        <w:t xml:space="preserve">hierarchical </w:t>
      </w:r>
      <w:r w:rsidR="00F32BD8" w:rsidRPr="002A34F0">
        <w:t xml:space="preserve">frameworks, </w:t>
      </w:r>
      <w:r w:rsidR="00563AB0" w:rsidRPr="002A34F0">
        <w:t xml:space="preserve">these typically do </w:t>
      </w:r>
      <w:r w:rsidR="004C61CB" w:rsidRPr="002A34F0">
        <w:t xml:space="preserve">not </w:t>
      </w:r>
      <w:r w:rsidR="00563AB0" w:rsidRPr="002A34F0">
        <w:t xml:space="preserve">focus on </w:t>
      </w:r>
      <w:r w:rsidR="00236CD1" w:rsidRPr="002A34F0">
        <w:t xml:space="preserve">interaction (Diez Roux, 2001; Sharkey &amp; Faber, 2016; Chetty et al., 2022). </w:t>
      </w:r>
      <w:r w:rsidR="00563AB0" w:rsidRPr="002A34F0">
        <w:t>Of the</w:t>
      </w:r>
      <w:r w:rsidR="00B64308" w:rsidRPr="002A34F0">
        <w:t xml:space="preserve"> few studies we find that do, </w:t>
      </w:r>
      <w:r w:rsidR="009A0521" w:rsidRPr="002A34F0">
        <w:t xml:space="preserve">they </w:t>
      </w:r>
      <w:r w:rsidR="00236CD1" w:rsidRPr="002A34F0">
        <w:t>focus</w:t>
      </w:r>
      <w:r w:rsidR="00B64308" w:rsidRPr="002A34F0">
        <w:t xml:space="preserve"> </w:t>
      </w:r>
      <w:r w:rsidR="00236CD1" w:rsidRPr="002A34F0">
        <w:t xml:space="preserve">on </w:t>
      </w:r>
      <w:r w:rsidR="00980EF8" w:rsidRPr="002A34F0">
        <w:t>HIC</w:t>
      </w:r>
      <w:r w:rsidR="00B64308" w:rsidRPr="002A34F0">
        <w:t>s and</w:t>
      </w:r>
      <w:r w:rsidR="00236CD1" w:rsidRPr="002A34F0">
        <w:t xml:space="preserve"> </w:t>
      </w:r>
      <w:r w:rsidR="00B64308" w:rsidRPr="002A34F0">
        <w:t xml:space="preserve">examine health outcomes </w:t>
      </w:r>
      <w:r w:rsidR="004C61CB" w:rsidRPr="002A34F0">
        <w:t>(</w:t>
      </w:r>
      <w:r w:rsidR="00563AB0" w:rsidRPr="002A34F0">
        <w:t xml:space="preserve">e.g., </w:t>
      </w:r>
      <w:r w:rsidR="004C61CB" w:rsidRPr="002A34F0">
        <w:t>Rachele et al., 2019; Kim &amp; Cubbin, 2020). A</w:t>
      </w:r>
      <w:r w:rsidR="00236C1B" w:rsidRPr="002A34F0">
        <w:t>nother</w:t>
      </w:r>
      <w:r w:rsidR="004C61CB" w:rsidRPr="002A34F0">
        <w:t xml:space="preserve"> study in Ghana used a variance components model to explore the interaction between neighbo</w:t>
      </w:r>
      <w:r w:rsidR="003A5320" w:rsidRPr="002A34F0">
        <w:t>u</w:t>
      </w:r>
      <w:r w:rsidR="004C61CB" w:rsidRPr="002A34F0">
        <w:t xml:space="preserve">rhood context and </w:t>
      </w:r>
      <w:r w:rsidR="00B64308" w:rsidRPr="002A34F0">
        <w:t xml:space="preserve">household </w:t>
      </w:r>
      <w:r w:rsidR="004C61CB" w:rsidRPr="002A34F0">
        <w:t>education</w:t>
      </w:r>
      <w:r w:rsidR="00B64308" w:rsidRPr="002A34F0">
        <w:t xml:space="preserve"> in</w:t>
      </w:r>
      <w:r w:rsidR="004C61CB" w:rsidRPr="002A34F0">
        <w:t xml:space="preserve"> determining </w:t>
      </w:r>
      <w:r w:rsidR="00B64308" w:rsidRPr="002A34F0">
        <w:t>aspects of health knowledge</w:t>
      </w:r>
      <w:r w:rsidR="004C61CB" w:rsidRPr="002A34F0">
        <w:t xml:space="preserve"> (Andrzejewski, et al., 2009). </w:t>
      </w:r>
      <w:r w:rsidR="006662E5" w:rsidRPr="002A34F0">
        <w:t>Still, u</w:t>
      </w:r>
      <w:r w:rsidR="00236CD1" w:rsidRPr="002A34F0">
        <w:t>nderstanding t</w:t>
      </w:r>
      <w:r w:rsidR="00335FD9" w:rsidRPr="002A34F0">
        <w:t xml:space="preserve">he magnitude and extent to which household versus neighbourhood pathways </w:t>
      </w:r>
      <w:r w:rsidR="001A10D8" w:rsidRPr="002A34F0">
        <w:t xml:space="preserve">interact and </w:t>
      </w:r>
      <w:r w:rsidR="00335FD9" w:rsidRPr="002A34F0">
        <w:t xml:space="preserve">affect important development outcomes could have </w:t>
      </w:r>
      <w:r w:rsidR="001A10D8" w:rsidRPr="002A34F0">
        <w:t xml:space="preserve">important </w:t>
      </w:r>
      <w:r w:rsidR="00335FD9" w:rsidRPr="002A34F0">
        <w:t>implications for designing place-based or household targeted policies</w:t>
      </w:r>
      <w:r w:rsidR="00271C6D" w:rsidRPr="002A34F0">
        <w:t xml:space="preserve"> </w:t>
      </w:r>
      <w:r w:rsidR="00553685" w:rsidRPr="002A34F0">
        <w:t>(</w:t>
      </w:r>
      <w:r w:rsidR="00976710" w:rsidRPr="002A34F0">
        <w:t xml:space="preserve">Partridge &amp; Rickman, 2008; </w:t>
      </w:r>
      <w:r w:rsidR="00553685" w:rsidRPr="002A34F0">
        <w:t>Ludwig et al.</w:t>
      </w:r>
      <w:r w:rsidR="008458C5" w:rsidRPr="002A34F0">
        <w:t>,</w:t>
      </w:r>
      <w:r w:rsidR="00553685" w:rsidRPr="002A34F0">
        <w:t xml:space="preserve"> </w:t>
      </w:r>
      <w:r w:rsidR="00745737" w:rsidRPr="002A34F0">
        <w:t>2012</w:t>
      </w:r>
      <w:r w:rsidR="00553685" w:rsidRPr="002A34F0">
        <w:t>)</w:t>
      </w:r>
      <w:r w:rsidR="00E5133F" w:rsidRPr="002A34F0">
        <w:t>.</w:t>
      </w:r>
      <w:r w:rsidR="00E155E1" w:rsidRPr="002A34F0">
        <w:t xml:space="preserve"> </w:t>
      </w:r>
    </w:p>
    <w:p w14:paraId="0C535CC8" w14:textId="37146822" w:rsidR="00FF3CAF" w:rsidRPr="002A34F0" w:rsidRDefault="00FB10C1" w:rsidP="00467F27">
      <w:pPr>
        <w:shd w:val="clear" w:color="auto" w:fill="FFFFFF"/>
        <w:spacing w:before="240" w:after="240" w:line="480" w:lineRule="auto"/>
        <w:ind w:firstLine="720"/>
      </w:pPr>
      <w:r w:rsidRPr="002A34F0">
        <w:t>In this paper we</w:t>
      </w:r>
      <w:r w:rsidR="00FF3CAF" w:rsidRPr="002A34F0">
        <w:t xml:space="preserve"> </w:t>
      </w:r>
      <w:r w:rsidR="00E73472" w:rsidRPr="002A34F0">
        <w:t xml:space="preserve">ask how much does neighbourhood versus household </w:t>
      </w:r>
      <w:r w:rsidR="00632851" w:rsidRPr="002A34F0">
        <w:t>socio-economic status (</w:t>
      </w:r>
      <w:r w:rsidR="00E73472" w:rsidRPr="002A34F0">
        <w:t>SES</w:t>
      </w:r>
      <w:r w:rsidR="00632851" w:rsidRPr="002A34F0">
        <w:t>)</w:t>
      </w:r>
      <w:r w:rsidR="00E73472" w:rsidRPr="002A34F0">
        <w:t xml:space="preserve"> affect household outcomes?</w:t>
      </w:r>
      <w:r w:rsidR="002B14E6" w:rsidRPr="002A34F0">
        <w:t xml:space="preserve"> We </w:t>
      </w:r>
      <w:r w:rsidR="00FF3CAF" w:rsidRPr="002A34F0">
        <w:t xml:space="preserve">disentangle </w:t>
      </w:r>
      <w:r w:rsidR="00516BBF" w:rsidRPr="002A34F0">
        <w:t>these</w:t>
      </w:r>
      <w:r w:rsidR="003D17EA" w:rsidRPr="002A34F0">
        <w:t xml:space="preserve"> effects</w:t>
      </w:r>
      <w:r w:rsidR="0049558E" w:rsidRPr="002A34F0">
        <w:t xml:space="preserve"> through use of </w:t>
      </w:r>
      <w:r w:rsidR="003B4ED0" w:rsidRPr="002A34F0">
        <w:t xml:space="preserve">a dataset </w:t>
      </w:r>
      <w:r w:rsidR="00FF3CAF" w:rsidRPr="002A34F0">
        <w:t xml:space="preserve">derived from the full </w:t>
      </w:r>
      <w:r w:rsidR="003B4ED0" w:rsidRPr="002A34F0">
        <w:t xml:space="preserve">100% </w:t>
      </w:r>
      <w:r w:rsidR="00FF3CAF" w:rsidRPr="002A34F0">
        <w:t xml:space="preserve">Ghanaian census. In collaboration with the Ghana Statistical Service, our unique dataset </w:t>
      </w:r>
      <w:r w:rsidR="00CD5683" w:rsidRPr="002A34F0">
        <w:t xml:space="preserve">allows us to </w:t>
      </w:r>
      <w:r w:rsidR="00FF3CAF" w:rsidRPr="002A34F0">
        <w:t>estimate the full distribution of SES</w:t>
      </w:r>
      <w:r w:rsidR="00CD5683" w:rsidRPr="002A34F0">
        <w:t xml:space="preserve"> and at </w:t>
      </w:r>
      <w:r w:rsidR="00FF3CAF" w:rsidRPr="002A34F0">
        <w:t>the Enumeration Area (EA) (</w:t>
      </w:r>
      <w:r w:rsidR="006D5147" w:rsidRPr="002A34F0">
        <w:t>on average</w:t>
      </w:r>
      <w:r w:rsidR="002B14E6" w:rsidRPr="002A34F0">
        <w:t xml:space="preserve"> about</w:t>
      </w:r>
      <w:r w:rsidR="00FF3CAF" w:rsidRPr="002A34F0">
        <w:t xml:space="preserve"> 10</w:t>
      </w:r>
      <w:r w:rsidR="00221442" w:rsidRPr="002A34F0">
        <w:t>,</w:t>
      </w:r>
      <w:r w:rsidR="00FF3CAF" w:rsidRPr="002A34F0">
        <w:t>000m</w:t>
      </w:r>
      <w:r w:rsidR="00221442" w:rsidRPr="002A34F0">
        <w:rPr>
          <w:vertAlign w:val="superscript"/>
        </w:rPr>
        <w:t>2</w:t>
      </w:r>
      <w:r w:rsidR="002D578D" w:rsidRPr="002A34F0">
        <w:t xml:space="preserve">, </w:t>
      </w:r>
      <w:r w:rsidR="00FF3CAF" w:rsidRPr="002A34F0">
        <w:t>similar to a US census block)</w:t>
      </w:r>
      <w:r w:rsidR="002A49B4" w:rsidRPr="002A34F0">
        <w:t xml:space="preserve"> </w:t>
      </w:r>
      <w:r w:rsidR="005220EB" w:rsidRPr="002A34F0">
        <w:t>for</w:t>
      </w:r>
      <w:r w:rsidR="002A49B4" w:rsidRPr="002A34F0">
        <w:t xml:space="preserve"> Accra</w:t>
      </w:r>
      <w:r w:rsidR="005220EB" w:rsidRPr="002A34F0">
        <w:t>, G</w:t>
      </w:r>
      <w:r w:rsidR="002A49B4" w:rsidRPr="002A34F0">
        <w:t>hana</w:t>
      </w:r>
      <w:r w:rsidR="00E73472" w:rsidRPr="002A34F0">
        <w:t>.</w:t>
      </w:r>
      <w:r w:rsidR="00FF3CAF" w:rsidRPr="002A34F0">
        <w:t xml:space="preserve"> </w:t>
      </w:r>
      <w:r w:rsidR="005F691C" w:rsidRPr="002A34F0">
        <w:t>We</w:t>
      </w:r>
      <w:r w:rsidR="00E92A15" w:rsidRPr="002A34F0">
        <w:t xml:space="preserve"> investigate </w:t>
      </w:r>
      <w:r w:rsidR="006476A0" w:rsidRPr="002A34F0">
        <w:t xml:space="preserve">outcomes related to living standards and access to information among </w:t>
      </w:r>
      <w:r w:rsidR="001648E1" w:rsidRPr="002A34F0">
        <w:t>“</w:t>
      </w:r>
      <w:r w:rsidR="00E92A15" w:rsidRPr="002A34F0">
        <w:t>stranger</w:t>
      </w:r>
      <w:r w:rsidR="001648E1" w:rsidRPr="002A34F0">
        <w:t>”</w:t>
      </w:r>
      <w:r w:rsidR="002F79F8" w:rsidRPr="002A34F0">
        <w:t xml:space="preserve"> </w:t>
      </w:r>
      <w:r w:rsidR="00E92A15" w:rsidRPr="002A34F0">
        <w:t>households within neighbourhoods</w:t>
      </w:r>
      <w:r w:rsidR="003D69CC" w:rsidRPr="002A34F0">
        <w:t>: d</w:t>
      </w:r>
      <w:r w:rsidR="00E92A15" w:rsidRPr="002A34F0">
        <w:t xml:space="preserve">o poor households fare better in </w:t>
      </w:r>
      <w:r w:rsidR="00280ED7" w:rsidRPr="002A34F0">
        <w:t xml:space="preserve">affluent </w:t>
      </w:r>
      <w:r w:rsidR="00E92A15" w:rsidRPr="002A34F0">
        <w:t>neighbourhoods</w:t>
      </w:r>
      <w:r w:rsidR="003D69CC" w:rsidRPr="002A34F0">
        <w:t>, and a</w:t>
      </w:r>
      <w:r w:rsidR="00E92A15" w:rsidRPr="002A34F0">
        <w:t xml:space="preserve">re </w:t>
      </w:r>
      <w:r w:rsidR="00280ED7" w:rsidRPr="002A34F0">
        <w:t xml:space="preserve">affluent </w:t>
      </w:r>
      <w:r w:rsidR="00E92A15" w:rsidRPr="002A34F0">
        <w:t xml:space="preserve">households negatively impacted by being in poor neighbourhoods? </w:t>
      </w:r>
      <w:r w:rsidR="00FF3CAF" w:rsidRPr="002A34F0">
        <w:t xml:space="preserve">To </w:t>
      </w:r>
      <w:r w:rsidR="00E92A15" w:rsidRPr="002A34F0">
        <w:t>descriptively assess</w:t>
      </w:r>
      <w:r w:rsidR="00FF3CAF" w:rsidRPr="002A34F0">
        <w:t xml:space="preserve"> these differences, we use a simple variance-components</w:t>
      </w:r>
      <w:r w:rsidR="00E2354C" w:rsidRPr="002A34F0">
        <w:t xml:space="preserve"> regression</w:t>
      </w:r>
      <w:r w:rsidR="00FF3CAF" w:rsidRPr="002A34F0">
        <w:t xml:space="preserve"> framework </w:t>
      </w:r>
      <w:r w:rsidR="00652BA0" w:rsidRPr="002A34F0">
        <w:t xml:space="preserve">to separate the independent </w:t>
      </w:r>
      <w:r w:rsidR="00E2354C" w:rsidRPr="002A34F0">
        <w:t>associat</w:t>
      </w:r>
      <w:r w:rsidR="00A151C0" w:rsidRPr="002A34F0">
        <w:t>ions between</w:t>
      </w:r>
      <w:r w:rsidR="00E2354C" w:rsidRPr="002A34F0">
        <w:t xml:space="preserve"> households </w:t>
      </w:r>
      <w:r w:rsidR="00A151C0" w:rsidRPr="002A34F0">
        <w:t>versus</w:t>
      </w:r>
      <w:r w:rsidR="00E2354C" w:rsidRPr="002A34F0">
        <w:t xml:space="preserve"> neighbourhood SES</w:t>
      </w:r>
      <w:r w:rsidR="00A151C0" w:rsidRPr="002A34F0">
        <w:t xml:space="preserve"> on household-level living standard outcomes</w:t>
      </w:r>
      <w:r w:rsidR="005E4785" w:rsidRPr="002A34F0">
        <w:t>.</w:t>
      </w:r>
      <w:r w:rsidR="00FF3CAF" w:rsidRPr="002A34F0">
        <w:t xml:space="preserve"> </w:t>
      </w:r>
      <w:r w:rsidR="00096931" w:rsidRPr="002A34F0">
        <w:t xml:space="preserve">We find a number of </w:t>
      </w:r>
      <w:r w:rsidR="00096931" w:rsidRPr="002A34F0">
        <w:lastRenderedPageBreak/>
        <w:t xml:space="preserve">household conditions are </w:t>
      </w:r>
      <w:r w:rsidR="00712B43" w:rsidRPr="002A34F0">
        <w:t xml:space="preserve">primarily associated with household SES, while </w:t>
      </w:r>
      <w:r w:rsidR="00D42C7B" w:rsidRPr="002A34F0">
        <w:t>few</w:t>
      </w:r>
      <w:r w:rsidR="0006759E" w:rsidRPr="002A34F0">
        <w:t>er</w:t>
      </w:r>
      <w:r w:rsidR="00712B43" w:rsidRPr="002A34F0">
        <w:t xml:space="preserve"> are associated more closely with location SES. However, </w:t>
      </w:r>
      <w:r w:rsidR="00501122" w:rsidRPr="002A34F0">
        <w:t>a key contribution from this work is that e</w:t>
      </w:r>
      <w:r w:rsidR="00501122" w:rsidRPr="002A34F0">
        <w:rPr>
          <w:lang w:val="en-US"/>
        </w:rPr>
        <w:t xml:space="preserve">ven </w:t>
      </w:r>
      <w:r w:rsidR="00A927E0" w:rsidRPr="002A34F0">
        <w:rPr>
          <w:lang w:val="en-US"/>
        </w:rPr>
        <w:t>for outcomes</w:t>
      </w:r>
      <w:r w:rsidR="00501122" w:rsidRPr="002A34F0">
        <w:rPr>
          <w:lang w:val="en-US"/>
        </w:rPr>
        <w:t xml:space="preserve"> where SES matters more, location interact</w:t>
      </w:r>
      <w:r w:rsidR="00A927E0" w:rsidRPr="002A34F0">
        <w:rPr>
          <w:lang w:val="en-US"/>
        </w:rPr>
        <w:t>i</w:t>
      </w:r>
      <w:r w:rsidR="00527B03" w:rsidRPr="002A34F0">
        <w:rPr>
          <w:lang w:val="en-US"/>
        </w:rPr>
        <w:t>ons</w:t>
      </w:r>
      <w:r w:rsidR="00501122" w:rsidRPr="002A34F0">
        <w:rPr>
          <w:lang w:val="en-US"/>
        </w:rPr>
        <w:t xml:space="preserve"> with household</w:t>
      </w:r>
      <w:r w:rsidR="00527B03" w:rsidRPr="002A34F0">
        <w:rPr>
          <w:lang w:val="en-US"/>
        </w:rPr>
        <w:t xml:space="preserve"> SES</w:t>
      </w:r>
      <w:r w:rsidR="00501122" w:rsidRPr="002A34F0">
        <w:rPr>
          <w:lang w:val="en-US"/>
        </w:rPr>
        <w:t xml:space="preserve"> can</w:t>
      </w:r>
      <w:r w:rsidR="00A927E0" w:rsidRPr="002A34F0">
        <w:rPr>
          <w:lang w:val="en-US"/>
        </w:rPr>
        <w:t xml:space="preserve"> still</w:t>
      </w:r>
      <w:r w:rsidR="00501122" w:rsidRPr="002A34F0">
        <w:rPr>
          <w:lang w:val="en-US"/>
        </w:rPr>
        <w:t xml:space="preserve"> have major </w:t>
      </w:r>
      <w:r w:rsidR="00A927E0" w:rsidRPr="002A34F0">
        <w:rPr>
          <w:lang w:val="en-US"/>
        </w:rPr>
        <w:t>implications for</w:t>
      </w:r>
      <w:r w:rsidR="00501122" w:rsidRPr="002A34F0">
        <w:rPr>
          <w:lang w:val="en-US"/>
        </w:rPr>
        <w:t xml:space="preserve"> living conditions</w:t>
      </w:r>
      <w:bookmarkStart w:id="4" w:name="_Hlk140827215"/>
      <w:r w:rsidR="00A927E0" w:rsidRPr="002A34F0">
        <w:rPr>
          <w:lang w:val="en-US"/>
        </w:rPr>
        <w:t>.</w:t>
      </w:r>
      <w:r w:rsidR="00D42C7B" w:rsidRPr="002A34F0">
        <w:rPr>
          <w:lang w:val="en-US"/>
        </w:rPr>
        <w:t xml:space="preserve"> This provides evidence about the heterogeneity of neighbourhoods in Accra, </w:t>
      </w:r>
      <w:bookmarkEnd w:id="4"/>
      <w:r w:rsidR="003747C1" w:rsidRPr="002A34F0">
        <w:rPr>
          <w:lang w:val="en-US"/>
        </w:rPr>
        <w:t>and the implications of the poor living in better neighbourhoods. Given the government’s push for mixed development to encourage the creation of economically diverse communities, we seek to understand whether this type of planning benefits all households or whether it will need to be paired with more targeted interventions (Joseph et al., 2022).</w:t>
      </w:r>
    </w:p>
    <w:p w14:paraId="28E0FDB8" w14:textId="77777777" w:rsidR="00FF3CAF" w:rsidRPr="002A34F0" w:rsidRDefault="00FF3CAF" w:rsidP="00467F27">
      <w:pPr>
        <w:shd w:val="clear" w:color="auto" w:fill="FFFFFF"/>
        <w:spacing w:before="240" w:after="240" w:line="480" w:lineRule="auto"/>
      </w:pPr>
    </w:p>
    <w:p w14:paraId="0B0805CE" w14:textId="6723C799" w:rsidR="001513DD" w:rsidRPr="002A34F0" w:rsidRDefault="001513DD" w:rsidP="00467F27">
      <w:pPr>
        <w:pStyle w:val="Heading1"/>
        <w:spacing w:line="480" w:lineRule="auto"/>
      </w:pPr>
      <w:r w:rsidRPr="002A34F0">
        <w:t>Case Study: Accra, Ghana</w:t>
      </w:r>
    </w:p>
    <w:p w14:paraId="5DE8A8E4" w14:textId="5B1AE759" w:rsidR="00046EFA" w:rsidRPr="002A34F0" w:rsidRDefault="00046EFA" w:rsidP="00467F27">
      <w:pPr>
        <w:shd w:val="clear" w:color="auto" w:fill="FFFFFF"/>
        <w:spacing w:before="240" w:after="240" w:line="480" w:lineRule="auto"/>
        <w:ind w:firstLine="720"/>
      </w:pPr>
      <w:bookmarkStart w:id="5" w:name="_Hlk92093121"/>
      <w:r w:rsidRPr="002A34F0">
        <w:t xml:space="preserve">Accra, the political and economic capital of Ghana, is one of Africa’s fastest growing cities. Recent economic growth in the Accra Metropolitan Area (hereafter simply referred to as Accra) is driven by growth in the service sector – both in high-income jobs in the finance, insurance, and real estate (FIRE) and information and communication technology (ICT) sectors, and low-income informal employment. Despite growth in high-skill formal occupations, Ghana’s economy remains quite informal – in Greater Accra, informal labour accounts for 73% of all workers employed in services (Aryeetey &amp; Baah-Boateng, 2016). Growth in these sectors contributes to a widening wage structure, increasing metropolitan inequality across the city (Borel-Saladin &amp; Crankshaw, 2009; Aryeetey &amp; Baah-Boateng, 2016). </w:t>
      </w:r>
    </w:p>
    <w:p w14:paraId="4CA87182" w14:textId="42410D8F" w:rsidR="00046EFA" w:rsidRPr="002A34F0" w:rsidRDefault="00046EFA" w:rsidP="003C021F">
      <w:pPr>
        <w:shd w:val="clear" w:color="auto" w:fill="FFFFFF"/>
        <w:spacing w:before="240" w:after="240" w:line="480" w:lineRule="auto"/>
        <w:ind w:firstLine="720"/>
      </w:pPr>
      <w:r w:rsidRPr="002A34F0">
        <w:t xml:space="preserve">Some areas developed under colonial urban planning projects that were originally intended for civil servants and lease to European businesses later became </w:t>
      </w:r>
      <w:r w:rsidRPr="002A34F0">
        <w:lastRenderedPageBreak/>
        <w:t xml:space="preserve">home for Ghanaian civil servants post-independence (Agyei-Mensah &amp; Owusu, 2010). Other areas were more recently developed, with many high-end developments built upon efforts to stimulate domestic growth (Gaisie et al., 2019), though many neighbourhoods remain highly mixed (Asiedu &amp; Arku 2009; Gaisie et al., 2019). </w:t>
      </w:r>
    </w:p>
    <w:p w14:paraId="751753C0" w14:textId="7603CC64" w:rsidR="00046EFA" w:rsidRPr="002A34F0" w:rsidRDefault="00046EFA" w:rsidP="003C021F">
      <w:pPr>
        <w:shd w:val="clear" w:color="auto" w:fill="FFFFFF"/>
        <w:spacing w:before="240" w:after="240" w:line="480" w:lineRule="auto"/>
        <w:ind w:firstLine="720"/>
      </w:pPr>
      <w:r w:rsidRPr="002A34F0">
        <w:t xml:space="preserve">In addition to planning and policy decisions operating at a macro scale, the socio-spatial organization of Accra is also shaped by individuals making choices to select into areas based on access to employment, and social connections. A primary consideration for households is the rising costs of land, construction, and financing. For some, this pushes them from the formal housing market into overcrowded, poorly serviced informal settlements (Boamah, 2010; Gaisie et al., 2019). In 2009, around 58% of the population of Accra resided in overcrowded informal settlements (UN-Habitat, 2009). In these areas housing is often lived in rent-free (usually unowned housing or living with family members), though formal ownership or renting of housing is not uncommon. In poor and informal settlements, households often do not have access to common public services like water and sanitation infrastructure, and generally cannot afford private substitutes (Boamah, 2010; Obeng-Odoom, 2011). Still, informal settlements and poor living conditions are not synonymous. Neighborhood characteristics </w:t>
      </w:r>
      <w:r w:rsidR="0006759E" w:rsidRPr="002A34F0">
        <w:t xml:space="preserve">in part </w:t>
      </w:r>
      <w:r w:rsidRPr="002A34F0">
        <w:t xml:space="preserve">culminate from individual choices around housing materials, lighting, fuel choices, and information technology, though these can also be constrained by </w:t>
      </w:r>
      <w:r w:rsidR="00D42C7B" w:rsidRPr="002A34F0">
        <w:t xml:space="preserve">cost, </w:t>
      </w:r>
      <w:r w:rsidRPr="002A34F0">
        <w:t>availability, access, and supply (Danso-Wiredu, 2018; MacTavish et al., 2023). Additionally, informal jobs often emerge in public spaces and along major transit corridors (Oosterbaan et al., 2012), sometimes bringing informal housing settlements along with them.</w:t>
      </w:r>
    </w:p>
    <w:p w14:paraId="1AF4F08D" w14:textId="6F0521C4" w:rsidR="00046EFA" w:rsidRPr="002A34F0" w:rsidRDefault="00046EFA" w:rsidP="00403726">
      <w:pPr>
        <w:pStyle w:val="Paragraph"/>
        <w:ind w:firstLine="720"/>
      </w:pPr>
      <w:r w:rsidRPr="002A34F0">
        <w:t xml:space="preserve">Thus while areas of concentrated affluence and poverty surely exist in Accra, </w:t>
      </w:r>
      <w:r w:rsidRPr="002A34F0">
        <w:lastRenderedPageBreak/>
        <w:t xml:space="preserve">poor, middle-class, and affluent households often </w:t>
      </w:r>
      <w:r w:rsidR="00D42C7B" w:rsidRPr="002A34F0">
        <w:t>co-locate</w:t>
      </w:r>
      <w:r w:rsidRPr="002A34F0">
        <w:t xml:space="preserve">. Even in exclusive residential areas (i.e., gated communities), less well-off residents can live nearby (Asiedu &amp; Arku, 2009). Despite the government’s encouragement of mixed income development, it is unclear whether living in an affluent neighbourhood will benefit households that are less well off or lead to worse outcomes for outgroup households. By the same token, in poor neighbourhoods, it is uncertain how atypical affluence might buffer a better-off household from local conditions of poverty and deprivation.  </w:t>
      </w:r>
    </w:p>
    <w:p w14:paraId="41BD182E" w14:textId="27CE5788" w:rsidR="00046EFA" w:rsidRPr="002A34F0" w:rsidRDefault="00046EFA" w:rsidP="00046EFA">
      <w:pPr>
        <w:shd w:val="clear" w:color="auto" w:fill="FFFFFF"/>
        <w:spacing w:before="240" w:after="240" w:line="480" w:lineRule="auto"/>
        <w:ind w:firstLine="720"/>
      </w:pPr>
      <w:r w:rsidRPr="002A34F0">
        <w:t>Spatially, the coastal center of Accra (Figure 1) is a European-style central business district (CBD)</w:t>
      </w:r>
      <w:r w:rsidR="000C072E" w:rsidRPr="002A34F0">
        <w:t xml:space="preserve"> (Accra Planning and Development Programme 1990)</w:t>
      </w:r>
      <w:r w:rsidRPr="002A34F0">
        <w:t xml:space="preserve"> that originally served the port. To the north by the Odaw River a market district emerged (Grant &amp; Yankson, 2003), and a more globally-focused CBD emerged along major </w:t>
      </w:r>
      <w:r w:rsidR="00CD37E1" w:rsidRPr="002A34F0">
        <w:t xml:space="preserve">roads </w:t>
      </w:r>
      <w:r w:rsidRPr="002A34F0">
        <w:t>near the newly-developed Airport City and Accra Mall sout</w:t>
      </w:r>
      <w:r w:rsidR="00CD37E1" w:rsidRPr="002A34F0">
        <w:t>h</w:t>
      </w:r>
      <w:r w:rsidRPr="002A34F0">
        <w:t xml:space="preserve"> to Osu (Grant &amp; Nijman, 2002; Gaisie et al., 2019). The government has encouraged mixed-use development in this district, in part due to the rigidities of the old CBD (Oosterbaan et al., 2012). The density of households and populations varies dramatically across the city as well, with population clustered between the Densu Delta and surrounding the Odaw River floodplain, with pockets of communities (e.g., Osu, La, Burma Camp, Legon) scattered in the</w:t>
      </w:r>
      <w:r w:rsidR="004121CD" w:rsidRPr="002A34F0">
        <w:t xml:space="preserve"> lower density</w:t>
      </w:r>
      <w:r w:rsidRPr="002A34F0">
        <w:t>east. Of the population clusters shown (Figure 1), Old Fadama</w:t>
      </w:r>
      <w:r w:rsidR="00F839D4" w:rsidRPr="002A34F0">
        <w:t xml:space="preserve"> (Agbogbloshie)</w:t>
      </w:r>
      <w:r w:rsidRPr="002A34F0">
        <w:t xml:space="preserve">, Nima, James Town, Chorkor, Sabon Zongo, and La are major </w:t>
      </w:r>
      <w:r w:rsidR="001A686D" w:rsidRPr="002A34F0">
        <w:t>informal</w:t>
      </w:r>
      <w:r w:rsidRPr="002A34F0">
        <w:t xml:space="preserve"> settlements. </w:t>
      </w:r>
    </w:p>
    <w:p w14:paraId="5B412F64" w14:textId="014012F5" w:rsidR="003453D4" w:rsidRPr="002A34F0" w:rsidRDefault="003453D4" w:rsidP="007962B3">
      <w:pPr>
        <w:shd w:val="clear" w:color="auto" w:fill="FFFFFF"/>
        <w:spacing w:before="240" w:after="240" w:line="480" w:lineRule="auto"/>
        <w:ind w:firstLine="720"/>
        <w:jc w:val="center"/>
      </w:pPr>
      <w:r w:rsidRPr="002A34F0">
        <w:rPr>
          <w:noProof/>
        </w:rPr>
        <w:lastRenderedPageBreak/>
        <w:drawing>
          <wp:inline distT="0" distB="0" distL="0" distR="0" wp14:anchorId="10DA76D2" wp14:editId="2C93C4FE">
            <wp:extent cx="3431689" cy="3535680"/>
            <wp:effectExtent l="0" t="0" r="0" b="7620"/>
            <wp:docPr id="1729209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2990" cy="3547324"/>
                    </a:xfrm>
                    <a:prstGeom prst="rect">
                      <a:avLst/>
                    </a:prstGeom>
                    <a:noFill/>
                    <a:ln>
                      <a:noFill/>
                    </a:ln>
                  </pic:spPr>
                </pic:pic>
              </a:graphicData>
            </a:graphic>
          </wp:inline>
        </w:drawing>
      </w:r>
    </w:p>
    <w:p w14:paraId="0219C18C" w14:textId="731B081D" w:rsidR="003453D4" w:rsidRPr="002A34F0" w:rsidRDefault="003453D4" w:rsidP="00163061">
      <w:pPr>
        <w:spacing w:line="480" w:lineRule="auto"/>
      </w:pPr>
      <w:r w:rsidRPr="002A34F0">
        <w:t>Figure 1. Housing Density and Accra Key Locations. Adapted from Gaisie et al. (2019) and Accra Planning and Development Programme (1990).</w:t>
      </w:r>
    </w:p>
    <w:p w14:paraId="41A41489" w14:textId="0B68D96D" w:rsidR="00046EFA" w:rsidRPr="002A34F0" w:rsidRDefault="00046EFA" w:rsidP="00046EFA">
      <w:pPr>
        <w:shd w:val="clear" w:color="auto" w:fill="FFFFFF"/>
        <w:spacing w:before="240" w:after="240" w:line="480" w:lineRule="auto"/>
        <w:ind w:firstLine="720"/>
        <w:rPr>
          <w:caps/>
        </w:rPr>
      </w:pPr>
      <w:r w:rsidRPr="002A34F0">
        <w:t xml:space="preserve">Accra is vulnerable to many of the issues that attend unplanned development such as increased urban poverty, rising distributional and spatial inequality, and environmental degradation (Awumbila et al., 2014). Uneven development in Accra has produced a fragmented urban landscape characterized by concentration of the poor in some locations, persistent pockets of affluence, and a patchwork of formal and informal growth along with increasing congestion, worsening environmental conditions, and growing inequalities in access to essential services like transportation, health facilities, educational institutions, and public utilities (Fuseini &amp; Kemp, 2015; Korah et al., 2019). </w:t>
      </w:r>
    </w:p>
    <w:p w14:paraId="35C28BCF" w14:textId="056A1E3C" w:rsidR="00403726" w:rsidRPr="002A34F0" w:rsidRDefault="00403726" w:rsidP="00046EFA">
      <w:pPr>
        <w:shd w:val="clear" w:color="auto" w:fill="FFFFFF"/>
        <w:spacing w:before="240" w:after="240" w:line="480" w:lineRule="auto"/>
        <w:ind w:firstLine="720"/>
      </w:pPr>
    </w:p>
    <w:bookmarkEnd w:id="5"/>
    <w:p w14:paraId="53512E81" w14:textId="43C688E3" w:rsidR="001513DD" w:rsidRPr="002A34F0" w:rsidRDefault="001513DD" w:rsidP="001513DD">
      <w:pPr>
        <w:pStyle w:val="Heading1"/>
      </w:pPr>
      <w:r w:rsidRPr="002A34F0">
        <w:lastRenderedPageBreak/>
        <w:t>Methods</w:t>
      </w:r>
    </w:p>
    <w:p w14:paraId="13D69649" w14:textId="33D6651D" w:rsidR="001513DD" w:rsidRPr="002A34F0" w:rsidRDefault="0011292A" w:rsidP="0052452A">
      <w:pPr>
        <w:pStyle w:val="Newparagraph"/>
        <w:ind w:firstLine="0"/>
      </w:pPr>
      <w:bookmarkStart w:id="6" w:name="_Hlk89954708"/>
      <w:r w:rsidRPr="002A34F0">
        <w:t xml:space="preserve">To understand how household-level resources and </w:t>
      </w:r>
      <w:r w:rsidR="006E7B9E" w:rsidRPr="002A34F0">
        <w:t>neighbourhood</w:t>
      </w:r>
      <w:r w:rsidR="00603613" w:rsidRPr="002A34F0">
        <w:t>s</w:t>
      </w:r>
      <w:r w:rsidRPr="002A34F0">
        <w:t xml:space="preserve"> shape development outcomes in a dense urban environment, we examine differences </w:t>
      </w:r>
      <w:r w:rsidR="00603633" w:rsidRPr="002A34F0">
        <w:t xml:space="preserve">in </w:t>
      </w:r>
      <w:r w:rsidRPr="002A34F0">
        <w:t xml:space="preserve">SES groups </w:t>
      </w:r>
      <w:r w:rsidR="00603633" w:rsidRPr="002A34F0">
        <w:t xml:space="preserve">outcomes when they are in the </w:t>
      </w:r>
      <w:r w:rsidR="00046EFA" w:rsidRPr="002A34F0">
        <w:t>“</w:t>
      </w:r>
      <w:r w:rsidR="00603633" w:rsidRPr="002A34F0">
        <w:t>in-group</w:t>
      </w:r>
      <w:r w:rsidR="00046EFA" w:rsidRPr="002A34F0">
        <w:t>,”</w:t>
      </w:r>
      <w:r w:rsidR="00603633" w:rsidRPr="002A34F0">
        <w:t xml:space="preserve"> or surrounded by like households</w:t>
      </w:r>
      <w:r w:rsidR="00046EFA" w:rsidRPr="002A34F0">
        <w:t>,</w:t>
      </w:r>
      <w:r w:rsidR="00603633" w:rsidRPr="002A34F0">
        <w:t xml:space="preserve"> and when they are in the </w:t>
      </w:r>
      <w:r w:rsidR="00046EFA" w:rsidRPr="002A34F0">
        <w:t>“</w:t>
      </w:r>
      <w:r w:rsidR="00603633" w:rsidRPr="002A34F0">
        <w:t>out-group</w:t>
      </w:r>
      <w:r w:rsidR="00046EFA" w:rsidRPr="002A34F0">
        <w:t>” (i.e., the “stranger” group)</w:t>
      </w:r>
      <w:r w:rsidR="00603633" w:rsidRPr="002A34F0">
        <w:t xml:space="preserve"> when they are surrounded by different SES households.</w:t>
      </w:r>
      <w:bookmarkEnd w:id="6"/>
      <w:r w:rsidRPr="002A34F0">
        <w:t xml:space="preserve"> </w:t>
      </w:r>
      <w:r w:rsidR="00046EFA" w:rsidRPr="002A34F0">
        <w:t>Testing h</w:t>
      </w:r>
      <w:r w:rsidR="00603633" w:rsidRPr="002A34F0">
        <w:t xml:space="preserve">ow these </w:t>
      </w:r>
      <w:r w:rsidR="00046EFA" w:rsidRPr="002A34F0">
        <w:t>“</w:t>
      </w:r>
      <w:r w:rsidR="00603633" w:rsidRPr="002A34F0">
        <w:t>stranger</w:t>
      </w:r>
      <w:r w:rsidR="00046EFA" w:rsidRPr="002A34F0">
        <w:t>”</w:t>
      </w:r>
      <w:r w:rsidR="00603633" w:rsidRPr="002A34F0">
        <w:t xml:space="preserve"> groups fare </w:t>
      </w:r>
      <w:r w:rsidR="00046EFA" w:rsidRPr="002A34F0">
        <w:t>shows how or whether</w:t>
      </w:r>
      <w:r w:rsidR="00603633" w:rsidRPr="002A34F0">
        <w:t xml:space="preserve"> </w:t>
      </w:r>
      <w:r w:rsidR="00153B22" w:rsidRPr="002A34F0">
        <w:t xml:space="preserve">living in a poor area reinforces the disadvantages of the poor, as well as </w:t>
      </w:r>
      <w:r w:rsidR="00046EFA" w:rsidRPr="002A34F0">
        <w:t xml:space="preserve">whether </w:t>
      </w:r>
      <w:r w:rsidR="00153B22" w:rsidRPr="002A34F0">
        <w:t xml:space="preserve">the resources of the </w:t>
      </w:r>
      <w:r w:rsidR="00280ED7" w:rsidRPr="002A34F0">
        <w:t>affluent</w:t>
      </w:r>
      <w:r w:rsidR="00153B22" w:rsidRPr="002A34F0">
        <w:t xml:space="preserve"> can ensure they meet basic standards of living.</w:t>
      </w:r>
      <w:r w:rsidR="00603633" w:rsidRPr="002A34F0">
        <w:t xml:space="preserve"> </w:t>
      </w:r>
      <w:r w:rsidR="009C2BE2" w:rsidRPr="002A34F0">
        <w:t>In this section we</w:t>
      </w:r>
      <w:r w:rsidR="00603613" w:rsidRPr="002A34F0">
        <w:t xml:space="preserve"> first discuss </w:t>
      </w:r>
      <w:r w:rsidR="00F54C4A" w:rsidRPr="002A34F0">
        <w:t xml:space="preserve">how we develop household SES categories and neighbourhood </w:t>
      </w:r>
      <w:r w:rsidR="00713E9B" w:rsidRPr="002A34F0">
        <w:t xml:space="preserve">SES </w:t>
      </w:r>
      <w:r w:rsidR="00F54C4A" w:rsidRPr="002A34F0">
        <w:t>classes</w:t>
      </w:r>
      <w:r w:rsidR="00010C08" w:rsidRPr="002A34F0">
        <w:t xml:space="preserve"> and </w:t>
      </w:r>
      <w:r w:rsidR="00F54C4A" w:rsidRPr="002A34F0">
        <w:t xml:space="preserve">then briefly introduce the outcomes of interest we track in our data. Finally, we discuss the statistical modelling strategy used to separately assess household </w:t>
      </w:r>
      <w:r w:rsidR="0025062A" w:rsidRPr="002A34F0">
        <w:t xml:space="preserve">compared to </w:t>
      </w:r>
      <w:r w:rsidR="00F54C4A" w:rsidRPr="002A34F0">
        <w:t>neighbourhood associations with the outcomes of interest.</w:t>
      </w:r>
    </w:p>
    <w:p w14:paraId="08CEECB6" w14:textId="1BB612FB" w:rsidR="0011292A" w:rsidRPr="002A34F0" w:rsidRDefault="0011292A" w:rsidP="0052452A">
      <w:pPr>
        <w:pStyle w:val="Heading2"/>
        <w:spacing w:line="480" w:lineRule="auto"/>
      </w:pPr>
      <w:r w:rsidRPr="002A34F0">
        <w:t xml:space="preserve">Defining household- and </w:t>
      </w:r>
      <w:r w:rsidR="00C662FF" w:rsidRPr="002A34F0">
        <w:t>neighbourhood</w:t>
      </w:r>
      <w:r w:rsidRPr="002A34F0">
        <w:t xml:space="preserve">-based </w:t>
      </w:r>
      <w:r w:rsidR="00280ED7" w:rsidRPr="002A34F0">
        <w:t xml:space="preserve">consumption </w:t>
      </w:r>
      <w:r w:rsidRPr="002A34F0">
        <w:t>categories</w:t>
      </w:r>
    </w:p>
    <w:p w14:paraId="194BA808" w14:textId="0113A750" w:rsidR="0011292A" w:rsidRPr="002A34F0" w:rsidRDefault="00EF29D8" w:rsidP="0052452A">
      <w:pPr>
        <w:pStyle w:val="Heading3"/>
        <w:spacing w:line="480" w:lineRule="auto"/>
      </w:pPr>
      <w:r w:rsidRPr="002A34F0">
        <w:t xml:space="preserve">Defining household-based </w:t>
      </w:r>
      <w:r w:rsidR="00280ED7" w:rsidRPr="002A34F0">
        <w:t xml:space="preserve">consumption </w:t>
      </w:r>
      <w:r w:rsidRPr="002A34F0">
        <w:t>categories</w:t>
      </w:r>
    </w:p>
    <w:p w14:paraId="0EF80B67" w14:textId="468AC386" w:rsidR="000322FB" w:rsidRPr="002A34F0" w:rsidRDefault="00756321" w:rsidP="00A01AA0">
      <w:pPr>
        <w:spacing w:before="240" w:after="240" w:line="480" w:lineRule="auto"/>
        <w:ind w:firstLine="720"/>
      </w:pPr>
      <w:r w:rsidRPr="002A34F0">
        <w:rPr>
          <w:color w:val="000000"/>
        </w:rPr>
        <w:t>Since the census does not include income information, we use small area estimation methods</w:t>
      </w:r>
      <w:r w:rsidR="000322FB" w:rsidRPr="002A34F0">
        <w:rPr>
          <w:color w:val="000000"/>
        </w:rPr>
        <w:t xml:space="preserve"> (SAE)</w:t>
      </w:r>
      <w:r w:rsidRPr="002A34F0">
        <w:rPr>
          <w:color w:val="000000"/>
        </w:rPr>
        <w:t xml:space="preserve"> to “borrow strength” from Ghana Living Standards Survey </w:t>
      </w:r>
      <w:r w:rsidR="00847E98" w:rsidRPr="002A34F0">
        <w:rPr>
          <w:color w:val="000000"/>
        </w:rPr>
        <w:t xml:space="preserve">(GLSS6) </w:t>
      </w:r>
      <w:r w:rsidRPr="002A34F0">
        <w:rPr>
          <w:color w:val="000000"/>
        </w:rPr>
        <w:t xml:space="preserve">and predict consumption for census enumerated households. In collaboration with the Ghana Statistical Service (GSS), we applied this method to the 100% </w:t>
      </w:r>
      <w:r w:rsidR="00A01AA0" w:rsidRPr="002A34F0">
        <w:rPr>
          <w:color w:val="000000"/>
        </w:rPr>
        <w:t xml:space="preserve">2010 </w:t>
      </w:r>
      <w:r w:rsidRPr="002A34F0">
        <w:rPr>
          <w:color w:val="000000"/>
        </w:rPr>
        <w:t xml:space="preserve">Population and Housing </w:t>
      </w:r>
      <w:r w:rsidR="00A01AA0" w:rsidRPr="002A34F0">
        <w:rPr>
          <w:color w:val="000000"/>
        </w:rPr>
        <w:t>C</w:t>
      </w:r>
      <w:r w:rsidRPr="002A34F0">
        <w:rPr>
          <w:color w:val="000000"/>
        </w:rPr>
        <w:t>ensus microdata and developed a dataset with poverty and inequality measures spatially identifiable at the enumeration area level</w:t>
      </w:r>
      <w:r w:rsidR="00847E98" w:rsidRPr="002A34F0">
        <w:rPr>
          <w:color w:val="000000"/>
        </w:rPr>
        <w:t xml:space="preserve"> (see the Methods Appendix). </w:t>
      </w:r>
      <w:r w:rsidR="00BC5514" w:rsidRPr="002A34F0">
        <w:rPr>
          <w:color w:val="000000"/>
        </w:rPr>
        <w:t>Since the GLSS does not sample</w:t>
      </w:r>
      <w:r w:rsidR="00C7116B" w:rsidRPr="002A34F0">
        <w:rPr>
          <w:color w:val="000000"/>
        </w:rPr>
        <w:t xml:space="preserve"> the</w:t>
      </w:r>
      <w:r w:rsidR="00BC5514" w:rsidRPr="002A34F0">
        <w:rPr>
          <w:color w:val="000000"/>
        </w:rPr>
        <w:t xml:space="preserve"> unhoused</w:t>
      </w:r>
      <w:r w:rsidR="0042499F" w:rsidRPr="002A34F0">
        <w:rPr>
          <w:color w:val="000000"/>
        </w:rPr>
        <w:t xml:space="preserve"> nor school-, hospital-, </w:t>
      </w:r>
      <w:r w:rsidR="00C7116B" w:rsidRPr="002A34F0">
        <w:rPr>
          <w:color w:val="000000"/>
        </w:rPr>
        <w:t>or</w:t>
      </w:r>
      <w:r w:rsidR="0042499F" w:rsidRPr="002A34F0">
        <w:rPr>
          <w:color w:val="000000"/>
        </w:rPr>
        <w:t xml:space="preserve"> prison-based</w:t>
      </w:r>
      <w:r w:rsidR="00BC5514" w:rsidRPr="002A34F0">
        <w:rPr>
          <w:color w:val="000000"/>
        </w:rPr>
        <w:t xml:space="preserve"> populations, </w:t>
      </w:r>
      <w:r w:rsidR="0042499F" w:rsidRPr="002A34F0">
        <w:rPr>
          <w:color w:val="000000"/>
        </w:rPr>
        <w:t>these are not in</w:t>
      </w:r>
      <w:r w:rsidR="00BC5514" w:rsidRPr="002A34F0">
        <w:rPr>
          <w:color w:val="000000"/>
        </w:rPr>
        <w:t>clude</w:t>
      </w:r>
      <w:r w:rsidR="0042499F" w:rsidRPr="002A34F0">
        <w:rPr>
          <w:color w:val="000000"/>
        </w:rPr>
        <w:t>d</w:t>
      </w:r>
      <w:r w:rsidR="00BC5514" w:rsidRPr="002A34F0">
        <w:rPr>
          <w:color w:val="000000"/>
        </w:rPr>
        <w:t xml:space="preserve"> </w:t>
      </w:r>
      <w:r w:rsidR="0042499F" w:rsidRPr="002A34F0">
        <w:rPr>
          <w:color w:val="000000"/>
        </w:rPr>
        <w:t xml:space="preserve">in </w:t>
      </w:r>
      <w:r w:rsidR="00BC5514" w:rsidRPr="002A34F0">
        <w:rPr>
          <w:color w:val="000000"/>
        </w:rPr>
        <w:t xml:space="preserve">this analysis. </w:t>
      </w:r>
      <w:r w:rsidR="00B15007" w:rsidRPr="002A34F0">
        <w:rPr>
          <w:color w:val="000000"/>
        </w:rPr>
        <w:t xml:space="preserve">These household </w:t>
      </w:r>
      <w:r w:rsidR="005262F2" w:rsidRPr="002A34F0">
        <w:rPr>
          <w:color w:val="000000"/>
        </w:rPr>
        <w:t xml:space="preserve">and area consumption metrics </w:t>
      </w:r>
      <w:r w:rsidR="00B15007" w:rsidRPr="002A34F0">
        <w:rPr>
          <w:color w:val="000000"/>
        </w:rPr>
        <w:t xml:space="preserve"> have been used in analyses elsewhere (</w:t>
      </w:r>
      <w:r w:rsidR="001A686D" w:rsidRPr="002A34F0">
        <w:rPr>
          <w:color w:val="000000"/>
        </w:rPr>
        <w:t xml:space="preserve">Alli et al., 2023; </w:t>
      </w:r>
      <w:r w:rsidR="00534855" w:rsidRPr="002A34F0">
        <w:rPr>
          <w:color w:val="000000"/>
        </w:rPr>
        <w:lastRenderedPageBreak/>
        <w:t>Bixby et al., 2022; Clark et al., 2022; Tetteh et al., 2022</w:t>
      </w:r>
      <w:r w:rsidR="00B15007" w:rsidRPr="002A34F0">
        <w:rPr>
          <w:color w:val="000000"/>
        </w:rPr>
        <w:t xml:space="preserve">). </w:t>
      </w:r>
      <w:r w:rsidR="005D0292" w:rsidRPr="002A34F0">
        <w:t>For this paper, we u</w:t>
      </w:r>
      <w:r w:rsidR="006E364D" w:rsidRPr="002A34F0">
        <w:t>se</w:t>
      </w:r>
      <w:r w:rsidR="005D0292" w:rsidRPr="002A34F0">
        <w:t xml:space="preserve"> </w:t>
      </w:r>
      <w:r w:rsidR="00BD0CF1" w:rsidRPr="002A34F0">
        <w:t>these</w:t>
      </w:r>
      <w:r w:rsidR="005D0292" w:rsidRPr="002A34F0">
        <w:t xml:space="preserve"> </w:t>
      </w:r>
      <w:r w:rsidR="00DD082D" w:rsidRPr="002A34F0">
        <w:t>consumption estimates</w:t>
      </w:r>
      <w:r w:rsidR="005D0292" w:rsidRPr="002A34F0">
        <w:t xml:space="preserve"> to determine</w:t>
      </w:r>
      <w:r w:rsidR="001863CF" w:rsidRPr="002A34F0">
        <w:t xml:space="preserve"> </w:t>
      </w:r>
      <w:r w:rsidR="006E364D" w:rsidRPr="002A34F0">
        <w:t>the number of</w:t>
      </w:r>
      <w:r w:rsidR="001863CF" w:rsidRPr="002A34F0">
        <w:t xml:space="preserve"> households</w:t>
      </w:r>
      <w:r w:rsidR="006E364D" w:rsidRPr="002A34F0">
        <w:t xml:space="preserve"> that</w:t>
      </w:r>
      <w:r w:rsidR="001863CF" w:rsidRPr="002A34F0">
        <w:t xml:space="preserve"> fall into </w:t>
      </w:r>
      <w:r w:rsidR="001E2440" w:rsidRPr="002A34F0">
        <w:t>three</w:t>
      </w:r>
      <w:r w:rsidR="001863CF" w:rsidRPr="002A34F0">
        <w:t xml:space="preserve"> </w:t>
      </w:r>
      <w:r w:rsidR="00B13742" w:rsidRPr="002A34F0">
        <w:t>SES categories</w:t>
      </w:r>
      <w:r w:rsidR="001863CF" w:rsidRPr="002A34F0">
        <w:t xml:space="preserve"> within each EA</w:t>
      </w:r>
      <w:r w:rsidR="006E364D" w:rsidRPr="002A34F0">
        <w:t xml:space="preserve"> in Accra:</w:t>
      </w:r>
      <w:r w:rsidR="00DA099E" w:rsidRPr="002A34F0">
        <w:t xml:space="preserve"> households </w:t>
      </w:r>
      <w:r w:rsidR="009039A7" w:rsidRPr="002A34F0">
        <w:t>in</w:t>
      </w:r>
      <w:r w:rsidR="00B72E1E" w:rsidRPr="002A34F0">
        <w:t xml:space="preserve"> the</w:t>
      </w:r>
      <w:r w:rsidR="00B13742" w:rsidRPr="002A34F0">
        <w:t xml:space="preserve"> bottom 20</w:t>
      </w:r>
      <w:r w:rsidR="00B13742" w:rsidRPr="002A34F0">
        <w:rPr>
          <w:vertAlign w:val="superscript"/>
        </w:rPr>
        <w:t>th</w:t>
      </w:r>
      <w:r w:rsidR="00B13742" w:rsidRPr="002A34F0">
        <w:t xml:space="preserve"> percentile</w:t>
      </w:r>
      <w:r w:rsidR="00B72E1E" w:rsidRPr="002A34F0">
        <w:t xml:space="preserve"> (poor</w:t>
      </w:r>
      <w:r w:rsidR="00B13742" w:rsidRPr="002A34F0">
        <w:t>), 21</w:t>
      </w:r>
      <w:r w:rsidR="00B13742" w:rsidRPr="002A34F0">
        <w:rPr>
          <w:vertAlign w:val="superscript"/>
        </w:rPr>
        <w:t>st</w:t>
      </w:r>
      <w:r w:rsidR="00B13742" w:rsidRPr="002A34F0">
        <w:t>-79</w:t>
      </w:r>
      <w:r w:rsidR="00B13742" w:rsidRPr="002A34F0">
        <w:rPr>
          <w:vertAlign w:val="superscript"/>
        </w:rPr>
        <w:t>th</w:t>
      </w:r>
      <w:r w:rsidR="00B13742" w:rsidRPr="002A34F0">
        <w:t xml:space="preserve"> percentiles</w:t>
      </w:r>
      <w:r w:rsidR="00B72E1E" w:rsidRPr="002A34F0">
        <w:t xml:space="preserve"> (middle class</w:t>
      </w:r>
      <w:r w:rsidR="00B13742" w:rsidRPr="002A34F0">
        <w:t xml:space="preserve">), </w:t>
      </w:r>
      <w:r w:rsidR="009A4B02" w:rsidRPr="002A34F0">
        <w:t>or</w:t>
      </w:r>
      <w:r w:rsidR="00B13742" w:rsidRPr="002A34F0">
        <w:t xml:space="preserve"> </w:t>
      </w:r>
      <w:r w:rsidR="00B72E1E" w:rsidRPr="002A34F0">
        <w:t xml:space="preserve">the </w:t>
      </w:r>
      <w:r w:rsidR="00B13742" w:rsidRPr="002A34F0">
        <w:t>upper 20</w:t>
      </w:r>
      <w:r w:rsidR="00B13742" w:rsidRPr="002A34F0">
        <w:rPr>
          <w:vertAlign w:val="superscript"/>
        </w:rPr>
        <w:t>th</w:t>
      </w:r>
      <w:r w:rsidR="00B13742" w:rsidRPr="002A34F0">
        <w:t xml:space="preserve"> percentile</w:t>
      </w:r>
      <w:r w:rsidR="00B72E1E" w:rsidRPr="002A34F0">
        <w:t xml:space="preserve"> (affluent</w:t>
      </w:r>
      <w:r w:rsidR="00B13742" w:rsidRPr="002A34F0">
        <w:t xml:space="preserve">). </w:t>
      </w:r>
      <w:bookmarkStart w:id="7" w:name="_Hlk138850271"/>
      <w:r w:rsidR="000322FB" w:rsidRPr="002A34F0">
        <w:t>These categories represent the relative number of resources that households use to meet their needs (and wants).</w:t>
      </w:r>
    </w:p>
    <w:p w14:paraId="1BD9A168" w14:textId="0E67E083" w:rsidR="000C072E" w:rsidRPr="002A34F0" w:rsidRDefault="000322FB" w:rsidP="000C072E">
      <w:pPr>
        <w:pStyle w:val="Paragraph"/>
      </w:pPr>
      <w:r w:rsidRPr="002A34F0">
        <w:rPr>
          <w:iCs/>
        </w:rPr>
        <w:t xml:space="preserve">We have </w:t>
      </w:r>
      <w:r w:rsidR="000C072E" w:rsidRPr="002A34F0">
        <w:rPr>
          <w:iCs/>
        </w:rPr>
        <w:t>three reasons</w:t>
      </w:r>
      <w:r w:rsidRPr="002A34F0">
        <w:rPr>
          <w:iCs/>
        </w:rPr>
        <w:t xml:space="preserve"> for using relative </w:t>
      </w:r>
      <w:r w:rsidR="000C072E" w:rsidRPr="002A34F0">
        <w:rPr>
          <w:iCs/>
        </w:rPr>
        <w:t xml:space="preserve">as opposed to absolute </w:t>
      </w:r>
      <w:r w:rsidRPr="002A34F0">
        <w:rPr>
          <w:iCs/>
        </w:rPr>
        <w:t xml:space="preserve">measures of poverty and affluence. </w:t>
      </w:r>
      <w:r w:rsidR="000C072E" w:rsidRPr="002A34F0">
        <w:rPr>
          <w:iCs/>
        </w:rPr>
        <w:t>First, although the</w:t>
      </w:r>
      <w:r w:rsidRPr="002A34F0">
        <w:rPr>
          <w:iCs/>
        </w:rPr>
        <w:t xml:space="preserve"> national poverty line </w:t>
      </w:r>
      <w:r w:rsidR="000C072E" w:rsidRPr="002A34F0">
        <w:rPr>
          <w:iCs/>
        </w:rPr>
        <w:t>is</w:t>
      </w:r>
      <w:r w:rsidRPr="002A34F0">
        <w:rPr>
          <w:iCs/>
        </w:rPr>
        <w:t xml:space="preserve"> set based on those unable to meet their food and non-food needs, there is a general tendency to underestimate urban poverty since the high cost of living </w:t>
      </w:r>
      <w:r w:rsidR="000C072E" w:rsidRPr="002A34F0">
        <w:rPr>
          <w:iCs/>
        </w:rPr>
        <w:t>with</w:t>
      </w:r>
      <w:r w:rsidRPr="002A34F0">
        <w:rPr>
          <w:iCs/>
        </w:rPr>
        <w:t xml:space="preserve">in the city is not factored into to the determination of poverty levels (Owusu &amp; Yankson, 2007; Songsore, 2008; Owusu &amp; Wrigley-Asante, 2020). </w:t>
      </w:r>
      <w:r w:rsidR="000C072E" w:rsidRPr="002A34F0">
        <w:rPr>
          <w:iCs/>
        </w:rPr>
        <w:t>Second</w:t>
      </w:r>
      <w:r w:rsidRPr="002A34F0">
        <w:rPr>
          <w:iCs/>
        </w:rPr>
        <w:t xml:space="preserve">, in a context that has been improving absolute levels of poverty, we chose a relative assessment of poverty to understand the ability of those at the bottom to meet their basic needs relative to their neighbours. </w:t>
      </w:r>
      <w:r w:rsidR="000C072E" w:rsidRPr="002A34F0">
        <w:rPr>
          <w:iCs/>
        </w:rPr>
        <w:t>A focus on the lower 20</w:t>
      </w:r>
      <w:r w:rsidR="000C072E" w:rsidRPr="002A34F0">
        <w:rPr>
          <w:rFonts w:cs="Arial"/>
          <w:i/>
          <w:iCs/>
          <w:szCs w:val="26"/>
          <w:vertAlign w:val="superscript"/>
        </w:rPr>
        <w:t>th</w:t>
      </w:r>
      <w:r w:rsidR="000C072E" w:rsidRPr="002A34F0">
        <w:rPr>
          <w:iCs/>
        </w:rPr>
        <w:t xml:space="preserve"> percentile group (“poor”) indicates a population that must make </w:t>
      </w:r>
      <w:r w:rsidRPr="002A34F0">
        <w:rPr>
          <w:iCs/>
        </w:rPr>
        <w:t xml:space="preserve">choices and trade-offs to prioritize certain needs over others. Put another way, households </w:t>
      </w:r>
      <w:r w:rsidR="000C072E" w:rsidRPr="002A34F0">
        <w:rPr>
          <w:iCs/>
        </w:rPr>
        <w:t xml:space="preserve">in this “poor” group </w:t>
      </w:r>
      <w:r w:rsidRPr="002A34F0">
        <w:rPr>
          <w:iCs/>
        </w:rPr>
        <w:t xml:space="preserve">consume at least 40% less than the median level of consumption in Accra. </w:t>
      </w:r>
      <w:r w:rsidR="000C072E" w:rsidRPr="002A34F0">
        <w:rPr>
          <w:iCs/>
        </w:rPr>
        <w:t>Third, our estimates of consumption are modelled. Predicted consumption estimates are most confidently interpreted in a relative sense, removing the need for calibration of the distribution of predicted values to an externally valid dataset of absolute consumption, an exercise that is fraught with challenges</w:t>
      </w:r>
      <w:r w:rsidRPr="002A34F0">
        <w:rPr>
          <w:iCs/>
        </w:rPr>
        <w:t xml:space="preserve">. </w:t>
      </w:r>
      <w:bookmarkEnd w:id="7"/>
      <w:r w:rsidR="007A00E3" w:rsidRPr="002A34F0">
        <w:rPr>
          <w:iCs/>
        </w:rPr>
        <w:t>We tested model sensitivity using alternative SES thresholds for the top/bottom 10</w:t>
      </w:r>
      <w:r w:rsidR="007A00E3" w:rsidRPr="002A34F0">
        <w:rPr>
          <w:iCs/>
          <w:vertAlign w:val="superscript"/>
        </w:rPr>
        <w:t>th</w:t>
      </w:r>
      <w:r w:rsidR="007A00E3" w:rsidRPr="002A34F0">
        <w:rPr>
          <w:iCs/>
        </w:rPr>
        <w:t xml:space="preserve"> and 30</w:t>
      </w:r>
      <w:r w:rsidR="007A00E3" w:rsidRPr="002A34F0">
        <w:rPr>
          <w:iCs/>
          <w:vertAlign w:val="superscript"/>
        </w:rPr>
        <w:t>th</w:t>
      </w:r>
      <w:r w:rsidR="007A00E3" w:rsidRPr="002A34F0">
        <w:rPr>
          <w:iCs/>
        </w:rPr>
        <w:t xml:space="preserve"> percentiles</w:t>
      </w:r>
      <w:r w:rsidR="000C072E" w:rsidRPr="002A34F0">
        <w:rPr>
          <w:iCs/>
        </w:rPr>
        <w:t>, which did not change the qualitative outcomes of our findings</w:t>
      </w:r>
      <w:r w:rsidR="007A00E3" w:rsidRPr="002A34F0">
        <w:rPr>
          <w:iCs/>
        </w:rPr>
        <w:t>.</w:t>
      </w:r>
      <w:r w:rsidR="000C072E" w:rsidRPr="002A34F0">
        <w:rPr>
          <w:iCs/>
        </w:rPr>
        <w:t xml:space="preserve"> </w:t>
      </w:r>
    </w:p>
    <w:p w14:paraId="646E7C59" w14:textId="6376C62D" w:rsidR="0080778A" w:rsidRPr="002A34F0" w:rsidRDefault="0080778A" w:rsidP="0052452A">
      <w:pPr>
        <w:pStyle w:val="Heading3"/>
        <w:spacing w:line="480" w:lineRule="auto"/>
      </w:pPr>
      <w:r w:rsidRPr="002A34F0">
        <w:lastRenderedPageBreak/>
        <w:t xml:space="preserve">Defining neighbourhood-based </w:t>
      </w:r>
      <w:r w:rsidR="00280ED7" w:rsidRPr="002A34F0">
        <w:t xml:space="preserve">consumption </w:t>
      </w:r>
      <w:r w:rsidRPr="002A34F0">
        <w:t>categories</w:t>
      </w:r>
    </w:p>
    <w:p w14:paraId="71BBFF96" w14:textId="3F204969" w:rsidR="00B13742" w:rsidRPr="002A34F0" w:rsidRDefault="0080778A" w:rsidP="0052452A">
      <w:pPr>
        <w:spacing w:before="240" w:after="240" w:line="480" w:lineRule="auto"/>
      </w:pPr>
      <w:r w:rsidRPr="002A34F0">
        <w:t xml:space="preserve">We define neighbourhood </w:t>
      </w:r>
      <w:r w:rsidR="00280ED7" w:rsidRPr="002A34F0">
        <w:t xml:space="preserve">SES </w:t>
      </w:r>
      <w:r w:rsidR="00291769" w:rsidRPr="002A34F0">
        <w:t xml:space="preserve">for each EA using the </w:t>
      </w:r>
      <w:r w:rsidRPr="002A34F0">
        <w:t>Index of Concentration at the Extremes</w:t>
      </w:r>
      <w:r w:rsidR="00F42E7E" w:rsidRPr="002A34F0">
        <w:t xml:space="preserve"> (ICE)</w:t>
      </w:r>
      <w:r w:rsidR="00C27792" w:rsidRPr="002A34F0">
        <w:t xml:space="preserve">, a metric that measures how segregated </w:t>
      </w:r>
      <w:r w:rsidR="00115CAA" w:rsidRPr="002A34F0">
        <w:t xml:space="preserve">an area is as the degree to which an area’s population is concentrated into extremes of </w:t>
      </w:r>
      <w:r w:rsidR="00B70B80" w:rsidRPr="002A34F0">
        <w:t>poor or</w:t>
      </w:r>
      <w:r w:rsidR="00115CAA" w:rsidRPr="002A34F0">
        <w:t xml:space="preserve"> </w:t>
      </w:r>
      <w:r w:rsidR="00B70B80" w:rsidRPr="002A34F0">
        <w:t>affluent</w:t>
      </w:r>
      <w:r w:rsidR="00115CAA" w:rsidRPr="002A34F0">
        <w:t xml:space="preserve"> (Massey</w:t>
      </w:r>
      <w:r w:rsidR="008458C5" w:rsidRPr="002A34F0">
        <w:t>,</w:t>
      </w:r>
      <w:r w:rsidR="00115CAA" w:rsidRPr="002A34F0">
        <w:t xml:space="preserve"> 2001; Krieger et al.</w:t>
      </w:r>
      <w:r w:rsidR="008458C5" w:rsidRPr="002A34F0">
        <w:t>,</w:t>
      </w:r>
      <w:r w:rsidR="00115CAA" w:rsidRPr="002A34F0">
        <w:t xml:space="preserve"> 2017)</w:t>
      </w:r>
      <w:r w:rsidR="002B25B9" w:rsidRPr="002A34F0">
        <w:t xml:space="preserve">. </w:t>
      </w:r>
      <w:r w:rsidR="00F42E7E" w:rsidRPr="002A34F0">
        <w:t xml:space="preserve">The </w:t>
      </w:r>
      <w:r w:rsidRPr="002A34F0">
        <w:t xml:space="preserve">ICE </w:t>
      </w:r>
      <w:r w:rsidR="00F42E7E" w:rsidRPr="002A34F0">
        <w:t xml:space="preserve">metric </w:t>
      </w:r>
      <w:r w:rsidRPr="002A34F0">
        <w:t xml:space="preserve">is defined as </w:t>
      </w:r>
      <w:bookmarkStart w:id="8" w:name="_Hlk89967294"/>
      <m:oMath>
        <m:sSub>
          <m:sSubPr>
            <m:ctrlPr>
              <w:rPr>
                <w:rFonts w:ascii="Cambria Math" w:hAnsi="Cambria Math"/>
                <w:lang w:val="en"/>
              </w:rPr>
            </m:ctrlPr>
          </m:sSubPr>
          <m:e>
            <m:r>
              <w:rPr>
                <w:rFonts w:ascii="Cambria Math" w:hAnsi="Cambria Math"/>
                <w:lang w:val="en"/>
              </w:rPr>
              <m:t>ICE</m:t>
            </m:r>
          </m:e>
          <m:sub>
            <m:r>
              <w:rPr>
                <w:rFonts w:ascii="Cambria Math" w:hAnsi="Cambria Math"/>
                <w:lang w:val="en"/>
              </w:rPr>
              <m:t>i</m:t>
            </m:r>
          </m:sub>
        </m:sSub>
        <m:r>
          <w:rPr>
            <w:rFonts w:ascii="Cambria Math" w:hAnsi="Cambria Math"/>
            <w:lang w:val="en"/>
          </w:rPr>
          <m:t>=</m:t>
        </m:r>
        <m:d>
          <m:dPr>
            <m:ctrlPr>
              <w:rPr>
                <w:rFonts w:ascii="Cambria Math" w:hAnsi="Cambria Math"/>
                <w:lang w:val="en"/>
              </w:rPr>
            </m:ctrlPr>
          </m:dPr>
          <m:e>
            <m:sSub>
              <m:sSubPr>
                <m:ctrlPr>
                  <w:rPr>
                    <w:rFonts w:ascii="Cambria Math" w:hAnsi="Cambria Math"/>
                    <w:lang w:val="en"/>
                  </w:rPr>
                </m:ctrlPr>
              </m:sSubPr>
              <m:e>
                <m:r>
                  <w:rPr>
                    <w:rFonts w:ascii="Cambria Math" w:hAnsi="Cambria Math"/>
                    <w:lang w:val="en"/>
                  </w:rPr>
                  <m:t>H</m:t>
                </m:r>
              </m:e>
              <m:sub>
                <m:r>
                  <w:rPr>
                    <w:rFonts w:ascii="Cambria Math" w:hAnsi="Cambria Math"/>
                    <w:lang w:val="en"/>
                  </w:rPr>
                  <m:t>i</m:t>
                </m:r>
              </m:sub>
            </m:sSub>
            <m:r>
              <w:rPr>
                <w:rFonts w:ascii="Cambria Math" w:hAnsi="Cambria Math"/>
                <w:lang w:val="en"/>
              </w:rPr>
              <m:t>-</m:t>
            </m:r>
            <m:sSub>
              <m:sSubPr>
                <m:ctrlPr>
                  <w:rPr>
                    <w:rFonts w:ascii="Cambria Math" w:hAnsi="Cambria Math"/>
                    <w:lang w:val="en"/>
                  </w:rPr>
                </m:ctrlPr>
              </m:sSubPr>
              <m:e>
                <m:r>
                  <w:rPr>
                    <w:rFonts w:ascii="Cambria Math" w:hAnsi="Cambria Math"/>
                    <w:lang w:val="en"/>
                  </w:rPr>
                  <m:t>L</m:t>
                </m:r>
              </m:e>
              <m:sub>
                <m:r>
                  <w:rPr>
                    <w:rFonts w:ascii="Cambria Math" w:hAnsi="Cambria Math"/>
                    <w:lang w:val="en"/>
                  </w:rPr>
                  <m:t>i</m:t>
                </m:r>
              </m:sub>
            </m:sSub>
          </m:e>
        </m:d>
        <m:r>
          <w:rPr>
            <w:rFonts w:ascii="Cambria Math" w:hAnsi="Cambria Math"/>
            <w:lang w:val="en"/>
          </w:rPr>
          <m:t>/</m:t>
        </m:r>
        <m:sSub>
          <m:sSubPr>
            <m:ctrlPr>
              <w:rPr>
                <w:rFonts w:ascii="Cambria Math" w:hAnsi="Cambria Math"/>
                <w:lang w:val="en"/>
              </w:rPr>
            </m:ctrlPr>
          </m:sSubPr>
          <m:e>
            <m:r>
              <w:rPr>
                <w:rFonts w:ascii="Cambria Math" w:hAnsi="Cambria Math"/>
                <w:lang w:val="en"/>
              </w:rPr>
              <m:t>T</m:t>
            </m:r>
          </m:e>
          <m:sub>
            <m:r>
              <w:rPr>
                <w:rFonts w:ascii="Cambria Math" w:hAnsi="Cambria Math"/>
                <w:lang w:val="en"/>
              </w:rPr>
              <m:t>i</m:t>
            </m:r>
          </m:sub>
        </m:sSub>
      </m:oMath>
      <w:r w:rsidR="00F42E7E" w:rsidRPr="002A34F0">
        <w:rPr>
          <w:rFonts w:ascii="Cambria Math" w:eastAsia="Cambria Math" w:hAnsi="Cambria Math" w:cs="Cambria Math"/>
          <w:lang w:val="en"/>
        </w:rPr>
        <w:t xml:space="preserve"> </w:t>
      </w:r>
      <w:bookmarkEnd w:id="8"/>
      <w:r w:rsidRPr="002A34F0">
        <w:t>where</w:t>
      </w:r>
      <w:r w:rsidR="00F42E7E" w:rsidRPr="002A34F0">
        <w:t xml:space="preserve"> </w:t>
      </w:r>
      <w:r w:rsidR="009C3612" w:rsidRPr="002A34F0">
        <w:rPr>
          <w:i/>
          <w:iCs/>
        </w:rPr>
        <w:t>H</w:t>
      </w:r>
      <w:r w:rsidRPr="002A34F0">
        <w:rPr>
          <w:i/>
          <w:iCs/>
          <w:vertAlign w:val="subscript"/>
        </w:rPr>
        <w:t>i</w:t>
      </w:r>
      <w:r w:rsidRPr="002A34F0">
        <w:t xml:space="preserve"> is the number of people living in high-income</w:t>
      </w:r>
      <w:r w:rsidR="003C7F2F" w:rsidRPr="002A34F0">
        <w:t xml:space="preserve"> (to</w:t>
      </w:r>
      <w:r w:rsidR="0036225E" w:rsidRPr="002A34F0">
        <w:t>p</w:t>
      </w:r>
      <w:r w:rsidR="003C7F2F" w:rsidRPr="002A34F0">
        <w:t xml:space="preserve"> 20</w:t>
      </w:r>
      <w:r w:rsidR="003C7F2F" w:rsidRPr="002A34F0">
        <w:rPr>
          <w:vertAlign w:val="superscript"/>
        </w:rPr>
        <w:t>th</w:t>
      </w:r>
      <w:r w:rsidR="003C7F2F" w:rsidRPr="002A34F0">
        <w:t xml:space="preserve"> percentile)</w:t>
      </w:r>
      <w:r w:rsidRPr="002A34F0">
        <w:t xml:space="preserve"> households</w:t>
      </w:r>
      <w:r w:rsidR="00F42E7E" w:rsidRPr="002A34F0">
        <w:t xml:space="preserve"> in area </w:t>
      </w:r>
      <w:r w:rsidR="00F42E7E" w:rsidRPr="002A34F0">
        <w:rPr>
          <w:i/>
          <w:iCs/>
        </w:rPr>
        <w:t>i</w:t>
      </w:r>
      <w:r w:rsidRPr="002A34F0">
        <w:t xml:space="preserve">, </w:t>
      </w:r>
      <w:r w:rsidR="009C3612" w:rsidRPr="002A34F0">
        <w:rPr>
          <w:i/>
          <w:iCs/>
        </w:rPr>
        <w:t>L</w:t>
      </w:r>
      <w:r w:rsidRPr="002A34F0">
        <w:rPr>
          <w:i/>
          <w:iCs/>
          <w:vertAlign w:val="subscript"/>
        </w:rPr>
        <w:t>i</w:t>
      </w:r>
      <w:r w:rsidRPr="002A34F0">
        <w:t xml:space="preserve"> is the number of people in low-income </w:t>
      </w:r>
      <w:r w:rsidR="005C3FF3" w:rsidRPr="002A34F0">
        <w:t>(bottom 20</w:t>
      </w:r>
      <w:r w:rsidR="005C3FF3" w:rsidRPr="002A34F0">
        <w:rPr>
          <w:vertAlign w:val="superscript"/>
        </w:rPr>
        <w:t>th</w:t>
      </w:r>
      <w:r w:rsidR="005C3FF3" w:rsidRPr="002A34F0">
        <w:t xml:space="preserve"> percentile) </w:t>
      </w:r>
      <w:r w:rsidRPr="002A34F0">
        <w:t xml:space="preserve">households, and </w:t>
      </w:r>
      <w:r w:rsidRPr="002A34F0">
        <w:rPr>
          <w:i/>
          <w:iCs/>
        </w:rPr>
        <w:t>T</w:t>
      </w:r>
      <w:r w:rsidRPr="002A34F0">
        <w:rPr>
          <w:i/>
          <w:iCs/>
          <w:vertAlign w:val="subscript"/>
        </w:rPr>
        <w:t>i</w:t>
      </w:r>
      <w:r w:rsidRPr="002A34F0">
        <w:t xml:space="preserve"> is the total number of individuals</w:t>
      </w:r>
      <w:r w:rsidR="005C3FF3" w:rsidRPr="002A34F0">
        <w:t xml:space="preserve"> in the area</w:t>
      </w:r>
      <w:r w:rsidRPr="002A34F0">
        <w:t xml:space="preserve">. </w:t>
      </w:r>
      <w:r w:rsidR="00087E6D" w:rsidRPr="002A34F0">
        <w:t xml:space="preserve">ICE values </w:t>
      </w:r>
      <w:r w:rsidRPr="002A34F0">
        <w:t>range from -1 to 1</w:t>
      </w:r>
      <w:r w:rsidR="009C3612" w:rsidRPr="002A34F0">
        <w:t>,</w:t>
      </w:r>
      <w:r w:rsidR="00087E6D" w:rsidRPr="002A34F0">
        <w:t xml:space="preserve"> with n</w:t>
      </w:r>
      <w:r w:rsidRPr="002A34F0">
        <w:t>egative values indicat</w:t>
      </w:r>
      <w:r w:rsidR="00087E6D" w:rsidRPr="002A34F0">
        <w:t>ing</w:t>
      </w:r>
      <w:r w:rsidRPr="002A34F0">
        <w:t xml:space="preserve"> </w:t>
      </w:r>
      <w:r w:rsidR="000C32DD" w:rsidRPr="002A34F0">
        <w:t xml:space="preserve">concentrated poverty, </w:t>
      </w:r>
      <w:r w:rsidR="00087E6D" w:rsidRPr="002A34F0">
        <w:t xml:space="preserve">and </w:t>
      </w:r>
      <w:r w:rsidR="000C32DD" w:rsidRPr="002A34F0">
        <w:t xml:space="preserve">higher values concentrations of </w:t>
      </w:r>
      <w:r w:rsidR="00280ED7" w:rsidRPr="002A34F0">
        <w:t>affluence</w:t>
      </w:r>
      <w:r w:rsidRPr="002A34F0">
        <w:t xml:space="preserve">. Values </w:t>
      </w:r>
      <w:r w:rsidR="00E87BE3" w:rsidRPr="002A34F0">
        <w:t xml:space="preserve">around </w:t>
      </w:r>
      <w:r w:rsidRPr="002A34F0">
        <w:t xml:space="preserve">zero </w:t>
      </w:r>
      <w:r w:rsidR="000C32DD" w:rsidRPr="002A34F0">
        <w:t>suggest</w:t>
      </w:r>
      <w:r w:rsidRPr="002A34F0">
        <w:t xml:space="preserve"> </w:t>
      </w:r>
      <w:r w:rsidR="00087E6D" w:rsidRPr="002A34F0">
        <w:t>areas</w:t>
      </w:r>
      <w:r w:rsidR="009C3612" w:rsidRPr="002A34F0">
        <w:t xml:space="preserve"> </w:t>
      </w:r>
      <w:r w:rsidR="00E87BE3" w:rsidRPr="002A34F0">
        <w:t xml:space="preserve">could </w:t>
      </w:r>
      <w:r w:rsidR="009C3612" w:rsidRPr="002A34F0">
        <w:t>have a</w:t>
      </w:r>
      <w:r w:rsidR="00E87BE3" w:rsidRPr="002A34F0">
        <w:t xml:space="preserve"> more even</w:t>
      </w:r>
      <w:r w:rsidRPr="002A34F0">
        <w:t xml:space="preserve"> mix of households</w:t>
      </w:r>
      <w:r w:rsidR="00087E6D" w:rsidRPr="002A34F0">
        <w:t xml:space="preserve"> or</w:t>
      </w:r>
      <w:r w:rsidR="009C3612" w:rsidRPr="002A34F0">
        <w:t xml:space="preserve"> a</w:t>
      </w:r>
      <w:r w:rsidR="00087E6D" w:rsidRPr="002A34F0">
        <w:t xml:space="preserve"> more homogenous middle class</w:t>
      </w:r>
      <w:r w:rsidRPr="002A34F0">
        <w:t xml:space="preserve">. ICE </w:t>
      </w:r>
      <w:r w:rsidR="000C32DD" w:rsidRPr="002A34F0">
        <w:t>quantifies</w:t>
      </w:r>
      <w:r w:rsidRPr="002A34F0">
        <w:t xml:space="preserve"> extreme</w:t>
      </w:r>
      <w:r w:rsidR="00087E6D" w:rsidRPr="002A34F0">
        <w:t xml:space="preserve"> concentrations</w:t>
      </w:r>
      <w:r w:rsidRPr="002A34F0">
        <w:t xml:space="preserve"> of </w:t>
      </w:r>
      <w:r w:rsidR="00087E6D" w:rsidRPr="002A34F0">
        <w:t>household types</w:t>
      </w:r>
      <w:r w:rsidRPr="002A34F0">
        <w:t xml:space="preserve"> with one metric, </w:t>
      </w:r>
      <w:r w:rsidR="000C32DD" w:rsidRPr="002A34F0">
        <w:t xml:space="preserve">identifying </w:t>
      </w:r>
      <w:r w:rsidR="002D5EEA" w:rsidRPr="002A34F0">
        <w:t xml:space="preserve">areas that are </w:t>
      </w:r>
      <w:r w:rsidRPr="002A34F0">
        <w:t xml:space="preserve">most polarized. </w:t>
      </w:r>
      <w:r w:rsidR="002D5EEA" w:rsidRPr="002A34F0">
        <w:t>Here we define n</w:t>
      </w:r>
      <w:r w:rsidR="00087E6D" w:rsidRPr="002A34F0">
        <w:t xml:space="preserve">eighbourhood-based </w:t>
      </w:r>
      <w:r w:rsidR="00280ED7" w:rsidRPr="002A34F0">
        <w:t xml:space="preserve">SES </w:t>
      </w:r>
      <w:r w:rsidR="00B94FE2" w:rsidRPr="002A34F0">
        <w:t>using ICE tertiles</w:t>
      </w:r>
      <w:r w:rsidR="007B5949" w:rsidRPr="002A34F0">
        <w:t>:</w:t>
      </w:r>
      <w:r w:rsidR="00B94FE2" w:rsidRPr="002A34F0">
        <w:t xml:space="preserve"> EAs in the bottom third are considered poor</w:t>
      </w:r>
      <w:r w:rsidR="007B5949" w:rsidRPr="002A34F0">
        <w:t>er neighbourhoods</w:t>
      </w:r>
      <w:r w:rsidR="00B94FE2" w:rsidRPr="002A34F0">
        <w:t>, while EAs at the top</w:t>
      </w:r>
      <w:r w:rsidR="007B5949" w:rsidRPr="002A34F0">
        <w:t xml:space="preserve"> third of the ICE distribution</w:t>
      </w:r>
      <w:r w:rsidR="00B94FE2" w:rsidRPr="002A34F0">
        <w:t xml:space="preserve"> are </w:t>
      </w:r>
      <w:r w:rsidRPr="002A34F0">
        <w:t>classified as affluent</w:t>
      </w:r>
      <w:r w:rsidR="007B5949" w:rsidRPr="002A34F0">
        <w:t xml:space="preserve"> neighbourhoods</w:t>
      </w:r>
      <w:r w:rsidRPr="002A34F0">
        <w:t>.</w:t>
      </w:r>
      <w:r w:rsidR="00264148" w:rsidRPr="002A34F0">
        <w:t xml:space="preserve"> We tested model sensitivity to alternative ICE categories defined by the top/bottom ICE deciles or top/bottom ICE quintiles as well.</w:t>
      </w:r>
    </w:p>
    <w:p w14:paraId="33B9A70E" w14:textId="69773F9C" w:rsidR="00A2511A" w:rsidRPr="002A34F0" w:rsidRDefault="00A2511A" w:rsidP="0052452A">
      <w:pPr>
        <w:pStyle w:val="Heading2"/>
        <w:spacing w:line="480" w:lineRule="auto"/>
      </w:pPr>
      <w:bookmarkStart w:id="9" w:name="_Hlk138947067"/>
      <w:r w:rsidRPr="002A34F0">
        <w:t>Defining Dependent Variables: Improved Outcomes</w:t>
      </w:r>
    </w:p>
    <w:p w14:paraId="68C2BB51" w14:textId="2CC53622" w:rsidR="000C072E" w:rsidRPr="002A34F0" w:rsidRDefault="00A36177" w:rsidP="0052452A">
      <w:pPr>
        <w:spacing w:line="480" w:lineRule="auto"/>
      </w:pPr>
      <w:bookmarkStart w:id="10" w:name="_Hlk89962048"/>
      <w:bookmarkEnd w:id="9"/>
      <w:r w:rsidRPr="002A34F0">
        <w:t xml:space="preserve">We evaluate </w:t>
      </w:r>
      <w:r w:rsidR="00B626CC" w:rsidRPr="002A34F0">
        <w:t>1</w:t>
      </w:r>
      <w:r w:rsidR="0001622E" w:rsidRPr="002A34F0">
        <w:t>6</w:t>
      </w:r>
      <w:r w:rsidR="00B626CC" w:rsidRPr="002A34F0">
        <w:t xml:space="preserve"> “improved” outcome</w:t>
      </w:r>
      <w:r w:rsidR="00B611DB" w:rsidRPr="002A34F0">
        <w:t xml:space="preserve"> metrics</w:t>
      </w:r>
      <w:r w:rsidRPr="002A34F0">
        <w:t xml:space="preserve"> as dependent variables </w:t>
      </w:r>
      <w:r w:rsidR="00B611DB" w:rsidRPr="002A34F0">
        <w:t>that represent</w:t>
      </w:r>
      <w:r w:rsidR="00B626CC" w:rsidRPr="002A34F0">
        <w:t xml:space="preserve"> </w:t>
      </w:r>
      <w:r w:rsidR="009B42C7" w:rsidRPr="002A34F0">
        <w:t xml:space="preserve">5 different </w:t>
      </w:r>
      <w:r w:rsidR="00B626CC" w:rsidRPr="002A34F0">
        <w:t>domains</w:t>
      </w:r>
      <w:r w:rsidR="009B42C7" w:rsidRPr="002A34F0">
        <w:t>:</w:t>
      </w:r>
      <w:r w:rsidR="00B626CC" w:rsidRPr="002A34F0">
        <w:t xml:space="preserve"> housing quality, energy, sanitation, water</w:t>
      </w:r>
      <w:r w:rsidR="009B42C7" w:rsidRPr="002A34F0">
        <w:t>,</w:t>
      </w:r>
      <w:r w:rsidR="00B626CC" w:rsidRPr="002A34F0">
        <w:t xml:space="preserve"> and information and communication technology (ICT) use</w:t>
      </w:r>
      <w:r w:rsidR="000C072E" w:rsidRPr="002A34F0">
        <w:t>. Definitions for “improved” versus “unimproved” come directly from UN’s Sustainable Development Goal guidelines (WHO-UNICEF, 2017; UNESCO, 2021; ITU, 2023) which have been used in past literature (e.g., MacTavish et al</w:t>
      </w:r>
      <w:r w:rsidR="009E21E4" w:rsidRPr="002A34F0">
        <w:t>.</w:t>
      </w:r>
      <w:r w:rsidR="000C072E" w:rsidRPr="002A34F0">
        <w:t xml:space="preserve"> 2023)</w:t>
      </w:r>
      <w:r w:rsidR="00A75D03" w:rsidRPr="002A34F0">
        <w:t xml:space="preserve"> although are not without criticism (cf. Herrera 2019, Weststrate </w:t>
      </w:r>
      <w:r w:rsidR="009E21E4" w:rsidRPr="002A34F0">
        <w:t xml:space="preserve">et al., </w:t>
      </w:r>
      <w:r w:rsidR="00A75D03" w:rsidRPr="002A34F0">
        <w:t>2019)</w:t>
      </w:r>
      <w:r w:rsidR="000C072E" w:rsidRPr="002A34F0">
        <w:t xml:space="preserve"> (</w:t>
      </w:r>
      <w:r w:rsidR="00B626CC" w:rsidRPr="002A34F0">
        <w:t>see Appendix</w:t>
      </w:r>
      <w:r w:rsidR="00E42AE6" w:rsidRPr="002A34F0">
        <w:t xml:space="preserve"> T</w:t>
      </w:r>
      <w:r w:rsidR="00BE2D6A" w:rsidRPr="002A34F0">
        <w:t xml:space="preserve">able </w:t>
      </w:r>
      <w:r w:rsidR="008339C1" w:rsidRPr="002A34F0">
        <w:t>A.</w:t>
      </w:r>
      <w:r w:rsidR="00E42AE6" w:rsidRPr="002A34F0">
        <w:t>1</w:t>
      </w:r>
      <w:r w:rsidR="000C072E" w:rsidRPr="002A34F0">
        <w:t xml:space="preserve"> for additional details</w:t>
      </w:r>
      <w:r w:rsidR="00B626CC" w:rsidRPr="002A34F0">
        <w:t>).</w:t>
      </w:r>
      <w:r w:rsidR="00F63A4B" w:rsidRPr="002A34F0">
        <w:t xml:space="preserve"> </w:t>
      </w:r>
      <w:bookmarkStart w:id="11" w:name="_Hlk140150510"/>
      <w:r w:rsidR="00EB0C7E" w:rsidRPr="002A34F0">
        <w:t xml:space="preserve">These metrics indicate </w:t>
      </w:r>
      <w:r w:rsidR="00EB0C7E" w:rsidRPr="002A34F0">
        <w:lastRenderedPageBreak/>
        <w:t xml:space="preserve">whether a household has ownership or access to certain materials or services, but cannot speak to reliability, availability, quality, or cost. </w:t>
      </w:r>
      <w:bookmarkEnd w:id="11"/>
      <w:r w:rsidR="001F38B2" w:rsidRPr="002A34F0">
        <w:t>Housing quality and the other service outcomes are related to defen</w:t>
      </w:r>
      <w:r w:rsidR="00E103F1" w:rsidRPr="002A34F0">
        <w:t>s</w:t>
      </w:r>
      <w:r w:rsidR="001F38B2" w:rsidRPr="002A34F0">
        <w:t>e mechanisms that protect residents from life- and health-threatening pollutants, pathogens, and other environmental and social risks (Songsore &amp; McGranahan, 1993). ICT outcomes are related to health as increased access to information can have a positive effect on the usage of health services (Abekah-Nkrumah et al., 2014).</w:t>
      </w:r>
    </w:p>
    <w:p w14:paraId="1D37150E" w14:textId="66144089" w:rsidR="00B626CC" w:rsidRPr="002A34F0" w:rsidRDefault="00167E54" w:rsidP="000C072E">
      <w:pPr>
        <w:spacing w:line="480" w:lineRule="auto"/>
        <w:ind w:firstLine="720"/>
      </w:pPr>
      <w:r w:rsidRPr="002A34F0">
        <w:t>In the models presented below, t</w:t>
      </w:r>
      <w:r w:rsidR="00AA4BC2" w:rsidRPr="002A34F0">
        <w:t xml:space="preserve">he dependent variable is the percentage of households with improved outcomes </w:t>
      </w:r>
      <w:r w:rsidR="00441E78" w:rsidRPr="002A34F0">
        <w:t>withi</w:t>
      </w:r>
      <w:r w:rsidR="0095080F" w:rsidRPr="002A34F0">
        <w:t>n an</w:t>
      </w:r>
      <w:r w:rsidR="00AA4BC2" w:rsidRPr="002A34F0">
        <w:t xml:space="preserve"> SES</w:t>
      </w:r>
      <w:r w:rsidR="0095080F" w:rsidRPr="002A34F0">
        <w:t xml:space="preserve"> category</w:t>
      </w:r>
      <w:r w:rsidR="00AA4BC2" w:rsidRPr="002A34F0">
        <w:t>.</w:t>
      </w:r>
      <w:r w:rsidR="009B42C7" w:rsidRPr="002A34F0">
        <w:t xml:space="preserve"> </w:t>
      </w:r>
      <w:r w:rsidR="00441E78" w:rsidRPr="002A34F0">
        <w:t>In</w:t>
      </w:r>
      <w:r w:rsidR="000F0CE8" w:rsidRPr="002A34F0">
        <w:t xml:space="preserve"> the h</w:t>
      </w:r>
      <w:r w:rsidR="00B626CC" w:rsidRPr="002A34F0">
        <w:t>ousing quality</w:t>
      </w:r>
      <w:r w:rsidR="000F0CE8" w:rsidRPr="002A34F0">
        <w:t xml:space="preserve"> domain, we</w:t>
      </w:r>
      <w:r w:rsidR="00B626CC" w:rsidRPr="002A34F0">
        <w:t xml:space="preserve"> include dwelling type, </w:t>
      </w:r>
      <w:r w:rsidR="00B763EB" w:rsidRPr="002A34F0">
        <w:t xml:space="preserve">and </w:t>
      </w:r>
      <w:r w:rsidR="00B626CC" w:rsidRPr="002A34F0">
        <w:t>wall, roof type, and flooring</w:t>
      </w:r>
      <w:r w:rsidR="00B763EB" w:rsidRPr="002A34F0">
        <w:t xml:space="preserve"> material</w:t>
      </w:r>
      <w:r w:rsidR="00B626CC" w:rsidRPr="002A34F0">
        <w:t xml:space="preserve">. </w:t>
      </w:r>
      <w:r w:rsidR="00B763EB" w:rsidRPr="002A34F0">
        <w:t xml:space="preserve">For </w:t>
      </w:r>
      <w:r w:rsidR="00B626CC" w:rsidRPr="002A34F0">
        <w:t xml:space="preserve">energy use </w:t>
      </w:r>
      <w:r w:rsidR="00B763EB" w:rsidRPr="002A34F0">
        <w:t>we examine the use of improved</w:t>
      </w:r>
      <w:r w:rsidR="00B626CC" w:rsidRPr="002A34F0">
        <w:t xml:space="preserve"> lighting source</w:t>
      </w:r>
      <w:r w:rsidR="00B763EB" w:rsidRPr="002A34F0">
        <w:t>s</w:t>
      </w:r>
      <w:r w:rsidR="00B626CC" w:rsidRPr="002A34F0">
        <w:t xml:space="preserve"> and cooking fuel</w:t>
      </w:r>
      <w:r w:rsidR="00B763EB" w:rsidRPr="002A34F0">
        <w:t>s</w:t>
      </w:r>
      <w:r w:rsidR="00B626CC" w:rsidRPr="002A34F0">
        <w:t xml:space="preserve">. Sanitation outcomes </w:t>
      </w:r>
      <w:r w:rsidR="00B763EB" w:rsidRPr="002A34F0">
        <w:t xml:space="preserve">include use of improved </w:t>
      </w:r>
      <w:r w:rsidR="00B626CC" w:rsidRPr="002A34F0">
        <w:t>toilet</w:t>
      </w:r>
      <w:r w:rsidR="00B763EB" w:rsidRPr="002A34F0">
        <w:t>s</w:t>
      </w:r>
      <w:r w:rsidR="00B626CC" w:rsidRPr="002A34F0">
        <w:t>, liquid waste</w:t>
      </w:r>
      <w:r w:rsidR="00BB5321" w:rsidRPr="002A34F0">
        <w:t>,</w:t>
      </w:r>
      <w:r w:rsidR="00B626CC" w:rsidRPr="002A34F0">
        <w:t xml:space="preserve"> and solid waste disposal. </w:t>
      </w:r>
      <w:r w:rsidR="004264FA" w:rsidRPr="002A34F0">
        <w:t>Drinking w</w:t>
      </w:r>
      <w:r w:rsidR="00B626CC" w:rsidRPr="002A34F0">
        <w:t xml:space="preserve">ater </w:t>
      </w:r>
      <w:r w:rsidR="004264FA" w:rsidRPr="002A34F0">
        <w:t>outcomes are</w:t>
      </w:r>
      <w:r w:rsidR="00B626CC" w:rsidRPr="002A34F0">
        <w:t xml:space="preserve"> </w:t>
      </w:r>
      <w:r w:rsidR="004264FA" w:rsidRPr="002A34F0">
        <w:t>disaggregated</w:t>
      </w:r>
      <w:r w:rsidR="00B626CC" w:rsidRPr="002A34F0">
        <w:t xml:space="preserve"> </w:t>
      </w:r>
      <w:r w:rsidR="004264FA" w:rsidRPr="002A34F0">
        <w:t xml:space="preserve">into </w:t>
      </w:r>
      <w:r w:rsidR="000C1B70" w:rsidRPr="002A34F0">
        <w:t xml:space="preserve">percent of households with </w:t>
      </w:r>
      <w:r w:rsidR="004264FA" w:rsidRPr="002A34F0">
        <w:t>piped, vended, and other improved sources to show variations in water use</w:t>
      </w:r>
      <w:r w:rsidR="00B626CC" w:rsidRPr="002A34F0">
        <w:t>. ICT outcomes provide information on individuals with mobile</w:t>
      </w:r>
      <w:r w:rsidR="00847FBC" w:rsidRPr="002A34F0">
        <w:t xml:space="preserve"> phone</w:t>
      </w:r>
      <w:r w:rsidR="00B626CC" w:rsidRPr="002A34F0">
        <w:t xml:space="preserve">s or access to the internet, and households that have access to home computers and fixed </w:t>
      </w:r>
      <w:r w:rsidR="0095080F" w:rsidRPr="002A34F0">
        <w:t>land</w:t>
      </w:r>
      <w:r w:rsidR="00B626CC" w:rsidRPr="002A34F0">
        <w:t xml:space="preserve">lines. </w:t>
      </w:r>
      <w:bookmarkStart w:id="12" w:name="_Hlk138947954"/>
      <w:r w:rsidR="008067C0" w:rsidRPr="002A34F0">
        <w:t xml:space="preserve">Access to </w:t>
      </w:r>
      <w:r w:rsidR="008829D7" w:rsidRPr="002A34F0">
        <w:t>improved</w:t>
      </w:r>
      <w:r w:rsidR="008067C0" w:rsidRPr="002A34F0">
        <w:t xml:space="preserve"> outcomes for some of these variables are contingent on household purchasing power, while others, such as those related to neighbo</w:t>
      </w:r>
      <w:r w:rsidR="003A5320" w:rsidRPr="002A34F0">
        <w:t>u</w:t>
      </w:r>
      <w:r w:rsidR="008067C0" w:rsidRPr="002A34F0">
        <w:t xml:space="preserve">rhood amenities are more related to </w:t>
      </w:r>
      <w:r w:rsidR="00FF14D6" w:rsidRPr="002A34F0">
        <w:t xml:space="preserve">decisions made by private services and public authorities. </w:t>
      </w:r>
      <w:bookmarkEnd w:id="12"/>
    </w:p>
    <w:bookmarkEnd w:id="10"/>
    <w:p w14:paraId="78C675F8" w14:textId="68F00DB0" w:rsidR="00AE0A57" w:rsidRPr="002A34F0" w:rsidRDefault="00AE0A57" w:rsidP="0052452A">
      <w:pPr>
        <w:pStyle w:val="Heading2"/>
        <w:spacing w:line="480" w:lineRule="auto"/>
      </w:pPr>
      <w:r w:rsidRPr="002A34F0">
        <w:t>Modelling Strategy</w:t>
      </w:r>
    </w:p>
    <w:p w14:paraId="1E51945A" w14:textId="25899E2E" w:rsidR="00CB5A66" w:rsidRPr="002A34F0" w:rsidRDefault="00AE0A57" w:rsidP="0052452A">
      <w:pPr>
        <w:spacing w:before="240" w:after="240" w:line="480" w:lineRule="auto"/>
      </w:pPr>
      <w:r w:rsidRPr="002A34F0">
        <w:t xml:space="preserve">Our goal is </w:t>
      </w:r>
      <w:r w:rsidR="00954310" w:rsidRPr="002A34F0">
        <w:t>to model</w:t>
      </w:r>
      <w:r w:rsidRPr="002A34F0">
        <w:t xml:space="preserve"> how </w:t>
      </w:r>
      <w:r w:rsidR="00954310" w:rsidRPr="002A34F0">
        <w:t xml:space="preserve">differences in rates of </w:t>
      </w:r>
      <w:r w:rsidRPr="002A34F0">
        <w:t>improved household outcome</w:t>
      </w:r>
      <w:r w:rsidR="00954310" w:rsidRPr="002A34F0">
        <w:t>s</w:t>
      </w:r>
      <w:r w:rsidRPr="002A34F0">
        <w:t xml:space="preserve"> </w:t>
      </w:r>
      <w:r w:rsidR="00954310" w:rsidRPr="002A34F0">
        <w:t>are</w:t>
      </w:r>
      <w:r w:rsidRPr="002A34F0">
        <w:t xml:space="preserve"> explained by household SES versus </w:t>
      </w:r>
      <w:r w:rsidR="00197898" w:rsidRPr="002A34F0">
        <w:t>neighbourhood</w:t>
      </w:r>
      <w:r w:rsidRPr="002A34F0">
        <w:t xml:space="preserve"> </w:t>
      </w:r>
      <w:r w:rsidR="00280ED7" w:rsidRPr="002A34F0">
        <w:t>SES</w:t>
      </w:r>
      <w:r w:rsidRPr="002A34F0">
        <w:t xml:space="preserve">. </w:t>
      </w:r>
      <w:r w:rsidR="00B45CE9" w:rsidRPr="002A34F0">
        <w:t xml:space="preserve">Notably, </w:t>
      </w:r>
      <w:r w:rsidR="007E2A7D" w:rsidRPr="002A34F0">
        <w:t xml:space="preserve">our approach aims to separate out </w:t>
      </w:r>
      <w:r w:rsidR="00F87973" w:rsidRPr="002A34F0">
        <w:t>whether</w:t>
      </w:r>
      <w:r w:rsidR="007E2A7D" w:rsidRPr="002A34F0">
        <w:t xml:space="preserve"> </w:t>
      </w:r>
      <w:r w:rsidR="00F87973" w:rsidRPr="002A34F0">
        <w:t>better living conditions are</w:t>
      </w:r>
      <w:r w:rsidR="007E2A7D" w:rsidRPr="002A34F0">
        <w:t xml:space="preserve"> associated </w:t>
      </w:r>
      <w:r w:rsidR="00F87973" w:rsidRPr="002A34F0">
        <w:t xml:space="preserve">with </w:t>
      </w:r>
      <w:r w:rsidR="007E2A7D" w:rsidRPr="002A34F0">
        <w:t xml:space="preserve">household </w:t>
      </w:r>
      <w:r w:rsidR="00F87973" w:rsidRPr="002A34F0">
        <w:t>or</w:t>
      </w:r>
      <w:r w:rsidR="007E2A7D" w:rsidRPr="002A34F0">
        <w:t xml:space="preserve"> neighbourhood</w:t>
      </w:r>
      <w:r w:rsidR="00F87973" w:rsidRPr="002A34F0">
        <w:t xml:space="preserve"> </w:t>
      </w:r>
      <w:r w:rsidR="00280ED7" w:rsidRPr="002A34F0">
        <w:t>SES</w:t>
      </w:r>
      <w:r w:rsidR="00F87973" w:rsidRPr="002A34F0">
        <w:t xml:space="preserve">. </w:t>
      </w:r>
      <w:r w:rsidR="00CB5A66" w:rsidRPr="002A34F0">
        <w:t xml:space="preserve">It is beyond the scope of this paper </w:t>
      </w:r>
      <w:r w:rsidR="00F87973" w:rsidRPr="002A34F0">
        <w:t>to develop</w:t>
      </w:r>
      <w:r w:rsidR="00A753FF" w:rsidRPr="002A34F0">
        <w:t xml:space="preserve"> models </w:t>
      </w:r>
      <w:r w:rsidR="0066279A" w:rsidRPr="002A34F0">
        <w:t xml:space="preserve">that attempt </w:t>
      </w:r>
      <w:r w:rsidR="0066279A" w:rsidRPr="002A34F0">
        <w:lastRenderedPageBreak/>
        <w:t xml:space="preserve">to </w:t>
      </w:r>
      <w:r w:rsidR="00835D0A" w:rsidRPr="002A34F0">
        <w:t xml:space="preserve">explain </w:t>
      </w:r>
      <w:r w:rsidR="0066279A" w:rsidRPr="002A34F0">
        <w:t>associations with</w:t>
      </w:r>
      <w:r w:rsidR="00F87973" w:rsidRPr="002A34F0">
        <w:t xml:space="preserve"> </w:t>
      </w:r>
      <w:r w:rsidR="00A753FF" w:rsidRPr="002A34F0">
        <w:t xml:space="preserve">improved outcomes through </w:t>
      </w:r>
      <w:r w:rsidR="000C36F5" w:rsidRPr="002A34F0">
        <w:t>various</w:t>
      </w:r>
      <w:r w:rsidR="00A753FF" w:rsidRPr="002A34F0">
        <w:t xml:space="preserve"> covariates</w:t>
      </w:r>
      <w:r w:rsidR="00675A67" w:rsidRPr="002A34F0">
        <w:t xml:space="preserve">, rather </w:t>
      </w:r>
      <w:r w:rsidR="00B96732" w:rsidRPr="002A34F0">
        <w:t>we</w:t>
      </w:r>
      <w:r w:rsidR="00675A67" w:rsidRPr="002A34F0">
        <w:t xml:space="preserve"> focus on independent associations with household and neighbourhood SES, and the interaction</w:t>
      </w:r>
      <w:r w:rsidR="00B96732" w:rsidRPr="002A34F0">
        <w:t xml:space="preserve"> between them</w:t>
      </w:r>
      <w:r w:rsidR="00F87973" w:rsidRPr="002A34F0">
        <w:t>.</w:t>
      </w:r>
      <w:r w:rsidR="007E2A7D" w:rsidRPr="002A34F0">
        <w:t xml:space="preserve"> </w:t>
      </w:r>
    </w:p>
    <w:p w14:paraId="2D2B401B" w14:textId="02C15E12" w:rsidR="004D3628" w:rsidRPr="002A34F0" w:rsidRDefault="00AE0A57" w:rsidP="0052452A">
      <w:pPr>
        <w:spacing w:before="240" w:after="240" w:line="480" w:lineRule="auto"/>
        <w:ind w:firstLine="720"/>
      </w:pPr>
      <w:r w:rsidRPr="002A34F0">
        <w:t xml:space="preserve">Outcomes for each SES group are summarized at the EA-level as proportions. We follow Papke and Wooldridge’s (1996) quasi-likelihood approach to estimate a generalized linear model using </w:t>
      </w:r>
      <w:r w:rsidR="00C34F86" w:rsidRPr="002A34F0">
        <w:t xml:space="preserve">a </w:t>
      </w:r>
      <w:r w:rsidRPr="002A34F0">
        <w:t xml:space="preserve">logit-link function which respects the (0, 1) range of the dependent variable. </w:t>
      </w:r>
      <w:r w:rsidR="007D556B" w:rsidRPr="002A34F0">
        <w:t>The</w:t>
      </w:r>
      <w:r w:rsidRPr="002A34F0">
        <w:t xml:space="preserve"> expected value of the </w:t>
      </w:r>
      <w:r w:rsidR="008C4069" w:rsidRPr="002A34F0">
        <w:t xml:space="preserve">improved </w:t>
      </w:r>
      <w:r w:rsidRPr="002A34F0">
        <w:t xml:space="preserve">outcome </w:t>
      </w:r>
      <w:r w:rsidRPr="002A34F0">
        <w:rPr>
          <w:i/>
          <w:iCs/>
        </w:rPr>
        <w:t>E(y|x)</w:t>
      </w:r>
      <w:r w:rsidRPr="002A34F0">
        <w:t xml:space="preserve"> </w:t>
      </w:r>
      <w:r w:rsidR="00BB4672" w:rsidRPr="002A34F0">
        <w:t xml:space="preserve">is </w:t>
      </w:r>
      <w:r w:rsidR="007D556B" w:rsidRPr="002A34F0">
        <w:t xml:space="preserve">estimated </w:t>
      </w:r>
      <w:r w:rsidRPr="002A34F0">
        <w:t xml:space="preserve">using a logistic function, and then parameters </w:t>
      </w:r>
      <w:r w:rsidR="007D556B" w:rsidRPr="002A34F0">
        <w:t xml:space="preserve">are estimated </w:t>
      </w:r>
      <w:r w:rsidRPr="002A34F0">
        <w:t>using Bernoulli quasi-likelihood methods. Th</w:t>
      </w:r>
      <w:r w:rsidR="009B42C7" w:rsidRPr="002A34F0">
        <w:t xml:space="preserve">e advantage of this </w:t>
      </w:r>
      <w:r w:rsidR="00BB4672" w:rsidRPr="002A34F0">
        <w:t xml:space="preserve">approach </w:t>
      </w:r>
      <w:r w:rsidR="009B42C7" w:rsidRPr="002A34F0">
        <w:t xml:space="preserve">is that it </w:t>
      </w:r>
      <w:r w:rsidRPr="002A34F0">
        <w:t xml:space="preserve">does not assume any underlying structure to obtain </w:t>
      </w:r>
      <w:r w:rsidRPr="002A34F0">
        <w:rPr>
          <w:i/>
          <w:iCs/>
        </w:rPr>
        <w:t>y</w:t>
      </w:r>
      <w:r w:rsidRPr="002A34F0">
        <w:t xml:space="preserve">, only requiring that the conditional mean is specified correctly to ensure the predictions are bound between 0 and 1. </w:t>
      </w:r>
    </w:p>
    <w:p w14:paraId="1773835E" w14:textId="3D8D519A" w:rsidR="004D3628" w:rsidRPr="002A34F0" w:rsidRDefault="004D3628" w:rsidP="0052452A">
      <w:pPr>
        <w:spacing w:line="480" w:lineRule="auto"/>
        <w:ind w:firstLine="720"/>
      </w:pPr>
      <w:r w:rsidRPr="002A34F0">
        <w:t>Our</w:t>
      </w:r>
      <w:r w:rsidR="00396FE3" w:rsidRPr="002A34F0">
        <w:t xml:space="preserve"> core</w:t>
      </w:r>
      <w:r w:rsidRPr="002A34F0">
        <w:t xml:space="preserve"> model is specified as follows:</w:t>
      </w:r>
    </w:p>
    <w:p w14:paraId="2D519256" w14:textId="65747976" w:rsidR="00C12B1B" w:rsidRPr="002A34F0" w:rsidRDefault="00000000" w:rsidP="0052452A">
      <w:pPr>
        <w:spacing w:line="480" w:lineRule="auto"/>
        <w:jc w:val="center"/>
      </w:pPr>
      <m:oMath>
        <m:sSubSup>
          <m:sSubSupPr>
            <m:ctrlPr>
              <w:rPr>
                <w:rFonts w:ascii="Cambria Math" w:eastAsia="Cambria Math" w:hAnsi="Cambria Math" w:cs="Cambria Math"/>
                <w:i/>
                <w:lang w:val="en-GB" w:eastAsia="en-GB"/>
              </w:rPr>
            </m:ctrlPr>
          </m:sSubSupPr>
          <m:e>
            <m:r>
              <w:rPr>
                <w:rFonts w:ascii="Cambria Math" w:eastAsia="Cambria Math" w:hAnsi="Cambria Math" w:cs="Cambria Math"/>
              </w:rPr>
              <m:t>Y</m:t>
            </m:r>
          </m:e>
          <m:sub>
            <m:r>
              <w:rPr>
                <w:rFonts w:ascii="Cambria Math" w:eastAsia="Cambria Math" w:hAnsi="Cambria Math" w:cs="Cambria Math"/>
              </w:rPr>
              <m:t>ij</m:t>
            </m:r>
          </m:sub>
          <m:sup>
            <m:r>
              <w:rPr>
                <w:rFonts w:ascii="Cambria Math" w:eastAsia="Cambria Math" w:hAnsi="Cambria Math" w:cs="Cambria Math"/>
              </w:rPr>
              <m:t>q</m:t>
            </m:r>
          </m:sup>
        </m:sSub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0</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1</m:t>
            </m:r>
          </m:sub>
        </m:sSub>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2</m:t>
            </m:r>
          </m:sub>
        </m:sSub>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3</m:t>
            </m:r>
          </m:sub>
        </m:sSub>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ij</m:t>
            </m:r>
          </m:sub>
        </m:sSub>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j</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ε</m:t>
            </m:r>
          </m:e>
          <m:sub>
            <m:r>
              <w:rPr>
                <w:rFonts w:ascii="Cambria Math" w:eastAsia="Cambria Math" w:hAnsi="Cambria Math" w:cs="Cambria Math"/>
              </w:rPr>
              <m:t>ij</m:t>
            </m:r>
          </m:sub>
        </m:sSub>
      </m:oMath>
      <w:r w:rsidR="00C12B1B" w:rsidRPr="002A34F0">
        <w:rPr>
          <w:rFonts w:ascii="Cambria Math" w:eastAsia="Cambria Math" w:hAnsi="Cambria Math" w:cs="Cambria Math"/>
        </w:rPr>
        <w:tab/>
      </w:r>
      <w:r w:rsidR="00C12B1B" w:rsidRPr="002A34F0">
        <w:rPr>
          <w:rFonts w:ascii="Cambria Math" w:eastAsia="Cambria Math" w:hAnsi="Cambria Math" w:cs="Cambria Math"/>
        </w:rPr>
        <w:tab/>
        <w:t>(1)</w:t>
      </w:r>
    </w:p>
    <w:p w14:paraId="7FE137C5" w14:textId="574C981D" w:rsidR="00DE05F7" w:rsidRPr="002A34F0" w:rsidRDefault="00C12B1B" w:rsidP="0052452A">
      <w:pPr>
        <w:spacing w:line="480" w:lineRule="auto"/>
      </w:pPr>
      <w:r w:rsidRPr="002A34F0">
        <w:t xml:space="preserve">where the </w:t>
      </w:r>
      <w:r w:rsidRPr="002A34F0">
        <w:rPr>
          <w:i/>
          <w:iCs/>
        </w:rPr>
        <w:t>Y</w:t>
      </w:r>
      <w:r w:rsidRPr="002A34F0">
        <w:rPr>
          <w:i/>
          <w:iCs/>
          <w:vertAlign w:val="subscript"/>
        </w:rPr>
        <w:t>ij</w:t>
      </w:r>
      <w:r w:rsidRPr="002A34F0">
        <w:t xml:space="preserve"> is </w:t>
      </w:r>
      <w:r w:rsidR="00964156" w:rsidRPr="002A34F0">
        <w:t xml:space="preserve">the proportion of households with </w:t>
      </w:r>
      <w:r w:rsidRPr="002A34F0">
        <w:t>improved outcome</w:t>
      </w:r>
      <w:r w:rsidR="00F312C6" w:rsidRPr="002A34F0">
        <w:t xml:space="preserve"> </w:t>
      </w:r>
      <w:r w:rsidR="00F312C6" w:rsidRPr="002A34F0">
        <w:rPr>
          <w:i/>
          <w:iCs/>
        </w:rPr>
        <w:t>q</w:t>
      </w:r>
      <w:r w:rsidRPr="002A34F0">
        <w:t xml:space="preserve"> for household</w:t>
      </w:r>
      <w:r w:rsidR="00964156" w:rsidRPr="002A34F0">
        <w:t xml:space="preserve"> SES category</w:t>
      </w:r>
      <w:r w:rsidRPr="002A34F0">
        <w:t xml:space="preserve"> </w:t>
      </w:r>
      <w:r w:rsidRPr="002A34F0">
        <w:rPr>
          <w:i/>
          <w:iCs/>
        </w:rPr>
        <w:t xml:space="preserve">i </w:t>
      </w:r>
      <w:r w:rsidRPr="002A34F0">
        <w:t xml:space="preserve">in enumeration area </w:t>
      </w:r>
      <w:r w:rsidRPr="002A34F0">
        <w:rPr>
          <w:i/>
        </w:rPr>
        <w:t xml:space="preserve">j, </w:t>
      </w:r>
      <w:r w:rsidR="00CE52F3" w:rsidRPr="002A34F0">
        <w:rPr>
          <w:i/>
          <w:iCs/>
        </w:rPr>
        <w:t>H</w:t>
      </w:r>
      <w:r w:rsidRPr="002A34F0">
        <w:rPr>
          <w:i/>
          <w:iCs/>
          <w:vertAlign w:val="subscript"/>
        </w:rPr>
        <w:t>i</w:t>
      </w:r>
      <w:r w:rsidRPr="002A34F0">
        <w:t xml:space="preserve"> is the household SES</w:t>
      </w:r>
      <w:r w:rsidR="00964156" w:rsidRPr="002A34F0">
        <w:t xml:space="preserve"> category</w:t>
      </w:r>
      <w:r w:rsidRPr="002A34F0">
        <w:t xml:space="preserve"> and </w:t>
      </w:r>
      <w:r w:rsidR="00964156" w:rsidRPr="002A34F0">
        <w:rPr>
          <w:i/>
          <w:iCs/>
        </w:rPr>
        <w:t>N</w:t>
      </w:r>
      <w:r w:rsidRPr="002A34F0">
        <w:rPr>
          <w:i/>
          <w:iCs/>
          <w:vertAlign w:val="subscript"/>
        </w:rPr>
        <w:t>j</w:t>
      </w:r>
      <w:r w:rsidRPr="002A34F0">
        <w:t xml:space="preserve"> denotes neighbourhood </w:t>
      </w:r>
      <w:r w:rsidR="00280ED7" w:rsidRPr="002A34F0">
        <w:t xml:space="preserve">SES </w:t>
      </w:r>
      <w:r w:rsidR="00964156" w:rsidRPr="002A34F0">
        <w:t>category</w:t>
      </w:r>
      <w:r w:rsidRPr="002A34F0">
        <w:t xml:space="preserve"> as indicated by its ICE value. </w:t>
      </w:r>
      <m:oMath>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1</m:t>
            </m:r>
          </m:sub>
        </m:sSub>
      </m:oMath>
      <w:r w:rsidR="003E7846" w:rsidRPr="002A34F0">
        <w:t xml:space="preserve"> estimates </w:t>
      </w:r>
      <w:r w:rsidRPr="002A34F0">
        <w:t>the independent effect of household</w:t>
      </w:r>
      <w:r w:rsidR="00250B8F" w:rsidRPr="002A34F0">
        <w:t>s’</w:t>
      </w:r>
      <w:r w:rsidRPr="002A34F0">
        <w:t xml:space="preserve"> SES</w:t>
      </w:r>
      <w:r w:rsidR="003E7846" w:rsidRPr="002A34F0">
        <w:t xml:space="preserve"> on</w:t>
      </w:r>
      <w:r w:rsidRPr="002A34F0">
        <w:t xml:space="preserve"> the </w:t>
      </w:r>
      <w:r w:rsidR="00250B8F" w:rsidRPr="002A34F0">
        <w:t>proportion with</w:t>
      </w:r>
      <w:r w:rsidR="00BD3D01" w:rsidRPr="002A34F0">
        <w:t xml:space="preserve"> an</w:t>
      </w:r>
      <w:r w:rsidR="00250B8F" w:rsidRPr="002A34F0">
        <w:t xml:space="preserve"> improved</w:t>
      </w:r>
      <w:r w:rsidR="00BD3D01" w:rsidRPr="002A34F0">
        <w:t xml:space="preserve"> outcome</w:t>
      </w:r>
      <w:r w:rsidR="00907998" w:rsidRPr="002A34F0">
        <w:t xml:space="preserve">; </w:t>
      </w:r>
      <m:oMath>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2</m:t>
            </m:r>
          </m:sub>
        </m:sSub>
      </m:oMath>
      <w:r w:rsidR="003E7846" w:rsidRPr="002A34F0">
        <w:t xml:space="preserve"> </w:t>
      </w:r>
      <w:r w:rsidRPr="002A34F0">
        <w:t xml:space="preserve">accounts for the same at the neighbourhood level. </w:t>
      </w:r>
      <m:oMath>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3</m:t>
            </m:r>
          </m:sub>
        </m:sSub>
      </m:oMath>
      <w:r w:rsidR="003E7846" w:rsidRPr="002A34F0">
        <w:t xml:space="preserve"> </w:t>
      </w:r>
      <w:r w:rsidR="00B772AB" w:rsidRPr="002A34F0">
        <w:t xml:space="preserve">estimates the effect of the </w:t>
      </w:r>
      <w:r w:rsidRPr="002A34F0">
        <w:t>interaction</w:t>
      </w:r>
      <w:r w:rsidR="00EA6652" w:rsidRPr="002A34F0">
        <w:t xml:space="preserve"> of household and neighbourhood </w:t>
      </w:r>
      <w:r w:rsidR="00280ED7" w:rsidRPr="002A34F0">
        <w:t xml:space="preserve">SES </w:t>
      </w:r>
      <w:r w:rsidRPr="002A34F0">
        <w:t>(</w:t>
      </w:r>
      <w:r w:rsidR="00B772AB" w:rsidRPr="002A34F0">
        <w:rPr>
          <w:i/>
          <w:iCs/>
        </w:rPr>
        <w:t>H</w:t>
      </w:r>
      <w:r w:rsidRPr="002A34F0">
        <w:rPr>
          <w:i/>
          <w:iCs/>
          <w:vertAlign w:val="subscript"/>
        </w:rPr>
        <w:t>i</w:t>
      </w:r>
      <w:r w:rsidR="00B772AB" w:rsidRPr="002A34F0">
        <w:rPr>
          <w:i/>
          <w:iCs/>
          <w:vertAlign w:val="subscript"/>
        </w:rPr>
        <w:t>j</w:t>
      </w:r>
      <w:r w:rsidR="00B772AB" w:rsidRPr="002A34F0">
        <w:rPr>
          <w:i/>
          <w:iCs/>
        </w:rPr>
        <w:t>N</w:t>
      </w:r>
      <w:r w:rsidR="00B772AB" w:rsidRPr="002A34F0">
        <w:rPr>
          <w:i/>
          <w:iCs/>
          <w:vertAlign w:val="subscript"/>
        </w:rPr>
        <w:t>j</w:t>
      </w:r>
      <w:r w:rsidRPr="002A34F0">
        <w:t>) to jointly account for the type of household living in a specific neighbourhood type. We estimate this model in STATA 1</w:t>
      </w:r>
      <w:r w:rsidR="000C36F5" w:rsidRPr="002A34F0">
        <w:t>6</w:t>
      </w:r>
      <w:r w:rsidRPr="002A34F0">
        <w:t xml:space="preserve"> (</w:t>
      </w:r>
      <w:r w:rsidR="008355CA" w:rsidRPr="002A34F0">
        <w:t>StataCorp, 2019</w:t>
      </w:r>
      <w:r w:rsidRPr="002A34F0">
        <w:t xml:space="preserve">) using the glm function with the binomial family, logit link, and </w:t>
      </w:r>
      <w:r w:rsidR="00674275" w:rsidRPr="002A34F0">
        <w:t xml:space="preserve">a </w:t>
      </w:r>
      <w:r w:rsidRPr="002A34F0">
        <w:t>robust variance estimator.</w:t>
      </w:r>
      <w:r w:rsidR="00DE05F7" w:rsidRPr="002A34F0">
        <w:t xml:space="preserve"> </w:t>
      </w:r>
    </w:p>
    <w:p w14:paraId="31141436" w14:textId="77777777" w:rsidR="002A1CB3" w:rsidRPr="002A34F0" w:rsidRDefault="002A1CB3" w:rsidP="0052452A">
      <w:pPr>
        <w:spacing w:line="480" w:lineRule="auto"/>
      </w:pPr>
    </w:p>
    <w:p w14:paraId="1B7E0035" w14:textId="22DB8300" w:rsidR="0003235A" w:rsidRPr="002A34F0" w:rsidRDefault="0003235A" w:rsidP="0052452A">
      <w:pPr>
        <w:pStyle w:val="Heading2"/>
        <w:spacing w:line="480" w:lineRule="auto"/>
      </w:pPr>
      <w:r w:rsidRPr="002A34F0">
        <w:lastRenderedPageBreak/>
        <w:t>Interpreting Model Results</w:t>
      </w:r>
    </w:p>
    <w:p w14:paraId="6603C08A" w14:textId="76FD4AD4" w:rsidR="00A963B5" w:rsidRPr="002A34F0" w:rsidRDefault="00F61482" w:rsidP="00A963B5">
      <w:pPr>
        <w:pStyle w:val="Newparagraph"/>
      </w:pPr>
      <w:r w:rsidRPr="002A34F0">
        <w:t xml:space="preserve">The </w:t>
      </w:r>
      <w:r w:rsidR="00417224" w:rsidRPr="002A34F0">
        <w:t xml:space="preserve">model </w:t>
      </w:r>
      <w:r w:rsidRPr="002A34F0">
        <w:t xml:space="preserve">presented in </w:t>
      </w:r>
      <w:r w:rsidR="00417224" w:rsidRPr="002A34F0">
        <w:t>eq. 1 estimate</w:t>
      </w:r>
      <w:r w:rsidR="00CF0835" w:rsidRPr="002A34F0">
        <w:t>s</w:t>
      </w:r>
      <w:r w:rsidR="00417224" w:rsidRPr="002A34F0">
        <w:t xml:space="preserve"> household versus neighbourhood </w:t>
      </w:r>
      <w:r w:rsidR="00D46CB1" w:rsidRPr="002A34F0">
        <w:t>effects on</w:t>
      </w:r>
      <w:r w:rsidR="00417224" w:rsidRPr="002A34F0">
        <w:t xml:space="preserve"> improved outcomes independently</w:t>
      </w:r>
      <w:r w:rsidR="00CF0835" w:rsidRPr="002A34F0">
        <w:t xml:space="preserve"> and </w:t>
      </w:r>
      <w:r w:rsidR="00417224" w:rsidRPr="002A34F0">
        <w:t>joint</w:t>
      </w:r>
      <w:r w:rsidR="00CF0835" w:rsidRPr="002A34F0">
        <w:t>ly via the</w:t>
      </w:r>
      <w:r w:rsidR="00417224" w:rsidRPr="002A34F0">
        <w:t xml:space="preserve"> interaction</w:t>
      </w:r>
      <w:r w:rsidR="00CF0835" w:rsidRPr="002A34F0">
        <w:t xml:space="preserve"> term</w:t>
      </w:r>
      <w:r w:rsidR="00417224" w:rsidRPr="002A34F0">
        <w:t xml:space="preserve">. </w:t>
      </w:r>
      <w:r w:rsidR="00A963B5" w:rsidRPr="002A34F0">
        <w:t xml:space="preserve">We use two prediction methods to </w:t>
      </w:r>
      <w:r w:rsidR="001407BA" w:rsidRPr="002A34F0">
        <w:t>estimate independent effects of household versus neighbourhood SES</w:t>
      </w:r>
      <w:r w:rsidR="00A0579C" w:rsidRPr="002A34F0">
        <w:t xml:space="preserve"> while also accounting for their joint interactions</w:t>
      </w:r>
      <w:r w:rsidR="00A963B5" w:rsidRPr="002A34F0">
        <w:t xml:space="preserve">: average marginal effects (AMEs) and average adjusted predictions (AAPs). </w:t>
      </w:r>
    </w:p>
    <w:p w14:paraId="72E50507" w14:textId="33A3F0E7" w:rsidR="00EE0F9B" w:rsidRPr="002A34F0" w:rsidRDefault="00A963B5" w:rsidP="002A1CB3">
      <w:pPr>
        <w:pStyle w:val="Newparagraph"/>
      </w:pPr>
      <w:r w:rsidRPr="002A34F0">
        <w:t xml:space="preserve"> AMEs </w:t>
      </w:r>
      <w:r w:rsidR="002A1CB3" w:rsidRPr="002A34F0">
        <w:t xml:space="preserve">help us </w:t>
      </w:r>
      <w:r w:rsidR="00E032B2" w:rsidRPr="002A34F0">
        <w:t xml:space="preserve">assess whether </w:t>
      </w:r>
      <w:r w:rsidRPr="002A34F0">
        <w:t xml:space="preserve">household SES </w:t>
      </w:r>
      <w:r w:rsidR="00E032B2" w:rsidRPr="002A34F0">
        <w:t>or</w:t>
      </w:r>
      <w:r w:rsidRPr="002A34F0">
        <w:t xml:space="preserve"> </w:t>
      </w:r>
      <w:r w:rsidR="00EE0F9B" w:rsidRPr="002A34F0">
        <w:t>neighbourhood</w:t>
      </w:r>
      <w:r w:rsidRPr="002A34F0">
        <w:t xml:space="preserve"> </w:t>
      </w:r>
      <w:r w:rsidR="002A1CB3" w:rsidRPr="002A34F0">
        <w:t xml:space="preserve">affluence </w:t>
      </w:r>
      <w:r w:rsidR="00E032B2" w:rsidRPr="002A34F0">
        <w:t>is more strongly associated with improved outcomes</w:t>
      </w:r>
      <w:r w:rsidRPr="002A34F0">
        <w:t xml:space="preserve">. AMEs around 0 suggest </w:t>
      </w:r>
      <w:r w:rsidR="00E032B2" w:rsidRPr="002A34F0">
        <w:t>little</w:t>
      </w:r>
      <w:r w:rsidRPr="002A34F0">
        <w:t xml:space="preserve"> difference</w:t>
      </w:r>
      <w:r w:rsidR="002A1CB3" w:rsidRPr="002A34F0">
        <w:t xml:space="preserve"> relative to</w:t>
      </w:r>
      <w:r w:rsidRPr="002A34F0">
        <w:t xml:space="preserve"> the </w:t>
      </w:r>
      <w:r w:rsidR="00E032B2" w:rsidRPr="002A34F0">
        <w:t xml:space="preserve">middle-income </w:t>
      </w:r>
      <w:r w:rsidRPr="002A34F0">
        <w:t xml:space="preserve">group. </w:t>
      </w:r>
      <w:r w:rsidR="0003235A" w:rsidRPr="002A34F0">
        <w:t xml:space="preserve">AAPs </w:t>
      </w:r>
      <w:r w:rsidR="00A1706B" w:rsidRPr="002A34F0">
        <w:t>are</w:t>
      </w:r>
      <w:r w:rsidR="00A545B0" w:rsidRPr="002A34F0">
        <w:t xml:space="preserve"> </w:t>
      </w:r>
      <w:r w:rsidR="002A1CB3" w:rsidRPr="002A34F0">
        <w:t xml:space="preserve">a </w:t>
      </w:r>
      <w:r w:rsidR="00A545B0" w:rsidRPr="002A34F0">
        <w:t>regression-adjusted response variable</w:t>
      </w:r>
      <w:r w:rsidR="002A1CB3" w:rsidRPr="002A34F0">
        <w:t xml:space="preserve">, which </w:t>
      </w:r>
      <w:r w:rsidR="00303E13" w:rsidRPr="002A34F0">
        <w:t>allow</w:t>
      </w:r>
      <w:r w:rsidR="002A1CB3" w:rsidRPr="002A34F0">
        <w:t>s</w:t>
      </w:r>
      <w:r w:rsidR="00303E13" w:rsidRPr="002A34F0">
        <w:t xml:space="preserve"> us to</w:t>
      </w:r>
      <w:r w:rsidR="00EE0F9B" w:rsidRPr="002A34F0">
        <w:t xml:space="preserve"> </w:t>
      </w:r>
      <w:r w:rsidR="0003235A" w:rsidRPr="002A34F0">
        <w:t>interpret model results</w:t>
      </w:r>
      <w:r w:rsidR="00303E13" w:rsidRPr="002A34F0">
        <w:t xml:space="preserve"> </w:t>
      </w:r>
      <w:r w:rsidR="0003235A" w:rsidRPr="002A34F0">
        <w:t xml:space="preserve">for different </w:t>
      </w:r>
      <w:r w:rsidR="002A1CB3" w:rsidRPr="002A34F0">
        <w:t>scenarios</w:t>
      </w:r>
      <w:r w:rsidR="0003235A" w:rsidRPr="002A34F0">
        <w:t xml:space="preserve">. </w:t>
      </w:r>
      <w:r w:rsidR="00A75579" w:rsidRPr="002A34F0">
        <w:t xml:space="preserve">To obtain </w:t>
      </w:r>
      <w:r w:rsidR="00EE0F9B" w:rsidRPr="002A34F0">
        <w:t>AAPs</w:t>
      </w:r>
      <w:r w:rsidR="00A75579" w:rsidRPr="002A34F0">
        <w:t xml:space="preserve">, </w:t>
      </w:r>
      <w:r w:rsidR="005C718B" w:rsidRPr="002A34F0">
        <w:t>we</w:t>
      </w:r>
      <w:r w:rsidR="006E5693" w:rsidRPr="002A34F0">
        <w:t xml:space="preserve"> use the fitted model to</w:t>
      </w:r>
      <w:r w:rsidR="005C718B" w:rsidRPr="002A34F0">
        <w:t xml:space="preserve"> </w:t>
      </w:r>
      <w:r w:rsidR="009F1395" w:rsidRPr="002A34F0">
        <w:t>predict</w:t>
      </w:r>
      <w:r w:rsidR="005C718B" w:rsidRPr="002A34F0">
        <w:t xml:space="preserve"> the </w:t>
      </w:r>
      <w:r w:rsidR="002404E4" w:rsidRPr="002A34F0">
        <w:t>margin (</w:t>
      </w:r>
      <w:r w:rsidR="005C718B" w:rsidRPr="002A34F0">
        <w:t>averag</w:t>
      </w:r>
      <w:r w:rsidR="009F1395" w:rsidRPr="002A34F0">
        <w:t>e improved outcome rate</w:t>
      </w:r>
      <w:r w:rsidR="002404E4" w:rsidRPr="002A34F0">
        <w:t>)</w:t>
      </w:r>
      <w:r w:rsidR="009F1395" w:rsidRPr="002A34F0">
        <w:t xml:space="preserve"> for each group of interest (SES</w:t>
      </w:r>
      <w:r w:rsidR="002A1CB3" w:rsidRPr="002A34F0">
        <w:t xml:space="preserve"> </w:t>
      </w:r>
      <w:r w:rsidR="009F1395" w:rsidRPr="002A34F0">
        <w:t>x</w:t>
      </w:r>
      <w:r w:rsidR="002A1CB3" w:rsidRPr="002A34F0">
        <w:t xml:space="preserve"> </w:t>
      </w:r>
      <w:r w:rsidR="009F1395" w:rsidRPr="002A34F0">
        <w:t xml:space="preserve">Location) </w:t>
      </w:r>
      <w:r w:rsidR="006E5693" w:rsidRPr="002A34F0">
        <w:t xml:space="preserve">by fixing values of </w:t>
      </w:r>
      <w:r w:rsidR="002404E4" w:rsidRPr="002A34F0">
        <w:t xml:space="preserve">the </w:t>
      </w:r>
      <w:r w:rsidR="006E5693" w:rsidRPr="002A34F0">
        <w:t>covariates</w:t>
      </w:r>
      <w:r w:rsidR="00F61FD3" w:rsidRPr="002A34F0">
        <w:t xml:space="preserve"> (Williams</w:t>
      </w:r>
      <w:r w:rsidR="008458C5" w:rsidRPr="002A34F0">
        <w:t>,</w:t>
      </w:r>
      <w:r w:rsidR="00F61FD3" w:rsidRPr="002A34F0">
        <w:t xml:space="preserve"> 2012)</w:t>
      </w:r>
      <w:r w:rsidR="009F1395" w:rsidRPr="002A34F0">
        <w:t>.</w:t>
      </w:r>
      <w:r w:rsidR="002404E4" w:rsidRPr="002A34F0">
        <w:t xml:space="preserve"> </w:t>
      </w:r>
      <w:r w:rsidR="00DB36CB" w:rsidRPr="002A34F0">
        <w:t xml:space="preserve">AAPs allow us to estimate </w:t>
      </w:r>
      <w:r w:rsidR="00952E29" w:rsidRPr="002A34F0">
        <w:t>expected values for an outcome</w:t>
      </w:r>
      <w:r w:rsidR="000612E4" w:rsidRPr="002A34F0">
        <w:t xml:space="preserve"> for each household SES category for each neighbourhood ICE </w:t>
      </w:r>
      <w:r w:rsidR="00EF56A1" w:rsidRPr="002A34F0">
        <w:t>tertile</w:t>
      </w:r>
      <w:r w:rsidR="0003235A" w:rsidRPr="002A34F0">
        <w:t xml:space="preserve">. </w:t>
      </w:r>
      <w:r w:rsidR="002A1CB3" w:rsidRPr="002A34F0">
        <w:t xml:space="preserve">We </w:t>
      </w:r>
      <w:r w:rsidR="00952E29" w:rsidRPr="002A34F0">
        <w:t xml:space="preserve">spatially map the outcomes of AAPs </w:t>
      </w:r>
      <w:r w:rsidR="001C2A48" w:rsidRPr="002A34F0">
        <w:t xml:space="preserve">for </w:t>
      </w:r>
      <w:r w:rsidR="00E2722B" w:rsidRPr="002A34F0">
        <w:t xml:space="preserve">poor and affluent household in poor and affluent neighbourhoods. </w:t>
      </w:r>
    </w:p>
    <w:p w14:paraId="6B9E3409" w14:textId="5AFD478C" w:rsidR="000C38BE" w:rsidRPr="002A34F0" w:rsidRDefault="000C38BE" w:rsidP="00A81A2D">
      <w:pPr>
        <w:pStyle w:val="Heading1"/>
        <w:spacing w:line="480" w:lineRule="auto"/>
      </w:pPr>
      <w:r w:rsidRPr="002A34F0">
        <w:t>Results</w:t>
      </w:r>
    </w:p>
    <w:p w14:paraId="25B23EF9" w14:textId="52189E2C" w:rsidR="00A81A2D" w:rsidRPr="002A34F0" w:rsidRDefault="00A81A2D" w:rsidP="00A81A2D">
      <w:pPr>
        <w:spacing w:before="240" w:after="240" w:line="480" w:lineRule="auto"/>
      </w:pPr>
      <w:r w:rsidRPr="002A34F0">
        <w:t xml:space="preserve">We first present a description of the spatial distribution of poverty and affluence across Accra and briefly describe spatial segregation in the city. We then present results by topical domain (housing, energy, sanitation, water, and ICT) using AMEs and AAPs to answer our research questions. </w:t>
      </w:r>
    </w:p>
    <w:p w14:paraId="04B2ECFB" w14:textId="461651D8" w:rsidR="000814CC" w:rsidRPr="002A34F0" w:rsidRDefault="00BC02A6" w:rsidP="00A81A2D">
      <w:pPr>
        <w:spacing w:before="240" w:after="240" w:line="480" w:lineRule="auto"/>
        <w:rPr>
          <w:b/>
          <w:bCs/>
          <w:i/>
          <w:iCs/>
        </w:rPr>
      </w:pPr>
      <w:r w:rsidRPr="002A34F0">
        <w:rPr>
          <w:b/>
          <w:bCs/>
          <w:i/>
          <w:iCs/>
        </w:rPr>
        <w:t xml:space="preserve">Descriptive results </w:t>
      </w:r>
    </w:p>
    <w:p w14:paraId="4B34B51E" w14:textId="6636578E" w:rsidR="0069171D" w:rsidRPr="002A34F0" w:rsidRDefault="002224B0" w:rsidP="0069171D">
      <w:pPr>
        <w:spacing w:line="480" w:lineRule="auto"/>
        <w:ind w:firstLine="720"/>
      </w:pPr>
      <w:r w:rsidRPr="002A34F0">
        <w:rPr>
          <w:bCs/>
        </w:rPr>
        <w:lastRenderedPageBreak/>
        <w:t>Our data contain</w:t>
      </w:r>
      <w:r w:rsidRPr="002A34F0">
        <w:t xml:space="preserve"> 501,851 households and 1,776,839 people living in 11 sub-metropolitan districts and 2,136 EAs in </w:t>
      </w:r>
      <w:r w:rsidR="00F14B81" w:rsidRPr="002A34F0">
        <w:t>Accra</w:t>
      </w:r>
      <w:r w:rsidRPr="002A34F0">
        <w:t xml:space="preserve">. </w:t>
      </w:r>
      <w:r w:rsidR="0069171D" w:rsidRPr="002A34F0">
        <w:t>Across Accra, while poor and affluent households exist</w:t>
      </w:r>
      <w:r w:rsidR="003453D4" w:rsidRPr="002A34F0">
        <w:t xml:space="preserve"> in</w:t>
      </w:r>
      <w:r w:rsidR="0069171D" w:rsidRPr="002A34F0">
        <w:t xml:space="preserve"> most neighborhoods, rates of poverty and affluence vary significantly (Figure </w:t>
      </w:r>
      <w:r w:rsidR="007B1136" w:rsidRPr="002A34F0">
        <w:t>2</w:t>
      </w:r>
      <w:r w:rsidR="0069171D" w:rsidRPr="002A34F0">
        <w:t xml:space="preserve">). There are pockets of poverty in the urban core, in and surrounding the traditional CBD, extending up through industrial areas along the Odaw </w:t>
      </w:r>
      <w:r w:rsidR="007962B3" w:rsidRPr="002A34F0">
        <w:t>R</w:t>
      </w:r>
      <w:r w:rsidR="0069171D" w:rsidRPr="002A34F0">
        <w:t xml:space="preserve">iver. There are high levels of concentrated poverty along the coastline, particularly near the Densu Delta in the west. There are high levels of poverty near the University of Ghana, and in areas near the airport. While many EAs with high rates of poverty are in historically vulnerable neighborhoods, such as Nima, Agbogbloshie, and Chokor, many are outside of places traditionally considered deprived. Clusters of affluence are often directly adjacent to poor areas in the core. Prominent affluent EAs can be seen in planned western neighbourhoods such as Dansoman, Mamprobi &amp; Kaneshie. East of the Odaw, there are high rates of affluence in low density neighborhoods in a corridor that spans from the government Ministries to old colonial-era planned neighborhoods to the newly developed CBD near the airport. There are also high rates of affluence near the university. The middle SES group is spread throughout Accra, but is most prominent in unplanned communities near Nima and New Town as well as the Burma Camp military installation. </w:t>
      </w:r>
    </w:p>
    <w:p w14:paraId="7C5B08BB" w14:textId="77777777" w:rsidR="00F90787" w:rsidRPr="002A34F0" w:rsidRDefault="00F90787" w:rsidP="0069171D">
      <w:pPr>
        <w:spacing w:line="480" w:lineRule="auto"/>
        <w:ind w:firstLine="720"/>
      </w:pPr>
    </w:p>
    <w:p w14:paraId="2C592F69" w14:textId="77777777" w:rsidR="00F90787" w:rsidRPr="002A34F0" w:rsidRDefault="00F90787" w:rsidP="00535836">
      <w:pPr>
        <w:spacing w:line="480" w:lineRule="auto"/>
        <w:rPr>
          <w:b/>
          <w:bCs/>
        </w:rPr>
      </w:pPr>
      <w:r w:rsidRPr="002A34F0">
        <w:rPr>
          <w:b/>
          <w:bCs/>
          <w:noProof/>
        </w:rPr>
        <w:lastRenderedPageBreak/>
        <w:drawing>
          <wp:inline distT="0" distB="0" distL="0" distR="0" wp14:anchorId="60B11112" wp14:editId="03E8C8F8">
            <wp:extent cx="5396865" cy="236093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
                      <a:extLst>
                        <a:ext uri="{28A0092B-C50C-407E-A947-70E740481C1C}">
                          <a14:useLocalDpi xmlns:a14="http://schemas.microsoft.com/office/drawing/2010/main" val="0"/>
                        </a:ext>
                      </a:extLst>
                    </a:blip>
                    <a:stretch>
                      <a:fillRect/>
                    </a:stretch>
                  </pic:blipFill>
                  <pic:spPr>
                    <a:xfrm>
                      <a:off x="0" y="0"/>
                      <a:ext cx="5396865" cy="2360930"/>
                    </a:xfrm>
                    <a:prstGeom prst="rect">
                      <a:avLst/>
                    </a:prstGeom>
                  </pic:spPr>
                </pic:pic>
              </a:graphicData>
            </a:graphic>
          </wp:inline>
        </w:drawing>
      </w:r>
    </w:p>
    <w:p w14:paraId="747C99C5" w14:textId="0D1A88DC" w:rsidR="00F90787" w:rsidRPr="002A34F0" w:rsidRDefault="00F90787" w:rsidP="001674C6">
      <w:pPr>
        <w:spacing w:line="480" w:lineRule="auto"/>
        <w:rPr>
          <w:iCs/>
        </w:rPr>
      </w:pPr>
      <w:r w:rsidRPr="002A34F0">
        <w:t xml:space="preserve">Figure 2. The percent of households in an EA that are </w:t>
      </w:r>
      <w:r w:rsidRPr="002A34F0">
        <w:rPr>
          <w:iCs/>
        </w:rPr>
        <w:t xml:space="preserve">(a) poor, (b) middle income, and (c) affluent across Accra. </w:t>
      </w:r>
    </w:p>
    <w:p w14:paraId="62A54F00" w14:textId="77777777" w:rsidR="00F90787" w:rsidRPr="002A34F0" w:rsidRDefault="00F90787" w:rsidP="001674C6">
      <w:pPr>
        <w:spacing w:line="480" w:lineRule="auto"/>
        <w:ind w:firstLine="720"/>
      </w:pPr>
    </w:p>
    <w:p w14:paraId="7AD4AF4E" w14:textId="77777777" w:rsidR="00F90787" w:rsidRPr="002A34F0" w:rsidRDefault="00F90787" w:rsidP="00535836">
      <w:pPr>
        <w:spacing w:line="480" w:lineRule="auto"/>
        <w:rPr>
          <w:b/>
          <w:bCs/>
        </w:rPr>
      </w:pPr>
      <w:r w:rsidRPr="002A34F0">
        <w:rPr>
          <w:noProof/>
        </w:rPr>
        <w:drawing>
          <wp:inline distT="0" distB="0" distL="0" distR="0" wp14:anchorId="14727503" wp14:editId="05FFC04C">
            <wp:extent cx="5396865" cy="2136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865" cy="2136140"/>
                    </a:xfrm>
                    <a:prstGeom prst="rect">
                      <a:avLst/>
                    </a:prstGeom>
                    <a:noFill/>
                    <a:ln>
                      <a:noFill/>
                    </a:ln>
                  </pic:spPr>
                </pic:pic>
              </a:graphicData>
            </a:graphic>
          </wp:inline>
        </w:drawing>
      </w:r>
    </w:p>
    <w:p w14:paraId="4C562A49" w14:textId="7634B947" w:rsidR="00F90787" w:rsidRPr="002A34F0" w:rsidRDefault="00F90787" w:rsidP="00535836">
      <w:pPr>
        <w:spacing w:line="480" w:lineRule="auto"/>
        <w:rPr>
          <w:iCs/>
        </w:rPr>
      </w:pPr>
      <w:r w:rsidRPr="002A34F0">
        <w:t xml:space="preserve">Figure 3. Segregation across Accra EAs. </w:t>
      </w:r>
      <w:r w:rsidRPr="002A34F0">
        <w:rPr>
          <w:iCs/>
        </w:rPr>
        <w:t>Panel A shows the ICE classification of each EA, and Panel B shows the EA percentage share of each SES group by ICE value.  Black lines indicate tertile threshold</w:t>
      </w:r>
      <w:r w:rsidR="00A75D03" w:rsidRPr="002A34F0">
        <w:rPr>
          <w:iCs/>
        </w:rPr>
        <w:t xml:space="preserve"> boundaries</w:t>
      </w:r>
      <w:r w:rsidRPr="002A34F0">
        <w:rPr>
          <w:iCs/>
        </w:rPr>
        <w:t xml:space="preserve">, with grey marking </w:t>
      </w:r>
      <w:r w:rsidR="008E41EF" w:rsidRPr="002A34F0">
        <w:rPr>
          <w:iCs/>
        </w:rPr>
        <w:t xml:space="preserve">alternative </w:t>
      </w:r>
      <w:r w:rsidRPr="002A34F0">
        <w:rPr>
          <w:iCs/>
        </w:rPr>
        <w:t xml:space="preserve">thresholds tested for robustness. </w:t>
      </w:r>
    </w:p>
    <w:p w14:paraId="5935E629" w14:textId="77777777" w:rsidR="0069171D" w:rsidRPr="002A34F0" w:rsidRDefault="0069171D" w:rsidP="001648E1">
      <w:pPr>
        <w:spacing w:line="480" w:lineRule="auto"/>
      </w:pPr>
    </w:p>
    <w:p w14:paraId="40151923" w14:textId="282E7323" w:rsidR="0069171D" w:rsidRPr="002A34F0" w:rsidRDefault="0069171D" w:rsidP="0069171D">
      <w:pPr>
        <w:spacing w:line="480" w:lineRule="auto"/>
        <w:ind w:firstLine="720"/>
      </w:pPr>
      <w:r w:rsidRPr="002A34F0">
        <w:t xml:space="preserve">While some neighborhoods show highly concentrated poverty or affluence, neighborhoods often contain a mix of classes (Figure </w:t>
      </w:r>
      <w:r w:rsidR="007B1136" w:rsidRPr="002A34F0">
        <w:t>3</w:t>
      </w:r>
      <w:r w:rsidRPr="002A34F0">
        <w:t xml:space="preserve">).  Figure </w:t>
      </w:r>
      <w:r w:rsidR="007B1136" w:rsidRPr="002A34F0">
        <w:t>3</w:t>
      </w:r>
      <w:r w:rsidRPr="002A34F0">
        <w:t xml:space="preserve"> shows the extent to which these neighborhoods are polarized, with orange areas showing areas that are </w:t>
      </w:r>
      <w:r w:rsidRPr="002A34F0">
        <w:lastRenderedPageBreak/>
        <w:t xml:space="preserve">dominated by poor households and dark green areas shows those that are highly affluent. This map reflects the geography of the distributional maps, however, there is greater polarization in poor areas than affluent areas. The beige EAs show areas where there are a high proportion of middle-income households or relatively equal mixes of poor and affluent households. These include middle SES areas like Burma Camp and Tema and neighborhoods to the west of the Odaw, and mixed areas like those near the university and those on the border of affluent and poor clusters. Similar to other LMIC countries, poverty is concentrated in </w:t>
      </w:r>
      <w:r w:rsidR="00D20BF6" w:rsidRPr="002A34F0">
        <w:t>core</w:t>
      </w:r>
      <w:r w:rsidRPr="002A34F0">
        <w:t xml:space="preserve"> areas, and affluence is concentrated in historically affluent neighbourhoods and recently developed areas (van Ham et al., 2021).</w:t>
      </w:r>
    </w:p>
    <w:p w14:paraId="67D4B3E5" w14:textId="3A386C7E" w:rsidR="009A2CD8" w:rsidRPr="002A34F0" w:rsidRDefault="006805D1" w:rsidP="007B1136">
      <w:pPr>
        <w:spacing w:before="240" w:after="240" w:line="480" w:lineRule="auto"/>
        <w:ind w:firstLine="720"/>
      </w:pPr>
      <w:r w:rsidRPr="002A34F0">
        <w:t xml:space="preserve">Table 1 provides </w:t>
      </w:r>
      <w:r w:rsidR="002224B0" w:rsidRPr="002A34F0">
        <w:t>a description</w:t>
      </w:r>
      <w:r w:rsidRPr="002A34F0">
        <w:t xml:space="preserve"> </w:t>
      </w:r>
      <w:r w:rsidR="002224B0" w:rsidRPr="002A34F0">
        <w:t>of</w:t>
      </w:r>
      <w:r w:rsidRPr="002A34F0">
        <w:t xml:space="preserve"> poor and affluent households living in poor versus affluent </w:t>
      </w:r>
      <w:r w:rsidR="00D43C24" w:rsidRPr="002A34F0">
        <w:t>neighbour</w:t>
      </w:r>
      <w:r w:rsidRPr="002A34F0">
        <w:t>hoods</w:t>
      </w:r>
      <w:r w:rsidR="00B0289D" w:rsidRPr="002A34F0">
        <w:t xml:space="preserve"> (EAs)</w:t>
      </w:r>
      <w:r w:rsidRPr="002A34F0">
        <w:t xml:space="preserve">. </w:t>
      </w:r>
      <w:r w:rsidR="002224B0" w:rsidRPr="002A34F0">
        <w:t>S</w:t>
      </w:r>
      <w:r w:rsidR="00007BA5" w:rsidRPr="002A34F0">
        <w:t xml:space="preserve">everal </w:t>
      </w:r>
      <w:r w:rsidR="00FB4559" w:rsidRPr="002A34F0">
        <w:t xml:space="preserve">characteristics </w:t>
      </w:r>
      <w:r w:rsidR="00A90BBB" w:rsidRPr="002A34F0">
        <w:t>are notable</w:t>
      </w:r>
      <w:r w:rsidR="00D06AC5" w:rsidRPr="002A34F0">
        <w:t xml:space="preserve">. </w:t>
      </w:r>
      <w:r w:rsidR="002C221E" w:rsidRPr="002A34F0">
        <w:t>At the household level,</w:t>
      </w:r>
      <w:r w:rsidR="00BA24C7" w:rsidRPr="002A34F0">
        <w:t xml:space="preserve"> while</w:t>
      </w:r>
      <w:r w:rsidR="001D4502" w:rsidRPr="002A34F0">
        <w:t xml:space="preserve"> about one-third of all households are female-headed</w:t>
      </w:r>
      <w:r w:rsidR="00454C48" w:rsidRPr="002A34F0">
        <w:t>,</w:t>
      </w:r>
      <w:r w:rsidR="00F37932" w:rsidRPr="002A34F0">
        <w:t xml:space="preserve"> the highest rates are in poor households in poor areas</w:t>
      </w:r>
      <w:r w:rsidR="007B1136" w:rsidRPr="002A34F0">
        <w:t xml:space="preserve"> </w:t>
      </w:r>
      <w:r w:rsidR="00FB4559" w:rsidRPr="002A34F0">
        <w:t>(41%)</w:t>
      </w:r>
      <w:r w:rsidR="002C221E" w:rsidRPr="002A34F0">
        <w:t xml:space="preserve">. </w:t>
      </w:r>
      <w:r w:rsidR="00FB195C" w:rsidRPr="002A34F0">
        <w:t xml:space="preserve">Poor households </w:t>
      </w:r>
      <w:r w:rsidR="00F14B81" w:rsidRPr="002A34F0">
        <w:t xml:space="preserve">are </w:t>
      </w:r>
      <w:r w:rsidR="00DC3639" w:rsidRPr="002A34F0">
        <w:t xml:space="preserve">also </w:t>
      </w:r>
      <w:r w:rsidR="00F14B81" w:rsidRPr="002A34F0">
        <w:t xml:space="preserve">more likely to </w:t>
      </w:r>
      <w:r w:rsidR="00FB195C" w:rsidRPr="002A34F0">
        <w:t>live rent-free</w:t>
      </w:r>
      <w:r w:rsidR="00FB4559" w:rsidRPr="002A34F0">
        <w:t xml:space="preserve"> (22</w:t>
      </w:r>
      <w:r w:rsidR="003747C1" w:rsidRPr="002A34F0">
        <w:t xml:space="preserve">% and </w:t>
      </w:r>
      <w:r w:rsidR="00FB4559" w:rsidRPr="002A34F0">
        <w:t>37%</w:t>
      </w:r>
      <w:r w:rsidR="003747C1" w:rsidRPr="002A34F0">
        <w:t xml:space="preserve"> in poor and affluent areas, respectively</w:t>
      </w:r>
      <w:r w:rsidR="00FB4559" w:rsidRPr="002A34F0">
        <w:t>)</w:t>
      </w:r>
      <w:r w:rsidR="00320B2F" w:rsidRPr="002A34F0">
        <w:t xml:space="preserve"> (</w:t>
      </w:r>
      <w:r w:rsidR="00334818" w:rsidRPr="002A34F0">
        <w:t xml:space="preserve">typically </w:t>
      </w:r>
      <w:r w:rsidR="00320B2F" w:rsidRPr="002A34F0">
        <w:t>in informal settlements or supported by family members)</w:t>
      </w:r>
      <w:r w:rsidR="00700653" w:rsidRPr="002A34F0">
        <w:t>, while affluent households rent their homes</w:t>
      </w:r>
      <w:r w:rsidR="00FB4559" w:rsidRPr="002A34F0">
        <w:t xml:space="preserve"> at higher rates (51</w:t>
      </w:r>
      <w:r w:rsidR="003747C1" w:rsidRPr="002A34F0">
        <w:t xml:space="preserve">% and </w:t>
      </w:r>
      <w:r w:rsidR="00FB4559" w:rsidRPr="002A34F0">
        <w:t>52%</w:t>
      </w:r>
      <w:r w:rsidR="003747C1" w:rsidRPr="002A34F0">
        <w:t xml:space="preserve"> in affluent and poor areas, respectively</w:t>
      </w:r>
      <w:r w:rsidR="00FB4559" w:rsidRPr="002A34F0">
        <w:t>)</w:t>
      </w:r>
      <w:r w:rsidR="00377C8D" w:rsidRPr="002A34F0">
        <w:t xml:space="preserve">. </w:t>
      </w:r>
      <w:r w:rsidR="001C5ABA" w:rsidRPr="002A34F0">
        <w:t>In Accra, e</w:t>
      </w:r>
      <w:r w:rsidR="00377C8D" w:rsidRPr="002A34F0">
        <w:t>ngagement in agriculture is</w:t>
      </w:r>
      <w:r w:rsidR="001C5ABA" w:rsidRPr="002A34F0">
        <w:t xml:space="preserve"> </w:t>
      </w:r>
      <w:r w:rsidR="00377C8D" w:rsidRPr="002A34F0">
        <w:t>rare</w:t>
      </w:r>
      <w:r w:rsidR="00682D2B" w:rsidRPr="002A34F0">
        <w:t xml:space="preserve"> </w:t>
      </w:r>
      <w:r w:rsidR="001C5ABA" w:rsidRPr="002A34F0">
        <w:t>except for</w:t>
      </w:r>
      <w:r w:rsidR="002A2D35" w:rsidRPr="002A34F0">
        <w:t xml:space="preserve"> </w:t>
      </w:r>
      <w:r w:rsidR="00A44F10" w:rsidRPr="002A34F0">
        <w:t>a</w:t>
      </w:r>
      <w:r w:rsidR="002A2D35" w:rsidRPr="002A34F0">
        <w:t xml:space="preserve">ffluent </w:t>
      </w:r>
      <w:r w:rsidR="00925CF5" w:rsidRPr="002A34F0">
        <w:t xml:space="preserve">households </w:t>
      </w:r>
      <w:r w:rsidR="00A44F10" w:rsidRPr="002A34F0">
        <w:t>within poor EAs</w:t>
      </w:r>
      <w:r w:rsidR="00860A82" w:rsidRPr="002A34F0">
        <w:t>.</w:t>
      </w:r>
      <w:r w:rsidR="00FB4559" w:rsidRPr="002A34F0">
        <w:t xml:space="preserve"> </w:t>
      </w:r>
      <w:r w:rsidR="0045777F" w:rsidRPr="002A34F0">
        <w:t>Characteristics of</w:t>
      </w:r>
      <w:r w:rsidR="0033505B" w:rsidRPr="002A34F0">
        <w:t xml:space="preserve"> individual</w:t>
      </w:r>
      <w:r w:rsidR="0045777F" w:rsidRPr="002A34F0">
        <w:t xml:space="preserve">s in these areas show that poor households have a greater number of children under the age of 14 </w:t>
      </w:r>
      <w:r w:rsidR="00FB4559" w:rsidRPr="002A34F0">
        <w:t xml:space="preserve">(34-35%) </w:t>
      </w:r>
      <w:r w:rsidR="0045777F" w:rsidRPr="002A34F0">
        <w:t xml:space="preserve">while affluent </w:t>
      </w:r>
      <w:r w:rsidR="009A2CD8" w:rsidRPr="002A34F0">
        <w:t xml:space="preserve">households </w:t>
      </w:r>
      <w:r w:rsidR="0045777F" w:rsidRPr="002A34F0">
        <w:t>have a greater proportion of working-age adults</w:t>
      </w:r>
      <w:r w:rsidR="009A2CD8" w:rsidRPr="002A34F0">
        <w:t xml:space="preserve">. There are educational differences as well, such as poor households have greater proportions that are uneducated </w:t>
      </w:r>
      <w:r w:rsidR="00FB4559" w:rsidRPr="002A34F0">
        <w:t xml:space="preserve">(12-23%) </w:t>
      </w:r>
      <w:r w:rsidR="009A2CD8" w:rsidRPr="002A34F0">
        <w:t>or have just a basic education</w:t>
      </w:r>
      <w:r w:rsidR="00FB4559" w:rsidRPr="002A34F0">
        <w:t xml:space="preserve"> (36-38%)</w:t>
      </w:r>
      <w:r w:rsidR="009A2CD8" w:rsidRPr="002A34F0">
        <w:t>, and affluent households are much more likely to have a post-secondary education</w:t>
      </w:r>
      <w:r w:rsidR="00FB4559" w:rsidRPr="002A34F0">
        <w:t xml:space="preserve"> (30-39%)</w:t>
      </w:r>
      <w:r w:rsidR="009A2CD8" w:rsidRPr="002A34F0">
        <w:t xml:space="preserve">. However, we also see that while poor </w:t>
      </w:r>
      <w:r w:rsidR="009A2CD8" w:rsidRPr="002A34F0">
        <w:lastRenderedPageBreak/>
        <w:t>households in poor EAs have lower rates of secondary education</w:t>
      </w:r>
      <w:r w:rsidR="00FB4559" w:rsidRPr="002A34F0">
        <w:t xml:space="preserve"> than other groups (37%)</w:t>
      </w:r>
      <w:r w:rsidR="009A2CD8" w:rsidRPr="002A34F0">
        <w:t xml:space="preserve">, poor households in affluent EAs </w:t>
      </w:r>
      <w:r w:rsidR="00FB4559" w:rsidRPr="002A34F0">
        <w:t>keep up with affluent households (48%)</w:t>
      </w:r>
      <w:r w:rsidR="009A2CD8" w:rsidRPr="002A34F0">
        <w:t>.</w:t>
      </w:r>
    </w:p>
    <w:p w14:paraId="3238A7CE" w14:textId="518ABCD8" w:rsidR="001A0CF6" w:rsidRPr="002A34F0" w:rsidRDefault="007B1136" w:rsidP="00535836">
      <w:pPr>
        <w:spacing w:before="240" w:after="240" w:line="480" w:lineRule="auto"/>
        <w:ind w:firstLine="720"/>
      </w:pPr>
      <w:r w:rsidRPr="002A34F0">
        <w:t>R</w:t>
      </w:r>
      <w:r w:rsidR="009A2CD8" w:rsidRPr="002A34F0">
        <w:t>egardless of SES, poor neighborhoods have far greater concentrations of Muslim households</w:t>
      </w:r>
      <w:r w:rsidR="00FB4559" w:rsidRPr="002A34F0">
        <w:t xml:space="preserve"> (20-27%)</w:t>
      </w:r>
      <w:r w:rsidR="009A2CD8" w:rsidRPr="002A34F0">
        <w:t>, while affluent neighborhoods are predominantly Christian</w:t>
      </w:r>
      <w:r w:rsidR="00FB4559" w:rsidRPr="002A34F0">
        <w:t xml:space="preserve"> (85-90%) supporting the idea </w:t>
      </w:r>
      <w:r w:rsidR="0069171D" w:rsidRPr="002A34F0">
        <w:t>that other characteristics also influence</w:t>
      </w:r>
      <w:r w:rsidR="00FB4559" w:rsidRPr="002A34F0">
        <w:t xml:space="preserve"> </w:t>
      </w:r>
      <w:r w:rsidR="0069171D" w:rsidRPr="002A34F0">
        <w:t xml:space="preserve">residential </w:t>
      </w:r>
      <w:r w:rsidR="00FB4559" w:rsidRPr="002A34F0">
        <w:t>self-selection</w:t>
      </w:r>
      <w:r w:rsidR="009A2CD8" w:rsidRPr="002A34F0">
        <w:t>.</w:t>
      </w:r>
      <w:r w:rsidR="00373814" w:rsidRPr="002A34F0">
        <w:t xml:space="preserve"> </w:t>
      </w:r>
    </w:p>
    <w:p w14:paraId="29A501E0" w14:textId="55B9ED49" w:rsidR="001A0CF6" w:rsidRPr="002A34F0" w:rsidRDefault="001A0CF6"/>
    <w:tbl>
      <w:tblPr>
        <w:tblW w:w="8080" w:type="dxa"/>
        <w:tblLook w:val="04A0" w:firstRow="1" w:lastRow="0" w:firstColumn="1" w:lastColumn="0" w:noHBand="0" w:noVBand="1"/>
      </w:tblPr>
      <w:tblGrid>
        <w:gridCol w:w="2835"/>
        <w:gridCol w:w="1276"/>
        <w:gridCol w:w="1276"/>
        <w:gridCol w:w="1417"/>
        <w:gridCol w:w="1276"/>
      </w:tblGrid>
      <w:tr w:rsidR="008203B6" w:rsidRPr="002A34F0" w14:paraId="6BA07375" w14:textId="77777777" w:rsidTr="0043791F">
        <w:trPr>
          <w:trHeight w:val="117"/>
        </w:trPr>
        <w:tc>
          <w:tcPr>
            <w:tcW w:w="8080" w:type="dxa"/>
            <w:gridSpan w:val="5"/>
            <w:shd w:val="clear" w:color="auto" w:fill="auto"/>
            <w:noWrap/>
            <w:vAlign w:val="bottom"/>
          </w:tcPr>
          <w:p w14:paraId="52D90BA4" w14:textId="14312261" w:rsidR="008203B6" w:rsidRPr="002A34F0" w:rsidRDefault="008203B6" w:rsidP="008203B6">
            <w:pPr>
              <w:rPr>
                <w:rFonts w:ascii="Calibri" w:hAnsi="Calibri" w:cs="Calibri"/>
              </w:rPr>
            </w:pPr>
            <w:r w:rsidRPr="002A34F0">
              <w:rPr>
                <w:rFonts w:ascii="Calibri" w:hAnsi="Calibri" w:cs="Calibri"/>
              </w:rPr>
              <w:t>Table 1: Population characteristics</w:t>
            </w:r>
          </w:p>
        </w:tc>
      </w:tr>
      <w:tr w:rsidR="00535836" w:rsidRPr="002A34F0" w14:paraId="072EA6F1" w14:textId="77777777" w:rsidTr="0043791F">
        <w:trPr>
          <w:trHeight w:val="176"/>
        </w:trPr>
        <w:tc>
          <w:tcPr>
            <w:tcW w:w="2835" w:type="dxa"/>
            <w:tcBorders>
              <w:top w:val="single" w:sz="4" w:space="0" w:color="000000" w:themeColor="text1"/>
            </w:tcBorders>
            <w:shd w:val="clear" w:color="auto" w:fill="auto"/>
            <w:noWrap/>
            <w:vAlign w:val="bottom"/>
            <w:hideMark/>
          </w:tcPr>
          <w:p w14:paraId="428A524B"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 </w:t>
            </w:r>
          </w:p>
        </w:tc>
        <w:tc>
          <w:tcPr>
            <w:tcW w:w="2552" w:type="dxa"/>
            <w:gridSpan w:val="2"/>
            <w:tcBorders>
              <w:top w:val="single" w:sz="4" w:space="0" w:color="000000" w:themeColor="text1"/>
            </w:tcBorders>
            <w:shd w:val="clear" w:color="auto" w:fill="auto"/>
            <w:noWrap/>
            <w:vAlign w:val="bottom"/>
            <w:hideMark/>
          </w:tcPr>
          <w:p w14:paraId="4F83D386" w14:textId="5638BA17" w:rsidR="00535836" w:rsidRPr="002A34F0" w:rsidRDefault="00535836" w:rsidP="00E85034">
            <w:pPr>
              <w:jc w:val="center"/>
              <w:rPr>
                <w:rFonts w:ascii="Calibri" w:hAnsi="Calibri" w:cs="Calibri"/>
                <w:b/>
                <w:bCs/>
                <w:color w:val="000000"/>
                <w:sz w:val="22"/>
                <w:szCs w:val="22"/>
              </w:rPr>
            </w:pPr>
            <w:r w:rsidRPr="002A34F0">
              <w:rPr>
                <w:rFonts w:ascii="Calibri" w:hAnsi="Calibri" w:cs="Calibri"/>
                <w:b/>
                <w:bCs/>
                <w:color w:val="000000"/>
                <w:sz w:val="22"/>
                <w:szCs w:val="22"/>
              </w:rPr>
              <w:t>Affluent EA (</w:t>
            </w:r>
            <w:r w:rsidR="00B73330" w:rsidRPr="002A34F0">
              <w:rPr>
                <w:rFonts w:ascii="Calibri" w:hAnsi="Calibri" w:cs="Calibri"/>
                <w:b/>
                <w:bCs/>
                <w:color w:val="000000"/>
                <w:sz w:val="22"/>
                <w:szCs w:val="22"/>
              </w:rPr>
              <w:t>712</w:t>
            </w:r>
            <w:r w:rsidRPr="002A34F0">
              <w:rPr>
                <w:rFonts w:ascii="Calibri" w:hAnsi="Calibri" w:cs="Calibri"/>
                <w:b/>
                <w:bCs/>
                <w:color w:val="000000"/>
                <w:sz w:val="22"/>
                <w:szCs w:val="22"/>
              </w:rPr>
              <w:t>)</w:t>
            </w:r>
          </w:p>
        </w:tc>
        <w:tc>
          <w:tcPr>
            <w:tcW w:w="2693" w:type="dxa"/>
            <w:gridSpan w:val="2"/>
            <w:tcBorders>
              <w:top w:val="single" w:sz="4" w:space="0" w:color="000000" w:themeColor="text1"/>
            </w:tcBorders>
            <w:shd w:val="clear" w:color="auto" w:fill="auto"/>
            <w:noWrap/>
            <w:vAlign w:val="bottom"/>
            <w:hideMark/>
          </w:tcPr>
          <w:p w14:paraId="0F569213" w14:textId="3790D9E7" w:rsidR="00535836" w:rsidRPr="002A34F0" w:rsidRDefault="00535836" w:rsidP="00E85034">
            <w:pPr>
              <w:jc w:val="center"/>
              <w:rPr>
                <w:rFonts w:ascii="Calibri" w:hAnsi="Calibri" w:cs="Calibri"/>
                <w:b/>
                <w:bCs/>
                <w:color w:val="000000"/>
                <w:sz w:val="22"/>
                <w:szCs w:val="22"/>
              </w:rPr>
            </w:pPr>
            <w:r w:rsidRPr="002A34F0">
              <w:rPr>
                <w:rFonts w:ascii="Calibri" w:hAnsi="Calibri" w:cs="Calibri"/>
                <w:b/>
                <w:bCs/>
                <w:color w:val="000000"/>
                <w:sz w:val="22"/>
                <w:szCs w:val="22"/>
              </w:rPr>
              <w:t>Poor EA (</w:t>
            </w:r>
            <w:r w:rsidR="00B73330" w:rsidRPr="002A34F0">
              <w:rPr>
                <w:rFonts w:ascii="Calibri" w:hAnsi="Calibri" w:cs="Calibri"/>
                <w:b/>
                <w:bCs/>
                <w:color w:val="000000"/>
                <w:sz w:val="22"/>
                <w:szCs w:val="22"/>
              </w:rPr>
              <w:t>712</w:t>
            </w:r>
            <w:r w:rsidRPr="002A34F0">
              <w:rPr>
                <w:rFonts w:ascii="Calibri" w:hAnsi="Calibri" w:cs="Calibri"/>
                <w:b/>
                <w:bCs/>
                <w:color w:val="000000"/>
                <w:sz w:val="22"/>
                <w:szCs w:val="22"/>
              </w:rPr>
              <w:t>)</w:t>
            </w:r>
          </w:p>
        </w:tc>
      </w:tr>
      <w:tr w:rsidR="00535836" w:rsidRPr="002A34F0" w14:paraId="66DD69DA" w14:textId="77777777" w:rsidTr="0043791F">
        <w:trPr>
          <w:trHeight w:val="176"/>
        </w:trPr>
        <w:tc>
          <w:tcPr>
            <w:tcW w:w="2835" w:type="dxa"/>
            <w:tcBorders>
              <w:bottom w:val="double" w:sz="4" w:space="0" w:color="000000" w:themeColor="text1"/>
            </w:tcBorders>
            <w:shd w:val="clear" w:color="auto" w:fill="auto"/>
            <w:noWrap/>
            <w:vAlign w:val="bottom"/>
            <w:hideMark/>
          </w:tcPr>
          <w:p w14:paraId="23C71C55"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 </w:t>
            </w:r>
          </w:p>
        </w:tc>
        <w:tc>
          <w:tcPr>
            <w:tcW w:w="1276" w:type="dxa"/>
            <w:tcBorders>
              <w:bottom w:val="double" w:sz="4" w:space="0" w:color="000000" w:themeColor="text1"/>
            </w:tcBorders>
            <w:shd w:val="clear" w:color="auto" w:fill="auto"/>
            <w:noWrap/>
            <w:vAlign w:val="bottom"/>
            <w:hideMark/>
          </w:tcPr>
          <w:p w14:paraId="2896A5DF" w14:textId="77777777" w:rsidR="00535836" w:rsidRPr="002A34F0" w:rsidRDefault="00535836" w:rsidP="00E85034">
            <w:pPr>
              <w:jc w:val="center"/>
              <w:rPr>
                <w:rFonts w:ascii="Calibri" w:hAnsi="Calibri" w:cs="Calibri"/>
                <w:color w:val="000000"/>
                <w:sz w:val="22"/>
                <w:szCs w:val="22"/>
              </w:rPr>
            </w:pPr>
            <w:r w:rsidRPr="002A34F0">
              <w:rPr>
                <w:rFonts w:ascii="Calibri" w:hAnsi="Calibri" w:cs="Calibri"/>
                <w:color w:val="000000"/>
                <w:sz w:val="22"/>
                <w:szCs w:val="22"/>
              </w:rPr>
              <w:t>Affluent hh (57,631)</w:t>
            </w:r>
          </w:p>
        </w:tc>
        <w:tc>
          <w:tcPr>
            <w:tcW w:w="1276" w:type="dxa"/>
            <w:tcBorders>
              <w:bottom w:val="double" w:sz="4" w:space="0" w:color="000000" w:themeColor="text1"/>
            </w:tcBorders>
            <w:shd w:val="clear" w:color="auto" w:fill="auto"/>
            <w:noWrap/>
            <w:vAlign w:val="bottom"/>
            <w:hideMark/>
          </w:tcPr>
          <w:p w14:paraId="3666304F" w14:textId="77777777" w:rsidR="00535836" w:rsidRPr="002A34F0" w:rsidRDefault="00535836" w:rsidP="00E85034">
            <w:pPr>
              <w:jc w:val="center"/>
              <w:rPr>
                <w:rFonts w:ascii="Calibri" w:hAnsi="Calibri" w:cs="Calibri"/>
                <w:color w:val="000000"/>
                <w:sz w:val="22"/>
                <w:szCs w:val="22"/>
              </w:rPr>
            </w:pPr>
            <w:r w:rsidRPr="002A34F0">
              <w:rPr>
                <w:rFonts w:ascii="Calibri" w:hAnsi="Calibri" w:cs="Calibri"/>
                <w:color w:val="000000"/>
                <w:sz w:val="22"/>
                <w:szCs w:val="22"/>
              </w:rPr>
              <w:t>Poor hh (15,034)</w:t>
            </w:r>
          </w:p>
        </w:tc>
        <w:tc>
          <w:tcPr>
            <w:tcW w:w="1417" w:type="dxa"/>
            <w:tcBorders>
              <w:bottom w:val="double" w:sz="4" w:space="0" w:color="000000" w:themeColor="text1"/>
            </w:tcBorders>
            <w:shd w:val="clear" w:color="auto" w:fill="auto"/>
            <w:noWrap/>
            <w:vAlign w:val="bottom"/>
            <w:hideMark/>
          </w:tcPr>
          <w:p w14:paraId="09580771" w14:textId="77777777" w:rsidR="00535836" w:rsidRPr="002A34F0" w:rsidRDefault="00535836" w:rsidP="00E85034">
            <w:pPr>
              <w:jc w:val="center"/>
              <w:rPr>
                <w:rFonts w:ascii="Calibri" w:hAnsi="Calibri" w:cs="Calibri"/>
                <w:color w:val="000000"/>
                <w:sz w:val="22"/>
                <w:szCs w:val="22"/>
              </w:rPr>
            </w:pPr>
            <w:r w:rsidRPr="002A34F0">
              <w:rPr>
                <w:rFonts w:ascii="Calibri" w:hAnsi="Calibri" w:cs="Calibri"/>
                <w:color w:val="000000"/>
                <w:sz w:val="22"/>
                <w:szCs w:val="22"/>
              </w:rPr>
              <w:t>Affluent hh (11,275)</w:t>
            </w:r>
          </w:p>
        </w:tc>
        <w:tc>
          <w:tcPr>
            <w:tcW w:w="1276" w:type="dxa"/>
            <w:tcBorders>
              <w:bottom w:val="double" w:sz="4" w:space="0" w:color="000000" w:themeColor="text1"/>
            </w:tcBorders>
            <w:shd w:val="clear" w:color="auto" w:fill="auto"/>
            <w:noWrap/>
            <w:vAlign w:val="bottom"/>
            <w:hideMark/>
          </w:tcPr>
          <w:p w14:paraId="11222B22" w14:textId="77777777" w:rsidR="00535836" w:rsidRPr="002A34F0" w:rsidRDefault="00535836" w:rsidP="00E85034">
            <w:pPr>
              <w:jc w:val="center"/>
              <w:rPr>
                <w:rFonts w:ascii="Calibri" w:hAnsi="Calibri" w:cs="Calibri"/>
                <w:color w:val="000000"/>
                <w:sz w:val="22"/>
                <w:szCs w:val="22"/>
              </w:rPr>
            </w:pPr>
            <w:r w:rsidRPr="002A34F0">
              <w:rPr>
                <w:rFonts w:ascii="Calibri" w:hAnsi="Calibri" w:cs="Calibri"/>
                <w:color w:val="000000"/>
                <w:sz w:val="22"/>
                <w:szCs w:val="22"/>
              </w:rPr>
              <w:t>Poor hh (54,581)</w:t>
            </w:r>
          </w:p>
        </w:tc>
      </w:tr>
      <w:tr w:rsidR="008203B6" w:rsidRPr="002A34F0" w14:paraId="22C5E976" w14:textId="77777777" w:rsidTr="0043791F">
        <w:trPr>
          <w:trHeight w:val="190"/>
        </w:trPr>
        <w:tc>
          <w:tcPr>
            <w:tcW w:w="2835" w:type="dxa"/>
            <w:tcBorders>
              <w:top w:val="double" w:sz="4" w:space="0" w:color="000000" w:themeColor="text1"/>
              <w:bottom w:val="single" w:sz="4" w:space="0" w:color="000000" w:themeColor="text1"/>
            </w:tcBorders>
            <w:shd w:val="clear" w:color="auto" w:fill="F2F2F2" w:themeFill="background1" w:themeFillShade="F2"/>
            <w:noWrap/>
            <w:vAlign w:val="bottom"/>
          </w:tcPr>
          <w:p w14:paraId="038A0B9C" w14:textId="0DFD42B3" w:rsidR="008203B6" w:rsidRPr="002A34F0" w:rsidRDefault="008203B6" w:rsidP="00E85034">
            <w:pPr>
              <w:rPr>
                <w:rFonts w:ascii="Calibri" w:hAnsi="Calibri" w:cs="Calibri"/>
                <w:b/>
                <w:bCs/>
                <w:color w:val="000000"/>
                <w:sz w:val="22"/>
                <w:szCs w:val="22"/>
              </w:rPr>
            </w:pPr>
            <w:r w:rsidRPr="002A34F0">
              <w:rPr>
                <w:rFonts w:ascii="Calibri" w:hAnsi="Calibri" w:cs="Calibri"/>
                <w:b/>
                <w:bCs/>
                <w:color w:val="000000"/>
                <w:sz w:val="22"/>
                <w:szCs w:val="22"/>
              </w:rPr>
              <w:t>Household characteristics</w:t>
            </w:r>
          </w:p>
        </w:tc>
        <w:tc>
          <w:tcPr>
            <w:tcW w:w="1276" w:type="dxa"/>
            <w:tcBorders>
              <w:top w:val="double" w:sz="4" w:space="0" w:color="000000" w:themeColor="text1"/>
              <w:bottom w:val="single" w:sz="4" w:space="0" w:color="000000" w:themeColor="text1"/>
            </w:tcBorders>
            <w:shd w:val="clear" w:color="auto" w:fill="F2F2F2" w:themeFill="background1" w:themeFillShade="F2"/>
            <w:noWrap/>
            <w:vAlign w:val="bottom"/>
          </w:tcPr>
          <w:p w14:paraId="61EC134C" w14:textId="77777777" w:rsidR="008203B6" w:rsidRPr="002A34F0" w:rsidRDefault="008203B6" w:rsidP="00E85034">
            <w:pPr>
              <w:rPr>
                <w:rFonts w:ascii="Calibri" w:hAnsi="Calibri" w:cs="Calibri"/>
                <w:b/>
                <w:bCs/>
                <w:color w:val="000000"/>
                <w:sz w:val="22"/>
                <w:szCs w:val="22"/>
              </w:rPr>
            </w:pPr>
          </w:p>
        </w:tc>
        <w:tc>
          <w:tcPr>
            <w:tcW w:w="1276" w:type="dxa"/>
            <w:tcBorders>
              <w:top w:val="double" w:sz="4" w:space="0" w:color="000000" w:themeColor="text1"/>
              <w:bottom w:val="single" w:sz="4" w:space="0" w:color="000000" w:themeColor="text1"/>
            </w:tcBorders>
            <w:shd w:val="clear" w:color="auto" w:fill="F2F2F2" w:themeFill="background1" w:themeFillShade="F2"/>
            <w:noWrap/>
            <w:vAlign w:val="bottom"/>
          </w:tcPr>
          <w:p w14:paraId="38AD2A38" w14:textId="77777777" w:rsidR="008203B6" w:rsidRPr="002A34F0" w:rsidRDefault="008203B6" w:rsidP="00E85034">
            <w:pPr>
              <w:rPr>
                <w:rFonts w:ascii="Calibri" w:hAnsi="Calibri" w:cs="Calibri"/>
                <w:b/>
                <w:bCs/>
                <w:color w:val="000000"/>
                <w:sz w:val="22"/>
                <w:szCs w:val="22"/>
              </w:rPr>
            </w:pPr>
          </w:p>
        </w:tc>
        <w:tc>
          <w:tcPr>
            <w:tcW w:w="1417" w:type="dxa"/>
            <w:tcBorders>
              <w:top w:val="double" w:sz="4" w:space="0" w:color="000000" w:themeColor="text1"/>
              <w:bottom w:val="single" w:sz="4" w:space="0" w:color="000000" w:themeColor="text1"/>
            </w:tcBorders>
            <w:shd w:val="clear" w:color="auto" w:fill="F2F2F2" w:themeFill="background1" w:themeFillShade="F2"/>
            <w:noWrap/>
            <w:vAlign w:val="bottom"/>
          </w:tcPr>
          <w:p w14:paraId="6639777D" w14:textId="77777777" w:rsidR="008203B6" w:rsidRPr="002A34F0" w:rsidRDefault="008203B6" w:rsidP="00E85034">
            <w:pPr>
              <w:rPr>
                <w:rFonts w:ascii="Calibri" w:hAnsi="Calibri" w:cs="Calibri"/>
                <w:b/>
                <w:bCs/>
                <w:color w:val="000000"/>
                <w:sz w:val="22"/>
                <w:szCs w:val="22"/>
              </w:rPr>
            </w:pPr>
          </w:p>
        </w:tc>
        <w:tc>
          <w:tcPr>
            <w:tcW w:w="1276" w:type="dxa"/>
            <w:tcBorders>
              <w:top w:val="double" w:sz="4" w:space="0" w:color="000000" w:themeColor="text1"/>
              <w:bottom w:val="single" w:sz="4" w:space="0" w:color="000000" w:themeColor="text1"/>
            </w:tcBorders>
            <w:shd w:val="clear" w:color="auto" w:fill="F2F2F2" w:themeFill="background1" w:themeFillShade="F2"/>
            <w:noWrap/>
            <w:vAlign w:val="bottom"/>
          </w:tcPr>
          <w:p w14:paraId="45A9EBBF" w14:textId="77777777" w:rsidR="008203B6" w:rsidRPr="002A34F0" w:rsidRDefault="008203B6" w:rsidP="00E85034">
            <w:pPr>
              <w:rPr>
                <w:rFonts w:ascii="Calibri" w:hAnsi="Calibri" w:cs="Calibri"/>
                <w:b/>
                <w:bCs/>
                <w:color w:val="000000"/>
                <w:sz w:val="22"/>
                <w:szCs w:val="22"/>
              </w:rPr>
            </w:pPr>
          </w:p>
        </w:tc>
      </w:tr>
      <w:tr w:rsidR="00535836" w:rsidRPr="002A34F0" w14:paraId="4E54F504" w14:textId="77777777" w:rsidTr="0043791F">
        <w:trPr>
          <w:trHeight w:val="165"/>
        </w:trPr>
        <w:tc>
          <w:tcPr>
            <w:tcW w:w="2835" w:type="dxa"/>
            <w:tcBorders>
              <w:top w:val="single" w:sz="4" w:space="0" w:color="000000" w:themeColor="text1"/>
              <w:bottom w:val="single" w:sz="4" w:space="0" w:color="D9D9D9" w:themeColor="background1" w:themeShade="D9"/>
            </w:tcBorders>
            <w:shd w:val="clear" w:color="auto" w:fill="auto"/>
            <w:noWrap/>
            <w:vAlign w:val="bottom"/>
            <w:hideMark/>
          </w:tcPr>
          <w:p w14:paraId="5732BA5E" w14:textId="77777777" w:rsidR="00535836" w:rsidRPr="002A34F0" w:rsidRDefault="00535836" w:rsidP="00E85034">
            <w:pPr>
              <w:rPr>
                <w:rFonts w:ascii="Calibri" w:hAnsi="Calibri" w:cs="Calibri"/>
                <w:b/>
                <w:bCs/>
                <w:i/>
                <w:iCs/>
                <w:color w:val="000000"/>
                <w:sz w:val="22"/>
                <w:szCs w:val="22"/>
              </w:rPr>
            </w:pPr>
            <w:r w:rsidRPr="002A34F0">
              <w:rPr>
                <w:rFonts w:ascii="Calibri" w:hAnsi="Calibri" w:cs="Calibri"/>
                <w:b/>
                <w:bCs/>
                <w:i/>
                <w:iCs/>
                <w:color w:val="000000"/>
                <w:sz w:val="22"/>
                <w:szCs w:val="22"/>
              </w:rPr>
              <w:t>Head of Household</w:t>
            </w: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502490BF"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25D1DF1B" w14:textId="77777777" w:rsidR="00535836" w:rsidRPr="002A34F0" w:rsidRDefault="00535836" w:rsidP="00E85034">
            <w:pPr>
              <w:rPr>
                <w:rFonts w:ascii="Calibri" w:hAnsi="Calibri" w:cs="Calibri"/>
                <w:b/>
                <w:bCs/>
                <w:i/>
                <w:iCs/>
                <w:color w:val="000000"/>
                <w:sz w:val="22"/>
                <w:szCs w:val="22"/>
              </w:rPr>
            </w:pPr>
          </w:p>
        </w:tc>
        <w:tc>
          <w:tcPr>
            <w:tcW w:w="1417" w:type="dxa"/>
            <w:tcBorders>
              <w:top w:val="single" w:sz="4" w:space="0" w:color="000000" w:themeColor="text1"/>
              <w:bottom w:val="single" w:sz="4" w:space="0" w:color="D9D9D9" w:themeColor="background1" w:themeShade="D9"/>
            </w:tcBorders>
            <w:shd w:val="clear" w:color="auto" w:fill="auto"/>
            <w:noWrap/>
            <w:vAlign w:val="bottom"/>
            <w:hideMark/>
          </w:tcPr>
          <w:p w14:paraId="7F68E1FA"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75B2257C" w14:textId="77777777" w:rsidR="00535836" w:rsidRPr="002A34F0" w:rsidRDefault="00535836" w:rsidP="00E85034">
            <w:pPr>
              <w:rPr>
                <w:rFonts w:ascii="Calibri" w:hAnsi="Calibri" w:cs="Calibri"/>
                <w:b/>
                <w:bCs/>
                <w:i/>
                <w:iCs/>
                <w:color w:val="000000"/>
                <w:sz w:val="22"/>
                <w:szCs w:val="22"/>
              </w:rPr>
            </w:pPr>
          </w:p>
        </w:tc>
      </w:tr>
      <w:tr w:rsidR="00535836" w:rsidRPr="002A34F0" w14:paraId="487CADC4" w14:textId="77777777" w:rsidTr="0043791F">
        <w:trPr>
          <w:trHeight w:val="165"/>
        </w:trPr>
        <w:tc>
          <w:tcPr>
            <w:tcW w:w="2835" w:type="dxa"/>
            <w:tcBorders>
              <w:top w:val="single" w:sz="4" w:space="0" w:color="D9D9D9" w:themeColor="background1" w:themeShade="D9"/>
              <w:bottom w:val="single" w:sz="4" w:space="0" w:color="000000" w:themeColor="text1"/>
            </w:tcBorders>
            <w:shd w:val="clear" w:color="auto" w:fill="auto"/>
            <w:noWrap/>
            <w:vAlign w:val="bottom"/>
            <w:hideMark/>
          </w:tcPr>
          <w:p w14:paraId="2C4874BE" w14:textId="7DC54E5F"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Female-headed h</w:t>
            </w:r>
            <w:r w:rsidR="001B7170" w:rsidRPr="002A34F0">
              <w:rPr>
                <w:rFonts w:ascii="Calibri" w:hAnsi="Calibri" w:cs="Calibri"/>
                <w:color w:val="000000"/>
                <w:sz w:val="22"/>
                <w:szCs w:val="22"/>
              </w:rPr>
              <w:t>ousehold</w:t>
            </w:r>
            <w:r w:rsidRPr="002A34F0">
              <w:rPr>
                <w:rFonts w:ascii="Calibri" w:hAnsi="Calibri" w:cs="Calibri"/>
                <w:color w:val="000000"/>
                <w:sz w:val="22"/>
                <w:szCs w:val="22"/>
              </w:rPr>
              <w:t xml:space="preserve"> </w:t>
            </w:r>
          </w:p>
        </w:tc>
        <w:tc>
          <w:tcPr>
            <w:tcW w:w="1276" w:type="dxa"/>
            <w:tcBorders>
              <w:top w:val="single" w:sz="4" w:space="0" w:color="D9D9D9" w:themeColor="background1" w:themeShade="D9"/>
              <w:bottom w:val="single" w:sz="4" w:space="0" w:color="000000" w:themeColor="text1"/>
            </w:tcBorders>
            <w:shd w:val="clear" w:color="auto" w:fill="auto"/>
            <w:noWrap/>
            <w:vAlign w:val="bottom"/>
            <w:hideMark/>
          </w:tcPr>
          <w:p w14:paraId="72B37224"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32%</w:t>
            </w:r>
          </w:p>
        </w:tc>
        <w:tc>
          <w:tcPr>
            <w:tcW w:w="1276" w:type="dxa"/>
            <w:tcBorders>
              <w:top w:val="single" w:sz="4" w:space="0" w:color="D9D9D9" w:themeColor="background1" w:themeShade="D9"/>
              <w:bottom w:val="single" w:sz="4" w:space="0" w:color="000000" w:themeColor="text1"/>
            </w:tcBorders>
            <w:shd w:val="clear" w:color="auto" w:fill="auto"/>
            <w:noWrap/>
            <w:vAlign w:val="bottom"/>
            <w:hideMark/>
          </w:tcPr>
          <w:p w14:paraId="692EB61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36%</w:t>
            </w:r>
          </w:p>
        </w:tc>
        <w:tc>
          <w:tcPr>
            <w:tcW w:w="1417" w:type="dxa"/>
            <w:tcBorders>
              <w:top w:val="single" w:sz="4" w:space="0" w:color="D9D9D9" w:themeColor="background1" w:themeShade="D9"/>
              <w:bottom w:val="single" w:sz="4" w:space="0" w:color="000000" w:themeColor="text1"/>
            </w:tcBorders>
            <w:shd w:val="clear" w:color="auto" w:fill="auto"/>
            <w:noWrap/>
            <w:vAlign w:val="bottom"/>
            <w:hideMark/>
          </w:tcPr>
          <w:p w14:paraId="400CFA5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30%</w:t>
            </w:r>
          </w:p>
        </w:tc>
        <w:tc>
          <w:tcPr>
            <w:tcW w:w="1276" w:type="dxa"/>
            <w:tcBorders>
              <w:top w:val="single" w:sz="4" w:space="0" w:color="D9D9D9" w:themeColor="background1" w:themeShade="D9"/>
              <w:bottom w:val="single" w:sz="4" w:space="0" w:color="000000" w:themeColor="text1"/>
            </w:tcBorders>
            <w:shd w:val="clear" w:color="auto" w:fill="auto"/>
            <w:noWrap/>
            <w:vAlign w:val="bottom"/>
            <w:hideMark/>
          </w:tcPr>
          <w:p w14:paraId="4CED5903"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41%</w:t>
            </w:r>
          </w:p>
        </w:tc>
      </w:tr>
      <w:tr w:rsidR="00535836" w:rsidRPr="002A34F0" w14:paraId="46512118" w14:textId="77777777" w:rsidTr="0043791F">
        <w:trPr>
          <w:trHeight w:val="165"/>
        </w:trPr>
        <w:tc>
          <w:tcPr>
            <w:tcW w:w="2835" w:type="dxa"/>
            <w:tcBorders>
              <w:top w:val="single" w:sz="4" w:space="0" w:color="000000" w:themeColor="text1"/>
              <w:bottom w:val="single" w:sz="4" w:space="0" w:color="D9D9D9" w:themeColor="background1" w:themeShade="D9"/>
            </w:tcBorders>
            <w:shd w:val="clear" w:color="auto" w:fill="auto"/>
            <w:noWrap/>
            <w:vAlign w:val="bottom"/>
            <w:hideMark/>
          </w:tcPr>
          <w:p w14:paraId="722324B2" w14:textId="77777777" w:rsidR="00535836" w:rsidRPr="002A34F0" w:rsidRDefault="00535836" w:rsidP="00E85034">
            <w:pPr>
              <w:rPr>
                <w:rFonts w:ascii="Calibri" w:hAnsi="Calibri" w:cs="Calibri"/>
                <w:b/>
                <w:bCs/>
                <w:i/>
                <w:iCs/>
                <w:color w:val="000000"/>
                <w:sz w:val="22"/>
                <w:szCs w:val="22"/>
              </w:rPr>
            </w:pPr>
            <w:r w:rsidRPr="002A34F0">
              <w:rPr>
                <w:rFonts w:ascii="Calibri" w:hAnsi="Calibri" w:cs="Calibri"/>
                <w:b/>
                <w:bCs/>
                <w:i/>
                <w:iCs/>
                <w:color w:val="000000"/>
                <w:sz w:val="22"/>
                <w:szCs w:val="22"/>
              </w:rPr>
              <w:t>Housing Tenure</w:t>
            </w: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4943C177"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4761D55C" w14:textId="77777777" w:rsidR="00535836" w:rsidRPr="002A34F0" w:rsidRDefault="00535836" w:rsidP="00E85034">
            <w:pPr>
              <w:rPr>
                <w:rFonts w:ascii="Calibri" w:hAnsi="Calibri" w:cs="Calibri"/>
                <w:b/>
                <w:bCs/>
                <w:i/>
                <w:iCs/>
                <w:color w:val="000000"/>
                <w:sz w:val="22"/>
                <w:szCs w:val="22"/>
              </w:rPr>
            </w:pPr>
          </w:p>
        </w:tc>
        <w:tc>
          <w:tcPr>
            <w:tcW w:w="1417" w:type="dxa"/>
            <w:tcBorders>
              <w:top w:val="single" w:sz="4" w:space="0" w:color="000000" w:themeColor="text1"/>
              <w:bottom w:val="single" w:sz="4" w:space="0" w:color="D9D9D9" w:themeColor="background1" w:themeShade="D9"/>
            </w:tcBorders>
            <w:shd w:val="clear" w:color="auto" w:fill="auto"/>
            <w:noWrap/>
            <w:vAlign w:val="bottom"/>
            <w:hideMark/>
          </w:tcPr>
          <w:p w14:paraId="0F43102E"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1AD05B74" w14:textId="77777777" w:rsidR="00535836" w:rsidRPr="002A34F0" w:rsidRDefault="00535836" w:rsidP="00E85034">
            <w:pPr>
              <w:rPr>
                <w:rFonts w:ascii="Calibri" w:hAnsi="Calibri" w:cs="Calibri"/>
                <w:b/>
                <w:bCs/>
                <w:i/>
                <w:iCs/>
                <w:color w:val="000000"/>
                <w:sz w:val="22"/>
                <w:szCs w:val="22"/>
              </w:rPr>
            </w:pPr>
          </w:p>
        </w:tc>
      </w:tr>
      <w:tr w:rsidR="00535836" w:rsidRPr="002A34F0" w14:paraId="4CC6B46A" w14:textId="77777777" w:rsidTr="0043791F">
        <w:trPr>
          <w:trHeight w:val="165"/>
        </w:trPr>
        <w:tc>
          <w:tcPr>
            <w:tcW w:w="2835" w:type="dxa"/>
            <w:tcBorders>
              <w:top w:val="single" w:sz="4" w:space="0" w:color="D9D9D9" w:themeColor="background1" w:themeShade="D9"/>
            </w:tcBorders>
            <w:shd w:val="clear" w:color="auto" w:fill="auto"/>
            <w:noWrap/>
            <w:vAlign w:val="bottom"/>
            <w:hideMark/>
          </w:tcPr>
          <w:p w14:paraId="316F7926"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Owner occupied</w:t>
            </w:r>
          </w:p>
        </w:tc>
        <w:tc>
          <w:tcPr>
            <w:tcW w:w="1276" w:type="dxa"/>
            <w:tcBorders>
              <w:top w:val="single" w:sz="4" w:space="0" w:color="D9D9D9" w:themeColor="background1" w:themeShade="D9"/>
            </w:tcBorders>
            <w:shd w:val="clear" w:color="auto" w:fill="auto"/>
            <w:noWrap/>
            <w:vAlign w:val="bottom"/>
            <w:hideMark/>
          </w:tcPr>
          <w:p w14:paraId="1C878212"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34%</w:t>
            </w:r>
          </w:p>
        </w:tc>
        <w:tc>
          <w:tcPr>
            <w:tcW w:w="1276" w:type="dxa"/>
            <w:tcBorders>
              <w:top w:val="single" w:sz="4" w:space="0" w:color="D9D9D9" w:themeColor="background1" w:themeShade="D9"/>
            </w:tcBorders>
            <w:shd w:val="clear" w:color="auto" w:fill="auto"/>
            <w:noWrap/>
            <w:vAlign w:val="bottom"/>
            <w:hideMark/>
          </w:tcPr>
          <w:p w14:paraId="1595A92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25%</w:t>
            </w:r>
          </w:p>
        </w:tc>
        <w:tc>
          <w:tcPr>
            <w:tcW w:w="1417" w:type="dxa"/>
            <w:tcBorders>
              <w:top w:val="single" w:sz="4" w:space="0" w:color="D9D9D9" w:themeColor="background1" w:themeShade="D9"/>
            </w:tcBorders>
            <w:shd w:val="clear" w:color="auto" w:fill="auto"/>
            <w:noWrap/>
            <w:vAlign w:val="bottom"/>
            <w:hideMark/>
          </w:tcPr>
          <w:p w14:paraId="29873B5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34%</w:t>
            </w:r>
          </w:p>
        </w:tc>
        <w:tc>
          <w:tcPr>
            <w:tcW w:w="1276" w:type="dxa"/>
            <w:tcBorders>
              <w:top w:val="single" w:sz="4" w:space="0" w:color="D9D9D9" w:themeColor="background1" w:themeShade="D9"/>
            </w:tcBorders>
            <w:shd w:val="clear" w:color="auto" w:fill="auto"/>
            <w:noWrap/>
            <w:vAlign w:val="bottom"/>
            <w:hideMark/>
          </w:tcPr>
          <w:p w14:paraId="43FC9AAD"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36%</w:t>
            </w:r>
          </w:p>
        </w:tc>
      </w:tr>
      <w:tr w:rsidR="00535836" w:rsidRPr="002A34F0" w14:paraId="708DC0EC" w14:textId="77777777" w:rsidTr="0043791F">
        <w:trPr>
          <w:trHeight w:val="165"/>
        </w:trPr>
        <w:tc>
          <w:tcPr>
            <w:tcW w:w="2835" w:type="dxa"/>
            <w:shd w:val="clear" w:color="auto" w:fill="auto"/>
            <w:noWrap/>
            <w:vAlign w:val="bottom"/>
            <w:hideMark/>
          </w:tcPr>
          <w:p w14:paraId="7E0430FA"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Renting</w:t>
            </w:r>
          </w:p>
        </w:tc>
        <w:tc>
          <w:tcPr>
            <w:tcW w:w="1276" w:type="dxa"/>
            <w:shd w:val="clear" w:color="auto" w:fill="auto"/>
            <w:noWrap/>
            <w:vAlign w:val="bottom"/>
            <w:hideMark/>
          </w:tcPr>
          <w:p w14:paraId="01D7EB4C"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51%</w:t>
            </w:r>
          </w:p>
        </w:tc>
        <w:tc>
          <w:tcPr>
            <w:tcW w:w="1276" w:type="dxa"/>
            <w:shd w:val="clear" w:color="auto" w:fill="auto"/>
            <w:noWrap/>
            <w:vAlign w:val="bottom"/>
            <w:hideMark/>
          </w:tcPr>
          <w:p w14:paraId="536A7B7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32%</w:t>
            </w:r>
          </w:p>
        </w:tc>
        <w:tc>
          <w:tcPr>
            <w:tcW w:w="1417" w:type="dxa"/>
            <w:shd w:val="clear" w:color="auto" w:fill="auto"/>
            <w:noWrap/>
            <w:vAlign w:val="bottom"/>
            <w:hideMark/>
          </w:tcPr>
          <w:p w14:paraId="370FF25B"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52%</w:t>
            </w:r>
          </w:p>
        </w:tc>
        <w:tc>
          <w:tcPr>
            <w:tcW w:w="1276" w:type="dxa"/>
            <w:shd w:val="clear" w:color="auto" w:fill="auto"/>
            <w:noWrap/>
            <w:vAlign w:val="bottom"/>
            <w:hideMark/>
          </w:tcPr>
          <w:p w14:paraId="79D16146"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40%</w:t>
            </w:r>
          </w:p>
        </w:tc>
      </w:tr>
      <w:tr w:rsidR="00535836" w:rsidRPr="002A34F0" w14:paraId="6DDADD3F" w14:textId="77777777" w:rsidTr="0043791F">
        <w:trPr>
          <w:trHeight w:val="165"/>
        </w:trPr>
        <w:tc>
          <w:tcPr>
            <w:tcW w:w="2835" w:type="dxa"/>
            <w:shd w:val="clear" w:color="auto" w:fill="auto"/>
            <w:noWrap/>
            <w:vAlign w:val="bottom"/>
            <w:hideMark/>
          </w:tcPr>
          <w:p w14:paraId="092F1FBD"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Rent-free</w:t>
            </w:r>
          </w:p>
        </w:tc>
        <w:tc>
          <w:tcPr>
            <w:tcW w:w="1276" w:type="dxa"/>
            <w:shd w:val="clear" w:color="auto" w:fill="auto"/>
            <w:noWrap/>
            <w:vAlign w:val="bottom"/>
            <w:hideMark/>
          </w:tcPr>
          <w:p w14:paraId="6FE14ED4"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15%</w:t>
            </w:r>
          </w:p>
        </w:tc>
        <w:tc>
          <w:tcPr>
            <w:tcW w:w="1276" w:type="dxa"/>
            <w:shd w:val="clear" w:color="auto" w:fill="auto"/>
            <w:noWrap/>
            <w:vAlign w:val="bottom"/>
            <w:hideMark/>
          </w:tcPr>
          <w:p w14:paraId="319A0B8F"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37%</w:t>
            </w:r>
          </w:p>
        </w:tc>
        <w:tc>
          <w:tcPr>
            <w:tcW w:w="1417" w:type="dxa"/>
            <w:shd w:val="clear" w:color="auto" w:fill="auto"/>
            <w:noWrap/>
            <w:vAlign w:val="bottom"/>
            <w:hideMark/>
          </w:tcPr>
          <w:p w14:paraId="7DBA4031"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14%</w:t>
            </w:r>
          </w:p>
        </w:tc>
        <w:tc>
          <w:tcPr>
            <w:tcW w:w="1276" w:type="dxa"/>
            <w:shd w:val="clear" w:color="auto" w:fill="auto"/>
            <w:noWrap/>
            <w:vAlign w:val="bottom"/>
            <w:hideMark/>
          </w:tcPr>
          <w:p w14:paraId="6D3D906F"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22%</w:t>
            </w:r>
          </w:p>
        </w:tc>
      </w:tr>
      <w:tr w:rsidR="00535836" w:rsidRPr="002A34F0" w14:paraId="5836C0D8" w14:textId="77777777" w:rsidTr="0043791F">
        <w:trPr>
          <w:trHeight w:val="165"/>
        </w:trPr>
        <w:tc>
          <w:tcPr>
            <w:tcW w:w="2835" w:type="dxa"/>
            <w:tcBorders>
              <w:bottom w:val="single" w:sz="4" w:space="0" w:color="000000" w:themeColor="text1"/>
            </w:tcBorders>
            <w:shd w:val="clear" w:color="auto" w:fill="auto"/>
            <w:noWrap/>
            <w:vAlign w:val="bottom"/>
            <w:hideMark/>
          </w:tcPr>
          <w:p w14:paraId="00669B86"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Other</w:t>
            </w:r>
          </w:p>
        </w:tc>
        <w:tc>
          <w:tcPr>
            <w:tcW w:w="1276" w:type="dxa"/>
            <w:tcBorders>
              <w:bottom w:val="single" w:sz="4" w:space="0" w:color="000000" w:themeColor="text1"/>
            </w:tcBorders>
            <w:shd w:val="clear" w:color="auto" w:fill="auto"/>
            <w:noWrap/>
            <w:vAlign w:val="bottom"/>
            <w:hideMark/>
          </w:tcPr>
          <w:p w14:paraId="7B690ADD"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276" w:type="dxa"/>
            <w:tcBorders>
              <w:bottom w:val="single" w:sz="4" w:space="0" w:color="000000" w:themeColor="text1"/>
            </w:tcBorders>
            <w:shd w:val="clear" w:color="auto" w:fill="auto"/>
            <w:noWrap/>
            <w:vAlign w:val="bottom"/>
            <w:hideMark/>
          </w:tcPr>
          <w:p w14:paraId="07D2C06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w:t>
            </w:r>
          </w:p>
        </w:tc>
        <w:tc>
          <w:tcPr>
            <w:tcW w:w="1417" w:type="dxa"/>
            <w:tcBorders>
              <w:bottom w:val="single" w:sz="4" w:space="0" w:color="000000" w:themeColor="text1"/>
            </w:tcBorders>
            <w:shd w:val="clear" w:color="auto" w:fill="auto"/>
            <w:noWrap/>
            <w:vAlign w:val="bottom"/>
            <w:hideMark/>
          </w:tcPr>
          <w:p w14:paraId="3B2C7B9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276" w:type="dxa"/>
            <w:tcBorders>
              <w:bottom w:val="single" w:sz="4" w:space="0" w:color="000000" w:themeColor="text1"/>
            </w:tcBorders>
            <w:shd w:val="clear" w:color="auto" w:fill="auto"/>
            <w:noWrap/>
            <w:vAlign w:val="bottom"/>
            <w:hideMark/>
          </w:tcPr>
          <w:p w14:paraId="348E754C"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w:t>
            </w:r>
          </w:p>
        </w:tc>
      </w:tr>
      <w:tr w:rsidR="00535836" w:rsidRPr="002A34F0" w14:paraId="3C40166B" w14:textId="77777777" w:rsidTr="0043791F">
        <w:trPr>
          <w:trHeight w:val="165"/>
        </w:trPr>
        <w:tc>
          <w:tcPr>
            <w:tcW w:w="2835" w:type="dxa"/>
            <w:tcBorders>
              <w:top w:val="single" w:sz="4" w:space="0" w:color="000000" w:themeColor="text1"/>
              <w:bottom w:val="single" w:sz="4" w:space="0" w:color="D9D9D9" w:themeColor="background1" w:themeShade="D9"/>
            </w:tcBorders>
            <w:shd w:val="clear" w:color="auto" w:fill="auto"/>
            <w:noWrap/>
            <w:vAlign w:val="bottom"/>
            <w:hideMark/>
          </w:tcPr>
          <w:p w14:paraId="47910F50" w14:textId="77777777" w:rsidR="00535836" w:rsidRPr="002A34F0" w:rsidRDefault="00535836" w:rsidP="00E85034">
            <w:pPr>
              <w:rPr>
                <w:rFonts w:ascii="Calibri" w:hAnsi="Calibri" w:cs="Calibri"/>
                <w:b/>
                <w:bCs/>
                <w:i/>
                <w:iCs/>
                <w:color w:val="000000"/>
                <w:sz w:val="22"/>
                <w:szCs w:val="22"/>
              </w:rPr>
            </w:pPr>
            <w:r w:rsidRPr="002A34F0">
              <w:rPr>
                <w:rFonts w:ascii="Calibri" w:hAnsi="Calibri" w:cs="Calibri"/>
                <w:b/>
                <w:bCs/>
                <w:i/>
                <w:iCs/>
                <w:color w:val="000000"/>
                <w:sz w:val="22"/>
                <w:szCs w:val="22"/>
              </w:rPr>
              <w:t>Agrarian</w:t>
            </w: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230538AC"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1A5BD256" w14:textId="77777777" w:rsidR="00535836" w:rsidRPr="002A34F0" w:rsidRDefault="00535836" w:rsidP="00E85034">
            <w:pPr>
              <w:rPr>
                <w:rFonts w:ascii="Calibri" w:hAnsi="Calibri" w:cs="Calibri"/>
                <w:b/>
                <w:bCs/>
                <w:i/>
                <w:iCs/>
                <w:color w:val="000000"/>
                <w:sz w:val="22"/>
                <w:szCs w:val="22"/>
              </w:rPr>
            </w:pPr>
          </w:p>
        </w:tc>
        <w:tc>
          <w:tcPr>
            <w:tcW w:w="1417" w:type="dxa"/>
            <w:tcBorders>
              <w:top w:val="single" w:sz="4" w:space="0" w:color="000000" w:themeColor="text1"/>
              <w:bottom w:val="single" w:sz="4" w:space="0" w:color="D9D9D9" w:themeColor="background1" w:themeShade="D9"/>
            </w:tcBorders>
            <w:shd w:val="clear" w:color="auto" w:fill="auto"/>
            <w:noWrap/>
            <w:vAlign w:val="bottom"/>
            <w:hideMark/>
          </w:tcPr>
          <w:p w14:paraId="4FA0FB64"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6DD91679" w14:textId="77777777" w:rsidR="00535836" w:rsidRPr="002A34F0" w:rsidRDefault="00535836" w:rsidP="00E85034">
            <w:pPr>
              <w:rPr>
                <w:rFonts w:ascii="Calibri" w:hAnsi="Calibri" w:cs="Calibri"/>
                <w:b/>
                <w:bCs/>
                <w:i/>
                <w:iCs/>
                <w:color w:val="000000"/>
                <w:sz w:val="22"/>
                <w:szCs w:val="22"/>
              </w:rPr>
            </w:pPr>
          </w:p>
        </w:tc>
      </w:tr>
      <w:tr w:rsidR="00535836" w:rsidRPr="002A34F0" w14:paraId="39767459" w14:textId="77777777" w:rsidTr="0043791F">
        <w:trPr>
          <w:trHeight w:val="165"/>
        </w:trPr>
        <w:tc>
          <w:tcPr>
            <w:tcW w:w="2835" w:type="dxa"/>
            <w:tcBorders>
              <w:top w:val="single" w:sz="4" w:space="0" w:color="D9D9D9" w:themeColor="background1" w:themeShade="D9"/>
            </w:tcBorders>
            <w:shd w:val="clear" w:color="auto" w:fill="auto"/>
            <w:noWrap/>
            <w:vAlign w:val="bottom"/>
            <w:hideMark/>
          </w:tcPr>
          <w:p w14:paraId="01A8E775" w14:textId="0B9EF662" w:rsidR="00535836" w:rsidRPr="002A34F0" w:rsidRDefault="008E41EF" w:rsidP="00E85034">
            <w:pPr>
              <w:rPr>
                <w:rFonts w:ascii="Calibri" w:hAnsi="Calibri" w:cs="Calibri"/>
                <w:color w:val="000000"/>
                <w:sz w:val="22"/>
                <w:szCs w:val="22"/>
              </w:rPr>
            </w:pPr>
            <w:r w:rsidRPr="002A34F0">
              <w:rPr>
                <w:rFonts w:ascii="Calibri" w:hAnsi="Calibri" w:cs="Calibri"/>
                <w:color w:val="000000"/>
                <w:sz w:val="22"/>
                <w:szCs w:val="22"/>
              </w:rPr>
              <w:t>Engaged in a</w:t>
            </w:r>
            <w:r w:rsidR="00535836" w:rsidRPr="002A34F0">
              <w:rPr>
                <w:rFonts w:ascii="Calibri" w:hAnsi="Calibri" w:cs="Calibri"/>
                <w:color w:val="000000"/>
                <w:sz w:val="22"/>
                <w:szCs w:val="22"/>
              </w:rPr>
              <w:t xml:space="preserve">griculture </w:t>
            </w:r>
          </w:p>
        </w:tc>
        <w:tc>
          <w:tcPr>
            <w:tcW w:w="1276" w:type="dxa"/>
            <w:tcBorders>
              <w:top w:val="single" w:sz="4" w:space="0" w:color="D9D9D9" w:themeColor="background1" w:themeShade="D9"/>
            </w:tcBorders>
            <w:shd w:val="clear" w:color="auto" w:fill="auto"/>
            <w:noWrap/>
            <w:vAlign w:val="bottom"/>
            <w:hideMark/>
          </w:tcPr>
          <w:p w14:paraId="47C42C26"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8%</w:t>
            </w:r>
          </w:p>
        </w:tc>
        <w:tc>
          <w:tcPr>
            <w:tcW w:w="1276" w:type="dxa"/>
            <w:tcBorders>
              <w:top w:val="single" w:sz="4" w:space="0" w:color="D9D9D9" w:themeColor="background1" w:themeShade="D9"/>
            </w:tcBorders>
            <w:shd w:val="clear" w:color="auto" w:fill="auto"/>
            <w:noWrap/>
            <w:vAlign w:val="bottom"/>
            <w:hideMark/>
          </w:tcPr>
          <w:p w14:paraId="4BDE93E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417" w:type="dxa"/>
            <w:tcBorders>
              <w:top w:val="single" w:sz="4" w:space="0" w:color="D9D9D9" w:themeColor="background1" w:themeShade="D9"/>
            </w:tcBorders>
            <w:shd w:val="clear" w:color="auto" w:fill="auto"/>
            <w:noWrap/>
            <w:vAlign w:val="bottom"/>
            <w:hideMark/>
          </w:tcPr>
          <w:p w14:paraId="34DE0CDE"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11%</w:t>
            </w:r>
          </w:p>
        </w:tc>
        <w:tc>
          <w:tcPr>
            <w:tcW w:w="1276" w:type="dxa"/>
            <w:tcBorders>
              <w:top w:val="single" w:sz="4" w:space="0" w:color="D9D9D9" w:themeColor="background1" w:themeShade="D9"/>
            </w:tcBorders>
            <w:shd w:val="clear" w:color="auto" w:fill="auto"/>
            <w:noWrap/>
            <w:vAlign w:val="bottom"/>
            <w:hideMark/>
          </w:tcPr>
          <w:p w14:paraId="45A080B5"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0%</w:t>
            </w:r>
          </w:p>
        </w:tc>
      </w:tr>
      <w:tr w:rsidR="00535836" w:rsidRPr="002A34F0" w14:paraId="0C0B90EF" w14:textId="77777777" w:rsidTr="0043791F">
        <w:trPr>
          <w:trHeight w:val="165"/>
        </w:trPr>
        <w:tc>
          <w:tcPr>
            <w:tcW w:w="2835" w:type="dxa"/>
            <w:shd w:val="clear" w:color="auto" w:fill="auto"/>
            <w:noWrap/>
            <w:vAlign w:val="bottom"/>
            <w:hideMark/>
          </w:tcPr>
          <w:p w14:paraId="105A56F2"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Crops</w:t>
            </w:r>
          </w:p>
        </w:tc>
        <w:tc>
          <w:tcPr>
            <w:tcW w:w="1276" w:type="dxa"/>
            <w:shd w:val="clear" w:color="auto" w:fill="auto"/>
            <w:noWrap/>
            <w:vAlign w:val="bottom"/>
            <w:hideMark/>
          </w:tcPr>
          <w:p w14:paraId="74C648DE"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68%</w:t>
            </w:r>
          </w:p>
        </w:tc>
        <w:tc>
          <w:tcPr>
            <w:tcW w:w="1276" w:type="dxa"/>
            <w:shd w:val="clear" w:color="auto" w:fill="auto"/>
            <w:noWrap/>
            <w:vAlign w:val="bottom"/>
            <w:hideMark/>
          </w:tcPr>
          <w:p w14:paraId="75E66D5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63%</w:t>
            </w:r>
          </w:p>
        </w:tc>
        <w:tc>
          <w:tcPr>
            <w:tcW w:w="1417" w:type="dxa"/>
            <w:shd w:val="clear" w:color="auto" w:fill="auto"/>
            <w:noWrap/>
            <w:vAlign w:val="bottom"/>
            <w:hideMark/>
          </w:tcPr>
          <w:p w14:paraId="23FED81D"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63%</w:t>
            </w:r>
          </w:p>
        </w:tc>
        <w:tc>
          <w:tcPr>
            <w:tcW w:w="1276" w:type="dxa"/>
            <w:shd w:val="clear" w:color="auto" w:fill="auto"/>
            <w:noWrap/>
            <w:vAlign w:val="bottom"/>
            <w:hideMark/>
          </w:tcPr>
          <w:p w14:paraId="02B59B18"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80%</w:t>
            </w:r>
          </w:p>
        </w:tc>
      </w:tr>
      <w:tr w:rsidR="00535836" w:rsidRPr="002A34F0" w14:paraId="4464B077" w14:textId="77777777" w:rsidTr="0043791F">
        <w:trPr>
          <w:trHeight w:val="165"/>
        </w:trPr>
        <w:tc>
          <w:tcPr>
            <w:tcW w:w="2835" w:type="dxa"/>
            <w:shd w:val="clear" w:color="auto" w:fill="auto"/>
            <w:noWrap/>
            <w:vAlign w:val="bottom"/>
            <w:hideMark/>
          </w:tcPr>
          <w:p w14:paraId="32C3D08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Trees</w:t>
            </w:r>
          </w:p>
        </w:tc>
        <w:tc>
          <w:tcPr>
            <w:tcW w:w="1276" w:type="dxa"/>
            <w:shd w:val="clear" w:color="auto" w:fill="auto"/>
            <w:noWrap/>
            <w:vAlign w:val="bottom"/>
            <w:hideMark/>
          </w:tcPr>
          <w:p w14:paraId="1D24BD1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w:t>
            </w:r>
          </w:p>
        </w:tc>
        <w:tc>
          <w:tcPr>
            <w:tcW w:w="1276" w:type="dxa"/>
            <w:shd w:val="clear" w:color="auto" w:fill="auto"/>
            <w:noWrap/>
            <w:vAlign w:val="bottom"/>
            <w:hideMark/>
          </w:tcPr>
          <w:p w14:paraId="2577841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w:t>
            </w:r>
          </w:p>
        </w:tc>
        <w:tc>
          <w:tcPr>
            <w:tcW w:w="1417" w:type="dxa"/>
            <w:shd w:val="clear" w:color="auto" w:fill="auto"/>
            <w:noWrap/>
            <w:vAlign w:val="bottom"/>
            <w:hideMark/>
          </w:tcPr>
          <w:p w14:paraId="75146A25"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10%</w:t>
            </w:r>
          </w:p>
        </w:tc>
        <w:tc>
          <w:tcPr>
            <w:tcW w:w="1276" w:type="dxa"/>
            <w:shd w:val="clear" w:color="auto" w:fill="auto"/>
            <w:noWrap/>
            <w:vAlign w:val="bottom"/>
            <w:hideMark/>
          </w:tcPr>
          <w:p w14:paraId="2B38FD93"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w:t>
            </w:r>
          </w:p>
        </w:tc>
      </w:tr>
      <w:tr w:rsidR="00535836" w:rsidRPr="002A34F0" w14:paraId="5450F32B" w14:textId="77777777" w:rsidTr="0043791F">
        <w:trPr>
          <w:trHeight w:val="165"/>
        </w:trPr>
        <w:tc>
          <w:tcPr>
            <w:tcW w:w="2835" w:type="dxa"/>
            <w:shd w:val="clear" w:color="auto" w:fill="auto"/>
            <w:noWrap/>
            <w:vAlign w:val="bottom"/>
            <w:hideMark/>
          </w:tcPr>
          <w:p w14:paraId="65D2AAAE"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Livestock</w:t>
            </w:r>
          </w:p>
        </w:tc>
        <w:tc>
          <w:tcPr>
            <w:tcW w:w="1276" w:type="dxa"/>
            <w:shd w:val="clear" w:color="auto" w:fill="auto"/>
            <w:noWrap/>
            <w:vAlign w:val="bottom"/>
            <w:hideMark/>
          </w:tcPr>
          <w:p w14:paraId="5DEAD32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22%</w:t>
            </w:r>
          </w:p>
        </w:tc>
        <w:tc>
          <w:tcPr>
            <w:tcW w:w="1276" w:type="dxa"/>
            <w:shd w:val="clear" w:color="auto" w:fill="auto"/>
            <w:noWrap/>
            <w:vAlign w:val="bottom"/>
            <w:hideMark/>
          </w:tcPr>
          <w:p w14:paraId="14B3D910"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33%</w:t>
            </w:r>
          </w:p>
        </w:tc>
        <w:tc>
          <w:tcPr>
            <w:tcW w:w="1417" w:type="dxa"/>
            <w:shd w:val="clear" w:color="auto" w:fill="auto"/>
            <w:noWrap/>
            <w:vAlign w:val="bottom"/>
            <w:hideMark/>
          </w:tcPr>
          <w:p w14:paraId="529AF661"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26%</w:t>
            </w:r>
          </w:p>
        </w:tc>
        <w:tc>
          <w:tcPr>
            <w:tcW w:w="1276" w:type="dxa"/>
            <w:shd w:val="clear" w:color="auto" w:fill="auto"/>
            <w:noWrap/>
            <w:vAlign w:val="bottom"/>
            <w:hideMark/>
          </w:tcPr>
          <w:p w14:paraId="1DEAD097"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15%</w:t>
            </w:r>
          </w:p>
        </w:tc>
      </w:tr>
      <w:tr w:rsidR="00535836" w:rsidRPr="002A34F0" w14:paraId="2F740321" w14:textId="77777777" w:rsidTr="0043791F">
        <w:trPr>
          <w:trHeight w:val="165"/>
        </w:trPr>
        <w:tc>
          <w:tcPr>
            <w:tcW w:w="2835" w:type="dxa"/>
            <w:shd w:val="clear" w:color="auto" w:fill="auto"/>
            <w:noWrap/>
            <w:vAlign w:val="bottom"/>
            <w:hideMark/>
          </w:tcPr>
          <w:p w14:paraId="408D88F2"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Fish</w:t>
            </w:r>
          </w:p>
        </w:tc>
        <w:tc>
          <w:tcPr>
            <w:tcW w:w="1276" w:type="dxa"/>
            <w:shd w:val="clear" w:color="auto" w:fill="auto"/>
            <w:noWrap/>
            <w:vAlign w:val="bottom"/>
            <w:hideMark/>
          </w:tcPr>
          <w:p w14:paraId="10CB7AF7"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276" w:type="dxa"/>
            <w:shd w:val="clear" w:color="auto" w:fill="auto"/>
            <w:noWrap/>
            <w:vAlign w:val="bottom"/>
            <w:hideMark/>
          </w:tcPr>
          <w:p w14:paraId="69392168"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417" w:type="dxa"/>
            <w:shd w:val="clear" w:color="auto" w:fill="auto"/>
            <w:noWrap/>
            <w:vAlign w:val="bottom"/>
            <w:hideMark/>
          </w:tcPr>
          <w:p w14:paraId="4FC37E27"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276" w:type="dxa"/>
            <w:shd w:val="clear" w:color="auto" w:fill="auto"/>
            <w:noWrap/>
            <w:vAlign w:val="bottom"/>
            <w:hideMark/>
          </w:tcPr>
          <w:p w14:paraId="19CB832D"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r>
      <w:tr w:rsidR="00535836" w:rsidRPr="002A34F0" w14:paraId="44C9491D" w14:textId="77777777" w:rsidTr="0043791F">
        <w:trPr>
          <w:trHeight w:val="165"/>
        </w:trPr>
        <w:tc>
          <w:tcPr>
            <w:tcW w:w="2835" w:type="dxa"/>
            <w:shd w:val="clear" w:color="auto" w:fill="auto"/>
            <w:noWrap/>
            <w:vAlign w:val="bottom"/>
            <w:hideMark/>
          </w:tcPr>
          <w:p w14:paraId="10A8E228" w14:textId="30E2DF26"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Non-</w:t>
            </w:r>
            <w:r w:rsidR="001B7170" w:rsidRPr="002A34F0">
              <w:rPr>
                <w:rFonts w:ascii="Calibri" w:hAnsi="Calibri" w:cs="Calibri"/>
                <w:color w:val="000000"/>
                <w:sz w:val="22"/>
                <w:szCs w:val="22"/>
              </w:rPr>
              <w:t>a</w:t>
            </w:r>
            <w:r w:rsidRPr="002A34F0">
              <w:rPr>
                <w:rFonts w:ascii="Calibri" w:hAnsi="Calibri" w:cs="Calibri"/>
                <w:color w:val="000000"/>
                <w:sz w:val="22"/>
                <w:szCs w:val="22"/>
              </w:rPr>
              <w:t>g</w:t>
            </w:r>
            <w:r w:rsidR="001B7170" w:rsidRPr="002A34F0">
              <w:rPr>
                <w:rFonts w:ascii="Calibri" w:hAnsi="Calibri" w:cs="Calibri"/>
                <w:color w:val="000000"/>
                <w:sz w:val="22"/>
                <w:szCs w:val="22"/>
              </w:rPr>
              <w:t>ricultural</w:t>
            </w:r>
            <w:r w:rsidRPr="002A34F0">
              <w:rPr>
                <w:rFonts w:ascii="Calibri" w:hAnsi="Calibri" w:cs="Calibri"/>
                <w:color w:val="000000"/>
                <w:sz w:val="22"/>
                <w:szCs w:val="22"/>
              </w:rPr>
              <w:t xml:space="preserve"> </w:t>
            </w:r>
            <w:r w:rsidR="001B7170" w:rsidRPr="002A34F0">
              <w:rPr>
                <w:rFonts w:ascii="Calibri" w:hAnsi="Calibri" w:cs="Calibri"/>
                <w:color w:val="000000"/>
                <w:sz w:val="22"/>
                <w:szCs w:val="22"/>
              </w:rPr>
              <w:t>household</w:t>
            </w:r>
          </w:p>
        </w:tc>
        <w:tc>
          <w:tcPr>
            <w:tcW w:w="1276" w:type="dxa"/>
            <w:shd w:val="clear" w:color="auto" w:fill="auto"/>
            <w:noWrap/>
            <w:vAlign w:val="bottom"/>
            <w:hideMark/>
          </w:tcPr>
          <w:p w14:paraId="39F8D1D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92%</w:t>
            </w:r>
          </w:p>
        </w:tc>
        <w:tc>
          <w:tcPr>
            <w:tcW w:w="1276" w:type="dxa"/>
            <w:shd w:val="clear" w:color="auto" w:fill="auto"/>
            <w:noWrap/>
            <w:vAlign w:val="bottom"/>
            <w:hideMark/>
          </w:tcPr>
          <w:p w14:paraId="19977050"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99%</w:t>
            </w:r>
          </w:p>
        </w:tc>
        <w:tc>
          <w:tcPr>
            <w:tcW w:w="1417" w:type="dxa"/>
            <w:shd w:val="clear" w:color="auto" w:fill="auto"/>
            <w:noWrap/>
            <w:vAlign w:val="bottom"/>
            <w:hideMark/>
          </w:tcPr>
          <w:p w14:paraId="61BC77E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89%</w:t>
            </w:r>
          </w:p>
        </w:tc>
        <w:tc>
          <w:tcPr>
            <w:tcW w:w="1276" w:type="dxa"/>
            <w:shd w:val="clear" w:color="auto" w:fill="auto"/>
            <w:noWrap/>
            <w:vAlign w:val="bottom"/>
            <w:hideMark/>
          </w:tcPr>
          <w:p w14:paraId="16513775"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100%</w:t>
            </w:r>
          </w:p>
        </w:tc>
      </w:tr>
      <w:tr w:rsidR="001968C7" w:rsidRPr="002A34F0" w14:paraId="70D3E436" w14:textId="77777777" w:rsidTr="0043791F">
        <w:trPr>
          <w:trHeight w:val="165"/>
        </w:trPr>
        <w:tc>
          <w:tcPr>
            <w:tcW w:w="2835" w:type="dxa"/>
            <w:tcBorders>
              <w:top w:val="single" w:sz="4" w:space="0" w:color="000000" w:themeColor="text1"/>
              <w:bottom w:val="single" w:sz="4" w:space="0" w:color="000000" w:themeColor="text1"/>
            </w:tcBorders>
            <w:shd w:val="clear" w:color="auto" w:fill="F2F2F2" w:themeFill="background1" w:themeFillShade="F2"/>
            <w:noWrap/>
            <w:vAlign w:val="bottom"/>
            <w:hideMark/>
          </w:tcPr>
          <w:p w14:paraId="425B73C2" w14:textId="662CD723" w:rsidR="00535836" w:rsidRPr="002A34F0" w:rsidRDefault="00535836" w:rsidP="00E85034">
            <w:pPr>
              <w:rPr>
                <w:rFonts w:ascii="Calibri" w:hAnsi="Calibri" w:cs="Calibri"/>
                <w:b/>
                <w:bCs/>
                <w:color w:val="000000"/>
                <w:sz w:val="22"/>
                <w:szCs w:val="22"/>
              </w:rPr>
            </w:pPr>
            <w:r w:rsidRPr="002A34F0">
              <w:rPr>
                <w:rFonts w:ascii="Calibri" w:hAnsi="Calibri" w:cs="Calibri"/>
                <w:b/>
                <w:bCs/>
                <w:color w:val="000000"/>
                <w:sz w:val="22"/>
                <w:szCs w:val="22"/>
              </w:rPr>
              <w:t>Individual</w:t>
            </w:r>
            <w:r w:rsidR="008203B6" w:rsidRPr="002A34F0">
              <w:rPr>
                <w:rFonts w:ascii="Calibri" w:hAnsi="Calibri" w:cs="Calibri"/>
                <w:b/>
                <w:bCs/>
                <w:color w:val="000000"/>
                <w:sz w:val="22"/>
                <w:szCs w:val="22"/>
              </w:rPr>
              <w:t xml:space="preserve"> characteristics</w:t>
            </w:r>
          </w:p>
        </w:tc>
        <w:tc>
          <w:tcPr>
            <w:tcW w:w="1276" w:type="dxa"/>
            <w:tcBorders>
              <w:top w:val="single" w:sz="4" w:space="0" w:color="000000" w:themeColor="text1"/>
              <w:bottom w:val="single" w:sz="4" w:space="0" w:color="000000" w:themeColor="text1"/>
            </w:tcBorders>
            <w:shd w:val="clear" w:color="auto" w:fill="F2F2F2" w:themeFill="background1" w:themeFillShade="F2"/>
            <w:noWrap/>
            <w:vAlign w:val="bottom"/>
            <w:hideMark/>
          </w:tcPr>
          <w:p w14:paraId="49749E43"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229,785</w:t>
            </w:r>
          </w:p>
        </w:tc>
        <w:tc>
          <w:tcPr>
            <w:tcW w:w="1276" w:type="dxa"/>
            <w:tcBorders>
              <w:top w:val="single" w:sz="4" w:space="0" w:color="000000" w:themeColor="text1"/>
              <w:bottom w:val="single" w:sz="4" w:space="0" w:color="000000" w:themeColor="text1"/>
            </w:tcBorders>
            <w:shd w:val="clear" w:color="auto" w:fill="F2F2F2" w:themeFill="background1" w:themeFillShade="F2"/>
            <w:noWrap/>
            <w:vAlign w:val="bottom"/>
            <w:hideMark/>
          </w:tcPr>
          <w:p w14:paraId="19E84071"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 45,397</w:t>
            </w:r>
          </w:p>
        </w:tc>
        <w:tc>
          <w:tcPr>
            <w:tcW w:w="1417" w:type="dxa"/>
            <w:tcBorders>
              <w:top w:val="single" w:sz="4" w:space="0" w:color="000000" w:themeColor="text1"/>
              <w:bottom w:val="single" w:sz="4" w:space="0" w:color="000000" w:themeColor="text1"/>
            </w:tcBorders>
            <w:shd w:val="clear" w:color="auto" w:fill="F2F2F2" w:themeFill="background1" w:themeFillShade="F2"/>
            <w:noWrap/>
            <w:vAlign w:val="bottom"/>
          </w:tcPr>
          <w:p w14:paraId="7DFCE931"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42,517</w:t>
            </w:r>
          </w:p>
        </w:tc>
        <w:tc>
          <w:tcPr>
            <w:tcW w:w="1276" w:type="dxa"/>
            <w:tcBorders>
              <w:top w:val="single" w:sz="4" w:space="0" w:color="000000" w:themeColor="text1"/>
              <w:bottom w:val="single" w:sz="4" w:space="0" w:color="000000" w:themeColor="text1"/>
            </w:tcBorders>
            <w:shd w:val="clear" w:color="auto" w:fill="F2F2F2" w:themeFill="background1" w:themeFillShade="F2"/>
            <w:noWrap/>
            <w:vAlign w:val="bottom"/>
            <w:hideMark/>
          </w:tcPr>
          <w:p w14:paraId="6A8AFB34"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199,256</w:t>
            </w:r>
          </w:p>
        </w:tc>
      </w:tr>
      <w:tr w:rsidR="00535836" w:rsidRPr="002A34F0" w14:paraId="23C8763A" w14:textId="77777777" w:rsidTr="0043791F">
        <w:trPr>
          <w:trHeight w:val="165"/>
        </w:trPr>
        <w:tc>
          <w:tcPr>
            <w:tcW w:w="2835" w:type="dxa"/>
            <w:tcBorders>
              <w:top w:val="single" w:sz="4" w:space="0" w:color="000000" w:themeColor="text1"/>
              <w:bottom w:val="single" w:sz="4" w:space="0" w:color="D9D9D9" w:themeColor="background1" w:themeShade="D9"/>
            </w:tcBorders>
            <w:shd w:val="clear" w:color="auto" w:fill="auto"/>
            <w:noWrap/>
            <w:vAlign w:val="bottom"/>
            <w:hideMark/>
          </w:tcPr>
          <w:p w14:paraId="0BE6E228" w14:textId="77777777" w:rsidR="00535836" w:rsidRPr="002A34F0" w:rsidRDefault="00535836" w:rsidP="00E85034">
            <w:pPr>
              <w:rPr>
                <w:rFonts w:ascii="Calibri" w:hAnsi="Calibri" w:cs="Calibri"/>
                <w:b/>
                <w:bCs/>
                <w:i/>
                <w:iCs/>
                <w:color w:val="000000"/>
                <w:sz w:val="22"/>
                <w:szCs w:val="22"/>
              </w:rPr>
            </w:pPr>
            <w:r w:rsidRPr="002A34F0">
              <w:rPr>
                <w:rFonts w:ascii="Calibri" w:hAnsi="Calibri" w:cs="Calibri"/>
                <w:b/>
                <w:bCs/>
                <w:i/>
                <w:iCs/>
                <w:color w:val="000000"/>
                <w:sz w:val="22"/>
                <w:szCs w:val="22"/>
              </w:rPr>
              <w:t>Age</w:t>
            </w: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337ED9CB"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2476229B" w14:textId="77777777" w:rsidR="00535836" w:rsidRPr="002A34F0" w:rsidRDefault="00535836" w:rsidP="00E85034">
            <w:pPr>
              <w:rPr>
                <w:rFonts w:ascii="Calibri" w:hAnsi="Calibri" w:cs="Calibri"/>
                <w:b/>
                <w:bCs/>
                <w:i/>
                <w:iCs/>
                <w:color w:val="000000"/>
                <w:sz w:val="22"/>
                <w:szCs w:val="22"/>
              </w:rPr>
            </w:pPr>
          </w:p>
        </w:tc>
        <w:tc>
          <w:tcPr>
            <w:tcW w:w="1417" w:type="dxa"/>
            <w:tcBorders>
              <w:top w:val="single" w:sz="4" w:space="0" w:color="000000" w:themeColor="text1"/>
              <w:bottom w:val="single" w:sz="4" w:space="0" w:color="D9D9D9" w:themeColor="background1" w:themeShade="D9"/>
            </w:tcBorders>
            <w:shd w:val="clear" w:color="auto" w:fill="auto"/>
            <w:noWrap/>
            <w:vAlign w:val="bottom"/>
            <w:hideMark/>
          </w:tcPr>
          <w:p w14:paraId="631A5053"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03886CF4" w14:textId="77777777" w:rsidR="00535836" w:rsidRPr="002A34F0" w:rsidRDefault="00535836" w:rsidP="00E85034">
            <w:pPr>
              <w:rPr>
                <w:rFonts w:ascii="Calibri" w:hAnsi="Calibri" w:cs="Calibri"/>
                <w:b/>
                <w:bCs/>
                <w:i/>
                <w:iCs/>
                <w:color w:val="000000"/>
                <w:sz w:val="22"/>
                <w:szCs w:val="22"/>
              </w:rPr>
            </w:pPr>
          </w:p>
        </w:tc>
      </w:tr>
      <w:tr w:rsidR="00535836" w:rsidRPr="002A34F0" w14:paraId="1365B6BC" w14:textId="77777777" w:rsidTr="0043791F">
        <w:trPr>
          <w:trHeight w:val="165"/>
        </w:trPr>
        <w:tc>
          <w:tcPr>
            <w:tcW w:w="2835" w:type="dxa"/>
            <w:tcBorders>
              <w:top w:val="single" w:sz="4" w:space="0" w:color="D9D9D9" w:themeColor="background1" w:themeShade="D9"/>
            </w:tcBorders>
            <w:shd w:val="clear" w:color="auto" w:fill="auto"/>
            <w:noWrap/>
            <w:vAlign w:val="bottom"/>
            <w:hideMark/>
          </w:tcPr>
          <w:p w14:paraId="5C6C61A4"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0-14</w:t>
            </w:r>
          </w:p>
        </w:tc>
        <w:tc>
          <w:tcPr>
            <w:tcW w:w="1276" w:type="dxa"/>
            <w:tcBorders>
              <w:top w:val="single" w:sz="4" w:space="0" w:color="D9D9D9" w:themeColor="background1" w:themeShade="D9"/>
            </w:tcBorders>
            <w:shd w:val="clear" w:color="auto" w:fill="auto"/>
            <w:noWrap/>
            <w:vAlign w:val="bottom"/>
            <w:hideMark/>
          </w:tcPr>
          <w:p w14:paraId="44EAB0DC"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23%</w:t>
            </w:r>
          </w:p>
        </w:tc>
        <w:tc>
          <w:tcPr>
            <w:tcW w:w="1276" w:type="dxa"/>
            <w:tcBorders>
              <w:top w:val="single" w:sz="4" w:space="0" w:color="D9D9D9" w:themeColor="background1" w:themeShade="D9"/>
            </w:tcBorders>
            <w:shd w:val="clear" w:color="auto" w:fill="auto"/>
            <w:noWrap/>
            <w:vAlign w:val="bottom"/>
            <w:hideMark/>
          </w:tcPr>
          <w:p w14:paraId="7A8FD16B"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 xml:space="preserve">34%   </w:t>
            </w:r>
          </w:p>
        </w:tc>
        <w:tc>
          <w:tcPr>
            <w:tcW w:w="1417" w:type="dxa"/>
            <w:tcBorders>
              <w:top w:val="single" w:sz="4" w:space="0" w:color="D9D9D9" w:themeColor="background1" w:themeShade="D9"/>
            </w:tcBorders>
            <w:shd w:val="clear" w:color="auto" w:fill="auto"/>
            <w:noWrap/>
            <w:vAlign w:val="bottom"/>
            <w:hideMark/>
          </w:tcPr>
          <w:p w14:paraId="7A61EC7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22%</w:t>
            </w:r>
          </w:p>
        </w:tc>
        <w:tc>
          <w:tcPr>
            <w:tcW w:w="1276" w:type="dxa"/>
            <w:tcBorders>
              <w:top w:val="single" w:sz="4" w:space="0" w:color="D9D9D9" w:themeColor="background1" w:themeShade="D9"/>
            </w:tcBorders>
            <w:shd w:val="clear" w:color="auto" w:fill="auto"/>
            <w:noWrap/>
            <w:vAlign w:val="bottom"/>
            <w:hideMark/>
          </w:tcPr>
          <w:p w14:paraId="19BA1935"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35%</w:t>
            </w:r>
          </w:p>
        </w:tc>
      </w:tr>
      <w:tr w:rsidR="00535836" w:rsidRPr="002A34F0" w14:paraId="7E93157A" w14:textId="77777777" w:rsidTr="0043791F">
        <w:trPr>
          <w:trHeight w:val="165"/>
        </w:trPr>
        <w:tc>
          <w:tcPr>
            <w:tcW w:w="2835" w:type="dxa"/>
            <w:shd w:val="clear" w:color="auto" w:fill="auto"/>
            <w:noWrap/>
            <w:vAlign w:val="bottom"/>
            <w:hideMark/>
          </w:tcPr>
          <w:p w14:paraId="402011C7"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15-64</w:t>
            </w:r>
          </w:p>
        </w:tc>
        <w:tc>
          <w:tcPr>
            <w:tcW w:w="1276" w:type="dxa"/>
            <w:shd w:val="clear" w:color="auto" w:fill="auto"/>
            <w:noWrap/>
            <w:vAlign w:val="bottom"/>
          </w:tcPr>
          <w:p w14:paraId="2956E413"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72%</w:t>
            </w:r>
          </w:p>
        </w:tc>
        <w:tc>
          <w:tcPr>
            <w:tcW w:w="1276" w:type="dxa"/>
            <w:shd w:val="clear" w:color="auto" w:fill="auto"/>
            <w:noWrap/>
            <w:vAlign w:val="bottom"/>
            <w:hideMark/>
          </w:tcPr>
          <w:p w14:paraId="05786C25"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61%</w:t>
            </w:r>
          </w:p>
        </w:tc>
        <w:tc>
          <w:tcPr>
            <w:tcW w:w="1417" w:type="dxa"/>
            <w:shd w:val="clear" w:color="auto" w:fill="auto"/>
            <w:noWrap/>
            <w:vAlign w:val="bottom"/>
            <w:hideMark/>
          </w:tcPr>
          <w:p w14:paraId="77D9869A"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74%</w:t>
            </w:r>
          </w:p>
        </w:tc>
        <w:tc>
          <w:tcPr>
            <w:tcW w:w="1276" w:type="dxa"/>
            <w:shd w:val="clear" w:color="auto" w:fill="auto"/>
            <w:noWrap/>
            <w:vAlign w:val="bottom"/>
            <w:hideMark/>
          </w:tcPr>
          <w:p w14:paraId="6F0DC6DE"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60%</w:t>
            </w:r>
          </w:p>
        </w:tc>
      </w:tr>
      <w:tr w:rsidR="00535836" w:rsidRPr="002A34F0" w14:paraId="1F534D78" w14:textId="77777777" w:rsidTr="0043791F">
        <w:trPr>
          <w:trHeight w:val="165"/>
        </w:trPr>
        <w:tc>
          <w:tcPr>
            <w:tcW w:w="2835" w:type="dxa"/>
            <w:tcBorders>
              <w:bottom w:val="single" w:sz="4" w:space="0" w:color="000000" w:themeColor="text1"/>
            </w:tcBorders>
            <w:shd w:val="clear" w:color="auto" w:fill="auto"/>
            <w:noWrap/>
            <w:vAlign w:val="bottom"/>
            <w:hideMark/>
          </w:tcPr>
          <w:p w14:paraId="6BABD9A3"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64 plus</w:t>
            </w:r>
          </w:p>
        </w:tc>
        <w:tc>
          <w:tcPr>
            <w:tcW w:w="1276" w:type="dxa"/>
            <w:tcBorders>
              <w:bottom w:val="single" w:sz="4" w:space="0" w:color="000000" w:themeColor="text1"/>
            </w:tcBorders>
            <w:shd w:val="clear" w:color="auto" w:fill="auto"/>
            <w:noWrap/>
            <w:vAlign w:val="bottom"/>
          </w:tcPr>
          <w:p w14:paraId="3AC926D8"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w:t>
            </w:r>
          </w:p>
        </w:tc>
        <w:tc>
          <w:tcPr>
            <w:tcW w:w="1276" w:type="dxa"/>
            <w:tcBorders>
              <w:bottom w:val="single" w:sz="4" w:space="0" w:color="000000" w:themeColor="text1"/>
            </w:tcBorders>
            <w:shd w:val="clear" w:color="auto" w:fill="auto"/>
            <w:noWrap/>
            <w:vAlign w:val="bottom"/>
            <w:hideMark/>
          </w:tcPr>
          <w:p w14:paraId="51E40436"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w:t>
            </w:r>
          </w:p>
        </w:tc>
        <w:tc>
          <w:tcPr>
            <w:tcW w:w="1417" w:type="dxa"/>
            <w:tcBorders>
              <w:bottom w:val="single" w:sz="4" w:space="0" w:color="000000" w:themeColor="text1"/>
            </w:tcBorders>
            <w:shd w:val="clear" w:color="auto" w:fill="auto"/>
            <w:noWrap/>
            <w:vAlign w:val="bottom"/>
            <w:hideMark/>
          </w:tcPr>
          <w:p w14:paraId="338259FE"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w:t>
            </w:r>
          </w:p>
        </w:tc>
        <w:tc>
          <w:tcPr>
            <w:tcW w:w="1276" w:type="dxa"/>
            <w:tcBorders>
              <w:bottom w:val="single" w:sz="4" w:space="0" w:color="000000" w:themeColor="text1"/>
            </w:tcBorders>
            <w:shd w:val="clear" w:color="auto" w:fill="auto"/>
            <w:noWrap/>
            <w:vAlign w:val="bottom"/>
            <w:hideMark/>
          </w:tcPr>
          <w:p w14:paraId="2AC33EF7"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w:t>
            </w:r>
          </w:p>
        </w:tc>
      </w:tr>
      <w:tr w:rsidR="00535836" w:rsidRPr="002A34F0" w14:paraId="39CEF3F0" w14:textId="77777777" w:rsidTr="0043791F">
        <w:trPr>
          <w:trHeight w:val="165"/>
        </w:trPr>
        <w:tc>
          <w:tcPr>
            <w:tcW w:w="2835" w:type="dxa"/>
            <w:tcBorders>
              <w:top w:val="single" w:sz="4" w:space="0" w:color="000000" w:themeColor="text1"/>
              <w:bottom w:val="single" w:sz="4" w:space="0" w:color="D9D9D9" w:themeColor="background1" w:themeShade="D9"/>
            </w:tcBorders>
            <w:shd w:val="clear" w:color="auto" w:fill="auto"/>
            <w:noWrap/>
            <w:vAlign w:val="bottom"/>
            <w:hideMark/>
          </w:tcPr>
          <w:p w14:paraId="59CFAFDC" w14:textId="77777777" w:rsidR="00535836" w:rsidRPr="002A34F0" w:rsidRDefault="00535836" w:rsidP="00E85034">
            <w:pPr>
              <w:rPr>
                <w:rFonts w:ascii="Calibri" w:hAnsi="Calibri" w:cs="Calibri"/>
                <w:b/>
                <w:bCs/>
                <w:i/>
                <w:iCs/>
                <w:color w:val="000000"/>
                <w:sz w:val="22"/>
                <w:szCs w:val="22"/>
              </w:rPr>
            </w:pPr>
            <w:r w:rsidRPr="002A34F0">
              <w:rPr>
                <w:rFonts w:ascii="Calibri" w:hAnsi="Calibri" w:cs="Calibri"/>
                <w:b/>
                <w:bCs/>
                <w:i/>
                <w:iCs/>
                <w:color w:val="000000"/>
                <w:sz w:val="22"/>
                <w:szCs w:val="22"/>
              </w:rPr>
              <w:t>Religion</w:t>
            </w:r>
          </w:p>
        </w:tc>
        <w:tc>
          <w:tcPr>
            <w:tcW w:w="1276" w:type="dxa"/>
            <w:tcBorders>
              <w:top w:val="single" w:sz="4" w:space="0" w:color="000000" w:themeColor="text1"/>
              <w:bottom w:val="single" w:sz="4" w:space="0" w:color="D9D9D9" w:themeColor="background1" w:themeShade="D9"/>
            </w:tcBorders>
            <w:shd w:val="clear" w:color="auto" w:fill="auto"/>
            <w:noWrap/>
            <w:vAlign w:val="bottom"/>
          </w:tcPr>
          <w:p w14:paraId="0F9A7EC4"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34FDD1A3" w14:textId="77777777" w:rsidR="00535836" w:rsidRPr="002A34F0" w:rsidRDefault="00535836" w:rsidP="00E85034">
            <w:pPr>
              <w:rPr>
                <w:rFonts w:ascii="Calibri" w:hAnsi="Calibri" w:cs="Calibri"/>
                <w:b/>
                <w:bCs/>
                <w:i/>
                <w:iCs/>
                <w:color w:val="000000"/>
                <w:sz w:val="22"/>
                <w:szCs w:val="22"/>
              </w:rPr>
            </w:pPr>
          </w:p>
        </w:tc>
        <w:tc>
          <w:tcPr>
            <w:tcW w:w="1417" w:type="dxa"/>
            <w:tcBorders>
              <w:top w:val="single" w:sz="4" w:space="0" w:color="000000" w:themeColor="text1"/>
              <w:bottom w:val="single" w:sz="4" w:space="0" w:color="D9D9D9" w:themeColor="background1" w:themeShade="D9"/>
            </w:tcBorders>
            <w:shd w:val="clear" w:color="auto" w:fill="auto"/>
            <w:noWrap/>
            <w:vAlign w:val="bottom"/>
            <w:hideMark/>
          </w:tcPr>
          <w:p w14:paraId="0860290B"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6C1341C4" w14:textId="77777777" w:rsidR="00535836" w:rsidRPr="002A34F0" w:rsidRDefault="00535836" w:rsidP="00E85034">
            <w:pPr>
              <w:rPr>
                <w:rFonts w:ascii="Calibri" w:hAnsi="Calibri" w:cs="Calibri"/>
                <w:b/>
                <w:bCs/>
                <w:i/>
                <w:iCs/>
                <w:color w:val="000000"/>
                <w:sz w:val="22"/>
                <w:szCs w:val="22"/>
              </w:rPr>
            </w:pPr>
          </w:p>
        </w:tc>
      </w:tr>
      <w:tr w:rsidR="00535836" w:rsidRPr="002A34F0" w14:paraId="3CC9E2C3" w14:textId="77777777" w:rsidTr="0043791F">
        <w:trPr>
          <w:trHeight w:val="165"/>
        </w:trPr>
        <w:tc>
          <w:tcPr>
            <w:tcW w:w="2835" w:type="dxa"/>
            <w:tcBorders>
              <w:top w:val="single" w:sz="4" w:space="0" w:color="D9D9D9" w:themeColor="background1" w:themeShade="D9"/>
            </w:tcBorders>
            <w:shd w:val="clear" w:color="auto" w:fill="auto"/>
            <w:noWrap/>
            <w:vAlign w:val="bottom"/>
            <w:hideMark/>
          </w:tcPr>
          <w:p w14:paraId="53712237"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Muslim</w:t>
            </w:r>
          </w:p>
        </w:tc>
        <w:tc>
          <w:tcPr>
            <w:tcW w:w="1276" w:type="dxa"/>
            <w:tcBorders>
              <w:top w:val="single" w:sz="4" w:space="0" w:color="D9D9D9" w:themeColor="background1" w:themeShade="D9"/>
            </w:tcBorders>
            <w:shd w:val="clear" w:color="auto" w:fill="auto"/>
            <w:noWrap/>
            <w:vAlign w:val="bottom"/>
          </w:tcPr>
          <w:p w14:paraId="363A84A1"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w:t>
            </w:r>
          </w:p>
        </w:tc>
        <w:tc>
          <w:tcPr>
            <w:tcW w:w="1276" w:type="dxa"/>
            <w:tcBorders>
              <w:top w:val="single" w:sz="4" w:space="0" w:color="D9D9D9" w:themeColor="background1" w:themeShade="D9"/>
            </w:tcBorders>
            <w:shd w:val="clear" w:color="auto" w:fill="auto"/>
            <w:noWrap/>
            <w:vAlign w:val="bottom"/>
            <w:hideMark/>
          </w:tcPr>
          <w:p w14:paraId="7DFED67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w:t>
            </w:r>
          </w:p>
        </w:tc>
        <w:tc>
          <w:tcPr>
            <w:tcW w:w="1417" w:type="dxa"/>
            <w:tcBorders>
              <w:top w:val="single" w:sz="4" w:space="0" w:color="D9D9D9" w:themeColor="background1" w:themeShade="D9"/>
            </w:tcBorders>
            <w:shd w:val="clear" w:color="auto" w:fill="auto"/>
            <w:noWrap/>
            <w:vAlign w:val="bottom"/>
            <w:hideMark/>
          </w:tcPr>
          <w:p w14:paraId="3477C750"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20%</w:t>
            </w:r>
          </w:p>
        </w:tc>
        <w:tc>
          <w:tcPr>
            <w:tcW w:w="1276" w:type="dxa"/>
            <w:tcBorders>
              <w:top w:val="single" w:sz="4" w:space="0" w:color="D9D9D9" w:themeColor="background1" w:themeShade="D9"/>
            </w:tcBorders>
            <w:shd w:val="clear" w:color="auto" w:fill="auto"/>
            <w:noWrap/>
            <w:vAlign w:val="bottom"/>
            <w:hideMark/>
          </w:tcPr>
          <w:p w14:paraId="72262798"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27%</w:t>
            </w:r>
          </w:p>
        </w:tc>
      </w:tr>
      <w:tr w:rsidR="00535836" w:rsidRPr="002A34F0" w14:paraId="477B1A53" w14:textId="77777777" w:rsidTr="0043791F">
        <w:trPr>
          <w:trHeight w:val="165"/>
        </w:trPr>
        <w:tc>
          <w:tcPr>
            <w:tcW w:w="2835" w:type="dxa"/>
            <w:shd w:val="clear" w:color="auto" w:fill="auto"/>
            <w:noWrap/>
            <w:vAlign w:val="bottom"/>
            <w:hideMark/>
          </w:tcPr>
          <w:p w14:paraId="280D2616"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Christian</w:t>
            </w:r>
          </w:p>
        </w:tc>
        <w:tc>
          <w:tcPr>
            <w:tcW w:w="1276" w:type="dxa"/>
            <w:shd w:val="clear" w:color="auto" w:fill="auto"/>
            <w:noWrap/>
            <w:vAlign w:val="bottom"/>
          </w:tcPr>
          <w:p w14:paraId="1B7AEC44"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90%</w:t>
            </w:r>
          </w:p>
        </w:tc>
        <w:tc>
          <w:tcPr>
            <w:tcW w:w="1276" w:type="dxa"/>
            <w:shd w:val="clear" w:color="auto" w:fill="auto"/>
            <w:noWrap/>
            <w:vAlign w:val="bottom"/>
            <w:hideMark/>
          </w:tcPr>
          <w:p w14:paraId="55C6B11D"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85%</w:t>
            </w:r>
          </w:p>
        </w:tc>
        <w:tc>
          <w:tcPr>
            <w:tcW w:w="1417" w:type="dxa"/>
            <w:shd w:val="clear" w:color="auto" w:fill="auto"/>
            <w:noWrap/>
            <w:vAlign w:val="bottom"/>
            <w:hideMark/>
          </w:tcPr>
          <w:p w14:paraId="42857928"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77%</w:t>
            </w:r>
          </w:p>
        </w:tc>
        <w:tc>
          <w:tcPr>
            <w:tcW w:w="1276" w:type="dxa"/>
            <w:shd w:val="clear" w:color="auto" w:fill="auto"/>
            <w:noWrap/>
            <w:vAlign w:val="bottom"/>
            <w:hideMark/>
          </w:tcPr>
          <w:p w14:paraId="1585C24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65%</w:t>
            </w:r>
          </w:p>
        </w:tc>
      </w:tr>
      <w:tr w:rsidR="00535836" w:rsidRPr="002A34F0" w14:paraId="69C01E52" w14:textId="77777777" w:rsidTr="0043791F">
        <w:trPr>
          <w:trHeight w:val="165"/>
        </w:trPr>
        <w:tc>
          <w:tcPr>
            <w:tcW w:w="2835" w:type="dxa"/>
            <w:shd w:val="clear" w:color="auto" w:fill="auto"/>
            <w:noWrap/>
            <w:vAlign w:val="bottom"/>
            <w:hideMark/>
          </w:tcPr>
          <w:p w14:paraId="58ADB7A5"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Other religions</w:t>
            </w:r>
          </w:p>
        </w:tc>
        <w:tc>
          <w:tcPr>
            <w:tcW w:w="1276" w:type="dxa"/>
            <w:shd w:val="clear" w:color="auto" w:fill="auto"/>
            <w:noWrap/>
            <w:vAlign w:val="bottom"/>
          </w:tcPr>
          <w:p w14:paraId="1B6B1873"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w:t>
            </w:r>
          </w:p>
        </w:tc>
        <w:tc>
          <w:tcPr>
            <w:tcW w:w="1276" w:type="dxa"/>
            <w:shd w:val="clear" w:color="auto" w:fill="auto"/>
            <w:noWrap/>
            <w:vAlign w:val="bottom"/>
            <w:hideMark/>
          </w:tcPr>
          <w:p w14:paraId="7695AFA4"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w:t>
            </w:r>
          </w:p>
        </w:tc>
        <w:tc>
          <w:tcPr>
            <w:tcW w:w="1417" w:type="dxa"/>
            <w:shd w:val="clear" w:color="auto" w:fill="auto"/>
            <w:noWrap/>
            <w:vAlign w:val="bottom"/>
            <w:hideMark/>
          </w:tcPr>
          <w:p w14:paraId="67802BCC"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276" w:type="dxa"/>
            <w:shd w:val="clear" w:color="auto" w:fill="auto"/>
            <w:noWrap/>
            <w:vAlign w:val="bottom"/>
            <w:hideMark/>
          </w:tcPr>
          <w:p w14:paraId="3B1D2FD0"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r>
      <w:tr w:rsidR="00535836" w:rsidRPr="002A34F0" w14:paraId="3E9CB045" w14:textId="77777777" w:rsidTr="0043791F">
        <w:trPr>
          <w:trHeight w:val="165"/>
        </w:trPr>
        <w:tc>
          <w:tcPr>
            <w:tcW w:w="2835" w:type="dxa"/>
            <w:tcBorders>
              <w:bottom w:val="single" w:sz="4" w:space="0" w:color="000000" w:themeColor="text1"/>
            </w:tcBorders>
            <w:shd w:val="clear" w:color="auto" w:fill="auto"/>
            <w:noWrap/>
            <w:vAlign w:val="bottom"/>
            <w:hideMark/>
          </w:tcPr>
          <w:p w14:paraId="0A580EE0" w14:textId="3B7930EE"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 xml:space="preserve">No </w:t>
            </w:r>
            <w:r w:rsidR="001B7170" w:rsidRPr="002A34F0">
              <w:rPr>
                <w:rFonts w:ascii="Calibri" w:hAnsi="Calibri" w:cs="Calibri"/>
                <w:color w:val="000000"/>
                <w:sz w:val="22"/>
                <w:szCs w:val="22"/>
              </w:rPr>
              <w:t>r</w:t>
            </w:r>
            <w:r w:rsidRPr="002A34F0">
              <w:rPr>
                <w:rFonts w:ascii="Calibri" w:hAnsi="Calibri" w:cs="Calibri"/>
                <w:color w:val="000000"/>
                <w:sz w:val="22"/>
                <w:szCs w:val="22"/>
              </w:rPr>
              <w:t>eligion</w:t>
            </w:r>
          </w:p>
        </w:tc>
        <w:tc>
          <w:tcPr>
            <w:tcW w:w="1276" w:type="dxa"/>
            <w:tcBorders>
              <w:bottom w:val="single" w:sz="4" w:space="0" w:color="000000" w:themeColor="text1"/>
            </w:tcBorders>
            <w:shd w:val="clear" w:color="auto" w:fill="auto"/>
            <w:noWrap/>
            <w:vAlign w:val="bottom"/>
          </w:tcPr>
          <w:p w14:paraId="6F3F6E1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276" w:type="dxa"/>
            <w:tcBorders>
              <w:bottom w:val="single" w:sz="4" w:space="0" w:color="000000" w:themeColor="text1"/>
            </w:tcBorders>
            <w:shd w:val="clear" w:color="auto" w:fill="auto"/>
            <w:noWrap/>
            <w:vAlign w:val="bottom"/>
            <w:hideMark/>
          </w:tcPr>
          <w:p w14:paraId="6F6FEDA1"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w:t>
            </w:r>
          </w:p>
        </w:tc>
        <w:tc>
          <w:tcPr>
            <w:tcW w:w="1417" w:type="dxa"/>
            <w:tcBorders>
              <w:bottom w:val="single" w:sz="4" w:space="0" w:color="000000" w:themeColor="text1"/>
            </w:tcBorders>
            <w:shd w:val="clear" w:color="auto" w:fill="auto"/>
            <w:noWrap/>
            <w:vAlign w:val="bottom"/>
            <w:hideMark/>
          </w:tcPr>
          <w:p w14:paraId="33FC2204"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w:t>
            </w:r>
          </w:p>
        </w:tc>
        <w:tc>
          <w:tcPr>
            <w:tcW w:w="1276" w:type="dxa"/>
            <w:tcBorders>
              <w:bottom w:val="single" w:sz="4" w:space="0" w:color="000000" w:themeColor="text1"/>
            </w:tcBorders>
            <w:shd w:val="clear" w:color="auto" w:fill="auto"/>
            <w:noWrap/>
            <w:vAlign w:val="bottom"/>
            <w:hideMark/>
          </w:tcPr>
          <w:p w14:paraId="6AB1B5E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w:t>
            </w:r>
          </w:p>
        </w:tc>
      </w:tr>
      <w:tr w:rsidR="00535836" w:rsidRPr="002A34F0" w14:paraId="2645698D" w14:textId="77777777" w:rsidTr="0043791F">
        <w:trPr>
          <w:trHeight w:val="165"/>
        </w:trPr>
        <w:tc>
          <w:tcPr>
            <w:tcW w:w="2835" w:type="dxa"/>
            <w:tcBorders>
              <w:top w:val="single" w:sz="4" w:space="0" w:color="000000" w:themeColor="text1"/>
              <w:bottom w:val="single" w:sz="4" w:space="0" w:color="D9D9D9" w:themeColor="background1" w:themeShade="D9"/>
            </w:tcBorders>
            <w:shd w:val="clear" w:color="auto" w:fill="auto"/>
            <w:noWrap/>
            <w:vAlign w:val="bottom"/>
            <w:hideMark/>
          </w:tcPr>
          <w:p w14:paraId="1C230DE0" w14:textId="77777777" w:rsidR="00535836" w:rsidRPr="002A34F0" w:rsidRDefault="00535836" w:rsidP="00E85034">
            <w:pPr>
              <w:rPr>
                <w:rFonts w:ascii="Calibri" w:hAnsi="Calibri" w:cs="Calibri"/>
                <w:b/>
                <w:bCs/>
                <w:i/>
                <w:iCs/>
                <w:color w:val="000000"/>
                <w:sz w:val="22"/>
                <w:szCs w:val="22"/>
              </w:rPr>
            </w:pPr>
            <w:r w:rsidRPr="002A34F0">
              <w:rPr>
                <w:rFonts w:ascii="Calibri" w:hAnsi="Calibri" w:cs="Calibri"/>
                <w:b/>
                <w:bCs/>
                <w:i/>
                <w:iCs/>
                <w:color w:val="000000"/>
                <w:sz w:val="22"/>
                <w:szCs w:val="22"/>
              </w:rPr>
              <w:t>Nationality</w:t>
            </w:r>
          </w:p>
        </w:tc>
        <w:tc>
          <w:tcPr>
            <w:tcW w:w="1276" w:type="dxa"/>
            <w:tcBorders>
              <w:top w:val="single" w:sz="4" w:space="0" w:color="000000" w:themeColor="text1"/>
              <w:bottom w:val="single" w:sz="4" w:space="0" w:color="D9D9D9" w:themeColor="background1" w:themeShade="D9"/>
            </w:tcBorders>
            <w:shd w:val="clear" w:color="auto" w:fill="auto"/>
            <w:noWrap/>
            <w:vAlign w:val="bottom"/>
          </w:tcPr>
          <w:p w14:paraId="07D816CE"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07EF9ACE" w14:textId="77777777" w:rsidR="00535836" w:rsidRPr="002A34F0" w:rsidRDefault="00535836" w:rsidP="00E85034">
            <w:pPr>
              <w:rPr>
                <w:rFonts w:ascii="Calibri" w:hAnsi="Calibri" w:cs="Calibri"/>
                <w:b/>
                <w:bCs/>
                <w:i/>
                <w:iCs/>
                <w:color w:val="000000"/>
                <w:sz w:val="22"/>
                <w:szCs w:val="22"/>
              </w:rPr>
            </w:pPr>
          </w:p>
        </w:tc>
        <w:tc>
          <w:tcPr>
            <w:tcW w:w="1417" w:type="dxa"/>
            <w:tcBorders>
              <w:top w:val="single" w:sz="4" w:space="0" w:color="000000" w:themeColor="text1"/>
              <w:bottom w:val="single" w:sz="4" w:space="0" w:color="D9D9D9" w:themeColor="background1" w:themeShade="D9"/>
            </w:tcBorders>
            <w:shd w:val="clear" w:color="auto" w:fill="auto"/>
            <w:noWrap/>
            <w:vAlign w:val="bottom"/>
            <w:hideMark/>
          </w:tcPr>
          <w:p w14:paraId="0E128CA2"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78A9D460" w14:textId="77777777" w:rsidR="00535836" w:rsidRPr="002A34F0" w:rsidRDefault="00535836" w:rsidP="00E85034">
            <w:pPr>
              <w:rPr>
                <w:rFonts w:ascii="Calibri" w:hAnsi="Calibri" w:cs="Calibri"/>
                <w:b/>
                <w:bCs/>
                <w:i/>
                <w:iCs/>
                <w:color w:val="000000"/>
                <w:sz w:val="22"/>
                <w:szCs w:val="22"/>
              </w:rPr>
            </w:pPr>
          </w:p>
        </w:tc>
      </w:tr>
      <w:tr w:rsidR="00535836" w:rsidRPr="002A34F0" w14:paraId="276B1E5F" w14:textId="77777777" w:rsidTr="0043791F">
        <w:trPr>
          <w:trHeight w:val="165"/>
        </w:trPr>
        <w:tc>
          <w:tcPr>
            <w:tcW w:w="2835" w:type="dxa"/>
            <w:tcBorders>
              <w:top w:val="single" w:sz="4" w:space="0" w:color="D9D9D9" w:themeColor="background1" w:themeShade="D9"/>
            </w:tcBorders>
            <w:shd w:val="clear" w:color="auto" w:fill="auto"/>
            <w:noWrap/>
            <w:vAlign w:val="bottom"/>
            <w:hideMark/>
          </w:tcPr>
          <w:p w14:paraId="4FEF17AB"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 xml:space="preserve">Ghanaian </w:t>
            </w:r>
          </w:p>
        </w:tc>
        <w:tc>
          <w:tcPr>
            <w:tcW w:w="1276" w:type="dxa"/>
            <w:tcBorders>
              <w:top w:val="single" w:sz="4" w:space="0" w:color="D9D9D9" w:themeColor="background1" w:themeShade="D9"/>
            </w:tcBorders>
            <w:shd w:val="clear" w:color="auto" w:fill="auto"/>
            <w:noWrap/>
            <w:vAlign w:val="bottom"/>
            <w:hideMark/>
          </w:tcPr>
          <w:p w14:paraId="226BE5F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94%</w:t>
            </w:r>
          </w:p>
        </w:tc>
        <w:tc>
          <w:tcPr>
            <w:tcW w:w="1276" w:type="dxa"/>
            <w:tcBorders>
              <w:top w:val="single" w:sz="4" w:space="0" w:color="D9D9D9" w:themeColor="background1" w:themeShade="D9"/>
            </w:tcBorders>
            <w:shd w:val="clear" w:color="auto" w:fill="auto"/>
            <w:noWrap/>
            <w:vAlign w:val="bottom"/>
            <w:hideMark/>
          </w:tcPr>
          <w:p w14:paraId="206235A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98%</w:t>
            </w:r>
          </w:p>
        </w:tc>
        <w:tc>
          <w:tcPr>
            <w:tcW w:w="1417" w:type="dxa"/>
            <w:tcBorders>
              <w:top w:val="single" w:sz="4" w:space="0" w:color="D9D9D9" w:themeColor="background1" w:themeShade="D9"/>
            </w:tcBorders>
            <w:shd w:val="clear" w:color="auto" w:fill="auto"/>
            <w:noWrap/>
            <w:vAlign w:val="bottom"/>
            <w:hideMark/>
          </w:tcPr>
          <w:p w14:paraId="72B24533"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94%</w:t>
            </w:r>
          </w:p>
        </w:tc>
        <w:tc>
          <w:tcPr>
            <w:tcW w:w="1276" w:type="dxa"/>
            <w:tcBorders>
              <w:top w:val="single" w:sz="4" w:space="0" w:color="D9D9D9" w:themeColor="background1" w:themeShade="D9"/>
            </w:tcBorders>
            <w:shd w:val="clear" w:color="auto" w:fill="auto"/>
            <w:noWrap/>
            <w:vAlign w:val="bottom"/>
            <w:hideMark/>
          </w:tcPr>
          <w:p w14:paraId="3C15B26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97%</w:t>
            </w:r>
          </w:p>
        </w:tc>
      </w:tr>
      <w:tr w:rsidR="00535836" w:rsidRPr="002A34F0" w14:paraId="5FAFD248" w14:textId="77777777" w:rsidTr="0043791F">
        <w:trPr>
          <w:trHeight w:val="165"/>
        </w:trPr>
        <w:tc>
          <w:tcPr>
            <w:tcW w:w="2835" w:type="dxa"/>
            <w:shd w:val="clear" w:color="auto" w:fill="auto"/>
            <w:noWrap/>
            <w:vAlign w:val="bottom"/>
            <w:hideMark/>
          </w:tcPr>
          <w:p w14:paraId="5378F861"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 xml:space="preserve">Foreign </w:t>
            </w:r>
          </w:p>
        </w:tc>
        <w:tc>
          <w:tcPr>
            <w:tcW w:w="1276" w:type="dxa"/>
            <w:shd w:val="clear" w:color="auto" w:fill="auto"/>
            <w:noWrap/>
            <w:vAlign w:val="bottom"/>
          </w:tcPr>
          <w:p w14:paraId="62DD8138"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w:t>
            </w:r>
          </w:p>
        </w:tc>
        <w:tc>
          <w:tcPr>
            <w:tcW w:w="1276" w:type="dxa"/>
            <w:shd w:val="clear" w:color="auto" w:fill="auto"/>
            <w:noWrap/>
            <w:vAlign w:val="bottom"/>
            <w:hideMark/>
          </w:tcPr>
          <w:p w14:paraId="66B33555"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w:t>
            </w:r>
          </w:p>
        </w:tc>
        <w:tc>
          <w:tcPr>
            <w:tcW w:w="1417" w:type="dxa"/>
            <w:shd w:val="clear" w:color="auto" w:fill="auto"/>
            <w:noWrap/>
            <w:vAlign w:val="bottom"/>
            <w:hideMark/>
          </w:tcPr>
          <w:p w14:paraId="0411DE9E"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6%</w:t>
            </w:r>
          </w:p>
        </w:tc>
        <w:tc>
          <w:tcPr>
            <w:tcW w:w="1276" w:type="dxa"/>
            <w:shd w:val="clear" w:color="auto" w:fill="auto"/>
            <w:noWrap/>
            <w:vAlign w:val="bottom"/>
            <w:hideMark/>
          </w:tcPr>
          <w:p w14:paraId="3C95F39E"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w:t>
            </w:r>
          </w:p>
        </w:tc>
      </w:tr>
      <w:tr w:rsidR="00535836" w:rsidRPr="002A34F0" w14:paraId="03C03A69" w14:textId="77777777" w:rsidTr="0043791F">
        <w:trPr>
          <w:trHeight w:val="165"/>
        </w:trPr>
        <w:tc>
          <w:tcPr>
            <w:tcW w:w="2835" w:type="dxa"/>
            <w:tcBorders>
              <w:top w:val="single" w:sz="4" w:space="0" w:color="000000" w:themeColor="text1"/>
              <w:bottom w:val="single" w:sz="4" w:space="0" w:color="D9D9D9" w:themeColor="background1" w:themeShade="D9"/>
            </w:tcBorders>
            <w:shd w:val="clear" w:color="auto" w:fill="auto"/>
            <w:noWrap/>
            <w:vAlign w:val="bottom"/>
            <w:hideMark/>
          </w:tcPr>
          <w:p w14:paraId="58288EC0" w14:textId="77777777" w:rsidR="00535836" w:rsidRPr="002A34F0" w:rsidRDefault="00535836" w:rsidP="00E85034">
            <w:pPr>
              <w:rPr>
                <w:rFonts w:ascii="Calibri" w:hAnsi="Calibri" w:cs="Calibri"/>
                <w:b/>
                <w:bCs/>
                <w:i/>
                <w:iCs/>
                <w:color w:val="000000"/>
                <w:sz w:val="22"/>
                <w:szCs w:val="22"/>
              </w:rPr>
            </w:pPr>
            <w:r w:rsidRPr="002A34F0">
              <w:rPr>
                <w:rFonts w:ascii="Calibri" w:hAnsi="Calibri" w:cs="Calibri"/>
                <w:b/>
                <w:bCs/>
                <w:i/>
                <w:iCs/>
                <w:color w:val="000000"/>
                <w:sz w:val="22"/>
                <w:szCs w:val="22"/>
              </w:rPr>
              <w:t>Education</w:t>
            </w:r>
          </w:p>
        </w:tc>
        <w:tc>
          <w:tcPr>
            <w:tcW w:w="1276" w:type="dxa"/>
            <w:tcBorders>
              <w:top w:val="single" w:sz="4" w:space="0" w:color="000000" w:themeColor="text1"/>
              <w:bottom w:val="single" w:sz="4" w:space="0" w:color="D9D9D9" w:themeColor="background1" w:themeShade="D9"/>
            </w:tcBorders>
            <w:shd w:val="clear" w:color="auto" w:fill="auto"/>
            <w:noWrap/>
            <w:vAlign w:val="bottom"/>
          </w:tcPr>
          <w:p w14:paraId="26F94480"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43C5B9CB" w14:textId="77777777" w:rsidR="00535836" w:rsidRPr="002A34F0" w:rsidRDefault="00535836" w:rsidP="00E85034">
            <w:pPr>
              <w:rPr>
                <w:rFonts w:ascii="Calibri" w:hAnsi="Calibri" w:cs="Calibri"/>
                <w:b/>
                <w:bCs/>
                <w:i/>
                <w:iCs/>
                <w:color w:val="000000"/>
                <w:sz w:val="22"/>
                <w:szCs w:val="22"/>
              </w:rPr>
            </w:pPr>
          </w:p>
        </w:tc>
        <w:tc>
          <w:tcPr>
            <w:tcW w:w="1417" w:type="dxa"/>
            <w:tcBorders>
              <w:top w:val="single" w:sz="4" w:space="0" w:color="000000" w:themeColor="text1"/>
              <w:bottom w:val="single" w:sz="4" w:space="0" w:color="D9D9D9" w:themeColor="background1" w:themeShade="D9"/>
            </w:tcBorders>
            <w:shd w:val="clear" w:color="auto" w:fill="auto"/>
            <w:noWrap/>
            <w:vAlign w:val="bottom"/>
            <w:hideMark/>
          </w:tcPr>
          <w:p w14:paraId="13756BAD"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1AB097E7" w14:textId="77777777" w:rsidR="00535836" w:rsidRPr="002A34F0" w:rsidRDefault="00535836" w:rsidP="00E85034">
            <w:pPr>
              <w:rPr>
                <w:rFonts w:ascii="Calibri" w:hAnsi="Calibri" w:cs="Calibri"/>
                <w:b/>
                <w:bCs/>
                <w:i/>
                <w:iCs/>
                <w:color w:val="000000"/>
                <w:sz w:val="22"/>
                <w:szCs w:val="22"/>
              </w:rPr>
            </w:pPr>
          </w:p>
        </w:tc>
      </w:tr>
      <w:tr w:rsidR="00535836" w:rsidRPr="002A34F0" w14:paraId="0A601444" w14:textId="77777777" w:rsidTr="0043791F">
        <w:trPr>
          <w:trHeight w:val="165"/>
        </w:trPr>
        <w:tc>
          <w:tcPr>
            <w:tcW w:w="2835" w:type="dxa"/>
            <w:tcBorders>
              <w:top w:val="single" w:sz="4" w:space="0" w:color="D9D9D9" w:themeColor="background1" w:themeShade="D9"/>
            </w:tcBorders>
            <w:shd w:val="clear" w:color="auto" w:fill="auto"/>
            <w:noWrap/>
            <w:vAlign w:val="bottom"/>
            <w:hideMark/>
          </w:tcPr>
          <w:p w14:paraId="008D782F" w14:textId="4DB21705"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 xml:space="preserve">Never </w:t>
            </w:r>
            <w:r w:rsidR="001B7170" w:rsidRPr="002A34F0">
              <w:rPr>
                <w:rFonts w:ascii="Calibri" w:hAnsi="Calibri" w:cs="Calibri"/>
                <w:color w:val="000000"/>
                <w:sz w:val="22"/>
                <w:szCs w:val="22"/>
              </w:rPr>
              <w:t>s</w:t>
            </w:r>
            <w:r w:rsidRPr="002A34F0">
              <w:rPr>
                <w:rFonts w:ascii="Calibri" w:hAnsi="Calibri" w:cs="Calibri"/>
                <w:color w:val="000000"/>
                <w:sz w:val="22"/>
                <w:szCs w:val="22"/>
              </w:rPr>
              <w:t>chooled</w:t>
            </w:r>
          </w:p>
        </w:tc>
        <w:tc>
          <w:tcPr>
            <w:tcW w:w="1276" w:type="dxa"/>
            <w:tcBorders>
              <w:top w:val="single" w:sz="4" w:space="0" w:color="D9D9D9" w:themeColor="background1" w:themeShade="D9"/>
            </w:tcBorders>
            <w:shd w:val="clear" w:color="auto" w:fill="auto"/>
            <w:noWrap/>
            <w:vAlign w:val="bottom"/>
          </w:tcPr>
          <w:p w14:paraId="4E4852B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w:t>
            </w:r>
          </w:p>
        </w:tc>
        <w:tc>
          <w:tcPr>
            <w:tcW w:w="1276" w:type="dxa"/>
            <w:tcBorders>
              <w:top w:val="single" w:sz="4" w:space="0" w:color="D9D9D9" w:themeColor="background1" w:themeShade="D9"/>
            </w:tcBorders>
            <w:shd w:val="clear" w:color="auto" w:fill="auto"/>
            <w:noWrap/>
            <w:vAlign w:val="bottom"/>
            <w:hideMark/>
          </w:tcPr>
          <w:p w14:paraId="479A977E"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12%</w:t>
            </w:r>
          </w:p>
        </w:tc>
        <w:tc>
          <w:tcPr>
            <w:tcW w:w="1417" w:type="dxa"/>
            <w:tcBorders>
              <w:top w:val="single" w:sz="4" w:space="0" w:color="D9D9D9" w:themeColor="background1" w:themeShade="D9"/>
            </w:tcBorders>
            <w:shd w:val="clear" w:color="auto" w:fill="auto"/>
            <w:noWrap/>
            <w:vAlign w:val="bottom"/>
            <w:hideMark/>
          </w:tcPr>
          <w:p w14:paraId="10B28DA0"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w:t>
            </w:r>
          </w:p>
        </w:tc>
        <w:tc>
          <w:tcPr>
            <w:tcW w:w="1276" w:type="dxa"/>
            <w:tcBorders>
              <w:top w:val="single" w:sz="4" w:space="0" w:color="D9D9D9" w:themeColor="background1" w:themeShade="D9"/>
            </w:tcBorders>
            <w:shd w:val="clear" w:color="auto" w:fill="auto"/>
            <w:noWrap/>
            <w:vAlign w:val="bottom"/>
            <w:hideMark/>
          </w:tcPr>
          <w:p w14:paraId="2CEFE63A"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23%</w:t>
            </w:r>
          </w:p>
        </w:tc>
      </w:tr>
      <w:tr w:rsidR="00535836" w:rsidRPr="002A34F0" w14:paraId="11793D6D" w14:textId="77777777" w:rsidTr="0043791F">
        <w:trPr>
          <w:trHeight w:val="165"/>
        </w:trPr>
        <w:tc>
          <w:tcPr>
            <w:tcW w:w="2835" w:type="dxa"/>
            <w:shd w:val="clear" w:color="auto" w:fill="auto"/>
            <w:noWrap/>
            <w:vAlign w:val="bottom"/>
            <w:hideMark/>
          </w:tcPr>
          <w:p w14:paraId="22F63C56" w14:textId="7E9BD589"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 xml:space="preserve">Ever </w:t>
            </w:r>
            <w:r w:rsidR="001B7170" w:rsidRPr="002A34F0">
              <w:rPr>
                <w:rFonts w:ascii="Calibri" w:hAnsi="Calibri" w:cs="Calibri"/>
                <w:color w:val="000000"/>
                <w:sz w:val="22"/>
                <w:szCs w:val="22"/>
              </w:rPr>
              <w:t>s</w:t>
            </w:r>
            <w:r w:rsidRPr="002A34F0">
              <w:rPr>
                <w:rFonts w:ascii="Calibri" w:hAnsi="Calibri" w:cs="Calibri"/>
                <w:color w:val="000000"/>
                <w:sz w:val="22"/>
                <w:szCs w:val="22"/>
              </w:rPr>
              <w:t>chooled</w:t>
            </w:r>
          </w:p>
        </w:tc>
        <w:tc>
          <w:tcPr>
            <w:tcW w:w="1276" w:type="dxa"/>
            <w:shd w:val="clear" w:color="auto" w:fill="auto"/>
            <w:noWrap/>
            <w:vAlign w:val="bottom"/>
          </w:tcPr>
          <w:p w14:paraId="5B757B98"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97%</w:t>
            </w:r>
          </w:p>
        </w:tc>
        <w:tc>
          <w:tcPr>
            <w:tcW w:w="1276" w:type="dxa"/>
            <w:shd w:val="clear" w:color="auto" w:fill="auto"/>
            <w:noWrap/>
            <w:vAlign w:val="bottom"/>
            <w:hideMark/>
          </w:tcPr>
          <w:p w14:paraId="45135394"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88%</w:t>
            </w:r>
          </w:p>
        </w:tc>
        <w:tc>
          <w:tcPr>
            <w:tcW w:w="1417" w:type="dxa"/>
            <w:shd w:val="clear" w:color="auto" w:fill="auto"/>
            <w:noWrap/>
            <w:vAlign w:val="bottom"/>
            <w:hideMark/>
          </w:tcPr>
          <w:p w14:paraId="117A3B0C"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95%</w:t>
            </w:r>
          </w:p>
        </w:tc>
        <w:tc>
          <w:tcPr>
            <w:tcW w:w="1276" w:type="dxa"/>
            <w:shd w:val="clear" w:color="auto" w:fill="auto"/>
            <w:noWrap/>
            <w:vAlign w:val="bottom"/>
            <w:hideMark/>
          </w:tcPr>
          <w:p w14:paraId="1937EC84"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77%</w:t>
            </w:r>
          </w:p>
        </w:tc>
      </w:tr>
      <w:tr w:rsidR="00535836" w:rsidRPr="002A34F0" w14:paraId="4F13A6D8" w14:textId="77777777" w:rsidTr="0043791F">
        <w:trPr>
          <w:trHeight w:val="165"/>
        </w:trPr>
        <w:tc>
          <w:tcPr>
            <w:tcW w:w="2835" w:type="dxa"/>
            <w:shd w:val="clear" w:color="auto" w:fill="auto"/>
            <w:noWrap/>
            <w:vAlign w:val="bottom"/>
            <w:hideMark/>
          </w:tcPr>
          <w:p w14:paraId="73363E49" w14:textId="0DE936C6"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lastRenderedPageBreak/>
              <w:t xml:space="preserve">Basic </w:t>
            </w:r>
            <w:r w:rsidR="001B7170" w:rsidRPr="002A34F0">
              <w:rPr>
                <w:rFonts w:ascii="Calibri" w:hAnsi="Calibri" w:cs="Calibri"/>
                <w:color w:val="000000"/>
                <w:sz w:val="22"/>
                <w:szCs w:val="22"/>
              </w:rPr>
              <w:t>e</w:t>
            </w:r>
            <w:r w:rsidRPr="002A34F0">
              <w:rPr>
                <w:rFonts w:ascii="Calibri" w:hAnsi="Calibri" w:cs="Calibri"/>
                <w:color w:val="000000"/>
                <w:sz w:val="22"/>
                <w:szCs w:val="22"/>
              </w:rPr>
              <w:t>ducation</w:t>
            </w:r>
          </w:p>
        </w:tc>
        <w:tc>
          <w:tcPr>
            <w:tcW w:w="1276" w:type="dxa"/>
            <w:shd w:val="clear" w:color="auto" w:fill="auto"/>
            <w:noWrap/>
            <w:vAlign w:val="bottom"/>
          </w:tcPr>
          <w:p w14:paraId="03005F80"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17%</w:t>
            </w:r>
          </w:p>
        </w:tc>
        <w:tc>
          <w:tcPr>
            <w:tcW w:w="1276" w:type="dxa"/>
            <w:shd w:val="clear" w:color="auto" w:fill="auto"/>
            <w:noWrap/>
            <w:vAlign w:val="bottom"/>
            <w:hideMark/>
          </w:tcPr>
          <w:p w14:paraId="405C510C"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36%</w:t>
            </w:r>
          </w:p>
        </w:tc>
        <w:tc>
          <w:tcPr>
            <w:tcW w:w="1417" w:type="dxa"/>
            <w:shd w:val="clear" w:color="auto" w:fill="auto"/>
            <w:noWrap/>
            <w:vAlign w:val="bottom"/>
            <w:hideMark/>
          </w:tcPr>
          <w:p w14:paraId="309DFEE5"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18%</w:t>
            </w:r>
          </w:p>
        </w:tc>
        <w:tc>
          <w:tcPr>
            <w:tcW w:w="1276" w:type="dxa"/>
            <w:shd w:val="clear" w:color="auto" w:fill="auto"/>
            <w:noWrap/>
            <w:vAlign w:val="bottom"/>
            <w:hideMark/>
          </w:tcPr>
          <w:p w14:paraId="38487740"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38%</w:t>
            </w:r>
          </w:p>
        </w:tc>
      </w:tr>
      <w:tr w:rsidR="00535836" w:rsidRPr="002A34F0" w14:paraId="74D7FBAE" w14:textId="77777777" w:rsidTr="0043791F">
        <w:trPr>
          <w:trHeight w:val="165"/>
        </w:trPr>
        <w:tc>
          <w:tcPr>
            <w:tcW w:w="2835" w:type="dxa"/>
            <w:shd w:val="clear" w:color="auto" w:fill="auto"/>
            <w:noWrap/>
            <w:vAlign w:val="bottom"/>
            <w:hideMark/>
          </w:tcPr>
          <w:p w14:paraId="3FF48915"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Secondary</w:t>
            </w:r>
          </w:p>
        </w:tc>
        <w:tc>
          <w:tcPr>
            <w:tcW w:w="1276" w:type="dxa"/>
            <w:shd w:val="clear" w:color="auto" w:fill="auto"/>
            <w:noWrap/>
            <w:vAlign w:val="bottom"/>
          </w:tcPr>
          <w:p w14:paraId="233BB197"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41%</w:t>
            </w:r>
          </w:p>
        </w:tc>
        <w:tc>
          <w:tcPr>
            <w:tcW w:w="1276" w:type="dxa"/>
            <w:shd w:val="clear" w:color="auto" w:fill="auto"/>
            <w:noWrap/>
            <w:vAlign w:val="bottom"/>
            <w:hideMark/>
          </w:tcPr>
          <w:p w14:paraId="4418A1D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48%</w:t>
            </w:r>
          </w:p>
        </w:tc>
        <w:tc>
          <w:tcPr>
            <w:tcW w:w="1417" w:type="dxa"/>
            <w:shd w:val="clear" w:color="auto" w:fill="auto"/>
            <w:noWrap/>
            <w:vAlign w:val="bottom"/>
            <w:hideMark/>
          </w:tcPr>
          <w:p w14:paraId="00062AA6"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47%</w:t>
            </w:r>
          </w:p>
        </w:tc>
        <w:tc>
          <w:tcPr>
            <w:tcW w:w="1276" w:type="dxa"/>
            <w:shd w:val="clear" w:color="auto" w:fill="auto"/>
            <w:noWrap/>
            <w:vAlign w:val="bottom"/>
            <w:hideMark/>
          </w:tcPr>
          <w:p w14:paraId="079EDED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37%</w:t>
            </w:r>
          </w:p>
        </w:tc>
      </w:tr>
      <w:tr w:rsidR="00535836" w:rsidRPr="002A34F0" w14:paraId="741EEDBB" w14:textId="77777777" w:rsidTr="0043791F">
        <w:trPr>
          <w:trHeight w:val="165"/>
        </w:trPr>
        <w:tc>
          <w:tcPr>
            <w:tcW w:w="2835" w:type="dxa"/>
            <w:tcBorders>
              <w:bottom w:val="single" w:sz="4" w:space="0" w:color="000000" w:themeColor="text1"/>
            </w:tcBorders>
            <w:shd w:val="clear" w:color="auto" w:fill="auto"/>
            <w:noWrap/>
            <w:vAlign w:val="bottom"/>
            <w:hideMark/>
          </w:tcPr>
          <w:p w14:paraId="1CDF2955" w14:textId="3D09D321"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Post-</w:t>
            </w:r>
            <w:r w:rsidR="001B7170" w:rsidRPr="002A34F0">
              <w:rPr>
                <w:rFonts w:ascii="Calibri" w:hAnsi="Calibri" w:cs="Calibri"/>
                <w:color w:val="000000"/>
                <w:sz w:val="22"/>
                <w:szCs w:val="22"/>
              </w:rPr>
              <w:t>s</w:t>
            </w:r>
            <w:r w:rsidRPr="002A34F0">
              <w:rPr>
                <w:rFonts w:ascii="Calibri" w:hAnsi="Calibri" w:cs="Calibri"/>
                <w:color w:val="000000"/>
                <w:sz w:val="22"/>
                <w:szCs w:val="22"/>
              </w:rPr>
              <w:t>econdary</w:t>
            </w:r>
          </w:p>
        </w:tc>
        <w:tc>
          <w:tcPr>
            <w:tcW w:w="1276" w:type="dxa"/>
            <w:tcBorders>
              <w:bottom w:val="single" w:sz="4" w:space="0" w:color="000000" w:themeColor="text1"/>
            </w:tcBorders>
            <w:shd w:val="clear" w:color="auto" w:fill="auto"/>
            <w:noWrap/>
            <w:vAlign w:val="bottom"/>
          </w:tcPr>
          <w:p w14:paraId="38417187"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39%</w:t>
            </w:r>
          </w:p>
        </w:tc>
        <w:tc>
          <w:tcPr>
            <w:tcW w:w="1276" w:type="dxa"/>
            <w:tcBorders>
              <w:bottom w:val="single" w:sz="4" w:space="0" w:color="000000" w:themeColor="text1"/>
            </w:tcBorders>
            <w:shd w:val="clear" w:color="auto" w:fill="auto"/>
            <w:noWrap/>
            <w:vAlign w:val="bottom"/>
            <w:hideMark/>
          </w:tcPr>
          <w:p w14:paraId="41AD251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w:t>
            </w:r>
          </w:p>
        </w:tc>
        <w:tc>
          <w:tcPr>
            <w:tcW w:w="1417" w:type="dxa"/>
            <w:tcBorders>
              <w:bottom w:val="single" w:sz="4" w:space="0" w:color="000000" w:themeColor="text1"/>
            </w:tcBorders>
            <w:shd w:val="clear" w:color="auto" w:fill="auto"/>
            <w:noWrap/>
            <w:vAlign w:val="bottom"/>
            <w:hideMark/>
          </w:tcPr>
          <w:p w14:paraId="2A754737" w14:textId="77777777" w:rsidR="00535836" w:rsidRPr="002A34F0" w:rsidRDefault="00535836" w:rsidP="00E85034">
            <w:pPr>
              <w:jc w:val="right"/>
              <w:rPr>
                <w:rFonts w:ascii="Calibri" w:hAnsi="Calibri" w:cs="Calibri"/>
                <w:b/>
                <w:bCs/>
                <w:color w:val="000000"/>
                <w:sz w:val="22"/>
                <w:szCs w:val="22"/>
              </w:rPr>
            </w:pPr>
            <w:r w:rsidRPr="002A34F0">
              <w:rPr>
                <w:rFonts w:ascii="Calibri" w:hAnsi="Calibri" w:cs="Calibri"/>
                <w:b/>
                <w:bCs/>
                <w:color w:val="000000"/>
                <w:sz w:val="22"/>
                <w:szCs w:val="22"/>
              </w:rPr>
              <w:t>30%</w:t>
            </w:r>
          </w:p>
        </w:tc>
        <w:tc>
          <w:tcPr>
            <w:tcW w:w="1276" w:type="dxa"/>
            <w:tcBorders>
              <w:bottom w:val="single" w:sz="4" w:space="0" w:color="000000" w:themeColor="text1"/>
            </w:tcBorders>
            <w:shd w:val="clear" w:color="auto" w:fill="auto"/>
            <w:noWrap/>
            <w:vAlign w:val="bottom"/>
            <w:hideMark/>
          </w:tcPr>
          <w:p w14:paraId="7039CA9D"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w:t>
            </w:r>
          </w:p>
        </w:tc>
      </w:tr>
      <w:tr w:rsidR="00535836" w:rsidRPr="002A34F0" w14:paraId="10EE82C0" w14:textId="77777777" w:rsidTr="0043791F">
        <w:trPr>
          <w:trHeight w:val="165"/>
        </w:trPr>
        <w:tc>
          <w:tcPr>
            <w:tcW w:w="2835" w:type="dxa"/>
            <w:tcBorders>
              <w:top w:val="single" w:sz="4" w:space="0" w:color="000000" w:themeColor="text1"/>
              <w:bottom w:val="single" w:sz="4" w:space="0" w:color="D9D9D9" w:themeColor="background1" w:themeShade="D9"/>
            </w:tcBorders>
            <w:shd w:val="clear" w:color="auto" w:fill="auto"/>
            <w:noWrap/>
            <w:vAlign w:val="bottom"/>
            <w:hideMark/>
          </w:tcPr>
          <w:p w14:paraId="61931325" w14:textId="77777777" w:rsidR="00535836" w:rsidRPr="002A34F0" w:rsidRDefault="00535836" w:rsidP="00E85034">
            <w:pPr>
              <w:rPr>
                <w:rFonts w:ascii="Calibri" w:hAnsi="Calibri" w:cs="Calibri"/>
                <w:b/>
                <w:bCs/>
                <w:i/>
                <w:iCs/>
                <w:color w:val="000000"/>
                <w:sz w:val="22"/>
                <w:szCs w:val="22"/>
              </w:rPr>
            </w:pPr>
            <w:r w:rsidRPr="002A34F0">
              <w:rPr>
                <w:rFonts w:ascii="Calibri" w:hAnsi="Calibri" w:cs="Calibri"/>
                <w:b/>
                <w:bCs/>
                <w:i/>
                <w:iCs/>
                <w:color w:val="000000"/>
                <w:sz w:val="22"/>
                <w:szCs w:val="22"/>
              </w:rPr>
              <w:t>Employment Sector</w:t>
            </w:r>
          </w:p>
        </w:tc>
        <w:tc>
          <w:tcPr>
            <w:tcW w:w="1276" w:type="dxa"/>
            <w:tcBorders>
              <w:top w:val="single" w:sz="4" w:space="0" w:color="000000" w:themeColor="text1"/>
              <w:bottom w:val="single" w:sz="4" w:space="0" w:color="D9D9D9" w:themeColor="background1" w:themeShade="D9"/>
            </w:tcBorders>
            <w:shd w:val="clear" w:color="auto" w:fill="auto"/>
            <w:noWrap/>
            <w:vAlign w:val="bottom"/>
          </w:tcPr>
          <w:p w14:paraId="62526827"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0E7287B9" w14:textId="77777777" w:rsidR="00535836" w:rsidRPr="002A34F0" w:rsidRDefault="00535836" w:rsidP="00E85034">
            <w:pPr>
              <w:rPr>
                <w:rFonts w:ascii="Calibri" w:hAnsi="Calibri" w:cs="Calibri"/>
                <w:b/>
                <w:bCs/>
                <w:i/>
                <w:iCs/>
                <w:color w:val="000000"/>
                <w:sz w:val="22"/>
                <w:szCs w:val="22"/>
              </w:rPr>
            </w:pPr>
          </w:p>
        </w:tc>
        <w:tc>
          <w:tcPr>
            <w:tcW w:w="1417" w:type="dxa"/>
            <w:tcBorders>
              <w:top w:val="single" w:sz="4" w:space="0" w:color="000000" w:themeColor="text1"/>
              <w:bottom w:val="single" w:sz="4" w:space="0" w:color="D9D9D9" w:themeColor="background1" w:themeShade="D9"/>
            </w:tcBorders>
            <w:shd w:val="clear" w:color="auto" w:fill="auto"/>
            <w:noWrap/>
            <w:vAlign w:val="bottom"/>
            <w:hideMark/>
          </w:tcPr>
          <w:p w14:paraId="5ACD78BB" w14:textId="77777777" w:rsidR="00535836" w:rsidRPr="002A34F0" w:rsidRDefault="00535836" w:rsidP="00E85034">
            <w:pPr>
              <w:rPr>
                <w:rFonts w:ascii="Calibri" w:hAnsi="Calibri" w:cs="Calibri"/>
                <w:b/>
                <w:bCs/>
                <w:i/>
                <w:iCs/>
                <w:color w:val="000000"/>
                <w:sz w:val="22"/>
                <w:szCs w:val="22"/>
              </w:rPr>
            </w:pPr>
          </w:p>
        </w:tc>
        <w:tc>
          <w:tcPr>
            <w:tcW w:w="1276" w:type="dxa"/>
            <w:tcBorders>
              <w:top w:val="single" w:sz="4" w:space="0" w:color="000000" w:themeColor="text1"/>
              <w:bottom w:val="single" w:sz="4" w:space="0" w:color="D9D9D9" w:themeColor="background1" w:themeShade="D9"/>
            </w:tcBorders>
            <w:shd w:val="clear" w:color="auto" w:fill="auto"/>
            <w:noWrap/>
            <w:vAlign w:val="bottom"/>
            <w:hideMark/>
          </w:tcPr>
          <w:p w14:paraId="179D8470" w14:textId="77777777" w:rsidR="00535836" w:rsidRPr="002A34F0" w:rsidRDefault="00535836" w:rsidP="00E85034">
            <w:pPr>
              <w:rPr>
                <w:rFonts w:ascii="Calibri" w:hAnsi="Calibri" w:cs="Calibri"/>
                <w:b/>
                <w:bCs/>
                <w:i/>
                <w:iCs/>
                <w:color w:val="000000"/>
                <w:sz w:val="22"/>
                <w:szCs w:val="22"/>
              </w:rPr>
            </w:pPr>
          </w:p>
        </w:tc>
      </w:tr>
      <w:tr w:rsidR="00535836" w:rsidRPr="002A34F0" w14:paraId="082A42A8" w14:textId="77777777" w:rsidTr="0043791F">
        <w:trPr>
          <w:trHeight w:val="165"/>
        </w:trPr>
        <w:tc>
          <w:tcPr>
            <w:tcW w:w="2835" w:type="dxa"/>
            <w:tcBorders>
              <w:top w:val="single" w:sz="4" w:space="0" w:color="D9D9D9" w:themeColor="background1" w:themeShade="D9"/>
            </w:tcBorders>
            <w:shd w:val="clear" w:color="auto" w:fill="auto"/>
            <w:noWrap/>
            <w:vAlign w:val="bottom"/>
            <w:hideMark/>
          </w:tcPr>
          <w:p w14:paraId="291AACDC" w14:textId="55FF5D7C" w:rsidR="00535836" w:rsidRPr="002A34F0" w:rsidRDefault="008E41EF" w:rsidP="00E85034">
            <w:pPr>
              <w:rPr>
                <w:rFonts w:ascii="Calibri" w:hAnsi="Calibri" w:cs="Calibri"/>
                <w:color w:val="000000"/>
                <w:sz w:val="22"/>
                <w:szCs w:val="22"/>
              </w:rPr>
            </w:pPr>
            <w:r w:rsidRPr="002A34F0">
              <w:rPr>
                <w:rFonts w:ascii="Calibri" w:hAnsi="Calibri" w:cs="Calibri"/>
                <w:color w:val="000000"/>
                <w:sz w:val="22"/>
                <w:szCs w:val="22"/>
              </w:rPr>
              <w:t>Main e</w:t>
            </w:r>
            <w:r w:rsidR="00535836" w:rsidRPr="002A34F0">
              <w:rPr>
                <w:rFonts w:ascii="Calibri" w:hAnsi="Calibri" w:cs="Calibri"/>
                <w:color w:val="000000"/>
                <w:sz w:val="22"/>
                <w:szCs w:val="22"/>
              </w:rPr>
              <w:t>mploy</w:t>
            </w:r>
            <w:r w:rsidRPr="002A34F0">
              <w:rPr>
                <w:rFonts w:ascii="Calibri" w:hAnsi="Calibri" w:cs="Calibri"/>
                <w:color w:val="000000"/>
                <w:sz w:val="22"/>
                <w:szCs w:val="22"/>
              </w:rPr>
              <w:t>ment</w:t>
            </w:r>
          </w:p>
        </w:tc>
        <w:tc>
          <w:tcPr>
            <w:tcW w:w="1276" w:type="dxa"/>
            <w:tcBorders>
              <w:top w:val="single" w:sz="4" w:space="0" w:color="D9D9D9" w:themeColor="background1" w:themeShade="D9"/>
            </w:tcBorders>
            <w:shd w:val="clear" w:color="auto" w:fill="auto"/>
            <w:noWrap/>
            <w:vAlign w:val="bottom"/>
          </w:tcPr>
          <w:p w14:paraId="7F6634BB"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53%</w:t>
            </w:r>
          </w:p>
        </w:tc>
        <w:tc>
          <w:tcPr>
            <w:tcW w:w="1276" w:type="dxa"/>
            <w:tcBorders>
              <w:top w:val="single" w:sz="4" w:space="0" w:color="D9D9D9" w:themeColor="background1" w:themeShade="D9"/>
            </w:tcBorders>
            <w:shd w:val="clear" w:color="auto" w:fill="auto"/>
            <w:noWrap/>
            <w:vAlign w:val="bottom"/>
            <w:hideMark/>
          </w:tcPr>
          <w:p w14:paraId="0F01EEB6"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52%</w:t>
            </w:r>
          </w:p>
        </w:tc>
        <w:tc>
          <w:tcPr>
            <w:tcW w:w="1417" w:type="dxa"/>
            <w:tcBorders>
              <w:top w:val="single" w:sz="4" w:space="0" w:color="D9D9D9" w:themeColor="background1" w:themeShade="D9"/>
            </w:tcBorders>
            <w:shd w:val="clear" w:color="auto" w:fill="auto"/>
            <w:noWrap/>
            <w:vAlign w:val="bottom"/>
            <w:hideMark/>
          </w:tcPr>
          <w:p w14:paraId="582F6A7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55%</w:t>
            </w:r>
          </w:p>
        </w:tc>
        <w:tc>
          <w:tcPr>
            <w:tcW w:w="1276" w:type="dxa"/>
            <w:tcBorders>
              <w:top w:val="single" w:sz="4" w:space="0" w:color="D9D9D9" w:themeColor="background1" w:themeShade="D9"/>
            </w:tcBorders>
            <w:shd w:val="clear" w:color="auto" w:fill="auto"/>
            <w:noWrap/>
            <w:vAlign w:val="bottom"/>
            <w:hideMark/>
          </w:tcPr>
          <w:p w14:paraId="2E1574B0"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52%</w:t>
            </w:r>
          </w:p>
        </w:tc>
      </w:tr>
      <w:tr w:rsidR="00535836" w:rsidRPr="002A34F0" w14:paraId="01BFFC8D" w14:textId="77777777" w:rsidTr="0043791F">
        <w:trPr>
          <w:trHeight w:val="165"/>
        </w:trPr>
        <w:tc>
          <w:tcPr>
            <w:tcW w:w="2835" w:type="dxa"/>
            <w:shd w:val="clear" w:color="auto" w:fill="auto"/>
            <w:noWrap/>
            <w:vAlign w:val="bottom"/>
            <w:hideMark/>
          </w:tcPr>
          <w:p w14:paraId="584BDBC8"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Primary</w:t>
            </w:r>
          </w:p>
        </w:tc>
        <w:tc>
          <w:tcPr>
            <w:tcW w:w="1276" w:type="dxa"/>
            <w:shd w:val="clear" w:color="auto" w:fill="auto"/>
            <w:noWrap/>
            <w:vAlign w:val="bottom"/>
          </w:tcPr>
          <w:p w14:paraId="713B5CB2"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276" w:type="dxa"/>
            <w:shd w:val="clear" w:color="auto" w:fill="auto"/>
            <w:noWrap/>
            <w:vAlign w:val="bottom"/>
            <w:hideMark/>
          </w:tcPr>
          <w:p w14:paraId="0D601F17"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417" w:type="dxa"/>
            <w:shd w:val="clear" w:color="auto" w:fill="auto"/>
            <w:noWrap/>
            <w:vAlign w:val="bottom"/>
            <w:hideMark/>
          </w:tcPr>
          <w:p w14:paraId="3B9563BD"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w:t>
            </w:r>
          </w:p>
        </w:tc>
        <w:tc>
          <w:tcPr>
            <w:tcW w:w="1276" w:type="dxa"/>
            <w:shd w:val="clear" w:color="auto" w:fill="auto"/>
            <w:noWrap/>
            <w:vAlign w:val="bottom"/>
            <w:hideMark/>
          </w:tcPr>
          <w:p w14:paraId="6D200DD8"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2%</w:t>
            </w:r>
          </w:p>
        </w:tc>
      </w:tr>
      <w:tr w:rsidR="00535836" w:rsidRPr="002A34F0" w14:paraId="78BFD148" w14:textId="77777777" w:rsidTr="0043791F">
        <w:trPr>
          <w:trHeight w:val="176"/>
        </w:trPr>
        <w:tc>
          <w:tcPr>
            <w:tcW w:w="2835" w:type="dxa"/>
            <w:shd w:val="clear" w:color="auto" w:fill="auto"/>
            <w:noWrap/>
            <w:vAlign w:val="bottom"/>
            <w:hideMark/>
          </w:tcPr>
          <w:p w14:paraId="3D48620C"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Secondary</w:t>
            </w:r>
          </w:p>
        </w:tc>
        <w:tc>
          <w:tcPr>
            <w:tcW w:w="1276" w:type="dxa"/>
            <w:shd w:val="clear" w:color="auto" w:fill="auto"/>
            <w:noWrap/>
            <w:vAlign w:val="bottom"/>
          </w:tcPr>
          <w:p w14:paraId="1CE64260"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9%</w:t>
            </w:r>
          </w:p>
        </w:tc>
        <w:tc>
          <w:tcPr>
            <w:tcW w:w="1276" w:type="dxa"/>
            <w:shd w:val="clear" w:color="auto" w:fill="auto"/>
            <w:noWrap/>
            <w:vAlign w:val="bottom"/>
            <w:hideMark/>
          </w:tcPr>
          <w:p w14:paraId="488D2974"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18%</w:t>
            </w:r>
          </w:p>
        </w:tc>
        <w:tc>
          <w:tcPr>
            <w:tcW w:w="1417" w:type="dxa"/>
            <w:shd w:val="clear" w:color="auto" w:fill="auto"/>
            <w:noWrap/>
            <w:vAlign w:val="bottom"/>
            <w:hideMark/>
          </w:tcPr>
          <w:p w14:paraId="6A7C130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10%</w:t>
            </w:r>
          </w:p>
        </w:tc>
        <w:tc>
          <w:tcPr>
            <w:tcW w:w="1276" w:type="dxa"/>
            <w:shd w:val="clear" w:color="auto" w:fill="auto"/>
            <w:noWrap/>
            <w:vAlign w:val="bottom"/>
            <w:hideMark/>
          </w:tcPr>
          <w:p w14:paraId="34F366E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13%</w:t>
            </w:r>
          </w:p>
        </w:tc>
      </w:tr>
      <w:tr w:rsidR="00535836" w:rsidRPr="002A34F0" w14:paraId="5B4152D3" w14:textId="77777777" w:rsidTr="0043791F">
        <w:trPr>
          <w:trHeight w:val="176"/>
        </w:trPr>
        <w:tc>
          <w:tcPr>
            <w:tcW w:w="2835" w:type="dxa"/>
            <w:shd w:val="clear" w:color="auto" w:fill="auto"/>
            <w:noWrap/>
            <w:vAlign w:val="bottom"/>
            <w:hideMark/>
          </w:tcPr>
          <w:p w14:paraId="71CCB2C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Tertiary</w:t>
            </w:r>
          </w:p>
        </w:tc>
        <w:tc>
          <w:tcPr>
            <w:tcW w:w="1276" w:type="dxa"/>
            <w:shd w:val="clear" w:color="auto" w:fill="auto"/>
            <w:noWrap/>
            <w:vAlign w:val="bottom"/>
          </w:tcPr>
          <w:p w14:paraId="54F3BE22"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42%</w:t>
            </w:r>
          </w:p>
        </w:tc>
        <w:tc>
          <w:tcPr>
            <w:tcW w:w="1276" w:type="dxa"/>
            <w:shd w:val="clear" w:color="auto" w:fill="auto"/>
            <w:noWrap/>
            <w:vAlign w:val="bottom"/>
            <w:hideMark/>
          </w:tcPr>
          <w:p w14:paraId="25D1F49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33%</w:t>
            </w:r>
          </w:p>
        </w:tc>
        <w:tc>
          <w:tcPr>
            <w:tcW w:w="1417" w:type="dxa"/>
            <w:shd w:val="clear" w:color="auto" w:fill="auto"/>
            <w:noWrap/>
            <w:vAlign w:val="bottom"/>
            <w:hideMark/>
          </w:tcPr>
          <w:p w14:paraId="02A147AF"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43%</w:t>
            </w:r>
          </w:p>
        </w:tc>
        <w:tc>
          <w:tcPr>
            <w:tcW w:w="1276" w:type="dxa"/>
            <w:shd w:val="clear" w:color="auto" w:fill="auto"/>
            <w:noWrap/>
            <w:vAlign w:val="bottom"/>
            <w:hideMark/>
          </w:tcPr>
          <w:p w14:paraId="0047BD9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36%</w:t>
            </w:r>
          </w:p>
        </w:tc>
      </w:tr>
      <w:tr w:rsidR="00535836" w:rsidRPr="002A34F0" w14:paraId="42433610" w14:textId="77777777" w:rsidTr="0043791F">
        <w:trPr>
          <w:trHeight w:val="176"/>
        </w:trPr>
        <w:tc>
          <w:tcPr>
            <w:tcW w:w="2835" w:type="dxa"/>
            <w:tcBorders>
              <w:bottom w:val="single" w:sz="4" w:space="0" w:color="000000" w:themeColor="text1"/>
            </w:tcBorders>
            <w:shd w:val="clear" w:color="auto" w:fill="auto"/>
            <w:noWrap/>
            <w:vAlign w:val="bottom"/>
            <w:hideMark/>
          </w:tcPr>
          <w:p w14:paraId="74135AFC" w14:textId="77777777" w:rsidR="00535836" w:rsidRPr="002A34F0" w:rsidRDefault="00535836" w:rsidP="00E85034">
            <w:pPr>
              <w:rPr>
                <w:rFonts w:ascii="Calibri" w:hAnsi="Calibri" w:cs="Calibri"/>
                <w:color w:val="000000"/>
                <w:sz w:val="22"/>
                <w:szCs w:val="22"/>
              </w:rPr>
            </w:pPr>
            <w:r w:rsidRPr="002A34F0">
              <w:rPr>
                <w:rFonts w:ascii="Calibri" w:hAnsi="Calibri" w:cs="Calibri"/>
                <w:color w:val="000000"/>
                <w:sz w:val="22"/>
                <w:szCs w:val="22"/>
              </w:rPr>
              <w:t>Unemployed</w:t>
            </w:r>
          </w:p>
        </w:tc>
        <w:tc>
          <w:tcPr>
            <w:tcW w:w="1276" w:type="dxa"/>
            <w:tcBorders>
              <w:bottom w:val="single" w:sz="4" w:space="0" w:color="000000" w:themeColor="text1"/>
            </w:tcBorders>
            <w:shd w:val="clear" w:color="auto" w:fill="auto"/>
            <w:noWrap/>
            <w:vAlign w:val="bottom"/>
          </w:tcPr>
          <w:p w14:paraId="25966C89"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47%</w:t>
            </w:r>
          </w:p>
        </w:tc>
        <w:tc>
          <w:tcPr>
            <w:tcW w:w="1276" w:type="dxa"/>
            <w:tcBorders>
              <w:bottom w:val="single" w:sz="4" w:space="0" w:color="000000" w:themeColor="text1"/>
            </w:tcBorders>
            <w:shd w:val="clear" w:color="auto" w:fill="auto"/>
            <w:noWrap/>
            <w:vAlign w:val="bottom"/>
            <w:hideMark/>
          </w:tcPr>
          <w:p w14:paraId="16CE8855"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48%</w:t>
            </w:r>
          </w:p>
        </w:tc>
        <w:tc>
          <w:tcPr>
            <w:tcW w:w="1417" w:type="dxa"/>
            <w:tcBorders>
              <w:bottom w:val="single" w:sz="4" w:space="0" w:color="000000" w:themeColor="text1"/>
            </w:tcBorders>
            <w:shd w:val="clear" w:color="auto" w:fill="auto"/>
            <w:noWrap/>
            <w:vAlign w:val="bottom"/>
            <w:hideMark/>
          </w:tcPr>
          <w:p w14:paraId="0C50E013"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45%</w:t>
            </w:r>
          </w:p>
        </w:tc>
        <w:tc>
          <w:tcPr>
            <w:tcW w:w="1276" w:type="dxa"/>
            <w:tcBorders>
              <w:bottom w:val="single" w:sz="4" w:space="0" w:color="000000" w:themeColor="text1"/>
            </w:tcBorders>
            <w:shd w:val="clear" w:color="auto" w:fill="auto"/>
            <w:noWrap/>
            <w:vAlign w:val="bottom"/>
            <w:hideMark/>
          </w:tcPr>
          <w:p w14:paraId="15B0FF6A" w14:textId="77777777" w:rsidR="00535836" w:rsidRPr="002A34F0" w:rsidRDefault="00535836" w:rsidP="00E85034">
            <w:pPr>
              <w:jc w:val="right"/>
              <w:rPr>
                <w:rFonts w:ascii="Calibri" w:hAnsi="Calibri" w:cs="Calibri"/>
                <w:color w:val="000000"/>
                <w:sz w:val="22"/>
                <w:szCs w:val="22"/>
              </w:rPr>
            </w:pPr>
            <w:r w:rsidRPr="002A34F0">
              <w:rPr>
                <w:rFonts w:ascii="Calibri" w:hAnsi="Calibri" w:cs="Calibri"/>
                <w:color w:val="000000"/>
                <w:sz w:val="22"/>
                <w:szCs w:val="22"/>
              </w:rPr>
              <w:t>48%</w:t>
            </w:r>
          </w:p>
        </w:tc>
      </w:tr>
      <w:tr w:rsidR="00B94C59" w:rsidRPr="002A34F0" w14:paraId="13723E87" w14:textId="77777777" w:rsidTr="0043791F">
        <w:trPr>
          <w:trHeight w:val="176"/>
        </w:trPr>
        <w:tc>
          <w:tcPr>
            <w:tcW w:w="8080" w:type="dxa"/>
            <w:gridSpan w:val="5"/>
            <w:tcBorders>
              <w:top w:val="single" w:sz="4" w:space="0" w:color="000000" w:themeColor="text1"/>
            </w:tcBorders>
            <w:shd w:val="clear" w:color="auto" w:fill="auto"/>
            <w:noWrap/>
            <w:vAlign w:val="bottom"/>
          </w:tcPr>
          <w:p w14:paraId="312FD7B0" w14:textId="68148415" w:rsidR="00B94C59" w:rsidRPr="002A34F0" w:rsidRDefault="00B94C59" w:rsidP="009439E3">
            <w:pPr>
              <w:rPr>
                <w:rFonts w:ascii="Calibri" w:hAnsi="Calibri" w:cs="Calibri"/>
                <w:i/>
                <w:iCs/>
                <w:color w:val="000000"/>
                <w:sz w:val="20"/>
                <w:szCs w:val="20"/>
              </w:rPr>
            </w:pPr>
            <w:r w:rsidRPr="002A34F0">
              <w:rPr>
                <w:rFonts w:ascii="Calibri" w:hAnsi="Calibri" w:cs="Calibri"/>
                <w:i/>
                <w:iCs/>
                <w:color w:val="000000"/>
                <w:sz w:val="20"/>
                <w:szCs w:val="20"/>
              </w:rPr>
              <w:t xml:space="preserve">Note: Bold indicates values that are </w:t>
            </w:r>
            <w:r w:rsidR="0000778E" w:rsidRPr="002A34F0">
              <w:rPr>
                <w:rFonts w:ascii="Calibri" w:hAnsi="Calibri" w:cs="Calibri"/>
                <w:i/>
                <w:iCs/>
                <w:color w:val="000000"/>
                <w:sz w:val="20"/>
                <w:szCs w:val="20"/>
              </w:rPr>
              <w:t xml:space="preserve">notably </w:t>
            </w:r>
            <w:r w:rsidRPr="002A34F0">
              <w:rPr>
                <w:rFonts w:ascii="Calibri" w:hAnsi="Calibri" w:cs="Calibri"/>
                <w:i/>
                <w:iCs/>
                <w:color w:val="000000"/>
                <w:sz w:val="20"/>
                <w:szCs w:val="20"/>
              </w:rPr>
              <w:t>larger</w:t>
            </w:r>
            <w:r w:rsidR="0000778E" w:rsidRPr="002A34F0">
              <w:rPr>
                <w:rFonts w:ascii="Calibri" w:hAnsi="Calibri" w:cs="Calibri"/>
                <w:i/>
                <w:iCs/>
                <w:color w:val="000000"/>
                <w:sz w:val="20"/>
                <w:szCs w:val="20"/>
              </w:rPr>
              <w:t xml:space="preserve"> or smaller</w:t>
            </w:r>
            <w:r w:rsidRPr="002A34F0">
              <w:rPr>
                <w:rFonts w:ascii="Calibri" w:hAnsi="Calibri" w:cs="Calibri"/>
                <w:i/>
                <w:iCs/>
                <w:color w:val="000000"/>
                <w:sz w:val="20"/>
                <w:szCs w:val="20"/>
              </w:rPr>
              <w:t xml:space="preserve"> than other </w:t>
            </w:r>
            <w:r w:rsidR="00765FCF" w:rsidRPr="002A34F0">
              <w:rPr>
                <w:rFonts w:ascii="Calibri" w:hAnsi="Calibri" w:cs="Calibri"/>
                <w:i/>
                <w:iCs/>
                <w:color w:val="000000"/>
                <w:sz w:val="20"/>
                <w:szCs w:val="20"/>
              </w:rPr>
              <w:t>groups</w:t>
            </w:r>
            <w:r w:rsidRPr="002A34F0">
              <w:rPr>
                <w:rFonts w:ascii="Calibri" w:hAnsi="Calibri" w:cs="Calibri"/>
                <w:i/>
                <w:iCs/>
                <w:color w:val="000000"/>
                <w:sz w:val="20"/>
                <w:szCs w:val="20"/>
              </w:rPr>
              <w:t xml:space="preserve"> </w:t>
            </w:r>
            <w:r w:rsidR="00A1369B" w:rsidRPr="002A34F0">
              <w:rPr>
                <w:rFonts w:ascii="Calibri" w:hAnsi="Calibri" w:cs="Calibri"/>
                <w:i/>
                <w:iCs/>
                <w:color w:val="000000"/>
                <w:sz w:val="20"/>
                <w:szCs w:val="20"/>
              </w:rPr>
              <w:t>with</w:t>
            </w:r>
            <w:r w:rsidR="0000778E" w:rsidRPr="002A34F0">
              <w:rPr>
                <w:rFonts w:ascii="Calibri" w:hAnsi="Calibri" w:cs="Calibri"/>
                <w:i/>
                <w:iCs/>
                <w:color w:val="000000"/>
                <w:sz w:val="20"/>
                <w:szCs w:val="20"/>
              </w:rPr>
              <w:t xml:space="preserve">in that </w:t>
            </w:r>
            <w:r w:rsidR="00A1369B" w:rsidRPr="002A34F0">
              <w:rPr>
                <w:rFonts w:ascii="Calibri" w:hAnsi="Calibri" w:cs="Calibri"/>
                <w:i/>
                <w:iCs/>
                <w:color w:val="000000"/>
                <w:sz w:val="20"/>
                <w:szCs w:val="20"/>
              </w:rPr>
              <w:t>domain</w:t>
            </w:r>
          </w:p>
        </w:tc>
      </w:tr>
    </w:tbl>
    <w:p w14:paraId="71DE44A5" w14:textId="77777777" w:rsidR="0062304E" w:rsidRPr="002A34F0" w:rsidRDefault="0062304E" w:rsidP="0062304E">
      <w:pPr>
        <w:spacing w:line="480" w:lineRule="auto"/>
        <w:rPr>
          <w:b/>
          <w:bCs/>
        </w:rPr>
      </w:pPr>
    </w:p>
    <w:p w14:paraId="745AD896" w14:textId="11269016" w:rsidR="00811BD4" w:rsidRPr="002A34F0" w:rsidRDefault="00581277" w:rsidP="001674C6">
      <w:pPr>
        <w:pStyle w:val="Heading2"/>
        <w:spacing w:line="480" w:lineRule="auto"/>
      </w:pPr>
      <w:r w:rsidRPr="002A34F0">
        <w:t>H</w:t>
      </w:r>
      <w:r w:rsidR="00A06C37" w:rsidRPr="002A34F0">
        <w:t xml:space="preserve">ousehold </w:t>
      </w:r>
      <w:r w:rsidRPr="002A34F0">
        <w:t>SES versus</w:t>
      </w:r>
      <w:r w:rsidR="00A06C37" w:rsidRPr="002A34F0">
        <w:t xml:space="preserve"> neighbourhood</w:t>
      </w:r>
      <w:r w:rsidR="00084AA8" w:rsidRPr="002A34F0">
        <w:t xml:space="preserve"> </w:t>
      </w:r>
      <w:r w:rsidR="00A06C37" w:rsidRPr="002A34F0">
        <w:t xml:space="preserve">average </w:t>
      </w:r>
      <w:r w:rsidR="00084AA8" w:rsidRPr="002A34F0">
        <w:t xml:space="preserve">SES </w:t>
      </w:r>
    </w:p>
    <w:p w14:paraId="06F5593B" w14:textId="7358B83A" w:rsidR="00DE22F1" w:rsidRPr="002A34F0" w:rsidRDefault="00B67040" w:rsidP="00106C25">
      <w:pPr>
        <w:spacing w:before="240" w:after="240" w:line="480" w:lineRule="auto"/>
      </w:pPr>
      <w:r w:rsidRPr="002A34F0">
        <w:t xml:space="preserve">Figure </w:t>
      </w:r>
      <w:r w:rsidR="00F90787" w:rsidRPr="002A34F0">
        <w:t>4</w:t>
      </w:r>
      <w:r w:rsidR="00E33C1A" w:rsidRPr="002A34F0">
        <w:t xml:space="preserve"> </w:t>
      </w:r>
      <w:r w:rsidRPr="002A34F0">
        <w:t xml:space="preserve">presents average marginal effects (AMEs) </w:t>
      </w:r>
      <w:r w:rsidR="0067382A" w:rsidRPr="002A34F0">
        <w:t xml:space="preserve">from equation 1 </w:t>
      </w:r>
      <w:r w:rsidRPr="002A34F0">
        <w:t xml:space="preserve">for </w:t>
      </w:r>
      <w:r w:rsidR="00A06C37" w:rsidRPr="002A34F0">
        <w:t xml:space="preserve">improved </w:t>
      </w:r>
      <w:r w:rsidRPr="002A34F0">
        <w:t>household outcomes</w:t>
      </w:r>
      <w:r w:rsidR="003D1F68" w:rsidRPr="002A34F0">
        <w:t xml:space="preserve"> (for tabular results see Table A</w:t>
      </w:r>
      <w:r w:rsidR="00736B47" w:rsidRPr="002A34F0">
        <w:t>.</w:t>
      </w:r>
      <w:r w:rsidR="001E6163" w:rsidRPr="002A34F0">
        <w:t>2</w:t>
      </w:r>
      <w:r w:rsidR="00DF6C08" w:rsidRPr="002A34F0">
        <w:t>)</w:t>
      </w:r>
      <w:r w:rsidR="003D1F68" w:rsidRPr="002A34F0">
        <w:t xml:space="preserve">. </w:t>
      </w:r>
      <w:bookmarkStart w:id="13" w:name="_Hlk138856624"/>
      <w:r w:rsidR="00012AA3" w:rsidRPr="002A34F0">
        <w:t xml:space="preserve">We use AMEs to assess whether household SES or neighbourhood </w:t>
      </w:r>
      <w:r w:rsidR="00280ED7" w:rsidRPr="002A34F0">
        <w:t>SES</w:t>
      </w:r>
      <w:r w:rsidR="00012AA3" w:rsidRPr="002A34F0">
        <w:t xml:space="preserve"> is more strongly associated with improved outcomes, while accounting for their joint interaction. </w:t>
      </w:r>
      <w:r w:rsidR="00CF6ECF" w:rsidRPr="002A34F0">
        <w:t xml:space="preserve">From these we can </w:t>
      </w:r>
      <w:r w:rsidR="00012AA3" w:rsidRPr="002A34F0">
        <w:t>see whether</w:t>
      </w:r>
      <w:r w:rsidR="00CF6ECF" w:rsidRPr="002A34F0">
        <w:t xml:space="preserve"> household SES </w:t>
      </w:r>
      <w:r w:rsidR="00012AA3" w:rsidRPr="002A34F0">
        <w:t xml:space="preserve">or </w:t>
      </w:r>
      <w:r w:rsidR="00CF6ECF" w:rsidRPr="002A34F0">
        <w:t xml:space="preserve">location-based concentrations of </w:t>
      </w:r>
      <w:r w:rsidR="003D0909" w:rsidRPr="002A34F0">
        <w:t>SES</w:t>
      </w:r>
      <w:r w:rsidR="00CF6ECF" w:rsidRPr="002A34F0">
        <w:t xml:space="preserve"> are more associated with improved living conditions.</w:t>
      </w:r>
      <w:bookmarkEnd w:id="13"/>
      <w:r w:rsidR="00CF6ECF" w:rsidRPr="002A34F0">
        <w:t xml:space="preserve"> </w:t>
      </w:r>
      <w:r w:rsidR="00A42B78" w:rsidRPr="002A34F0">
        <w:t>A p</w:t>
      </w:r>
      <w:r w:rsidR="00772A49" w:rsidRPr="002A34F0">
        <w:t>oint on each figure represent</w:t>
      </w:r>
      <w:r w:rsidR="00A42B78" w:rsidRPr="002A34F0">
        <w:t>s</w:t>
      </w:r>
      <w:r w:rsidR="00772A49" w:rsidRPr="002A34F0">
        <w:t xml:space="preserve"> the AME for </w:t>
      </w:r>
      <w:r w:rsidR="00811BD4" w:rsidRPr="002A34F0">
        <w:t>household SES</w:t>
      </w:r>
      <w:r w:rsidR="00772A49" w:rsidRPr="002A34F0">
        <w:t xml:space="preserve"> (</w:t>
      </w:r>
      <w:r w:rsidR="00772A49" w:rsidRPr="002A34F0">
        <w:rPr>
          <w:i/>
          <w:iCs/>
        </w:rPr>
        <w:t>H</w:t>
      </w:r>
      <w:r w:rsidR="00772A49" w:rsidRPr="002A34F0">
        <w:rPr>
          <w:i/>
          <w:iCs/>
          <w:vertAlign w:val="subscript"/>
        </w:rPr>
        <w:t>i</w:t>
      </w:r>
      <w:r w:rsidR="00772A49" w:rsidRPr="002A34F0">
        <w:t>)</w:t>
      </w:r>
      <w:r w:rsidR="00811BD4" w:rsidRPr="002A34F0">
        <w:t xml:space="preserve"> </w:t>
      </w:r>
      <w:r w:rsidR="00A42B78" w:rsidRPr="002A34F0">
        <w:t xml:space="preserve">or </w:t>
      </w:r>
      <w:r w:rsidR="00D43C24" w:rsidRPr="002A34F0">
        <w:t>neighbour</w:t>
      </w:r>
      <w:r w:rsidR="00772A49" w:rsidRPr="002A34F0">
        <w:t>hood SES (</w:t>
      </w:r>
      <w:r w:rsidR="00772A49" w:rsidRPr="002A34F0">
        <w:rPr>
          <w:i/>
          <w:iCs/>
        </w:rPr>
        <w:t>N</w:t>
      </w:r>
      <w:r w:rsidR="00772A49" w:rsidRPr="002A34F0">
        <w:rPr>
          <w:i/>
          <w:iCs/>
          <w:vertAlign w:val="subscript"/>
        </w:rPr>
        <w:t>j</w:t>
      </w:r>
      <w:r w:rsidR="00772A49" w:rsidRPr="002A34F0">
        <w:t xml:space="preserve">) </w:t>
      </w:r>
      <w:r w:rsidR="00FF1103" w:rsidRPr="002A34F0">
        <w:t>as they relate</w:t>
      </w:r>
      <w:r w:rsidR="00A35EBB" w:rsidRPr="002A34F0">
        <w:t xml:space="preserve"> </w:t>
      </w:r>
      <w:r w:rsidR="00C16A34" w:rsidRPr="002A34F0">
        <w:t xml:space="preserve">to </w:t>
      </w:r>
      <w:r w:rsidR="00FF1103" w:rsidRPr="002A34F0">
        <w:t>improved</w:t>
      </w:r>
      <w:r w:rsidR="00C16A34" w:rsidRPr="002A34F0">
        <w:t xml:space="preserve"> well-being </w:t>
      </w:r>
      <w:r w:rsidR="00FF1103" w:rsidRPr="002A34F0">
        <w:t>outcome</w:t>
      </w:r>
      <w:r w:rsidR="00A73292" w:rsidRPr="002A34F0">
        <w:t xml:space="preserve">s </w:t>
      </w:r>
      <w:r w:rsidR="00FF1103" w:rsidRPr="002A34F0">
        <w:t>group</w:t>
      </w:r>
      <w:r w:rsidR="00A73292" w:rsidRPr="002A34F0">
        <w:t>ed</w:t>
      </w:r>
      <w:r w:rsidR="00FF1103" w:rsidRPr="002A34F0">
        <w:t xml:space="preserve"> into five categories: housing </w:t>
      </w:r>
      <w:r w:rsidR="00250F7E" w:rsidRPr="002A34F0">
        <w:t>(</w:t>
      </w:r>
      <w:r w:rsidR="00DF6C08" w:rsidRPr="002A34F0">
        <w:t>A</w:t>
      </w:r>
      <w:r w:rsidR="00FF1103" w:rsidRPr="002A34F0">
        <w:t>), fuel use (</w:t>
      </w:r>
      <w:r w:rsidR="00DF6C08" w:rsidRPr="002A34F0">
        <w:t>B</w:t>
      </w:r>
      <w:r w:rsidR="00FF1103" w:rsidRPr="002A34F0">
        <w:t>), sanitation (</w:t>
      </w:r>
      <w:r w:rsidR="00DF6C08" w:rsidRPr="002A34F0">
        <w:t>C</w:t>
      </w:r>
      <w:r w:rsidR="00FF1103" w:rsidRPr="002A34F0">
        <w:t>), water (</w:t>
      </w:r>
      <w:r w:rsidR="00DF6C08" w:rsidRPr="002A34F0">
        <w:t>D</w:t>
      </w:r>
      <w:r w:rsidR="00FF1103" w:rsidRPr="002A34F0">
        <w:t>), and ICT use (</w:t>
      </w:r>
      <w:r w:rsidR="00DF6C08" w:rsidRPr="002A34F0">
        <w:t>E</w:t>
      </w:r>
      <w:r w:rsidR="00FF1103" w:rsidRPr="002A34F0">
        <w:t xml:space="preserve">). </w:t>
      </w:r>
      <w:bookmarkStart w:id="14" w:name="_Hlk140828060"/>
      <w:r w:rsidR="00750345" w:rsidRPr="002A34F0">
        <w:t xml:space="preserve">Since each outcome is calculated separately, axes are scaled to </w:t>
      </w:r>
      <w:r w:rsidR="00F05544" w:rsidRPr="002A34F0">
        <w:t>reflect the range of AMEs in that domain</w:t>
      </w:r>
      <w:r w:rsidR="00750345" w:rsidRPr="002A34F0">
        <w:t xml:space="preserve">. </w:t>
      </w:r>
      <w:bookmarkEnd w:id="14"/>
    </w:p>
    <w:p w14:paraId="1D40CA98" w14:textId="515CFC32" w:rsidR="00535836" w:rsidRPr="002A34F0" w:rsidRDefault="00D50BCB" w:rsidP="0062304E">
      <w:pPr>
        <w:spacing w:before="240" w:after="240" w:line="480" w:lineRule="auto"/>
        <w:jc w:val="center"/>
      </w:pPr>
      <w:r w:rsidRPr="002A34F0">
        <w:rPr>
          <w:noProof/>
        </w:rPr>
        <w:lastRenderedPageBreak/>
        <w:drawing>
          <wp:inline distT="0" distB="0" distL="0" distR="0" wp14:anchorId="2650CD96" wp14:editId="7DEC9E5D">
            <wp:extent cx="2764712" cy="6035040"/>
            <wp:effectExtent l="0" t="0" r="0" b="3810"/>
            <wp:docPr id="1003080665" name="Picture 2" descr="A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80665" name="Picture 2" descr="A chart with different colored circl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764712" cy="6035040"/>
                    </a:xfrm>
                    <a:prstGeom prst="rect">
                      <a:avLst/>
                    </a:prstGeom>
                  </pic:spPr>
                </pic:pic>
              </a:graphicData>
            </a:graphic>
          </wp:inline>
        </w:drawing>
      </w:r>
    </w:p>
    <w:p w14:paraId="6DFCE2C3" w14:textId="3D69D493" w:rsidR="00535836" w:rsidRPr="002A34F0" w:rsidRDefault="00535836" w:rsidP="00535836">
      <w:pPr>
        <w:spacing w:line="480" w:lineRule="auto"/>
      </w:pPr>
      <w:r w:rsidRPr="002A34F0">
        <w:t xml:space="preserve">Figure </w:t>
      </w:r>
      <w:r w:rsidR="00F90787" w:rsidRPr="002A34F0">
        <w:t>4</w:t>
      </w:r>
      <w:r w:rsidRPr="002A34F0">
        <w:t>. Average Marginal Effects (AMEs)</w:t>
      </w:r>
      <w:r w:rsidR="0050689C" w:rsidRPr="002A34F0">
        <w:t xml:space="preserve"> for five household outcome themes. Each column shows the independent effect of an improved outcome as associated with household- or neighborhood-level SES.  </w:t>
      </w:r>
    </w:p>
    <w:p w14:paraId="06E67CA6" w14:textId="0B67FE25" w:rsidR="005F38C2" w:rsidRPr="002A34F0" w:rsidRDefault="00C00BCE" w:rsidP="009D41CE">
      <w:pPr>
        <w:spacing w:before="240" w:after="240" w:line="480" w:lineRule="auto"/>
        <w:ind w:firstLine="720"/>
      </w:pPr>
      <w:bookmarkStart w:id="15" w:name="_Hlk90016480"/>
      <w:r w:rsidRPr="002A34F0">
        <w:t xml:space="preserve">Row </w:t>
      </w:r>
      <w:r w:rsidR="00811BD4" w:rsidRPr="002A34F0">
        <w:t xml:space="preserve">A </w:t>
      </w:r>
      <w:r w:rsidR="00DE22F1" w:rsidRPr="002A34F0">
        <w:t>p</w:t>
      </w:r>
      <w:bookmarkEnd w:id="15"/>
      <w:r w:rsidR="00DE22F1" w:rsidRPr="002A34F0">
        <w:t>resents</w:t>
      </w:r>
      <w:r w:rsidR="00EE5875" w:rsidRPr="002A34F0">
        <w:t xml:space="preserve"> outcomes related to</w:t>
      </w:r>
      <w:r w:rsidR="00DE22F1" w:rsidRPr="002A34F0">
        <w:t xml:space="preserve"> housing</w:t>
      </w:r>
      <w:r w:rsidR="00EE5875" w:rsidRPr="002A34F0">
        <w:t xml:space="preserve">: </w:t>
      </w:r>
      <w:r w:rsidR="00DE22F1" w:rsidRPr="002A34F0">
        <w:t xml:space="preserve">improved dwellings, </w:t>
      </w:r>
      <w:r w:rsidR="00010C1E" w:rsidRPr="002A34F0">
        <w:t xml:space="preserve">floors, </w:t>
      </w:r>
      <w:r w:rsidR="00DE22F1" w:rsidRPr="002A34F0">
        <w:t xml:space="preserve">walls, and roofs. </w:t>
      </w:r>
      <w:r w:rsidR="00CD703A" w:rsidRPr="002A34F0">
        <w:t xml:space="preserve">All rates showing in </w:t>
      </w:r>
      <w:r w:rsidRPr="002A34F0">
        <w:t xml:space="preserve">Row </w:t>
      </w:r>
      <w:r w:rsidR="00CD703A" w:rsidRPr="002A34F0">
        <w:t>A are small relative to effects in other panels but, m</w:t>
      </w:r>
      <w:r w:rsidR="00697C09" w:rsidRPr="002A34F0">
        <w:t>ost noticeably</w:t>
      </w:r>
      <w:r w:rsidR="00CD703A" w:rsidRPr="002A34F0">
        <w:t>,</w:t>
      </w:r>
      <w:r w:rsidR="00697C09" w:rsidRPr="002A34F0">
        <w:t xml:space="preserve"> a</w:t>
      </w:r>
      <w:r w:rsidR="00811BD4" w:rsidRPr="002A34F0">
        <w:t xml:space="preserve">ffluent </w:t>
      </w:r>
      <w:r w:rsidR="0011105F" w:rsidRPr="002A34F0">
        <w:t xml:space="preserve">(+) </w:t>
      </w:r>
      <w:r w:rsidR="00811BD4" w:rsidRPr="002A34F0">
        <w:t xml:space="preserve">and poor </w:t>
      </w:r>
      <w:r w:rsidR="0011105F" w:rsidRPr="002A34F0">
        <w:t xml:space="preserve">(-) </w:t>
      </w:r>
      <w:r w:rsidR="00697C09" w:rsidRPr="002A34F0">
        <w:t xml:space="preserve">households </w:t>
      </w:r>
      <w:r w:rsidR="0011105F" w:rsidRPr="002A34F0">
        <w:t xml:space="preserve">are </w:t>
      </w:r>
      <w:r w:rsidR="00697C09" w:rsidRPr="002A34F0">
        <w:t>strongly</w:t>
      </w:r>
      <w:r w:rsidR="0011105F" w:rsidRPr="002A34F0">
        <w:t xml:space="preserve"> associated with</w:t>
      </w:r>
      <w:r w:rsidR="009B797F" w:rsidRPr="002A34F0">
        <w:t xml:space="preserve"> rates of</w:t>
      </w:r>
      <w:r w:rsidR="00697C09" w:rsidRPr="002A34F0">
        <w:t xml:space="preserve"> improved dwellings </w:t>
      </w:r>
      <w:r w:rsidR="004073A6" w:rsidRPr="002A34F0">
        <w:t>(</w:t>
      </w:r>
      <w:r w:rsidR="00697C09" w:rsidRPr="002A34F0">
        <w:t>relative to middle income households</w:t>
      </w:r>
      <w:r w:rsidR="004073A6" w:rsidRPr="002A34F0">
        <w:t>)</w:t>
      </w:r>
      <w:r w:rsidR="00A5646A" w:rsidRPr="002A34F0">
        <w:t xml:space="preserve">. Most </w:t>
      </w:r>
      <w:r w:rsidR="00250F7E" w:rsidRPr="002A34F0">
        <w:t>location</w:t>
      </w:r>
      <w:r w:rsidR="00A5646A" w:rsidRPr="002A34F0">
        <w:t xml:space="preserve">-based </w:t>
      </w:r>
      <w:r w:rsidR="00A5646A" w:rsidRPr="002A34F0">
        <w:lastRenderedPageBreak/>
        <w:t>marginal</w:t>
      </w:r>
      <w:r w:rsidR="00250F7E" w:rsidRPr="002A34F0">
        <w:t xml:space="preserve"> effects</w:t>
      </w:r>
      <w:r w:rsidR="00A5646A" w:rsidRPr="002A34F0">
        <w:t xml:space="preserve"> are</w:t>
      </w:r>
      <w:r w:rsidR="0011105F" w:rsidRPr="002A34F0">
        <w:t xml:space="preserve"> </w:t>
      </w:r>
      <w:r w:rsidR="002C0849" w:rsidRPr="002A34F0">
        <w:t>small</w:t>
      </w:r>
      <w:r w:rsidR="00F308C2" w:rsidRPr="002A34F0">
        <w:t>er</w:t>
      </w:r>
      <w:r w:rsidR="00811BD4" w:rsidRPr="002A34F0">
        <w:t xml:space="preserve">. </w:t>
      </w:r>
      <w:r w:rsidRPr="002A34F0">
        <w:t xml:space="preserve">Row </w:t>
      </w:r>
      <w:r w:rsidR="00A5646A" w:rsidRPr="002A34F0">
        <w:t>B</w:t>
      </w:r>
      <w:r w:rsidR="00907932" w:rsidRPr="002A34F0">
        <w:t xml:space="preserve"> shows AMEs for </w:t>
      </w:r>
      <w:r w:rsidR="00DE22F1" w:rsidRPr="002A34F0">
        <w:t>improved</w:t>
      </w:r>
      <w:r w:rsidR="00C75BF2" w:rsidRPr="002A34F0">
        <w:t xml:space="preserve"> energy</w:t>
      </w:r>
      <w:r w:rsidR="00DE22F1" w:rsidRPr="002A34F0">
        <w:t xml:space="preserve"> sources</w:t>
      </w:r>
      <w:r w:rsidR="00C75BF2" w:rsidRPr="002A34F0">
        <w:t xml:space="preserve">, in which household SES </w:t>
      </w:r>
      <w:r w:rsidR="001A5CFA" w:rsidRPr="002A34F0">
        <w:t xml:space="preserve">is closely associated with the </w:t>
      </w:r>
      <w:r w:rsidR="00DE22F1" w:rsidRPr="002A34F0">
        <w:t>use</w:t>
      </w:r>
      <w:r w:rsidR="001A5CFA" w:rsidRPr="002A34F0">
        <w:t xml:space="preserve"> of</w:t>
      </w:r>
      <w:r w:rsidR="00DE22F1" w:rsidRPr="002A34F0">
        <w:t xml:space="preserve"> improved cooking fuels</w:t>
      </w:r>
      <w:r w:rsidR="00483B22" w:rsidRPr="002A34F0">
        <w:t xml:space="preserve"> while location effects have a more limited relationship. </w:t>
      </w:r>
      <w:r w:rsidRPr="002A34F0">
        <w:t xml:space="preserve">Row </w:t>
      </w:r>
      <w:r w:rsidR="00754C92" w:rsidRPr="002A34F0">
        <w:t xml:space="preserve">C presents </w:t>
      </w:r>
      <w:r w:rsidR="00EA1286" w:rsidRPr="002A34F0">
        <w:t xml:space="preserve">AMEs for sanitation outcomes. Here we see that household SES status is associated with improved toilets and liquid waste disposal, but in contrast to many other domains, location effects are of a very similar magnitude.  </w:t>
      </w:r>
      <w:r w:rsidRPr="002A34F0">
        <w:t xml:space="preserve">Row </w:t>
      </w:r>
      <w:r w:rsidR="008036DD" w:rsidRPr="002A34F0">
        <w:t>D</w:t>
      </w:r>
      <w:r w:rsidR="00BB5EBD" w:rsidRPr="002A34F0">
        <w:t xml:space="preserve"> shows detailed results for </w:t>
      </w:r>
      <w:r w:rsidR="00C925CD" w:rsidRPr="002A34F0">
        <w:t>piped, vended</w:t>
      </w:r>
      <w:r w:rsidR="00754C92" w:rsidRPr="002A34F0">
        <w:t>,</w:t>
      </w:r>
      <w:r w:rsidR="00C925CD" w:rsidRPr="002A34F0">
        <w:t xml:space="preserve"> and other </w:t>
      </w:r>
      <w:r w:rsidR="00754C92" w:rsidRPr="002A34F0">
        <w:t xml:space="preserve">drinking water </w:t>
      </w:r>
      <w:r w:rsidR="00C925CD" w:rsidRPr="002A34F0">
        <w:t xml:space="preserve">sources. </w:t>
      </w:r>
      <w:r w:rsidR="0046230E" w:rsidRPr="002A34F0">
        <w:t xml:space="preserve">Household </w:t>
      </w:r>
      <w:r w:rsidR="00025534" w:rsidRPr="002A34F0">
        <w:t xml:space="preserve">SES </w:t>
      </w:r>
      <w:r w:rsidR="0046230E" w:rsidRPr="002A34F0">
        <w:t>effects are strong</w:t>
      </w:r>
      <w:r w:rsidR="00025534" w:rsidRPr="002A34F0">
        <w:t>ly negatively related for piped water sources, showing a</w:t>
      </w:r>
      <w:r w:rsidR="00C925CD" w:rsidRPr="002A34F0">
        <w:t xml:space="preserve">ffluent households </w:t>
      </w:r>
      <w:r w:rsidR="00025534" w:rsidRPr="002A34F0">
        <w:t>are much</w:t>
      </w:r>
      <w:r w:rsidR="00C925CD" w:rsidRPr="002A34F0">
        <w:t xml:space="preserve"> more likely to use</w:t>
      </w:r>
      <w:r w:rsidR="00025534" w:rsidRPr="002A34F0">
        <w:t xml:space="preserve"> vended (</w:t>
      </w:r>
      <w:r w:rsidR="00C925CD" w:rsidRPr="002A34F0">
        <w:t>bottled or sachet</w:t>
      </w:r>
      <w:r w:rsidR="00025534" w:rsidRPr="002A34F0">
        <w:t>-packet)</w:t>
      </w:r>
      <w:r w:rsidR="00C925CD" w:rsidRPr="002A34F0">
        <w:t xml:space="preserve"> water</w:t>
      </w:r>
      <w:r w:rsidR="00025534" w:rsidRPr="002A34F0">
        <w:t xml:space="preserve"> sources</w:t>
      </w:r>
      <w:r w:rsidR="00C925CD" w:rsidRPr="002A34F0">
        <w:t xml:space="preserve">. A </w:t>
      </w:r>
      <w:r w:rsidR="003E473F" w:rsidRPr="002A34F0">
        <w:t>similar though slightly smaller effect is seen for</w:t>
      </w:r>
      <w:r w:rsidR="00C925CD" w:rsidRPr="002A34F0">
        <w:t xml:space="preserve"> EAs. </w:t>
      </w:r>
      <w:r w:rsidR="001A4337" w:rsidRPr="002A34F0">
        <w:t xml:space="preserve">Finally, </w:t>
      </w:r>
      <w:r w:rsidRPr="002A34F0">
        <w:t xml:space="preserve">Row </w:t>
      </w:r>
      <w:r w:rsidR="00EA1286" w:rsidRPr="002A34F0">
        <w:t>E presents AMEs related to ICT use</w:t>
      </w:r>
      <w:r w:rsidR="001A4337" w:rsidRPr="002A34F0">
        <w:t xml:space="preserve">, where we see strong household effects but virtually no relationship with one’s </w:t>
      </w:r>
      <w:r w:rsidR="00D43C24" w:rsidRPr="002A34F0">
        <w:t>neighbour</w:t>
      </w:r>
      <w:r w:rsidR="001A4337" w:rsidRPr="002A34F0">
        <w:t>hood</w:t>
      </w:r>
      <w:r w:rsidR="00EA1286" w:rsidRPr="002A34F0">
        <w:t xml:space="preserve">. </w:t>
      </w:r>
      <w:r w:rsidR="00C024FC" w:rsidRPr="002A34F0">
        <w:t xml:space="preserve">These </w:t>
      </w:r>
      <w:r w:rsidR="009D41CE" w:rsidRPr="002A34F0">
        <w:t>relationships</w:t>
      </w:r>
      <w:r w:rsidR="00C024FC" w:rsidRPr="002A34F0">
        <w:t xml:space="preserve"> persisted when testing model sensitivity </w:t>
      </w:r>
      <w:r w:rsidR="00DE05F7" w:rsidRPr="002A34F0">
        <w:t>with different thresholds</w:t>
      </w:r>
      <w:r w:rsidR="00420BC2" w:rsidRPr="002A34F0">
        <w:t xml:space="preserve"> (10% and 20% vs 33%; Fig 2B)</w:t>
      </w:r>
      <w:r w:rsidR="00DE05F7" w:rsidRPr="002A34F0">
        <w:t xml:space="preserve">. </w:t>
      </w:r>
      <w:r w:rsidR="009D41CE" w:rsidRPr="002A34F0">
        <w:t>The magnitude of class and neighbo</w:t>
      </w:r>
      <w:r w:rsidR="003A5320" w:rsidRPr="002A34F0">
        <w:t>u</w:t>
      </w:r>
      <w:r w:rsidR="009D41CE" w:rsidRPr="002A34F0">
        <w:t xml:space="preserve">rhood effects increased with stricter definitions, and while levels decreased with more lenient cut-offs. </w:t>
      </w:r>
    </w:p>
    <w:p w14:paraId="2478336C" w14:textId="2A8E1971" w:rsidR="00DB4284" w:rsidRPr="002A34F0" w:rsidRDefault="001A4337" w:rsidP="001B59A7">
      <w:pPr>
        <w:spacing w:before="240" w:after="240" w:line="480" w:lineRule="auto"/>
        <w:ind w:firstLine="720"/>
      </w:pPr>
      <w:r w:rsidRPr="002A34F0">
        <w:t>In summary, t</w:t>
      </w:r>
      <w:r w:rsidR="00DB4284" w:rsidRPr="002A34F0">
        <w:t>here are two main takeaways from the AME results. First, household SES is closely associated with consumption of improved housing materials, energy use, solid and liquid waste disposal services, drinking water, and ICT use</w:t>
      </w:r>
      <w:r w:rsidR="005B52EA" w:rsidRPr="002A34F0">
        <w:t xml:space="preserve"> – all things that are universally available and </w:t>
      </w:r>
      <w:r w:rsidR="00FB433D" w:rsidRPr="002A34F0">
        <w:t>are aspects of living conditions over which households have a great degree of choice</w:t>
      </w:r>
      <w:r w:rsidR="00DB4284" w:rsidRPr="002A34F0">
        <w:t xml:space="preserve">. Second, for other key domains, </w:t>
      </w:r>
      <w:r w:rsidR="00FB433D" w:rsidRPr="002A34F0">
        <w:t>notably water and sanitation</w:t>
      </w:r>
      <w:r w:rsidR="004206D2" w:rsidRPr="002A34F0">
        <w:t xml:space="preserve"> (improved toilets, liquid waste disposal services, and wall materials)</w:t>
      </w:r>
      <w:r w:rsidR="00DB4284" w:rsidRPr="002A34F0">
        <w:t>, location is as or more important than SES</w:t>
      </w:r>
      <w:r w:rsidR="00FB433D" w:rsidRPr="002A34F0">
        <w:t xml:space="preserve"> since these rely </w:t>
      </w:r>
      <w:r w:rsidR="00FB3BD0" w:rsidRPr="002A34F0">
        <w:t xml:space="preserve">to some extent on publicly supplied infrastructure or markets that might be concentrated in </w:t>
      </w:r>
      <w:r w:rsidR="00280ED7" w:rsidRPr="002A34F0">
        <w:t xml:space="preserve">affluent </w:t>
      </w:r>
      <w:r w:rsidR="00FB3BD0" w:rsidRPr="002A34F0">
        <w:t>areas (e</w:t>
      </w:r>
      <w:r w:rsidR="00477D77" w:rsidRPr="002A34F0">
        <w:t>.</w:t>
      </w:r>
      <w:r w:rsidR="00FB3BD0" w:rsidRPr="002A34F0">
        <w:t>g</w:t>
      </w:r>
      <w:r w:rsidR="00477D77" w:rsidRPr="002A34F0">
        <w:t>.</w:t>
      </w:r>
      <w:r w:rsidR="00FB3BD0" w:rsidRPr="002A34F0">
        <w:t>, vended water suppliers)</w:t>
      </w:r>
      <w:r w:rsidR="00DB4284" w:rsidRPr="002A34F0">
        <w:t>.</w:t>
      </w:r>
      <w:r w:rsidR="00C024FC" w:rsidRPr="002A34F0">
        <w:t xml:space="preserve"> </w:t>
      </w:r>
    </w:p>
    <w:p w14:paraId="3714D368" w14:textId="25B43776" w:rsidR="00C925CD" w:rsidRPr="002A34F0" w:rsidRDefault="00E60B60" w:rsidP="00C925CD">
      <w:pPr>
        <w:pStyle w:val="Heading2"/>
      </w:pPr>
      <w:r w:rsidRPr="002A34F0">
        <w:lastRenderedPageBreak/>
        <w:t>How strangers fare: interactions between</w:t>
      </w:r>
      <w:r w:rsidR="00084AA8" w:rsidRPr="002A34F0">
        <w:t xml:space="preserve"> household</w:t>
      </w:r>
      <w:r w:rsidR="00C64AE5" w:rsidRPr="002A34F0">
        <w:t xml:space="preserve"> </w:t>
      </w:r>
      <w:r w:rsidRPr="002A34F0">
        <w:t xml:space="preserve">and </w:t>
      </w:r>
      <w:r w:rsidR="00084AA8" w:rsidRPr="002A34F0">
        <w:t>neighbourhood</w:t>
      </w:r>
      <w:r w:rsidRPr="002A34F0">
        <w:t xml:space="preserve"> SES</w:t>
      </w:r>
    </w:p>
    <w:p w14:paraId="11CE0E95" w14:textId="20BBAD06" w:rsidR="00CD7ED5" w:rsidRPr="002A34F0" w:rsidRDefault="00F44CDA" w:rsidP="006F1B84">
      <w:pPr>
        <w:spacing w:before="240" w:after="240" w:line="480" w:lineRule="auto"/>
        <w:ind w:firstLine="720"/>
      </w:pPr>
      <w:r w:rsidRPr="002A34F0">
        <w:t xml:space="preserve">We now turn to average adjusted </w:t>
      </w:r>
      <w:r w:rsidR="004445B9" w:rsidRPr="002A34F0">
        <w:t>predictions (AAPs)</w:t>
      </w:r>
      <w:r w:rsidRPr="002A34F0">
        <w:t xml:space="preserve"> </w:t>
      </w:r>
      <w:r w:rsidR="0093000F" w:rsidRPr="002A34F0">
        <w:t xml:space="preserve">to see how households living in specific </w:t>
      </w:r>
      <w:r w:rsidR="00D43C24" w:rsidRPr="002A34F0">
        <w:t>neighbour</w:t>
      </w:r>
      <w:r w:rsidR="0093000F" w:rsidRPr="002A34F0">
        <w:t>hood types</w:t>
      </w:r>
      <w:r w:rsidR="004445B9" w:rsidRPr="002A34F0">
        <w:t xml:space="preserve"> might</w:t>
      </w:r>
      <w:r w:rsidR="0093000F" w:rsidRPr="002A34F0">
        <w:t xml:space="preserve"> fare</w:t>
      </w:r>
      <w:r w:rsidR="006F1B84" w:rsidRPr="002A34F0">
        <w:t xml:space="preserve">, presented in Figures </w:t>
      </w:r>
      <w:r w:rsidR="009F110F" w:rsidRPr="002A34F0">
        <w:t>4</w:t>
      </w:r>
      <w:r w:rsidR="006F1B84" w:rsidRPr="002A34F0">
        <w:t>-</w:t>
      </w:r>
      <w:r w:rsidR="009F110F" w:rsidRPr="002A34F0">
        <w:t>8</w:t>
      </w:r>
      <w:r w:rsidR="00FE6D53" w:rsidRPr="002A34F0">
        <w:t xml:space="preserve"> (see </w:t>
      </w:r>
      <w:r w:rsidR="00C43384" w:rsidRPr="002A34F0">
        <w:t xml:space="preserve">Appendix </w:t>
      </w:r>
      <w:r w:rsidR="0044415E" w:rsidRPr="002A34F0">
        <w:t>Table A.</w:t>
      </w:r>
      <w:r w:rsidR="001E6163" w:rsidRPr="002A34F0">
        <w:t>2</w:t>
      </w:r>
      <w:r w:rsidR="00FE6D53" w:rsidRPr="002A34F0">
        <w:t xml:space="preserve"> for regression estimates)</w:t>
      </w:r>
      <w:r w:rsidR="00C925CD" w:rsidRPr="002A34F0">
        <w:t xml:space="preserve">. </w:t>
      </w:r>
      <w:r w:rsidR="00973E69" w:rsidRPr="002A34F0">
        <w:t xml:space="preserve">In each figure, </w:t>
      </w:r>
      <w:r w:rsidR="004018A2" w:rsidRPr="002A34F0">
        <w:t xml:space="preserve">panel </w:t>
      </w:r>
      <w:r w:rsidR="00CD7ED5" w:rsidRPr="002A34F0">
        <w:t>A</w:t>
      </w:r>
      <w:r w:rsidR="00973E69" w:rsidRPr="002A34F0">
        <w:t xml:space="preserve"> shows a</w:t>
      </w:r>
      <w:r w:rsidR="00C925CD" w:rsidRPr="002A34F0">
        <w:t xml:space="preserve"> line graph </w:t>
      </w:r>
      <w:r w:rsidR="00973E69" w:rsidRPr="002A34F0">
        <w:t xml:space="preserve">of </w:t>
      </w:r>
      <w:r w:rsidR="00C925CD" w:rsidRPr="002A34F0">
        <w:t xml:space="preserve">the </w:t>
      </w:r>
      <w:r w:rsidR="00F53C86" w:rsidRPr="002A34F0">
        <w:t xml:space="preserve">average </w:t>
      </w:r>
      <w:r w:rsidR="00FB2824" w:rsidRPr="002A34F0">
        <w:t>predicted percent of affluent (solid line) or poorer (dashed line) households with</w:t>
      </w:r>
      <w:r w:rsidR="00C925CD" w:rsidRPr="002A34F0">
        <w:t xml:space="preserve"> improved outcomes across </w:t>
      </w:r>
      <w:r w:rsidR="00FB2824" w:rsidRPr="002A34F0">
        <w:t xml:space="preserve">the three </w:t>
      </w:r>
      <w:r w:rsidR="005E6695" w:rsidRPr="002A34F0">
        <w:t xml:space="preserve">neighbourhood </w:t>
      </w:r>
      <w:r w:rsidR="00C925CD" w:rsidRPr="002A34F0">
        <w:t>EA types</w:t>
      </w:r>
      <w:r w:rsidR="00FB2824" w:rsidRPr="002A34F0">
        <w:t xml:space="preserve">. </w:t>
      </w:r>
      <w:r w:rsidR="00973E69" w:rsidRPr="002A34F0">
        <w:t xml:space="preserve">Panel </w:t>
      </w:r>
      <w:r w:rsidR="00CD7ED5" w:rsidRPr="002A34F0">
        <w:t xml:space="preserve">B </w:t>
      </w:r>
      <w:r w:rsidR="00973E69" w:rsidRPr="002A34F0">
        <w:t>presents a</w:t>
      </w:r>
      <w:r w:rsidR="00C925CD" w:rsidRPr="002A34F0">
        <w:t xml:space="preserve"> four-quadrant map </w:t>
      </w:r>
      <w:r w:rsidR="00973E69" w:rsidRPr="002A34F0">
        <w:t xml:space="preserve">of </w:t>
      </w:r>
      <w:r w:rsidR="00C925CD" w:rsidRPr="002A34F0">
        <w:t xml:space="preserve">how outcomes for these groups differ </w:t>
      </w:r>
      <w:r w:rsidR="00FB2824" w:rsidRPr="002A34F0">
        <w:t xml:space="preserve">spatially for one </w:t>
      </w:r>
      <w:r w:rsidR="00F53C86" w:rsidRPr="002A34F0">
        <w:t xml:space="preserve">highlighted </w:t>
      </w:r>
      <w:r w:rsidR="00FB2824" w:rsidRPr="002A34F0">
        <w:t>outcome (</w:t>
      </w:r>
      <w:r w:rsidR="00F53C86" w:rsidRPr="002A34F0">
        <w:t>note</w:t>
      </w:r>
      <w:r w:rsidR="009F110F" w:rsidRPr="002A34F0">
        <w:t>d</w:t>
      </w:r>
      <w:r w:rsidR="00F53C86" w:rsidRPr="002A34F0">
        <w:t xml:space="preserve"> by the </w:t>
      </w:r>
      <w:r w:rsidR="00FA2797" w:rsidRPr="002A34F0">
        <w:t>corresponding</w:t>
      </w:r>
      <w:r w:rsidR="00F53C86" w:rsidRPr="002A34F0">
        <w:t xml:space="preserve"> </w:t>
      </w:r>
      <w:r w:rsidR="00FB2824" w:rsidRPr="002A34F0">
        <w:t>bold</w:t>
      </w:r>
      <w:r w:rsidR="00F53C86" w:rsidRPr="002A34F0">
        <w:t>ed line</w:t>
      </w:r>
      <w:r w:rsidR="007F2331" w:rsidRPr="002A34F0">
        <w:t xml:space="preserve"> and letter markers</w:t>
      </w:r>
      <w:r w:rsidR="00F53C86" w:rsidRPr="002A34F0">
        <w:t xml:space="preserve"> in the </w:t>
      </w:r>
      <w:r w:rsidR="00324AFC" w:rsidRPr="002A34F0">
        <w:t>graph</w:t>
      </w:r>
      <w:r w:rsidR="00FB2824" w:rsidRPr="002A34F0">
        <w:t>)</w:t>
      </w:r>
      <w:r w:rsidR="00C925CD" w:rsidRPr="002A34F0">
        <w:t xml:space="preserve">. </w:t>
      </w:r>
      <w:r w:rsidR="004018A2" w:rsidRPr="002A34F0">
        <w:t xml:space="preserve">Each map quadrant shows the local rate of improved outcomes for a subset of the population. The top </w:t>
      </w:r>
      <w:r w:rsidR="00CD7ED5" w:rsidRPr="002A34F0">
        <w:t xml:space="preserve">left </w:t>
      </w:r>
      <w:r w:rsidR="004018A2" w:rsidRPr="002A34F0">
        <w:t xml:space="preserve">row shows </w:t>
      </w:r>
      <w:r w:rsidR="00CD7ED5" w:rsidRPr="002A34F0">
        <w:t xml:space="preserve">the spatial distribution of </w:t>
      </w:r>
      <w:r w:rsidR="004018A2" w:rsidRPr="002A34F0">
        <w:t>outcomes for affluent households in affluent</w:t>
      </w:r>
      <w:r w:rsidR="00CD7ED5" w:rsidRPr="002A34F0">
        <w:t xml:space="preserve"> EAs – corresponding to the situation at point</w:t>
      </w:r>
      <w:r w:rsidR="004018A2" w:rsidRPr="002A34F0">
        <w:t xml:space="preserve"> (A)</w:t>
      </w:r>
      <w:r w:rsidR="00CD7ED5" w:rsidRPr="002A34F0">
        <w:t xml:space="preserve"> in the line graph above. Similarly, the top right row shows the distribution for affluent households in</w:t>
      </w:r>
      <w:r w:rsidR="004018A2" w:rsidRPr="002A34F0">
        <w:t xml:space="preserve"> poor EAs</w:t>
      </w:r>
      <w:r w:rsidR="00CD7ED5" w:rsidRPr="002A34F0">
        <w:t>,</w:t>
      </w:r>
      <w:r w:rsidR="004018A2" w:rsidRPr="002A34F0">
        <w:t xml:space="preserve"> </w:t>
      </w:r>
      <w:r w:rsidR="00CD7ED5" w:rsidRPr="002A34F0">
        <w:t xml:space="preserve">as in point </w:t>
      </w:r>
      <w:r w:rsidR="004018A2" w:rsidRPr="002A34F0">
        <w:t>(C)</w:t>
      </w:r>
      <w:r w:rsidR="00CD7ED5" w:rsidRPr="002A34F0">
        <w:t>, above</w:t>
      </w:r>
      <w:r w:rsidR="004018A2" w:rsidRPr="002A34F0">
        <w:t xml:space="preserve">. </w:t>
      </w:r>
      <w:r w:rsidR="00CD7ED5" w:rsidRPr="002A34F0">
        <w:t>T</w:t>
      </w:r>
      <w:r w:rsidR="004018A2" w:rsidRPr="002A34F0">
        <w:t>he bottom row shows outcomes for poor households in affluent (B) and poor neighbourhoods</w:t>
      </w:r>
      <w:r w:rsidR="00497D1B" w:rsidRPr="002A34F0">
        <w:t xml:space="preserve"> (D)</w:t>
      </w:r>
      <w:r w:rsidR="004018A2" w:rsidRPr="002A34F0">
        <w:t xml:space="preserve">. </w:t>
      </w:r>
    </w:p>
    <w:p w14:paraId="27D2E609" w14:textId="7A4AC100" w:rsidR="00464DF5" w:rsidRPr="002A34F0" w:rsidRDefault="00814AAA" w:rsidP="00F251B3">
      <w:pPr>
        <w:spacing w:line="480" w:lineRule="auto"/>
        <w:ind w:firstLine="720"/>
      </w:pPr>
      <w:r w:rsidRPr="002A34F0">
        <w:t xml:space="preserve">Figure </w:t>
      </w:r>
      <w:r w:rsidR="00C00BCE" w:rsidRPr="002A34F0">
        <w:t>5</w:t>
      </w:r>
      <w:r w:rsidR="00FC7C2A" w:rsidRPr="002A34F0">
        <w:t xml:space="preserve"> </w:t>
      </w:r>
      <w:r w:rsidRPr="002A34F0">
        <w:t>presents AAPs for improved housing</w:t>
      </w:r>
      <w:r w:rsidR="00C02A28" w:rsidRPr="002A34F0">
        <w:t>-related outcomes, with the</w:t>
      </w:r>
      <w:r w:rsidRPr="002A34F0">
        <w:t xml:space="preserve"> map</w:t>
      </w:r>
      <w:r w:rsidR="00C02A28" w:rsidRPr="002A34F0">
        <w:t>s</w:t>
      </w:r>
      <w:r w:rsidRPr="002A34F0">
        <w:t xml:space="preserve"> </w:t>
      </w:r>
      <w:r w:rsidR="00C02A28" w:rsidRPr="002A34F0">
        <w:t xml:space="preserve">highlighting </w:t>
      </w:r>
      <w:r w:rsidRPr="002A34F0">
        <w:t>improved dwelling</w:t>
      </w:r>
      <w:r w:rsidR="003939ED" w:rsidRPr="002A34F0">
        <w:t>s specifically</w:t>
      </w:r>
      <w:r w:rsidRPr="002A34F0">
        <w:t xml:space="preserve">. AAPs </w:t>
      </w:r>
      <w:r w:rsidR="00B7037E" w:rsidRPr="002A34F0">
        <w:t xml:space="preserve">show that across all household and </w:t>
      </w:r>
      <w:r w:rsidR="00D43C24" w:rsidRPr="002A34F0">
        <w:t>neighbour</w:t>
      </w:r>
      <w:r w:rsidR="00B7037E" w:rsidRPr="002A34F0">
        <w:t>hood types, more than</w:t>
      </w:r>
      <w:r w:rsidRPr="002A34F0">
        <w:t xml:space="preserve"> 90% </w:t>
      </w:r>
      <w:r w:rsidR="00B7037E" w:rsidRPr="002A34F0">
        <w:t xml:space="preserve">of households </w:t>
      </w:r>
      <w:r w:rsidR="00D12991" w:rsidRPr="002A34F0">
        <w:t>have</w:t>
      </w:r>
      <w:r w:rsidR="00562CCF" w:rsidRPr="002A34F0">
        <w:t xml:space="preserve"> improved</w:t>
      </w:r>
      <w:r w:rsidR="00D12991" w:rsidRPr="002A34F0">
        <w:t xml:space="preserve"> outcomes for walls, floors, and roofs. For dwelling types, however, t</w:t>
      </w:r>
      <w:r w:rsidRPr="002A34F0">
        <w:t xml:space="preserve">he poor have </w:t>
      </w:r>
      <w:r w:rsidR="00D12991" w:rsidRPr="002A34F0">
        <w:t xml:space="preserve">much </w:t>
      </w:r>
      <w:r w:rsidRPr="002A34F0">
        <w:rPr>
          <w:i/>
          <w:iCs/>
        </w:rPr>
        <w:t>worse</w:t>
      </w:r>
      <w:r w:rsidRPr="002A34F0">
        <w:t xml:space="preserve"> </w:t>
      </w:r>
      <w:r w:rsidR="00B17B42" w:rsidRPr="002A34F0">
        <w:t xml:space="preserve">outcomes </w:t>
      </w:r>
      <w:r w:rsidRPr="002A34F0">
        <w:t xml:space="preserve">in affluent EAs (76.01%) </w:t>
      </w:r>
      <w:r w:rsidR="00B17B42" w:rsidRPr="002A34F0">
        <w:t xml:space="preserve">relative to </w:t>
      </w:r>
      <w:r w:rsidRPr="002A34F0">
        <w:t>in poor EAs (87.95%), suggesting</w:t>
      </w:r>
      <w:r w:rsidR="00766788" w:rsidRPr="002A34F0">
        <w:t xml:space="preserve"> that</w:t>
      </w:r>
      <w:r w:rsidRPr="002A34F0">
        <w:t xml:space="preserve"> having </w:t>
      </w:r>
      <w:r w:rsidR="00280ED7" w:rsidRPr="002A34F0">
        <w:t xml:space="preserve">affluent </w:t>
      </w:r>
      <w:r w:rsidRPr="002A34F0">
        <w:t xml:space="preserve">neighbours </w:t>
      </w:r>
      <w:r w:rsidR="00B17B42" w:rsidRPr="002A34F0">
        <w:t xml:space="preserve">is </w:t>
      </w:r>
      <w:r w:rsidRPr="002A34F0">
        <w:t xml:space="preserve">not </w:t>
      </w:r>
      <w:r w:rsidR="00B17B42" w:rsidRPr="002A34F0">
        <w:t xml:space="preserve">related to </w:t>
      </w:r>
      <w:r w:rsidRPr="002A34F0">
        <w:t>improve</w:t>
      </w:r>
      <w:r w:rsidR="00582552" w:rsidRPr="002A34F0">
        <w:t>d</w:t>
      </w:r>
      <w:r w:rsidRPr="002A34F0">
        <w:t xml:space="preserve"> </w:t>
      </w:r>
      <w:r w:rsidR="00B17B42" w:rsidRPr="002A34F0">
        <w:t xml:space="preserve">dwelling conditions </w:t>
      </w:r>
      <w:r w:rsidRPr="002A34F0">
        <w:t xml:space="preserve">for the poor. </w:t>
      </w:r>
      <w:r w:rsidR="00A35DF3" w:rsidRPr="002A34F0">
        <w:t xml:space="preserve">Spatially, </w:t>
      </w:r>
      <w:r w:rsidR="00123AF7" w:rsidRPr="002A34F0">
        <w:t xml:space="preserve">we see </w:t>
      </w:r>
      <w:r w:rsidR="00A35DF3" w:rsidRPr="002A34F0">
        <w:t xml:space="preserve">most affluent households (Fig </w:t>
      </w:r>
      <w:r w:rsidR="00C00BCE" w:rsidRPr="002A34F0">
        <w:t>5</w:t>
      </w:r>
      <w:r w:rsidR="00A35DF3" w:rsidRPr="002A34F0">
        <w:t>.A</w:t>
      </w:r>
      <w:r w:rsidR="002010FB" w:rsidRPr="002A34F0">
        <w:t xml:space="preserve"> and Fig </w:t>
      </w:r>
      <w:r w:rsidR="00C00BCE" w:rsidRPr="002A34F0">
        <w:t>5</w:t>
      </w:r>
      <w:r w:rsidR="002010FB" w:rsidRPr="002A34F0">
        <w:t>.C</w:t>
      </w:r>
      <w:r w:rsidR="00A35DF3" w:rsidRPr="002A34F0">
        <w:t>) have very high rates of improved dwellings</w:t>
      </w:r>
      <w:r w:rsidR="00582552" w:rsidRPr="002A34F0">
        <w:t>, save for those who live in industrial areas in the urban core</w:t>
      </w:r>
      <w:r w:rsidR="002010FB" w:rsidRPr="002A34F0">
        <w:t>. P</w:t>
      </w:r>
      <w:r w:rsidR="00A35DF3" w:rsidRPr="002A34F0">
        <w:t xml:space="preserve">oor households (Fig </w:t>
      </w:r>
      <w:r w:rsidR="00C00BCE" w:rsidRPr="002A34F0">
        <w:t>5</w:t>
      </w:r>
      <w:r w:rsidR="00A35DF3" w:rsidRPr="002A34F0">
        <w:t>.B</w:t>
      </w:r>
      <w:r w:rsidR="008B7E2F" w:rsidRPr="002A34F0">
        <w:t xml:space="preserve"> and Fig </w:t>
      </w:r>
      <w:r w:rsidR="00C00BCE" w:rsidRPr="002A34F0">
        <w:t>5</w:t>
      </w:r>
      <w:r w:rsidR="008B7E2F" w:rsidRPr="002A34F0">
        <w:t>.D</w:t>
      </w:r>
      <w:r w:rsidR="00A35DF3" w:rsidRPr="002A34F0">
        <w:t xml:space="preserve">) have lower rates of improved dwellings. </w:t>
      </w:r>
      <w:r w:rsidR="00457DBB" w:rsidRPr="002A34F0">
        <w:t xml:space="preserve">The poor have very low rates in affluent areas around the AMA, particularly in planned EAs. In poor areas, low rates of improved dwellings are highly concentrated in the urban core, and near newly </w:t>
      </w:r>
      <w:r w:rsidR="00457DBB" w:rsidRPr="002A34F0">
        <w:lastRenderedPageBreak/>
        <w:t xml:space="preserve">developed areas, but most areas do very well.  </w:t>
      </w:r>
      <w:r w:rsidR="00F251B3" w:rsidRPr="002A34F0">
        <w:t>Overall</w:t>
      </w:r>
      <w:r w:rsidR="00766788" w:rsidRPr="002A34F0">
        <w:t>, these results suggest</w:t>
      </w:r>
      <w:r w:rsidR="009561D0" w:rsidRPr="002A34F0">
        <w:t>, perhaps counterintuitively,</w:t>
      </w:r>
      <w:r w:rsidRPr="002A34F0">
        <w:t xml:space="preserve"> </w:t>
      </w:r>
      <w:r w:rsidR="00DE7E93" w:rsidRPr="002A34F0">
        <w:t xml:space="preserve">the poor have on average better </w:t>
      </w:r>
      <w:r w:rsidRPr="002A34F0">
        <w:t xml:space="preserve">housing conditions in </w:t>
      </w:r>
      <w:r w:rsidR="009561D0" w:rsidRPr="002A34F0">
        <w:t>poorer</w:t>
      </w:r>
      <w:r w:rsidRPr="002A34F0">
        <w:t xml:space="preserve"> neighbourhoods. </w:t>
      </w:r>
    </w:p>
    <w:p w14:paraId="6C7F27A5" w14:textId="77777777" w:rsidR="009561D0" w:rsidRPr="002A34F0" w:rsidRDefault="009561D0" w:rsidP="006F1B84">
      <w:pPr>
        <w:spacing w:line="480" w:lineRule="auto"/>
        <w:ind w:firstLine="720"/>
      </w:pPr>
    </w:p>
    <w:p w14:paraId="1156DF97" w14:textId="77777777" w:rsidR="00535836" w:rsidRPr="002A34F0" w:rsidRDefault="00535836" w:rsidP="00535836">
      <w:pPr>
        <w:spacing w:line="480" w:lineRule="auto"/>
      </w:pPr>
      <w:r w:rsidRPr="002A34F0">
        <w:rPr>
          <w:noProof/>
        </w:rPr>
        <w:drawing>
          <wp:inline distT="0" distB="0" distL="0" distR="0" wp14:anchorId="54BDFAE1" wp14:editId="174E7244">
            <wp:extent cx="3424428" cy="6629400"/>
            <wp:effectExtent l="0" t="0" r="5080" b="0"/>
            <wp:docPr id="20" name="Picture 20"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424428" cy="6629400"/>
                    </a:xfrm>
                    <a:prstGeom prst="rect">
                      <a:avLst/>
                    </a:prstGeom>
                  </pic:spPr>
                </pic:pic>
              </a:graphicData>
            </a:graphic>
          </wp:inline>
        </w:drawing>
      </w:r>
    </w:p>
    <w:p w14:paraId="03561D4B" w14:textId="5FF6FD4D" w:rsidR="009561D0" w:rsidRPr="002A34F0" w:rsidRDefault="00535836" w:rsidP="006F1B84">
      <w:pPr>
        <w:spacing w:line="480" w:lineRule="auto"/>
      </w:pPr>
      <w:r w:rsidRPr="002A34F0">
        <w:rPr>
          <w:b/>
          <w:bCs/>
        </w:rPr>
        <w:t xml:space="preserve">Figure </w:t>
      </w:r>
      <w:r w:rsidR="00C00BCE" w:rsidRPr="002A34F0">
        <w:rPr>
          <w:b/>
          <w:bCs/>
        </w:rPr>
        <w:t>5</w:t>
      </w:r>
      <w:r w:rsidRPr="002A34F0">
        <w:rPr>
          <w:b/>
          <w:bCs/>
        </w:rPr>
        <w:t>. Average Adjusted Predictions for Improved Housing</w:t>
      </w:r>
      <w:r w:rsidR="00C00BCE" w:rsidRPr="002A34F0">
        <w:rPr>
          <w:b/>
          <w:bCs/>
        </w:rPr>
        <w:t>.</w:t>
      </w:r>
      <w:r w:rsidR="000E35F1" w:rsidRPr="002A34F0">
        <w:rPr>
          <w:b/>
          <w:bCs/>
        </w:rPr>
        <w:t xml:space="preserve"> </w:t>
      </w:r>
      <w:r w:rsidR="000E35F1" w:rsidRPr="002A34F0">
        <w:t xml:space="preserve">Panel A: The predicted % of households with ‘improved’ measures for four housing-related variables </w:t>
      </w:r>
      <w:r w:rsidR="000E35F1" w:rsidRPr="002A34F0">
        <w:lastRenderedPageBreak/>
        <w:t>for the affluent (solid line) vs poor (dashed lines) households in affluent, mixed, and poor EAs. Panel B: Maps A, B, C, and D show the spatial distribution associated with improved dwellings (points A, B, C, and D, respectively) from the line graph in Panel A.</w:t>
      </w:r>
    </w:p>
    <w:p w14:paraId="39D72FEC" w14:textId="5AF0C8EB" w:rsidR="008E18FA" w:rsidRPr="002A34F0" w:rsidRDefault="00814AAA" w:rsidP="00C240A1">
      <w:pPr>
        <w:spacing w:line="480" w:lineRule="auto"/>
        <w:ind w:firstLine="720"/>
      </w:pPr>
      <w:r w:rsidRPr="002A34F0">
        <w:t xml:space="preserve">Figure </w:t>
      </w:r>
      <w:r w:rsidR="00C00BCE" w:rsidRPr="002A34F0">
        <w:t>6</w:t>
      </w:r>
      <w:r w:rsidR="00782DCB" w:rsidRPr="002A34F0">
        <w:t xml:space="preserve"> </w:t>
      </w:r>
      <w:r w:rsidRPr="002A34F0">
        <w:t>presents AAPs for improved energy use</w:t>
      </w:r>
      <w:r w:rsidR="007E5B7B" w:rsidRPr="002A34F0">
        <w:t>.</w:t>
      </w:r>
      <w:r w:rsidRPr="002A34F0">
        <w:t xml:space="preserve"> </w:t>
      </w:r>
      <w:r w:rsidR="007E5B7B" w:rsidRPr="002A34F0">
        <w:t>D</w:t>
      </w:r>
      <w:r w:rsidRPr="002A34F0">
        <w:t>isparities are</w:t>
      </w:r>
      <w:r w:rsidR="007E5B7B" w:rsidRPr="002A34F0">
        <w:t xml:space="preserve"> noticeably</w:t>
      </w:r>
      <w:r w:rsidRPr="002A34F0">
        <w:t xml:space="preserve"> large in </w:t>
      </w:r>
      <w:r w:rsidR="00F63851" w:rsidRPr="002A34F0">
        <w:t xml:space="preserve">affluent </w:t>
      </w:r>
      <w:r w:rsidR="007E5B7B" w:rsidRPr="002A34F0">
        <w:t>v</w:t>
      </w:r>
      <w:r w:rsidR="00457DBB" w:rsidRPr="002A34F0">
        <w:t>ersu</w:t>
      </w:r>
      <w:r w:rsidR="007E5B7B" w:rsidRPr="002A34F0">
        <w:t>s poor</w:t>
      </w:r>
      <w:r w:rsidR="00F63851" w:rsidRPr="002A34F0">
        <w:t xml:space="preserve"> households </w:t>
      </w:r>
      <w:r w:rsidR="00D349B3" w:rsidRPr="002A34F0">
        <w:t>for use of</w:t>
      </w:r>
      <w:r w:rsidR="007E5B7B" w:rsidRPr="002A34F0">
        <w:t xml:space="preserve"> improved </w:t>
      </w:r>
      <w:r w:rsidRPr="002A34F0">
        <w:t>cooking fuel</w:t>
      </w:r>
      <w:r w:rsidR="00042ACB" w:rsidRPr="002A34F0">
        <w:t xml:space="preserve"> where, on average, 85.8% of the affluent and only 8.4% of the poor use improved fuels</w:t>
      </w:r>
      <w:r w:rsidRPr="002A34F0">
        <w:t xml:space="preserve">. </w:t>
      </w:r>
      <w:r w:rsidR="00042ACB" w:rsidRPr="002A34F0">
        <w:t>Poor households also have worse outcomes in poor areas compared to affluent ones</w:t>
      </w:r>
      <w:r w:rsidR="00D349B3" w:rsidRPr="002A34F0">
        <w:t xml:space="preserve">, but the </w:t>
      </w:r>
      <w:r w:rsidR="00D43C24" w:rsidRPr="002A34F0">
        <w:t>neighbour</w:t>
      </w:r>
      <w:r w:rsidR="00D349B3" w:rsidRPr="002A34F0">
        <w:t>hood effects here are small</w:t>
      </w:r>
      <w:r w:rsidR="00042ACB" w:rsidRPr="002A34F0">
        <w:t>.</w:t>
      </w:r>
      <w:r w:rsidR="00D349B3" w:rsidRPr="002A34F0">
        <w:t xml:space="preserve"> </w:t>
      </w:r>
      <w:r w:rsidR="00443737" w:rsidRPr="002A34F0">
        <w:t>Outcomes f</w:t>
      </w:r>
      <w:r w:rsidR="00042ACB" w:rsidRPr="002A34F0">
        <w:t>or lighting</w:t>
      </w:r>
      <w:r w:rsidR="00D349B3" w:rsidRPr="002A34F0">
        <w:t xml:space="preserve"> </w:t>
      </w:r>
      <w:r w:rsidR="00443737" w:rsidRPr="002A34F0">
        <w:t>are</w:t>
      </w:r>
      <w:r w:rsidR="00D349B3" w:rsidRPr="002A34F0">
        <w:t xml:space="preserve"> a much more </w:t>
      </w:r>
      <w:r w:rsidR="00457DBB" w:rsidRPr="002A34F0">
        <w:t>better as most</w:t>
      </w:r>
      <w:r w:rsidR="00767A5A" w:rsidRPr="002A34F0">
        <w:t xml:space="preserve"> affluent </w:t>
      </w:r>
      <w:r w:rsidR="00457DBB" w:rsidRPr="002A34F0">
        <w:t xml:space="preserve">(99%) </w:t>
      </w:r>
      <w:r w:rsidR="00767A5A" w:rsidRPr="002A34F0">
        <w:t>and poor households</w:t>
      </w:r>
      <w:r w:rsidR="00457DBB" w:rsidRPr="002A34F0">
        <w:t xml:space="preserve"> (83%) have </w:t>
      </w:r>
      <w:r w:rsidR="00767A5A" w:rsidRPr="002A34F0">
        <w:t>improved</w:t>
      </w:r>
      <w:r w:rsidR="008E18FA" w:rsidRPr="002A34F0">
        <w:t xml:space="preserve"> </w:t>
      </w:r>
      <w:r w:rsidR="00767A5A" w:rsidRPr="002A34F0">
        <w:t xml:space="preserve">lighting. </w:t>
      </w:r>
      <w:r w:rsidR="004B59D9" w:rsidRPr="002A34F0">
        <w:t>Again</w:t>
      </w:r>
      <w:r w:rsidR="00BF267B" w:rsidRPr="002A34F0">
        <w:t>, however,</w:t>
      </w:r>
      <w:r w:rsidR="004B59D9" w:rsidRPr="002A34F0">
        <w:t xml:space="preserve"> the poor </w:t>
      </w:r>
      <w:r w:rsidRPr="002A34F0">
        <w:t xml:space="preserve">have </w:t>
      </w:r>
      <w:r w:rsidR="008E18FA" w:rsidRPr="002A34F0">
        <w:t xml:space="preserve">better </w:t>
      </w:r>
      <w:r w:rsidR="00457DBB" w:rsidRPr="002A34F0">
        <w:t xml:space="preserve">lighting </w:t>
      </w:r>
      <w:r w:rsidRPr="002A34F0">
        <w:t xml:space="preserve">outcomes in poor </w:t>
      </w:r>
      <w:r w:rsidR="005E59FF" w:rsidRPr="002A34F0">
        <w:t>neighbourhoods</w:t>
      </w:r>
      <w:r w:rsidR="00457DBB" w:rsidRPr="002A34F0">
        <w:t xml:space="preserve"> (86% )</w:t>
      </w:r>
      <w:r w:rsidR="00BF267B" w:rsidRPr="002A34F0">
        <w:t xml:space="preserve"> </w:t>
      </w:r>
      <w:r w:rsidR="00457DBB" w:rsidRPr="002A34F0">
        <w:t xml:space="preserve">than affluent areas (81%) </w:t>
      </w:r>
      <w:r w:rsidR="00C240A1" w:rsidRPr="002A34F0">
        <w:t>S</w:t>
      </w:r>
      <w:r w:rsidR="008E18FA" w:rsidRPr="002A34F0">
        <w:t>patial</w:t>
      </w:r>
      <w:r w:rsidR="00C240A1" w:rsidRPr="002A34F0">
        <w:t>ly,</w:t>
      </w:r>
      <w:r w:rsidR="008E18FA" w:rsidRPr="002A34F0">
        <w:t xml:space="preserve"> </w:t>
      </w:r>
      <w:r w:rsidR="00C240A1" w:rsidRPr="002A34F0">
        <w:t xml:space="preserve">the maps highlight that </w:t>
      </w:r>
      <w:r w:rsidR="008E18FA" w:rsidRPr="002A34F0">
        <w:t xml:space="preserve">disparities in cooking fuel </w:t>
      </w:r>
      <w:r w:rsidR="00C240A1" w:rsidRPr="002A34F0">
        <w:t>are</w:t>
      </w:r>
      <w:r w:rsidR="00475D82" w:rsidRPr="002A34F0">
        <w:t xml:space="preserve"> strongly associated with</w:t>
      </w:r>
      <w:r w:rsidR="00042ACB" w:rsidRPr="002A34F0">
        <w:t xml:space="preserve"> household</w:t>
      </w:r>
      <w:r w:rsidR="00475D82" w:rsidRPr="002A34F0">
        <w:t xml:space="preserve"> and not neighbourhood type</w:t>
      </w:r>
      <w:r w:rsidR="00BD0FBA" w:rsidRPr="002A34F0">
        <w:t>, although affluent households in poorer core EAs have poorer outcomes than elsewhere</w:t>
      </w:r>
      <w:r w:rsidR="00042ACB" w:rsidRPr="002A34F0">
        <w:t xml:space="preserve">. </w:t>
      </w:r>
    </w:p>
    <w:p w14:paraId="2D8C4824" w14:textId="77777777" w:rsidR="00C240A1" w:rsidRPr="002A34F0" w:rsidRDefault="00C240A1" w:rsidP="001B59A7">
      <w:pPr>
        <w:spacing w:line="480" w:lineRule="auto"/>
        <w:ind w:firstLine="720"/>
      </w:pPr>
    </w:p>
    <w:p w14:paraId="5A006CAC" w14:textId="77777777" w:rsidR="00535836" w:rsidRPr="002A34F0" w:rsidRDefault="00535836" w:rsidP="00535836">
      <w:pPr>
        <w:spacing w:line="480" w:lineRule="auto"/>
      </w:pPr>
      <w:r w:rsidRPr="002A34F0">
        <w:rPr>
          <w:noProof/>
        </w:rPr>
        <w:lastRenderedPageBreak/>
        <w:drawing>
          <wp:inline distT="0" distB="0" distL="0" distR="0" wp14:anchorId="4505CA64" wp14:editId="0A322716">
            <wp:extent cx="3424428" cy="6620256"/>
            <wp:effectExtent l="0" t="0" r="5080" b="0"/>
            <wp:docPr id="21" name="Picture 21"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map&#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424428" cy="6620256"/>
                    </a:xfrm>
                    <a:prstGeom prst="rect">
                      <a:avLst/>
                    </a:prstGeom>
                  </pic:spPr>
                </pic:pic>
              </a:graphicData>
            </a:graphic>
          </wp:inline>
        </w:drawing>
      </w:r>
    </w:p>
    <w:p w14:paraId="5D55F0DA" w14:textId="753A81AA" w:rsidR="00535836" w:rsidRPr="002A34F0" w:rsidRDefault="00535836" w:rsidP="00535836">
      <w:pPr>
        <w:spacing w:line="480" w:lineRule="auto"/>
      </w:pPr>
      <w:r w:rsidRPr="002A34F0">
        <w:rPr>
          <w:b/>
          <w:bCs/>
        </w:rPr>
        <w:t xml:space="preserve">Figure </w:t>
      </w:r>
      <w:r w:rsidR="00C00BCE" w:rsidRPr="002A34F0">
        <w:rPr>
          <w:b/>
          <w:bCs/>
        </w:rPr>
        <w:t>6</w:t>
      </w:r>
      <w:r w:rsidRPr="002A34F0">
        <w:rPr>
          <w:b/>
          <w:bCs/>
        </w:rPr>
        <w:t>. Average Adjusted Predictions for Improved Energy</w:t>
      </w:r>
      <w:r w:rsidR="000E35F1" w:rsidRPr="002A34F0">
        <w:t>. Panel A: The predicted % of households with ‘improved’ measures for lighting and cooking fuel for the affluent (solid line) vs poor (dashed lines) households in affluent, mixed, and poor EAs. Panel B: Maps A, B, C, and D show the spatial distribution associated with improved cooking fuel (points A, B, C, and D, respectively) from the line graph in Panel A.</w:t>
      </w:r>
    </w:p>
    <w:p w14:paraId="70C1E022" w14:textId="77777777" w:rsidR="00C240A1" w:rsidRPr="002A34F0" w:rsidRDefault="00C240A1" w:rsidP="00C240A1">
      <w:pPr>
        <w:spacing w:line="480" w:lineRule="auto"/>
      </w:pPr>
    </w:p>
    <w:p w14:paraId="7B26033D" w14:textId="72D28D6C" w:rsidR="001D1DFB" w:rsidRPr="002A34F0" w:rsidRDefault="00DB5923" w:rsidP="001B59A7">
      <w:pPr>
        <w:spacing w:before="240" w:after="240" w:line="480" w:lineRule="auto"/>
        <w:ind w:firstLine="720"/>
      </w:pPr>
      <w:r w:rsidRPr="002A34F0">
        <w:t xml:space="preserve">Figure </w:t>
      </w:r>
      <w:r w:rsidR="00C00BCE" w:rsidRPr="002A34F0">
        <w:t>7</w:t>
      </w:r>
      <w:r w:rsidR="00782DCB" w:rsidRPr="002A34F0">
        <w:t xml:space="preserve"> </w:t>
      </w:r>
      <w:r w:rsidRPr="002A34F0">
        <w:t xml:space="preserve">presents AAPs for improved sanitation outcomes on three metrics: solid waste disposal, liquid waste disposal, and </w:t>
      </w:r>
      <w:r w:rsidR="00475D82" w:rsidRPr="002A34F0">
        <w:t xml:space="preserve">improved </w:t>
      </w:r>
      <w:r w:rsidRPr="002A34F0">
        <w:t xml:space="preserve">toilet </w:t>
      </w:r>
      <w:r w:rsidR="00475D82" w:rsidRPr="002A34F0">
        <w:t xml:space="preserve">access, with </w:t>
      </w:r>
      <w:r w:rsidRPr="002A34F0">
        <w:t>the map</w:t>
      </w:r>
      <w:r w:rsidR="008D610E" w:rsidRPr="002A34F0">
        <w:t>s</w:t>
      </w:r>
      <w:r w:rsidRPr="002A34F0">
        <w:t xml:space="preserve"> </w:t>
      </w:r>
      <w:r w:rsidR="00475D82" w:rsidRPr="002A34F0">
        <w:t xml:space="preserve">highlighting access to </w:t>
      </w:r>
      <w:r w:rsidRPr="002A34F0">
        <w:t>improved toilet</w:t>
      </w:r>
      <w:r w:rsidR="00475D82" w:rsidRPr="002A34F0">
        <w:t>s</w:t>
      </w:r>
      <w:r w:rsidRPr="002A34F0">
        <w:t xml:space="preserve">. </w:t>
      </w:r>
      <w:r w:rsidR="00BD0FBA" w:rsidRPr="002A34F0">
        <w:t>While u</w:t>
      </w:r>
      <w:r w:rsidR="004F7C5A" w:rsidRPr="002A34F0">
        <w:t>se of improved solid waste disposal methods are common (</w:t>
      </w:r>
      <w:r w:rsidRPr="002A34F0">
        <w:t>95% of</w:t>
      </w:r>
      <w:r w:rsidR="004F7C5A" w:rsidRPr="002A34F0">
        <w:t xml:space="preserve"> </w:t>
      </w:r>
      <w:r w:rsidR="00FF3BAB" w:rsidRPr="002A34F0">
        <w:t>affluent</w:t>
      </w:r>
      <w:r w:rsidRPr="002A34F0">
        <w:t xml:space="preserve"> </w:t>
      </w:r>
      <w:r w:rsidR="00FF3BAB" w:rsidRPr="002A34F0">
        <w:t xml:space="preserve">and around 90% of poor </w:t>
      </w:r>
      <w:r w:rsidRPr="002A34F0">
        <w:t>households</w:t>
      </w:r>
      <w:r w:rsidR="00FF3BAB" w:rsidRPr="002A34F0">
        <w:t>)</w:t>
      </w:r>
      <w:r w:rsidRPr="002A34F0">
        <w:t xml:space="preserve">, </w:t>
      </w:r>
      <w:r w:rsidR="00FF3BAB" w:rsidRPr="002A34F0">
        <w:t xml:space="preserve">only </w:t>
      </w:r>
      <w:r w:rsidRPr="002A34F0">
        <w:t>40% and 53% of households have improved liquid waste disposal and toilets in the AMA</w:t>
      </w:r>
      <w:r w:rsidR="00FF3BAB" w:rsidRPr="002A34F0">
        <w:t xml:space="preserve"> on average</w:t>
      </w:r>
      <w:r w:rsidRPr="002A34F0">
        <w:t xml:space="preserve">. </w:t>
      </w:r>
      <w:r w:rsidR="000831AE" w:rsidRPr="002A34F0">
        <w:t xml:space="preserve">These are strongly </w:t>
      </w:r>
      <w:r w:rsidR="00FE1BC4" w:rsidRPr="002A34F0">
        <w:t>patterned</w:t>
      </w:r>
      <w:r w:rsidR="000831AE" w:rsidRPr="002A34F0">
        <w:t xml:space="preserve"> by both</w:t>
      </w:r>
      <w:r w:rsidR="00FE1BC4" w:rsidRPr="002A34F0">
        <w:t xml:space="preserve"> household and </w:t>
      </w:r>
      <w:r w:rsidR="00D43C24" w:rsidRPr="002A34F0">
        <w:t>neighbour</w:t>
      </w:r>
      <w:r w:rsidR="00FE1BC4" w:rsidRPr="002A34F0">
        <w:t xml:space="preserve">hood SES. </w:t>
      </w:r>
      <w:r w:rsidRPr="002A34F0">
        <w:t xml:space="preserve">Improved toilet rates </w:t>
      </w:r>
      <w:r w:rsidR="00BD0FBA" w:rsidRPr="002A34F0">
        <w:t>for the affluent are higher in affluent EAs (</w:t>
      </w:r>
      <w:r w:rsidRPr="002A34F0">
        <w:t>92%</w:t>
      </w:r>
      <w:r w:rsidR="00BD0FBA" w:rsidRPr="002A34F0">
        <w:t>) than in poor EAs (50%)</w:t>
      </w:r>
      <w:r w:rsidRPr="002A34F0">
        <w:t xml:space="preserve">. </w:t>
      </w:r>
      <w:r w:rsidR="00BD0FBA" w:rsidRPr="002A34F0">
        <w:t>Similarly, the poor have higher improved toilet rates in affluent EAs (62.5%) as compared to poor EAs (21%).</w:t>
      </w:r>
      <w:r w:rsidRPr="002A34F0">
        <w:t xml:space="preserve"> </w:t>
      </w:r>
      <w:r w:rsidR="000E5A9A" w:rsidRPr="002A34F0">
        <w:t xml:space="preserve">This is </w:t>
      </w:r>
      <w:r w:rsidR="00BD0FBA" w:rsidRPr="002A34F0">
        <w:t>our only result</w:t>
      </w:r>
      <w:r w:rsidR="000E5A9A" w:rsidRPr="002A34F0">
        <w:t xml:space="preserve"> where the poor living in a</w:t>
      </w:r>
      <w:r w:rsidR="006A1F5A" w:rsidRPr="002A34F0">
        <w:t xml:space="preserve">n affluent </w:t>
      </w:r>
      <w:r w:rsidR="000E5A9A" w:rsidRPr="002A34F0">
        <w:t xml:space="preserve">area fare better than affluent households living in poor areas. </w:t>
      </w:r>
      <w:r w:rsidR="006A1F5A" w:rsidRPr="002A34F0">
        <w:t xml:space="preserve">The maps show </w:t>
      </w:r>
      <w:r w:rsidR="00BD0FBA" w:rsidRPr="002A34F0">
        <w:t>that there is a distinct spatial component where there are low rates of improved toilet access in the urban core poor areas</w:t>
      </w:r>
      <w:r w:rsidR="00BE281A" w:rsidRPr="002A34F0">
        <w:t xml:space="preserve"> regardless of household SES</w:t>
      </w:r>
      <w:r w:rsidR="00BD0FBA" w:rsidRPr="002A34F0">
        <w:t>. In affluent neighborhoods</w:t>
      </w:r>
      <w:r w:rsidR="00BE281A" w:rsidRPr="002A34F0">
        <w:t>, where the affluent have very high access,</w:t>
      </w:r>
      <w:r w:rsidR="00BD0FBA" w:rsidRPr="002A34F0">
        <w:t xml:space="preserve"> there is greater variation in</w:t>
      </w:r>
      <w:r w:rsidR="00BE281A" w:rsidRPr="002A34F0">
        <w:t xml:space="preserve"> </w:t>
      </w:r>
      <w:r w:rsidR="00BD0FBA" w:rsidRPr="002A34F0">
        <w:t>access to improved toilets</w:t>
      </w:r>
      <w:r w:rsidR="00BE281A" w:rsidRPr="002A34F0">
        <w:t xml:space="preserve"> for the poor</w:t>
      </w:r>
      <w:r w:rsidR="00BD0FBA" w:rsidRPr="002A34F0">
        <w:t xml:space="preserve">, with the lowest rates appear in EAs that border poor areas. </w:t>
      </w:r>
    </w:p>
    <w:p w14:paraId="0380FD16" w14:textId="77777777" w:rsidR="00535836" w:rsidRPr="002A34F0" w:rsidRDefault="00535836" w:rsidP="00535836">
      <w:pPr>
        <w:spacing w:line="480" w:lineRule="auto"/>
      </w:pPr>
      <w:r w:rsidRPr="002A34F0">
        <w:rPr>
          <w:noProof/>
        </w:rPr>
        <w:lastRenderedPageBreak/>
        <w:drawing>
          <wp:inline distT="0" distB="0" distL="0" distR="0" wp14:anchorId="0F258644" wp14:editId="2D9CA669">
            <wp:extent cx="3396996" cy="66751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4">
                      <a:extLst>
                        <a:ext uri="{28A0092B-C50C-407E-A947-70E740481C1C}">
                          <a14:useLocalDpi xmlns:a14="http://schemas.microsoft.com/office/drawing/2010/main" val="0"/>
                        </a:ext>
                      </a:extLst>
                    </a:blip>
                    <a:stretch>
                      <a:fillRect/>
                    </a:stretch>
                  </pic:blipFill>
                  <pic:spPr>
                    <a:xfrm>
                      <a:off x="0" y="0"/>
                      <a:ext cx="3396996" cy="6675120"/>
                    </a:xfrm>
                    <a:prstGeom prst="rect">
                      <a:avLst/>
                    </a:prstGeom>
                  </pic:spPr>
                </pic:pic>
              </a:graphicData>
            </a:graphic>
          </wp:inline>
        </w:drawing>
      </w:r>
    </w:p>
    <w:p w14:paraId="0679F12A" w14:textId="06C766EF" w:rsidR="00535836" w:rsidRPr="002A34F0" w:rsidRDefault="00535836" w:rsidP="00535836">
      <w:pPr>
        <w:spacing w:line="480" w:lineRule="auto"/>
      </w:pPr>
      <w:r w:rsidRPr="002A34F0">
        <w:rPr>
          <w:b/>
          <w:bCs/>
        </w:rPr>
        <w:t xml:space="preserve">Figure </w:t>
      </w:r>
      <w:r w:rsidR="00C00BCE" w:rsidRPr="002A34F0">
        <w:rPr>
          <w:b/>
          <w:bCs/>
        </w:rPr>
        <w:t>7</w:t>
      </w:r>
      <w:r w:rsidRPr="002A34F0">
        <w:rPr>
          <w:b/>
          <w:bCs/>
        </w:rPr>
        <w:t>. Average Adjusted Predictions for Improved Sanitation</w:t>
      </w:r>
      <w:r w:rsidR="00174128" w:rsidRPr="002A34F0">
        <w:t>. Panel A: The predicted % of households with ‘improved’ sanitation measures for the affluent (solid line) vs poor (dashed lines) households in affluent, mixed, and poor EAs. Panel B: Maps A, B, C, and D show the spatial distribution associated with improved toilets (points A, B, C, and D, respectively) from the line graph in Panel A.</w:t>
      </w:r>
    </w:p>
    <w:p w14:paraId="1FFF57FA" w14:textId="77777777" w:rsidR="00D7304A" w:rsidRPr="002A34F0" w:rsidRDefault="00D7304A" w:rsidP="00604841">
      <w:pPr>
        <w:spacing w:line="480" w:lineRule="auto"/>
      </w:pPr>
    </w:p>
    <w:p w14:paraId="778F2061" w14:textId="1F1844D8" w:rsidR="00BE281A" w:rsidRPr="002A34F0" w:rsidRDefault="003134E0" w:rsidP="00AD44C7">
      <w:pPr>
        <w:spacing w:line="480" w:lineRule="auto"/>
        <w:ind w:firstLine="720"/>
      </w:pPr>
      <w:r w:rsidRPr="002A34F0">
        <w:lastRenderedPageBreak/>
        <w:t xml:space="preserve">Figure </w:t>
      </w:r>
      <w:r w:rsidR="00C00BCE" w:rsidRPr="002A34F0">
        <w:t>8</w:t>
      </w:r>
      <w:r w:rsidR="00C6578A" w:rsidRPr="002A34F0">
        <w:t xml:space="preserve"> </w:t>
      </w:r>
      <w:r w:rsidRPr="002A34F0">
        <w:t>shows AAPs for</w:t>
      </w:r>
      <w:r w:rsidR="00D5029B" w:rsidRPr="002A34F0">
        <w:t xml:space="preserve"> sources of</w:t>
      </w:r>
      <w:r w:rsidRPr="002A34F0">
        <w:t xml:space="preserve"> drinking water</w:t>
      </w:r>
      <w:r w:rsidR="00F45D6F" w:rsidRPr="002A34F0">
        <w:t xml:space="preserve"> with t</w:t>
      </w:r>
      <w:r w:rsidRPr="002A34F0">
        <w:t>he quadrant map focus</w:t>
      </w:r>
      <w:r w:rsidR="00F45D6F" w:rsidRPr="002A34F0">
        <w:t>ing</w:t>
      </w:r>
      <w:r w:rsidRPr="002A34F0">
        <w:t xml:space="preserve"> on vended </w:t>
      </w:r>
      <w:r w:rsidR="00F45D6F" w:rsidRPr="002A34F0">
        <w:t>sources</w:t>
      </w:r>
      <w:r w:rsidRPr="002A34F0">
        <w:t xml:space="preserve">. Piped drinking water use among affluent households is highest in poor EAs (65.9%) and lowest in affluent EAs (54.9%). Vended water fills in these gaps, with the highest rates in affluent EAs (43%) and the lowest in poor EAs (32%). Poor households rely on piped water to a much greater degree, ranging from 79.5% in affluent EAs to 83% in poor EAs. </w:t>
      </w:r>
      <w:r w:rsidR="0086044F" w:rsidRPr="002A34F0">
        <w:t>Spatially,</w:t>
      </w:r>
      <w:r w:rsidR="004E25D1" w:rsidRPr="002A34F0">
        <w:t xml:space="preserve"> </w:t>
      </w:r>
      <w:r w:rsidR="00BE281A" w:rsidRPr="002A34F0">
        <w:t xml:space="preserve">in affluent neighborhoods, there is greater use of vended water with affluent households than poor households indicating there is service but affluent households choose to purchase water. However, this is highly variable in outlying neighborhoods. In poor EAs, particularly those near the coast, there are very low rates of households using vended water, however vended water rates increase in affluent households further out from the core.  </w:t>
      </w:r>
    </w:p>
    <w:p w14:paraId="04A6B720" w14:textId="55BEE740" w:rsidR="00726831" w:rsidRPr="002A34F0" w:rsidRDefault="00726831" w:rsidP="006F1B84">
      <w:pPr>
        <w:spacing w:line="480" w:lineRule="auto"/>
      </w:pPr>
    </w:p>
    <w:p w14:paraId="2C165FCE" w14:textId="77777777" w:rsidR="00535836" w:rsidRPr="002A34F0" w:rsidRDefault="00535836" w:rsidP="00535836">
      <w:pPr>
        <w:spacing w:line="480" w:lineRule="auto"/>
      </w:pPr>
      <w:r w:rsidRPr="002A34F0">
        <w:rPr>
          <w:noProof/>
        </w:rPr>
        <w:lastRenderedPageBreak/>
        <w:drawing>
          <wp:inline distT="0" distB="0" distL="0" distR="0" wp14:anchorId="7571AE0B" wp14:editId="252EC5B9">
            <wp:extent cx="3451860" cy="6629400"/>
            <wp:effectExtent l="0" t="0" r="0" b="0"/>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451860" cy="6629400"/>
                    </a:xfrm>
                    <a:prstGeom prst="rect">
                      <a:avLst/>
                    </a:prstGeom>
                  </pic:spPr>
                </pic:pic>
              </a:graphicData>
            </a:graphic>
          </wp:inline>
        </w:drawing>
      </w:r>
    </w:p>
    <w:p w14:paraId="71661CF4" w14:textId="0228B91C" w:rsidR="00535836" w:rsidRPr="002A34F0" w:rsidRDefault="00535836" w:rsidP="00535836">
      <w:pPr>
        <w:spacing w:line="480" w:lineRule="auto"/>
      </w:pPr>
      <w:r w:rsidRPr="002A34F0">
        <w:rPr>
          <w:b/>
          <w:bCs/>
        </w:rPr>
        <w:t xml:space="preserve">Figure </w:t>
      </w:r>
      <w:r w:rsidR="00C00BCE" w:rsidRPr="002A34F0">
        <w:rPr>
          <w:b/>
          <w:bCs/>
        </w:rPr>
        <w:t>8</w:t>
      </w:r>
      <w:r w:rsidRPr="002A34F0">
        <w:rPr>
          <w:b/>
          <w:bCs/>
        </w:rPr>
        <w:t>. Average Adjusted Predictions for Improved Water</w:t>
      </w:r>
      <w:r w:rsidR="00174128" w:rsidRPr="002A34F0">
        <w:t>. Panel A: The predicted % of households with water sources for the affluent (solid line) vs poor (dashed lines) households in affluent, mixed, and poor EAs. Panel B: Maps A, B, C, and D show the spatial distribution associated with vended water (points A, B, C, and D, respectively) from the line graph in Panel A.</w:t>
      </w:r>
    </w:p>
    <w:p w14:paraId="17BA6861" w14:textId="77777777" w:rsidR="00726831" w:rsidRPr="002A34F0" w:rsidRDefault="00726831" w:rsidP="006F1B84">
      <w:pPr>
        <w:spacing w:line="480" w:lineRule="auto"/>
      </w:pPr>
    </w:p>
    <w:p w14:paraId="6163229C" w14:textId="4ED3FF2C" w:rsidR="004E25D1" w:rsidRPr="002A34F0" w:rsidRDefault="004E25D1" w:rsidP="00106C25">
      <w:pPr>
        <w:spacing w:line="480" w:lineRule="auto"/>
        <w:ind w:firstLine="720"/>
      </w:pPr>
      <w:r w:rsidRPr="002A34F0">
        <w:lastRenderedPageBreak/>
        <w:t xml:space="preserve">Figure </w:t>
      </w:r>
      <w:r w:rsidR="00C00BCE" w:rsidRPr="002A34F0">
        <w:t>9</w:t>
      </w:r>
      <w:r w:rsidR="00011AC1" w:rsidRPr="002A34F0">
        <w:t xml:space="preserve"> </w:t>
      </w:r>
      <w:r w:rsidRPr="002A34F0">
        <w:t>shows AAPs for</w:t>
      </w:r>
      <w:r w:rsidR="00F606A0" w:rsidRPr="002A34F0">
        <w:t xml:space="preserve"> information, communication and technology (</w:t>
      </w:r>
      <w:r w:rsidRPr="002A34F0">
        <w:t>ICT</w:t>
      </w:r>
      <w:r w:rsidR="00F606A0" w:rsidRPr="002A34F0">
        <w:t>)</w:t>
      </w:r>
      <w:r w:rsidRPr="002A34F0">
        <w:t xml:space="preserve"> outcomes </w:t>
      </w:r>
      <w:r w:rsidR="00F606A0" w:rsidRPr="002A34F0">
        <w:t>regarding</w:t>
      </w:r>
      <w:r w:rsidRPr="002A34F0">
        <w:t xml:space="preserve"> mobile phone</w:t>
      </w:r>
      <w:r w:rsidR="006F74AF" w:rsidRPr="002A34F0">
        <w:t>,</w:t>
      </w:r>
      <w:r w:rsidRPr="002A34F0">
        <w:t xml:space="preserve"> internet use, </w:t>
      </w:r>
      <w:r w:rsidR="006F74AF" w:rsidRPr="002A34F0">
        <w:t xml:space="preserve">desktop </w:t>
      </w:r>
      <w:r w:rsidRPr="002A34F0">
        <w:t>ownership</w:t>
      </w:r>
      <w:r w:rsidR="006F74AF" w:rsidRPr="002A34F0">
        <w:t xml:space="preserve">, </w:t>
      </w:r>
      <w:r w:rsidRPr="002A34F0">
        <w:t xml:space="preserve">and </w:t>
      </w:r>
      <w:r w:rsidR="008B3075" w:rsidRPr="002A34F0">
        <w:t xml:space="preserve">presence of a </w:t>
      </w:r>
      <w:r w:rsidRPr="002A34F0">
        <w:t xml:space="preserve">fixed </w:t>
      </w:r>
      <w:r w:rsidR="006F74AF" w:rsidRPr="002A34F0">
        <w:t xml:space="preserve">land </w:t>
      </w:r>
      <w:r w:rsidRPr="002A34F0">
        <w:t>lines. In general, affluent groups have much better ICT outcomes than all SES groups</w:t>
      </w:r>
      <w:r w:rsidR="0053419D" w:rsidRPr="002A34F0">
        <w:t xml:space="preserve">, as also reflected in Figure </w:t>
      </w:r>
      <w:r w:rsidR="00C00BCE" w:rsidRPr="002A34F0">
        <w:t>4</w:t>
      </w:r>
      <w:r w:rsidRPr="002A34F0">
        <w:t xml:space="preserve">. </w:t>
      </w:r>
      <w:r w:rsidR="00232107" w:rsidRPr="002A34F0">
        <w:t xml:space="preserve">Around 70% of </w:t>
      </w:r>
      <w:r w:rsidRPr="002A34F0">
        <w:t>affluent households</w:t>
      </w:r>
      <w:r w:rsidR="00FA7FB9" w:rsidRPr="002A34F0">
        <w:t xml:space="preserve"> have </w:t>
      </w:r>
      <w:r w:rsidR="00232107" w:rsidRPr="002A34F0">
        <w:t xml:space="preserve">a mobile phone, regardless of </w:t>
      </w:r>
      <w:r w:rsidR="00D43C24" w:rsidRPr="002A34F0">
        <w:t>neighbour</w:t>
      </w:r>
      <w:r w:rsidR="00232107" w:rsidRPr="002A34F0">
        <w:t>hood</w:t>
      </w:r>
      <w:r w:rsidR="00B94FE9" w:rsidRPr="002A34F0">
        <w:t>, while about 5</w:t>
      </w:r>
      <w:r w:rsidR="00F07EA1" w:rsidRPr="002A34F0">
        <w:t>7</w:t>
      </w:r>
      <w:r w:rsidR="00B94FE9" w:rsidRPr="002A34F0">
        <w:t xml:space="preserve">%, </w:t>
      </w:r>
      <w:r w:rsidR="00C20A69" w:rsidRPr="002A34F0">
        <w:t>49</w:t>
      </w:r>
      <w:r w:rsidR="0027433D" w:rsidRPr="002A34F0">
        <w:t xml:space="preserve">% and 45% of </w:t>
      </w:r>
      <w:r w:rsidR="00B94FE9" w:rsidRPr="002A34F0">
        <w:t>poor</w:t>
      </w:r>
      <w:r w:rsidR="00C20A69" w:rsidRPr="002A34F0">
        <w:t xml:space="preserve"> households have a mobile in affluent, middle, and poor </w:t>
      </w:r>
      <w:r w:rsidR="00D43C24" w:rsidRPr="002A34F0">
        <w:t>neighbour</w:t>
      </w:r>
      <w:r w:rsidR="00C20A69" w:rsidRPr="002A34F0">
        <w:t>hoods, respectively</w:t>
      </w:r>
      <w:r w:rsidR="005F5B6B" w:rsidRPr="002A34F0">
        <w:t>. F</w:t>
      </w:r>
      <w:r w:rsidRPr="002A34F0">
        <w:t>or other ICT</w:t>
      </w:r>
      <w:r w:rsidR="005F5B6B" w:rsidRPr="002A34F0">
        <w:t>s,</w:t>
      </w:r>
      <w:r w:rsidRPr="002A34F0">
        <w:t xml:space="preserve"> affluent households in affluent EAs have the highest rates</w:t>
      </w:r>
      <w:r w:rsidR="00E131F3" w:rsidRPr="002A34F0">
        <w:t xml:space="preserve">, and </w:t>
      </w:r>
      <w:r w:rsidRPr="002A34F0">
        <w:t xml:space="preserve">declines in poor EAs. </w:t>
      </w:r>
      <w:r w:rsidR="0089502D" w:rsidRPr="002A34F0">
        <w:t xml:space="preserve">Among other ICTs, the poor have </w:t>
      </w:r>
      <w:r w:rsidRPr="002A34F0">
        <w:t xml:space="preserve">all have very low rates of use. </w:t>
      </w:r>
      <w:r w:rsidR="00B82387" w:rsidRPr="002A34F0">
        <w:t>S</w:t>
      </w:r>
      <w:r w:rsidR="009F589D" w:rsidRPr="002A34F0">
        <w:t>patially</w:t>
      </w:r>
      <w:r w:rsidR="00B82387" w:rsidRPr="002A34F0">
        <w:t xml:space="preserve">, </w:t>
      </w:r>
      <w:r w:rsidR="00AD44C7" w:rsidRPr="002A34F0">
        <w:t xml:space="preserve">there is a lot of homogeneity in affluent EAs, and the poor have the high rates of access near the airport and university. In poor EAs, affluent households have high rates of mobile use except in Agbogbloshie, while usage drops for poor households in the urban core and the wester coastline. </w:t>
      </w:r>
    </w:p>
    <w:p w14:paraId="3FB7A915" w14:textId="77777777" w:rsidR="00535836" w:rsidRPr="002A34F0" w:rsidRDefault="00535836" w:rsidP="00535836">
      <w:pPr>
        <w:spacing w:line="480" w:lineRule="auto"/>
      </w:pPr>
      <w:r w:rsidRPr="002A34F0">
        <w:rPr>
          <w:noProof/>
        </w:rPr>
        <w:lastRenderedPageBreak/>
        <w:drawing>
          <wp:inline distT="0" distB="0" distL="0" distR="0" wp14:anchorId="03207F88" wp14:editId="10C93CAE">
            <wp:extent cx="3392424" cy="6688836"/>
            <wp:effectExtent l="0" t="0" r="0" b="0"/>
            <wp:docPr id="26" name="Picture 26"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392424" cy="6688836"/>
                    </a:xfrm>
                    <a:prstGeom prst="rect">
                      <a:avLst/>
                    </a:prstGeom>
                  </pic:spPr>
                </pic:pic>
              </a:graphicData>
            </a:graphic>
          </wp:inline>
        </w:drawing>
      </w:r>
    </w:p>
    <w:p w14:paraId="03DE52F0" w14:textId="5F0410CB" w:rsidR="00535836" w:rsidRPr="002A34F0" w:rsidRDefault="00535836" w:rsidP="00535836">
      <w:pPr>
        <w:spacing w:before="240" w:after="240" w:line="480" w:lineRule="auto"/>
      </w:pPr>
      <w:r w:rsidRPr="002A34F0">
        <w:rPr>
          <w:b/>
          <w:bCs/>
        </w:rPr>
        <w:t xml:space="preserve">Figure </w:t>
      </w:r>
      <w:r w:rsidR="00C00BCE" w:rsidRPr="002A34F0">
        <w:rPr>
          <w:b/>
          <w:bCs/>
        </w:rPr>
        <w:t>9</w:t>
      </w:r>
      <w:r w:rsidRPr="002A34F0">
        <w:rPr>
          <w:b/>
          <w:bCs/>
        </w:rPr>
        <w:t>. Average Adjusted Predictions for ICT Use</w:t>
      </w:r>
      <w:r w:rsidR="00174128" w:rsidRPr="002A34F0">
        <w:t>. Panel A: The predicted % of households with ICT use for the affluent (solid line) vs poor (dashed lines) households in affluent, mixed, and poor EAs. Panel B: Maps A, B, C, and D show the spatial distribution associated with mobile phone use (points A, B, C, and D, respectively) from the line graph in Panel A.</w:t>
      </w:r>
      <w:r w:rsidRPr="002A34F0" w:rsidDel="00C521A9">
        <w:t xml:space="preserve"> </w:t>
      </w:r>
    </w:p>
    <w:p w14:paraId="3333B0E9" w14:textId="56C3A764" w:rsidR="004E25D1" w:rsidRPr="002A34F0" w:rsidRDefault="00DB4284" w:rsidP="00106C25">
      <w:pPr>
        <w:spacing w:before="240" w:after="240" w:line="480" w:lineRule="auto"/>
        <w:ind w:firstLine="720"/>
      </w:pPr>
      <w:r w:rsidRPr="002A34F0">
        <w:lastRenderedPageBreak/>
        <w:t>The</w:t>
      </w:r>
      <w:r w:rsidR="004E25D1" w:rsidRPr="002A34F0">
        <w:t xml:space="preserve"> </w:t>
      </w:r>
      <w:r w:rsidRPr="002A34F0">
        <w:t xml:space="preserve">key </w:t>
      </w:r>
      <w:r w:rsidR="004E25D1" w:rsidRPr="002A34F0">
        <w:t xml:space="preserve">takeaway from </w:t>
      </w:r>
      <w:r w:rsidRPr="002A34F0">
        <w:t xml:space="preserve">AAP </w:t>
      </w:r>
      <w:r w:rsidR="004E25D1" w:rsidRPr="002A34F0">
        <w:t>results</w:t>
      </w:r>
      <w:r w:rsidRPr="002A34F0">
        <w:t xml:space="preserve"> </w:t>
      </w:r>
      <w:r w:rsidR="009825C3" w:rsidRPr="002A34F0">
        <w:t xml:space="preserve">is </w:t>
      </w:r>
      <w:r w:rsidRPr="002A34F0">
        <w:t>that, even for the areas where SES matters more</w:t>
      </w:r>
      <w:r w:rsidR="006A4728" w:rsidRPr="002A34F0">
        <w:t xml:space="preserve"> (i.e., as demonstrated in Figure </w:t>
      </w:r>
      <w:r w:rsidR="00C00BCE" w:rsidRPr="002A34F0">
        <w:t>5</w:t>
      </w:r>
      <w:r w:rsidR="006A4728" w:rsidRPr="002A34F0">
        <w:t>)</w:t>
      </w:r>
      <w:r w:rsidRPr="002A34F0">
        <w:t xml:space="preserve">, location </w:t>
      </w:r>
      <w:r w:rsidR="006A4728" w:rsidRPr="002A34F0">
        <w:t>and</w:t>
      </w:r>
      <w:r w:rsidRPr="002A34F0">
        <w:t xml:space="preserve"> household </w:t>
      </w:r>
      <w:r w:rsidR="006A4728" w:rsidRPr="002A34F0">
        <w:t xml:space="preserve">interactions </w:t>
      </w:r>
      <w:r w:rsidRPr="002A34F0">
        <w:t xml:space="preserve">can have major effects on outcomes. Concentrated </w:t>
      </w:r>
      <w:r w:rsidR="006A4728" w:rsidRPr="002A34F0">
        <w:t xml:space="preserve">areas of </w:t>
      </w:r>
      <w:r w:rsidRPr="002A34F0">
        <w:t xml:space="preserve">affluence </w:t>
      </w:r>
      <w:r w:rsidR="006A4728" w:rsidRPr="002A34F0">
        <w:t>or</w:t>
      </w:r>
      <w:r w:rsidRPr="002A34F0">
        <w:t xml:space="preserve"> poverty can improve or worsen outcomes for ‘</w:t>
      </w:r>
      <w:r w:rsidR="00EA55E2" w:rsidRPr="002A34F0">
        <w:t xml:space="preserve">stranger’ </w:t>
      </w:r>
      <w:r w:rsidRPr="002A34F0">
        <w:t>households</w:t>
      </w:r>
      <w:r w:rsidR="00A01206" w:rsidRPr="002A34F0">
        <w:t xml:space="preserve">, though it seems the direction of these effects </w:t>
      </w:r>
      <w:r w:rsidR="003E0E0F" w:rsidRPr="002A34F0">
        <w:t>are somewhat unpredictable</w:t>
      </w:r>
      <w:r w:rsidRPr="002A34F0">
        <w:t xml:space="preserve">. </w:t>
      </w:r>
      <w:r w:rsidR="003E0E0F" w:rsidRPr="002A34F0">
        <w:t>In some</w:t>
      </w:r>
      <w:r w:rsidRPr="002A34F0">
        <w:t xml:space="preserve"> instances</w:t>
      </w:r>
      <w:r w:rsidR="00686BD1" w:rsidRPr="002A34F0">
        <w:t>,</w:t>
      </w:r>
      <w:r w:rsidRPr="002A34F0">
        <w:t xml:space="preserve"> living in an affluent EA </w:t>
      </w:r>
      <w:r w:rsidR="0073343E" w:rsidRPr="002A34F0">
        <w:t>is associated with</w:t>
      </w:r>
      <w:r w:rsidR="00FC5EC9" w:rsidRPr="002A34F0">
        <w:t xml:space="preserve"> greater rates of</w:t>
      </w:r>
      <w:r w:rsidR="0073343E" w:rsidRPr="002A34F0">
        <w:t xml:space="preserve"> </w:t>
      </w:r>
      <w:r w:rsidRPr="002A34F0">
        <w:t>improve</w:t>
      </w:r>
      <w:r w:rsidR="00FC5EC9" w:rsidRPr="002A34F0">
        <w:t>d</w:t>
      </w:r>
      <w:r w:rsidRPr="002A34F0">
        <w:t xml:space="preserve"> </w:t>
      </w:r>
      <w:r w:rsidR="00FC5EC9" w:rsidRPr="002A34F0">
        <w:t>outcomes for</w:t>
      </w:r>
      <w:r w:rsidRPr="002A34F0">
        <w:t xml:space="preserve"> the poor</w:t>
      </w:r>
      <w:r w:rsidR="006A4728" w:rsidRPr="002A34F0">
        <w:t>, but t</w:t>
      </w:r>
      <w:r w:rsidRPr="002A34F0">
        <w:t xml:space="preserve">here are also cases where living in an affluent EA </w:t>
      </w:r>
      <w:r w:rsidR="00FA4E40" w:rsidRPr="002A34F0">
        <w:t xml:space="preserve">seems to </w:t>
      </w:r>
      <w:r w:rsidRPr="002A34F0">
        <w:t xml:space="preserve">worsen outcomes for poor households. </w:t>
      </w:r>
      <w:r w:rsidR="00FA4E40" w:rsidRPr="002A34F0">
        <w:t>Conversely</w:t>
      </w:r>
      <w:r w:rsidRPr="002A34F0">
        <w:t>, there are situations where living in a poor EA can worsen circumstances for affluent households.</w:t>
      </w:r>
      <w:r w:rsidR="009825C3" w:rsidRPr="002A34F0">
        <w:t xml:space="preserve"> </w:t>
      </w:r>
      <w:r w:rsidR="004E25D1" w:rsidRPr="002A34F0">
        <w:t xml:space="preserve">We </w:t>
      </w:r>
      <w:r w:rsidR="00FA4E40" w:rsidRPr="002A34F0">
        <w:t xml:space="preserve">discuss </w:t>
      </w:r>
      <w:r w:rsidR="004E25D1" w:rsidRPr="002A34F0">
        <w:t>these results and their implications for policy design</w:t>
      </w:r>
      <w:r w:rsidR="0090531F" w:rsidRPr="002A34F0">
        <w:t xml:space="preserve"> in the next section</w:t>
      </w:r>
      <w:r w:rsidR="004E25D1" w:rsidRPr="002A34F0">
        <w:t>.</w:t>
      </w:r>
    </w:p>
    <w:p w14:paraId="03C2BAD7" w14:textId="4D1B061A" w:rsidR="004E25D1" w:rsidRPr="002A34F0" w:rsidRDefault="004E25D1" w:rsidP="006F1B84">
      <w:pPr>
        <w:pStyle w:val="Heading1"/>
        <w:spacing w:line="480" w:lineRule="auto"/>
      </w:pPr>
      <w:r w:rsidRPr="002A34F0">
        <w:t>Discussion</w:t>
      </w:r>
    </w:p>
    <w:p w14:paraId="21F565AC" w14:textId="2D1830F8" w:rsidR="00FE12E0" w:rsidRPr="002A34F0" w:rsidRDefault="00FE12E0" w:rsidP="00FE12E0">
      <w:pPr>
        <w:spacing w:before="240" w:after="240" w:line="480" w:lineRule="auto"/>
        <w:rPr>
          <w:i/>
          <w:iCs/>
        </w:rPr>
      </w:pPr>
      <w:r w:rsidRPr="002A34F0">
        <w:rPr>
          <w:i/>
          <w:iCs/>
        </w:rPr>
        <w:t xml:space="preserve">Household versus </w:t>
      </w:r>
      <w:r w:rsidR="00D43C24" w:rsidRPr="002A34F0">
        <w:rPr>
          <w:i/>
          <w:iCs/>
        </w:rPr>
        <w:t>neighbour</w:t>
      </w:r>
      <w:r w:rsidRPr="002A34F0">
        <w:rPr>
          <w:i/>
          <w:iCs/>
        </w:rPr>
        <w:t>hood effects</w:t>
      </w:r>
    </w:p>
    <w:p w14:paraId="3CC9A9F0" w14:textId="62CC64FE" w:rsidR="008E11E7" w:rsidRPr="002A34F0" w:rsidRDefault="008F2A4E" w:rsidP="006F1B84">
      <w:pPr>
        <w:spacing w:before="240" w:after="240" w:line="480" w:lineRule="auto"/>
        <w:ind w:firstLine="720"/>
      </w:pPr>
      <w:r w:rsidRPr="002A34F0">
        <w:t>H</w:t>
      </w:r>
      <w:r w:rsidR="00E64FDA" w:rsidRPr="002A34F0">
        <w:t xml:space="preserve">ousehold </w:t>
      </w:r>
      <w:r w:rsidR="00DC46F8" w:rsidRPr="002A34F0">
        <w:t>consumption levels influence household</w:t>
      </w:r>
      <w:r w:rsidRPr="002A34F0">
        <w:t xml:space="preserve"> budgets and therefore choice</w:t>
      </w:r>
      <w:r w:rsidR="00EF0C69" w:rsidRPr="002A34F0">
        <w:t>s</w:t>
      </w:r>
      <w:r w:rsidRPr="002A34F0">
        <w:t xml:space="preserve"> they make</w:t>
      </w:r>
      <w:r w:rsidR="00DC46F8" w:rsidRPr="002A34F0">
        <w:t xml:space="preserve">, </w:t>
      </w:r>
      <w:r w:rsidRPr="002A34F0">
        <w:t xml:space="preserve">but </w:t>
      </w:r>
      <w:r w:rsidR="00DC46F8" w:rsidRPr="002A34F0">
        <w:t>neighbourhood</w:t>
      </w:r>
      <w:r w:rsidRPr="002A34F0">
        <w:t>s</w:t>
      </w:r>
      <w:r w:rsidR="00DC46F8" w:rsidRPr="002A34F0">
        <w:t xml:space="preserve"> also shape the services and markets to which households have access. </w:t>
      </w:r>
      <w:r w:rsidR="0053276A" w:rsidRPr="002A34F0">
        <w:t>Table 2 summarises</w:t>
      </w:r>
      <w:r w:rsidR="00E848B1" w:rsidRPr="002A34F0">
        <w:t xml:space="preserve"> the</w:t>
      </w:r>
      <w:r w:rsidR="0053276A" w:rsidRPr="002A34F0">
        <w:t xml:space="preserve"> household and neighbo</w:t>
      </w:r>
      <w:r w:rsidR="003A5320" w:rsidRPr="002A34F0">
        <w:t>u</w:t>
      </w:r>
      <w:r w:rsidR="0053276A" w:rsidRPr="002A34F0">
        <w:t xml:space="preserve">rhood effects, </w:t>
      </w:r>
      <w:r w:rsidR="003C0BAF" w:rsidRPr="002A34F0">
        <w:t>with summary implications for development</w:t>
      </w:r>
      <w:r w:rsidR="0053276A" w:rsidRPr="002A34F0">
        <w:t xml:space="preserve"> policy</w:t>
      </w:r>
      <w:r w:rsidR="006C7B5D" w:rsidRPr="002A34F0">
        <w:t xml:space="preserve">, taking into account </w:t>
      </w:r>
      <w:r w:rsidR="0053276A" w:rsidRPr="002A34F0">
        <w:t>different ways household and neighbo</w:t>
      </w:r>
      <w:r w:rsidR="003A5320" w:rsidRPr="002A34F0">
        <w:t>u</w:t>
      </w:r>
      <w:r w:rsidR="0053276A" w:rsidRPr="002A34F0">
        <w:t>rhood status interact for measures of well-being.</w:t>
      </w:r>
      <w:r w:rsidR="008E11E7" w:rsidRPr="002A34F0">
        <w:t xml:space="preserve"> The resulting outcomes fall into four general patterns. Case A covers </w:t>
      </w:r>
      <w:r w:rsidR="0010224B" w:rsidRPr="002A34F0">
        <w:t>most</w:t>
      </w:r>
      <w:r w:rsidR="008E11E7" w:rsidRPr="002A34F0">
        <w:t xml:space="preserve"> of the outcomes measured – household SES has a positive association with improved wellbeing metrics, and generally neighbo</w:t>
      </w:r>
      <w:r w:rsidR="003A5320" w:rsidRPr="002A34F0">
        <w:t>u</w:t>
      </w:r>
      <w:r w:rsidR="008E11E7" w:rsidRPr="002A34F0">
        <w:t xml:space="preserve">rhoods pull stranger’s outcomes closer to their mean (poor households do better in </w:t>
      </w:r>
      <w:r w:rsidR="00280ED7" w:rsidRPr="002A34F0">
        <w:t xml:space="preserve">affluent </w:t>
      </w:r>
      <w:r w:rsidR="008E11E7" w:rsidRPr="002A34F0">
        <w:t xml:space="preserve">areas, </w:t>
      </w:r>
      <w:r w:rsidR="00280ED7" w:rsidRPr="002A34F0">
        <w:t xml:space="preserve">affluent </w:t>
      </w:r>
      <w:r w:rsidR="008E11E7" w:rsidRPr="002A34F0">
        <w:t>households do worse in poor areas).  For floors and piped water – case B – the poor in affluent neighbo</w:t>
      </w:r>
      <w:r w:rsidR="003A5320" w:rsidRPr="002A34F0">
        <w:t>u</w:t>
      </w:r>
      <w:r w:rsidR="008E11E7" w:rsidRPr="002A34F0">
        <w:t>rhoods have worse outcomes and the affluent in poor neighbo</w:t>
      </w:r>
      <w:r w:rsidR="003A5320" w:rsidRPr="002A34F0">
        <w:t>u</w:t>
      </w:r>
      <w:r w:rsidR="008E11E7" w:rsidRPr="002A34F0">
        <w:t xml:space="preserve">rhoods have better outcomes. In case C, </w:t>
      </w:r>
      <w:r w:rsidR="008E11E7" w:rsidRPr="002A34F0">
        <w:lastRenderedPageBreak/>
        <w:t>strangers always have worse outcomes in a stranger neighbo</w:t>
      </w:r>
      <w:r w:rsidR="003A5320" w:rsidRPr="002A34F0">
        <w:t>u</w:t>
      </w:r>
      <w:r w:rsidR="008E11E7" w:rsidRPr="002A34F0">
        <w:t>rhood. Case D represent outcomes that show no relationship with household or neighbo</w:t>
      </w:r>
      <w:r w:rsidR="003A5320" w:rsidRPr="002A34F0">
        <w:t>u</w:t>
      </w:r>
      <w:r w:rsidR="008E11E7" w:rsidRPr="002A34F0">
        <w:t xml:space="preserve">rhood </w:t>
      </w:r>
      <w:r w:rsidR="00280ED7" w:rsidRPr="002A34F0">
        <w:t>SES</w:t>
      </w:r>
      <w:r w:rsidR="008E11E7" w:rsidRPr="002A34F0">
        <w:t xml:space="preserve">. </w:t>
      </w:r>
    </w:p>
    <w:p w14:paraId="05D99B01" w14:textId="061AF72D" w:rsidR="00F274BD" w:rsidRPr="002A34F0" w:rsidRDefault="00DC46F8" w:rsidP="00E848B1">
      <w:pPr>
        <w:spacing w:before="240" w:after="240" w:line="480" w:lineRule="auto"/>
        <w:ind w:firstLine="720"/>
      </w:pPr>
      <w:r w:rsidRPr="002A34F0">
        <w:t xml:space="preserve">Understanding </w:t>
      </w:r>
      <w:r w:rsidR="002D1113" w:rsidRPr="002A34F0">
        <w:t xml:space="preserve">how household </w:t>
      </w:r>
      <w:r w:rsidRPr="002A34F0">
        <w:t xml:space="preserve">SES </w:t>
      </w:r>
      <w:r w:rsidR="00E64FDA" w:rsidRPr="002A34F0">
        <w:t xml:space="preserve">and </w:t>
      </w:r>
      <w:r w:rsidR="00D43C24" w:rsidRPr="002A34F0">
        <w:t>neighbour</w:t>
      </w:r>
      <w:r w:rsidR="00E64FDA" w:rsidRPr="002A34F0">
        <w:t xml:space="preserve">hoods interact </w:t>
      </w:r>
      <w:r w:rsidRPr="002A34F0">
        <w:t>for improved outcomes</w:t>
      </w:r>
      <w:r w:rsidR="00A54FB1" w:rsidRPr="002A34F0">
        <w:t xml:space="preserve"> is important</w:t>
      </w:r>
      <w:r w:rsidRPr="002A34F0">
        <w:t xml:space="preserve"> </w:t>
      </w:r>
      <w:r w:rsidR="00A54FB1" w:rsidRPr="002A34F0">
        <w:t>for</w:t>
      </w:r>
      <w:r w:rsidRPr="002A34F0">
        <w:t xml:space="preserve"> </w:t>
      </w:r>
      <w:bookmarkStart w:id="16" w:name="_Hlk140824753"/>
      <w:r w:rsidRPr="002A34F0">
        <w:t>direct</w:t>
      </w:r>
      <w:r w:rsidR="00A54FB1" w:rsidRPr="002A34F0">
        <w:t>ing</w:t>
      </w:r>
      <w:r w:rsidRPr="002A34F0">
        <w:t xml:space="preserve"> limited resources to ameliorate deprivation in different areas of concern. </w:t>
      </w:r>
      <w:bookmarkStart w:id="17" w:name="_Hlk111104184"/>
      <w:r w:rsidR="0017554E" w:rsidRPr="002A34F0">
        <w:t>W</w:t>
      </w:r>
      <w:r w:rsidRPr="002A34F0">
        <w:t>hen</w:t>
      </w:r>
      <w:r w:rsidR="00361945" w:rsidRPr="002A34F0">
        <w:t xml:space="preserve"> household</w:t>
      </w:r>
      <w:r w:rsidRPr="002A34F0">
        <w:t xml:space="preserve"> SES </w:t>
      </w:r>
      <w:r w:rsidR="009A38B7" w:rsidRPr="002A34F0">
        <w:t>dominates</w:t>
      </w:r>
      <w:r w:rsidRPr="002A34F0">
        <w:t>, policy can target households based on household SES or socio-demographic traits</w:t>
      </w:r>
      <w:bookmarkEnd w:id="17"/>
      <w:r w:rsidRPr="002A34F0">
        <w:t xml:space="preserve">. </w:t>
      </w:r>
      <w:r w:rsidR="00AA4131" w:rsidRPr="002A34F0">
        <w:t xml:space="preserve">For example, Ghana’s Livelihood Empowerment Against Poverty (LEAP) cash transfer program </w:t>
      </w:r>
      <w:r w:rsidR="00160D78" w:rsidRPr="002A34F0">
        <w:t>targets</w:t>
      </w:r>
      <w:r w:rsidR="00AA4131" w:rsidRPr="002A34F0">
        <w:t xml:space="preserve"> the most vulnerable of households (Wodon</w:t>
      </w:r>
      <w:r w:rsidR="00483C69" w:rsidRPr="002A34F0">
        <w:t>,</w:t>
      </w:r>
      <w:r w:rsidR="00AA4131" w:rsidRPr="002A34F0">
        <w:t xml:space="preserve"> 2012; Cuesta et al.</w:t>
      </w:r>
      <w:r w:rsidR="00483C69" w:rsidRPr="002A34F0">
        <w:t>,</w:t>
      </w:r>
      <w:r w:rsidR="00AA4131" w:rsidRPr="002A34F0">
        <w:t xml:space="preserve"> 2019). </w:t>
      </w:r>
      <w:r w:rsidR="009A38B7" w:rsidRPr="002A34F0">
        <w:t>Alternatively</w:t>
      </w:r>
      <w:r w:rsidRPr="002A34F0">
        <w:t xml:space="preserve">, when </w:t>
      </w:r>
      <w:r w:rsidR="00D43C24" w:rsidRPr="002A34F0">
        <w:t>neighbour</w:t>
      </w:r>
      <w:r w:rsidR="00A71397" w:rsidRPr="002A34F0">
        <w:t>hood</w:t>
      </w:r>
      <w:r w:rsidR="00545082" w:rsidRPr="002A34F0">
        <w:t>s</w:t>
      </w:r>
      <w:r w:rsidR="00A71397" w:rsidRPr="002A34F0">
        <w:t xml:space="preserve"> </w:t>
      </w:r>
      <w:r w:rsidR="00545082" w:rsidRPr="002A34F0">
        <w:t>relate more strongly</w:t>
      </w:r>
      <w:r w:rsidRPr="002A34F0">
        <w:t xml:space="preserve"> to deprivation, policy makers can direct resources and programming </w:t>
      </w:r>
      <w:r w:rsidR="00A71397" w:rsidRPr="002A34F0">
        <w:t xml:space="preserve">in a more </w:t>
      </w:r>
      <w:r w:rsidR="00C14D4A" w:rsidRPr="002A34F0">
        <w:t>location-based way</w:t>
      </w:r>
      <w:r w:rsidRPr="002A34F0">
        <w:t>.</w:t>
      </w:r>
      <w:bookmarkEnd w:id="16"/>
    </w:p>
    <w:p w14:paraId="538923E8" w14:textId="77777777" w:rsidR="00E848B1" w:rsidRPr="002A34F0" w:rsidRDefault="00E848B1" w:rsidP="00E848B1">
      <w:pPr>
        <w:spacing w:before="240" w:after="240" w:line="480" w:lineRule="auto"/>
        <w:ind w:firstLine="720"/>
      </w:pPr>
    </w:p>
    <w:tbl>
      <w:tblPr>
        <w:tblW w:w="8240" w:type="dxa"/>
        <w:tblLook w:val="04A0" w:firstRow="1" w:lastRow="0" w:firstColumn="1" w:lastColumn="0" w:noHBand="0" w:noVBand="1"/>
      </w:tblPr>
      <w:tblGrid>
        <w:gridCol w:w="1537"/>
        <w:gridCol w:w="1109"/>
        <w:gridCol w:w="1774"/>
        <w:gridCol w:w="1741"/>
        <w:gridCol w:w="2079"/>
      </w:tblGrid>
      <w:tr w:rsidR="00F274BD" w:rsidRPr="002A34F0" w14:paraId="3A7DC0AB" w14:textId="77777777" w:rsidTr="00F274BD">
        <w:trPr>
          <w:trHeight w:val="236"/>
        </w:trPr>
        <w:tc>
          <w:tcPr>
            <w:tcW w:w="8240" w:type="dxa"/>
            <w:gridSpan w:val="5"/>
            <w:tcBorders>
              <w:top w:val="nil"/>
              <w:left w:val="nil"/>
              <w:bottom w:val="single" w:sz="4" w:space="0" w:color="auto"/>
              <w:right w:val="nil"/>
            </w:tcBorders>
            <w:shd w:val="clear" w:color="auto" w:fill="auto"/>
            <w:noWrap/>
            <w:vAlign w:val="bottom"/>
            <w:hideMark/>
          </w:tcPr>
          <w:p w14:paraId="684BAECC" w14:textId="46E63B01" w:rsidR="00F274BD" w:rsidRPr="002A34F0" w:rsidRDefault="00F274BD">
            <w:pPr>
              <w:rPr>
                <w:rFonts w:ascii="Calibri" w:hAnsi="Calibri" w:cs="Calibri"/>
                <w:color w:val="000000"/>
                <w:sz w:val="22"/>
                <w:szCs w:val="22"/>
              </w:rPr>
            </w:pPr>
            <w:r w:rsidRPr="002A34F0">
              <w:rPr>
                <w:rFonts w:ascii="Calibri" w:hAnsi="Calibri" w:cs="Calibri"/>
                <w:color w:val="000000"/>
                <w:sz w:val="22"/>
                <w:szCs w:val="22"/>
              </w:rPr>
              <w:t>Table 2. How do stranger groups fare in strange neighbo</w:t>
            </w:r>
            <w:r w:rsidR="003A5320" w:rsidRPr="002A34F0">
              <w:rPr>
                <w:rFonts w:ascii="Calibri" w:hAnsi="Calibri" w:cs="Calibri"/>
                <w:color w:val="000000"/>
                <w:sz w:val="22"/>
                <w:szCs w:val="22"/>
              </w:rPr>
              <w:t>u</w:t>
            </w:r>
            <w:r w:rsidRPr="002A34F0">
              <w:rPr>
                <w:rFonts w:ascii="Calibri" w:hAnsi="Calibri" w:cs="Calibri"/>
                <w:color w:val="000000"/>
                <w:sz w:val="22"/>
                <w:szCs w:val="22"/>
              </w:rPr>
              <w:t>rhoods?</w:t>
            </w:r>
          </w:p>
        </w:tc>
      </w:tr>
      <w:tr w:rsidR="00F274BD" w:rsidRPr="002A34F0" w14:paraId="008A7E9D" w14:textId="77777777" w:rsidTr="004B5937">
        <w:trPr>
          <w:trHeight w:val="236"/>
        </w:trPr>
        <w:tc>
          <w:tcPr>
            <w:tcW w:w="1537" w:type="dxa"/>
            <w:vMerge w:val="restart"/>
            <w:tcBorders>
              <w:top w:val="single" w:sz="4" w:space="0" w:color="auto"/>
              <w:left w:val="nil"/>
              <w:bottom w:val="single" w:sz="4" w:space="0" w:color="auto"/>
              <w:right w:val="nil"/>
            </w:tcBorders>
            <w:shd w:val="clear" w:color="auto" w:fill="auto"/>
            <w:noWrap/>
            <w:vAlign w:val="bottom"/>
            <w:hideMark/>
          </w:tcPr>
          <w:p w14:paraId="055543EE" w14:textId="77777777" w:rsidR="00F274BD" w:rsidRPr="002A34F0" w:rsidRDefault="00F274BD">
            <w:pPr>
              <w:rPr>
                <w:rFonts w:ascii="Calibri" w:hAnsi="Calibri" w:cs="Calibri"/>
                <w:color w:val="000000"/>
                <w:sz w:val="20"/>
                <w:szCs w:val="20"/>
              </w:rPr>
            </w:pPr>
          </w:p>
        </w:tc>
        <w:tc>
          <w:tcPr>
            <w:tcW w:w="1109" w:type="dxa"/>
            <w:vMerge w:val="restart"/>
            <w:tcBorders>
              <w:top w:val="single" w:sz="4" w:space="0" w:color="auto"/>
              <w:left w:val="nil"/>
              <w:bottom w:val="single" w:sz="4" w:space="0" w:color="auto"/>
              <w:right w:val="nil"/>
            </w:tcBorders>
            <w:shd w:val="clear" w:color="auto" w:fill="auto"/>
            <w:hideMark/>
          </w:tcPr>
          <w:p w14:paraId="331BB2D7" w14:textId="77777777" w:rsidR="00F274BD" w:rsidRPr="002A34F0" w:rsidRDefault="00F274BD" w:rsidP="00F274BD">
            <w:pPr>
              <w:jc w:val="center"/>
              <w:rPr>
                <w:rFonts w:ascii="Calibri" w:hAnsi="Calibri" w:cs="Calibri"/>
                <w:b/>
                <w:bCs/>
                <w:color w:val="000000"/>
                <w:sz w:val="20"/>
                <w:szCs w:val="20"/>
              </w:rPr>
            </w:pPr>
            <w:r w:rsidRPr="002A34F0">
              <w:rPr>
                <w:rFonts w:ascii="Calibri" w:hAnsi="Calibri" w:cs="Calibri"/>
                <w:b/>
                <w:bCs/>
                <w:color w:val="000000"/>
                <w:sz w:val="20"/>
                <w:szCs w:val="20"/>
              </w:rPr>
              <w:t>Household SES effect</w:t>
            </w:r>
          </w:p>
        </w:tc>
        <w:tc>
          <w:tcPr>
            <w:tcW w:w="3515" w:type="dxa"/>
            <w:gridSpan w:val="2"/>
            <w:tcBorders>
              <w:top w:val="single" w:sz="4" w:space="0" w:color="auto"/>
              <w:left w:val="nil"/>
              <w:right w:val="nil"/>
            </w:tcBorders>
            <w:shd w:val="clear" w:color="auto" w:fill="auto"/>
            <w:hideMark/>
          </w:tcPr>
          <w:p w14:paraId="48A8B07B" w14:textId="77777777" w:rsidR="00F274BD" w:rsidRPr="002A34F0" w:rsidRDefault="00F274BD" w:rsidP="00F274BD">
            <w:pPr>
              <w:jc w:val="center"/>
              <w:rPr>
                <w:rFonts w:ascii="Calibri" w:hAnsi="Calibri" w:cs="Calibri"/>
                <w:b/>
                <w:bCs/>
                <w:color w:val="000000"/>
                <w:sz w:val="20"/>
                <w:szCs w:val="20"/>
              </w:rPr>
            </w:pPr>
            <w:r w:rsidRPr="002A34F0">
              <w:rPr>
                <w:rFonts w:ascii="Calibri" w:hAnsi="Calibri" w:cs="Calibri"/>
                <w:b/>
                <w:bCs/>
                <w:color w:val="000000"/>
                <w:sz w:val="20"/>
                <w:szCs w:val="20"/>
              </w:rPr>
              <w:t>Stranger effect</w:t>
            </w:r>
          </w:p>
        </w:tc>
        <w:tc>
          <w:tcPr>
            <w:tcW w:w="2079" w:type="dxa"/>
            <w:vMerge w:val="restart"/>
            <w:tcBorders>
              <w:top w:val="single" w:sz="4" w:space="0" w:color="auto"/>
              <w:left w:val="nil"/>
              <w:bottom w:val="single" w:sz="4" w:space="0" w:color="auto"/>
              <w:right w:val="nil"/>
            </w:tcBorders>
            <w:shd w:val="clear" w:color="auto" w:fill="auto"/>
            <w:hideMark/>
          </w:tcPr>
          <w:p w14:paraId="0A873860" w14:textId="77777777" w:rsidR="00F274BD" w:rsidRPr="002A34F0" w:rsidRDefault="00F274BD" w:rsidP="00F274BD">
            <w:pPr>
              <w:jc w:val="center"/>
              <w:rPr>
                <w:rFonts w:ascii="Calibri" w:hAnsi="Calibri" w:cs="Calibri"/>
                <w:b/>
                <w:bCs/>
                <w:color w:val="000000"/>
                <w:sz w:val="20"/>
                <w:szCs w:val="20"/>
              </w:rPr>
            </w:pPr>
            <w:r w:rsidRPr="002A34F0">
              <w:rPr>
                <w:rFonts w:ascii="Calibri" w:hAnsi="Calibri" w:cs="Calibri"/>
                <w:b/>
                <w:bCs/>
                <w:color w:val="000000"/>
                <w:sz w:val="20"/>
                <w:szCs w:val="20"/>
              </w:rPr>
              <w:t>Development implications</w:t>
            </w:r>
          </w:p>
        </w:tc>
      </w:tr>
      <w:tr w:rsidR="00F274BD" w:rsidRPr="002A34F0" w14:paraId="0CF89F73" w14:textId="77777777" w:rsidTr="004B5937">
        <w:trPr>
          <w:trHeight w:val="85"/>
        </w:trPr>
        <w:tc>
          <w:tcPr>
            <w:tcW w:w="1537" w:type="dxa"/>
            <w:vMerge/>
            <w:tcBorders>
              <w:left w:val="nil"/>
              <w:bottom w:val="double" w:sz="4" w:space="0" w:color="000000" w:themeColor="text1"/>
              <w:right w:val="nil"/>
            </w:tcBorders>
            <w:vAlign w:val="center"/>
            <w:hideMark/>
          </w:tcPr>
          <w:p w14:paraId="5C28084D" w14:textId="77777777" w:rsidR="00F274BD" w:rsidRPr="002A34F0" w:rsidRDefault="00F274BD">
            <w:pPr>
              <w:rPr>
                <w:rFonts w:ascii="Calibri" w:hAnsi="Calibri" w:cs="Calibri"/>
                <w:color w:val="000000"/>
                <w:sz w:val="20"/>
                <w:szCs w:val="20"/>
              </w:rPr>
            </w:pPr>
          </w:p>
        </w:tc>
        <w:tc>
          <w:tcPr>
            <w:tcW w:w="1109" w:type="dxa"/>
            <w:vMerge/>
            <w:tcBorders>
              <w:left w:val="nil"/>
              <w:bottom w:val="double" w:sz="4" w:space="0" w:color="000000" w:themeColor="text1"/>
              <w:right w:val="nil"/>
            </w:tcBorders>
            <w:vAlign w:val="center"/>
            <w:hideMark/>
          </w:tcPr>
          <w:p w14:paraId="06D365D1" w14:textId="77777777" w:rsidR="00F274BD" w:rsidRPr="002A34F0" w:rsidRDefault="00F274BD">
            <w:pPr>
              <w:rPr>
                <w:rFonts w:ascii="Calibri" w:hAnsi="Calibri" w:cs="Calibri"/>
                <w:color w:val="000000"/>
                <w:sz w:val="20"/>
                <w:szCs w:val="20"/>
              </w:rPr>
            </w:pPr>
          </w:p>
        </w:tc>
        <w:tc>
          <w:tcPr>
            <w:tcW w:w="1774" w:type="dxa"/>
            <w:tcBorders>
              <w:left w:val="nil"/>
              <w:bottom w:val="double" w:sz="4" w:space="0" w:color="000000" w:themeColor="text1"/>
              <w:right w:val="nil"/>
            </w:tcBorders>
            <w:shd w:val="clear" w:color="auto" w:fill="auto"/>
            <w:vAlign w:val="center"/>
            <w:hideMark/>
          </w:tcPr>
          <w:p w14:paraId="76F5BAD2" w14:textId="77777777" w:rsidR="00F274BD" w:rsidRPr="002A34F0" w:rsidRDefault="00F274BD">
            <w:pPr>
              <w:jc w:val="center"/>
              <w:rPr>
                <w:rFonts w:ascii="Calibri" w:hAnsi="Calibri" w:cs="Calibri"/>
                <w:color w:val="000000"/>
                <w:sz w:val="16"/>
                <w:szCs w:val="16"/>
              </w:rPr>
            </w:pPr>
            <w:r w:rsidRPr="002A34F0">
              <w:rPr>
                <w:rFonts w:ascii="Calibri" w:hAnsi="Calibri" w:cs="Calibri"/>
                <w:color w:val="000000"/>
                <w:sz w:val="16"/>
                <w:szCs w:val="16"/>
              </w:rPr>
              <w:t>Poor in affluent n'hood</w:t>
            </w:r>
          </w:p>
        </w:tc>
        <w:tc>
          <w:tcPr>
            <w:tcW w:w="1741" w:type="dxa"/>
            <w:tcBorders>
              <w:left w:val="nil"/>
              <w:bottom w:val="double" w:sz="4" w:space="0" w:color="000000" w:themeColor="text1"/>
              <w:right w:val="nil"/>
            </w:tcBorders>
            <w:shd w:val="clear" w:color="auto" w:fill="auto"/>
            <w:vAlign w:val="center"/>
            <w:hideMark/>
          </w:tcPr>
          <w:p w14:paraId="4C0CF776" w14:textId="77777777" w:rsidR="00F274BD" w:rsidRPr="002A34F0" w:rsidRDefault="00F274BD">
            <w:pPr>
              <w:jc w:val="center"/>
              <w:rPr>
                <w:rFonts w:ascii="Calibri" w:hAnsi="Calibri" w:cs="Calibri"/>
                <w:color w:val="000000"/>
                <w:sz w:val="16"/>
                <w:szCs w:val="16"/>
              </w:rPr>
            </w:pPr>
            <w:r w:rsidRPr="002A34F0">
              <w:rPr>
                <w:rFonts w:ascii="Calibri" w:hAnsi="Calibri" w:cs="Calibri"/>
                <w:color w:val="000000"/>
                <w:sz w:val="16"/>
                <w:szCs w:val="16"/>
              </w:rPr>
              <w:t>Affluent in poor n'hood</w:t>
            </w:r>
          </w:p>
        </w:tc>
        <w:tc>
          <w:tcPr>
            <w:tcW w:w="2079" w:type="dxa"/>
            <w:vMerge/>
            <w:tcBorders>
              <w:top w:val="single" w:sz="4" w:space="0" w:color="auto"/>
              <w:left w:val="nil"/>
              <w:bottom w:val="double" w:sz="4" w:space="0" w:color="000000" w:themeColor="text1"/>
              <w:right w:val="nil"/>
            </w:tcBorders>
            <w:vAlign w:val="center"/>
            <w:hideMark/>
          </w:tcPr>
          <w:p w14:paraId="287E365F" w14:textId="77777777" w:rsidR="00F274BD" w:rsidRPr="002A34F0" w:rsidRDefault="00F274BD">
            <w:pPr>
              <w:rPr>
                <w:rFonts w:ascii="Calibri" w:hAnsi="Calibri" w:cs="Calibri"/>
                <w:color w:val="000000"/>
                <w:sz w:val="20"/>
                <w:szCs w:val="20"/>
              </w:rPr>
            </w:pPr>
          </w:p>
        </w:tc>
      </w:tr>
      <w:tr w:rsidR="00F274BD" w:rsidRPr="002A34F0" w14:paraId="44A9320B" w14:textId="77777777" w:rsidTr="00F274BD">
        <w:trPr>
          <w:trHeight w:val="425"/>
        </w:trPr>
        <w:tc>
          <w:tcPr>
            <w:tcW w:w="8240" w:type="dxa"/>
            <w:gridSpan w:val="5"/>
            <w:tcBorders>
              <w:top w:val="double" w:sz="4" w:space="0" w:color="000000" w:themeColor="text1"/>
              <w:left w:val="nil"/>
              <w:bottom w:val="single" w:sz="4" w:space="0" w:color="7F7F7F" w:themeColor="text1" w:themeTint="80"/>
              <w:right w:val="nil"/>
            </w:tcBorders>
            <w:shd w:val="clear" w:color="auto" w:fill="auto"/>
            <w:vAlign w:val="bottom"/>
            <w:hideMark/>
          </w:tcPr>
          <w:p w14:paraId="3909B673" w14:textId="0CD37980" w:rsidR="00F274BD" w:rsidRPr="002A34F0" w:rsidRDefault="008E11E7">
            <w:pPr>
              <w:rPr>
                <w:rFonts w:ascii="Calibri" w:hAnsi="Calibri" w:cs="Calibri"/>
                <w:color w:val="000000"/>
                <w:sz w:val="18"/>
                <w:szCs w:val="18"/>
              </w:rPr>
            </w:pPr>
            <w:bookmarkStart w:id="18" w:name="_Hlk140826236"/>
            <w:r w:rsidRPr="002A34F0">
              <w:rPr>
                <w:rFonts w:ascii="Calibri" w:hAnsi="Calibri" w:cs="Calibri"/>
                <w:b/>
                <w:bCs/>
                <w:color w:val="000000"/>
                <w:sz w:val="18"/>
                <w:szCs w:val="18"/>
              </w:rPr>
              <w:t xml:space="preserve">A. </w:t>
            </w:r>
            <w:r w:rsidR="00F274BD" w:rsidRPr="002A34F0">
              <w:rPr>
                <w:rFonts w:ascii="Calibri" w:hAnsi="Calibri" w:cs="Calibri"/>
                <w:b/>
                <w:bCs/>
                <w:color w:val="000000"/>
                <w:sz w:val="18"/>
                <w:szCs w:val="18"/>
              </w:rPr>
              <w:t>Strangers’ outcomes are closer to group outcomes</w:t>
            </w:r>
            <w:r w:rsidR="00F274BD" w:rsidRPr="002A34F0">
              <w:rPr>
                <w:rFonts w:ascii="Calibri" w:hAnsi="Calibri" w:cs="Calibri"/>
                <w:color w:val="000000"/>
                <w:sz w:val="18"/>
                <w:szCs w:val="18"/>
              </w:rPr>
              <w:t>. The poor in affluent neighbo</w:t>
            </w:r>
            <w:r w:rsidR="003A5320" w:rsidRPr="002A34F0">
              <w:rPr>
                <w:rFonts w:ascii="Calibri" w:hAnsi="Calibri" w:cs="Calibri"/>
                <w:color w:val="000000"/>
                <w:sz w:val="18"/>
                <w:szCs w:val="18"/>
              </w:rPr>
              <w:t>u</w:t>
            </w:r>
            <w:r w:rsidR="00F274BD" w:rsidRPr="002A34F0">
              <w:rPr>
                <w:rFonts w:ascii="Calibri" w:hAnsi="Calibri" w:cs="Calibri"/>
                <w:color w:val="000000"/>
                <w:sz w:val="18"/>
                <w:szCs w:val="18"/>
              </w:rPr>
              <w:t>rhoods have better outcomes; the affluent in poor neighbo</w:t>
            </w:r>
            <w:r w:rsidR="003A5320" w:rsidRPr="002A34F0">
              <w:rPr>
                <w:rFonts w:ascii="Calibri" w:hAnsi="Calibri" w:cs="Calibri"/>
                <w:color w:val="000000"/>
                <w:sz w:val="18"/>
                <w:szCs w:val="18"/>
              </w:rPr>
              <w:t>u</w:t>
            </w:r>
            <w:r w:rsidR="00F274BD" w:rsidRPr="002A34F0">
              <w:rPr>
                <w:rFonts w:ascii="Calibri" w:hAnsi="Calibri" w:cs="Calibri"/>
                <w:color w:val="000000"/>
                <w:sz w:val="18"/>
                <w:szCs w:val="18"/>
              </w:rPr>
              <w:t>rhoods have worse outcomes.</w:t>
            </w:r>
          </w:p>
        </w:tc>
      </w:tr>
      <w:bookmarkEnd w:id="18"/>
      <w:tr w:rsidR="004B5937" w:rsidRPr="002A34F0" w14:paraId="7AABAF6E" w14:textId="77777777" w:rsidTr="00F03739">
        <w:trPr>
          <w:trHeight w:val="251"/>
        </w:trPr>
        <w:tc>
          <w:tcPr>
            <w:tcW w:w="1537" w:type="dxa"/>
            <w:tcBorders>
              <w:top w:val="single" w:sz="4" w:space="0" w:color="7F7F7F" w:themeColor="text1" w:themeTint="80"/>
              <w:left w:val="nil"/>
              <w:bottom w:val="nil"/>
              <w:right w:val="nil"/>
            </w:tcBorders>
            <w:shd w:val="clear" w:color="auto" w:fill="auto"/>
            <w:noWrap/>
            <w:vAlign w:val="center"/>
            <w:hideMark/>
          </w:tcPr>
          <w:p w14:paraId="29F1A8CA" w14:textId="77777777" w:rsidR="004B5937" w:rsidRPr="002A34F0" w:rsidRDefault="004B5937" w:rsidP="004B5937">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Toilets</w:t>
            </w:r>
          </w:p>
        </w:tc>
        <w:tc>
          <w:tcPr>
            <w:tcW w:w="1109" w:type="dxa"/>
            <w:tcBorders>
              <w:top w:val="single" w:sz="4" w:space="0" w:color="7F7F7F" w:themeColor="text1" w:themeTint="80"/>
              <w:left w:val="nil"/>
              <w:bottom w:val="nil"/>
              <w:right w:val="nil"/>
            </w:tcBorders>
            <w:shd w:val="clear" w:color="000000" w:fill="E2EFDA"/>
            <w:noWrap/>
            <w:vAlign w:val="bottom"/>
            <w:hideMark/>
          </w:tcPr>
          <w:p w14:paraId="36E50A3A" w14:textId="77777777" w:rsidR="004B5937" w:rsidRPr="002A34F0" w:rsidRDefault="004B5937" w:rsidP="004B5937">
            <w:pPr>
              <w:rPr>
                <w:rFonts w:ascii="Calibri" w:hAnsi="Calibri" w:cs="Calibri"/>
                <w:color w:val="000000"/>
              </w:rPr>
            </w:pPr>
            <w:r w:rsidRPr="002A34F0">
              <w:rPr>
                <w:rFonts w:ascii="Calibri" w:hAnsi="Calibri" w:cs="Calibri"/>
                <w:color w:val="000000"/>
              </w:rPr>
              <w:t> </w:t>
            </w:r>
          </w:p>
        </w:tc>
        <w:tc>
          <w:tcPr>
            <w:tcW w:w="1774" w:type="dxa"/>
            <w:tcBorders>
              <w:top w:val="single" w:sz="4" w:space="0" w:color="7F7F7F" w:themeColor="text1" w:themeTint="80"/>
              <w:left w:val="nil"/>
              <w:bottom w:val="nil"/>
              <w:right w:val="nil"/>
            </w:tcBorders>
            <w:shd w:val="clear" w:color="auto" w:fill="CBEABE"/>
            <w:noWrap/>
            <w:vAlign w:val="bottom"/>
            <w:hideMark/>
          </w:tcPr>
          <w:p w14:paraId="0BC6196E" w14:textId="04E765C9" w:rsidR="004B5937" w:rsidRPr="002A34F0" w:rsidRDefault="004B5937" w:rsidP="004B5937">
            <w:pPr>
              <w:rPr>
                <w:rFonts w:ascii="Calibri" w:hAnsi="Calibri" w:cs="Calibri"/>
                <w:color w:val="000000"/>
              </w:rPr>
            </w:pPr>
            <w:r w:rsidRPr="002A34F0">
              <w:rPr>
                <w:rFonts w:ascii="Calibri" w:hAnsi="Calibri" w:cs="Calibri"/>
                <w:color w:val="000000"/>
              </w:rPr>
              <w:t> </w:t>
            </w:r>
          </w:p>
        </w:tc>
        <w:tc>
          <w:tcPr>
            <w:tcW w:w="1741" w:type="dxa"/>
            <w:tcBorders>
              <w:top w:val="single" w:sz="4" w:space="0" w:color="7F7F7F" w:themeColor="text1" w:themeTint="80"/>
              <w:left w:val="nil"/>
              <w:bottom w:val="nil"/>
              <w:right w:val="nil"/>
            </w:tcBorders>
            <w:shd w:val="clear" w:color="auto" w:fill="EEBDC8"/>
            <w:noWrap/>
            <w:vAlign w:val="bottom"/>
            <w:hideMark/>
          </w:tcPr>
          <w:p w14:paraId="49CA59F1" w14:textId="77777777" w:rsidR="004B5937" w:rsidRPr="002A34F0" w:rsidRDefault="004B5937" w:rsidP="004B5937">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val="restart"/>
            <w:tcBorders>
              <w:top w:val="single" w:sz="4" w:space="0" w:color="7F7F7F" w:themeColor="text1" w:themeTint="80"/>
              <w:left w:val="nil"/>
              <w:bottom w:val="nil"/>
              <w:right w:val="nil"/>
            </w:tcBorders>
            <w:shd w:val="clear" w:color="auto" w:fill="auto"/>
            <w:vAlign w:val="center"/>
            <w:hideMark/>
          </w:tcPr>
          <w:p w14:paraId="72E9493D" w14:textId="77777777" w:rsidR="004B5937" w:rsidRPr="002A34F0" w:rsidRDefault="004B5937" w:rsidP="004B5937">
            <w:pPr>
              <w:jc w:val="center"/>
              <w:rPr>
                <w:rFonts w:ascii="Calibri" w:hAnsi="Calibri" w:cs="Calibri"/>
                <w:b/>
                <w:bCs/>
                <w:color w:val="000000"/>
                <w:sz w:val="18"/>
                <w:szCs w:val="18"/>
              </w:rPr>
            </w:pPr>
            <w:r w:rsidRPr="002A34F0">
              <w:rPr>
                <w:rFonts w:ascii="Calibri" w:hAnsi="Calibri" w:cs="Calibri"/>
                <w:b/>
                <w:bCs/>
                <w:color w:val="000000"/>
                <w:sz w:val="18"/>
                <w:szCs w:val="18"/>
              </w:rPr>
              <w:t>Mixed development reduces inequality</w:t>
            </w:r>
          </w:p>
        </w:tc>
      </w:tr>
      <w:tr w:rsidR="004B5937" w:rsidRPr="002A34F0" w14:paraId="0E419A24" w14:textId="77777777" w:rsidTr="00F03739">
        <w:trPr>
          <w:trHeight w:val="251"/>
        </w:trPr>
        <w:tc>
          <w:tcPr>
            <w:tcW w:w="1537" w:type="dxa"/>
            <w:tcBorders>
              <w:top w:val="nil"/>
              <w:left w:val="nil"/>
              <w:bottom w:val="nil"/>
              <w:right w:val="nil"/>
            </w:tcBorders>
            <w:shd w:val="clear" w:color="auto" w:fill="auto"/>
            <w:noWrap/>
            <w:vAlign w:val="center"/>
            <w:hideMark/>
          </w:tcPr>
          <w:p w14:paraId="2775FBFC" w14:textId="77777777" w:rsidR="004B5937" w:rsidRPr="002A34F0" w:rsidRDefault="004B5937" w:rsidP="004B5937">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Liquid Waste</w:t>
            </w:r>
          </w:p>
        </w:tc>
        <w:tc>
          <w:tcPr>
            <w:tcW w:w="1109" w:type="dxa"/>
            <w:tcBorders>
              <w:top w:val="nil"/>
              <w:left w:val="nil"/>
              <w:bottom w:val="nil"/>
              <w:right w:val="nil"/>
            </w:tcBorders>
            <w:shd w:val="clear" w:color="000000" w:fill="E2EFDA"/>
            <w:noWrap/>
            <w:vAlign w:val="bottom"/>
            <w:hideMark/>
          </w:tcPr>
          <w:p w14:paraId="7450B11C" w14:textId="77777777" w:rsidR="004B5937" w:rsidRPr="002A34F0" w:rsidRDefault="004B5937" w:rsidP="004B5937">
            <w:pPr>
              <w:rPr>
                <w:rFonts w:ascii="Calibri" w:hAnsi="Calibri" w:cs="Calibri"/>
                <w:color w:val="000000"/>
              </w:rPr>
            </w:pPr>
            <w:r w:rsidRPr="002A34F0">
              <w:rPr>
                <w:rFonts w:ascii="Calibri" w:hAnsi="Calibri" w:cs="Calibri"/>
                <w:color w:val="000000"/>
              </w:rPr>
              <w:t> </w:t>
            </w:r>
          </w:p>
        </w:tc>
        <w:tc>
          <w:tcPr>
            <w:tcW w:w="1774" w:type="dxa"/>
            <w:tcBorders>
              <w:top w:val="nil"/>
              <w:left w:val="nil"/>
              <w:bottom w:val="nil"/>
              <w:right w:val="nil"/>
            </w:tcBorders>
            <w:shd w:val="clear" w:color="auto" w:fill="CBEABE"/>
            <w:noWrap/>
            <w:vAlign w:val="bottom"/>
            <w:hideMark/>
          </w:tcPr>
          <w:p w14:paraId="56A772B6" w14:textId="613018C1" w:rsidR="004B5937" w:rsidRPr="002A34F0" w:rsidRDefault="004B5937" w:rsidP="004B5937">
            <w:pPr>
              <w:rPr>
                <w:rFonts w:ascii="Calibri" w:hAnsi="Calibri" w:cs="Calibri"/>
                <w:color w:val="000000"/>
              </w:rPr>
            </w:pPr>
            <w:r w:rsidRPr="002A34F0">
              <w:rPr>
                <w:rFonts w:ascii="Calibri" w:hAnsi="Calibri" w:cs="Calibri"/>
                <w:color w:val="000000"/>
              </w:rPr>
              <w:t> </w:t>
            </w:r>
          </w:p>
        </w:tc>
        <w:tc>
          <w:tcPr>
            <w:tcW w:w="1741" w:type="dxa"/>
            <w:tcBorders>
              <w:top w:val="nil"/>
              <w:left w:val="nil"/>
              <w:bottom w:val="nil"/>
              <w:right w:val="nil"/>
            </w:tcBorders>
            <w:shd w:val="clear" w:color="auto" w:fill="EEBDC8"/>
            <w:noWrap/>
            <w:vAlign w:val="bottom"/>
            <w:hideMark/>
          </w:tcPr>
          <w:p w14:paraId="70E88D8D" w14:textId="77777777" w:rsidR="004B5937" w:rsidRPr="002A34F0" w:rsidRDefault="004B5937" w:rsidP="004B5937">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nil"/>
              <w:right w:val="nil"/>
            </w:tcBorders>
            <w:vAlign w:val="center"/>
            <w:hideMark/>
          </w:tcPr>
          <w:p w14:paraId="248B4778" w14:textId="77777777" w:rsidR="004B5937" w:rsidRPr="002A34F0" w:rsidRDefault="004B5937" w:rsidP="004B5937">
            <w:pPr>
              <w:rPr>
                <w:rFonts w:ascii="Calibri" w:hAnsi="Calibri" w:cs="Calibri"/>
                <w:b/>
                <w:bCs/>
                <w:color w:val="000000"/>
                <w:sz w:val="18"/>
                <w:szCs w:val="18"/>
              </w:rPr>
            </w:pPr>
          </w:p>
        </w:tc>
      </w:tr>
      <w:tr w:rsidR="004B5937" w:rsidRPr="002A34F0" w14:paraId="4D71D61C" w14:textId="77777777" w:rsidTr="00F03739">
        <w:trPr>
          <w:trHeight w:val="251"/>
        </w:trPr>
        <w:tc>
          <w:tcPr>
            <w:tcW w:w="1537" w:type="dxa"/>
            <w:tcBorders>
              <w:top w:val="nil"/>
              <w:left w:val="nil"/>
              <w:bottom w:val="nil"/>
              <w:right w:val="nil"/>
            </w:tcBorders>
            <w:shd w:val="clear" w:color="auto" w:fill="auto"/>
            <w:noWrap/>
            <w:vAlign w:val="bottom"/>
            <w:hideMark/>
          </w:tcPr>
          <w:p w14:paraId="05C31EDD" w14:textId="77777777" w:rsidR="004B5937" w:rsidRPr="002A34F0" w:rsidRDefault="004B5937" w:rsidP="004B5937">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Walls</w:t>
            </w:r>
          </w:p>
        </w:tc>
        <w:tc>
          <w:tcPr>
            <w:tcW w:w="1109" w:type="dxa"/>
            <w:tcBorders>
              <w:top w:val="nil"/>
              <w:left w:val="nil"/>
              <w:bottom w:val="nil"/>
              <w:right w:val="nil"/>
            </w:tcBorders>
            <w:shd w:val="clear" w:color="000000" w:fill="E2EFDA"/>
            <w:noWrap/>
            <w:vAlign w:val="bottom"/>
            <w:hideMark/>
          </w:tcPr>
          <w:p w14:paraId="2983B836" w14:textId="77777777" w:rsidR="004B5937" w:rsidRPr="002A34F0" w:rsidRDefault="004B5937" w:rsidP="004B5937">
            <w:pPr>
              <w:rPr>
                <w:rFonts w:ascii="Calibri" w:hAnsi="Calibri" w:cs="Calibri"/>
                <w:color w:val="000000"/>
              </w:rPr>
            </w:pPr>
            <w:r w:rsidRPr="002A34F0">
              <w:rPr>
                <w:rFonts w:ascii="Calibri" w:hAnsi="Calibri" w:cs="Calibri"/>
                <w:color w:val="000000"/>
              </w:rPr>
              <w:t> </w:t>
            </w:r>
          </w:p>
        </w:tc>
        <w:tc>
          <w:tcPr>
            <w:tcW w:w="1774" w:type="dxa"/>
            <w:tcBorders>
              <w:top w:val="nil"/>
              <w:left w:val="nil"/>
              <w:bottom w:val="nil"/>
              <w:right w:val="nil"/>
            </w:tcBorders>
            <w:shd w:val="clear" w:color="auto" w:fill="CBEABE"/>
            <w:noWrap/>
            <w:vAlign w:val="bottom"/>
            <w:hideMark/>
          </w:tcPr>
          <w:p w14:paraId="3D3EC4BC" w14:textId="65224ACB" w:rsidR="004B5937" w:rsidRPr="002A34F0" w:rsidRDefault="004B5937" w:rsidP="004B5937">
            <w:pPr>
              <w:rPr>
                <w:rFonts w:ascii="Calibri" w:hAnsi="Calibri" w:cs="Calibri"/>
                <w:color w:val="000000"/>
              </w:rPr>
            </w:pPr>
            <w:r w:rsidRPr="002A34F0">
              <w:rPr>
                <w:rFonts w:ascii="Calibri" w:hAnsi="Calibri" w:cs="Calibri"/>
                <w:color w:val="000000"/>
              </w:rPr>
              <w:t> </w:t>
            </w:r>
          </w:p>
        </w:tc>
        <w:tc>
          <w:tcPr>
            <w:tcW w:w="1741" w:type="dxa"/>
            <w:tcBorders>
              <w:top w:val="nil"/>
              <w:left w:val="nil"/>
              <w:bottom w:val="nil"/>
              <w:right w:val="nil"/>
            </w:tcBorders>
            <w:shd w:val="clear" w:color="auto" w:fill="EEBDC8"/>
            <w:noWrap/>
            <w:vAlign w:val="bottom"/>
            <w:hideMark/>
          </w:tcPr>
          <w:p w14:paraId="2C0E4753" w14:textId="77777777" w:rsidR="004B5937" w:rsidRPr="002A34F0" w:rsidRDefault="004B5937" w:rsidP="004B5937">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nil"/>
              <w:right w:val="nil"/>
            </w:tcBorders>
            <w:vAlign w:val="center"/>
            <w:hideMark/>
          </w:tcPr>
          <w:p w14:paraId="3AD30BA0" w14:textId="77777777" w:rsidR="004B5937" w:rsidRPr="002A34F0" w:rsidRDefault="004B5937" w:rsidP="004B5937">
            <w:pPr>
              <w:rPr>
                <w:rFonts w:ascii="Calibri" w:hAnsi="Calibri" w:cs="Calibri"/>
                <w:b/>
                <w:bCs/>
                <w:color w:val="000000"/>
                <w:sz w:val="18"/>
                <w:szCs w:val="18"/>
              </w:rPr>
            </w:pPr>
          </w:p>
        </w:tc>
      </w:tr>
      <w:tr w:rsidR="00F274BD" w:rsidRPr="002A34F0" w14:paraId="33A0ACA3" w14:textId="77777777" w:rsidTr="004B5937">
        <w:trPr>
          <w:trHeight w:val="228"/>
        </w:trPr>
        <w:tc>
          <w:tcPr>
            <w:tcW w:w="1537" w:type="dxa"/>
            <w:tcBorders>
              <w:top w:val="nil"/>
              <w:left w:val="nil"/>
              <w:bottom w:val="nil"/>
              <w:right w:val="nil"/>
            </w:tcBorders>
            <w:shd w:val="clear" w:color="auto" w:fill="auto"/>
            <w:noWrap/>
            <w:vAlign w:val="center"/>
            <w:hideMark/>
          </w:tcPr>
          <w:p w14:paraId="232FD9F9"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Vended water</w:t>
            </w:r>
          </w:p>
        </w:tc>
        <w:tc>
          <w:tcPr>
            <w:tcW w:w="1109" w:type="dxa"/>
            <w:tcBorders>
              <w:top w:val="nil"/>
              <w:left w:val="nil"/>
              <w:bottom w:val="nil"/>
              <w:right w:val="nil"/>
            </w:tcBorders>
            <w:shd w:val="clear" w:color="auto" w:fill="CBEABE"/>
            <w:noWrap/>
            <w:vAlign w:val="bottom"/>
            <w:hideMark/>
          </w:tcPr>
          <w:p w14:paraId="7DC9EB36"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nil"/>
              <w:left w:val="nil"/>
              <w:bottom w:val="nil"/>
              <w:right w:val="nil"/>
            </w:tcBorders>
            <w:shd w:val="clear" w:color="000000" w:fill="E2EFDA"/>
            <w:noWrap/>
            <w:vAlign w:val="bottom"/>
            <w:hideMark/>
          </w:tcPr>
          <w:p w14:paraId="46517AF1"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nil"/>
              <w:left w:val="nil"/>
              <w:bottom w:val="nil"/>
              <w:right w:val="nil"/>
            </w:tcBorders>
            <w:shd w:val="clear" w:color="000000" w:fill="FFC7CE"/>
            <w:noWrap/>
            <w:vAlign w:val="bottom"/>
            <w:hideMark/>
          </w:tcPr>
          <w:p w14:paraId="3EE64100"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nil"/>
              <w:right w:val="nil"/>
            </w:tcBorders>
            <w:vAlign w:val="center"/>
            <w:hideMark/>
          </w:tcPr>
          <w:p w14:paraId="2258617D" w14:textId="77777777" w:rsidR="00F274BD" w:rsidRPr="002A34F0" w:rsidRDefault="00F274BD">
            <w:pPr>
              <w:rPr>
                <w:rFonts w:ascii="Calibri" w:hAnsi="Calibri" w:cs="Calibri"/>
                <w:b/>
                <w:bCs/>
                <w:color w:val="000000"/>
                <w:sz w:val="18"/>
                <w:szCs w:val="18"/>
              </w:rPr>
            </w:pPr>
          </w:p>
        </w:tc>
      </w:tr>
      <w:tr w:rsidR="00F274BD" w:rsidRPr="002A34F0" w14:paraId="1E7796BE" w14:textId="77777777" w:rsidTr="004B5937">
        <w:trPr>
          <w:trHeight w:val="251"/>
        </w:trPr>
        <w:tc>
          <w:tcPr>
            <w:tcW w:w="1537" w:type="dxa"/>
            <w:tcBorders>
              <w:top w:val="nil"/>
              <w:left w:val="nil"/>
              <w:bottom w:val="nil"/>
              <w:right w:val="nil"/>
            </w:tcBorders>
            <w:shd w:val="clear" w:color="auto" w:fill="auto"/>
            <w:noWrap/>
            <w:vAlign w:val="center"/>
            <w:hideMark/>
          </w:tcPr>
          <w:p w14:paraId="360BB3D8"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Fuel</w:t>
            </w:r>
          </w:p>
        </w:tc>
        <w:tc>
          <w:tcPr>
            <w:tcW w:w="1109" w:type="dxa"/>
            <w:tcBorders>
              <w:top w:val="nil"/>
              <w:left w:val="nil"/>
              <w:bottom w:val="nil"/>
              <w:right w:val="nil"/>
            </w:tcBorders>
            <w:shd w:val="clear" w:color="auto" w:fill="CBEABE"/>
            <w:noWrap/>
            <w:vAlign w:val="bottom"/>
            <w:hideMark/>
          </w:tcPr>
          <w:p w14:paraId="79FF3C02"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nil"/>
              <w:left w:val="nil"/>
              <w:bottom w:val="nil"/>
              <w:right w:val="nil"/>
            </w:tcBorders>
            <w:shd w:val="clear" w:color="000000" w:fill="E2EFDA"/>
            <w:noWrap/>
            <w:vAlign w:val="bottom"/>
            <w:hideMark/>
          </w:tcPr>
          <w:p w14:paraId="4FAE1110"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nil"/>
              <w:left w:val="nil"/>
              <w:bottom w:val="nil"/>
              <w:right w:val="nil"/>
            </w:tcBorders>
            <w:shd w:val="clear" w:color="000000" w:fill="FFC7CE"/>
            <w:noWrap/>
            <w:vAlign w:val="bottom"/>
            <w:hideMark/>
          </w:tcPr>
          <w:p w14:paraId="63D161DC"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nil"/>
              <w:right w:val="nil"/>
            </w:tcBorders>
            <w:vAlign w:val="center"/>
            <w:hideMark/>
          </w:tcPr>
          <w:p w14:paraId="72A426F6" w14:textId="77777777" w:rsidR="00F274BD" w:rsidRPr="002A34F0" w:rsidRDefault="00F274BD">
            <w:pPr>
              <w:rPr>
                <w:rFonts w:ascii="Calibri" w:hAnsi="Calibri" w:cs="Calibri"/>
                <w:b/>
                <w:bCs/>
                <w:color w:val="000000"/>
                <w:sz w:val="18"/>
                <w:szCs w:val="18"/>
              </w:rPr>
            </w:pPr>
          </w:p>
        </w:tc>
      </w:tr>
      <w:tr w:rsidR="00F274BD" w:rsidRPr="002A34F0" w14:paraId="7BA10178" w14:textId="77777777" w:rsidTr="004B5937">
        <w:trPr>
          <w:trHeight w:val="251"/>
        </w:trPr>
        <w:tc>
          <w:tcPr>
            <w:tcW w:w="1537" w:type="dxa"/>
            <w:tcBorders>
              <w:top w:val="nil"/>
              <w:left w:val="nil"/>
              <w:bottom w:val="nil"/>
              <w:right w:val="nil"/>
            </w:tcBorders>
            <w:shd w:val="clear" w:color="auto" w:fill="auto"/>
            <w:noWrap/>
            <w:vAlign w:val="center"/>
            <w:hideMark/>
          </w:tcPr>
          <w:p w14:paraId="6CDEB5BC"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Mobiles</w:t>
            </w:r>
          </w:p>
        </w:tc>
        <w:tc>
          <w:tcPr>
            <w:tcW w:w="1109" w:type="dxa"/>
            <w:tcBorders>
              <w:top w:val="nil"/>
              <w:left w:val="nil"/>
              <w:bottom w:val="nil"/>
              <w:right w:val="nil"/>
            </w:tcBorders>
            <w:shd w:val="clear" w:color="auto" w:fill="CBEABE"/>
            <w:noWrap/>
            <w:vAlign w:val="bottom"/>
            <w:hideMark/>
          </w:tcPr>
          <w:p w14:paraId="36EEEEC6"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nil"/>
              <w:left w:val="nil"/>
              <w:bottom w:val="nil"/>
              <w:right w:val="nil"/>
            </w:tcBorders>
            <w:shd w:val="clear" w:color="000000" w:fill="E2EFDA"/>
            <w:noWrap/>
            <w:vAlign w:val="bottom"/>
            <w:hideMark/>
          </w:tcPr>
          <w:p w14:paraId="074AF6FA"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nil"/>
              <w:left w:val="nil"/>
              <w:bottom w:val="nil"/>
              <w:right w:val="nil"/>
            </w:tcBorders>
            <w:shd w:val="clear" w:color="000000" w:fill="FFC7CE"/>
            <w:noWrap/>
            <w:vAlign w:val="bottom"/>
            <w:hideMark/>
          </w:tcPr>
          <w:p w14:paraId="61F18E83"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nil"/>
              <w:right w:val="nil"/>
            </w:tcBorders>
            <w:vAlign w:val="center"/>
            <w:hideMark/>
          </w:tcPr>
          <w:p w14:paraId="0AF5328D" w14:textId="77777777" w:rsidR="00F274BD" w:rsidRPr="002A34F0" w:rsidRDefault="00F274BD">
            <w:pPr>
              <w:rPr>
                <w:rFonts w:ascii="Calibri" w:hAnsi="Calibri" w:cs="Calibri"/>
                <w:b/>
                <w:bCs/>
                <w:color w:val="000000"/>
                <w:sz w:val="18"/>
                <w:szCs w:val="18"/>
              </w:rPr>
            </w:pPr>
          </w:p>
        </w:tc>
      </w:tr>
      <w:tr w:rsidR="00F274BD" w:rsidRPr="002A34F0" w14:paraId="551CF4CF" w14:textId="77777777" w:rsidTr="004B5937">
        <w:trPr>
          <w:trHeight w:val="251"/>
        </w:trPr>
        <w:tc>
          <w:tcPr>
            <w:tcW w:w="1537" w:type="dxa"/>
            <w:tcBorders>
              <w:top w:val="nil"/>
              <w:left w:val="nil"/>
              <w:bottom w:val="nil"/>
              <w:right w:val="nil"/>
            </w:tcBorders>
            <w:shd w:val="clear" w:color="auto" w:fill="auto"/>
            <w:noWrap/>
            <w:vAlign w:val="center"/>
            <w:hideMark/>
          </w:tcPr>
          <w:p w14:paraId="6AC245E9"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Phone lines</w:t>
            </w:r>
          </w:p>
        </w:tc>
        <w:tc>
          <w:tcPr>
            <w:tcW w:w="1109" w:type="dxa"/>
            <w:tcBorders>
              <w:top w:val="nil"/>
              <w:left w:val="nil"/>
              <w:bottom w:val="nil"/>
              <w:right w:val="nil"/>
            </w:tcBorders>
            <w:shd w:val="clear" w:color="auto" w:fill="CBEABE"/>
            <w:noWrap/>
            <w:vAlign w:val="bottom"/>
            <w:hideMark/>
          </w:tcPr>
          <w:p w14:paraId="3A00FC72"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nil"/>
              <w:left w:val="nil"/>
              <w:bottom w:val="nil"/>
              <w:right w:val="nil"/>
            </w:tcBorders>
            <w:shd w:val="clear" w:color="000000" w:fill="E2EFDA"/>
            <w:noWrap/>
            <w:vAlign w:val="bottom"/>
            <w:hideMark/>
          </w:tcPr>
          <w:p w14:paraId="52E18478"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nil"/>
              <w:left w:val="nil"/>
              <w:bottom w:val="nil"/>
              <w:right w:val="nil"/>
            </w:tcBorders>
            <w:shd w:val="clear" w:color="000000" w:fill="FFC7CE"/>
            <w:noWrap/>
            <w:vAlign w:val="bottom"/>
            <w:hideMark/>
          </w:tcPr>
          <w:p w14:paraId="30A3CE61"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nil"/>
              <w:right w:val="nil"/>
            </w:tcBorders>
            <w:vAlign w:val="center"/>
            <w:hideMark/>
          </w:tcPr>
          <w:p w14:paraId="17313077" w14:textId="77777777" w:rsidR="00F274BD" w:rsidRPr="002A34F0" w:rsidRDefault="00F274BD">
            <w:pPr>
              <w:rPr>
                <w:rFonts w:ascii="Calibri" w:hAnsi="Calibri" w:cs="Calibri"/>
                <w:b/>
                <w:bCs/>
                <w:color w:val="000000"/>
                <w:sz w:val="18"/>
                <w:szCs w:val="18"/>
              </w:rPr>
            </w:pPr>
          </w:p>
        </w:tc>
      </w:tr>
      <w:tr w:rsidR="00F274BD" w:rsidRPr="002A34F0" w14:paraId="778F39C2" w14:textId="77777777" w:rsidTr="004B5937">
        <w:trPr>
          <w:trHeight w:val="251"/>
        </w:trPr>
        <w:tc>
          <w:tcPr>
            <w:tcW w:w="1537" w:type="dxa"/>
            <w:tcBorders>
              <w:top w:val="nil"/>
              <w:left w:val="nil"/>
              <w:bottom w:val="nil"/>
              <w:right w:val="nil"/>
            </w:tcBorders>
            <w:shd w:val="clear" w:color="auto" w:fill="auto"/>
            <w:noWrap/>
            <w:vAlign w:val="center"/>
            <w:hideMark/>
          </w:tcPr>
          <w:p w14:paraId="52E89026"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Desktops</w:t>
            </w:r>
          </w:p>
        </w:tc>
        <w:tc>
          <w:tcPr>
            <w:tcW w:w="1109" w:type="dxa"/>
            <w:tcBorders>
              <w:top w:val="nil"/>
              <w:left w:val="nil"/>
              <w:bottom w:val="nil"/>
              <w:right w:val="nil"/>
            </w:tcBorders>
            <w:shd w:val="clear" w:color="auto" w:fill="CBEABE"/>
            <w:noWrap/>
            <w:vAlign w:val="bottom"/>
            <w:hideMark/>
          </w:tcPr>
          <w:p w14:paraId="3EEEF1AC"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nil"/>
              <w:left w:val="nil"/>
              <w:bottom w:val="nil"/>
              <w:right w:val="nil"/>
            </w:tcBorders>
            <w:shd w:val="clear" w:color="000000" w:fill="E2EFDA"/>
            <w:noWrap/>
            <w:vAlign w:val="bottom"/>
            <w:hideMark/>
          </w:tcPr>
          <w:p w14:paraId="6FBA3497"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nil"/>
              <w:left w:val="nil"/>
              <w:bottom w:val="nil"/>
              <w:right w:val="nil"/>
            </w:tcBorders>
            <w:shd w:val="clear" w:color="000000" w:fill="FFC7CE"/>
            <w:noWrap/>
            <w:vAlign w:val="bottom"/>
            <w:hideMark/>
          </w:tcPr>
          <w:p w14:paraId="55806E47"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nil"/>
              <w:right w:val="nil"/>
            </w:tcBorders>
            <w:vAlign w:val="center"/>
            <w:hideMark/>
          </w:tcPr>
          <w:p w14:paraId="3B138983" w14:textId="77777777" w:rsidR="00F274BD" w:rsidRPr="002A34F0" w:rsidRDefault="00F274BD">
            <w:pPr>
              <w:rPr>
                <w:rFonts w:ascii="Calibri" w:hAnsi="Calibri" w:cs="Calibri"/>
                <w:b/>
                <w:bCs/>
                <w:color w:val="000000"/>
                <w:sz w:val="18"/>
                <w:szCs w:val="18"/>
              </w:rPr>
            </w:pPr>
          </w:p>
        </w:tc>
      </w:tr>
      <w:tr w:rsidR="00F274BD" w:rsidRPr="002A34F0" w14:paraId="1AB9BC9D" w14:textId="77777777" w:rsidTr="004B5937">
        <w:trPr>
          <w:trHeight w:val="251"/>
        </w:trPr>
        <w:tc>
          <w:tcPr>
            <w:tcW w:w="1537" w:type="dxa"/>
            <w:tcBorders>
              <w:top w:val="nil"/>
              <w:left w:val="nil"/>
              <w:bottom w:val="single" w:sz="4" w:space="0" w:color="auto"/>
              <w:right w:val="nil"/>
            </w:tcBorders>
            <w:shd w:val="clear" w:color="auto" w:fill="auto"/>
            <w:noWrap/>
            <w:vAlign w:val="center"/>
            <w:hideMark/>
          </w:tcPr>
          <w:p w14:paraId="4CA7B924"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Internet</w:t>
            </w:r>
          </w:p>
        </w:tc>
        <w:tc>
          <w:tcPr>
            <w:tcW w:w="1109" w:type="dxa"/>
            <w:tcBorders>
              <w:top w:val="nil"/>
              <w:left w:val="nil"/>
              <w:bottom w:val="single" w:sz="4" w:space="0" w:color="auto"/>
              <w:right w:val="nil"/>
            </w:tcBorders>
            <w:shd w:val="clear" w:color="auto" w:fill="CBEABE"/>
            <w:noWrap/>
            <w:vAlign w:val="bottom"/>
            <w:hideMark/>
          </w:tcPr>
          <w:p w14:paraId="5976890C"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nil"/>
              <w:left w:val="nil"/>
              <w:bottom w:val="single" w:sz="4" w:space="0" w:color="auto"/>
              <w:right w:val="nil"/>
            </w:tcBorders>
            <w:shd w:val="clear" w:color="000000" w:fill="E2EFDA"/>
            <w:noWrap/>
            <w:vAlign w:val="bottom"/>
            <w:hideMark/>
          </w:tcPr>
          <w:p w14:paraId="33746B93"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nil"/>
              <w:left w:val="nil"/>
              <w:bottom w:val="single" w:sz="4" w:space="0" w:color="auto"/>
              <w:right w:val="nil"/>
            </w:tcBorders>
            <w:shd w:val="clear" w:color="000000" w:fill="FFC7CE"/>
            <w:noWrap/>
            <w:vAlign w:val="bottom"/>
            <w:hideMark/>
          </w:tcPr>
          <w:p w14:paraId="144FB48E"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single" w:sz="4" w:space="0" w:color="auto"/>
              <w:right w:val="nil"/>
            </w:tcBorders>
            <w:vAlign w:val="center"/>
            <w:hideMark/>
          </w:tcPr>
          <w:p w14:paraId="50CE705F" w14:textId="77777777" w:rsidR="00F274BD" w:rsidRPr="002A34F0" w:rsidRDefault="00F274BD">
            <w:pPr>
              <w:rPr>
                <w:rFonts w:ascii="Calibri" w:hAnsi="Calibri" w:cs="Calibri"/>
                <w:b/>
                <w:bCs/>
                <w:color w:val="000000"/>
                <w:sz w:val="18"/>
                <w:szCs w:val="18"/>
              </w:rPr>
            </w:pPr>
          </w:p>
        </w:tc>
      </w:tr>
      <w:tr w:rsidR="00F274BD" w:rsidRPr="002A34F0" w14:paraId="3885F5C1" w14:textId="77777777" w:rsidTr="00F274BD">
        <w:trPr>
          <w:trHeight w:val="409"/>
        </w:trPr>
        <w:tc>
          <w:tcPr>
            <w:tcW w:w="8240" w:type="dxa"/>
            <w:gridSpan w:val="5"/>
            <w:tcBorders>
              <w:top w:val="single" w:sz="4" w:space="0" w:color="auto"/>
              <w:left w:val="nil"/>
              <w:bottom w:val="single" w:sz="4" w:space="0" w:color="7F7F7F" w:themeColor="text1" w:themeTint="80"/>
              <w:right w:val="nil"/>
            </w:tcBorders>
            <w:shd w:val="clear" w:color="auto" w:fill="auto"/>
            <w:hideMark/>
          </w:tcPr>
          <w:p w14:paraId="62858D2D" w14:textId="1B33D6D2" w:rsidR="00F274BD" w:rsidRPr="002A34F0" w:rsidRDefault="008E11E7">
            <w:pPr>
              <w:rPr>
                <w:rFonts w:ascii="Calibri" w:hAnsi="Calibri" w:cs="Calibri"/>
                <w:color w:val="000000"/>
                <w:sz w:val="18"/>
                <w:szCs w:val="18"/>
              </w:rPr>
            </w:pPr>
            <w:bookmarkStart w:id="19" w:name="_Hlk140826239"/>
            <w:r w:rsidRPr="002A34F0">
              <w:rPr>
                <w:rFonts w:ascii="Calibri" w:hAnsi="Calibri" w:cs="Calibri"/>
                <w:b/>
                <w:bCs/>
                <w:color w:val="000000"/>
                <w:sz w:val="18"/>
                <w:szCs w:val="18"/>
              </w:rPr>
              <w:t xml:space="preserve">B. </w:t>
            </w:r>
            <w:r w:rsidR="00F274BD" w:rsidRPr="002A34F0">
              <w:rPr>
                <w:rFonts w:ascii="Calibri" w:hAnsi="Calibri" w:cs="Calibri"/>
                <w:b/>
                <w:bCs/>
                <w:color w:val="000000"/>
                <w:sz w:val="18"/>
                <w:szCs w:val="18"/>
              </w:rPr>
              <w:t>Marginalization exacerbated</w:t>
            </w:r>
            <w:r w:rsidR="00F274BD" w:rsidRPr="002A34F0">
              <w:rPr>
                <w:rFonts w:ascii="Calibri" w:hAnsi="Calibri" w:cs="Calibri"/>
                <w:color w:val="000000"/>
                <w:sz w:val="18"/>
                <w:szCs w:val="18"/>
              </w:rPr>
              <w:t>. The poor in affluent neighbo</w:t>
            </w:r>
            <w:r w:rsidR="003A5320" w:rsidRPr="002A34F0">
              <w:rPr>
                <w:rFonts w:ascii="Calibri" w:hAnsi="Calibri" w:cs="Calibri"/>
                <w:color w:val="000000"/>
                <w:sz w:val="18"/>
                <w:szCs w:val="18"/>
              </w:rPr>
              <w:t>u</w:t>
            </w:r>
            <w:r w:rsidR="00F274BD" w:rsidRPr="002A34F0">
              <w:rPr>
                <w:rFonts w:ascii="Calibri" w:hAnsi="Calibri" w:cs="Calibri"/>
                <w:color w:val="000000"/>
                <w:sz w:val="18"/>
                <w:szCs w:val="18"/>
              </w:rPr>
              <w:t>rhoods have worse outcomes; the affluent in poor neighbo</w:t>
            </w:r>
            <w:r w:rsidR="003A5320" w:rsidRPr="002A34F0">
              <w:rPr>
                <w:rFonts w:ascii="Calibri" w:hAnsi="Calibri" w:cs="Calibri"/>
                <w:color w:val="000000"/>
                <w:sz w:val="18"/>
                <w:szCs w:val="18"/>
              </w:rPr>
              <w:t>u</w:t>
            </w:r>
            <w:r w:rsidR="00F274BD" w:rsidRPr="002A34F0">
              <w:rPr>
                <w:rFonts w:ascii="Calibri" w:hAnsi="Calibri" w:cs="Calibri"/>
                <w:color w:val="000000"/>
                <w:sz w:val="18"/>
                <w:szCs w:val="18"/>
              </w:rPr>
              <w:t>rhoods have better outcomes.</w:t>
            </w:r>
          </w:p>
        </w:tc>
      </w:tr>
      <w:bookmarkEnd w:id="19"/>
      <w:tr w:rsidR="00F274BD" w:rsidRPr="002A34F0" w14:paraId="785CA140" w14:textId="77777777" w:rsidTr="004B5937">
        <w:trPr>
          <w:trHeight w:val="251"/>
        </w:trPr>
        <w:tc>
          <w:tcPr>
            <w:tcW w:w="1537" w:type="dxa"/>
            <w:tcBorders>
              <w:top w:val="single" w:sz="4" w:space="0" w:color="7F7F7F" w:themeColor="text1" w:themeTint="80"/>
              <w:left w:val="nil"/>
              <w:bottom w:val="nil"/>
              <w:right w:val="nil"/>
            </w:tcBorders>
            <w:shd w:val="clear" w:color="auto" w:fill="auto"/>
            <w:noWrap/>
            <w:vAlign w:val="bottom"/>
            <w:hideMark/>
          </w:tcPr>
          <w:p w14:paraId="0631B101"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Floors</w:t>
            </w:r>
          </w:p>
        </w:tc>
        <w:tc>
          <w:tcPr>
            <w:tcW w:w="1109" w:type="dxa"/>
            <w:tcBorders>
              <w:top w:val="single" w:sz="4" w:space="0" w:color="7F7F7F" w:themeColor="text1" w:themeTint="80"/>
              <w:left w:val="nil"/>
              <w:bottom w:val="nil"/>
              <w:right w:val="nil"/>
            </w:tcBorders>
            <w:shd w:val="clear" w:color="auto" w:fill="CBEABE"/>
            <w:noWrap/>
            <w:vAlign w:val="bottom"/>
            <w:hideMark/>
          </w:tcPr>
          <w:p w14:paraId="3B601635"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single" w:sz="4" w:space="0" w:color="7F7F7F" w:themeColor="text1" w:themeTint="80"/>
              <w:left w:val="nil"/>
              <w:bottom w:val="nil"/>
              <w:right w:val="nil"/>
            </w:tcBorders>
            <w:shd w:val="clear" w:color="000000" w:fill="FFC7CE"/>
            <w:noWrap/>
            <w:vAlign w:val="bottom"/>
            <w:hideMark/>
          </w:tcPr>
          <w:p w14:paraId="7040B47C"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1741" w:type="dxa"/>
            <w:tcBorders>
              <w:top w:val="single" w:sz="4" w:space="0" w:color="7F7F7F" w:themeColor="text1" w:themeTint="80"/>
              <w:left w:val="nil"/>
              <w:bottom w:val="nil"/>
              <w:right w:val="nil"/>
            </w:tcBorders>
            <w:shd w:val="clear" w:color="000000" w:fill="E2EFDA"/>
            <w:noWrap/>
            <w:vAlign w:val="bottom"/>
            <w:hideMark/>
          </w:tcPr>
          <w:p w14:paraId="7D58F2F4"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2079" w:type="dxa"/>
            <w:vMerge w:val="restart"/>
            <w:tcBorders>
              <w:top w:val="single" w:sz="4" w:space="0" w:color="7F7F7F" w:themeColor="text1" w:themeTint="80"/>
              <w:left w:val="nil"/>
              <w:bottom w:val="nil"/>
              <w:right w:val="nil"/>
            </w:tcBorders>
            <w:shd w:val="clear" w:color="auto" w:fill="auto"/>
            <w:vAlign w:val="center"/>
            <w:hideMark/>
          </w:tcPr>
          <w:p w14:paraId="586D68DC" w14:textId="77777777" w:rsidR="00F274BD" w:rsidRPr="002A34F0" w:rsidRDefault="00F274BD">
            <w:pPr>
              <w:jc w:val="center"/>
              <w:rPr>
                <w:rFonts w:ascii="Calibri" w:hAnsi="Calibri" w:cs="Calibri"/>
                <w:b/>
                <w:bCs/>
                <w:color w:val="000000"/>
                <w:sz w:val="18"/>
                <w:szCs w:val="18"/>
              </w:rPr>
            </w:pPr>
            <w:r w:rsidRPr="002A34F0">
              <w:rPr>
                <w:rFonts w:ascii="Calibri" w:hAnsi="Calibri" w:cs="Calibri"/>
                <w:b/>
                <w:bCs/>
                <w:color w:val="000000"/>
                <w:sz w:val="18"/>
                <w:szCs w:val="18"/>
              </w:rPr>
              <w:t>Mixed development exacerbates inequality</w:t>
            </w:r>
          </w:p>
        </w:tc>
      </w:tr>
      <w:tr w:rsidR="00F274BD" w:rsidRPr="002A34F0" w14:paraId="11783A7A" w14:textId="77777777" w:rsidTr="00F03739">
        <w:trPr>
          <w:trHeight w:val="251"/>
        </w:trPr>
        <w:tc>
          <w:tcPr>
            <w:tcW w:w="1537" w:type="dxa"/>
            <w:tcBorders>
              <w:top w:val="nil"/>
              <w:left w:val="nil"/>
              <w:bottom w:val="single" w:sz="4" w:space="0" w:color="auto"/>
              <w:right w:val="nil"/>
            </w:tcBorders>
            <w:shd w:val="clear" w:color="auto" w:fill="auto"/>
            <w:noWrap/>
            <w:vAlign w:val="center"/>
            <w:hideMark/>
          </w:tcPr>
          <w:p w14:paraId="14A31295"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Piped Water</w:t>
            </w:r>
          </w:p>
        </w:tc>
        <w:tc>
          <w:tcPr>
            <w:tcW w:w="1109" w:type="dxa"/>
            <w:tcBorders>
              <w:top w:val="nil"/>
              <w:left w:val="nil"/>
              <w:bottom w:val="single" w:sz="4" w:space="0" w:color="auto"/>
              <w:right w:val="nil"/>
            </w:tcBorders>
            <w:shd w:val="clear" w:color="auto" w:fill="EEBDC8"/>
            <w:noWrap/>
            <w:vAlign w:val="bottom"/>
            <w:hideMark/>
          </w:tcPr>
          <w:p w14:paraId="4F0C9B32"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1774" w:type="dxa"/>
            <w:tcBorders>
              <w:top w:val="nil"/>
              <w:left w:val="nil"/>
              <w:bottom w:val="single" w:sz="4" w:space="0" w:color="auto"/>
              <w:right w:val="nil"/>
            </w:tcBorders>
            <w:shd w:val="clear" w:color="auto" w:fill="FFC7CE"/>
            <w:noWrap/>
            <w:vAlign w:val="bottom"/>
            <w:hideMark/>
          </w:tcPr>
          <w:p w14:paraId="31AAA86E"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1741" w:type="dxa"/>
            <w:tcBorders>
              <w:top w:val="nil"/>
              <w:left w:val="nil"/>
              <w:bottom w:val="single" w:sz="4" w:space="0" w:color="auto"/>
              <w:right w:val="nil"/>
            </w:tcBorders>
            <w:shd w:val="clear" w:color="000000" w:fill="E2EFDA"/>
            <w:noWrap/>
            <w:vAlign w:val="bottom"/>
            <w:hideMark/>
          </w:tcPr>
          <w:p w14:paraId="7B0C4093"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2079" w:type="dxa"/>
            <w:vMerge/>
            <w:tcBorders>
              <w:top w:val="nil"/>
              <w:left w:val="nil"/>
              <w:bottom w:val="nil"/>
              <w:right w:val="nil"/>
            </w:tcBorders>
            <w:vAlign w:val="center"/>
            <w:hideMark/>
          </w:tcPr>
          <w:p w14:paraId="20164595" w14:textId="77777777" w:rsidR="00F274BD" w:rsidRPr="002A34F0" w:rsidRDefault="00F274BD">
            <w:pPr>
              <w:rPr>
                <w:rFonts w:ascii="Calibri" w:hAnsi="Calibri" w:cs="Calibri"/>
                <w:b/>
                <w:bCs/>
                <w:color w:val="000000"/>
                <w:sz w:val="18"/>
                <w:szCs w:val="18"/>
              </w:rPr>
            </w:pPr>
          </w:p>
        </w:tc>
      </w:tr>
      <w:tr w:rsidR="00F274BD" w:rsidRPr="002A34F0" w14:paraId="4E424427" w14:textId="77777777" w:rsidTr="00F274BD">
        <w:trPr>
          <w:trHeight w:val="236"/>
        </w:trPr>
        <w:tc>
          <w:tcPr>
            <w:tcW w:w="8240" w:type="dxa"/>
            <w:gridSpan w:val="5"/>
            <w:tcBorders>
              <w:top w:val="single" w:sz="4" w:space="0" w:color="auto"/>
              <w:left w:val="nil"/>
              <w:bottom w:val="single" w:sz="4" w:space="0" w:color="7F7F7F" w:themeColor="text1" w:themeTint="80"/>
              <w:right w:val="nil"/>
            </w:tcBorders>
            <w:shd w:val="clear" w:color="auto" w:fill="auto"/>
            <w:hideMark/>
          </w:tcPr>
          <w:p w14:paraId="4C680986" w14:textId="463C43AE" w:rsidR="00F274BD" w:rsidRPr="002A34F0" w:rsidRDefault="008E11E7">
            <w:pPr>
              <w:rPr>
                <w:rFonts w:ascii="Calibri" w:hAnsi="Calibri" w:cs="Calibri"/>
                <w:color w:val="000000"/>
                <w:sz w:val="18"/>
                <w:szCs w:val="18"/>
              </w:rPr>
            </w:pPr>
            <w:bookmarkStart w:id="20" w:name="_Hlk140826243"/>
            <w:r w:rsidRPr="002A34F0">
              <w:rPr>
                <w:rFonts w:ascii="Calibri" w:hAnsi="Calibri" w:cs="Calibri"/>
                <w:b/>
                <w:bCs/>
                <w:color w:val="000000"/>
                <w:sz w:val="18"/>
                <w:szCs w:val="18"/>
              </w:rPr>
              <w:t xml:space="preserve">C. </w:t>
            </w:r>
            <w:r w:rsidR="00F274BD" w:rsidRPr="002A34F0">
              <w:rPr>
                <w:rFonts w:ascii="Calibri" w:hAnsi="Calibri" w:cs="Calibri"/>
                <w:b/>
                <w:bCs/>
                <w:color w:val="000000"/>
                <w:sz w:val="18"/>
                <w:szCs w:val="18"/>
              </w:rPr>
              <w:t>Stranger disadvantage</w:t>
            </w:r>
            <w:r w:rsidR="00F274BD" w:rsidRPr="002A34F0">
              <w:rPr>
                <w:rFonts w:ascii="Calibri" w:hAnsi="Calibri" w:cs="Calibri"/>
                <w:color w:val="000000"/>
                <w:sz w:val="18"/>
                <w:szCs w:val="18"/>
              </w:rPr>
              <w:t>. Strangers do worse (or no better) in stranger neighbo</w:t>
            </w:r>
            <w:r w:rsidR="003A5320" w:rsidRPr="002A34F0">
              <w:rPr>
                <w:rFonts w:ascii="Calibri" w:hAnsi="Calibri" w:cs="Calibri"/>
                <w:color w:val="000000"/>
                <w:sz w:val="18"/>
                <w:szCs w:val="18"/>
              </w:rPr>
              <w:t>u</w:t>
            </w:r>
            <w:r w:rsidR="00F274BD" w:rsidRPr="002A34F0">
              <w:rPr>
                <w:rFonts w:ascii="Calibri" w:hAnsi="Calibri" w:cs="Calibri"/>
                <w:color w:val="000000"/>
                <w:sz w:val="18"/>
                <w:szCs w:val="18"/>
              </w:rPr>
              <w:t xml:space="preserve">rhoods. </w:t>
            </w:r>
          </w:p>
        </w:tc>
      </w:tr>
      <w:bookmarkEnd w:id="20"/>
      <w:tr w:rsidR="00F274BD" w:rsidRPr="002A34F0" w14:paraId="163DC287" w14:textId="77777777" w:rsidTr="00F047F5">
        <w:trPr>
          <w:trHeight w:val="228"/>
        </w:trPr>
        <w:tc>
          <w:tcPr>
            <w:tcW w:w="1537" w:type="dxa"/>
            <w:tcBorders>
              <w:top w:val="single" w:sz="4" w:space="0" w:color="7F7F7F" w:themeColor="text1" w:themeTint="80"/>
              <w:left w:val="nil"/>
              <w:bottom w:val="nil"/>
              <w:right w:val="nil"/>
            </w:tcBorders>
            <w:shd w:val="clear" w:color="auto" w:fill="auto"/>
            <w:noWrap/>
            <w:vAlign w:val="bottom"/>
            <w:hideMark/>
          </w:tcPr>
          <w:p w14:paraId="5F3D6A47"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Dwelling</w:t>
            </w:r>
          </w:p>
        </w:tc>
        <w:tc>
          <w:tcPr>
            <w:tcW w:w="1109" w:type="dxa"/>
            <w:tcBorders>
              <w:top w:val="single" w:sz="4" w:space="0" w:color="7F7F7F" w:themeColor="text1" w:themeTint="80"/>
              <w:left w:val="nil"/>
              <w:bottom w:val="nil"/>
              <w:right w:val="nil"/>
            </w:tcBorders>
            <w:shd w:val="clear" w:color="auto" w:fill="CBEABE"/>
            <w:noWrap/>
            <w:vAlign w:val="bottom"/>
            <w:hideMark/>
          </w:tcPr>
          <w:p w14:paraId="52230507"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single" w:sz="4" w:space="0" w:color="7F7F7F" w:themeColor="text1" w:themeTint="80"/>
              <w:left w:val="nil"/>
              <w:bottom w:val="nil"/>
              <w:right w:val="nil"/>
            </w:tcBorders>
            <w:shd w:val="clear" w:color="auto" w:fill="FFC7CE"/>
            <w:noWrap/>
            <w:vAlign w:val="bottom"/>
            <w:hideMark/>
          </w:tcPr>
          <w:p w14:paraId="2484B237"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single" w:sz="4" w:space="0" w:color="7F7F7F" w:themeColor="text1" w:themeTint="80"/>
              <w:left w:val="nil"/>
              <w:bottom w:val="nil"/>
              <w:right w:val="nil"/>
            </w:tcBorders>
            <w:shd w:val="clear" w:color="000000" w:fill="FFC7CE"/>
            <w:noWrap/>
            <w:vAlign w:val="bottom"/>
            <w:hideMark/>
          </w:tcPr>
          <w:p w14:paraId="11B5A533"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val="restart"/>
            <w:tcBorders>
              <w:top w:val="single" w:sz="4" w:space="0" w:color="7F7F7F" w:themeColor="text1" w:themeTint="80"/>
              <w:left w:val="nil"/>
              <w:bottom w:val="nil"/>
              <w:right w:val="nil"/>
            </w:tcBorders>
            <w:shd w:val="clear" w:color="auto" w:fill="auto"/>
            <w:vAlign w:val="center"/>
            <w:hideMark/>
          </w:tcPr>
          <w:p w14:paraId="008F585E" w14:textId="77777777" w:rsidR="00F274BD" w:rsidRPr="002A34F0" w:rsidRDefault="00F274BD">
            <w:pPr>
              <w:jc w:val="center"/>
              <w:rPr>
                <w:rFonts w:ascii="Calibri" w:hAnsi="Calibri" w:cs="Calibri"/>
                <w:b/>
                <w:bCs/>
                <w:color w:val="000000"/>
                <w:sz w:val="18"/>
                <w:szCs w:val="18"/>
              </w:rPr>
            </w:pPr>
            <w:r w:rsidRPr="002A34F0">
              <w:rPr>
                <w:rFonts w:ascii="Calibri" w:hAnsi="Calibri" w:cs="Calibri"/>
                <w:b/>
                <w:bCs/>
                <w:color w:val="000000"/>
                <w:sz w:val="18"/>
                <w:szCs w:val="18"/>
              </w:rPr>
              <w:t>Mixed development makes all worse off (only hh income matters)</w:t>
            </w:r>
          </w:p>
        </w:tc>
      </w:tr>
      <w:tr w:rsidR="00F274BD" w:rsidRPr="002A34F0" w14:paraId="1D5D3DF8" w14:textId="77777777" w:rsidTr="00F047F5">
        <w:trPr>
          <w:trHeight w:val="251"/>
        </w:trPr>
        <w:tc>
          <w:tcPr>
            <w:tcW w:w="1537" w:type="dxa"/>
            <w:tcBorders>
              <w:top w:val="nil"/>
              <w:left w:val="nil"/>
              <w:bottom w:val="nil"/>
              <w:right w:val="nil"/>
            </w:tcBorders>
            <w:shd w:val="clear" w:color="auto" w:fill="auto"/>
            <w:noWrap/>
            <w:vAlign w:val="center"/>
            <w:hideMark/>
          </w:tcPr>
          <w:p w14:paraId="5A5C673F"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Lighting</w:t>
            </w:r>
          </w:p>
        </w:tc>
        <w:tc>
          <w:tcPr>
            <w:tcW w:w="1109" w:type="dxa"/>
            <w:tcBorders>
              <w:top w:val="nil"/>
              <w:left w:val="nil"/>
              <w:bottom w:val="nil"/>
              <w:right w:val="nil"/>
            </w:tcBorders>
            <w:shd w:val="clear" w:color="auto" w:fill="CBEABE"/>
            <w:noWrap/>
            <w:vAlign w:val="bottom"/>
            <w:hideMark/>
          </w:tcPr>
          <w:p w14:paraId="25F1B5B1"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nil"/>
              <w:left w:val="nil"/>
              <w:bottom w:val="nil"/>
              <w:right w:val="nil"/>
            </w:tcBorders>
            <w:shd w:val="clear" w:color="auto" w:fill="FFC7CE"/>
            <w:noWrap/>
            <w:vAlign w:val="bottom"/>
            <w:hideMark/>
          </w:tcPr>
          <w:p w14:paraId="44D40258"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nil"/>
              <w:left w:val="nil"/>
              <w:bottom w:val="nil"/>
              <w:right w:val="nil"/>
            </w:tcBorders>
            <w:shd w:val="clear" w:color="000000" w:fill="FFC7CE"/>
            <w:noWrap/>
            <w:vAlign w:val="bottom"/>
            <w:hideMark/>
          </w:tcPr>
          <w:p w14:paraId="146AC8E8" w14:textId="77777777" w:rsidR="00F274BD" w:rsidRPr="002A34F0" w:rsidRDefault="00F274BD">
            <w:pPr>
              <w:rPr>
                <w:rFonts w:ascii="Calibri" w:hAnsi="Calibri" w:cs="Calibri"/>
                <w:color w:val="9C0006"/>
                <w:sz w:val="18"/>
                <w:szCs w:val="18"/>
              </w:rPr>
            </w:pPr>
            <w:r w:rsidRPr="002A34F0">
              <w:rPr>
                <w:rFonts w:ascii="Calibri" w:hAnsi="Calibri" w:cs="Calibri"/>
                <w:color w:val="9C0006"/>
                <w:sz w:val="18"/>
                <w:szCs w:val="18"/>
              </w:rPr>
              <w:t> </w:t>
            </w:r>
          </w:p>
        </w:tc>
        <w:tc>
          <w:tcPr>
            <w:tcW w:w="2079" w:type="dxa"/>
            <w:vMerge/>
            <w:tcBorders>
              <w:top w:val="nil"/>
              <w:left w:val="nil"/>
              <w:bottom w:val="nil"/>
              <w:right w:val="nil"/>
            </w:tcBorders>
            <w:vAlign w:val="center"/>
            <w:hideMark/>
          </w:tcPr>
          <w:p w14:paraId="5FAA2513" w14:textId="77777777" w:rsidR="00F274BD" w:rsidRPr="002A34F0" w:rsidRDefault="00F274BD">
            <w:pPr>
              <w:rPr>
                <w:rFonts w:ascii="Calibri" w:hAnsi="Calibri" w:cs="Calibri"/>
                <w:b/>
                <w:bCs/>
                <w:color w:val="000000"/>
                <w:sz w:val="18"/>
                <w:szCs w:val="18"/>
              </w:rPr>
            </w:pPr>
          </w:p>
        </w:tc>
      </w:tr>
      <w:tr w:rsidR="00F274BD" w:rsidRPr="002A34F0" w14:paraId="770A9BDB" w14:textId="77777777" w:rsidTr="00F047F5">
        <w:trPr>
          <w:trHeight w:val="251"/>
        </w:trPr>
        <w:tc>
          <w:tcPr>
            <w:tcW w:w="1537" w:type="dxa"/>
            <w:tcBorders>
              <w:top w:val="nil"/>
              <w:left w:val="nil"/>
              <w:bottom w:val="single" w:sz="4" w:space="0" w:color="auto"/>
              <w:right w:val="nil"/>
            </w:tcBorders>
            <w:shd w:val="clear" w:color="auto" w:fill="auto"/>
            <w:noWrap/>
            <w:vAlign w:val="center"/>
            <w:hideMark/>
          </w:tcPr>
          <w:p w14:paraId="1D1F146F"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Solid Waste</w:t>
            </w:r>
          </w:p>
        </w:tc>
        <w:tc>
          <w:tcPr>
            <w:tcW w:w="1109" w:type="dxa"/>
            <w:tcBorders>
              <w:top w:val="nil"/>
              <w:left w:val="nil"/>
              <w:bottom w:val="single" w:sz="4" w:space="0" w:color="auto"/>
              <w:right w:val="nil"/>
            </w:tcBorders>
            <w:shd w:val="clear" w:color="auto" w:fill="CBEABE"/>
            <w:noWrap/>
            <w:vAlign w:val="bottom"/>
            <w:hideMark/>
          </w:tcPr>
          <w:p w14:paraId="4C5FA8C9"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74" w:type="dxa"/>
            <w:tcBorders>
              <w:top w:val="nil"/>
              <w:left w:val="nil"/>
              <w:bottom w:val="single" w:sz="4" w:space="0" w:color="auto"/>
              <w:right w:val="nil"/>
            </w:tcBorders>
            <w:shd w:val="clear" w:color="auto" w:fill="FFC7CE"/>
            <w:noWrap/>
            <w:vAlign w:val="bottom"/>
            <w:hideMark/>
          </w:tcPr>
          <w:p w14:paraId="0CDB0548" w14:textId="77777777" w:rsidR="00F274BD" w:rsidRPr="002A34F0" w:rsidRDefault="00F274BD">
            <w:pPr>
              <w:rPr>
                <w:rFonts w:ascii="Calibri" w:hAnsi="Calibri" w:cs="Calibri"/>
                <w:color w:val="000000"/>
              </w:rPr>
            </w:pPr>
            <w:r w:rsidRPr="002A34F0">
              <w:rPr>
                <w:rFonts w:ascii="Calibri" w:hAnsi="Calibri" w:cs="Calibri"/>
                <w:color w:val="000000"/>
              </w:rPr>
              <w:t> </w:t>
            </w:r>
          </w:p>
        </w:tc>
        <w:tc>
          <w:tcPr>
            <w:tcW w:w="1741" w:type="dxa"/>
            <w:tcBorders>
              <w:top w:val="nil"/>
              <w:left w:val="nil"/>
              <w:bottom w:val="single" w:sz="4" w:space="0" w:color="auto"/>
              <w:right w:val="nil"/>
            </w:tcBorders>
            <w:shd w:val="clear" w:color="auto" w:fill="BFBFBF" w:themeFill="background1" w:themeFillShade="BF"/>
            <w:noWrap/>
            <w:vAlign w:val="bottom"/>
            <w:hideMark/>
          </w:tcPr>
          <w:p w14:paraId="496661F7" w14:textId="77777777" w:rsidR="00F274BD" w:rsidRPr="002A34F0" w:rsidRDefault="00F274BD">
            <w:pPr>
              <w:rPr>
                <w:rFonts w:ascii="Calibri" w:hAnsi="Calibri" w:cs="Calibri"/>
                <w:color w:val="000000"/>
                <w:sz w:val="18"/>
                <w:szCs w:val="18"/>
              </w:rPr>
            </w:pPr>
            <w:r w:rsidRPr="002A34F0">
              <w:rPr>
                <w:rFonts w:ascii="Calibri" w:hAnsi="Calibri" w:cs="Calibri"/>
                <w:color w:val="000000"/>
                <w:sz w:val="18"/>
                <w:szCs w:val="18"/>
              </w:rPr>
              <w:t> </w:t>
            </w:r>
          </w:p>
        </w:tc>
        <w:tc>
          <w:tcPr>
            <w:tcW w:w="2079" w:type="dxa"/>
            <w:vMerge/>
            <w:tcBorders>
              <w:top w:val="nil"/>
              <w:left w:val="nil"/>
              <w:bottom w:val="nil"/>
              <w:right w:val="nil"/>
            </w:tcBorders>
            <w:vAlign w:val="center"/>
            <w:hideMark/>
          </w:tcPr>
          <w:p w14:paraId="77C90D27" w14:textId="77777777" w:rsidR="00F274BD" w:rsidRPr="002A34F0" w:rsidRDefault="00F274BD">
            <w:pPr>
              <w:rPr>
                <w:rFonts w:ascii="Calibri" w:hAnsi="Calibri" w:cs="Calibri"/>
                <w:b/>
                <w:bCs/>
                <w:color w:val="000000"/>
                <w:sz w:val="18"/>
                <w:szCs w:val="18"/>
              </w:rPr>
            </w:pPr>
          </w:p>
        </w:tc>
      </w:tr>
      <w:tr w:rsidR="00F274BD" w:rsidRPr="002A34F0" w14:paraId="39D99C1A" w14:textId="77777777" w:rsidTr="00F274BD">
        <w:trPr>
          <w:trHeight w:val="236"/>
        </w:trPr>
        <w:tc>
          <w:tcPr>
            <w:tcW w:w="8240" w:type="dxa"/>
            <w:gridSpan w:val="5"/>
            <w:tcBorders>
              <w:top w:val="single" w:sz="4" w:space="0" w:color="auto"/>
              <w:left w:val="nil"/>
              <w:bottom w:val="nil"/>
              <w:right w:val="nil"/>
            </w:tcBorders>
            <w:shd w:val="clear" w:color="auto" w:fill="auto"/>
            <w:hideMark/>
          </w:tcPr>
          <w:p w14:paraId="6D0A2927" w14:textId="60D9A13B" w:rsidR="00F274BD" w:rsidRPr="002A34F0" w:rsidRDefault="008E11E7">
            <w:pPr>
              <w:rPr>
                <w:rFonts w:ascii="Calibri" w:hAnsi="Calibri" w:cs="Calibri"/>
                <w:color w:val="000000"/>
                <w:sz w:val="18"/>
                <w:szCs w:val="18"/>
              </w:rPr>
            </w:pPr>
            <w:bookmarkStart w:id="21" w:name="_Hlk140826488"/>
            <w:r w:rsidRPr="002A34F0">
              <w:rPr>
                <w:rFonts w:ascii="Calibri" w:hAnsi="Calibri" w:cs="Calibri"/>
                <w:b/>
                <w:bCs/>
                <w:color w:val="000000"/>
                <w:sz w:val="18"/>
                <w:szCs w:val="18"/>
              </w:rPr>
              <w:t xml:space="preserve">D. </w:t>
            </w:r>
            <w:r w:rsidR="00F274BD" w:rsidRPr="002A34F0">
              <w:rPr>
                <w:rFonts w:ascii="Calibri" w:hAnsi="Calibri" w:cs="Calibri"/>
                <w:b/>
                <w:bCs/>
                <w:color w:val="000000"/>
                <w:sz w:val="18"/>
                <w:szCs w:val="18"/>
              </w:rPr>
              <w:t>No relation</w:t>
            </w:r>
            <w:r w:rsidR="00F274BD" w:rsidRPr="002A34F0">
              <w:rPr>
                <w:rFonts w:ascii="Calibri" w:hAnsi="Calibri" w:cs="Calibri"/>
                <w:color w:val="000000"/>
                <w:sz w:val="18"/>
                <w:szCs w:val="18"/>
              </w:rPr>
              <w:t>. SES and neighbo</w:t>
            </w:r>
            <w:r w:rsidR="003A5320" w:rsidRPr="002A34F0">
              <w:rPr>
                <w:rFonts w:ascii="Calibri" w:hAnsi="Calibri" w:cs="Calibri"/>
                <w:color w:val="000000"/>
                <w:sz w:val="18"/>
                <w:szCs w:val="18"/>
              </w:rPr>
              <w:t>u</w:t>
            </w:r>
            <w:r w:rsidR="00F274BD" w:rsidRPr="002A34F0">
              <w:rPr>
                <w:rFonts w:ascii="Calibri" w:hAnsi="Calibri" w:cs="Calibri"/>
                <w:color w:val="000000"/>
                <w:sz w:val="18"/>
                <w:szCs w:val="18"/>
              </w:rPr>
              <w:t>rhood have no association with improved outcomes.</w:t>
            </w:r>
          </w:p>
        </w:tc>
      </w:tr>
      <w:bookmarkEnd w:id="21"/>
      <w:tr w:rsidR="00F274BD" w:rsidRPr="002A34F0" w14:paraId="29505542" w14:textId="77777777" w:rsidTr="004B5937">
        <w:trPr>
          <w:trHeight w:val="236"/>
        </w:trPr>
        <w:tc>
          <w:tcPr>
            <w:tcW w:w="1537" w:type="dxa"/>
            <w:tcBorders>
              <w:top w:val="single" w:sz="4" w:space="0" w:color="7F7F7F" w:themeColor="text1" w:themeTint="80"/>
              <w:left w:val="nil"/>
              <w:bottom w:val="nil"/>
              <w:right w:val="nil"/>
            </w:tcBorders>
            <w:shd w:val="clear" w:color="auto" w:fill="auto"/>
            <w:noWrap/>
            <w:vAlign w:val="bottom"/>
            <w:hideMark/>
          </w:tcPr>
          <w:p w14:paraId="6C4670AD"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Roofs</w:t>
            </w:r>
          </w:p>
        </w:tc>
        <w:tc>
          <w:tcPr>
            <w:tcW w:w="1109" w:type="dxa"/>
            <w:tcBorders>
              <w:top w:val="single" w:sz="4" w:space="0" w:color="7F7F7F" w:themeColor="text1" w:themeTint="80"/>
              <w:left w:val="nil"/>
              <w:bottom w:val="nil"/>
              <w:right w:val="nil"/>
            </w:tcBorders>
            <w:shd w:val="clear" w:color="auto" w:fill="BFBFBF" w:themeFill="background1" w:themeFillShade="BF"/>
            <w:noWrap/>
            <w:vAlign w:val="bottom"/>
            <w:hideMark/>
          </w:tcPr>
          <w:p w14:paraId="655D97E1" w14:textId="77777777" w:rsidR="00F274BD" w:rsidRPr="002A34F0" w:rsidRDefault="00F274BD">
            <w:pPr>
              <w:rPr>
                <w:rFonts w:ascii="Calibri" w:hAnsi="Calibri" w:cs="Calibri"/>
                <w:color w:val="000000"/>
                <w:sz w:val="18"/>
                <w:szCs w:val="18"/>
              </w:rPr>
            </w:pPr>
            <w:r w:rsidRPr="002A34F0">
              <w:rPr>
                <w:rFonts w:ascii="Calibri" w:hAnsi="Calibri" w:cs="Calibri"/>
                <w:color w:val="000000"/>
                <w:sz w:val="18"/>
                <w:szCs w:val="18"/>
              </w:rPr>
              <w:t> </w:t>
            </w:r>
          </w:p>
        </w:tc>
        <w:tc>
          <w:tcPr>
            <w:tcW w:w="1774" w:type="dxa"/>
            <w:tcBorders>
              <w:top w:val="single" w:sz="4" w:space="0" w:color="7F7F7F" w:themeColor="text1" w:themeTint="80"/>
              <w:left w:val="nil"/>
              <w:bottom w:val="nil"/>
              <w:right w:val="nil"/>
            </w:tcBorders>
            <w:shd w:val="clear" w:color="auto" w:fill="BFBFBF" w:themeFill="background1" w:themeFillShade="BF"/>
            <w:noWrap/>
            <w:vAlign w:val="bottom"/>
            <w:hideMark/>
          </w:tcPr>
          <w:p w14:paraId="52987678" w14:textId="77777777" w:rsidR="00F274BD" w:rsidRPr="002A34F0" w:rsidRDefault="00F274BD">
            <w:pPr>
              <w:rPr>
                <w:rFonts w:ascii="Calibri" w:hAnsi="Calibri" w:cs="Calibri"/>
                <w:color w:val="000000"/>
                <w:sz w:val="18"/>
                <w:szCs w:val="18"/>
              </w:rPr>
            </w:pPr>
            <w:r w:rsidRPr="002A34F0">
              <w:rPr>
                <w:rFonts w:ascii="Calibri" w:hAnsi="Calibri" w:cs="Calibri"/>
                <w:color w:val="000000"/>
                <w:sz w:val="18"/>
                <w:szCs w:val="18"/>
              </w:rPr>
              <w:t> </w:t>
            </w:r>
          </w:p>
        </w:tc>
        <w:tc>
          <w:tcPr>
            <w:tcW w:w="1741" w:type="dxa"/>
            <w:tcBorders>
              <w:top w:val="single" w:sz="4" w:space="0" w:color="7F7F7F" w:themeColor="text1" w:themeTint="80"/>
              <w:left w:val="nil"/>
              <w:bottom w:val="nil"/>
              <w:right w:val="nil"/>
            </w:tcBorders>
            <w:shd w:val="clear" w:color="auto" w:fill="BFBFBF" w:themeFill="background1" w:themeFillShade="BF"/>
            <w:noWrap/>
            <w:vAlign w:val="bottom"/>
            <w:hideMark/>
          </w:tcPr>
          <w:p w14:paraId="3E05AA5E" w14:textId="77777777" w:rsidR="00F274BD" w:rsidRPr="002A34F0" w:rsidRDefault="00F274BD">
            <w:pPr>
              <w:rPr>
                <w:rFonts w:ascii="Calibri" w:hAnsi="Calibri" w:cs="Calibri"/>
                <w:color w:val="000000"/>
                <w:sz w:val="18"/>
                <w:szCs w:val="18"/>
              </w:rPr>
            </w:pPr>
            <w:r w:rsidRPr="002A34F0">
              <w:rPr>
                <w:rFonts w:ascii="Calibri" w:hAnsi="Calibri" w:cs="Calibri"/>
                <w:color w:val="000000"/>
                <w:sz w:val="18"/>
                <w:szCs w:val="18"/>
              </w:rPr>
              <w:t> </w:t>
            </w:r>
          </w:p>
        </w:tc>
        <w:tc>
          <w:tcPr>
            <w:tcW w:w="2079" w:type="dxa"/>
            <w:vMerge w:val="restart"/>
            <w:tcBorders>
              <w:top w:val="single" w:sz="4" w:space="0" w:color="7F7F7F" w:themeColor="text1" w:themeTint="80"/>
              <w:left w:val="nil"/>
              <w:bottom w:val="nil"/>
              <w:right w:val="nil"/>
            </w:tcBorders>
            <w:shd w:val="clear" w:color="auto" w:fill="auto"/>
            <w:vAlign w:val="center"/>
            <w:hideMark/>
          </w:tcPr>
          <w:p w14:paraId="7A65AAA4" w14:textId="77777777" w:rsidR="00F274BD" w:rsidRPr="002A34F0" w:rsidRDefault="00F274BD">
            <w:pPr>
              <w:jc w:val="center"/>
              <w:rPr>
                <w:rFonts w:ascii="Calibri" w:hAnsi="Calibri" w:cs="Calibri"/>
                <w:b/>
                <w:bCs/>
                <w:color w:val="000000"/>
                <w:sz w:val="18"/>
                <w:szCs w:val="18"/>
              </w:rPr>
            </w:pPr>
            <w:r w:rsidRPr="002A34F0">
              <w:rPr>
                <w:rFonts w:ascii="Calibri" w:hAnsi="Calibri" w:cs="Calibri"/>
                <w:b/>
                <w:bCs/>
                <w:color w:val="000000"/>
                <w:sz w:val="18"/>
                <w:szCs w:val="18"/>
              </w:rPr>
              <w:t>No impact</w:t>
            </w:r>
          </w:p>
        </w:tc>
      </w:tr>
      <w:tr w:rsidR="00F274BD" w:rsidRPr="002A34F0" w14:paraId="7BFB1195" w14:textId="77777777" w:rsidTr="004B5937">
        <w:trPr>
          <w:trHeight w:val="236"/>
        </w:trPr>
        <w:tc>
          <w:tcPr>
            <w:tcW w:w="1537" w:type="dxa"/>
            <w:tcBorders>
              <w:top w:val="nil"/>
              <w:left w:val="nil"/>
              <w:bottom w:val="single" w:sz="4" w:space="0" w:color="auto"/>
              <w:right w:val="nil"/>
            </w:tcBorders>
            <w:shd w:val="clear" w:color="auto" w:fill="auto"/>
            <w:noWrap/>
            <w:vAlign w:val="center"/>
            <w:hideMark/>
          </w:tcPr>
          <w:p w14:paraId="09E38C3D" w14:textId="77777777" w:rsidR="00F274BD" w:rsidRPr="002A34F0" w:rsidRDefault="00F274BD">
            <w:pPr>
              <w:ind w:firstLineChars="100" w:firstLine="180"/>
              <w:rPr>
                <w:rFonts w:ascii="Calibri" w:hAnsi="Calibri" w:cs="Calibri"/>
                <w:i/>
                <w:iCs/>
                <w:color w:val="000000"/>
                <w:sz w:val="18"/>
                <w:szCs w:val="18"/>
              </w:rPr>
            </w:pPr>
            <w:r w:rsidRPr="002A34F0">
              <w:rPr>
                <w:rFonts w:ascii="Calibri" w:hAnsi="Calibri" w:cs="Calibri"/>
                <w:i/>
                <w:iCs/>
                <w:color w:val="000000"/>
                <w:sz w:val="18"/>
                <w:szCs w:val="18"/>
              </w:rPr>
              <w:t>Other Water</w:t>
            </w:r>
          </w:p>
        </w:tc>
        <w:tc>
          <w:tcPr>
            <w:tcW w:w="1109" w:type="dxa"/>
            <w:tcBorders>
              <w:top w:val="nil"/>
              <w:left w:val="nil"/>
              <w:bottom w:val="single" w:sz="4" w:space="0" w:color="auto"/>
              <w:right w:val="nil"/>
            </w:tcBorders>
            <w:shd w:val="clear" w:color="auto" w:fill="BFBFBF" w:themeFill="background1" w:themeFillShade="BF"/>
            <w:noWrap/>
            <w:vAlign w:val="bottom"/>
            <w:hideMark/>
          </w:tcPr>
          <w:p w14:paraId="7987A9AB" w14:textId="77777777" w:rsidR="00F274BD" w:rsidRPr="002A34F0" w:rsidRDefault="00F274BD">
            <w:pPr>
              <w:rPr>
                <w:rFonts w:ascii="Calibri" w:hAnsi="Calibri" w:cs="Calibri"/>
                <w:color w:val="000000"/>
                <w:sz w:val="18"/>
                <w:szCs w:val="18"/>
              </w:rPr>
            </w:pPr>
            <w:r w:rsidRPr="002A34F0">
              <w:rPr>
                <w:rFonts w:ascii="Calibri" w:hAnsi="Calibri" w:cs="Calibri"/>
                <w:color w:val="000000"/>
                <w:sz w:val="18"/>
                <w:szCs w:val="18"/>
              </w:rPr>
              <w:t> </w:t>
            </w:r>
          </w:p>
        </w:tc>
        <w:tc>
          <w:tcPr>
            <w:tcW w:w="1774" w:type="dxa"/>
            <w:tcBorders>
              <w:top w:val="nil"/>
              <w:left w:val="nil"/>
              <w:bottom w:val="single" w:sz="4" w:space="0" w:color="auto"/>
              <w:right w:val="nil"/>
            </w:tcBorders>
            <w:shd w:val="clear" w:color="auto" w:fill="BFBFBF" w:themeFill="background1" w:themeFillShade="BF"/>
            <w:noWrap/>
            <w:vAlign w:val="bottom"/>
            <w:hideMark/>
          </w:tcPr>
          <w:p w14:paraId="6484F716" w14:textId="77777777" w:rsidR="00F274BD" w:rsidRPr="002A34F0" w:rsidRDefault="00F274BD">
            <w:pPr>
              <w:rPr>
                <w:rFonts w:ascii="Calibri" w:hAnsi="Calibri" w:cs="Calibri"/>
                <w:color w:val="000000"/>
                <w:sz w:val="18"/>
                <w:szCs w:val="18"/>
              </w:rPr>
            </w:pPr>
            <w:r w:rsidRPr="002A34F0">
              <w:rPr>
                <w:rFonts w:ascii="Calibri" w:hAnsi="Calibri" w:cs="Calibri"/>
                <w:color w:val="000000"/>
                <w:sz w:val="18"/>
                <w:szCs w:val="18"/>
              </w:rPr>
              <w:t> </w:t>
            </w:r>
          </w:p>
        </w:tc>
        <w:tc>
          <w:tcPr>
            <w:tcW w:w="1741" w:type="dxa"/>
            <w:tcBorders>
              <w:top w:val="nil"/>
              <w:left w:val="nil"/>
              <w:bottom w:val="single" w:sz="4" w:space="0" w:color="auto"/>
              <w:right w:val="nil"/>
            </w:tcBorders>
            <w:shd w:val="clear" w:color="auto" w:fill="BFBFBF" w:themeFill="background1" w:themeFillShade="BF"/>
            <w:noWrap/>
            <w:vAlign w:val="bottom"/>
            <w:hideMark/>
          </w:tcPr>
          <w:p w14:paraId="5C07EB78" w14:textId="77777777" w:rsidR="00F274BD" w:rsidRPr="002A34F0" w:rsidRDefault="00F274BD">
            <w:pPr>
              <w:rPr>
                <w:rFonts w:ascii="Calibri" w:hAnsi="Calibri" w:cs="Calibri"/>
                <w:color w:val="000000"/>
                <w:sz w:val="18"/>
                <w:szCs w:val="18"/>
              </w:rPr>
            </w:pPr>
            <w:r w:rsidRPr="002A34F0">
              <w:rPr>
                <w:rFonts w:ascii="Calibri" w:hAnsi="Calibri" w:cs="Calibri"/>
                <w:color w:val="000000"/>
                <w:sz w:val="18"/>
                <w:szCs w:val="18"/>
              </w:rPr>
              <w:t> </w:t>
            </w:r>
          </w:p>
        </w:tc>
        <w:tc>
          <w:tcPr>
            <w:tcW w:w="2079" w:type="dxa"/>
            <w:vMerge/>
            <w:tcBorders>
              <w:top w:val="nil"/>
              <w:left w:val="nil"/>
              <w:bottom w:val="nil"/>
              <w:right w:val="nil"/>
            </w:tcBorders>
            <w:vAlign w:val="center"/>
            <w:hideMark/>
          </w:tcPr>
          <w:p w14:paraId="36E14AB0" w14:textId="77777777" w:rsidR="00F274BD" w:rsidRPr="002A34F0" w:rsidRDefault="00F274BD">
            <w:pPr>
              <w:rPr>
                <w:rFonts w:ascii="Calibri" w:hAnsi="Calibri" w:cs="Calibri"/>
                <w:b/>
                <w:bCs/>
                <w:color w:val="000000"/>
                <w:sz w:val="18"/>
                <w:szCs w:val="18"/>
              </w:rPr>
            </w:pPr>
          </w:p>
        </w:tc>
      </w:tr>
      <w:tr w:rsidR="00F274BD" w:rsidRPr="002A34F0" w14:paraId="18900624" w14:textId="77777777" w:rsidTr="00F274BD">
        <w:trPr>
          <w:trHeight w:val="709"/>
        </w:trPr>
        <w:tc>
          <w:tcPr>
            <w:tcW w:w="8240" w:type="dxa"/>
            <w:gridSpan w:val="5"/>
            <w:tcBorders>
              <w:top w:val="single" w:sz="4" w:space="0" w:color="auto"/>
              <w:left w:val="nil"/>
              <w:bottom w:val="nil"/>
              <w:right w:val="nil"/>
            </w:tcBorders>
            <w:shd w:val="clear" w:color="auto" w:fill="auto"/>
            <w:vAlign w:val="bottom"/>
            <w:hideMark/>
          </w:tcPr>
          <w:p w14:paraId="69DE848D" w14:textId="3DDFD1A6" w:rsidR="00F274BD" w:rsidRPr="002A34F0" w:rsidRDefault="00F274BD">
            <w:pPr>
              <w:rPr>
                <w:rFonts w:ascii="Calibri" w:hAnsi="Calibri" w:cs="Calibri"/>
                <w:i/>
                <w:iCs/>
                <w:color w:val="000000"/>
                <w:sz w:val="18"/>
                <w:szCs w:val="18"/>
              </w:rPr>
            </w:pPr>
            <w:r w:rsidRPr="002A34F0">
              <w:rPr>
                <w:rFonts w:ascii="Calibri" w:hAnsi="Calibri" w:cs="Calibri"/>
                <w:i/>
                <w:iCs/>
                <w:color w:val="000000"/>
                <w:sz w:val="18"/>
                <w:szCs w:val="18"/>
              </w:rPr>
              <w:lastRenderedPageBreak/>
              <w:t xml:space="preserve">Notes: Green indicates a positive and statistically significant effect, red denotes a negative and statistically significant effect, grey denotes effects indistinguishable from zero (Fig </w:t>
            </w:r>
            <w:r w:rsidR="0000161B" w:rsidRPr="002A34F0">
              <w:rPr>
                <w:rFonts w:ascii="Calibri" w:hAnsi="Calibri" w:cs="Calibri"/>
                <w:i/>
                <w:iCs/>
                <w:color w:val="000000"/>
                <w:sz w:val="18"/>
                <w:szCs w:val="18"/>
              </w:rPr>
              <w:t>5-9</w:t>
            </w:r>
            <w:r w:rsidRPr="002A34F0">
              <w:rPr>
                <w:rFonts w:ascii="Calibri" w:hAnsi="Calibri" w:cs="Calibri"/>
                <w:i/>
                <w:iCs/>
                <w:color w:val="000000"/>
                <w:sz w:val="18"/>
                <w:szCs w:val="18"/>
              </w:rPr>
              <w:t xml:space="preserve">). Darker shading indicates which effect has a larger AME (Fig </w:t>
            </w:r>
            <w:r w:rsidR="0000161B" w:rsidRPr="002A34F0">
              <w:rPr>
                <w:rFonts w:ascii="Calibri" w:hAnsi="Calibri" w:cs="Calibri"/>
                <w:i/>
                <w:iCs/>
                <w:color w:val="000000"/>
                <w:sz w:val="18"/>
                <w:szCs w:val="18"/>
              </w:rPr>
              <w:t>4</w:t>
            </w:r>
            <w:r w:rsidRPr="002A34F0">
              <w:rPr>
                <w:rFonts w:ascii="Calibri" w:hAnsi="Calibri" w:cs="Calibri"/>
                <w:i/>
                <w:iCs/>
                <w:color w:val="000000"/>
                <w:sz w:val="18"/>
                <w:szCs w:val="18"/>
              </w:rPr>
              <w:t>).</w:t>
            </w:r>
          </w:p>
        </w:tc>
      </w:tr>
    </w:tbl>
    <w:p w14:paraId="1673CE8B" w14:textId="77777777" w:rsidR="00F274BD" w:rsidRPr="002A34F0" w:rsidRDefault="00F274BD" w:rsidP="0053276A">
      <w:pPr>
        <w:spacing w:line="480" w:lineRule="auto"/>
      </w:pPr>
    </w:p>
    <w:p w14:paraId="487BE7BC" w14:textId="0A944962" w:rsidR="00545082" w:rsidRPr="002A34F0" w:rsidRDefault="00545082" w:rsidP="00026B51">
      <w:pPr>
        <w:spacing w:before="240" w:after="240" w:line="480" w:lineRule="auto"/>
      </w:pPr>
      <w:r w:rsidRPr="002A34F0">
        <w:t xml:space="preserve">Neighbourhood effects </w:t>
      </w:r>
      <w:r w:rsidR="008D2496" w:rsidRPr="002A34F0">
        <w:t>capture</w:t>
      </w:r>
      <w:r w:rsidR="00FA2EFC" w:rsidRPr="002A34F0">
        <w:t xml:space="preserve"> aspects of public</w:t>
      </w:r>
      <w:r w:rsidRPr="002A34F0">
        <w:t xml:space="preserve"> services, markets, and environmental quality to which </w:t>
      </w:r>
      <w:r w:rsidR="009151E8" w:rsidRPr="002A34F0">
        <w:t xml:space="preserve">nearby </w:t>
      </w:r>
      <w:r w:rsidRPr="002A34F0">
        <w:t>households have access</w:t>
      </w:r>
      <w:r w:rsidR="0050047B" w:rsidRPr="002A34F0">
        <w:t xml:space="preserve">, </w:t>
      </w:r>
      <w:r w:rsidR="009151E8" w:rsidRPr="002A34F0">
        <w:t>which are</w:t>
      </w:r>
      <w:r w:rsidR="0050047B" w:rsidRPr="002A34F0">
        <w:t xml:space="preserve"> often </w:t>
      </w:r>
      <w:r w:rsidR="009151E8" w:rsidRPr="002A34F0">
        <w:t>un</w:t>
      </w:r>
      <w:r w:rsidR="0050047B" w:rsidRPr="002A34F0">
        <w:t>evenly distributed</w:t>
      </w:r>
      <w:r w:rsidRPr="002A34F0">
        <w:t xml:space="preserve">. </w:t>
      </w:r>
      <w:r w:rsidR="00280ED7" w:rsidRPr="002A34F0">
        <w:t>Affluent</w:t>
      </w:r>
      <w:r w:rsidRPr="002A34F0">
        <w:t xml:space="preserve">, high-status areas </w:t>
      </w:r>
      <w:r w:rsidR="0033617A" w:rsidRPr="002A34F0">
        <w:t xml:space="preserve">can </w:t>
      </w:r>
      <w:r w:rsidRPr="002A34F0">
        <w:t xml:space="preserve">attract investment for further development and services infrastructure, while older, poorer neighbourhoods </w:t>
      </w:r>
      <w:r w:rsidR="0050047B" w:rsidRPr="002A34F0">
        <w:t xml:space="preserve">more often </w:t>
      </w:r>
      <w:r w:rsidRPr="002A34F0">
        <w:t>repel capital flows (Gottlieb</w:t>
      </w:r>
      <w:r w:rsidR="00483C69" w:rsidRPr="002A34F0">
        <w:t>,</w:t>
      </w:r>
      <w:r w:rsidRPr="002A34F0">
        <w:t xml:space="preserve"> 1997; </w:t>
      </w:r>
      <w:r w:rsidR="00E42F48" w:rsidRPr="002A34F0">
        <w:t>Krätke</w:t>
      </w:r>
      <w:r w:rsidR="00483C69" w:rsidRPr="002A34F0">
        <w:t>,</w:t>
      </w:r>
      <w:r w:rsidRPr="002A34F0">
        <w:t xml:space="preserve"> 2014). Concentrations of poverty can reproduce</w:t>
      </w:r>
      <w:r w:rsidR="001E3806" w:rsidRPr="002A34F0">
        <w:t xml:space="preserve"> </w:t>
      </w:r>
      <w:r w:rsidR="003969F3" w:rsidRPr="002A34F0">
        <w:t>and</w:t>
      </w:r>
      <w:r w:rsidR="001E3806" w:rsidRPr="002A34F0">
        <w:t xml:space="preserve"> reinforce</w:t>
      </w:r>
      <w:r w:rsidRPr="002A34F0">
        <w:t xml:space="preserve"> disadvantages</w:t>
      </w:r>
      <w:r w:rsidR="00633094" w:rsidRPr="002A34F0">
        <w:t xml:space="preserve">, </w:t>
      </w:r>
      <w:r w:rsidR="00A34F5D" w:rsidRPr="002A34F0">
        <w:t xml:space="preserve">though </w:t>
      </w:r>
      <w:r w:rsidRPr="002A34F0">
        <w:t>policy</w:t>
      </w:r>
      <w:r w:rsidR="00633094" w:rsidRPr="002A34F0">
        <w:t xml:space="preserve"> might implement</w:t>
      </w:r>
      <w:r w:rsidRPr="002A34F0">
        <w:t xml:space="preserve"> place-based programs </w:t>
      </w:r>
      <w:r w:rsidR="0005736B" w:rsidRPr="002A34F0">
        <w:t xml:space="preserve">that </w:t>
      </w:r>
      <w:r w:rsidRPr="002A34F0">
        <w:t xml:space="preserve">can target </w:t>
      </w:r>
      <w:r w:rsidR="003969F3" w:rsidRPr="002A34F0">
        <w:t xml:space="preserve">such </w:t>
      </w:r>
      <w:r w:rsidRPr="002A34F0">
        <w:t>marginalized areas (</w:t>
      </w:r>
      <w:r w:rsidR="00976710" w:rsidRPr="002A34F0">
        <w:t xml:space="preserve">Partridge &amp; Rickman, 2008; </w:t>
      </w:r>
      <w:r w:rsidRPr="002A34F0">
        <w:t>Barca et al.</w:t>
      </w:r>
      <w:r w:rsidR="00483C69" w:rsidRPr="002A34F0">
        <w:t>,</w:t>
      </w:r>
      <w:r w:rsidRPr="002A34F0">
        <w:t xml:space="preserve"> 2012). </w:t>
      </w:r>
      <w:bookmarkStart w:id="22" w:name="_Hlk111104283"/>
      <w:r w:rsidR="008F4454" w:rsidRPr="002A34F0">
        <w:t>T</w:t>
      </w:r>
      <w:r w:rsidRPr="002A34F0">
        <w:t>o reduce disparities in domains that are particularly affected by location (</w:t>
      </w:r>
      <w:r w:rsidR="005F408E" w:rsidRPr="002A34F0">
        <w:t>e.g</w:t>
      </w:r>
      <w:r w:rsidRPr="002A34F0">
        <w:t>.</w:t>
      </w:r>
      <w:r w:rsidR="005F408E" w:rsidRPr="002A34F0">
        <w:t>,</w:t>
      </w:r>
      <w:r w:rsidRPr="002A34F0">
        <w:t xml:space="preserve"> sanitation), improving infrastructure and capacities in the most deprived places may </w:t>
      </w:r>
      <w:r w:rsidR="00E85B18" w:rsidRPr="002A34F0">
        <w:t xml:space="preserve">make for </w:t>
      </w:r>
      <w:r w:rsidRPr="002A34F0">
        <w:t xml:space="preserve">effective </w:t>
      </w:r>
      <w:r w:rsidR="00E85B18" w:rsidRPr="002A34F0">
        <w:t>public investment</w:t>
      </w:r>
      <w:r w:rsidRPr="002A34F0">
        <w:t xml:space="preserve"> </w:t>
      </w:r>
      <w:bookmarkEnd w:id="22"/>
      <w:r w:rsidRPr="002A34F0">
        <w:t xml:space="preserve">(Barca et al. 2012). </w:t>
      </w:r>
      <w:r w:rsidR="0067040E" w:rsidRPr="002A34F0">
        <w:t>Other than public infrastructure investment,</w:t>
      </w:r>
      <w:r w:rsidRPr="002A34F0">
        <w:t xml:space="preserve"> location-oriented polic</w:t>
      </w:r>
      <w:r w:rsidR="0067040E" w:rsidRPr="002A34F0">
        <w:t>ies might</w:t>
      </w:r>
      <w:r w:rsidR="00D54126" w:rsidRPr="002A34F0">
        <w:t xml:space="preserve"> </w:t>
      </w:r>
      <w:r w:rsidRPr="002A34F0">
        <w:t xml:space="preserve">include regulating private operators to prevent </w:t>
      </w:r>
      <w:r w:rsidR="005803AF" w:rsidRPr="002A34F0">
        <w:t xml:space="preserve">or subsidize </w:t>
      </w:r>
      <w:r w:rsidR="00F15AA3" w:rsidRPr="002A34F0">
        <w:t>un</w:t>
      </w:r>
      <w:r w:rsidR="005803AF" w:rsidRPr="002A34F0">
        <w:t xml:space="preserve">manageable </w:t>
      </w:r>
      <w:r w:rsidRPr="002A34F0">
        <w:t>price</w:t>
      </w:r>
      <w:r w:rsidR="00F15AA3" w:rsidRPr="002A34F0">
        <w:t xml:space="preserve"> increase</w:t>
      </w:r>
      <w:r w:rsidRPr="002A34F0">
        <w:t>s</w:t>
      </w:r>
      <w:r w:rsidR="005803AF" w:rsidRPr="002A34F0">
        <w:t xml:space="preserve"> for basic needs</w:t>
      </w:r>
      <w:r w:rsidRPr="002A34F0">
        <w:t xml:space="preserve"> in poor communities</w:t>
      </w:r>
      <w:r w:rsidR="005803AF" w:rsidRPr="002A34F0">
        <w:t xml:space="preserve"> or to</w:t>
      </w:r>
      <w:r w:rsidRPr="002A34F0">
        <w:t xml:space="preserve"> ensure </w:t>
      </w:r>
      <w:r w:rsidR="00CF7AF0" w:rsidRPr="002A34F0">
        <w:t>operators</w:t>
      </w:r>
      <w:r w:rsidR="00FB4A34" w:rsidRPr="002A34F0">
        <w:t xml:space="preserve"> </w:t>
      </w:r>
      <w:r w:rsidR="00294E94" w:rsidRPr="002A34F0">
        <w:t>of</w:t>
      </w:r>
      <w:r w:rsidR="00FB4A34" w:rsidRPr="002A34F0">
        <w:t xml:space="preserve"> critical services</w:t>
      </w:r>
      <w:r w:rsidRPr="002A34F0">
        <w:t xml:space="preserve"> provid</w:t>
      </w:r>
      <w:r w:rsidR="00CF7AF0" w:rsidRPr="002A34F0">
        <w:t>e</w:t>
      </w:r>
      <w:r w:rsidRPr="002A34F0">
        <w:t xml:space="preserve"> adequate </w:t>
      </w:r>
      <w:r w:rsidR="00FB4A34" w:rsidRPr="002A34F0">
        <w:t xml:space="preserve">and complete coverage over all </w:t>
      </w:r>
      <w:r w:rsidRPr="002A34F0">
        <w:t>neighbourhoods (Appiah-Effah et.al</w:t>
      </w:r>
      <w:r w:rsidR="001D1756" w:rsidRPr="002A34F0">
        <w:t>.</w:t>
      </w:r>
      <w:r w:rsidR="00483C69" w:rsidRPr="002A34F0">
        <w:t>,</w:t>
      </w:r>
      <w:r w:rsidRPr="002A34F0">
        <w:t xml:space="preserve"> 2019; Oteng-Ababio </w:t>
      </w:r>
      <w:r w:rsidR="00DB582C" w:rsidRPr="002A34F0">
        <w:t>et al.,</w:t>
      </w:r>
      <w:r w:rsidRPr="002A34F0">
        <w:t xml:space="preserve"> 2013).</w:t>
      </w:r>
    </w:p>
    <w:p w14:paraId="3405C119" w14:textId="04AC3D34" w:rsidR="00AF34D2" w:rsidRPr="002A34F0" w:rsidRDefault="00AF34D2" w:rsidP="00AF34D2">
      <w:pPr>
        <w:spacing w:before="240" w:after="240" w:line="480" w:lineRule="auto"/>
        <w:rPr>
          <w:i/>
          <w:iCs/>
        </w:rPr>
      </w:pPr>
      <w:r w:rsidRPr="002A34F0">
        <w:rPr>
          <w:i/>
          <w:iCs/>
        </w:rPr>
        <w:t>Application to drinking water</w:t>
      </w:r>
    </w:p>
    <w:p w14:paraId="3F3341D5" w14:textId="0F139B9F" w:rsidR="002B021F" w:rsidRPr="002A34F0" w:rsidRDefault="00DC46F8" w:rsidP="009D0B4D">
      <w:pPr>
        <w:spacing w:before="240" w:after="240" w:line="480" w:lineRule="auto"/>
        <w:ind w:firstLine="720"/>
      </w:pPr>
      <w:r w:rsidRPr="002A34F0">
        <w:t>A complementary</w:t>
      </w:r>
      <w:r w:rsidR="001405F3" w:rsidRPr="002A34F0">
        <w:t xml:space="preserve"> household- and </w:t>
      </w:r>
      <w:r w:rsidR="00D43C24" w:rsidRPr="002A34F0">
        <w:t>neighbour</w:t>
      </w:r>
      <w:r w:rsidR="001405F3" w:rsidRPr="002A34F0">
        <w:t>hood-based</w:t>
      </w:r>
      <w:r w:rsidRPr="002A34F0">
        <w:t xml:space="preserve"> strategy would be useful in contending with Accra’s water challenges. </w:t>
      </w:r>
      <w:r w:rsidR="00443AC0" w:rsidRPr="002A34F0">
        <w:t>The two dominant sources of drinking water are through the public piped network and through vended</w:t>
      </w:r>
      <w:r w:rsidR="00523452" w:rsidRPr="002A34F0">
        <w:t xml:space="preserve"> (purchased)</w:t>
      </w:r>
      <w:r w:rsidR="00443AC0" w:rsidRPr="002A34F0">
        <w:t xml:space="preserve"> water</w:t>
      </w:r>
      <w:r w:rsidR="00523452" w:rsidRPr="002A34F0">
        <w:t xml:space="preserve"> outlets</w:t>
      </w:r>
      <w:r w:rsidR="005F0BC8" w:rsidRPr="002A34F0">
        <w:t xml:space="preserve"> (</w:t>
      </w:r>
      <w:r w:rsidR="0047648E" w:rsidRPr="002A34F0">
        <w:t xml:space="preserve">Moulds et al., 2022; </w:t>
      </w:r>
      <w:r w:rsidR="005F0BC8" w:rsidRPr="002A34F0">
        <w:t>Tetteh et al., 2022)</w:t>
      </w:r>
      <w:r w:rsidR="00523452" w:rsidRPr="002A34F0">
        <w:t>.</w:t>
      </w:r>
      <w:r w:rsidR="00443AC0" w:rsidRPr="002A34F0">
        <w:t xml:space="preserve"> </w:t>
      </w:r>
      <w:r w:rsidR="00553E9C" w:rsidRPr="002A34F0">
        <w:t>Affluent, planned</w:t>
      </w:r>
      <w:r w:rsidRPr="002A34F0">
        <w:t xml:space="preserve"> communities </w:t>
      </w:r>
      <w:r w:rsidR="005F0BC8" w:rsidRPr="002A34F0">
        <w:t xml:space="preserve">such as Airport Residential Areas, Ridges, and Cantonments </w:t>
      </w:r>
      <w:r w:rsidRPr="002A34F0">
        <w:t xml:space="preserve">often </w:t>
      </w:r>
      <w:r w:rsidR="00C2776C" w:rsidRPr="002A34F0">
        <w:t xml:space="preserve">have better access </w:t>
      </w:r>
      <w:r w:rsidRPr="002A34F0">
        <w:t xml:space="preserve">to the </w:t>
      </w:r>
      <w:r w:rsidR="00523452" w:rsidRPr="002A34F0">
        <w:t xml:space="preserve">public </w:t>
      </w:r>
      <w:r w:rsidRPr="002A34F0">
        <w:t>water supply network</w:t>
      </w:r>
      <w:r w:rsidR="00C2776C" w:rsidRPr="002A34F0">
        <w:t xml:space="preserve"> than poorer communities,</w:t>
      </w:r>
      <w:r w:rsidRPr="002A34F0">
        <w:t xml:space="preserve"> which influences access and pricing (Mahama</w:t>
      </w:r>
      <w:r w:rsidR="00483C69" w:rsidRPr="002A34F0">
        <w:t xml:space="preserve"> et al.,</w:t>
      </w:r>
      <w:r w:rsidRPr="002A34F0">
        <w:t xml:space="preserve"> 2014</w:t>
      </w:r>
      <w:r w:rsidR="005F0BC8" w:rsidRPr="002A34F0">
        <w:t>; Tetteh et al., 2022</w:t>
      </w:r>
      <w:r w:rsidRPr="002A34F0">
        <w:t xml:space="preserve">). While most households have access </w:t>
      </w:r>
      <w:r w:rsidRPr="002A34F0">
        <w:lastRenderedPageBreak/>
        <w:t>to improved drinking water, the Ghana Water Company has not been able to meet growing demand</w:t>
      </w:r>
      <w:r w:rsidR="00777AAD" w:rsidRPr="002A34F0">
        <w:t xml:space="preserve"> and t</w:t>
      </w:r>
      <w:r w:rsidR="00BD73A4" w:rsidRPr="002A34F0">
        <w:t>hus must</w:t>
      </w:r>
      <w:r w:rsidRPr="002A34F0">
        <w:t xml:space="preserve"> ration water</w:t>
      </w:r>
      <w:r w:rsidR="00777AAD" w:rsidRPr="002A34F0">
        <w:t xml:space="preserve"> delivery</w:t>
      </w:r>
      <w:r w:rsidR="00BD73A4" w:rsidRPr="002A34F0">
        <w:t xml:space="preserve"> at times</w:t>
      </w:r>
      <w:r w:rsidR="00777AAD" w:rsidRPr="002A34F0">
        <w:t xml:space="preserve"> </w:t>
      </w:r>
      <w:r w:rsidRPr="002A34F0">
        <w:t xml:space="preserve">(Stoler, </w:t>
      </w:r>
      <w:r w:rsidR="00483C69" w:rsidRPr="002A34F0">
        <w:t>et al.,</w:t>
      </w:r>
      <w:r w:rsidRPr="002A34F0">
        <w:t xml:space="preserve"> 2013</w:t>
      </w:r>
      <w:r w:rsidR="005F0BC8" w:rsidRPr="002A34F0">
        <w:t>; Tetteh et al., 2022</w:t>
      </w:r>
      <w:r w:rsidRPr="002A34F0">
        <w:t xml:space="preserve">). </w:t>
      </w:r>
      <w:r w:rsidR="006F631D" w:rsidRPr="002A34F0">
        <w:t>Further, r</w:t>
      </w:r>
      <w:r w:rsidRPr="002A34F0">
        <w:t xml:space="preserve">ationing </w:t>
      </w:r>
      <w:r w:rsidR="00BD73A4" w:rsidRPr="002A34F0">
        <w:t xml:space="preserve">can be </w:t>
      </w:r>
      <w:r w:rsidRPr="002A34F0">
        <w:t>spatially inconsistent</w:t>
      </w:r>
      <w:r w:rsidR="00777AAD" w:rsidRPr="002A34F0">
        <w:t xml:space="preserve"> –</w:t>
      </w:r>
      <w:r w:rsidR="006F631D" w:rsidRPr="002A34F0">
        <w:t xml:space="preserve"> </w:t>
      </w:r>
      <w:r w:rsidRPr="002A34F0">
        <w:t xml:space="preserve">some neighbourhoods receive water every day while </w:t>
      </w:r>
      <w:r w:rsidR="00A96FC6" w:rsidRPr="002A34F0">
        <w:t>in other areas</w:t>
      </w:r>
      <w:r w:rsidR="00BD73A4" w:rsidRPr="002A34F0">
        <w:t xml:space="preserve"> delivery</w:t>
      </w:r>
      <w:r w:rsidR="00A96FC6" w:rsidRPr="002A34F0">
        <w:t xml:space="preserve"> is</w:t>
      </w:r>
      <w:r w:rsidRPr="002A34F0">
        <w:t xml:space="preserve"> sporadic or no</w:t>
      </w:r>
      <w:r w:rsidR="00A96FC6" w:rsidRPr="002A34F0">
        <w:t xml:space="preserve">n-existent </w:t>
      </w:r>
      <w:r w:rsidRPr="002A34F0">
        <w:t xml:space="preserve">(Dapaah </w:t>
      </w:r>
      <w:r w:rsidR="00483C69" w:rsidRPr="002A34F0">
        <w:t>&amp;</w:t>
      </w:r>
      <w:r w:rsidRPr="002A34F0">
        <w:t xml:space="preserve"> Harris</w:t>
      </w:r>
      <w:r w:rsidR="00483C69" w:rsidRPr="002A34F0">
        <w:t>,</w:t>
      </w:r>
      <w:r w:rsidRPr="002A34F0">
        <w:t xml:space="preserve"> 2017). </w:t>
      </w:r>
      <w:r w:rsidR="00105BEC" w:rsidRPr="002A34F0">
        <w:t>Inconsistency in piped w</w:t>
      </w:r>
      <w:r w:rsidRPr="002A34F0">
        <w:t xml:space="preserve">ater </w:t>
      </w:r>
      <w:r w:rsidR="00105BEC" w:rsidRPr="002A34F0">
        <w:t>delivery</w:t>
      </w:r>
      <w:r w:rsidRPr="002A34F0">
        <w:t xml:space="preserve"> carries an additional risk</w:t>
      </w:r>
      <w:r w:rsidR="005F6159" w:rsidRPr="002A34F0">
        <w:t xml:space="preserve"> since negative water pressures</w:t>
      </w:r>
      <w:r w:rsidRPr="002A34F0">
        <w:t xml:space="preserve"> </w:t>
      </w:r>
      <w:r w:rsidR="005F6159" w:rsidRPr="002A34F0">
        <w:t xml:space="preserve">risk </w:t>
      </w:r>
      <w:r w:rsidR="00134DDD" w:rsidRPr="002A34F0">
        <w:t>seepage</w:t>
      </w:r>
      <w:r w:rsidR="005F6159" w:rsidRPr="002A34F0">
        <w:t xml:space="preserve"> and</w:t>
      </w:r>
      <w:r w:rsidRPr="002A34F0">
        <w:t xml:space="preserve"> cross contamination with raw sewage (Stoler</w:t>
      </w:r>
      <w:r w:rsidR="00483C69" w:rsidRPr="002A34F0">
        <w:t xml:space="preserve"> et al.,</w:t>
      </w:r>
      <w:r w:rsidRPr="002A34F0">
        <w:t xml:space="preserve"> 2013). </w:t>
      </w:r>
      <w:r w:rsidR="002B021F" w:rsidRPr="002A34F0">
        <w:t xml:space="preserve">Thus, </w:t>
      </w:r>
      <w:r w:rsidR="005E7013" w:rsidRPr="002A34F0">
        <w:t xml:space="preserve">piped water has become something of an inferior good and </w:t>
      </w:r>
      <w:r w:rsidR="002B021F" w:rsidRPr="002A34F0">
        <w:t xml:space="preserve">vended water </w:t>
      </w:r>
      <w:r w:rsidR="005E7013" w:rsidRPr="002A34F0">
        <w:t xml:space="preserve">is </w:t>
      </w:r>
      <w:r w:rsidR="002B021F" w:rsidRPr="002A34F0">
        <w:t xml:space="preserve">perceived as the safer, healthier choice (Stoler et al., 2014). </w:t>
      </w:r>
      <w:r w:rsidR="00D3260D" w:rsidRPr="002A34F0">
        <w:t>According to Moulds et al., 2022</w:t>
      </w:r>
      <w:r w:rsidR="002B021F" w:rsidRPr="002A34F0">
        <w:t>,</w:t>
      </w:r>
      <w:r w:rsidR="00D3260D" w:rsidRPr="002A34F0">
        <w:t xml:space="preserve"> over half of urban households in the region who use sachet water</w:t>
      </w:r>
      <w:r w:rsidR="00796A20" w:rsidRPr="002A34F0">
        <w:t xml:space="preserve"> as their primary source </w:t>
      </w:r>
      <w:r w:rsidR="00D3260D" w:rsidRPr="002A34F0">
        <w:t>also have a piped supply connection</w:t>
      </w:r>
      <w:r w:rsidR="002B021F" w:rsidRPr="002A34F0">
        <w:t xml:space="preserve">. </w:t>
      </w:r>
    </w:p>
    <w:p w14:paraId="40F6DED4" w14:textId="3557C5BA" w:rsidR="004D452E" w:rsidRPr="002A34F0" w:rsidRDefault="00141A54" w:rsidP="002E1572">
      <w:pPr>
        <w:spacing w:before="240" w:after="240" w:line="480" w:lineRule="auto"/>
        <w:ind w:firstLine="720"/>
      </w:pPr>
      <w:r w:rsidRPr="002A34F0">
        <w:t>Our results indicate p</w:t>
      </w:r>
      <w:r w:rsidR="00DC46F8" w:rsidRPr="002A34F0">
        <w:t>oor households are highly reliant on piped water</w:t>
      </w:r>
      <w:r w:rsidR="00FC56D5" w:rsidRPr="002A34F0">
        <w:t xml:space="preserve"> </w:t>
      </w:r>
      <w:r w:rsidR="00DC46F8" w:rsidRPr="002A34F0">
        <w:t xml:space="preserve">, </w:t>
      </w:r>
      <w:r w:rsidR="00411225" w:rsidRPr="002A34F0">
        <w:t>while a</w:t>
      </w:r>
      <w:r w:rsidR="00DC46F8" w:rsidRPr="002A34F0">
        <w:t>ffluent households are more likely to use vended water</w:t>
      </w:r>
      <w:r w:rsidR="002B021F" w:rsidRPr="002A34F0">
        <w:t>.</w:t>
      </w:r>
      <w:r w:rsidR="009D0B4D" w:rsidRPr="002A34F0">
        <w:t xml:space="preserve"> </w:t>
      </w:r>
      <w:r w:rsidR="00945B8B" w:rsidRPr="002A34F0">
        <w:t>P</w:t>
      </w:r>
      <w:r w:rsidR="005F0BC8" w:rsidRPr="002A34F0">
        <w:t xml:space="preserve">revious </w:t>
      </w:r>
      <w:r w:rsidR="001F1F43" w:rsidRPr="002A34F0">
        <w:t>work</w:t>
      </w:r>
      <w:r w:rsidR="005F0BC8" w:rsidRPr="002A34F0">
        <w:t xml:space="preserve"> </w:t>
      </w:r>
      <w:r w:rsidR="00457271" w:rsidRPr="002A34F0">
        <w:t xml:space="preserve">has found that when households turn to vended sources </w:t>
      </w:r>
      <w:r w:rsidR="00796A20" w:rsidRPr="002A34F0">
        <w:t xml:space="preserve">outside of the piped system </w:t>
      </w:r>
      <w:r w:rsidR="00457271" w:rsidRPr="002A34F0">
        <w:t>due to rationing and health concerns</w:t>
      </w:r>
      <w:r w:rsidR="00796A20" w:rsidRPr="002A34F0">
        <w:t>,</w:t>
      </w:r>
      <w:r w:rsidR="00457271" w:rsidRPr="002A34F0">
        <w:t xml:space="preserve"> affluent households are more likely to use bottled water, </w:t>
      </w:r>
      <w:r w:rsidR="00796A20" w:rsidRPr="002A34F0">
        <w:t>and</w:t>
      </w:r>
      <w:r w:rsidR="00457271" w:rsidRPr="002A34F0">
        <w:t xml:space="preserve"> poorer households are likely to purchase sachet water (Moulds et al., 2022; Tetteh et al., 2022).</w:t>
      </w:r>
      <w:r w:rsidR="00796A20" w:rsidRPr="002A34F0">
        <w:t xml:space="preserve"> I</w:t>
      </w:r>
      <w:r w:rsidR="009D0B4D" w:rsidRPr="002A34F0">
        <w:t xml:space="preserve">n areas </w:t>
      </w:r>
      <w:r w:rsidR="001F1F43" w:rsidRPr="002A34F0">
        <w:t xml:space="preserve">particularly plagued by </w:t>
      </w:r>
      <w:r w:rsidR="00CE0BC1" w:rsidRPr="002A34F0">
        <w:t>unmaintained</w:t>
      </w:r>
      <w:r w:rsidR="001F1F43" w:rsidRPr="002A34F0">
        <w:t xml:space="preserve"> infrastructure and rationing</w:t>
      </w:r>
      <w:r w:rsidR="00CE0BC1" w:rsidRPr="002A34F0">
        <w:t xml:space="preserve">, </w:t>
      </w:r>
      <w:r w:rsidR="009D0B4D" w:rsidRPr="002A34F0">
        <w:t xml:space="preserve">poor households </w:t>
      </w:r>
      <w:r w:rsidR="00673A47" w:rsidRPr="002A34F0">
        <w:t xml:space="preserve">must </w:t>
      </w:r>
      <w:r w:rsidR="009D0B4D" w:rsidRPr="002A34F0">
        <w:t>choose to use vended water despite the high markup</w:t>
      </w:r>
      <w:r w:rsidR="00BA3064" w:rsidRPr="002A34F0">
        <w:t xml:space="preserve"> </w:t>
      </w:r>
      <w:r w:rsidR="009D0B4D" w:rsidRPr="002A34F0">
        <w:t>(</w:t>
      </w:r>
      <w:r w:rsidR="00945B8B" w:rsidRPr="002A34F0">
        <w:t xml:space="preserve">Moulds et al., 2022; </w:t>
      </w:r>
      <w:r w:rsidR="009D0B4D" w:rsidRPr="002A34F0">
        <w:t>Stoler et al. 2014</w:t>
      </w:r>
      <w:r w:rsidR="00CE0BC1" w:rsidRPr="002A34F0">
        <w:t>; Tetteh et al., 2022</w:t>
      </w:r>
      <w:r w:rsidR="009D0B4D" w:rsidRPr="002A34F0">
        <w:t xml:space="preserve">). </w:t>
      </w:r>
      <w:r w:rsidR="004D452E" w:rsidRPr="002A34F0">
        <w:t xml:space="preserve">However, there are many households for which that is not a feasible strategy as it would put too much pressure on limited budgets. </w:t>
      </w:r>
    </w:p>
    <w:p w14:paraId="090F0824" w14:textId="67C67369" w:rsidR="00DC46F8" w:rsidRPr="002A34F0" w:rsidRDefault="00BA3064" w:rsidP="00796A20">
      <w:pPr>
        <w:spacing w:before="240" w:after="240" w:line="480" w:lineRule="auto"/>
        <w:ind w:firstLine="720"/>
      </w:pPr>
      <w:r w:rsidRPr="002A34F0">
        <w:t xml:space="preserve">To address these challenges </w:t>
      </w:r>
      <w:r w:rsidR="00713351" w:rsidRPr="002A34F0">
        <w:t xml:space="preserve">programs </w:t>
      </w:r>
      <w:r w:rsidR="0097136F" w:rsidRPr="002A34F0">
        <w:t>could</w:t>
      </w:r>
      <w:r w:rsidR="00713351" w:rsidRPr="002A34F0">
        <w:t xml:space="preserve"> help make vended water affordable </w:t>
      </w:r>
      <w:r w:rsidR="0097136F" w:rsidRPr="002A34F0">
        <w:t xml:space="preserve">to vulnerable households </w:t>
      </w:r>
      <w:r w:rsidR="00713351" w:rsidRPr="002A34F0">
        <w:t xml:space="preserve">in areas </w:t>
      </w:r>
      <w:r w:rsidR="0097136F" w:rsidRPr="002A34F0">
        <w:t>where</w:t>
      </w:r>
      <w:r w:rsidR="00713351" w:rsidRPr="002A34F0">
        <w:t xml:space="preserve"> infrastructure is limited, strengthen</w:t>
      </w:r>
      <w:r w:rsidR="00736D74" w:rsidRPr="002A34F0">
        <w:t>,</w:t>
      </w:r>
      <w:r w:rsidR="00DC46F8" w:rsidRPr="002A34F0">
        <w:t xml:space="preserve"> </w:t>
      </w:r>
      <w:r w:rsidR="00713351" w:rsidRPr="002A34F0">
        <w:t xml:space="preserve">and maintain </w:t>
      </w:r>
      <w:r w:rsidR="00DC46F8" w:rsidRPr="002A34F0">
        <w:t xml:space="preserve">the water supply system to ensure safety and prevent loss of </w:t>
      </w:r>
      <w:r w:rsidR="00136828" w:rsidRPr="002A34F0">
        <w:t xml:space="preserve">public </w:t>
      </w:r>
      <w:r w:rsidR="00DC46F8" w:rsidRPr="002A34F0">
        <w:t>potable water</w:t>
      </w:r>
      <w:r w:rsidR="00136828" w:rsidRPr="002A34F0">
        <w:t xml:space="preserve"> supply</w:t>
      </w:r>
      <w:r w:rsidR="0097136F" w:rsidRPr="002A34F0">
        <w:t xml:space="preserve">, or </w:t>
      </w:r>
      <w:r w:rsidR="00DC46F8" w:rsidRPr="002A34F0">
        <w:t>regulat</w:t>
      </w:r>
      <w:r w:rsidR="0097136F" w:rsidRPr="002A34F0">
        <w:t>e</w:t>
      </w:r>
      <w:r w:rsidR="00DC46F8" w:rsidRPr="002A34F0">
        <w:t xml:space="preserve"> private sector water provision to ensure equitable and safe </w:t>
      </w:r>
      <w:r w:rsidR="00DC46F8" w:rsidRPr="002A34F0">
        <w:lastRenderedPageBreak/>
        <w:t>service across the city.</w:t>
      </w:r>
      <w:r w:rsidR="00782D67" w:rsidRPr="002A34F0">
        <w:t xml:space="preserve"> </w:t>
      </w:r>
      <w:r w:rsidR="002C6F80" w:rsidRPr="002A34F0">
        <w:t>In areas where there are high rates of vended water use amongst the affluent, but not the poor</w:t>
      </w:r>
      <w:r w:rsidR="00225F52" w:rsidRPr="002A34F0">
        <w:t>,</w:t>
      </w:r>
      <w:r w:rsidR="002C6F80" w:rsidRPr="002A34F0">
        <w:t xml:space="preserve"> indicates there may be issues with the quality of piped water </w:t>
      </w:r>
      <w:r w:rsidR="00225F52" w:rsidRPr="002A34F0">
        <w:t xml:space="preserve">(allowing </w:t>
      </w:r>
      <w:r w:rsidR="002C6F80" w:rsidRPr="002A34F0">
        <w:t>those who can</w:t>
      </w:r>
      <w:r w:rsidR="00225F52" w:rsidRPr="002A34F0">
        <w:t xml:space="preserve"> afford to</w:t>
      </w:r>
      <w:r w:rsidR="002C6F80" w:rsidRPr="002A34F0">
        <w:t xml:space="preserve"> cho</w:t>
      </w:r>
      <w:r w:rsidR="00BB08A0" w:rsidRPr="002A34F0">
        <w:t>o</w:t>
      </w:r>
      <w:r w:rsidR="002C6F80" w:rsidRPr="002A34F0">
        <w:t xml:space="preserve">se </w:t>
      </w:r>
      <w:r w:rsidR="00BB08A0" w:rsidRPr="002A34F0">
        <w:t xml:space="preserve">the </w:t>
      </w:r>
      <w:r w:rsidR="00225F52" w:rsidRPr="002A34F0">
        <w:t>better</w:t>
      </w:r>
      <w:r w:rsidR="002C6F80" w:rsidRPr="002A34F0">
        <w:t xml:space="preserve"> option</w:t>
      </w:r>
      <w:r w:rsidR="00225F52" w:rsidRPr="002A34F0">
        <w:t xml:space="preserve"> to do so)</w:t>
      </w:r>
      <w:r w:rsidR="002C6F80" w:rsidRPr="002A34F0">
        <w:t>. Other areas, such as</w:t>
      </w:r>
      <w:r w:rsidR="00BB08A0" w:rsidRPr="002A34F0">
        <w:t xml:space="preserve"> nearby</w:t>
      </w:r>
      <w:r w:rsidR="002C6F80" w:rsidRPr="002A34F0">
        <w:t xml:space="preserve"> the university</w:t>
      </w:r>
      <w:r w:rsidR="00BB08A0" w:rsidRPr="002A34F0">
        <w:t>,</w:t>
      </w:r>
      <w:r w:rsidR="002C6F80" w:rsidRPr="002A34F0">
        <w:t xml:space="preserve"> have low rates of vended water use amongst the affluent </w:t>
      </w:r>
      <w:r w:rsidR="00BB08A0" w:rsidRPr="002A34F0">
        <w:t xml:space="preserve">and </w:t>
      </w:r>
      <w:r w:rsidR="002C6F80" w:rsidRPr="002A34F0">
        <w:t>point to trust in the quality of water, and high vended water rates amongst the poor</w:t>
      </w:r>
      <w:r w:rsidR="00DD3ED7" w:rsidRPr="002A34F0">
        <w:t xml:space="preserve">. This </w:t>
      </w:r>
      <w:r w:rsidR="002C6F80" w:rsidRPr="002A34F0">
        <w:t>indicate</w:t>
      </w:r>
      <w:r w:rsidR="00DD3ED7" w:rsidRPr="002A34F0">
        <w:t>s</w:t>
      </w:r>
      <w:r w:rsidR="002C6F80" w:rsidRPr="002A34F0">
        <w:t xml:space="preserve"> that </w:t>
      </w:r>
      <w:r w:rsidR="00DD3ED7" w:rsidRPr="002A34F0">
        <w:t>access to</w:t>
      </w:r>
      <w:r w:rsidR="002C6F80" w:rsidRPr="002A34F0">
        <w:t xml:space="preserve"> connecting to piped</w:t>
      </w:r>
      <w:r w:rsidR="00DD3ED7" w:rsidRPr="002A34F0">
        <w:t>-water</w:t>
      </w:r>
      <w:r w:rsidR="002C6F80" w:rsidRPr="002A34F0">
        <w:t xml:space="preserve"> infrastructure</w:t>
      </w:r>
      <w:r w:rsidR="00DD3ED7" w:rsidRPr="002A34F0">
        <w:t xml:space="preserve"> may be a major barrier for poorer households</w:t>
      </w:r>
      <w:r w:rsidR="002C6F80" w:rsidRPr="002A34F0">
        <w:t xml:space="preserve">. The former case may require investment in infrastructure to improve safety and quality of a more affordable water source. The latter example may need cash assistance or expansion of the existing system to reach households and provide water at a more affordable price. </w:t>
      </w:r>
      <w:r w:rsidR="00BF064E" w:rsidRPr="002A34F0">
        <w:t>A</w:t>
      </w:r>
      <w:r w:rsidR="00782D67" w:rsidRPr="002A34F0">
        <w:t xml:space="preserve">ppropriate targeting </w:t>
      </w:r>
      <w:r w:rsidR="00BF064E" w:rsidRPr="002A34F0">
        <w:t xml:space="preserve">of such policies would be best informed by understanding household and </w:t>
      </w:r>
      <w:r w:rsidR="00D43C24" w:rsidRPr="002A34F0">
        <w:t>neighbour</w:t>
      </w:r>
      <w:r w:rsidR="00BF064E" w:rsidRPr="002A34F0">
        <w:t xml:space="preserve">hood interactions. </w:t>
      </w:r>
    </w:p>
    <w:p w14:paraId="0A74F609" w14:textId="41CBCEEE" w:rsidR="003D5FCB" w:rsidRPr="002A34F0" w:rsidRDefault="003D5FCB" w:rsidP="003D5FCB">
      <w:pPr>
        <w:spacing w:before="240" w:after="240" w:line="480" w:lineRule="auto"/>
        <w:rPr>
          <w:i/>
          <w:iCs/>
        </w:rPr>
      </w:pPr>
      <w:r w:rsidRPr="002A34F0">
        <w:rPr>
          <w:i/>
          <w:iCs/>
        </w:rPr>
        <w:t>Implications for mixed development</w:t>
      </w:r>
    </w:p>
    <w:p w14:paraId="5B9ADC5C" w14:textId="21AC5CAD" w:rsidR="00C37768" w:rsidRPr="002A34F0" w:rsidRDefault="00BC31AF" w:rsidP="006F1B84">
      <w:pPr>
        <w:spacing w:before="240" w:after="240" w:line="480" w:lineRule="auto"/>
        <w:ind w:firstLine="720"/>
      </w:pPr>
      <w:bookmarkStart w:id="23" w:name="_Hlk111104360"/>
      <w:r w:rsidRPr="002A34F0">
        <w:t>H</w:t>
      </w:r>
      <w:r w:rsidR="001478DA" w:rsidRPr="002A34F0">
        <w:t>ow well d</w:t>
      </w:r>
      <w:r w:rsidR="00DC46F8" w:rsidRPr="002A34F0">
        <w:t xml:space="preserve">oes Massey’s (2001) </w:t>
      </w:r>
      <w:r w:rsidR="008A1590" w:rsidRPr="002A34F0">
        <w:t xml:space="preserve">assertion </w:t>
      </w:r>
      <w:r w:rsidR="00DC46F8" w:rsidRPr="002A34F0">
        <w:t xml:space="preserve">that </w:t>
      </w:r>
      <w:bookmarkStart w:id="24" w:name="_Hlk138861969"/>
      <w:r w:rsidR="008A1590" w:rsidRPr="002A34F0">
        <w:t>‘</w:t>
      </w:r>
      <w:r w:rsidR="00DC46F8" w:rsidRPr="002A34F0">
        <w:t>living in a poor area reinforces disadvantages of the poor, and living in affluent neighbourhoods strengthen</w:t>
      </w:r>
      <w:r w:rsidR="008A1590" w:rsidRPr="002A34F0">
        <w:t>s the</w:t>
      </w:r>
      <w:r w:rsidR="00DC46F8" w:rsidRPr="002A34F0">
        <w:t xml:space="preserve"> advantages of the </w:t>
      </w:r>
      <w:bookmarkEnd w:id="24"/>
      <w:r w:rsidR="00280ED7" w:rsidRPr="002A34F0">
        <w:t xml:space="preserve">affluent’ </w:t>
      </w:r>
      <w:r w:rsidR="00DC46F8" w:rsidRPr="002A34F0">
        <w:t>hold up</w:t>
      </w:r>
      <w:bookmarkStart w:id="25" w:name="_Hlk111104352"/>
      <w:r w:rsidR="00DE4893" w:rsidRPr="002A34F0">
        <w:t xml:space="preserve"> in a LMIC context</w:t>
      </w:r>
      <w:r w:rsidR="00DC46F8" w:rsidRPr="002A34F0">
        <w:t xml:space="preserve">? In many cases </w:t>
      </w:r>
      <w:r w:rsidR="00F047F5" w:rsidRPr="002A34F0">
        <w:t>our results generally support the assertion</w:t>
      </w:r>
      <w:r w:rsidR="00C37768" w:rsidRPr="002A34F0">
        <w:t xml:space="preserve">. </w:t>
      </w:r>
      <w:r w:rsidR="008A1590" w:rsidRPr="002A34F0">
        <w:t xml:space="preserve">Poor in poor areas </w:t>
      </w:r>
      <w:r w:rsidR="00DB1753" w:rsidRPr="002A34F0">
        <w:t xml:space="preserve">have worse outcomes in </w:t>
      </w:r>
      <w:r w:rsidR="00B9340C" w:rsidRPr="002A34F0">
        <w:t xml:space="preserve">use of improved </w:t>
      </w:r>
      <w:r w:rsidR="006C466F" w:rsidRPr="002A34F0">
        <w:t>cooking fuel</w:t>
      </w:r>
      <w:r w:rsidR="00D77C6C" w:rsidRPr="002A34F0">
        <w:t xml:space="preserve">, </w:t>
      </w:r>
      <w:r w:rsidR="00B9340C" w:rsidRPr="002A34F0">
        <w:t>toilets</w:t>
      </w:r>
      <w:r w:rsidR="00D77C6C" w:rsidRPr="002A34F0">
        <w:t xml:space="preserve">, </w:t>
      </w:r>
      <w:r w:rsidR="00B9340C" w:rsidRPr="002A34F0">
        <w:t>vended water use</w:t>
      </w:r>
      <w:r w:rsidR="00961895" w:rsidRPr="002A34F0">
        <w:t xml:space="preserve">, and all </w:t>
      </w:r>
      <w:r w:rsidR="00CE0BC1" w:rsidRPr="002A34F0">
        <w:t xml:space="preserve">ICT </w:t>
      </w:r>
      <w:r w:rsidR="00961895" w:rsidRPr="002A34F0">
        <w:t xml:space="preserve">metrics. </w:t>
      </w:r>
      <w:r w:rsidR="0019626E" w:rsidRPr="002A34F0">
        <w:t>Similarly</w:t>
      </w:r>
      <w:r w:rsidR="00961895" w:rsidRPr="002A34F0">
        <w:t>,</w:t>
      </w:r>
      <w:r w:rsidR="00DB1753" w:rsidRPr="002A34F0">
        <w:t xml:space="preserve"> affluent household living in </w:t>
      </w:r>
      <w:r w:rsidR="00147F53" w:rsidRPr="002A34F0">
        <w:t>affluent</w:t>
      </w:r>
      <w:r w:rsidR="00DB1753" w:rsidRPr="002A34F0">
        <w:t xml:space="preserve"> areas have </w:t>
      </w:r>
      <w:r w:rsidR="00147F53" w:rsidRPr="002A34F0">
        <w:t>better</w:t>
      </w:r>
      <w:r w:rsidR="00DB1753" w:rsidRPr="002A34F0">
        <w:t xml:space="preserve"> outcomes</w:t>
      </w:r>
      <w:r w:rsidR="0019626E" w:rsidRPr="002A34F0">
        <w:t xml:space="preserve"> in dwelling types, </w:t>
      </w:r>
      <w:r w:rsidR="00170039" w:rsidRPr="002A34F0">
        <w:t xml:space="preserve">cooking fuel, </w:t>
      </w:r>
      <w:r w:rsidR="00AB708D" w:rsidRPr="002A34F0">
        <w:t xml:space="preserve">all sanitation </w:t>
      </w:r>
      <w:r w:rsidR="00C51965" w:rsidRPr="002A34F0">
        <w:t>outcomes</w:t>
      </w:r>
      <w:r w:rsidR="00AB708D" w:rsidRPr="002A34F0">
        <w:t>,</w:t>
      </w:r>
      <w:r w:rsidR="009C443D" w:rsidRPr="002A34F0">
        <w:t xml:space="preserve"> and ve</w:t>
      </w:r>
      <w:r w:rsidR="00147F53" w:rsidRPr="002A34F0">
        <w:t>nded water, and ICT outcomes</w:t>
      </w:r>
      <w:r w:rsidR="001371FF" w:rsidRPr="002A34F0">
        <w:t xml:space="preserve"> (though mobile ownership is constant)</w:t>
      </w:r>
      <w:r w:rsidR="00147F53" w:rsidRPr="002A34F0">
        <w:t>.</w:t>
      </w:r>
      <w:r w:rsidR="00AB708D" w:rsidRPr="002A34F0">
        <w:t xml:space="preserve"> </w:t>
      </w:r>
    </w:p>
    <w:bookmarkEnd w:id="23"/>
    <w:bookmarkEnd w:id="25"/>
    <w:p w14:paraId="20B7EFD9" w14:textId="53E785F6" w:rsidR="00DC46F8" w:rsidRPr="002A34F0" w:rsidRDefault="00C37768" w:rsidP="000C7C39">
      <w:pPr>
        <w:spacing w:before="240" w:after="240" w:line="480" w:lineRule="auto"/>
        <w:ind w:firstLine="720"/>
      </w:pPr>
      <w:r w:rsidRPr="002A34F0">
        <w:t>H</w:t>
      </w:r>
      <w:r w:rsidR="0065205B" w:rsidRPr="002A34F0">
        <w:t>owever</w:t>
      </w:r>
      <w:r w:rsidR="0084678D" w:rsidRPr="002A34F0">
        <w:t>,</w:t>
      </w:r>
      <w:r w:rsidR="0065205B" w:rsidRPr="002A34F0">
        <w:t xml:space="preserve"> </w:t>
      </w:r>
      <w:r w:rsidRPr="002A34F0">
        <w:t>Massey’s assertion i</w:t>
      </w:r>
      <w:r w:rsidR="0065205B" w:rsidRPr="002A34F0">
        <w:t>s far from a universal truth</w:t>
      </w:r>
      <w:r w:rsidR="00DC46F8" w:rsidRPr="002A34F0">
        <w:t xml:space="preserve">. </w:t>
      </w:r>
      <w:r w:rsidR="0053276A" w:rsidRPr="002A34F0">
        <w:t xml:space="preserve">Table 2 </w:t>
      </w:r>
      <w:r w:rsidR="001F568D" w:rsidRPr="002A34F0">
        <w:t>suggest</w:t>
      </w:r>
      <w:r w:rsidR="00946524" w:rsidRPr="002A34F0">
        <w:t>s</w:t>
      </w:r>
      <w:r w:rsidR="001F568D" w:rsidRPr="002A34F0">
        <w:t xml:space="preserve"> that </w:t>
      </w:r>
      <w:r w:rsidR="005437D5" w:rsidRPr="002A34F0">
        <w:t xml:space="preserve">moving a </w:t>
      </w:r>
      <w:r w:rsidR="004E3EF8" w:rsidRPr="002A34F0">
        <w:t>poor household</w:t>
      </w:r>
      <w:r w:rsidR="005437D5" w:rsidRPr="002A34F0">
        <w:t xml:space="preserve"> from a poor area to a</w:t>
      </w:r>
      <w:r w:rsidR="004E3EF8" w:rsidRPr="002A34F0">
        <w:t xml:space="preserve"> middle income or affluent </w:t>
      </w:r>
      <w:r w:rsidR="00D43C24" w:rsidRPr="002A34F0">
        <w:t>neighbour</w:t>
      </w:r>
      <w:r w:rsidR="00B66B41" w:rsidRPr="002A34F0">
        <w:t>hood</w:t>
      </w:r>
      <w:r w:rsidR="004E3EF8" w:rsidRPr="002A34F0">
        <w:t xml:space="preserve"> only </w:t>
      </w:r>
      <w:r w:rsidR="002C0F30" w:rsidRPr="002A34F0">
        <w:t>signals an improvement in</w:t>
      </w:r>
      <w:r w:rsidR="004E3EF8" w:rsidRPr="002A34F0">
        <w:t xml:space="preserve"> </w:t>
      </w:r>
      <w:r w:rsidR="000C7C39" w:rsidRPr="002A34F0">
        <w:t xml:space="preserve">9 </w:t>
      </w:r>
      <w:r w:rsidR="002C0F30" w:rsidRPr="002A34F0">
        <w:t xml:space="preserve">out of 16 cases, only </w:t>
      </w:r>
      <w:r w:rsidR="0061123F" w:rsidRPr="002A34F0">
        <w:t>slightly</w:t>
      </w:r>
      <w:r w:rsidR="002C0F30" w:rsidRPr="002A34F0">
        <w:t xml:space="preserve"> better than half</w:t>
      </w:r>
      <w:r w:rsidR="00B66B41" w:rsidRPr="002A34F0">
        <w:t xml:space="preserve"> of our wellbeing </w:t>
      </w:r>
      <w:r w:rsidR="001F7028" w:rsidRPr="002A34F0">
        <w:t>outcomes</w:t>
      </w:r>
      <w:r w:rsidR="004E3EF8" w:rsidRPr="002A34F0">
        <w:t xml:space="preserve">. </w:t>
      </w:r>
      <w:r w:rsidR="005E7013" w:rsidRPr="002A34F0">
        <w:t xml:space="preserve">In contrast, for a number of housing characteristics </w:t>
      </w:r>
      <w:r w:rsidR="005E7013" w:rsidRPr="002A34F0">
        <w:lastRenderedPageBreak/>
        <w:t>(dwelling type, floors, roofs) as well as solid waste disposal and lighting, p</w:t>
      </w:r>
      <w:r w:rsidR="00DC46F8" w:rsidRPr="002A34F0">
        <w:t>oor</w:t>
      </w:r>
      <w:r w:rsidR="004E6BFD" w:rsidRPr="002A34F0">
        <w:t xml:space="preserve"> </w:t>
      </w:r>
      <w:r w:rsidR="00477BEC" w:rsidRPr="002A34F0">
        <w:t xml:space="preserve">households </w:t>
      </w:r>
      <w:r w:rsidR="004E6BFD" w:rsidRPr="002A34F0">
        <w:t>in poor areas</w:t>
      </w:r>
      <w:r w:rsidR="00DC46F8" w:rsidRPr="002A34F0">
        <w:t xml:space="preserve"> have </w:t>
      </w:r>
      <w:r w:rsidR="00DC46F8" w:rsidRPr="002A34F0">
        <w:rPr>
          <w:i/>
          <w:iCs/>
        </w:rPr>
        <w:t>better</w:t>
      </w:r>
      <w:r w:rsidR="00DC46F8" w:rsidRPr="002A34F0">
        <w:t xml:space="preserve"> outcomes </w:t>
      </w:r>
      <w:r w:rsidR="0084678D" w:rsidRPr="002A34F0">
        <w:t>than they do in affluent areas</w:t>
      </w:r>
      <w:r w:rsidR="004E6BFD" w:rsidRPr="002A34F0">
        <w:t>.</w:t>
      </w:r>
      <w:r w:rsidR="003D5FCB" w:rsidRPr="002A34F0">
        <w:t xml:space="preserve"> </w:t>
      </w:r>
      <w:r w:rsidRPr="002A34F0">
        <w:t>This may</w:t>
      </w:r>
      <w:r w:rsidR="00DC46F8" w:rsidRPr="002A34F0">
        <w:t xml:space="preserve"> indicat</w:t>
      </w:r>
      <w:r w:rsidRPr="002A34F0">
        <w:t>e</w:t>
      </w:r>
      <w:r w:rsidR="00DC46F8" w:rsidRPr="002A34F0">
        <w:t xml:space="preserve"> that </w:t>
      </w:r>
      <w:r w:rsidRPr="002A34F0">
        <w:t>“pockets” of poverty within affluent areas may be</w:t>
      </w:r>
      <w:r w:rsidR="0070720F" w:rsidRPr="002A34F0">
        <w:t xml:space="preserve"> particularly precarious or informal, or</w:t>
      </w:r>
      <w:r w:rsidRPr="002A34F0">
        <w:t xml:space="preserve"> </w:t>
      </w:r>
      <w:r w:rsidR="00DC46F8" w:rsidRPr="002A34F0">
        <w:t>cost</w:t>
      </w:r>
      <w:r w:rsidR="0070720F" w:rsidRPr="002A34F0">
        <w:t>s</w:t>
      </w:r>
      <w:r w:rsidR="00DC46F8" w:rsidRPr="002A34F0">
        <w:t xml:space="preserve"> to improved housing and services in affluent areas</w:t>
      </w:r>
      <w:r w:rsidR="0070720F" w:rsidRPr="002A34F0">
        <w:t xml:space="preserve"> may be even more prohibitive</w:t>
      </w:r>
      <w:r w:rsidR="00B915FA" w:rsidRPr="002A34F0">
        <w:t xml:space="preserve"> than they are in poorer settlements</w:t>
      </w:r>
      <w:r w:rsidR="00DC46F8" w:rsidRPr="002A34F0">
        <w:t xml:space="preserve">. In these areas concentrated affluence worsens outcomes for </w:t>
      </w:r>
      <w:r w:rsidR="00D97FDC" w:rsidRPr="002A34F0">
        <w:t xml:space="preserve">‘stranger’ </w:t>
      </w:r>
      <w:r w:rsidR="00DC46F8" w:rsidRPr="002A34F0">
        <w:t>households since the poor may not have the same community resources</w:t>
      </w:r>
      <w:r w:rsidR="00D97FDC" w:rsidRPr="002A34F0">
        <w:t>, social network, or access to services</w:t>
      </w:r>
      <w:r w:rsidR="00DC46F8" w:rsidRPr="002A34F0">
        <w:t xml:space="preserve"> that </w:t>
      </w:r>
      <w:r w:rsidR="00D97FDC" w:rsidRPr="002A34F0">
        <w:t xml:space="preserve">often underpin </w:t>
      </w:r>
      <w:r w:rsidR="009506A6" w:rsidRPr="002A34F0">
        <w:t xml:space="preserve">welfare and </w:t>
      </w:r>
      <w:r w:rsidR="00DC46F8" w:rsidRPr="002A34F0">
        <w:t>community health.</w:t>
      </w:r>
      <w:r w:rsidR="008F752C" w:rsidRPr="002A34F0">
        <w:t xml:space="preserve"> On the other hand, </w:t>
      </w:r>
      <w:r w:rsidR="005E7013" w:rsidRPr="002A34F0">
        <w:t>in most cases</w:t>
      </w:r>
      <w:r w:rsidR="00E54316" w:rsidRPr="002A34F0">
        <w:t xml:space="preserve"> being</w:t>
      </w:r>
      <w:r w:rsidR="008F752C" w:rsidRPr="002A34F0">
        <w:t xml:space="preserve"> affluent</w:t>
      </w:r>
      <w:r w:rsidR="005E7013" w:rsidRPr="002A34F0">
        <w:t xml:space="preserve"> in</w:t>
      </w:r>
      <w:r w:rsidR="00EA7711" w:rsidRPr="002A34F0">
        <w:t xml:space="preserve"> a</w:t>
      </w:r>
      <w:r w:rsidR="005E7013" w:rsidRPr="002A34F0">
        <w:t xml:space="preserve"> poor area </w:t>
      </w:r>
      <w:r w:rsidR="00E54316" w:rsidRPr="002A34F0">
        <w:t>is</w:t>
      </w:r>
      <w:r w:rsidR="005E7013" w:rsidRPr="002A34F0">
        <w:t xml:space="preserve"> associated with poorer outcomes than they would have in a </w:t>
      </w:r>
      <w:r w:rsidR="00280ED7" w:rsidRPr="002A34F0">
        <w:t xml:space="preserve">affluent </w:t>
      </w:r>
      <w:r w:rsidR="005E7013" w:rsidRPr="002A34F0">
        <w:t>neighbo</w:t>
      </w:r>
      <w:r w:rsidR="003A5320" w:rsidRPr="002A34F0">
        <w:t>u</w:t>
      </w:r>
      <w:r w:rsidR="005E7013" w:rsidRPr="002A34F0">
        <w:t>rhood</w:t>
      </w:r>
      <w:r w:rsidR="00E54316" w:rsidRPr="002A34F0">
        <w:t>:</w:t>
      </w:r>
      <w:r w:rsidR="005E7013" w:rsidRPr="002A34F0">
        <w:t xml:space="preserve"> </w:t>
      </w:r>
      <w:r w:rsidR="000C7C39" w:rsidRPr="002A34F0">
        <w:t xml:space="preserve">moving to a poor area decreases affluent well-being in 11 out of 16 indicators.  </w:t>
      </w:r>
      <w:bookmarkStart w:id="26" w:name="_Hlk111104427"/>
      <w:r w:rsidR="00E54316" w:rsidRPr="002A34F0">
        <w:t>Overall</w:t>
      </w:r>
      <w:r w:rsidR="00AE479B" w:rsidRPr="002A34F0">
        <w:t xml:space="preserve"> promotion of mixed</w:t>
      </w:r>
      <w:r w:rsidR="00CB2307" w:rsidRPr="002A34F0">
        <w:t xml:space="preserve">-income </w:t>
      </w:r>
      <w:r w:rsidR="00D43C24" w:rsidRPr="002A34F0">
        <w:t>neighbour</w:t>
      </w:r>
      <w:r w:rsidR="00CB2307" w:rsidRPr="002A34F0">
        <w:t>hoods is likely good for a number of</w:t>
      </w:r>
      <w:r w:rsidR="00E54316" w:rsidRPr="002A34F0">
        <w:t xml:space="preserve"> outcomes, as shown in Table 2.A. Mixed development may be further justified for a number of </w:t>
      </w:r>
      <w:r w:rsidR="00CB2307" w:rsidRPr="002A34F0">
        <w:t xml:space="preserve">dynamic and </w:t>
      </w:r>
      <w:r w:rsidR="000077A9" w:rsidRPr="002A34F0">
        <w:t>intergenerational</w:t>
      </w:r>
      <w:r w:rsidR="00CB2307" w:rsidRPr="002A34F0">
        <w:t xml:space="preserve"> reasons (e</w:t>
      </w:r>
      <w:r w:rsidR="000077A9" w:rsidRPr="002A34F0">
        <w:t>.</w:t>
      </w:r>
      <w:r w:rsidR="00CB2307" w:rsidRPr="002A34F0">
        <w:t>g</w:t>
      </w:r>
      <w:r w:rsidR="000077A9" w:rsidRPr="002A34F0">
        <w:t>.</w:t>
      </w:r>
      <w:r w:rsidR="00CB2307" w:rsidRPr="002A34F0">
        <w:t>, Chetty et al</w:t>
      </w:r>
      <w:r w:rsidR="00483C69" w:rsidRPr="002A34F0">
        <w:t>.,</w:t>
      </w:r>
      <w:r w:rsidR="00EA3634" w:rsidRPr="002A34F0">
        <w:t xml:space="preserve"> 2014, 2016, 2022</w:t>
      </w:r>
      <w:r w:rsidR="00CB2307" w:rsidRPr="002A34F0">
        <w:t xml:space="preserve">), </w:t>
      </w:r>
      <w:r w:rsidR="00E54316" w:rsidRPr="002A34F0">
        <w:t>however, in some cases it can exacerbate inequality (Table 2.B) or result in worse outcomes for stranger households (Table 2.C). T</w:t>
      </w:r>
      <w:r w:rsidR="000077A9" w:rsidRPr="002A34F0">
        <w:t xml:space="preserve">argeted </w:t>
      </w:r>
      <w:r w:rsidR="00BE2FC0" w:rsidRPr="002A34F0">
        <w:t>policies</w:t>
      </w:r>
      <w:r w:rsidR="000077A9" w:rsidRPr="002A34F0">
        <w:t xml:space="preserve"> to aid vulnerable communities</w:t>
      </w:r>
      <w:r w:rsidR="00E54316" w:rsidRPr="002A34F0">
        <w:t>,</w:t>
      </w:r>
      <w:r w:rsidR="000077A9" w:rsidRPr="002A34F0">
        <w:t xml:space="preserve"> regardless of where they live</w:t>
      </w:r>
      <w:r w:rsidR="00E54316" w:rsidRPr="002A34F0">
        <w:t>, are still needed</w:t>
      </w:r>
      <w:r w:rsidR="000077A9" w:rsidRPr="002A34F0">
        <w:t>.</w:t>
      </w:r>
      <w:bookmarkEnd w:id="26"/>
      <w:r w:rsidR="006F6267" w:rsidRPr="002A34F0">
        <w:t xml:space="preserve"> For example, poor households in affluent areas where infrastructure is available would benefit from policies focused on providing assistance</w:t>
      </w:r>
      <w:r w:rsidR="00F05544" w:rsidRPr="002A34F0">
        <w:t xml:space="preserve"> in</w:t>
      </w:r>
      <w:r w:rsidR="006F6267" w:rsidRPr="002A34F0">
        <w:t xml:space="preserve"> accessing these services. </w:t>
      </w:r>
    </w:p>
    <w:p w14:paraId="6A392CA4" w14:textId="6C12ECBD" w:rsidR="00082AD5" w:rsidRPr="002A34F0" w:rsidRDefault="00C00BCE" w:rsidP="000C7C39">
      <w:pPr>
        <w:spacing w:before="240" w:after="240" w:line="480" w:lineRule="auto"/>
        <w:ind w:firstLine="720"/>
      </w:pPr>
      <w:r w:rsidRPr="002A34F0">
        <w:t>This</w:t>
      </w:r>
      <w:r w:rsidR="00082AD5" w:rsidRPr="002A34F0">
        <w:t xml:space="preserve"> study </w:t>
      </w:r>
      <w:r w:rsidRPr="002A34F0">
        <w:t>has some data limitations that also help put our results in context</w:t>
      </w:r>
      <w:r w:rsidR="00082AD5" w:rsidRPr="002A34F0">
        <w:t xml:space="preserve">. </w:t>
      </w:r>
      <w:r w:rsidRPr="002A34F0">
        <w:t xml:space="preserve">To </w:t>
      </w:r>
      <w:r w:rsidR="00082AD5" w:rsidRPr="002A34F0">
        <w:t>model</w:t>
      </w:r>
      <w:r w:rsidRPr="002A34F0">
        <w:t xml:space="preserve"> the aggregate effects of household versus neighborhood characteristics, we abstract from</w:t>
      </w:r>
      <w:r w:rsidR="00082AD5" w:rsidRPr="002A34F0">
        <w:t xml:space="preserve"> contextual factors </w:t>
      </w:r>
      <w:r w:rsidRPr="002A34F0">
        <w:t xml:space="preserve">that could be important determinants of the outcomes we investigate and operate </w:t>
      </w:r>
      <w:r w:rsidRPr="002A34F0">
        <w:rPr>
          <w:i/>
          <w:iCs/>
        </w:rPr>
        <w:t>through</w:t>
      </w:r>
      <w:r w:rsidRPr="002A34F0">
        <w:t xml:space="preserve"> the household or neighborhood. We also do not take an explicit spatial regression approach so we do not </w:t>
      </w:r>
      <w:r w:rsidR="00082AD5" w:rsidRPr="002A34F0">
        <w:t xml:space="preserve">control for clustering of neighborhood types. </w:t>
      </w:r>
      <w:r w:rsidR="0098333F" w:rsidRPr="002A34F0">
        <w:t>Instead, we</w:t>
      </w:r>
      <w:r w:rsidR="00082AD5" w:rsidRPr="002A34F0">
        <w:t xml:space="preserve"> account for space using</w:t>
      </w:r>
      <w:r w:rsidR="0098333F" w:rsidRPr="002A34F0">
        <w:t xml:space="preserve"> random effects. </w:t>
      </w:r>
      <w:r w:rsidRPr="002A34F0">
        <w:t xml:space="preserve">Finally, the patterns we assess are the product of individual household residential choices. As such, </w:t>
      </w:r>
      <w:r w:rsidRPr="002A34F0">
        <w:lastRenderedPageBreak/>
        <w:t>our results are indicative of empirical patterns but are not causal estimates</w:t>
      </w:r>
      <w:r w:rsidR="00082AD5" w:rsidRPr="002A34F0">
        <w:t>.</w:t>
      </w:r>
      <w:r w:rsidRPr="002A34F0">
        <w:t xml:space="preserve"> Still, these patterns and results help us see what outcomes are possible, and thus likely, when promoting mixed-use development.</w:t>
      </w:r>
      <w:r w:rsidR="00082AD5" w:rsidRPr="002A34F0">
        <w:t xml:space="preserve"> </w:t>
      </w:r>
    </w:p>
    <w:p w14:paraId="3D09642D" w14:textId="6E33C61D" w:rsidR="009D795D" w:rsidRPr="002A34F0" w:rsidRDefault="009D795D" w:rsidP="006F1B84">
      <w:pPr>
        <w:pStyle w:val="Heading1"/>
        <w:spacing w:line="480" w:lineRule="auto"/>
      </w:pPr>
      <w:r w:rsidRPr="002A34F0">
        <w:t>Conclusion</w:t>
      </w:r>
    </w:p>
    <w:p w14:paraId="32AC02AA" w14:textId="1106BC98" w:rsidR="009D795D" w:rsidRPr="002A34F0" w:rsidRDefault="009D795D" w:rsidP="006F1B84">
      <w:pPr>
        <w:spacing w:before="240" w:after="240" w:line="480" w:lineRule="auto"/>
      </w:pPr>
      <w:r w:rsidRPr="002A34F0">
        <w:t xml:space="preserve">Good quality housing is crucial to ensuring household </w:t>
      </w:r>
      <w:r w:rsidR="00665946" w:rsidRPr="002A34F0">
        <w:t xml:space="preserve">welfare and </w:t>
      </w:r>
      <w:r w:rsidRPr="002A34F0">
        <w:t>health; poor housing and environmental conditions put residents at risk of health problems such as infectious diseases, stress, and depression (Yakubu</w:t>
      </w:r>
      <w:r w:rsidR="00483C69" w:rsidRPr="002A34F0">
        <w:t xml:space="preserve"> et al.,</w:t>
      </w:r>
      <w:r w:rsidR="00106C25" w:rsidRPr="002A34F0">
        <w:t xml:space="preserve"> </w:t>
      </w:r>
      <w:r w:rsidRPr="002A34F0">
        <w:t xml:space="preserve">2014). Poor quality, overcrowded, and badly located housing not only influences physical health, but mental well-being which affects workforce participation and educational attainment </w:t>
      </w:r>
      <w:r w:rsidR="0034513F" w:rsidRPr="002A34F0">
        <w:t>(Yakubu</w:t>
      </w:r>
      <w:r w:rsidR="00483C69" w:rsidRPr="002A34F0">
        <w:t xml:space="preserve"> et al.,</w:t>
      </w:r>
      <w:r w:rsidR="00106C25" w:rsidRPr="002A34F0">
        <w:t xml:space="preserve"> </w:t>
      </w:r>
      <w:r w:rsidR="0034513F" w:rsidRPr="002A34F0">
        <w:t xml:space="preserve">2014). </w:t>
      </w:r>
      <w:r w:rsidRPr="002A34F0">
        <w:t xml:space="preserve"> </w:t>
      </w:r>
      <w:r w:rsidR="005F45B1" w:rsidRPr="002A34F0">
        <w:t>Overall housing conditions are affected by type of dwelling, construction materials, household facilities and the coverage of neighbourhood services (Gibson et al.</w:t>
      </w:r>
      <w:r w:rsidR="00483C69" w:rsidRPr="002A34F0">
        <w:t>,</w:t>
      </w:r>
      <w:r w:rsidR="005F45B1" w:rsidRPr="002A34F0">
        <w:t xml:space="preserve"> 2011). </w:t>
      </w:r>
      <w:r w:rsidRPr="002A34F0">
        <w:t xml:space="preserve">ICT access has significant implications for potential educational attainment and access to formal banking services. Examining the disparities in housing quality and service provision can inform policy efforts in Accra. Identifying how </w:t>
      </w:r>
      <w:r w:rsidR="00BF0B6E" w:rsidRPr="002A34F0">
        <w:t xml:space="preserve">household </w:t>
      </w:r>
      <w:r w:rsidRPr="002A34F0">
        <w:t xml:space="preserve">SES and </w:t>
      </w:r>
      <w:r w:rsidR="00D43C24" w:rsidRPr="002A34F0">
        <w:t>neighbour</w:t>
      </w:r>
      <w:r w:rsidR="00BF0B6E" w:rsidRPr="002A34F0">
        <w:t xml:space="preserve">hood </w:t>
      </w:r>
      <w:r w:rsidRPr="002A34F0">
        <w:t>effects</w:t>
      </w:r>
      <w:r w:rsidR="00BF0B6E" w:rsidRPr="002A34F0">
        <w:t xml:space="preserve"> jointly</w:t>
      </w:r>
      <w:r w:rsidRPr="002A34F0">
        <w:t xml:space="preserve"> influence improved outcomes can help decision makers choose </w:t>
      </w:r>
      <w:r w:rsidR="00BF0B6E" w:rsidRPr="002A34F0">
        <w:t xml:space="preserve">how </w:t>
      </w:r>
      <w:r w:rsidRPr="002A34F0">
        <w:t xml:space="preserve">to direct resources </w:t>
      </w:r>
      <w:r w:rsidR="00BF0B6E" w:rsidRPr="002A34F0">
        <w:t xml:space="preserve">via </w:t>
      </w:r>
      <w:r w:rsidRPr="002A34F0">
        <w:t xml:space="preserve">area-based or population-based programs. While 2010 data reflects the </w:t>
      </w:r>
      <w:r w:rsidR="00BF0B6E" w:rsidRPr="002A34F0">
        <w:t xml:space="preserve">Accra </w:t>
      </w:r>
      <w:r w:rsidRPr="002A34F0">
        <w:t xml:space="preserve">as it was ten years ago, this analysis serves as a baseline for future analysis </w:t>
      </w:r>
      <w:r w:rsidR="00EA1286" w:rsidRPr="002A34F0">
        <w:t xml:space="preserve">of </w:t>
      </w:r>
      <w:r w:rsidRPr="002A34F0">
        <w:t xml:space="preserve">the </w:t>
      </w:r>
      <w:r w:rsidR="00EA1286" w:rsidRPr="002A34F0">
        <w:t xml:space="preserve">just completed 2021 </w:t>
      </w:r>
      <w:r w:rsidRPr="002A34F0">
        <w:t>census.</w:t>
      </w:r>
    </w:p>
    <w:p w14:paraId="0BEEF8CF" w14:textId="35DCEA52" w:rsidR="009D795D" w:rsidRPr="002A34F0" w:rsidRDefault="00F82E3D" w:rsidP="006F1B84">
      <w:pPr>
        <w:spacing w:before="240" w:after="240" w:line="480" w:lineRule="auto"/>
        <w:ind w:firstLine="720"/>
      </w:pPr>
      <w:r w:rsidRPr="002A34F0">
        <w:t>We find h</w:t>
      </w:r>
      <w:r w:rsidR="00ED04B4" w:rsidRPr="002A34F0">
        <w:t xml:space="preserve">ousehold </w:t>
      </w:r>
      <w:r w:rsidR="009D795D" w:rsidRPr="002A34F0">
        <w:t xml:space="preserve">SES </w:t>
      </w:r>
      <w:r w:rsidRPr="002A34F0">
        <w:t>is more closely related to higher rates of</w:t>
      </w:r>
      <w:r w:rsidR="009D795D" w:rsidRPr="002A34F0">
        <w:t xml:space="preserve"> improved housing materials, energy use, solid waste disposal services, drinking water, and ICT use</w:t>
      </w:r>
      <w:r w:rsidRPr="002A34F0">
        <w:t xml:space="preserve">. In these cases, </w:t>
      </w:r>
      <w:r w:rsidR="009D795D" w:rsidRPr="002A34F0">
        <w:t xml:space="preserve">policy makers might be well served to focus on household-level barriers to consumption of these services. </w:t>
      </w:r>
      <w:r w:rsidRPr="002A34F0">
        <w:t xml:space="preserve">A household’s </w:t>
      </w:r>
      <w:r w:rsidR="009D795D" w:rsidRPr="002A34F0">
        <w:t xml:space="preserve">location is as or more important than </w:t>
      </w:r>
      <w:r w:rsidR="00DF305C" w:rsidRPr="002A34F0">
        <w:t xml:space="preserve">household </w:t>
      </w:r>
      <w:r w:rsidR="009D795D" w:rsidRPr="002A34F0">
        <w:t>SES</w:t>
      </w:r>
      <w:r w:rsidRPr="002A34F0">
        <w:t xml:space="preserve"> in the case of </w:t>
      </w:r>
      <w:r w:rsidR="00180600" w:rsidRPr="002A34F0">
        <w:t xml:space="preserve">walls, improved toilet use, </w:t>
      </w:r>
      <w:r w:rsidR="00F26FE8" w:rsidRPr="002A34F0">
        <w:t xml:space="preserve">improved disposal of </w:t>
      </w:r>
      <w:r w:rsidR="00AF78D1" w:rsidRPr="002A34F0">
        <w:t xml:space="preserve">liquid waste, </w:t>
      </w:r>
      <w:r w:rsidR="00DF305C" w:rsidRPr="002A34F0">
        <w:t xml:space="preserve">and </w:t>
      </w:r>
      <w:r w:rsidR="00180600" w:rsidRPr="002A34F0">
        <w:t>vended water</w:t>
      </w:r>
      <w:r w:rsidR="00DF305C" w:rsidRPr="002A34F0">
        <w:t xml:space="preserve"> use. In these cases</w:t>
      </w:r>
      <w:r w:rsidR="009D795D" w:rsidRPr="002A34F0">
        <w:t xml:space="preserve">, policy makers may </w:t>
      </w:r>
      <w:r w:rsidR="009D795D" w:rsidRPr="002A34F0">
        <w:lastRenderedPageBreak/>
        <w:t xml:space="preserve">consider an area-based approach that target particularly deprived areas. Finally, our results suggest that location interacts with household status </w:t>
      </w:r>
      <w:r w:rsidR="00741CA9" w:rsidRPr="002A34F0">
        <w:t xml:space="preserve">– often </w:t>
      </w:r>
      <w:r w:rsidR="009D795D" w:rsidRPr="002A34F0">
        <w:t>further advantag</w:t>
      </w:r>
      <w:r w:rsidR="00741CA9" w:rsidRPr="002A34F0">
        <w:t xml:space="preserve">ing </w:t>
      </w:r>
      <w:r w:rsidR="009D795D" w:rsidRPr="002A34F0">
        <w:t>affluent households in affluent areas or increase disadvantages experienced by poor households in poor areas</w:t>
      </w:r>
      <w:r w:rsidR="005636BF" w:rsidRPr="002A34F0">
        <w:t xml:space="preserve"> and being a ‘stranger’ in </w:t>
      </w:r>
      <w:r w:rsidR="005367CA" w:rsidRPr="002A34F0">
        <w:t>one location brings you closer to that location’s mean</w:t>
      </w:r>
      <w:r w:rsidR="009D795D" w:rsidRPr="002A34F0">
        <w:t xml:space="preserve">. </w:t>
      </w:r>
      <w:r w:rsidR="005636BF" w:rsidRPr="002A34F0">
        <w:t>Still</w:t>
      </w:r>
      <w:r w:rsidR="005367CA" w:rsidRPr="002A34F0">
        <w:t xml:space="preserve">, </w:t>
      </w:r>
      <w:r w:rsidR="005636BF" w:rsidRPr="002A34F0">
        <w:t xml:space="preserve">we </w:t>
      </w:r>
      <w:r w:rsidR="005367CA" w:rsidRPr="002A34F0">
        <w:t xml:space="preserve">also </w:t>
      </w:r>
      <w:r w:rsidR="005636BF" w:rsidRPr="002A34F0">
        <w:t xml:space="preserve">find cases where </w:t>
      </w:r>
      <w:r w:rsidR="00D1783C" w:rsidRPr="002A34F0">
        <w:t>being</w:t>
      </w:r>
      <w:r w:rsidR="00CB5791" w:rsidRPr="002A34F0">
        <w:t xml:space="preserve"> </w:t>
      </w:r>
      <w:r w:rsidR="00DC71B1" w:rsidRPr="002A34F0">
        <w:t xml:space="preserve">poor in an affluent </w:t>
      </w:r>
      <w:r w:rsidR="00D43C24" w:rsidRPr="002A34F0">
        <w:t>neighbour</w:t>
      </w:r>
      <w:r w:rsidR="00CB65BD" w:rsidRPr="002A34F0">
        <w:t>hood</w:t>
      </w:r>
      <w:r w:rsidR="00DC71B1" w:rsidRPr="002A34F0">
        <w:t xml:space="preserve"> is associated with</w:t>
      </w:r>
      <w:r w:rsidR="00CB5791" w:rsidRPr="002A34F0">
        <w:t xml:space="preserve"> larger disadvantage</w:t>
      </w:r>
      <w:r w:rsidR="00DC71B1" w:rsidRPr="002A34F0">
        <w:t xml:space="preserve">s – namely for housing related </w:t>
      </w:r>
      <w:r w:rsidR="00CB65BD" w:rsidRPr="002A34F0">
        <w:t xml:space="preserve">outcomes – suggesting pockets of poverty </w:t>
      </w:r>
      <w:r w:rsidR="008D112F" w:rsidRPr="002A34F0">
        <w:t>may</w:t>
      </w:r>
      <w:r w:rsidR="00CB65BD" w:rsidRPr="002A34F0">
        <w:t xml:space="preserve"> present particularly </w:t>
      </w:r>
      <w:r w:rsidR="008D112F" w:rsidRPr="002A34F0">
        <w:t xml:space="preserve">isolated and marginalized living conditions. </w:t>
      </w:r>
      <w:r w:rsidR="009D795D" w:rsidRPr="002A34F0">
        <w:t xml:space="preserve">Ultimately, both </w:t>
      </w:r>
      <w:r w:rsidR="0061575A" w:rsidRPr="002A34F0">
        <w:t xml:space="preserve">personal </w:t>
      </w:r>
      <w:r w:rsidR="009D795D" w:rsidRPr="002A34F0">
        <w:t>cost</w:t>
      </w:r>
      <w:r w:rsidR="0061575A" w:rsidRPr="002A34F0">
        <w:t xml:space="preserve"> as well as</w:t>
      </w:r>
      <w:r w:rsidR="009D795D" w:rsidRPr="002A34F0">
        <w:t xml:space="preserve"> infrastructural</w:t>
      </w:r>
      <w:r w:rsidR="0061575A" w:rsidRPr="002A34F0">
        <w:t xml:space="preserve"> or </w:t>
      </w:r>
      <w:r w:rsidR="009D795D" w:rsidRPr="002A34F0">
        <w:t>neighbourhood</w:t>
      </w:r>
      <w:r w:rsidR="0061575A" w:rsidRPr="002A34F0">
        <w:t>-</w:t>
      </w:r>
      <w:r w:rsidR="009D795D" w:rsidRPr="002A34F0">
        <w:t xml:space="preserve">level barriers </w:t>
      </w:r>
      <w:r w:rsidR="00FD521C" w:rsidRPr="002A34F0">
        <w:t xml:space="preserve">stymie efforts to </w:t>
      </w:r>
      <w:r w:rsidR="009D795D" w:rsidRPr="002A34F0">
        <w:t xml:space="preserve">address most environmental and health challenges. As such, it is important to identify where these issues are most critical between and among </w:t>
      </w:r>
      <w:r w:rsidR="00C37D84" w:rsidRPr="002A34F0">
        <w:t xml:space="preserve">household </w:t>
      </w:r>
      <w:r w:rsidR="009D795D" w:rsidRPr="002A34F0">
        <w:t xml:space="preserve">SES groups to give policy makers a more accurate portrait of disparities. </w:t>
      </w:r>
    </w:p>
    <w:p w14:paraId="33CDAF31" w14:textId="77777777" w:rsidR="002E45DD" w:rsidRPr="002A34F0" w:rsidRDefault="002E45DD" w:rsidP="002E45DD">
      <w:pPr>
        <w:spacing w:before="240" w:after="240" w:line="480" w:lineRule="auto"/>
      </w:pPr>
    </w:p>
    <w:p w14:paraId="16E2515A" w14:textId="77777777" w:rsidR="00D81E51" w:rsidRPr="002A34F0" w:rsidRDefault="00D81E51">
      <w:pPr>
        <w:rPr>
          <w:b/>
          <w:bCs/>
        </w:rPr>
      </w:pPr>
      <w:r w:rsidRPr="002A34F0">
        <w:rPr>
          <w:b/>
          <w:bCs/>
        </w:rPr>
        <w:br w:type="page"/>
      </w:r>
    </w:p>
    <w:p w14:paraId="2958E968" w14:textId="71F31E67" w:rsidR="002E45DD" w:rsidRPr="002A34F0" w:rsidRDefault="002E45DD" w:rsidP="002E45DD">
      <w:pPr>
        <w:spacing w:before="240" w:after="240" w:line="480" w:lineRule="auto"/>
        <w:rPr>
          <w:b/>
          <w:bCs/>
        </w:rPr>
      </w:pPr>
      <w:r w:rsidRPr="002A34F0">
        <w:rPr>
          <w:b/>
          <w:bCs/>
        </w:rPr>
        <w:lastRenderedPageBreak/>
        <w:t>Acknowledgements</w:t>
      </w:r>
    </w:p>
    <w:p w14:paraId="4905B753" w14:textId="6F88F7C0" w:rsidR="002E45DD" w:rsidRPr="002A34F0" w:rsidRDefault="00204638" w:rsidP="002E45DD">
      <w:pPr>
        <w:spacing w:before="240" w:after="240" w:line="480" w:lineRule="auto"/>
      </w:pPr>
      <w:r w:rsidRPr="002A34F0">
        <w:t>This work is supported by the Pathways to Equitable Healthy Cities grant from the Wellcome Trust [209376/Z/17/Z]. For the purpose of Open Access, the author has applied a CC BY public copyright licence to any Author Accepted Manuscript version arising from this submission. We additionally thank participants residents of Accra</w:t>
      </w:r>
      <w:r w:rsidR="00D81E51" w:rsidRPr="002A34F0">
        <w:t xml:space="preserve"> and participants at</w:t>
      </w:r>
      <w:r w:rsidRPr="002A34F0">
        <w:t xml:space="preserve"> the Pathways Annual meeting for constructive feedback and comments on oral versions of this manuscript.</w:t>
      </w:r>
    </w:p>
    <w:p w14:paraId="5E7AD017" w14:textId="77777777" w:rsidR="00204638" w:rsidRPr="002A34F0" w:rsidRDefault="00204638" w:rsidP="002E45DD">
      <w:pPr>
        <w:spacing w:before="240" w:after="240" w:line="480" w:lineRule="auto"/>
      </w:pPr>
    </w:p>
    <w:p w14:paraId="7EF9DF9A" w14:textId="77777777" w:rsidR="00D81E51" w:rsidRPr="002A34F0" w:rsidRDefault="00D81E51">
      <w:pPr>
        <w:rPr>
          <w:rFonts w:cs="Arial"/>
          <w:b/>
          <w:bCs/>
          <w:kern w:val="32"/>
          <w:szCs w:val="32"/>
          <w:lang w:val="en-GB" w:eastAsia="en-GB"/>
        </w:rPr>
      </w:pPr>
      <w:bookmarkStart w:id="27" w:name="_Hlk92285862"/>
      <w:r w:rsidRPr="002A34F0">
        <w:br w:type="page"/>
      </w:r>
    </w:p>
    <w:p w14:paraId="57C50E6A" w14:textId="681B6B8D" w:rsidR="001050C4" w:rsidRPr="002A34F0" w:rsidRDefault="001050C4" w:rsidP="001050C4">
      <w:pPr>
        <w:pStyle w:val="Heading1"/>
      </w:pPr>
      <w:r w:rsidRPr="002A34F0">
        <w:lastRenderedPageBreak/>
        <w:t>References</w:t>
      </w:r>
    </w:p>
    <w:p w14:paraId="0C5FCF47" w14:textId="453AB078" w:rsidR="00AE76BD" w:rsidRPr="002A34F0" w:rsidRDefault="00AE76BD" w:rsidP="007962B3">
      <w:pPr>
        <w:pStyle w:val="Paragraph"/>
        <w:ind w:left="720" w:hanging="720"/>
      </w:pPr>
      <w:r w:rsidRPr="002A34F0">
        <w:t>Abekah-Nkrumah, G., Guerriero, M., &amp; Purohit, P. (2014). ICTs and maternal healthcare utilization. Evidence from Ghana</w:t>
      </w:r>
      <w:r w:rsidRPr="002A34F0">
        <w:rPr>
          <w:i/>
          <w:iCs/>
        </w:rPr>
        <w:t>. International Journal of Social Economics, 41</w:t>
      </w:r>
      <w:r w:rsidRPr="002A34F0">
        <w:t>(7), 518-541.</w:t>
      </w:r>
    </w:p>
    <w:p w14:paraId="7337A9AD" w14:textId="729DBC24" w:rsidR="00CD37E1" w:rsidRPr="002A34F0" w:rsidRDefault="00CD37E1" w:rsidP="00AC11CB">
      <w:pPr>
        <w:pStyle w:val="Newparagraph"/>
        <w:ind w:left="720" w:hanging="720"/>
      </w:pPr>
      <w:r w:rsidRPr="002A34F0">
        <w:t>Accra Planning and Development Programme (1990). Strategic Plan for the Greater Accra Metropolitan Area: Context Report, Vol. 1. Ministry of Local Government (Ghana), Department of Town and Country Planning (Ghana), United Nations Development Programme, United Nations Centre for Human Settlements.</w:t>
      </w:r>
    </w:p>
    <w:p w14:paraId="5A1520B2" w14:textId="45708726" w:rsidR="0006759E" w:rsidRPr="002A34F0" w:rsidRDefault="001A686D" w:rsidP="004D1777">
      <w:pPr>
        <w:pStyle w:val="References"/>
        <w:spacing w:line="480" w:lineRule="auto"/>
      </w:pPr>
      <w:r w:rsidRPr="002A34F0">
        <w:t xml:space="preserve">Alli A.S., Clark S.N., Wang J., Bennett, J., Hughes, A.F., Ezzati, M., Brauer, M., Nimo, J., Bedford-Moses, J., Baah, S., Cavanaugh, A., Agyei-Mensah, S., Owusu, G., Baumgartner, J., Arku, R.E. (2023). High-resolution patterns and inequalities in ambient fine particle mass (PM(2.5)) and black carbon (BC) in the Greater Accra Metropolis, Ghana. </w:t>
      </w:r>
      <w:r w:rsidRPr="002A34F0">
        <w:rPr>
          <w:i/>
          <w:iCs/>
        </w:rPr>
        <w:t>Science of the Total Environment; 875</w:t>
      </w:r>
      <w:r w:rsidRPr="002A34F0">
        <w:t>: 162582.</w:t>
      </w:r>
    </w:p>
    <w:p w14:paraId="1DEB5303" w14:textId="77777777" w:rsidR="00CD37E1" w:rsidRPr="002A34F0" w:rsidRDefault="00CD37E1" w:rsidP="00CD37E1">
      <w:pPr>
        <w:pStyle w:val="References"/>
      </w:pPr>
      <w:r w:rsidRPr="002A34F0">
        <w:t xml:space="preserve">Agyei‐Mensah, S., &amp; Owusu, G. (2010). Segregated by neighbourhoods? A portrait of ethnic diversity in the neighbourhoods of the Accra Metropolitan Area, Ghana. </w:t>
      </w:r>
      <w:r w:rsidRPr="002A34F0">
        <w:rPr>
          <w:i/>
          <w:iCs/>
        </w:rPr>
        <w:t>Population, Space and Place,</w:t>
      </w:r>
      <w:r w:rsidRPr="002A34F0">
        <w:t xml:space="preserve"> 16 (6), 499-516.</w:t>
      </w:r>
    </w:p>
    <w:p w14:paraId="51F9E967" w14:textId="77777777" w:rsidR="00462222" w:rsidRPr="002A34F0" w:rsidRDefault="00462222" w:rsidP="00976710">
      <w:pPr>
        <w:pStyle w:val="References"/>
      </w:pPr>
      <w:r w:rsidRPr="002A34F0">
        <w:t xml:space="preserve">Andrzejewski, C. S., Reed, H. E., &amp; White, M. J. (2009). Does where you live influence what you know? Community effects on health knowledge in Ghana. </w:t>
      </w:r>
      <w:r w:rsidRPr="002A34F0">
        <w:rPr>
          <w:i/>
          <w:iCs/>
        </w:rPr>
        <w:t>Health &amp; place, 15</w:t>
      </w:r>
      <w:r w:rsidRPr="002A34F0">
        <w:t>(1), 228-238.</w:t>
      </w:r>
    </w:p>
    <w:p w14:paraId="5F67852A" w14:textId="77777777" w:rsidR="00976710" w:rsidRPr="002A34F0" w:rsidRDefault="00976710" w:rsidP="00976710">
      <w:pPr>
        <w:pStyle w:val="References"/>
      </w:pPr>
      <w:r w:rsidRPr="002A34F0">
        <w:t xml:space="preserve">Ansong, D., Ansong, E. K., Ampomah, A. O., &amp; Adjabeng, B. K. (2015). Factors contributing to spatial inequality in academic achievement in Ghana: Analysis of district-level factors using geographically weighted regression. </w:t>
      </w:r>
      <w:r w:rsidRPr="002A34F0">
        <w:rPr>
          <w:i/>
          <w:iCs/>
        </w:rPr>
        <w:t>Applied geography,</w:t>
      </w:r>
      <w:r w:rsidRPr="002A34F0">
        <w:t xml:space="preserve"> 62, 136-146.</w:t>
      </w:r>
    </w:p>
    <w:p w14:paraId="216C859C" w14:textId="77777777" w:rsidR="00976710" w:rsidRPr="002A34F0" w:rsidRDefault="00976710" w:rsidP="00976710">
      <w:pPr>
        <w:pStyle w:val="References"/>
      </w:pPr>
      <w:r w:rsidRPr="002A34F0">
        <w:t>Appiah-Effah, E., Duku, G. A., Azangbego, N. Y., Aggrey, R. K. A., Gyapong-Korsah, B., &amp; Nyarko, K. B. (2019). Ghana's post-MDGs sanitation situation: an overview. Journal of Water, Sanitation and Hygiene for Development, 9(3), 397-415.</w:t>
      </w:r>
    </w:p>
    <w:p w14:paraId="5B4E73FB" w14:textId="77777777" w:rsidR="00976710" w:rsidRPr="002A34F0" w:rsidRDefault="00976710" w:rsidP="00976710">
      <w:pPr>
        <w:pStyle w:val="References"/>
      </w:pPr>
      <w:r w:rsidRPr="002A34F0">
        <w:lastRenderedPageBreak/>
        <w:t>Aryeetey, E., &amp; Baah-Boateng, W. (2016). Understanding Ghana's Growth Success Story and Job Creation Challenges. WIDER Working Paper No. 2015/140. Helsinki: The United Nations University World Institute for Development Economics Research (UNU-WIDER)</w:t>
      </w:r>
    </w:p>
    <w:p w14:paraId="6BC45ADE" w14:textId="77777777" w:rsidR="00976710" w:rsidRPr="002A34F0" w:rsidRDefault="00976710" w:rsidP="00976710">
      <w:pPr>
        <w:pStyle w:val="References"/>
      </w:pPr>
      <w:r w:rsidRPr="002A34F0">
        <w:t xml:space="preserve">Asiedu, A. B., &amp; Arku, G. (2009). The rise of gated housing estates in Ghana: Empirical insights from three communities in metropolitan Accra. </w:t>
      </w:r>
      <w:r w:rsidRPr="002A34F0">
        <w:rPr>
          <w:i/>
          <w:iCs/>
        </w:rPr>
        <w:t>Journal of Housing and the Built environment,</w:t>
      </w:r>
      <w:r w:rsidRPr="002A34F0">
        <w:t xml:space="preserve"> 24(3), 227-247.</w:t>
      </w:r>
    </w:p>
    <w:p w14:paraId="66DEEC0F" w14:textId="77777777" w:rsidR="00976710" w:rsidRPr="002A34F0" w:rsidRDefault="00976710" w:rsidP="00976710">
      <w:pPr>
        <w:pStyle w:val="References"/>
      </w:pPr>
      <w:r w:rsidRPr="002A34F0">
        <w:t xml:space="preserve">Awumbila, M., Owusu, G., &amp; Teye, J. K. (2014). Can rural-urban migration into slums reduce poverty? Evidence from Ghana. Migrating out of Poverty Research Programme Consortium, Working Paper 13. </w:t>
      </w:r>
    </w:p>
    <w:p w14:paraId="1112ED91" w14:textId="5C320371" w:rsidR="00976710" w:rsidRPr="002A34F0" w:rsidRDefault="00976710" w:rsidP="00976710">
      <w:pPr>
        <w:pStyle w:val="References"/>
      </w:pPr>
      <w:r w:rsidRPr="002A34F0">
        <w:t xml:space="preserve">Barca, F., McCann, P., &amp; Rodríguez‐Pose, A. (2012). The case for regional development intervention: place‐based versus place‐neutral approaches. Journal of regional science, 52(1), 134-152. </w:t>
      </w:r>
    </w:p>
    <w:p w14:paraId="05BADAB9" w14:textId="3C777108" w:rsidR="00535836" w:rsidRPr="002A34F0" w:rsidRDefault="00535836" w:rsidP="0062304E">
      <w:pPr>
        <w:pStyle w:val="References"/>
      </w:pPr>
      <w:r w:rsidRPr="002A34F0">
        <w:rPr>
          <w:bCs/>
          <w:lang w:val="en-US"/>
        </w:rPr>
        <w:t>Bixby, H., Bennett, J. E., Bawah, A. A., Arku, R. E., Annim, S. K., Anum, J. D., Mintah, S. E., Schmidt, A. M., Agyei-Asabere, C., Robinson, B. E., Cavanaugh, A., Agyei-Mensah, S., Owusu, G., Ezzati, M., &amp; Baumgartner, J. (</w:t>
      </w:r>
      <w:r w:rsidRPr="002A34F0">
        <w:rPr>
          <w:lang w:val="en-US"/>
        </w:rPr>
        <w:t xml:space="preserve">2022). </w:t>
      </w:r>
      <w:r w:rsidRPr="002A34F0">
        <w:rPr>
          <w:bCs/>
          <w:lang w:val="en-US"/>
        </w:rPr>
        <w:t xml:space="preserve">Quantifying within-city inequalities in child mortality across neighbourhoods in Accra, Ghana, </w:t>
      </w:r>
      <w:r w:rsidRPr="002A34F0">
        <w:rPr>
          <w:bCs/>
          <w:i/>
          <w:iCs/>
          <w:lang w:val="en-US"/>
        </w:rPr>
        <w:t>BMJ Open</w:t>
      </w:r>
      <w:r w:rsidRPr="002A34F0">
        <w:rPr>
          <w:bCs/>
          <w:lang w:val="en-US"/>
        </w:rPr>
        <w:t>.</w:t>
      </w:r>
    </w:p>
    <w:p w14:paraId="1E309FA8" w14:textId="77777777" w:rsidR="00976710" w:rsidRPr="002A34F0" w:rsidRDefault="00976710" w:rsidP="00976710">
      <w:pPr>
        <w:pStyle w:val="References"/>
      </w:pPr>
      <w:r w:rsidRPr="002A34F0">
        <w:t>Boamah, N. A. (2010). Housing affordability in Ghana: a focus on Kumasi and Tamale. Ethiopian journal of environmental studies and management, 3(3).</w:t>
      </w:r>
    </w:p>
    <w:p w14:paraId="4A69AA8D" w14:textId="0058433D" w:rsidR="00976710" w:rsidRPr="002A34F0" w:rsidRDefault="00976710" w:rsidP="00976710">
      <w:pPr>
        <w:pStyle w:val="References"/>
        <w:rPr>
          <w:lang w:val="en-US"/>
        </w:rPr>
      </w:pPr>
      <w:r w:rsidRPr="002A34F0">
        <w:rPr>
          <w:lang w:val="en-US"/>
        </w:rPr>
        <w:t>Borel-Saladin, J., &amp; Crankshaw, O. (2009). Social polarisation or professionalisation? Another look at theory and evidence on deindustrialisation and the rise of the service sector. </w:t>
      </w:r>
      <w:r w:rsidRPr="002A34F0">
        <w:rPr>
          <w:i/>
          <w:iCs/>
          <w:lang w:val="en-US"/>
        </w:rPr>
        <w:t>Urban Studies</w:t>
      </w:r>
      <w:r w:rsidRPr="002A34F0">
        <w:rPr>
          <w:lang w:val="en-US"/>
        </w:rPr>
        <w:t>, </w:t>
      </w:r>
      <w:r w:rsidRPr="002A34F0">
        <w:rPr>
          <w:i/>
          <w:iCs/>
          <w:lang w:val="en-US"/>
        </w:rPr>
        <w:t>46</w:t>
      </w:r>
      <w:r w:rsidRPr="002A34F0">
        <w:rPr>
          <w:lang w:val="en-US"/>
        </w:rPr>
        <w:t>(3), 645-664.</w:t>
      </w:r>
    </w:p>
    <w:p w14:paraId="551821BF" w14:textId="1A8B585D" w:rsidR="0030717E" w:rsidRPr="002A34F0" w:rsidRDefault="0030717E" w:rsidP="00976710">
      <w:pPr>
        <w:pStyle w:val="References"/>
        <w:rPr>
          <w:lang w:val="en-US"/>
        </w:rPr>
      </w:pPr>
      <w:r w:rsidRPr="002A34F0">
        <w:rPr>
          <w:lang w:val="en-US"/>
        </w:rPr>
        <w:t xml:space="preserve">Brand, R. R. (1972). The spatial organization of residential areas in Accra, Ghana, with particular reference to aspects of modernization. </w:t>
      </w:r>
      <w:r w:rsidRPr="002A34F0">
        <w:rPr>
          <w:i/>
          <w:iCs/>
          <w:lang w:val="en-US"/>
        </w:rPr>
        <w:t>Economic Geography, 48</w:t>
      </w:r>
      <w:r w:rsidRPr="002A34F0">
        <w:rPr>
          <w:lang w:val="en-US"/>
        </w:rPr>
        <w:t>(3), 284-298.</w:t>
      </w:r>
    </w:p>
    <w:p w14:paraId="52C0B7BE" w14:textId="77777777" w:rsidR="00976710" w:rsidRPr="002A34F0" w:rsidRDefault="00976710" w:rsidP="00976710">
      <w:pPr>
        <w:pStyle w:val="References"/>
        <w:rPr>
          <w:lang w:val="en-US"/>
        </w:rPr>
      </w:pPr>
      <w:r w:rsidRPr="002A34F0">
        <w:rPr>
          <w:lang w:val="en-US"/>
        </w:rPr>
        <w:t>Brock, W. A., &amp; Durlauf, S. N. (2001). Discrete choice with social interactions. </w:t>
      </w:r>
      <w:r w:rsidRPr="002A34F0">
        <w:rPr>
          <w:i/>
          <w:iCs/>
          <w:lang w:val="en-US"/>
        </w:rPr>
        <w:t>The Review of Economic Studies</w:t>
      </w:r>
      <w:r w:rsidRPr="002A34F0">
        <w:rPr>
          <w:lang w:val="en-US"/>
        </w:rPr>
        <w:t>, </w:t>
      </w:r>
      <w:r w:rsidRPr="002A34F0">
        <w:rPr>
          <w:i/>
          <w:iCs/>
          <w:lang w:val="en-US"/>
        </w:rPr>
        <w:t>68</w:t>
      </w:r>
      <w:r w:rsidRPr="002A34F0">
        <w:rPr>
          <w:lang w:val="en-US"/>
        </w:rPr>
        <w:t>(2), 235-260.</w:t>
      </w:r>
    </w:p>
    <w:p w14:paraId="4655C9AB" w14:textId="00E8AD13" w:rsidR="00976710" w:rsidRPr="002A34F0" w:rsidRDefault="00976710" w:rsidP="00976710">
      <w:pPr>
        <w:pStyle w:val="References"/>
        <w:rPr>
          <w:lang w:val="en-US"/>
        </w:rPr>
      </w:pPr>
      <w:r w:rsidRPr="002A34F0">
        <w:rPr>
          <w:lang w:val="en-US"/>
        </w:rPr>
        <w:t xml:space="preserve">Browning, C. R., &amp; Cagney, K. A. (2003). Moving beyond poverty: </w:t>
      </w:r>
      <w:r w:rsidR="00D43C24" w:rsidRPr="002A34F0">
        <w:rPr>
          <w:lang w:val="en-US"/>
        </w:rPr>
        <w:t>Neighbour</w:t>
      </w:r>
      <w:r w:rsidRPr="002A34F0">
        <w:rPr>
          <w:lang w:val="en-US"/>
        </w:rPr>
        <w:t>hood structure, social processes, and health. Journal of health and social behavior, 552-571.</w:t>
      </w:r>
    </w:p>
    <w:p w14:paraId="31AB2E84" w14:textId="77777777" w:rsidR="00976710" w:rsidRPr="002A34F0" w:rsidRDefault="00976710" w:rsidP="00976710">
      <w:pPr>
        <w:pStyle w:val="References"/>
      </w:pPr>
      <w:r w:rsidRPr="002A34F0">
        <w:lastRenderedPageBreak/>
        <w:t>Chetty, R., Hendren, N., Kline, P., &amp; Saez, E. (2014). Where is the land of opportunity? The geography of intergenerational mobility in the United States. The Quarterly Journal of Economics, 129(4), 1553-1623.</w:t>
      </w:r>
    </w:p>
    <w:p w14:paraId="0F245D91" w14:textId="1583FEE2" w:rsidR="00976710" w:rsidRPr="002A34F0" w:rsidRDefault="00976710" w:rsidP="00976710">
      <w:pPr>
        <w:pStyle w:val="References"/>
      </w:pPr>
      <w:r w:rsidRPr="002A34F0">
        <w:rPr>
          <w:lang w:val="en-US"/>
        </w:rPr>
        <w:t xml:space="preserve">Chetty, R., Hendren, N., &amp; Katz, L. F. (2016). The effects of exposure to better </w:t>
      </w:r>
      <w:r w:rsidR="00D43C24" w:rsidRPr="002A34F0">
        <w:rPr>
          <w:lang w:val="en-US"/>
        </w:rPr>
        <w:t>neighbour</w:t>
      </w:r>
      <w:r w:rsidRPr="002A34F0">
        <w:rPr>
          <w:lang w:val="en-US"/>
        </w:rPr>
        <w:t>hoods on children: New evidence from the moving to opportunity experiment. </w:t>
      </w:r>
      <w:r w:rsidRPr="002A34F0">
        <w:rPr>
          <w:i/>
          <w:iCs/>
          <w:lang w:val="en-US"/>
        </w:rPr>
        <w:t>American Economic Review</w:t>
      </w:r>
      <w:r w:rsidRPr="002A34F0">
        <w:rPr>
          <w:lang w:val="en-US"/>
        </w:rPr>
        <w:t>, </w:t>
      </w:r>
      <w:r w:rsidRPr="002A34F0">
        <w:rPr>
          <w:i/>
          <w:iCs/>
          <w:lang w:val="en-US"/>
        </w:rPr>
        <w:t>106</w:t>
      </w:r>
      <w:r w:rsidRPr="002A34F0">
        <w:rPr>
          <w:lang w:val="en-US"/>
        </w:rPr>
        <w:t>(4), 855-902.</w:t>
      </w:r>
    </w:p>
    <w:p w14:paraId="01262E77" w14:textId="0D16F853" w:rsidR="00976710" w:rsidRPr="002A34F0" w:rsidRDefault="00976710" w:rsidP="00976710">
      <w:pPr>
        <w:pStyle w:val="References"/>
        <w:rPr>
          <w:lang w:val="en-US"/>
        </w:rPr>
      </w:pPr>
      <w:r w:rsidRPr="002A34F0">
        <w:rPr>
          <w:lang w:val="en-US"/>
        </w:rPr>
        <w:t>Chetty, R., Jackson, M. O., Kuchler, T., Stroebel, J., Hendren, N., Fluegge, R. B., Gong, S., Gonzalez, F., Grondin, A., Jacob, M. and Johnston, D., Koenen, M., Laguna-Muggenburg, E., Mudekereza, F., Rutter, T., Thor, N., Townsend, W., Zhang, R., Bailey, M., Barberá, P., Bhole, M., &amp; Wernerfelt, N. (2022). Social capital I: measurement and associations with economic mobility. </w:t>
      </w:r>
      <w:r w:rsidRPr="002A34F0">
        <w:rPr>
          <w:i/>
          <w:iCs/>
          <w:lang w:val="en-US"/>
        </w:rPr>
        <w:t>Nature</w:t>
      </w:r>
      <w:r w:rsidRPr="002A34F0">
        <w:rPr>
          <w:lang w:val="en-US"/>
        </w:rPr>
        <w:t>, 608, 108-121.</w:t>
      </w:r>
    </w:p>
    <w:p w14:paraId="45415195" w14:textId="6CEC91E2" w:rsidR="00F038B7" w:rsidRPr="002A34F0" w:rsidRDefault="00F038B7" w:rsidP="00976710">
      <w:pPr>
        <w:pStyle w:val="References"/>
        <w:rPr>
          <w:lang w:val="en-US"/>
        </w:rPr>
      </w:pPr>
      <w:r w:rsidRPr="002A34F0">
        <w:rPr>
          <w:bCs/>
          <w:lang w:val="en-US"/>
        </w:rPr>
        <w:t>Clark, S. N., Abosede, S. A., Ezzati, M., Brauer, M., Toledano, M. B., Nimo, J., Moses, J. B., Baah, S., Hughes, A., Cavanaugh, A., Agyei-Mensah, Owusu, G., Baumgartner, J., Robinson, B., Bennett, J. E., &amp; Arku, R. (</w:t>
      </w:r>
      <w:r w:rsidRPr="002A34F0">
        <w:rPr>
          <w:lang w:val="en-US"/>
        </w:rPr>
        <w:t xml:space="preserve">2022). </w:t>
      </w:r>
      <w:r w:rsidRPr="002A34F0">
        <w:rPr>
          <w:bCs/>
          <w:lang w:val="en-US"/>
        </w:rPr>
        <w:t xml:space="preserve">Spatial Modelling and inequalities in environmental noise in Accra, Ghana. </w:t>
      </w:r>
      <w:r w:rsidRPr="002A34F0">
        <w:rPr>
          <w:bCs/>
          <w:i/>
          <w:iCs/>
          <w:lang w:val="en-US"/>
        </w:rPr>
        <w:t>Environmental Research</w:t>
      </w:r>
    </w:p>
    <w:p w14:paraId="30D133D8" w14:textId="77777777" w:rsidR="00976710" w:rsidRPr="002A34F0" w:rsidRDefault="00976710" w:rsidP="00976710">
      <w:pPr>
        <w:pStyle w:val="References"/>
        <w:rPr>
          <w:lang w:val="en-US"/>
        </w:rPr>
      </w:pPr>
      <w:r w:rsidRPr="002A34F0">
        <w:rPr>
          <w:lang w:val="en-US"/>
        </w:rPr>
        <w:t xml:space="preserve">Cuesta, J., Devereux, S., Abdulai, A. G., Gupte, J., Ragno, L. P., Roelen, K., </w:t>
      </w:r>
      <w:r w:rsidRPr="002A34F0">
        <w:t>Sabates-Wheeler, R.,</w:t>
      </w:r>
      <w:r w:rsidRPr="002A34F0">
        <w:rPr>
          <w:lang w:val="en-US"/>
        </w:rPr>
        <w:t xml:space="preserve"> &amp; Spadafora, T. (2021). Urban social assistance: Evidence, challenges and the way forward, with application to Ghana. </w:t>
      </w:r>
      <w:r w:rsidRPr="002A34F0">
        <w:rPr>
          <w:i/>
          <w:iCs/>
          <w:lang w:val="en-US"/>
        </w:rPr>
        <w:t>Development Policy Review</w:t>
      </w:r>
      <w:r w:rsidRPr="002A34F0">
        <w:rPr>
          <w:lang w:val="en-US"/>
        </w:rPr>
        <w:t>, </w:t>
      </w:r>
      <w:r w:rsidRPr="002A34F0">
        <w:rPr>
          <w:i/>
          <w:iCs/>
          <w:lang w:val="en-US"/>
        </w:rPr>
        <w:t>39</w:t>
      </w:r>
      <w:r w:rsidRPr="002A34F0">
        <w:rPr>
          <w:lang w:val="en-US"/>
        </w:rPr>
        <w:t>(3), 360-380.</w:t>
      </w:r>
    </w:p>
    <w:p w14:paraId="420C2CDC" w14:textId="34FF5A8D" w:rsidR="00CD37E1" w:rsidRPr="002A34F0" w:rsidRDefault="00CD37E1" w:rsidP="00976710">
      <w:pPr>
        <w:pStyle w:val="References"/>
        <w:rPr>
          <w:lang w:val="en-US"/>
        </w:rPr>
      </w:pPr>
      <w:r w:rsidRPr="002A34F0">
        <w:rPr>
          <w:lang w:val="en-US"/>
        </w:rPr>
        <w:t xml:space="preserve">Danso-Wiredu, E. Y. (2018). Housing strategies in low income urban communities in Accra, Ghana. </w:t>
      </w:r>
      <w:r w:rsidRPr="002A34F0">
        <w:rPr>
          <w:i/>
          <w:iCs/>
          <w:lang w:val="en-US"/>
        </w:rPr>
        <w:t>GeoJournal, 83</w:t>
      </w:r>
      <w:r w:rsidRPr="002A34F0">
        <w:rPr>
          <w:lang w:val="en-US"/>
        </w:rPr>
        <w:t>(4), 663-677.</w:t>
      </w:r>
    </w:p>
    <w:p w14:paraId="64BEAA2D" w14:textId="4B30B177" w:rsidR="00976710" w:rsidRPr="002A34F0" w:rsidRDefault="00976710" w:rsidP="00976710">
      <w:pPr>
        <w:pStyle w:val="References"/>
      </w:pPr>
      <w:r w:rsidRPr="002A34F0">
        <w:t>Dapaah, E. K., &amp; Harris, L. M. (2017). Framing community entitlements to water in Accra, Ghana: A complex reality. Geoforum, 82, 26-39.</w:t>
      </w:r>
    </w:p>
    <w:p w14:paraId="26150A9C" w14:textId="300F955C" w:rsidR="00462222" w:rsidRPr="002A34F0" w:rsidRDefault="00462222" w:rsidP="00976710">
      <w:pPr>
        <w:pStyle w:val="References"/>
      </w:pPr>
      <w:r w:rsidRPr="002A34F0">
        <w:t xml:space="preserve">Diez Roux, A. V. (2001). Investigating neighborhood and area effects on health. </w:t>
      </w:r>
      <w:r w:rsidRPr="002A34F0">
        <w:rPr>
          <w:i/>
          <w:iCs/>
        </w:rPr>
        <w:t>American journal of public health, 91</w:t>
      </w:r>
      <w:r w:rsidRPr="002A34F0">
        <w:t>(11), 1783-1789.</w:t>
      </w:r>
    </w:p>
    <w:p w14:paraId="72E39538" w14:textId="42A75429" w:rsidR="00EC2149" w:rsidRPr="002A34F0" w:rsidRDefault="00EC2149" w:rsidP="00976710">
      <w:pPr>
        <w:pStyle w:val="References"/>
      </w:pPr>
      <w:r w:rsidRPr="002A34F0">
        <w:rPr>
          <w:lang w:val="en-CA"/>
        </w:rPr>
        <w:t>Doiron, D., Setton, E. M., Shairsingh, K., Brauer, M., Hystad, P., Ross, N. A., &amp; Brook, J. R. (2020). Healthy built environment: Spatial patterns and relationships of multiple exposures and deprivation in Toronto, Montreal and Vancouver. </w:t>
      </w:r>
      <w:r w:rsidRPr="002A34F0">
        <w:rPr>
          <w:i/>
          <w:iCs/>
          <w:lang w:val="en-CA"/>
        </w:rPr>
        <w:t>Environment International</w:t>
      </w:r>
      <w:r w:rsidRPr="002A34F0">
        <w:rPr>
          <w:lang w:val="en-CA"/>
        </w:rPr>
        <w:t>, </w:t>
      </w:r>
      <w:r w:rsidRPr="002A34F0">
        <w:rPr>
          <w:i/>
          <w:iCs/>
          <w:lang w:val="en-CA"/>
        </w:rPr>
        <w:t>143</w:t>
      </w:r>
      <w:r w:rsidRPr="002A34F0">
        <w:rPr>
          <w:lang w:val="en-CA"/>
        </w:rPr>
        <w:t>, 106003.</w:t>
      </w:r>
    </w:p>
    <w:p w14:paraId="11EFABD9" w14:textId="45103EDB" w:rsidR="00976710" w:rsidRPr="002A34F0" w:rsidRDefault="00976710" w:rsidP="00976710">
      <w:pPr>
        <w:pStyle w:val="References"/>
      </w:pPr>
      <w:r w:rsidRPr="002A34F0">
        <w:t>Farvacque-Vitkovic, C., Raghunath, M., Eghoff, C., &amp; Boakye, C. (2008). Development of the cities of Ghana: challenges, priorities, and tools. Working Paper No. 44871, 1-170. Washington, D.C: World Bank Group.</w:t>
      </w:r>
    </w:p>
    <w:p w14:paraId="1B484422" w14:textId="0845EEEE" w:rsidR="00214C0A" w:rsidRPr="002A34F0" w:rsidRDefault="00214C0A" w:rsidP="00976710">
      <w:pPr>
        <w:pStyle w:val="References"/>
      </w:pPr>
      <w:r w:rsidRPr="002A34F0">
        <w:lastRenderedPageBreak/>
        <w:t xml:space="preserve">Fowler, C. S., &amp; Kleit, R. G. (2015). The Effects of Industrial Clusters on the Poverty Rate. </w:t>
      </w:r>
      <w:r w:rsidRPr="002A34F0">
        <w:rPr>
          <w:i/>
          <w:iCs/>
        </w:rPr>
        <w:t>Economic Geography, 90</w:t>
      </w:r>
      <w:r w:rsidRPr="002A34F0">
        <w:t>(2), 129-154.</w:t>
      </w:r>
    </w:p>
    <w:p w14:paraId="32A0653F" w14:textId="77777777" w:rsidR="00976710" w:rsidRPr="002A34F0" w:rsidRDefault="00976710" w:rsidP="00976710">
      <w:pPr>
        <w:pStyle w:val="References"/>
      </w:pPr>
      <w:r w:rsidRPr="002A34F0">
        <w:t>Fuseini, I., &amp; Kemp, J. (2015). A review of spatial planning in Ghana's socio-economic development trajectory: A sustainable development perspective. Land use policy, 47, 309-320.</w:t>
      </w:r>
    </w:p>
    <w:p w14:paraId="4E58F6D1" w14:textId="77777777" w:rsidR="00976710" w:rsidRPr="002A34F0" w:rsidRDefault="00976710" w:rsidP="00976710">
      <w:pPr>
        <w:pStyle w:val="References"/>
      </w:pPr>
      <w:r w:rsidRPr="002A34F0">
        <w:t>Gaisie, E., Kim, H. M., &amp; Han, S. S. (2019). Accra towards a city-region: Devolution, spatial development and urban challenges. Cities, 95, 102398.</w:t>
      </w:r>
    </w:p>
    <w:p w14:paraId="460198B7" w14:textId="77777777" w:rsidR="00976710" w:rsidRPr="002A34F0" w:rsidRDefault="00976710" w:rsidP="00976710">
      <w:pPr>
        <w:pStyle w:val="References"/>
      </w:pPr>
      <w:r w:rsidRPr="002A34F0">
        <w:t>Gibson, M., Petticrew, M., Bambra, C., Sowden, A. J., Wright, K. E., &amp; Whitehead, M. (2011). Housing and health inequalities: a synthesis of systematic reviews of interventions aimed at different pathways linking housing and health. Health &amp; place, 17(1), 175-184.</w:t>
      </w:r>
    </w:p>
    <w:p w14:paraId="464C6C1D" w14:textId="77777777" w:rsidR="00976710" w:rsidRPr="002A34F0" w:rsidRDefault="00976710" w:rsidP="00976710">
      <w:pPr>
        <w:pStyle w:val="References"/>
      </w:pPr>
      <w:r w:rsidRPr="002A34F0">
        <w:t xml:space="preserve">Grant, R. (2009). </w:t>
      </w:r>
      <w:r w:rsidRPr="002A34F0">
        <w:rPr>
          <w:i/>
          <w:iCs/>
        </w:rPr>
        <w:t>Globalizing city: The urban and economic transformation of Accra, Ghana.</w:t>
      </w:r>
      <w:r w:rsidRPr="002A34F0">
        <w:t xml:space="preserve"> Syracuse, NY: Syracuse University Press.</w:t>
      </w:r>
    </w:p>
    <w:p w14:paraId="6920F3E8" w14:textId="32B23878" w:rsidR="00CD37E1" w:rsidRPr="002A34F0" w:rsidRDefault="00CD37E1" w:rsidP="00976710">
      <w:pPr>
        <w:pStyle w:val="References"/>
      </w:pPr>
      <w:r w:rsidRPr="002A34F0">
        <w:t>Grant, R., &amp; Nijman, J. (2002). Globalization and the corporate geography of cities in the less‐developed world</w:t>
      </w:r>
      <w:r w:rsidRPr="002A34F0">
        <w:rPr>
          <w:i/>
          <w:iCs/>
        </w:rPr>
        <w:t>. Annals of the Association of American Geographers, 92</w:t>
      </w:r>
      <w:r w:rsidRPr="002A34F0">
        <w:t>(2), 320-340.</w:t>
      </w:r>
    </w:p>
    <w:p w14:paraId="7CDC60E2" w14:textId="70CF1E5F" w:rsidR="00976710" w:rsidRPr="002A34F0" w:rsidRDefault="00976710" w:rsidP="00976710">
      <w:pPr>
        <w:pStyle w:val="References"/>
      </w:pPr>
      <w:r w:rsidRPr="002A34F0">
        <w:t xml:space="preserve">Gottlieb, P. D. (1997). </w:t>
      </w:r>
      <w:r w:rsidR="00D43C24" w:rsidRPr="002A34F0">
        <w:t>Neighbour</w:t>
      </w:r>
      <w:r w:rsidRPr="002A34F0">
        <w:t xml:space="preserve">hood development in the metropolitan economy: A policy review. </w:t>
      </w:r>
      <w:r w:rsidRPr="002A34F0">
        <w:rPr>
          <w:i/>
          <w:iCs/>
        </w:rPr>
        <w:t>Journal of Urban Affairs,</w:t>
      </w:r>
      <w:r w:rsidRPr="002A34F0">
        <w:t xml:space="preserve"> 19(2), 163-182.</w:t>
      </w:r>
    </w:p>
    <w:p w14:paraId="07156996" w14:textId="4CD58E0A" w:rsidR="009E21E4" w:rsidRPr="002A34F0" w:rsidRDefault="009E21E4" w:rsidP="00976710">
      <w:pPr>
        <w:pStyle w:val="References"/>
      </w:pPr>
      <w:r w:rsidRPr="002A34F0">
        <w:t xml:space="preserve">Herrera, V. (2019). Reconciling global aspirations and local realities: Challenges facing the Sustainable Development Goals for water and sanitation. </w:t>
      </w:r>
      <w:r w:rsidRPr="002A34F0">
        <w:rPr>
          <w:i/>
          <w:iCs/>
        </w:rPr>
        <w:t>World Development, 118</w:t>
      </w:r>
      <w:r w:rsidRPr="002A34F0">
        <w:t>, 106-117.</w:t>
      </w:r>
    </w:p>
    <w:p w14:paraId="50959C28" w14:textId="75C18E40" w:rsidR="004121CD" w:rsidRPr="002A34F0" w:rsidRDefault="004121CD" w:rsidP="00976710">
      <w:pPr>
        <w:pStyle w:val="References"/>
      </w:pPr>
      <w:r w:rsidRPr="002A34F0">
        <w:t>International Telecommunication Union. (2023)</w:t>
      </w:r>
      <w:r w:rsidR="00D50BCB" w:rsidRPr="002A34F0">
        <w:t xml:space="preserve">. </w:t>
      </w:r>
      <w:r w:rsidRPr="002A34F0">
        <w:t>Measuring digital development, Facts and Figures: Focus on Least Developed Countries. Geneva, Switzerland: ITU</w:t>
      </w:r>
      <w:r w:rsidR="00D50BCB" w:rsidRPr="002A34F0">
        <w:t>.</w:t>
      </w:r>
    </w:p>
    <w:p w14:paraId="367F8F5A" w14:textId="6D33825B" w:rsidR="00AB1E93" w:rsidRPr="002A34F0" w:rsidRDefault="00AB1E93" w:rsidP="00976710">
      <w:pPr>
        <w:pStyle w:val="References"/>
      </w:pPr>
      <w:r w:rsidRPr="002A34F0">
        <w:t xml:space="preserve">Joseph, M. L., Arthur, I. K., &amp; Botchway, E. K. (2022). Promoting a geography of opportunity in Accra, Ghana: Applying lessons from mixed-income development successes and shortcomings. </w:t>
      </w:r>
      <w:r w:rsidRPr="002A34F0">
        <w:rPr>
          <w:i/>
          <w:iCs/>
        </w:rPr>
        <w:t>Journal of Urban Affairs, 44</w:t>
      </w:r>
      <w:r w:rsidRPr="002A34F0">
        <w:t>(3), 305-324.</w:t>
      </w:r>
    </w:p>
    <w:p w14:paraId="2D7DC1D4" w14:textId="537A3B52" w:rsidR="00976710" w:rsidRPr="002A34F0" w:rsidRDefault="00976710" w:rsidP="00976710">
      <w:pPr>
        <w:pStyle w:val="References"/>
      </w:pPr>
      <w:r w:rsidRPr="002A34F0">
        <w:t xml:space="preserve">Kawachi, I., &amp; Subramanian, S. V. (2014). Income inequality. </w:t>
      </w:r>
      <w:r w:rsidRPr="002A34F0">
        <w:rPr>
          <w:i/>
          <w:iCs/>
        </w:rPr>
        <w:t>Social epidemiology,</w:t>
      </w:r>
      <w:r w:rsidRPr="002A34F0">
        <w:t xml:space="preserve"> 126: 126-152.</w:t>
      </w:r>
    </w:p>
    <w:p w14:paraId="13428E6F" w14:textId="237D891C" w:rsidR="00462222" w:rsidRPr="002A34F0" w:rsidRDefault="00462222" w:rsidP="00976710">
      <w:pPr>
        <w:pStyle w:val="References"/>
      </w:pPr>
      <w:r w:rsidRPr="002A34F0">
        <w:t xml:space="preserve">Kim, Y., &amp; Cubbin, C. (2020). Neighborhood Poverty Histories and Physical Activity Among Children: Findings From the Geographic Research on Wellbeing (GROW) Study. </w:t>
      </w:r>
      <w:r w:rsidRPr="002A34F0">
        <w:rPr>
          <w:i/>
          <w:iCs/>
        </w:rPr>
        <w:t>American Journal of Health Promotion, 34</w:t>
      </w:r>
      <w:r w:rsidRPr="002A34F0">
        <w:t>(8), 876-885.</w:t>
      </w:r>
    </w:p>
    <w:p w14:paraId="4C81A214" w14:textId="77777777" w:rsidR="00976710" w:rsidRPr="002A34F0" w:rsidRDefault="00976710" w:rsidP="00976710">
      <w:pPr>
        <w:pStyle w:val="References"/>
      </w:pPr>
      <w:r w:rsidRPr="002A34F0">
        <w:lastRenderedPageBreak/>
        <w:t xml:space="preserve">Korah, P. I., Matthews, T., &amp; Tomerini, D. (2019). Characterising spatial and temporal patterns of urban evolution in Sub-Saharan Africa: The case of Accra, Ghana. </w:t>
      </w:r>
      <w:r w:rsidRPr="002A34F0">
        <w:rPr>
          <w:i/>
          <w:iCs/>
        </w:rPr>
        <w:t>Land Use Policy,</w:t>
      </w:r>
      <w:r w:rsidRPr="002A34F0">
        <w:t xml:space="preserve"> 87: 104049. </w:t>
      </w:r>
    </w:p>
    <w:p w14:paraId="2433BEB8" w14:textId="77777777" w:rsidR="00976710" w:rsidRPr="002A34F0" w:rsidRDefault="00976710" w:rsidP="00976710">
      <w:pPr>
        <w:pStyle w:val="References"/>
      </w:pPr>
      <w:r w:rsidRPr="002A34F0">
        <w:t xml:space="preserve">Krätke, S. (2014). Cities in contemporary capitalism. </w:t>
      </w:r>
      <w:r w:rsidRPr="002A34F0">
        <w:rPr>
          <w:i/>
          <w:iCs/>
        </w:rPr>
        <w:t>International Journal of Urban and Regional Research</w:t>
      </w:r>
      <w:r w:rsidRPr="002A34F0">
        <w:t xml:space="preserve"> 38(5):1660-1677. </w:t>
      </w:r>
    </w:p>
    <w:p w14:paraId="7028706F" w14:textId="77777777" w:rsidR="00976710" w:rsidRPr="002A34F0" w:rsidRDefault="00976710" w:rsidP="00976710">
      <w:pPr>
        <w:pStyle w:val="References"/>
      </w:pPr>
      <w:r w:rsidRPr="002A34F0">
        <w:t xml:space="preserve">Krieger, N., Feldman, J. M., Waterman, P. D., Chen, J. T., Coull, B. A., &amp; Hemenway, D. (2017). Local residential segregation matters: stronger association of census tract compared to conventional city-level measures with fatal and non-fatal assaults (total and firearm related), using the index of concentration at the extremes (ICE) for racial, economic, and racialized economic segregation, Massachusetts (US), 1995–2010. </w:t>
      </w:r>
      <w:r w:rsidRPr="002A34F0">
        <w:rPr>
          <w:i/>
          <w:iCs/>
        </w:rPr>
        <w:t>Journal of urban health, 94</w:t>
      </w:r>
      <w:r w:rsidRPr="002A34F0">
        <w:t>(2), 244-258.</w:t>
      </w:r>
    </w:p>
    <w:p w14:paraId="5A6E3920" w14:textId="2620C350" w:rsidR="00976710" w:rsidRPr="002A34F0" w:rsidRDefault="00976710" w:rsidP="00976710">
      <w:pPr>
        <w:pStyle w:val="References"/>
      </w:pPr>
      <w:r w:rsidRPr="002A34F0">
        <w:t xml:space="preserve">Ludwig, J., Duncan, G. J., Gennetian, L. A., Katz, L. F., Kessler, R. C., Kling, J. R., &amp; Sanbonmatsu, L. (2012). </w:t>
      </w:r>
      <w:r w:rsidR="00D43C24" w:rsidRPr="002A34F0">
        <w:t>Neighbour</w:t>
      </w:r>
      <w:r w:rsidRPr="002A34F0">
        <w:t xml:space="preserve">hood effects on the long-term well-being of low-income adults. </w:t>
      </w:r>
      <w:r w:rsidRPr="002A34F0">
        <w:rPr>
          <w:i/>
          <w:iCs/>
        </w:rPr>
        <w:t>Science, 337</w:t>
      </w:r>
      <w:r w:rsidRPr="002A34F0">
        <w:t>(6101), 1505-1510.</w:t>
      </w:r>
    </w:p>
    <w:p w14:paraId="5192628E" w14:textId="0CE39864" w:rsidR="00976710" w:rsidRPr="002A34F0" w:rsidRDefault="00976710" w:rsidP="00976710">
      <w:pPr>
        <w:pStyle w:val="References"/>
        <w:rPr>
          <w:lang w:val="en-US"/>
        </w:rPr>
      </w:pPr>
      <w:r w:rsidRPr="002A34F0">
        <w:rPr>
          <w:lang w:val="en-US"/>
        </w:rPr>
        <w:t>Macintyre, S., Ellaway, A., &amp; Cummins, S. (2002). Place effects on health: how can we conceptualise, operationalise and measure them?. </w:t>
      </w:r>
      <w:r w:rsidRPr="002A34F0">
        <w:rPr>
          <w:i/>
          <w:iCs/>
          <w:lang w:val="en-US"/>
        </w:rPr>
        <w:t>Social science &amp; medicine</w:t>
      </w:r>
      <w:r w:rsidRPr="002A34F0">
        <w:rPr>
          <w:lang w:val="en-US"/>
        </w:rPr>
        <w:t>, </w:t>
      </w:r>
      <w:r w:rsidRPr="002A34F0">
        <w:rPr>
          <w:i/>
          <w:iCs/>
          <w:lang w:val="en-US"/>
        </w:rPr>
        <w:t>55</w:t>
      </w:r>
      <w:r w:rsidRPr="002A34F0">
        <w:rPr>
          <w:lang w:val="en-US"/>
        </w:rPr>
        <w:t>(1), 125-139.</w:t>
      </w:r>
    </w:p>
    <w:p w14:paraId="77DBCAEF" w14:textId="1D48B23A" w:rsidR="00976710" w:rsidRPr="002A34F0" w:rsidRDefault="00EC2149" w:rsidP="00976710">
      <w:pPr>
        <w:pStyle w:val="References"/>
      </w:pPr>
      <w:r w:rsidRPr="002A34F0">
        <w:rPr>
          <w:lang w:val="en-CA"/>
        </w:rPr>
        <w:t xml:space="preserve">Mah, S., Sanmartin, C., Riva, M., Dasgupta, K., &amp; Ross, N. (2022). Associations of the Active Living Environment, Walking and Premature Mortality in Canada. </w:t>
      </w:r>
      <w:r w:rsidRPr="002A34F0">
        <w:rPr>
          <w:i/>
          <w:iCs/>
          <w:lang w:val="en-CA"/>
        </w:rPr>
        <w:t>Annals of Behavioral Medicine</w:t>
      </w:r>
      <w:r w:rsidRPr="002A34F0">
        <w:rPr>
          <w:lang w:val="en-CA"/>
        </w:rPr>
        <w:t>, 56( 5),  527-527.</w:t>
      </w:r>
      <w:r w:rsidR="00976710" w:rsidRPr="002A34F0">
        <w:t xml:space="preserve">Mahama, A. M., Anaman, K. A., &amp; Osei-Akoto, I. (2014). Factors influencing householders' access to improved water in low-income urban areas of Accra, Ghana. </w:t>
      </w:r>
      <w:r w:rsidR="00976710" w:rsidRPr="002A34F0">
        <w:rPr>
          <w:i/>
          <w:iCs/>
        </w:rPr>
        <w:t>Journal of water and health,</w:t>
      </w:r>
      <w:r w:rsidR="00976710" w:rsidRPr="002A34F0">
        <w:t xml:space="preserve"> 12 (2): 318-331.</w:t>
      </w:r>
    </w:p>
    <w:p w14:paraId="46051B80" w14:textId="77777777" w:rsidR="00976710" w:rsidRPr="002A34F0" w:rsidRDefault="00976710" w:rsidP="00976710">
      <w:pPr>
        <w:pStyle w:val="References"/>
      </w:pPr>
      <w:r w:rsidRPr="002A34F0">
        <w:t>Massey, D. S., &amp; Denton, N. A. (1993). </w:t>
      </w:r>
      <w:r w:rsidRPr="002A34F0">
        <w:rPr>
          <w:i/>
          <w:iCs/>
        </w:rPr>
        <w:t>American apartheid: Segregation and the making of the underclass</w:t>
      </w:r>
      <w:r w:rsidRPr="002A34F0">
        <w:t>. Cambridge, MA: Harvard University Press.</w:t>
      </w:r>
    </w:p>
    <w:p w14:paraId="4CFCCDE6" w14:textId="77777777" w:rsidR="00976710" w:rsidRPr="002A34F0" w:rsidRDefault="00976710" w:rsidP="00976710">
      <w:pPr>
        <w:pStyle w:val="References"/>
      </w:pPr>
      <w:r w:rsidRPr="002A34F0">
        <w:t xml:space="preserve">Massey, D. S. (2001). The prodigal paradigm returns: ecology comes back to sociology. In </w:t>
      </w:r>
      <w:r w:rsidRPr="002A34F0">
        <w:rPr>
          <w:i/>
          <w:iCs/>
        </w:rPr>
        <w:t>Does It Take Village?</w:t>
      </w:r>
      <w:r w:rsidRPr="002A34F0">
        <w:t xml:space="preserve"> eds. A. Booth, and A. C. Crouter, 53-60. Hove, East Sussex, UK: Psychology Press.</w:t>
      </w:r>
    </w:p>
    <w:p w14:paraId="0995BCF6" w14:textId="2E82CDAE" w:rsidR="00976710" w:rsidRPr="002A34F0" w:rsidRDefault="00976710" w:rsidP="00976710">
      <w:pPr>
        <w:pStyle w:val="References"/>
      </w:pPr>
      <w:r w:rsidRPr="002A34F0">
        <w:t xml:space="preserve">Montgomery, M., &amp; Hewitt, P. C. (2015). Urban Poverty and Health in Developing Countries: Household and </w:t>
      </w:r>
      <w:r w:rsidR="00D43C24" w:rsidRPr="002A34F0">
        <w:t>Neighbour</w:t>
      </w:r>
      <w:r w:rsidRPr="002A34F0">
        <w:t xml:space="preserve">hood Effects. </w:t>
      </w:r>
      <w:r w:rsidRPr="002A34F0">
        <w:rPr>
          <w:i/>
          <w:iCs/>
        </w:rPr>
        <w:t>Demography, 42</w:t>
      </w:r>
      <w:r w:rsidRPr="002A34F0">
        <w:t xml:space="preserve">(3): 397-425. </w:t>
      </w:r>
    </w:p>
    <w:p w14:paraId="268C5502" w14:textId="33730D5F" w:rsidR="00F038B7" w:rsidRPr="002A34F0" w:rsidRDefault="00F038B7" w:rsidP="00976710">
      <w:pPr>
        <w:pStyle w:val="References"/>
      </w:pPr>
      <w:r w:rsidRPr="002A34F0">
        <w:rPr>
          <w:lang w:val="en-US"/>
        </w:rPr>
        <w:t xml:space="preserve">Moulds, S., Chan, A. C. H., Tetteh, J. D., Bixby, H., Owusu, G., Agyei-Mensah, S., Ezzati, M., Buytaert, W., &amp; Templeton, M. R. (2022). Sachet water in Ghana: A </w:t>
      </w:r>
      <w:r w:rsidRPr="002A34F0">
        <w:rPr>
          <w:lang w:val="en-US"/>
        </w:rPr>
        <w:lastRenderedPageBreak/>
        <w:t xml:space="preserve">spatiotemporal analysis of the recent upward trend in consumption and its relationship with changing household characteristics, 2010–2017. </w:t>
      </w:r>
      <w:r w:rsidRPr="002A34F0">
        <w:rPr>
          <w:i/>
          <w:iCs/>
          <w:lang w:val="en-US"/>
        </w:rPr>
        <w:t>PLOS One, 17</w:t>
      </w:r>
      <w:r w:rsidRPr="002A34F0">
        <w:rPr>
          <w:lang w:val="en-US"/>
        </w:rPr>
        <w:t>(5), e0265167.</w:t>
      </w:r>
    </w:p>
    <w:p w14:paraId="507EEEC0" w14:textId="77777777" w:rsidR="00976710" w:rsidRPr="002A34F0" w:rsidRDefault="00976710" w:rsidP="00976710">
      <w:pPr>
        <w:pStyle w:val="References"/>
      </w:pPr>
      <w:r w:rsidRPr="002A34F0">
        <w:t xml:space="preserve">Obeng-Odoom, F. (2011). The informal sector in Ghana under siege. </w:t>
      </w:r>
      <w:r w:rsidRPr="002A34F0">
        <w:rPr>
          <w:i/>
          <w:iCs/>
        </w:rPr>
        <w:t>Journal of Developing Societies, 27</w:t>
      </w:r>
      <w:r w:rsidRPr="002A34F0">
        <w:t xml:space="preserve"> (3-4): 355-392.</w:t>
      </w:r>
    </w:p>
    <w:p w14:paraId="309A1D3C" w14:textId="77777777" w:rsidR="00976710" w:rsidRPr="002A34F0" w:rsidRDefault="00976710" w:rsidP="00976710">
      <w:pPr>
        <w:pStyle w:val="References"/>
      </w:pPr>
      <w:r w:rsidRPr="002A34F0">
        <w:t xml:space="preserve">Oosterbaan, C., Arku, G., &amp; Asiedu, A. B. (2012). Conversion of residential units to commercial spaces in Accra, Ghana: a policy dilemma. </w:t>
      </w:r>
      <w:r w:rsidRPr="002A34F0">
        <w:rPr>
          <w:i/>
          <w:iCs/>
        </w:rPr>
        <w:t>International Planning Studies,</w:t>
      </w:r>
      <w:r w:rsidRPr="002A34F0">
        <w:t xml:space="preserve"> </w:t>
      </w:r>
      <w:r w:rsidRPr="002A34F0">
        <w:rPr>
          <w:i/>
          <w:iCs/>
        </w:rPr>
        <w:t xml:space="preserve">17 </w:t>
      </w:r>
      <w:r w:rsidRPr="002A34F0">
        <w:t>(1): 45-66.</w:t>
      </w:r>
    </w:p>
    <w:p w14:paraId="23604657" w14:textId="77777777" w:rsidR="00976710" w:rsidRPr="002A34F0" w:rsidRDefault="00976710" w:rsidP="00976710">
      <w:pPr>
        <w:pStyle w:val="References"/>
      </w:pPr>
      <w:r w:rsidRPr="002A34F0">
        <w:t xml:space="preserve">Oteng-Ababio, M, Arguello, J. E. M., &amp; Gabbay, O. (2013). Solid waste management in African cities: Sorting the facts from the fads in Accra, Ghana. </w:t>
      </w:r>
      <w:r w:rsidRPr="002A34F0">
        <w:rPr>
          <w:i/>
          <w:iCs/>
        </w:rPr>
        <w:t>Habitat International,</w:t>
      </w:r>
      <w:r w:rsidRPr="002A34F0">
        <w:t xml:space="preserve"> 39: 96-104. </w:t>
      </w:r>
    </w:p>
    <w:p w14:paraId="3F772C48" w14:textId="486FB7A1" w:rsidR="00976710" w:rsidRPr="002A34F0" w:rsidRDefault="00976710" w:rsidP="00976710">
      <w:pPr>
        <w:pStyle w:val="References"/>
      </w:pPr>
      <w:r w:rsidRPr="002A34F0">
        <w:t xml:space="preserve">Owusu, G. (2010). Social effects of poor sanitation and waste management on poor urban communities: a </w:t>
      </w:r>
      <w:r w:rsidR="00D43C24" w:rsidRPr="002A34F0">
        <w:t>neighbour</w:t>
      </w:r>
      <w:r w:rsidRPr="002A34F0">
        <w:t xml:space="preserve">hood‐specific study of Sabon Zongo, Accra. </w:t>
      </w:r>
      <w:r w:rsidRPr="002A34F0">
        <w:rPr>
          <w:i/>
          <w:iCs/>
        </w:rPr>
        <w:t>Journal of Urbanism</w:t>
      </w:r>
      <w:r w:rsidRPr="002A34F0">
        <w:t xml:space="preserve">, </w:t>
      </w:r>
      <w:r w:rsidRPr="002A34F0">
        <w:rPr>
          <w:i/>
          <w:iCs/>
        </w:rPr>
        <w:t>3</w:t>
      </w:r>
      <w:r w:rsidRPr="002A34F0">
        <w:t>(2): 145-160.</w:t>
      </w:r>
    </w:p>
    <w:p w14:paraId="621FDF7D" w14:textId="4A5A0201" w:rsidR="004121CD" w:rsidRPr="002A34F0" w:rsidRDefault="004121CD" w:rsidP="00976710">
      <w:pPr>
        <w:pStyle w:val="References"/>
      </w:pPr>
      <w:r w:rsidRPr="002A34F0">
        <w:t>Owusu, G., &amp; Wrigley-Asante, C. (2020). Urban inequality and poverty in the global south</w:t>
      </w:r>
      <w:r w:rsidRPr="002A34F0">
        <w:rPr>
          <w:i/>
          <w:iCs/>
        </w:rPr>
        <w:t>. Equilibri, 24(speciale)</w:t>
      </w:r>
      <w:r w:rsidRPr="002A34F0">
        <w:t>, 79-90.</w:t>
      </w:r>
    </w:p>
    <w:p w14:paraId="09D8A01F" w14:textId="340A4F7F" w:rsidR="004121CD" w:rsidRPr="002A34F0" w:rsidRDefault="004121CD" w:rsidP="00976710">
      <w:pPr>
        <w:pStyle w:val="References"/>
      </w:pPr>
      <w:r w:rsidRPr="002A34F0">
        <w:t>Owusu, G. &amp; Yankson, P.W.K. (2007). 'Poverty in Ghana is basically a rural phenomenon': Are we underestimating urban poverty?. Ghana Journal of Development Studies, 4(1), 87-105.</w:t>
      </w:r>
    </w:p>
    <w:p w14:paraId="59EA943B" w14:textId="77777777" w:rsidR="00976710" w:rsidRPr="002A34F0" w:rsidRDefault="00976710" w:rsidP="00976710">
      <w:pPr>
        <w:pStyle w:val="References"/>
      </w:pPr>
      <w:r w:rsidRPr="002A34F0">
        <w:t xml:space="preserve">Papke, L. E. &amp; Wooldridge, J. M. (1996). Econometric methods for fractional response variables with an application to 401 (k) plan participation rates. </w:t>
      </w:r>
      <w:r w:rsidRPr="002A34F0">
        <w:rPr>
          <w:i/>
          <w:iCs/>
        </w:rPr>
        <w:t>Journal of applied econometrics,</w:t>
      </w:r>
      <w:r w:rsidRPr="002A34F0">
        <w:t xml:space="preserve"> </w:t>
      </w:r>
      <w:r w:rsidRPr="002A34F0">
        <w:rPr>
          <w:i/>
          <w:iCs/>
        </w:rPr>
        <w:t xml:space="preserve">11 </w:t>
      </w:r>
      <w:r w:rsidRPr="002A34F0">
        <w:t>(6): 619-632.</w:t>
      </w:r>
    </w:p>
    <w:p w14:paraId="17457F9E" w14:textId="207B7BD1" w:rsidR="00976710" w:rsidRPr="002A34F0" w:rsidRDefault="00976710" w:rsidP="00976710">
      <w:pPr>
        <w:pStyle w:val="References"/>
      </w:pPr>
      <w:r w:rsidRPr="002A34F0">
        <w:t xml:space="preserve">Parks, M. J., Dodoo, F. N. A., &amp; Ayernor, P. K. (2014). Applying </w:t>
      </w:r>
      <w:r w:rsidR="00D43C24" w:rsidRPr="002A34F0">
        <w:t>neighbour</w:t>
      </w:r>
      <w:r w:rsidRPr="002A34F0">
        <w:t xml:space="preserve">hood-effect research to a global south city: A case study of collective efficacy in Accra, Ghana's low-income areas. </w:t>
      </w:r>
      <w:r w:rsidRPr="002A34F0">
        <w:rPr>
          <w:i/>
          <w:iCs/>
        </w:rPr>
        <w:t>The Global South,</w:t>
      </w:r>
      <w:r w:rsidRPr="002A34F0">
        <w:t xml:space="preserve"> </w:t>
      </w:r>
      <w:r w:rsidRPr="002A34F0">
        <w:rPr>
          <w:i/>
          <w:iCs/>
        </w:rPr>
        <w:t>8</w:t>
      </w:r>
      <w:r w:rsidRPr="002A34F0">
        <w:t xml:space="preserve"> (2): 119-138.</w:t>
      </w:r>
    </w:p>
    <w:p w14:paraId="603D7E41" w14:textId="09936A53" w:rsidR="00976710" w:rsidRPr="002A34F0" w:rsidRDefault="00976710" w:rsidP="00976710">
      <w:pPr>
        <w:pStyle w:val="References"/>
      </w:pPr>
      <w:r w:rsidRPr="002A34F0">
        <w:t xml:space="preserve">Partridge, M. D., &amp; Rickman, D. S. (2008). Place-based policy and rural poverty: insights from the urban spatial mismatch literature. </w:t>
      </w:r>
      <w:r w:rsidRPr="002A34F0">
        <w:rPr>
          <w:i/>
          <w:iCs/>
        </w:rPr>
        <w:t>Cambridge Journal of Regions, Economy and Society,</w:t>
      </w:r>
      <w:r w:rsidRPr="002A34F0">
        <w:t xml:space="preserve"> 1(1): 131-156.</w:t>
      </w:r>
    </w:p>
    <w:p w14:paraId="7762B1CD" w14:textId="4E49B872" w:rsidR="00462222" w:rsidRPr="002A34F0" w:rsidRDefault="00462222" w:rsidP="00976710">
      <w:pPr>
        <w:pStyle w:val="References"/>
      </w:pPr>
      <w:r w:rsidRPr="002A34F0">
        <w:t xml:space="preserve">Rachele, J. N., Schmid, C. J., Brown, W. J., Nathan, A., Kamphuis, C. B., &amp; Turrell, G. (2019). A multilevel study of neighborhood disadvantage, individual socioeconomic position, and body mass index: Exploring cross-level interaction effects. </w:t>
      </w:r>
      <w:r w:rsidRPr="002A34F0">
        <w:rPr>
          <w:i/>
          <w:iCs/>
        </w:rPr>
        <w:t>Preventive medicine reports, 14</w:t>
      </w:r>
      <w:r w:rsidRPr="002A34F0">
        <w:t>, 100844.</w:t>
      </w:r>
    </w:p>
    <w:p w14:paraId="322163BF" w14:textId="21B65969" w:rsidR="00976710" w:rsidRPr="002A34F0" w:rsidRDefault="00976710" w:rsidP="00976710">
      <w:pPr>
        <w:pStyle w:val="References"/>
      </w:pPr>
      <w:r w:rsidRPr="002A34F0">
        <w:lastRenderedPageBreak/>
        <w:t xml:space="preserve">Reardon, S. F., &amp; Bischoff, K. 2011. Income inequality and income segregation. </w:t>
      </w:r>
      <w:r w:rsidRPr="002A34F0">
        <w:rPr>
          <w:i/>
          <w:iCs/>
        </w:rPr>
        <w:t>American journal of sociology,</w:t>
      </w:r>
      <w:r w:rsidRPr="002A34F0">
        <w:t xml:space="preserve"> </w:t>
      </w:r>
      <w:r w:rsidRPr="002A34F0">
        <w:rPr>
          <w:i/>
          <w:iCs/>
        </w:rPr>
        <w:t>116</w:t>
      </w:r>
      <w:r w:rsidRPr="002A34F0">
        <w:t xml:space="preserve"> (4): 1092-1153.</w:t>
      </w:r>
    </w:p>
    <w:p w14:paraId="6B90D600" w14:textId="286234CC" w:rsidR="00214C0A" w:rsidRPr="002A34F0" w:rsidRDefault="00214C0A" w:rsidP="00976710">
      <w:pPr>
        <w:pStyle w:val="References"/>
      </w:pPr>
      <w:r w:rsidRPr="002A34F0">
        <w:t xml:space="preserve">Rothwell, J. T. &amp; Massey, D. S. (2015). Geographic Effects on Intergenerational Income Mobility. </w:t>
      </w:r>
      <w:r w:rsidRPr="002A34F0">
        <w:rPr>
          <w:i/>
          <w:iCs/>
        </w:rPr>
        <w:t>Economic Geography, 91</w:t>
      </w:r>
      <w:r w:rsidRPr="002A34F0">
        <w:t xml:space="preserve">(1), 83-106.  </w:t>
      </w:r>
    </w:p>
    <w:p w14:paraId="45FC71F3" w14:textId="77777777" w:rsidR="00976710" w:rsidRPr="002A34F0" w:rsidRDefault="00976710" w:rsidP="00976710">
      <w:pPr>
        <w:pStyle w:val="References"/>
        <w:rPr>
          <w:lang w:val="en-US"/>
        </w:rPr>
      </w:pPr>
      <w:r w:rsidRPr="002A34F0">
        <w:rPr>
          <w:lang w:val="en-US"/>
        </w:rPr>
        <w:t xml:space="preserve">Salhab, R., Le Ny, J., &amp; Malhamé, R. P. (2018). Dynamic collective choice: Social optima. </w:t>
      </w:r>
      <w:r w:rsidRPr="002A34F0">
        <w:rPr>
          <w:i/>
          <w:iCs/>
          <w:lang w:val="en-US"/>
        </w:rPr>
        <w:t>IEEE Transactions on Automatic Control, 63</w:t>
      </w:r>
      <w:r w:rsidRPr="002A34F0">
        <w:rPr>
          <w:lang w:val="en-US"/>
        </w:rPr>
        <w:t>(10), 3487-3494.</w:t>
      </w:r>
    </w:p>
    <w:p w14:paraId="00AC4FC6" w14:textId="4FAEA5DE" w:rsidR="00976710" w:rsidRPr="002A34F0" w:rsidRDefault="00976710" w:rsidP="00976710">
      <w:pPr>
        <w:pStyle w:val="References"/>
      </w:pPr>
      <w:r w:rsidRPr="002A34F0">
        <w:t xml:space="preserve">Sampson, R. J. (2008). Moving to inequality: </w:t>
      </w:r>
      <w:r w:rsidR="00D43C24" w:rsidRPr="002A34F0">
        <w:t>Neighbour</w:t>
      </w:r>
      <w:r w:rsidRPr="002A34F0">
        <w:t>hood effects and experiments meet social structure. </w:t>
      </w:r>
      <w:r w:rsidRPr="002A34F0">
        <w:rPr>
          <w:i/>
          <w:iCs/>
        </w:rPr>
        <w:t>American journal of sociology, 114</w:t>
      </w:r>
      <w:r w:rsidRPr="002A34F0">
        <w:t xml:space="preserve"> (1): 189-231.</w:t>
      </w:r>
    </w:p>
    <w:p w14:paraId="6D7CFFE5" w14:textId="0C9B1751" w:rsidR="00976710" w:rsidRPr="002A34F0" w:rsidRDefault="00976710" w:rsidP="00976710">
      <w:pPr>
        <w:pStyle w:val="References"/>
      </w:pPr>
      <w:r w:rsidRPr="002A34F0">
        <w:t xml:space="preserve">Sampson, R. J. (2011). </w:t>
      </w:r>
      <w:r w:rsidR="00D43C24" w:rsidRPr="002A34F0">
        <w:t>Neighbour</w:t>
      </w:r>
      <w:r w:rsidRPr="002A34F0">
        <w:t xml:space="preserve">hood effects, causal mechanisms and the social structure of the city. In </w:t>
      </w:r>
      <w:r w:rsidRPr="002A34F0">
        <w:rPr>
          <w:i/>
          <w:iCs/>
        </w:rPr>
        <w:t>Analytical sociology and social mechanisms</w:t>
      </w:r>
      <w:r w:rsidRPr="002A34F0">
        <w:t xml:space="preserve">, ed. P. Demeulenaere, 227-249. Cambridge, UK: Cambridge University Press. </w:t>
      </w:r>
    </w:p>
    <w:p w14:paraId="6F71F165" w14:textId="29904FE4" w:rsidR="00976710" w:rsidRPr="002A34F0" w:rsidRDefault="00976710" w:rsidP="00976710">
      <w:pPr>
        <w:pStyle w:val="References"/>
      </w:pPr>
      <w:r w:rsidRPr="002A34F0">
        <w:t xml:space="preserve">Sharkey, P., &amp; Faber, J. W. (2014). Where, when, why, and for whom do residential contexts matter? Moving away from the dichotomous understanding of </w:t>
      </w:r>
      <w:r w:rsidR="00D43C24" w:rsidRPr="002A34F0">
        <w:t>neighbour</w:t>
      </w:r>
      <w:r w:rsidRPr="002A34F0">
        <w:t xml:space="preserve">hood effects. </w:t>
      </w:r>
      <w:r w:rsidRPr="002A34F0">
        <w:rPr>
          <w:i/>
          <w:iCs/>
        </w:rPr>
        <w:t>Annual review of sociology,</w:t>
      </w:r>
      <w:r w:rsidRPr="002A34F0">
        <w:t xml:space="preserve"> </w:t>
      </w:r>
      <w:r w:rsidRPr="002A34F0">
        <w:rPr>
          <w:i/>
          <w:iCs/>
        </w:rPr>
        <w:t>40</w:t>
      </w:r>
      <w:r w:rsidRPr="002A34F0">
        <w:t>: 559-579.</w:t>
      </w:r>
    </w:p>
    <w:p w14:paraId="0146A928" w14:textId="77777777" w:rsidR="00976710" w:rsidRPr="002A34F0" w:rsidRDefault="00976710" w:rsidP="00976710">
      <w:pPr>
        <w:pStyle w:val="References"/>
      </w:pPr>
      <w:r w:rsidRPr="002A34F0">
        <w:t xml:space="preserve">Smets, P., &amp; Salman, T. (2008). Countering urban segregation: Theoretical and policy innovations from around the globe. </w:t>
      </w:r>
      <w:r w:rsidRPr="002A34F0">
        <w:rPr>
          <w:i/>
          <w:iCs/>
        </w:rPr>
        <w:t>Urban Studies</w:t>
      </w:r>
      <w:r w:rsidRPr="002A34F0">
        <w:t xml:space="preserve">, </w:t>
      </w:r>
      <w:r w:rsidRPr="002A34F0">
        <w:rPr>
          <w:i/>
          <w:iCs/>
        </w:rPr>
        <w:t>45</w:t>
      </w:r>
      <w:r w:rsidRPr="002A34F0">
        <w:t xml:space="preserve"> (7): 1307-1332.</w:t>
      </w:r>
    </w:p>
    <w:p w14:paraId="09BC2EEB" w14:textId="41A08045" w:rsidR="00D50BCB" w:rsidRPr="002A34F0" w:rsidRDefault="00D50BCB" w:rsidP="00976710">
      <w:pPr>
        <w:pStyle w:val="References"/>
      </w:pPr>
      <w:r w:rsidRPr="002A34F0">
        <w:t xml:space="preserve">Songsore, J. (2008). Environmental and structural inequalities in Greater Accra. </w:t>
      </w:r>
      <w:r w:rsidRPr="002A34F0">
        <w:rPr>
          <w:i/>
          <w:iCs/>
        </w:rPr>
        <w:t>Journal of the International Institute, 16</w:t>
      </w:r>
      <w:r w:rsidRPr="002A34F0">
        <w:t>(1).</w:t>
      </w:r>
    </w:p>
    <w:p w14:paraId="0B0A5380" w14:textId="11DA2413" w:rsidR="00D50BCB" w:rsidRPr="002A34F0" w:rsidRDefault="00D50BCB" w:rsidP="00976710">
      <w:pPr>
        <w:pStyle w:val="References"/>
      </w:pPr>
      <w:r w:rsidRPr="002A34F0">
        <w:t xml:space="preserve">Songsore, J., &amp; McGranahan, G. (1993). Environment, wealth and health: towards an analysis of intra-urban differentials within the Greater Accra Metropolitan Area, Ghana. </w:t>
      </w:r>
      <w:r w:rsidRPr="002A34F0">
        <w:rPr>
          <w:i/>
          <w:iCs/>
        </w:rPr>
        <w:t>Environment and Urbanization, 5</w:t>
      </w:r>
      <w:r w:rsidRPr="002A34F0">
        <w:t>(2), 10-34.</w:t>
      </w:r>
    </w:p>
    <w:p w14:paraId="0ED40195" w14:textId="146BE1A5" w:rsidR="00976710" w:rsidRPr="002A34F0" w:rsidRDefault="00976710" w:rsidP="00976710">
      <w:pPr>
        <w:pStyle w:val="References"/>
      </w:pPr>
      <w:r w:rsidRPr="002A34F0">
        <w:t>StataCorp. 2019. Stata Statistical Software: Release 16. College Station, TX: StataCorp LLC.</w:t>
      </w:r>
    </w:p>
    <w:p w14:paraId="764D5E62" w14:textId="77777777" w:rsidR="00976710" w:rsidRPr="002A34F0" w:rsidRDefault="00976710" w:rsidP="00976710">
      <w:pPr>
        <w:pStyle w:val="References"/>
      </w:pPr>
      <w:r w:rsidRPr="002A34F0">
        <w:t xml:space="preserve">Stoler, J., Weeks, J. R., &amp; Otoo, R. A. (2013). Drinking Water in Transition: A Multilevel Cross-sectional Analysis of Sachet Water Consumption in Accra. </w:t>
      </w:r>
      <w:r w:rsidRPr="002A34F0">
        <w:rPr>
          <w:i/>
          <w:iCs/>
        </w:rPr>
        <w:t>PloS One, 8</w:t>
      </w:r>
      <w:r w:rsidRPr="002A34F0">
        <w:t>(6), e67257</w:t>
      </w:r>
    </w:p>
    <w:p w14:paraId="112AD638" w14:textId="3A3F3920" w:rsidR="00976710" w:rsidRPr="002A34F0" w:rsidRDefault="00976710" w:rsidP="00976710">
      <w:pPr>
        <w:pStyle w:val="References"/>
        <w:rPr>
          <w:lang w:val="en-US"/>
        </w:rPr>
      </w:pPr>
      <w:r w:rsidRPr="002A34F0">
        <w:rPr>
          <w:lang w:val="en-US"/>
        </w:rPr>
        <w:t>Stoler, J., Tutu, R. A., Ahmed, H., Frimpong, L. A., &amp; Bello, M. (2014). Sachet water quality and brand reputation in two low-income urban communities in Greater Accra, Ghana. </w:t>
      </w:r>
      <w:r w:rsidRPr="002A34F0">
        <w:rPr>
          <w:i/>
          <w:iCs/>
          <w:lang w:val="en-US"/>
        </w:rPr>
        <w:t>The American journal of tropical medicine and hygiene</w:t>
      </w:r>
      <w:r w:rsidRPr="002A34F0">
        <w:rPr>
          <w:lang w:val="en-US"/>
        </w:rPr>
        <w:t>, </w:t>
      </w:r>
      <w:r w:rsidRPr="002A34F0">
        <w:rPr>
          <w:i/>
          <w:iCs/>
          <w:lang w:val="en-US"/>
        </w:rPr>
        <w:t>90</w:t>
      </w:r>
      <w:r w:rsidRPr="002A34F0">
        <w:rPr>
          <w:lang w:val="en-US"/>
        </w:rPr>
        <w:t>(2), 272.</w:t>
      </w:r>
    </w:p>
    <w:p w14:paraId="267F4F74" w14:textId="7A6190AB" w:rsidR="00F038B7" w:rsidRPr="002A34F0" w:rsidRDefault="00F038B7" w:rsidP="00976710">
      <w:pPr>
        <w:pStyle w:val="References"/>
        <w:rPr>
          <w:bCs/>
          <w:lang w:val="en-US"/>
        </w:rPr>
      </w:pPr>
      <w:r w:rsidRPr="002A34F0">
        <w:rPr>
          <w:bCs/>
          <w:lang w:val="en-US"/>
        </w:rPr>
        <w:t>Tetteh, J. D., Templeton, M. R., Cavanaugh, A., Bixby, H., Owusu, G., Yidana, S. M., Moulds, S., Robinson, B., Baumgartner, J., Annim, S. K., Quartey, R., Mintah, S. E., Bawah, A., Arku, R. E., Ezzati, M., &amp; Agyei-Mensah, S. (</w:t>
      </w:r>
      <w:r w:rsidRPr="002A34F0">
        <w:rPr>
          <w:lang w:val="en-US"/>
        </w:rPr>
        <w:t>2022</w:t>
      </w:r>
      <w:r w:rsidRPr="002A34F0">
        <w:rPr>
          <w:bCs/>
          <w:lang w:val="en-US"/>
        </w:rPr>
        <w:t xml:space="preserve">). </w:t>
      </w:r>
      <w:r w:rsidRPr="002A34F0">
        <w:rPr>
          <w:bCs/>
          <w:lang w:val="en-US"/>
        </w:rPr>
        <w:lastRenderedPageBreak/>
        <w:t xml:space="preserve">Geographic Inequalities in Household Drinking Water Use in the Greater Accra Metropolitan Area (GAMA), Ghana. </w:t>
      </w:r>
      <w:r w:rsidRPr="002A34F0">
        <w:rPr>
          <w:bCs/>
          <w:i/>
          <w:iCs/>
          <w:lang w:val="en-US"/>
        </w:rPr>
        <w:t>Population and Environment</w:t>
      </w:r>
      <w:r w:rsidRPr="002A34F0">
        <w:rPr>
          <w:bCs/>
          <w:lang w:val="en-US"/>
        </w:rPr>
        <w:t xml:space="preserve">. </w:t>
      </w:r>
    </w:p>
    <w:p w14:paraId="3978978C" w14:textId="732E1493" w:rsidR="004121CD" w:rsidRPr="002A34F0" w:rsidRDefault="004121CD" w:rsidP="00976710">
      <w:pPr>
        <w:pStyle w:val="References"/>
      </w:pPr>
      <w:r w:rsidRPr="002A34F0">
        <w:t>UNESCO. Global education monitoring report 2021/2: Non-state actors in education: Who chooses? Who loses? Paris, France: UNESCO.</w:t>
      </w:r>
    </w:p>
    <w:p w14:paraId="3368E0E9" w14:textId="30EBBA21" w:rsidR="00976710" w:rsidRPr="002A34F0" w:rsidRDefault="00976710" w:rsidP="00976710">
      <w:pPr>
        <w:pStyle w:val="References"/>
        <w:rPr>
          <w:lang w:val="nl-NL"/>
        </w:rPr>
      </w:pPr>
      <w:r w:rsidRPr="002A34F0">
        <w:t xml:space="preserve">UN-HABITAT. (2009). Ghana: Accra urban profile. </w:t>
      </w:r>
      <w:r w:rsidRPr="002A34F0">
        <w:rPr>
          <w:lang w:val="nl-NL"/>
        </w:rPr>
        <w:t>Nairobi: UN-HABITAT.</w:t>
      </w:r>
    </w:p>
    <w:p w14:paraId="5E504A45" w14:textId="5B27FD92" w:rsidR="00462222" w:rsidRPr="002A34F0" w:rsidRDefault="00462222" w:rsidP="00976710">
      <w:pPr>
        <w:pStyle w:val="References"/>
      </w:pPr>
      <w:r w:rsidRPr="002A34F0">
        <w:rPr>
          <w:lang w:val="nl-NL"/>
        </w:rPr>
        <w:t xml:space="preserve">Van Ham, M., Tammaru, T., Ubarevičienė, R., &amp; Janssen, H. (2021). </w:t>
      </w:r>
      <w:r w:rsidRPr="002A34F0">
        <w:rPr>
          <w:i/>
          <w:iCs/>
        </w:rPr>
        <w:t>Urban socio-economic segregation and income inequality: A global perspective</w:t>
      </w:r>
      <w:r w:rsidRPr="002A34F0">
        <w:t>. Springer Nature: Cham, Switzerland.</w:t>
      </w:r>
    </w:p>
    <w:p w14:paraId="2FF6A192" w14:textId="458A5705" w:rsidR="004654CF" w:rsidRPr="002A34F0" w:rsidRDefault="004654CF" w:rsidP="00976710">
      <w:pPr>
        <w:pStyle w:val="References"/>
      </w:pPr>
      <w:r w:rsidRPr="002A34F0">
        <w:t xml:space="preserve">Walks, A. (2014). From Financialization to Sociospatial Polarization of the City? Evidence from Canada. </w:t>
      </w:r>
      <w:r w:rsidRPr="002A34F0">
        <w:rPr>
          <w:i/>
          <w:iCs/>
        </w:rPr>
        <w:t>Economic Geography, 90</w:t>
      </w:r>
      <w:r w:rsidRPr="002A34F0">
        <w:t>(1), 33-66.</w:t>
      </w:r>
    </w:p>
    <w:p w14:paraId="598917D2" w14:textId="203FA423" w:rsidR="00976710" w:rsidRPr="002A34F0" w:rsidRDefault="00976710" w:rsidP="00976710">
      <w:pPr>
        <w:pStyle w:val="References"/>
      </w:pPr>
      <w:r w:rsidRPr="002A34F0">
        <w:t xml:space="preserve">Wen, M., Browning, C. R., &amp; Cagney, K. A. (2003). Poverty, affluence, and income inequality: </w:t>
      </w:r>
      <w:r w:rsidR="00D43C24" w:rsidRPr="002A34F0">
        <w:t>neighbour</w:t>
      </w:r>
      <w:r w:rsidRPr="002A34F0">
        <w:t xml:space="preserve">hood economic structure and its implications for health. </w:t>
      </w:r>
      <w:r w:rsidRPr="002A34F0">
        <w:rPr>
          <w:i/>
          <w:iCs/>
        </w:rPr>
        <w:t>Social Science &amp; Medicine,</w:t>
      </w:r>
      <w:r w:rsidRPr="002A34F0">
        <w:t xml:space="preserve"> </w:t>
      </w:r>
      <w:r w:rsidRPr="002A34F0">
        <w:rPr>
          <w:i/>
          <w:iCs/>
        </w:rPr>
        <w:t>57</w:t>
      </w:r>
      <w:r w:rsidRPr="002A34F0">
        <w:t>(5): 843-860.</w:t>
      </w:r>
    </w:p>
    <w:p w14:paraId="448895DA" w14:textId="3031BA76" w:rsidR="004654CF" w:rsidRPr="002A34F0" w:rsidRDefault="004654CF" w:rsidP="00976710">
      <w:pPr>
        <w:pStyle w:val="References"/>
      </w:pPr>
      <w:r w:rsidRPr="002A34F0">
        <w:t xml:space="preserve">Wessel, T. (2022). Business Services, Income Inequality, and Income Segregation in Metropolitan Areas: Direct and Indirect Links, </w:t>
      </w:r>
      <w:r w:rsidRPr="002A34F0">
        <w:rPr>
          <w:i/>
          <w:iCs/>
        </w:rPr>
        <w:t>Economic Geography</w:t>
      </w:r>
      <w:r w:rsidRPr="002A34F0">
        <w:t>.</w:t>
      </w:r>
    </w:p>
    <w:p w14:paraId="3D6575DB" w14:textId="67B5A2A6" w:rsidR="009E21E4" w:rsidRPr="002A34F0" w:rsidRDefault="009E21E4" w:rsidP="00976710">
      <w:pPr>
        <w:pStyle w:val="References"/>
      </w:pPr>
      <w:r w:rsidRPr="002A34F0">
        <w:rPr>
          <w:lang w:val="nl-NL"/>
        </w:rPr>
        <w:t xml:space="preserve">Weststrate, J., Dijkstra, G., Eshuis, J., Gianoli, A., &amp; Rusca, M. (2019). </w:t>
      </w:r>
      <w:r w:rsidRPr="002A34F0">
        <w:t>The sustainable development goal on water and sanitation: learning from the millennium development goal</w:t>
      </w:r>
      <w:r w:rsidRPr="002A34F0">
        <w:rPr>
          <w:i/>
          <w:iCs/>
        </w:rPr>
        <w:t>s. Social Indicators Research, 143</w:t>
      </w:r>
      <w:r w:rsidRPr="002A34F0">
        <w:t>, 795-810.</w:t>
      </w:r>
    </w:p>
    <w:p w14:paraId="7B63B092" w14:textId="77777777" w:rsidR="00976710" w:rsidRPr="002A34F0" w:rsidRDefault="00976710" w:rsidP="00976710">
      <w:pPr>
        <w:pStyle w:val="References"/>
      </w:pPr>
      <w:r w:rsidRPr="002A34F0">
        <w:t xml:space="preserve">Williams, R. (2012). Using the margins command to estimate and interpret adjusted predictions and marginal effects. </w:t>
      </w:r>
      <w:r w:rsidRPr="002A34F0">
        <w:rPr>
          <w:i/>
          <w:iCs/>
        </w:rPr>
        <w:t>The Stata Journal,</w:t>
      </w:r>
      <w:r w:rsidRPr="002A34F0">
        <w:t xml:space="preserve"> </w:t>
      </w:r>
      <w:r w:rsidRPr="002A34F0">
        <w:rPr>
          <w:i/>
          <w:iCs/>
        </w:rPr>
        <w:t>12</w:t>
      </w:r>
      <w:r w:rsidRPr="002A34F0">
        <w:t xml:space="preserve"> (2): 308-331.</w:t>
      </w:r>
    </w:p>
    <w:p w14:paraId="3A79D6B6" w14:textId="77777777" w:rsidR="00976710" w:rsidRPr="002A34F0" w:rsidRDefault="00976710" w:rsidP="00976710">
      <w:pPr>
        <w:pStyle w:val="References"/>
      </w:pPr>
      <w:r w:rsidRPr="002A34F0">
        <w:t>Wilson, W. J. (1987). </w:t>
      </w:r>
      <w:r w:rsidRPr="002A34F0">
        <w:rPr>
          <w:i/>
          <w:iCs/>
        </w:rPr>
        <w:t>The truly disadvantaged: The inner city, the underclass, and public policy</w:t>
      </w:r>
      <w:r w:rsidRPr="002A34F0">
        <w:t>. Chicago: University of Chicago Press.</w:t>
      </w:r>
    </w:p>
    <w:p w14:paraId="6F2EDFC0" w14:textId="77777777" w:rsidR="00976710" w:rsidRPr="002A34F0" w:rsidRDefault="00976710" w:rsidP="00976710">
      <w:pPr>
        <w:pStyle w:val="References"/>
      </w:pPr>
      <w:r w:rsidRPr="002A34F0">
        <w:t xml:space="preserve">Wodon, Q. (2012). </w:t>
      </w:r>
      <w:r w:rsidRPr="002A34F0">
        <w:rPr>
          <w:i/>
          <w:iCs/>
        </w:rPr>
        <w:t xml:space="preserve">Improving the targeting of social programs in Ghana. </w:t>
      </w:r>
      <w:r w:rsidRPr="002A34F0">
        <w:t>Washington, D.C.: World Bank.</w:t>
      </w:r>
    </w:p>
    <w:p w14:paraId="744ACE92" w14:textId="07328400" w:rsidR="00976710" w:rsidRPr="002A34F0" w:rsidRDefault="00976710" w:rsidP="00976710">
      <w:pPr>
        <w:pStyle w:val="References"/>
        <w:rPr>
          <w:lang w:val="en-US"/>
        </w:rPr>
      </w:pPr>
      <w:r w:rsidRPr="002A34F0">
        <w:rPr>
          <w:lang w:val="en-US"/>
        </w:rPr>
        <w:t>World Health Organization</w:t>
      </w:r>
      <w:r w:rsidR="004121CD" w:rsidRPr="002A34F0">
        <w:rPr>
          <w:lang w:val="en-US"/>
        </w:rPr>
        <w:t>-</w:t>
      </w:r>
      <w:r w:rsidRPr="002A34F0">
        <w:rPr>
          <w:lang w:val="en-US"/>
        </w:rPr>
        <w:t xml:space="preserve"> UNICEF. (2017). 2017 annual report WHO/UNICEF joint monitoring programme for water supply, sanitation and hygiene. In </w:t>
      </w:r>
      <w:r w:rsidRPr="002A34F0">
        <w:rPr>
          <w:i/>
          <w:iCs/>
          <w:lang w:val="en-US"/>
        </w:rPr>
        <w:t>2017 annual report WHO/UNICEF joint monitoring programme for water supply, sanitation and hygiene</w:t>
      </w:r>
      <w:r w:rsidRPr="002A34F0">
        <w:rPr>
          <w:lang w:val="en-US"/>
        </w:rPr>
        <w:t> (pp. 20-20).</w:t>
      </w:r>
    </w:p>
    <w:p w14:paraId="32F5355C" w14:textId="5C24F108" w:rsidR="00F40F79" w:rsidRPr="002A34F0" w:rsidRDefault="00976710" w:rsidP="00106C25">
      <w:pPr>
        <w:pStyle w:val="References"/>
        <w:ind w:left="0" w:firstLine="0"/>
      </w:pPr>
      <w:r w:rsidRPr="002A34F0">
        <w:rPr>
          <w:lang w:val="nl-NL"/>
        </w:rPr>
        <w:t xml:space="preserve">Yakubu, I., Akaateba, M. A., &amp; Akanbang, B. A. (2014). </w:t>
      </w:r>
      <w:r w:rsidRPr="002A34F0">
        <w:rPr>
          <w:lang w:val="en-US"/>
        </w:rPr>
        <w:t>A study of housing conditions and characteristics in the Tamale Metropolitan Area, Ghana. </w:t>
      </w:r>
      <w:r w:rsidRPr="002A34F0">
        <w:rPr>
          <w:i/>
          <w:iCs/>
          <w:lang w:val="en-US"/>
        </w:rPr>
        <w:t>Habitat International</w:t>
      </w:r>
      <w:r w:rsidRPr="002A34F0">
        <w:rPr>
          <w:lang w:val="en-US"/>
        </w:rPr>
        <w:t>, </w:t>
      </w:r>
      <w:r w:rsidRPr="002A34F0">
        <w:rPr>
          <w:i/>
          <w:iCs/>
          <w:lang w:val="en-US"/>
        </w:rPr>
        <w:t>44</w:t>
      </w:r>
      <w:r w:rsidRPr="002A34F0">
        <w:rPr>
          <w:lang w:val="en-US"/>
        </w:rPr>
        <w:t>, 394-402.</w:t>
      </w:r>
      <w:bookmarkEnd w:id="27"/>
      <w:r w:rsidR="00F40F79" w:rsidRPr="002A34F0">
        <w:br w:type="page"/>
      </w:r>
    </w:p>
    <w:p w14:paraId="040CD5A7" w14:textId="632D1B14" w:rsidR="00F40F79" w:rsidRPr="002A34F0" w:rsidRDefault="00F40F79" w:rsidP="00F40F79">
      <w:pPr>
        <w:pStyle w:val="References"/>
        <w:rPr>
          <w:b/>
          <w:bCs/>
        </w:rPr>
      </w:pPr>
      <w:r w:rsidRPr="002A34F0">
        <w:rPr>
          <w:b/>
          <w:bCs/>
        </w:rPr>
        <w:lastRenderedPageBreak/>
        <w:t>Appendix</w:t>
      </w:r>
    </w:p>
    <w:p w14:paraId="47CAC415" w14:textId="32E70EBD" w:rsidR="008339C1" w:rsidRPr="002A34F0" w:rsidRDefault="008339C1" w:rsidP="008339C1">
      <w:pPr>
        <w:pStyle w:val="References"/>
        <w:rPr>
          <w:i/>
          <w:iCs/>
        </w:rPr>
      </w:pPr>
      <w:r w:rsidRPr="002A34F0">
        <w:rPr>
          <w:i/>
          <w:iCs/>
        </w:rPr>
        <w:t>SAE Methods Description</w:t>
      </w:r>
    </w:p>
    <w:p w14:paraId="4D088CD9" w14:textId="652D39A6" w:rsidR="00756321" w:rsidRPr="002A34F0" w:rsidRDefault="008339C1" w:rsidP="008339C1">
      <w:pPr>
        <w:spacing w:before="240" w:after="240" w:line="480" w:lineRule="auto"/>
        <w:ind w:firstLine="720"/>
      </w:pPr>
      <w:r w:rsidRPr="002A34F0">
        <w:t>Our data are uniquely derived from the 100% 2010 Population and Housing Census (PHC) collected by the GSS. This procedure is documented in detail in Cavanaugh et al., 2022. The Ghanian census is spatially identifiable at the EA-level (on average ~10,000 m</w:t>
      </w:r>
      <w:r w:rsidRPr="002A34F0">
        <w:rPr>
          <w:vertAlign w:val="superscript"/>
        </w:rPr>
        <w:t>2</w:t>
      </w:r>
      <w:r w:rsidRPr="002A34F0">
        <w:t xml:space="preserve">), however, the census does not contain income or consumption data that are typically used as an indicator of a household’s socioeconomic status (SES). </w:t>
      </w:r>
      <w:r w:rsidR="00F111E1" w:rsidRPr="002A34F0">
        <w:t xml:space="preserve">In the developing context, this is often due to expense of collecting data and difficulty obtaining answers. </w:t>
      </w:r>
      <w:r w:rsidR="00756321" w:rsidRPr="002A34F0">
        <w:t xml:space="preserve">Even when surveys include this information, collected data is only available for larger geographical units or the sample size is not large enough to produce accurate estimates (Nyugen et al., 2017). </w:t>
      </w:r>
      <w:r w:rsidR="00F111E1" w:rsidRPr="002A34F0">
        <w:t>Since</w:t>
      </w:r>
      <w:r w:rsidR="00756321" w:rsidRPr="002A34F0">
        <w:t xml:space="preserve"> we do not have information on income, we measure consumption. While income is preferred when examining economic standards of living, the benefit of using consumption is that it is an appropriate measure of “someone’s actual standard of living regardless of how it is attained” (Johnson et al., 2005).</w:t>
      </w:r>
      <w:r w:rsidR="00847E98" w:rsidRPr="002A34F0">
        <w:t xml:space="preserve"> The GLSS6 provides information on</w:t>
      </w:r>
      <w:r w:rsidR="0034435E" w:rsidRPr="002A34F0">
        <w:t xml:space="preserve"> many categories of</w:t>
      </w:r>
      <w:r w:rsidR="00847E98" w:rsidRPr="002A34F0">
        <w:t xml:space="preserve"> household expenditures</w:t>
      </w:r>
      <w:r w:rsidR="0034435E" w:rsidRPr="002A34F0">
        <w:t>, and expenditures</w:t>
      </w:r>
      <w:r w:rsidR="00847E98" w:rsidRPr="002A34F0">
        <w:t xml:space="preserve"> including rent</w:t>
      </w:r>
      <w:r w:rsidR="0034435E" w:rsidRPr="002A34F0">
        <w:t xml:space="preserve"> is used as our measure for household consumption. </w:t>
      </w:r>
    </w:p>
    <w:p w14:paraId="48D12FA5" w14:textId="6C0D93A2" w:rsidR="008339C1" w:rsidRPr="002A34F0" w:rsidRDefault="008339C1" w:rsidP="008339C1">
      <w:pPr>
        <w:spacing w:before="240" w:after="240" w:line="480" w:lineRule="auto"/>
        <w:ind w:firstLine="720"/>
      </w:pPr>
      <w:r w:rsidRPr="002A34F0">
        <w:t xml:space="preserve">To estimate consumption for households with the 100% census, we first </w:t>
      </w:r>
      <w:r w:rsidR="00756321" w:rsidRPr="002A34F0">
        <w:t xml:space="preserve">use </w:t>
      </w:r>
      <w:r w:rsidRPr="002A34F0">
        <w:t xml:space="preserve">another dataset – the Ghana Living Standards Survey (GLSS6), which is measured in detail – to develop a statistical relationship between consumption and common predictors that capture demographics, education, employment, and housing conditions (see below for additional detail on these). Notably, these predictors are also available in exactly the same format in the census. </w:t>
      </w:r>
    </w:p>
    <w:p w14:paraId="1C1DBADD" w14:textId="6404F64D" w:rsidR="008339C1" w:rsidRPr="002A34F0" w:rsidRDefault="008339C1" w:rsidP="008339C1">
      <w:pPr>
        <w:spacing w:before="240" w:after="240" w:line="480" w:lineRule="auto"/>
        <w:ind w:firstLine="720"/>
      </w:pPr>
      <w:r w:rsidRPr="002A34F0">
        <w:t xml:space="preserve">Following the small area estimation (SAE) literature (Elbers et al., 2003; Molina &amp; Rao 2010), we first fit a linear mixed model with area-level random intercepts to </w:t>
      </w:r>
      <w:r w:rsidRPr="002A34F0">
        <w:lastRenderedPageBreak/>
        <w:t xml:space="preserve">GLSS6 survey data. Our dependent variable is consumption divided by the square root of household size to account for household-level economies of scale (Buhmann et al. 1988), SAE methods that “borrow strength” from the detailed information in the GLSS6 and apply it to the more spatially detailed and representative census data Using the parameter estimates from the GLSS6 consumption model, we then predict consumption for the full census data. We simulate this model 100 times, drawing from variance around parameter estimates and assign the average of the simulated values as the consumption. </w:t>
      </w:r>
    </w:p>
    <w:p w14:paraId="2D69D8BE" w14:textId="77777777" w:rsidR="00EA3634" w:rsidRPr="002A34F0" w:rsidRDefault="00EA3634" w:rsidP="008339C1">
      <w:pPr>
        <w:spacing w:before="240" w:after="240" w:line="480" w:lineRule="auto"/>
        <w:ind w:firstLine="720"/>
      </w:pPr>
    </w:p>
    <w:p w14:paraId="3B9675AB" w14:textId="77777777" w:rsidR="008339C1" w:rsidRPr="002A34F0" w:rsidRDefault="008339C1" w:rsidP="008339C1">
      <w:pPr>
        <w:pStyle w:val="References"/>
        <w:spacing w:line="480" w:lineRule="auto"/>
      </w:pPr>
      <w:r w:rsidRPr="002A34F0">
        <w:t>Appendix References</w:t>
      </w:r>
    </w:p>
    <w:p w14:paraId="162D029B" w14:textId="77777777" w:rsidR="008339C1" w:rsidRPr="002A34F0" w:rsidRDefault="008339C1" w:rsidP="008339C1">
      <w:pPr>
        <w:pStyle w:val="References"/>
        <w:rPr>
          <w:lang w:val="en-US"/>
        </w:rPr>
      </w:pPr>
      <w:r w:rsidRPr="002A34F0">
        <w:rPr>
          <w:lang w:val="en-US"/>
        </w:rPr>
        <w:t>Buhmann, B., Rainwater, L., Schmaus, G., &amp; Smeeding, T. M. (1988). Equivalence scales, well‐being, inequality, and poverty: sensitivity estimates across ten countries using the Luxembourg Income Study (LIS) database. </w:t>
      </w:r>
      <w:r w:rsidRPr="002A34F0">
        <w:rPr>
          <w:i/>
          <w:iCs/>
          <w:lang w:val="en-US"/>
        </w:rPr>
        <w:t>Review of income and wealth</w:t>
      </w:r>
      <w:r w:rsidRPr="002A34F0">
        <w:rPr>
          <w:lang w:val="en-US"/>
        </w:rPr>
        <w:t>, </w:t>
      </w:r>
      <w:r w:rsidRPr="002A34F0">
        <w:rPr>
          <w:i/>
          <w:iCs/>
          <w:lang w:val="en-US"/>
        </w:rPr>
        <w:t>34</w:t>
      </w:r>
      <w:r w:rsidRPr="002A34F0">
        <w:rPr>
          <w:lang w:val="en-US"/>
        </w:rPr>
        <w:t>(2), 115-142.</w:t>
      </w:r>
    </w:p>
    <w:p w14:paraId="700566DE" w14:textId="52989CF8" w:rsidR="008339C1" w:rsidRPr="002A34F0" w:rsidRDefault="001550C1" w:rsidP="00CD7AEB">
      <w:pPr>
        <w:pStyle w:val="References"/>
        <w:rPr>
          <w:lang w:val="en-CA"/>
        </w:rPr>
      </w:pPr>
      <w:r w:rsidRPr="002A34F0">
        <w:rPr>
          <w:lang w:val="en-CA"/>
        </w:rPr>
        <w:t>XXXX</w:t>
      </w:r>
      <w:r w:rsidR="008339C1" w:rsidRPr="002A34F0">
        <w:rPr>
          <w:lang w:val="en-CA"/>
        </w:rPr>
        <w:t xml:space="preserve"> </w:t>
      </w:r>
      <w:r w:rsidR="004E6A6F" w:rsidRPr="002A34F0">
        <w:rPr>
          <w:lang w:val="en-CA"/>
        </w:rPr>
        <w:t xml:space="preserve">[anonymized by the authors] </w:t>
      </w:r>
      <w:r w:rsidR="008339C1" w:rsidRPr="002A34F0">
        <w:rPr>
          <w:lang w:val="en-CA"/>
        </w:rPr>
        <w:t>(2022). Locating poverty and inequality: an application of small area estimation methods using survey and census data from Ghana. Manuscript in preparation.</w:t>
      </w:r>
    </w:p>
    <w:p w14:paraId="1A484717" w14:textId="77777777" w:rsidR="008339C1" w:rsidRPr="002A34F0" w:rsidRDefault="008339C1" w:rsidP="008339C1">
      <w:pPr>
        <w:pStyle w:val="References"/>
      </w:pPr>
      <w:r w:rsidRPr="002A34F0">
        <w:t>Elbers, C., Lanjouw, J. O., &amp; Lanjouw, P. (2003). Micro-level estimation of poverty and inequality. Econometrica, 71(1), 355-364.</w:t>
      </w:r>
    </w:p>
    <w:p w14:paraId="2F301B91" w14:textId="77777777" w:rsidR="00F111E1" w:rsidRPr="002A34F0" w:rsidRDefault="00F111E1" w:rsidP="00F111E1">
      <w:pPr>
        <w:pStyle w:val="References"/>
      </w:pPr>
      <w:r w:rsidRPr="002A34F0">
        <w:t>Johnson, D. S., Smeeding, T. M., &amp; Torrey, B. B. (2005). Economic inequality through the prisms of income and consumption. Monthly Lab. Rev., 128, 11.</w:t>
      </w:r>
    </w:p>
    <w:p w14:paraId="61DBFB52" w14:textId="77777777" w:rsidR="008339C1" w:rsidRPr="002A34F0" w:rsidRDefault="008339C1" w:rsidP="008339C1">
      <w:pPr>
        <w:pStyle w:val="References"/>
      </w:pPr>
      <w:r w:rsidRPr="002A34F0">
        <w:t xml:space="preserve">Molina, I., &amp; Rao, J. N. K. (2010). Small area estimation of poverty indicators. </w:t>
      </w:r>
      <w:r w:rsidRPr="002A34F0">
        <w:rPr>
          <w:i/>
          <w:iCs/>
        </w:rPr>
        <w:t>Canadian Journal of Statistics,</w:t>
      </w:r>
      <w:r w:rsidRPr="002A34F0">
        <w:t xml:space="preserve"> 38 (3): 369-385.</w:t>
      </w:r>
    </w:p>
    <w:p w14:paraId="4EE46ABF" w14:textId="633C058B" w:rsidR="00F111E1" w:rsidRPr="002A34F0" w:rsidRDefault="00F111E1" w:rsidP="008339C1">
      <w:pPr>
        <w:pStyle w:val="References"/>
      </w:pPr>
      <w:r w:rsidRPr="002A34F0">
        <w:t>Nguyen, M. C., Corral, P., Azevedo, J. P., &amp; Zhao, Q. (2017). Small area estimation: An extended ELL approach. World Bank.</w:t>
      </w:r>
    </w:p>
    <w:p w14:paraId="1555F22D" w14:textId="6BB95CEE" w:rsidR="008339C1" w:rsidRPr="002A34F0" w:rsidRDefault="008339C1">
      <w:pPr>
        <w:rPr>
          <w:b/>
          <w:bCs/>
          <w:lang w:val="en-GB" w:eastAsia="en-GB"/>
        </w:rPr>
      </w:pPr>
      <w:r w:rsidRPr="002A34F0">
        <w:rPr>
          <w:b/>
          <w:bCs/>
        </w:rPr>
        <w:br w:type="page"/>
      </w:r>
    </w:p>
    <w:tbl>
      <w:tblPr>
        <w:tblW w:w="8280" w:type="dxa"/>
        <w:tblLook w:val="04A0" w:firstRow="1" w:lastRow="0" w:firstColumn="1" w:lastColumn="0" w:noHBand="0" w:noVBand="1"/>
      </w:tblPr>
      <w:tblGrid>
        <w:gridCol w:w="1671"/>
        <w:gridCol w:w="3271"/>
        <w:gridCol w:w="3338"/>
      </w:tblGrid>
      <w:tr w:rsidR="00F40F79" w:rsidRPr="002A34F0" w14:paraId="25D393CD" w14:textId="77777777" w:rsidTr="001A6C70">
        <w:trPr>
          <w:trHeight w:val="288"/>
        </w:trPr>
        <w:tc>
          <w:tcPr>
            <w:tcW w:w="8280" w:type="dxa"/>
            <w:gridSpan w:val="3"/>
            <w:tcBorders>
              <w:top w:val="single" w:sz="8" w:space="0" w:color="auto"/>
              <w:left w:val="single" w:sz="8" w:space="0" w:color="auto"/>
              <w:bottom w:val="nil"/>
              <w:right w:val="single" w:sz="8" w:space="0" w:color="000000"/>
            </w:tcBorders>
            <w:shd w:val="clear" w:color="auto" w:fill="auto"/>
            <w:vAlign w:val="center"/>
            <w:hideMark/>
          </w:tcPr>
          <w:p w14:paraId="7B6D293A" w14:textId="375DFC3D" w:rsidR="00F40F79" w:rsidRPr="002A34F0" w:rsidRDefault="00F40F79" w:rsidP="001A6C70">
            <w:pPr>
              <w:rPr>
                <w:color w:val="000000"/>
                <w:sz w:val="22"/>
                <w:szCs w:val="22"/>
                <w:lang w:val="en-US"/>
              </w:rPr>
            </w:pPr>
            <w:r w:rsidRPr="002A34F0">
              <w:rPr>
                <w:color w:val="000000"/>
                <w:sz w:val="22"/>
                <w:szCs w:val="22"/>
                <w:lang w:val="en"/>
              </w:rPr>
              <w:lastRenderedPageBreak/>
              <w:t xml:space="preserve">Appendix Table </w:t>
            </w:r>
            <w:r w:rsidR="008339C1" w:rsidRPr="002A34F0">
              <w:rPr>
                <w:color w:val="000000"/>
                <w:sz w:val="22"/>
                <w:szCs w:val="22"/>
                <w:lang w:val="en"/>
              </w:rPr>
              <w:t>A.</w:t>
            </w:r>
            <w:r w:rsidRPr="002A34F0">
              <w:rPr>
                <w:color w:val="000000"/>
                <w:sz w:val="22"/>
                <w:szCs w:val="22"/>
                <w:lang w:val="en"/>
              </w:rPr>
              <w:t>1. Improved/Unimproved Household Characteristic Classification</w:t>
            </w:r>
          </w:p>
        </w:tc>
      </w:tr>
      <w:tr w:rsidR="00F40F79" w:rsidRPr="002A34F0" w14:paraId="4B250513" w14:textId="77777777" w:rsidTr="001A6C70">
        <w:trPr>
          <w:trHeight w:val="300"/>
        </w:trPr>
        <w:tc>
          <w:tcPr>
            <w:tcW w:w="1680" w:type="dxa"/>
            <w:tcBorders>
              <w:top w:val="nil"/>
              <w:left w:val="single" w:sz="8" w:space="0" w:color="auto"/>
              <w:bottom w:val="nil"/>
              <w:right w:val="nil"/>
            </w:tcBorders>
            <w:shd w:val="clear" w:color="auto" w:fill="auto"/>
            <w:vAlign w:val="center"/>
            <w:hideMark/>
          </w:tcPr>
          <w:p w14:paraId="40D9F185"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240" w:type="dxa"/>
            <w:tcBorders>
              <w:top w:val="nil"/>
              <w:left w:val="single" w:sz="4" w:space="0" w:color="auto"/>
              <w:bottom w:val="nil"/>
              <w:right w:val="dashed" w:sz="4" w:space="0" w:color="auto"/>
            </w:tcBorders>
            <w:shd w:val="clear" w:color="auto" w:fill="auto"/>
            <w:vAlign w:val="center"/>
            <w:hideMark/>
          </w:tcPr>
          <w:p w14:paraId="04135130" w14:textId="77777777" w:rsidR="00F40F79" w:rsidRPr="002A34F0" w:rsidRDefault="00F40F79" w:rsidP="001A6C70">
            <w:pPr>
              <w:rPr>
                <w:color w:val="000000"/>
                <w:sz w:val="22"/>
                <w:szCs w:val="22"/>
                <w:lang w:val="en-US"/>
              </w:rPr>
            </w:pPr>
            <w:r w:rsidRPr="002A34F0">
              <w:rPr>
                <w:color w:val="000000"/>
                <w:sz w:val="22"/>
                <w:szCs w:val="22"/>
                <w:lang w:val="en"/>
              </w:rPr>
              <w:t>Improved</w:t>
            </w:r>
          </w:p>
        </w:tc>
        <w:tc>
          <w:tcPr>
            <w:tcW w:w="3360" w:type="dxa"/>
            <w:tcBorders>
              <w:top w:val="nil"/>
              <w:left w:val="nil"/>
              <w:bottom w:val="nil"/>
              <w:right w:val="single" w:sz="8" w:space="0" w:color="auto"/>
            </w:tcBorders>
            <w:shd w:val="clear" w:color="auto" w:fill="auto"/>
            <w:vAlign w:val="center"/>
            <w:hideMark/>
          </w:tcPr>
          <w:p w14:paraId="741E580E" w14:textId="77777777" w:rsidR="00F40F79" w:rsidRPr="002A34F0" w:rsidRDefault="00F40F79" w:rsidP="001A6C70">
            <w:pPr>
              <w:rPr>
                <w:color w:val="000000"/>
                <w:sz w:val="22"/>
                <w:szCs w:val="22"/>
                <w:lang w:val="en-US"/>
              </w:rPr>
            </w:pPr>
            <w:r w:rsidRPr="002A34F0">
              <w:rPr>
                <w:color w:val="000000"/>
                <w:sz w:val="22"/>
                <w:szCs w:val="22"/>
                <w:lang w:val="en"/>
              </w:rPr>
              <w:t>Unimproved</w:t>
            </w:r>
          </w:p>
        </w:tc>
      </w:tr>
      <w:tr w:rsidR="00F40F79" w:rsidRPr="002A34F0" w14:paraId="696310F7" w14:textId="77777777" w:rsidTr="001A6C70">
        <w:trPr>
          <w:trHeight w:val="288"/>
        </w:trPr>
        <w:tc>
          <w:tcPr>
            <w:tcW w:w="1680" w:type="dxa"/>
            <w:tcBorders>
              <w:top w:val="single" w:sz="8" w:space="0" w:color="auto"/>
              <w:left w:val="single" w:sz="8" w:space="0" w:color="auto"/>
              <w:bottom w:val="nil"/>
              <w:right w:val="nil"/>
            </w:tcBorders>
            <w:shd w:val="clear" w:color="auto" w:fill="auto"/>
            <w:vAlign w:val="center"/>
            <w:hideMark/>
          </w:tcPr>
          <w:p w14:paraId="66408AA2" w14:textId="77777777" w:rsidR="00F40F79" w:rsidRPr="002A34F0" w:rsidRDefault="00F40F79" w:rsidP="001A6C70">
            <w:pPr>
              <w:rPr>
                <w:color w:val="000000"/>
                <w:sz w:val="22"/>
                <w:szCs w:val="22"/>
                <w:lang w:val="en-US"/>
              </w:rPr>
            </w:pPr>
            <w:r w:rsidRPr="002A34F0">
              <w:rPr>
                <w:color w:val="000000"/>
                <w:sz w:val="22"/>
                <w:szCs w:val="22"/>
                <w:lang w:val="en"/>
              </w:rPr>
              <w:t>Housing</w:t>
            </w:r>
          </w:p>
        </w:tc>
        <w:tc>
          <w:tcPr>
            <w:tcW w:w="3240" w:type="dxa"/>
            <w:tcBorders>
              <w:top w:val="single" w:sz="8" w:space="0" w:color="auto"/>
              <w:left w:val="single" w:sz="4" w:space="0" w:color="auto"/>
              <w:bottom w:val="nil"/>
              <w:right w:val="dashed" w:sz="4" w:space="0" w:color="auto"/>
            </w:tcBorders>
            <w:shd w:val="clear" w:color="auto" w:fill="auto"/>
            <w:vAlign w:val="center"/>
            <w:hideMark/>
          </w:tcPr>
          <w:p w14:paraId="551355CC"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single" w:sz="8" w:space="0" w:color="auto"/>
              <w:left w:val="nil"/>
              <w:bottom w:val="nil"/>
              <w:right w:val="single" w:sz="8" w:space="0" w:color="auto"/>
            </w:tcBorders>
            <w:shd w:val="clear" w:color="auto" w:fill="auto"/>
            <w:vAlign w:val="center"/>
            <w:hideMark/>
          </w:tcPr>
          <w:p w14:paraId="61CF50FE" w14:textId="77777777" w:rsidR="00F40F79" w:rsidRPr="002A34F0" w:rsidRDefault="00F40F79" w:rsidP="001A6C70">
            <w:pPr>
              <w:rPr>
                <w:color w:val="000000"/>
                <w:sz w:val="22"/>
                <w:szCs w:val="22"/>
                <w:lang w:val="en-US"/>
              </w:rPr>
            </w:pPr>
            <w:r w:rsidRPr="002A34F0">
              <w:rPr>
                <w:color w:val="000000"/>
                <w:sz w:val="22"/>
                <w:szCs w:val="22"/>
                <w:lang w:val="en"/>
              </w:rPr>
              <w:t> </w:t>
            </w:r>
          </w:p>
        </w:tc>
      </w:tr>
      <w:tr w:rsidR="00F40F79" w:rsidRPr="002A34F0" w14:paraId="6C84C2EA"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188EB4C4" w14:textId="77777777" w:rsidR="00F40F79" w:rsidRPr="002A34F0" w:rsidRDefault="00F40F79" w:rsidP="001A6C70">
            <w:pPr>
              <w:rPr>
                <w:i/>
                <w:iCs/>
                <w:color w:val="000000"/>
                <w:sz w:val="22"/>
                <w:szCs w:val="22"/>
                <w:lang w:val="en-US"/>
              </w:rPr>
            </w:pPr>
            <w:r w:rsidRPr="002A34F0">
              <w:rPr>
                <w:i/>
                <w:iCs/>
                <w:color w:val="000000"/>
                <w:sz w:val="22"/>
                <w:szCs w:val="22"/>
                <w:lang w:val="en"/>
              </w:rPr>
              <w:t>Dwelling type</w:t>
            </w:r>
          </w:p>
        </w:tc>
        <w:tc>
          <w:tcPr>
            <w:tcW w:w="3240" w:type="dxa"/>
            <w:tcBorders>
              <w:top w:val="nil"/>
              <w:left w:val="single" w:sz="4" w:space="0" w:color="auto"/>
              <w:bottom w:val="nil"/>
              <w:right w:val="dashed" w:sz="4" w:space="0" w:color="auto"/>
            </w:tcBorders>
            <w:shd w:val="clear" w:color="auto" w:fill="auto"/>
            <w:vAlign w:val="center"/>
            <w:hideMark/>
          </w:tcPr>
          <w:p w14:paraId="35B97F4C" w14:textId="77777777" w:rsidR="00F40F79" w:rsidRPr="002A34F0" w:rsidRDefault="00F40F79" w:rsidP="001A6C70">
            <w:pPr>
              <w:rPr>
                <w:color w:val="000000"/>
                <w:sz w:val="22"/>
                <w:szCs w:val="22"/>
                <w:lang w:val="en-US"/>
              </w:rPr>
            </w:pPr>
            <w:r w:rsidRPr="002A34F0">
              <w:rPr>
                <w:color w:val="000000"/>
                <w:sz w:val="22"/>
                <w:szCs w:val="22"/>
                <w:lang w:val="en"/>
              </w:rPr>
              <w:t>Compound house (rooms)</w:t>
            </w:r>
          </w:p>
        </w:tc>
        <w:tc>
          <w:tcPr>
            <w:tcW w:w="3360" w:type="dxa"/>
            <w:tcBorders>
              <w:top w:val="nil"/>
              <w:left w:val="nil"/>
              <w:bottom w:val="nil"/>
              <w:right w:val="single" w:sz="8" w:space="0" w:color="auto"/>
            </w:tcBorders>
            <w:shd w:val="clear" w:color="auto" w:fill="auto"/>
            <w:vAlign w:val="center"/>
            <w:hideMark/>
          </w:tcPr>
          <w:p w14:paraId="28555403" w14:textId="77777777" w:rsidR="00F40F79" w:rsidRPr="002A34F0" w:rsidRDefault="00F40F79" w:rsidP="001A6C70">
            <w:pPr>
              <w:rPr>
                <w:color w:val="000000"/>
                <w:sz w:val="22"/>
                <w:szCs w:val="22"/>
                <w:lang w:val="en-US"/>
              </w:rPr>
            </w:pPr>
            <w:r w:rsidRPr="002A34F0">
              <w:rPr>
                <w:color w:val="000000"/>
                <w:sz w:val="22"/>
                <w:szCs w:val="22"/>
                <w:lang w:val="en"/>
              </w:rPr>
              <w:t>Huts/Buildings (different compound)</w:t>
            </w:r>
          </w:p>
        </w:tc>
      </w:tr>
      <w:tr w:rsidR="00F40F79" w:rsidRPr="002A34F0" w14:paraId="245BBAE5"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3C368451"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127EF444" w14:textId="77777777" w:rsidR="00F40F79" w:rsidRPr="002A34F0" w:rsidRDefault="00F40F79" w:rsidP="001A6C70">
            <w:pPr>
              <w:rPr>
                <w:color w:val="000000"/>
                <w:sz w:val="22"/>
                <w:szCs w:val="22"/>
                <w:lang w:val="en-US"/>
              </w:rPr>
            </w:pPr>
            <w:r w:rsidRPr="002A34F0">
              <w:rPr>
                <w:color w:val="000000"/>
                <w:sz w:val="22"/>
                <w:szCs w:val="22"/>
                <w:lang w:val="en"/>
              </w:rPr>
              <w:t>Flat/Apartment</w:t>
            </w:r>
          </w:p>
        </w:tc>
        <w:tc>
          <w:tcPr>
            <w:tcW w:w="3360" w:type="dxa"/>
            <w:tcBorders>
              <w:top w:val="nil"/>
              <w:left w:val="nil"/>
              <w:bottom w:val="nil"/>
              <w:right w:val="single" w:sz="8" w:space="0" w:color="auto"/>
            </w:tcBorders>
            <w:shd w:val="clear" w:color="auto" w:fill="auto"/>
            <w:vAlign w:val="center"/>
            <w:hideMark/>
          </w:tcPr>
          <w:p w14:paraId="2B6D8A34" w14:textId="77777777" w:rsidR="00F40F79" w:rsidRPr="002A34F0" w:rsidRDefault="00F40F79" w:rsidP="001A6C70">
            <w:pPr>
              <w:rPr>
                <w:color w:val="000000"/>
                <w:sz w:val="22"/>
                <w:szCs w:val="22"/>
                <w:lang w:val="en-US"/>
              </w:rPr>
            </w:pPr>
            <w:r w:rsidRPr="002A34F0">
              <w:rPr>
                <w:color w:val="000000"/>
                <w:sz w:val="22"/>
                <w:szCs w:val="22"/>
                <w:lang w:val="en"/>
              </w:rPr>
              <w:t>Huts/Buildings (same compound)</w:t>
            </w:r>
          </w:p>
        </w:tc>
      </w:tr>
      <w:tr w:rsidR="00F40F79" w:rsidRPr="002A34F0" w14:paraId="61D4BDEF" w14:textId="77777777" w:rsidTr="001A6C70">
        <w:trPr>
          <w:trHeight w:val="552"/>
        </w:trPr>
        <w:tc>
          <w:tcPr>
            <w:tcW w:w="1680" w:type="dxa"/>
            <w:tcBorders>
              <w:top w:val="nil"/>
              <w:left w:val="single" w:sz="8" w:space="0" w:color="auto"/>
              <w:bottom w:val="nil"/>
              <w:right w:val="nil"/>
            </w:tcBorders>
            <w:shd w:val="clear" w:color="auto" w:fill="auto"/>
            <w:vAlign w:val="center"/>
            <w:hideMark/>
          </w:tcPr>
          <w:p w14:paraId="6E1D9A09"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00AB49FA" w14:textId="77777777" w:rsidR="00F40F79" w:rsidRPr="002A34F0" w:rsidRDefault="00F40F79" w:rsidP="001A6C70">
            <w:pPr>
              <w:rPr>
                <w:color w:val="000000"/>
                <w:sz w:val="22"/>
                <w:szCs w:val="22"/>
                <w:lang w:val="en-US"/>
              </w:rPr>
            </w:pPr>
            <w:r w:rsidRPr="002A34F0">
              <w:rPr>
                <w:color w:val="000000"/>
                <w:sz w:val="22"/>
                <w:szCs w:val="22"/>
                <w:lang w:val="en"/>
              </w:rPr>
              <w:t>Semi-detached house</w:t>
            </w:r>
          </w:p>
        </w:tc>
        <w:tc>
          <w:tcPr>
            <w:tcW w:w="3360" w:type="dxa"/>
            <w:tcBorders>
              <w:top w:val="nil"/>
              <w:left w:val="nil"/>
              <w:bottom w:val="nil"/>
              <w:right w:val="single" w:sz="8" w:space="0" w:color="auto"/>
            </w:tcBorders>
            <w:shd w:val="clear" w:color="auto" w:fill="auto"/>
            <w:vAlign w:val="center"/>
            <w:hideMark/>
          </w:tcPr>
          <w:p w14:paraId="4641B54A" w14:textId="77777777" w:rsidR="00F40F79" w:rsidRPr="002A34F0" w:rsidRDefault="00F40F79" w:rsidP="001A6C70">
            <w:pPr>
              <w:rPr>
                <w:color w:val="000000"/>
                <w:sz w:val="22"/>
                <w:szCs w:val="22"/>
                <w:lang w:val="en-US"/>
              </w:rPr>
            </w:pPr>
            <w:r w:rsidRPr="002A34F0">
              <w:rPr>
                <w:color w:val="000000"/>
                <w:sz w:val="22"/>
                <w:szCs w:val="22"/>
                <w:lang w:val="en"/>
              </w:rPr>
              <w:t>Improvised home (kiosk/container, etc.)</w:t>
            </w:r>
          </w:p>
        </w:tc>
      </w:tr>
      <w:tr w:rsidR="00F40F79" w:rsidRPr="002A34F0" w14:paraId="2F1FE5E7" w14:textId="77777777" w:rsidTr="001A6C70">
        <w:trPr>
          <w:trHeight w:val="552"/>
        </w:trPr>
        <w:tc>
          <w:tcPr>
            <w:tcW w:w="1680" w:type="dxa"/>
            <w:tcBorders>
              <w:top w:val="nil"/>
              <w:left w:val="single" w:sz="8" w:space="0" w:color="auto"/>
              <w:bottom w:val="nil"/>
              <w:right w:val="nil"/>
            </w:tcBorders>
            <w:shd w:val="clear" w:color="auto" w:fill="auto"/>
            <w:vAlign w:val="center"/>
            <w:hideMark/>
          </w:tcPr>
          <w:p w14:paraId="39876E43"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1B9DE486" w14:textId="77777777" w:rsidR="00F40F79" w:rsidRPr="002A34F0" w:rsidRDefault="00F40F79" w:rsidP="001A6C70">
            <w:pPr>
              <w:rPr>
                <w:color w:val="000000"/>
                <w:sz w:val="22"/>
                <w:szCs w:val="22"/>
                <w:lang w:val="en-US"/>
              </w:rPr>
            </w:pPr>
            <w:r w:rsidRPr="002A34F0">
              <w:rPr>
                <w:color w:val="000000"/>
                <w:sz w:val="22"/>
                <w:szCs w:val="22"/>
                <w:lang w:val="en"/>
              </w:rPr>
              <w:t>Separate house</w:t>
            </w:r>
          </w:p>
        </w:tc>
        <w:tc>
          <w:tcPr>
            <w:tcW w:w="3360" w:type="dxa"/>
            <w:tcBorders>
              <w:top w:val="nil"/>
              <w:left w:val="nil"/>
              <w:bottom w:val="nil"/>
              <w:right w:val="single" w:sz="8" w:space="0" w:color="auto"/>
            </w:tcBorders>
            <w:shd w:val="clear" w:color="auto" w:fill="auto"/>
            <w:vAlign w:val="center"/>
            <w:hideMark/>
          </w:tcPr>
          <w:p w14:paraId="1354968A" w14:textId="77777777" w:rsidR="00F40F79" w:rsidRPr="002A34F0" w:rsidRDefault="00F40F79" w:rsidP="001A6C70">
            <w:pPr>
              <w:rPr>
                <w:color w:val="000000"/>
                <w:sz w:val="22"/>
                <w:szCs w:val="22"/>
                <w:lang w:val="en-US"/>
              </w:rPr>
            </w:pPr>
            <w:r w:rsidRPr="002A34F0">
              <w:rPr>
                <w:color w:val="000000"/>
                <w:sz w:val="22"/>
                <w:szCs w:val="22"/>
                <w:lang w:val="en"/>
              </w:rPr>
              <w:t>Living quarters attached to office/shop</w:t>
            </w:r>
          </w:p>
        </w:tc>
      </w:tr>
      <w:tr w:rsidR="00F40F79" w:rsidRPr="002A34F0" w14:paraId="7A9B2BFF"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75C3AA7A"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6E70092C"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5B1CCAC1"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648086FA"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2DF3C655"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7C0C658B"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02A08E52" w14:textId="77777777" w:rsidR="00F40F79" w:rsidRPr="002A34F0" w:rsidRDefault="00F40F79" w:rsidP="001A6C70">
            <w:pPr>
              <w:rPr>
                <w:color w:val="000000"/>
                <w:sz w:val="22"/>
                <w:szCs w:val="22"/>
                <w:lang w:val="en-US"/>
              </w:rPr>
            </w:pPr>
            <w:r w:rsidRPr="002A34F0">
              <w:rPr>
                <w:color w:val="000000"/>
                <w:sz w:val="22"/>
                <w:szCs w:val="22"/>
                <w:lang w:val="en"/>
              </w:rPr>
              <w:t>Tent</w:t>
            </w:r>
          </w:p>
        </w:tc>
      </w:tr>
      <w:tr w:rsidR="00F40F79" w:rsidRPr="002A34F0" w14:paraId="5273E922"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31C6FE97"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3A21A233"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375852F9" w14:textId="77777777" w:rsidR="00F40F79" w:rsidRPr="002A34F0" w:rsidRDefault="00F40F79" w:rsidP="001A6C70">
            <w:pPr>
              <w:rPr>
                <w:color w:val="000000"/>
                <w:sz w:val="22"/>
                <w:szCs w:val="22"/>
                <w:lang w:val="en-US"/>
              </w:rPr>
            </w:pPr>
            <w:r w:rsidRPr="002A34F0">
              <w:rPr>
                <w:color w:val="000000"/>
                <w:sz w:val="22"/>
                <w:szCs w:val="22"/>
                <w:lang w:val="en"/>
              </w:rPr>
              <w:t>Uncompleted building</w:t>
            </w:r>
          </w:p>
        </w:tc>
      </w:tr>
      <w:tr w:rsidR="00F40F79" w:rsidRPr="002A34F0" w14:paraId="0C2BFAC5"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43C38C8D" w14:textId="77777777" w:rsidR="00F40F79" w:rsidRPr="002A34F0" w:rsidRDefault="00F40F79" w:rsidP="001A6C70">
            <w:pPr>
              <w:rPr>
                <w:i/>
                <w:iCs/>
                <w:color w:val="000000"/>
                <w:sz w:val="22"/>
                <w:szCs w:val="22"/>
                <w:lang w:val="en-US"/>
              </w:rPr>
            </w:pPr>
            <w:r w:rsidRPr="002A34F0">
              <w:rPr>
                <w:i/>
                <w:iCs/>
                <w:color w:val="000000"/>
                <w:sz w:val="22"/>
                <w:szCs w:val="22"/>
                <w:lang w:val="en"/>
              </w:rPr>
              <w:t>Wall material</w:t>
            </w:r>
          </w:p>
        </w:tc>
        <w:tc>
          <w:tcPr>
            <w:tcW w:w="3240" w:type="dxa"/>
            <w:tcBorders>
              <w:top w:val="nil"/>
              <w:left w:val="single" w:sz="4" w:space="0" w:color="auto"/>
              <w:bottom w:val="nil"/>
              <w:right w:val="dashed" w:sz="4" w:space="0" w:color="auto"/>
            </w:tcBorders>
            <w:shd w:val="clear" w:color="auto" w:fill="auto"/>
            <w:vAlign w:val="center"/>
            <w:hideMark/>
          </w:tcPr>
          <w:p w14:paraId="3FF3D6D6" w14:textId="77777777" w:rsidR="00F40F79" w:rsidRPr="002A34F0" w:rsidRDefault="00F40F79" w:rsidP="001A6C70">
            <w:pPr>
              <w:rPr>
                <w:color w:val="000000"/>
                <w:sz w:val="22"/>
                <w:szCs w:val="22"/>
                <w:lang w:val="en-US"/>
              </w:rPr>
            </w:pPr>
            <w:r w:rsidRPr="002A34F0">
              <w:rPr>
                <w:color w:val="000000"/>
                <w:sz w:val="22"/>
                <w:szCs w:val="22"/>
                <w:lang w:val="en"/>
              </w:rPr>
              <w:t>Burnt bricks</w:t>
            </w:r>
          </w:p>
        </w:tc>
        <w:tc>
          <w:tcPr>
            <w:tcW w:w="3360" w:type="dxa"/>
            <w:tcBorders>
              <w:top w:val="nil"/>
              <w:left w:val="nil"/>
              <w:bottom w:val="nil"/>
              <w:right w:val="single" w:sz="8" w:space="0" w:color="auto"/>
            </w:tcBorders>
            <w:shd w:val="clear" w:color="auto" w:fill="auto"/>
            <w:vAlign w:val="center"/>
            <w:hideMark/>
          </w:tcPr>
          <w:p w14:paraId="0885B2E0" w14:textId="77777777" w:rsidR="00F40F79" w:rsidRPr="002A34F0" w:rsidRDefault="00F40F79" w:rsidP="001A6C70">
            <w:pPr>
              <w:rPr>
                <w:color w:val="000000"/>
                <w:sz w:val="22"/>
                <w:szCs w:val="22"/>
                <w:lang w:val="en-US"/>
              </w:rPr>
            </w:pPr>
            <w:r w:rsidRPr="002A34F0">
              <w:rPr>
                <w:color w:val="000000"/>
                <w:sz w:val="22"/>
                <w:szCs w:val="22"/>
                <w:lang w:val="en"/>
              </w:rPr>
              <w:t>Bamboo</w:t>
            </w:r>
          </w:p>
        </w:tc>
      </w:tr>
      <w:tr w:rsidR="00F40F79" w:rsidRPr="002A34F0" w14:paraId="1371C859"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0E3FFE4F"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480BCCA7" w14:textId="77777777" w:rsidR="00F40F79" w:rsidRPr="002A34F0" w:rsidRDefault="00F40F79" w:rsidP="001A6C70">
            <w:pPr>
              <w:rPr>
                <w:color w:val="000000"/>
                <w:sz w:val="22"/>
                <w:szCs w:val="22"/>
                <w:lang w:val="en-US"/>
              </w:rPr>
            </w:pPr>
            <w:r w:rsidRPr="002A34F0">
              <w:rPr>
                <w:color w:val="000000"/>
                <w:sz w:val="22"/>
                <w:szCs w:val="22"/>
                <w:lang w:val="en"/>
              </w:rPr>
              <w:t>Cement blocks/Concrete</w:t>
            </w:r>
          </w:p>
        </w:tc>
        <w:tc>
          <w:tcPr>
            <w:tcW w:w="3360" w:type="dxa"/>
            <w:tcBorders>
              <w:top w:val="nil"/>
              <w:left w:val="nil"/>
              <w:bottom w:val="nil"/>
              <w:right w:val="single" w:sz="8" w:space="0" w:color="auto"/>
            </w:tcBorders>
            <w:shd w:val="clear" w:color="auto" w:fill="auto"/>
            <w:vAlign w:val="center"/>
            <w:hideMark/>
          </w:tcPr>
          <w:p w14:paraId="07B7061A" w14:textId="77777777" w:rsidR="00F40F79" w:rsidRPr="002A34F0" w:rsidRDefault="00F40F79" w:rsidP="001A6C70">
            <w:pPr>
              <w:rPr>
                <w:color w:val="000000"/>
                <w:sz w:val="22"/>
                <w:szCs w:val="22"/>
                <w:lang w:val="en-US"/>
              </w:rPr>
            </w:pPr>
            <w:r w:rsidRPr="002A34F0">
              <w:rPr>
                <w:color w:val="000000"/>
                <w:sz w:val="22"/>
                <w:szCs w:val="22"/>
                <w:lang w:val="en"/>
              </w:rPr>
              <w:t>Mud brick/Earth</w:t>
            </w:r>
          </w:p>
        </w:tc>
      </w:tr>
      <w:tr w:rsidR="00F40F79" w:rsidRPr="002A34F0" w14:paraId="38B0A562"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0F1FBAF4"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4F53D418" w14:textId="77777777" w:rsidR="00F40F79" w:rsidRPr="002A34F0" w:rsidRDefault="00F40F79" w:rsidP="001A6C70">
            <w:pPr>
              <w:rPr>
                <w:color w:val="000000"/>
                <w:sz w:val="22"/>
                <w:szCs w:val="22"/>
                <w:lang w:val="en-US"/>
              </w:rPr>
            </w:pPr>
            <w:r w:rsidRPr="002A34F0">
              <w:rPr>
                <w:color w:val="000000"/>
                <w:sz w:val="22"/>
                <w:szCs w:val="22"/>
                <w:lang w:val="en"/>
              </w:rPr>
              <w:t>Landcrete</w:t>
            </w:r>
          </w:p>
        </w:tc>
        <w:tc>
          <w:tcPr>
            <w:tcW w:w="3360" w:type="dxa"/>
            <w:tcBorders>
              <w:top w:val="nil"/>
              <w:left w:val="nil"/>
              <w:bottom w:val="nil"/>
              <w:right w:val="single" w:sz="8" w:space="0" w:color="auto"/>
            </w:tcBorders>
            <w:shd w:val="clear" w:color="auto" w:fill="auto"/>
            <w:vAlign w:val="center"/>
            <w:hideMark/>
          </w:tcPr>
          <w:p w14:paraId="5DFC7210"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33610D02"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6BC564B6"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0EB5783B" w14:textId="77777777" w:rsidR="00F40F79" w:rsidRPr="002A34F0" w:rsidRDefault="00F40F79" w:rsidP="001A6C70">
            <w:pPr>
              <w:rPr>
                <w:color w:val="000000"/>
                <w:sz w:val="22"/>
                <w:szCs w:val="22"/>
                <w:lang w:val="en-US"/>
              </w:rPr>
            </w:pPr>
            <w:r w:rsidRPr="002A34F0">
              <w:rPr>
                <w:color w:val="000000"/>
                <w:sz w:val="22"/>
                <w:szCs w:val="22"/>
                <w:lang w:val="en"/>
              </w:rPr>
              <w:t>Metal sheet/Slate/Asbestos</w:t>
            </w:r>
          </w:p>
        </w:tc>
        <w:tc>
          <w:tcPr>
            <w:tcW w:w="3360" w:type="dxa"/>
            <w:tcBorders>
              <w:top w:val="nil"/>
              <w:left w:val="nil"/>
              <w:bottom w:val="nil"/>
              <w:right w:val="single" w:sz="8" w:space="0" w:color="auto"/>
            </w:tcBorders>
            <w:shd w:val="clear" w:color="auto" w:fill="auto"/>
            <w:vAlign w:val="center"/>
            <w:hideMark/>
          </w:tcPr>
          <w:p w14:paraId="62D2284D" w14:textId="77777777" w:rsidR="00F40F79" w:rsidRPr="002A34F0" w:rsidRDefault="00F40F79" w:rsidP="001A6C70">
            <w:pPr>
              <w:rPr>
                <w:color w:val="000000"/>
                <w:sz w:val="22"/>
                <w:szCs w:val="22"/>
                <w:lang w:val="en-US"/>
              </w:rPr>
            </w:pPr>
            <w:r w:rsidRPr="002A34F0">
              <w:rPr>
                <w:color w:val="000000"/>
                <w:sz w:val="22"/>
                <w:szCs w:val="22"/>
                <w:lang w:val="en"/>
              </w:rPr>
              <w:t>Palm leaf/Thatch (grass)/Raffia</w:t>
            </w:r>
          </w:p>
        </w:tc>
      </w:tr>
      <w:tr w:rsidR="00F40F79" w:rsidRPr="002A34F0" w14:paraId="6BAA33F9"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2D3CC2F2"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0F0F80C1" w14:textId="77777777" w:rsidR="00F40F79" w:rsidRPr="002A34F0" w:rsidRDefault="00F40F79" w:rsidP="001A6C70">
            <w:pPr>
              <w:rPr>
                <w:color w:val="000000"/>
                <w:sz w:val="22"/>
                <w:szCs w:val="22"/>
                <w:lang w:val="en-US"/>
              </w:rPr>
            </w:pPr>
            <w:r w:rsidRPr="002A34F0">
              <w:rPr>
                <w:color w:val="000000"/>
                <w:sz w:val="22"/>
                <w:szCs w:val="22"/>
                <w:lang w:val="en"/>
              </w:rPr>
              <w:t>Stone</w:t>
            </w:r>
          </w:p>
        </w:tc>
        <w:tc>
          <w:tcPr>
            <w:tcW w:w="3360" w:type="dxa"/>
            <w:tcBorders>
              <w:top w:val="nil"/>
              <w:left w:val="nil"/>
              <w:bottom w:val="nil"/>
              <w:right w:val="single" w:sz="8" w:space="0" w:color="auto"/>
            </w:tcBorders>
            <w:shd w:val="clear" w:color="auto" w:fill="auto"/>
            <w:vAlign w:val="center"/>
            <w:hideMark/>
          </w:tcPr>
          <w:p w14:paraId="60CB207D" w14:textId="77777777" w:rsidR="00F40F79" w:rsidRPr="002A34F0" w:rsidRDefault="00F40F79" w:rsidP="001A6C70">
            <w:pPr>
              <w:rPr>
                <w:color w:val="000000"/>
                <w:sz w:val="22"/>
                <w:szCs w:val="22"/>
                <w:lang w:val="en-US"/>
              </w:rPr>
            </w:pPr>
            <w:r w:rsidRPr="002A34F0">
              <w:rPr>
                <w:color w:val="000000"/>
                <w:sz w:val="22"/>
                <w:szCs w:val="22"/>
                <w:lang w:val="en"/>
              </w:rPr>
              <w:t>Wood</w:t>
            </w:r>
          </w:p>
        </w:tc>
      </w:tr>
      <w:tr w:rsidR="00F40F79" w:rsidRPr="002A34F0" w14:paraId="47518470"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7B98CC1E" w14:textId="77777777" w:rsidR="00F40F79" w:rsidRPr="002A34F0" w:rsidRDefault="00F40F79" w:rsidP="001A6C70">
            <w:pPr>
              <w:rPr>
                <w:i/>
                <w:iCs/>
                <w:color w:val="000000"/>
                <w:sz w:val="22"/>
                <w:szCs w:val="22"/>
                <w:lang w:val="en-US"/>
              </w:rPr>
            </w:pPr>
            <w:r w:rsidRPr="002A34F0">
              <w:rPr>
                <w:i/>
                <w:iCs/>
                <w:color w:val="000000"/>
                <w:sz w:val="22"/>
                <w:szCs w:val="22"/>
                <w:lang w:val="en"/>
              </w:rPr>
              <w:t>Floor material</w:t>
            </w:r>
          </w:p>
        </w:tc>
        <w:tc>
          <w:tcPr>
            <w:tcW w:w="3240" w:type="dxa"/>
            <w:tcBorders>
              <w:top w:val="nil"/>
              <w:left w:val="single" w:sz="4" w:space="0" w:color="auto"/>
              <w:bottom w:val="nil"/>
              <w:right w:val="dashed" w:sz="4" w:space="0" w:color="auto"/>
            </w:tcBorders>
            <w:shd w:val="clear" w:color="auto" w:fill="auto"/>
            <w:vAlign w:val="center"/>
            <w:hideMark/>
          </w:tcPr>
          <w:p w14:paraId="2FDB940F" w14:textId="77777777" w:rsidR="00F40F79" w:rsidRPr="002A34F0" w:rsidRDefault="00F40F79" w:rsidP="001A6C70">
            <w:pPr>
              <w:rPr>
                <w:color w:val="000000"/>
                <w:sz w:val="22"/>
                <w:szCs w:val="22"/>
                <w:lang w:val="en-US"/>
              </w:rPr>
            </w:pPr>
            <w:r w:rsidRPr="002A34F0">
              <w:rPr>
                <w:color w:val="000000"/>
                <w:sz w:val="22"/>
                <w:szCs w:val="22"/>
                <w:lang w:val="en"/>
              </w:rPr>
              <w:t>Burnt brick</w:t>
            </w:r>
          </w:p>
        </w:tc>
        <w:tc>
          <w:tcPr>
            <w:tcW w:w="3360" w:type="dxa"/>
            <w:tcBorders>
              <w:top w:val="nil"/>
              <w:left w:val="nil"/>
              <w:bottom w:val="nil"/>
              <w:right w:val="single" w:sz="8" w:space="0" w:color="auto"/>
            </w:tcBorders>
            <w:shd w:val="clear" w:color="auto" w:fill="auto"/>
            <w:vAlign w:val="center"/>
            <w:hideMark/>
          </w:tcPr>
          <w:p w14:paraId="15CBD25A" w14:textId="77777777" w:rsidR="00F40F79" w:rsidRPr="002A34F0" w:rsidRDefault="00F40F79" w:rsidP="001A6C70">
            <w:pPr>
              <w:rPr>
                <w:color w:val="000000"/>
                <w:sz w:val="22"/>
                <w:szCs w:val="22"/>
                <w:lang w:val="en-US"/>
              </w:rPr>
            </w:pPr>
            <w:r w:rsidRPr="002A34F0">
              <w:rPr>
                <w:color w:val="000000"/>
                <w:sz w:val="22"/>
                <w:szCs w:val="22"/>
                <w:lang w:val="en"/>
              </w:rPr>
              <w:t>Earth/Mud</w:t>
            </w:r>
          </w:p>
        </w:tc>
      </w:tr>
      <w:tr w:rsidR="00F40F79" w:rsidRPr="002A34F0" w14:paraId="2994022D"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1D5289F1"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0282A072" w14:textId="77777777" w:rsidR="00F40F79" w:rsidRPr="002A34F0" w:rsidRDefault="00F40F79" w:rsidP="001A6C70">
            <w:pPr>
              <w:rPr>
                <w:color w:val="000000"/>
                <w:sz w:val="22"/>
                <w:szCs w:val="22"/>
                <w:lang w:val="en-US"/>
              </w:rPr>
            </w:pPr>
            <w:r w:rsidRPr="002A34F0">
              <w:rPr>
                <w:color w:val="000000"/>
                <w:sz w:val="22"/>
                <w:szCs w:val="22"/>
                <w:lang w:val="en"/>
              </w:rPr>
              <w:t>Cement/Concrete</w:t>
            </w:r>
          </w:p>
        </w:tc>
        <w:tc>
          <w:tcPr>
            <w:tcW w:w="3360" w:type="dxa"/>
            <w:tcBorders>
              <w:top w:val="nil"/>
              <w:left w:val="nil"/>
              <w:bottom w:val="nil"/>
              <w:right w:val="single" w:sz="8" w:space="0" w:color="auto"/>
            </w:tcBorders>
            <w:shd w:val="clear" w:color="auto" w:fill="auto"/>
            <w:vAlign w:val="center"/>
            <w:hideMark/>
          </w:tcPr>
          <w:p w14:paraId="6851EA3D"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52E4E2A6" w14:textId="77777777" w:rsidTr="001A6C70">
        <w:trPr>
          <w:trHeight w:val="552"/>
        </w:trPr>
        <w:tc>
          <w:tcPr>
            <w:tcW w:w="1680" w:type="dxa"/>
            <w:tcBorders>
              <w:top w:val="nil"/>
              <w:left w:val="single" w:sz="8" w:space="0" w:color="auto"/>
              <w:bottom w:val="nil"/>
              <w:right w:val="nil"/>
            </w:tcBorders>
            <w:shd w:val="clear" w:color="auto" w:fill="auto"/>
            <w:vAlign w:val="center"/>
            <w:hideMark/>
          </w:tcPr>
          <w:p w14:paraId="2E2444ED"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40750400" w14:textId="77777777" w:rsidR="00F40F79" w:rsidRPr="002A34F0" w:rsidRDefault="00F40F79" w:rsidP="001A6C70">
            <w:pPr>
              <w:rPr>
                <w:color w:val="000000"/>
                <w:sz w:val="22"/>
                <w:szCs w:val="22"/>
                <w:lang w:val="en-US"/>
              </w:rPr>
            </w:pPr>
            <w:r w:rsidRPr="002A34F0">
              <w:rPr>
                <w:color w:val="000000"/>
                <w:sz w:val="22"/>
                <w:szCs w:val="22"/>
                <w:lang w:val="en"/>
              </w:rPr>
              <w:t>Ceramic/Porcelain/Granite/Marble tiles</w:t>
            </w:r>
          </w:p>
        </w:tc>
        <w:tc>
          <w:tcPr>
            <w:tcW w:w="3360" w:type="dxa"/>
            <w:tcBorders>
              <w:top w:val="nil"/>
              <w:left w:val="nil"/>
              <w:bottom w:val="nil"/>
              <w:right w:val="single" w:sz="8" w:space="0" w:color="auto"/>
            </w:tcBorders>
            <w:shd w:val="clear" w:color="auto" w:fill="auto"/>
            <w:vAlign w:val="center"/>
            <w:hideMark/>
          </w:tcPr>
          <w:p w14:paraId="64274DE9" w14:textId="77777777" w:rsidR="00F40F79" w:rsidRPr="002A34F0" w:rsidRDefault="00F40F79" w:rsidP="001A6C70">
            <w:pPr>
              <w:rPr>
                <w:color w:val="000000"/>
                <w:sz w:val="22"/>
                <w:szCs w:val="22"/>
                <w:lang w:val="en-US"/>
              </w:rPr>
            </w:pPr>
            <w:r w:rsidRPr="002A34F0">
              <w:rPr>
                <w:color w:val="000000"/>
                <w:sz w:val="22"/>
                <w:szCs w:val="22"/>
                <w:lang w:val="en"/>
              </w:rPr>
              <w:t>Wood</w:t>
            </w:r>
          </w:p>
        </w:tc>
      </w:tr>
      <w:tr w:rsidR="00F40F79" w:rsidRPr="002A34F0" w14:paraId="3A712BF4"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31D7CF93"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3F430901" w14:textId="77777777" w:rsidR="00F40F79" w:rsidRPr="002A34F0" w:rsidRDefault="00F40F79" w:rsidP="001A6C70">
            <w:pPr>
              <w:rPr>
                <w:color w:val="000000"/>
                <w:sz w:val="22"/>
                <w:szCs w:val="22"/>
                <w:lang w:val="en-US"/>
              </w:rPr>
            </w:pPr>
            <w:r w:rsidRPr="002A34F0">
              <w:rPr>
                <w:color w:val="000000"/>
                <w:sz w:val="22"/>
                <w:szCs w:val="22"/>
                <w:lang w:val="en"/>
              </w:rPr>
              <w:t>Stone</w:t>
            </w:r>
          </w:p>
        </w:tc>
        <w:tc>
          <w:tcPr>
            <w:tcW w:w="3360" w:type="dxa"/>
            <w:tcBorders>
              <w:top w:val="nil"/>
              <w:left w:val="nil"/>
              <w:bottom w:val="nil"/>
              <w:right w:val="single" w:sz="8" w:space="0" w:color="auto"/>
            </w:tcBorders>
            <w:shd w:val="clear" w:color="auto" w:fill="auto"/>
            <w:vAlign w:val="center"/>
            <w:hideMark/>
          </w:tcPr>
          <w:p w14:paraId="09BD3399" w14:textId="77777777" w:rsidR="00F40F79" w:rsidRPr="002A34F0" w:rsidRDefault="00F40F79" w:rsidP="001A6C70">
            <w:pPr>
              <w:rPr>
                <w:color w:val="000000"/>
                <w:sz w:val="22"/>
                <w:szCs w:val="22"/>
                <w:lang w:val="en-US"/>
              </w:rPr>
            </w:pPr>
            <w:r w:rsidRPr="002A34F0">
              <w:rPr>
                <w:color w:val="000000"/>
                <w:sz w:val="22"/>
                <w:szCs w:val="22"/>
                <w:lang w:val="en"/>
              </w:rPr>
              <w:t> </w:t>
            </w:r>
          </w:p>
        </w:tc>
      </w:tr>
      <w:tr w:rsidR="00F40F79" w:rsidRPr="002A34F0" w14:paraId="27DFCB22"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22B01266"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57BE95F7" w14:textId="77777777" w:rsidR="00F40F79" w:rsidRPr="002A34F0" w:rsidRDefault="00F40F79" w:rsidP="001A6C70">
            <w:pPr>
              <w:rPr>
                <w:color w:val="000000"/>
                <w:sz w:val="22"/>
                <w:szCs w:val="22"/>
                <w:lang w:val="en-US"/>
              </w:rPr>
            </w:pPr>
            <w:r w:rsidRPr="002A34F0">
              <w:rPr>
                <w:color w:val="000000"/>
                <w:sz w:val="22"/>
                <w:szCs w:val="22"/>
                <w:lang w:val="en"/>
              </w:rPr>
              <w:t>Terrazzo/Terrazzo tiles</w:t>
            </w:r>
          </w:p>
        </w:tc>
        <w:tc>
          <w:tcPr>
            <w:tcW w:w="3360" w:type="dxa"/>
            <w:tcBorders>
              <w:top w:val="nil"/>
              <w:left w:val="nil"/>
              <w:bottom w:val="nil"/>
              <w:right w:val="single" w:sz="8" w:space="0" w:color="auto"/>
            </w:tcBorders>
            <w:shd w:val="clear" w:color="auto" w:fill="auto"/>
            <w:vAlign w:val="center"/>
            <w:hideMark/>
          </w:tcPr>
          <w:p w14:paraId="458C0670" w14:textId="77777777" w:rsidR="00F40F79" w:rsidRPr="002A34F0" w:rsidRDefault="00F40F79" w:rsidP="001A6C70">
            <w:pPr>
              <w:rPr>
                <w:color w:val="000000"/>
                <w:sz w:val="22"/>
                <w:szCs w:val="22"/>
                <w:lang w:val="en-US"/>
              </w:rPr>
            </w:pPr>
            <w:r w:rsidRPr="002A34F0">
              <w:rPr>
                <w:color w:val="000000"/>
                <w:sz w:val="22"/>
                <w:szCs w:val="22"/>
                <w:lang w:val="en"/>
              </w:rPr>
              <w:t> </w:t>
            </w:r>
          </w:p>
        </w:tc>
      </w:tr>
      <w:tr w:rsidR="00F40F79" w:rsidRPr="002A34F0" w14:paraId="5A174B58"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4F80A607"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156E29BF" w14:textId="77777777" w:rsidR="00F40F79" w:rsidRPr="002A34F0" w:rsidRDefault="00F40F79" w:rsidP="001A6C70">
            <w:pPr>
              <w:rPr>
                <w:color w:val="000000"/>
                <w:sz w:val="22"/>
                <w:szCs w:val="22"/>
                <w:lang w:val="en-US"/>
              </w:rPr>
            </w:pPr>
            <w:r w:rsidRPr="002A34F0">
              <w:rPr>
                <w:color w:val="000000"/>
                <w:sz w:val="22"/>
                <w:szCs w:val="22"/>
                <w:lang w:val="en"/>
              </w:rPr>
              <w:t>Vinyl tiles</w:t>
            </w:r>
          </w:p>
        </w:tc>
        <w:tc>
          <w:tcPr>
            <w:tcW w:w="3360" w:type="dxa"/>
            <w:tcBorders>
              <w:top w:val="nil"/>
              <w:left w:val="nil"/>
              <w:bottom w:val="nil"/>
              <w:right w:val="single" w:sz="8" w:space="0" w:color="auto"/>
            </w:tcBorders>
            <w:shd w:val="clear" w:color="auto" w:fill="auto"/>
            <w:vAlign w:val="center"/>
            <w:hideMark/>
          </w:tcPr>
          <w:p w14:paraId="3E4437A3" w14:textId="77777777" w:rsidR="00F40F79" w:rsidRPr="002A34F0" w:rsidRDefault="00F40F79" w:rsidP="001A6C70">
            <w:pPr>
              <w:rPr>
                <w:color w:val="000000"/>
                <w:sz w:val="22"/>
                <w:szCs w:val="22"/>
                <w:lang w:val="en-US"/>
              </w:rPr>
            </w:pPr>
            <w:r w:rsidRPr="002A34F0">
              <w:rPr>
                <w:color w:val="000000"/>
                <w:sz w:val="22"/>
                <w:szCs w:val="22"/>
                <w:lang w:val="en"/>
              </w:rPr>
              <w:t> </w:t>
            </w:r>
          </w:p>
        </w:tc>
      </w:tr>
      <w:tr w:rsidR="00F40F79" w:rsidRPr="002A34F0" w14:paraId="578D2FE2"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4AB254B9" w14:textId="77777777" w:rsidR="00F40F79" w:rsidRPr="002A34F0" w:rsidRDefault="00F40F79" w:rsidP="001A6C70">
            <w:pPr>
              <w:rPr>
                <w:i/>
                <w:iCs/>
                <w:color w:val="000000"/>
                <w:sz w:val="22"/>
                <w:szCs w:val="22"/>
                <w:lang w:val="en-US"/>
              </w:rPr>
            </w:pPr>
            <w:r w:rsidRPr="002A34F0">
              <w:rPr>
                <w:i/>
                <w:iCs/>
                <w:color w:val="000000"/>
                <w:sz w:val="22"/>
                <w:szCs w:val="22"/>
                <w:lang w:val="en"/>
              </w:rPr>
              <w:t>Roof material</w:t>
            </w:r>
          </w:p>
        </w:tc>
        <w:tc>
          <w:tcPr>
            <w:tcW w:w="3240" w:type="dxa"/>
            <w:tcBorders>
              <w:top w:val="nil"/>
              <w:left w:val="single" w:sz="4" w:space="0" w:color="auto"/>
              <w:bottom w:val="nil"/>
              <w:right w:val="dashed" w:sz="4" w:space="0" w:color="auto"/>
            </w:tcBorders>
            <w:shd w:val="clear" w:color="auto" w:fill="auto"/>
            <w:vAlign w:val="center"/>
            <w:hideMark/>
          </w:tcPr>
          <w:p w14:paraId="36690A4F" w14:textId="77777777" w:rsidR="00F40F79" w:rsidRPr="002A34F0" w:rsidRDefault="00F40F79" w:rsidP="001A6C70">
            <w:pPr>
              <w:rPr>
                <w:color w:val="000000"/>
                <w:sz w:val="22"/>
                <w:szCs w:val="22"/>
                <w:lang w:val="en-US"/>
              </w:rPr>
            </w:pPr>
            <w:r w:rsidRPr="002A34F0">
              <w:rPr>
                <w:color w:val="000000"/>
                <w:sz w:val="22"/>
                <w:szCs w:val="22"/>
                <w:lang w:val="en"/>
              </w:rPr>
              <w:t>Cement/Concrete</w:t>
            </w:r>
          </w:p>
        </w:tc>
        <w:tc>
          <w:tcPr>
            <w:tcW w:w="3360" w:type="dxa"/>
            <w:tcBorders>
              <w:top w:val="nil"/>
              <w:left w:val="nil"/>
              <w:bottom w:val="nil"/>
              <w:right w:val="single" w:sz="8" w:space="0" w:color="auto"/>
            </w:tcBorders>
            <w:shd w:val="clear" w:color="auto" w:fill="auto"/>
            <w:vAlign w:val="center"/>
            <w:hideMark/>
          </w:tcPr>
          <w:p w14:paraId="76BD4F03" w14:textId="77777777" w:rsidR="00F40F79" w:rsidRPr="002A34F0" w:rsidRDefault="00F40F79" w:rsidP="001A6C70">
            <w:pPr>
              <w:rPr>
                <w:color w:val="000000"/>
                <w:sz w:val="22"/>
                <w:szCs w:val="22"/>
                <w:lang w:val="en-US"/>
              </w:rPr>
            </w:pPr>
            <w:r w:rsidRPr="002A34F0">
              <w:rPr>
                <w:color w:val="000000"/>
                <w:sz w:val="22"/>
                <w:szCs w:val="22"/>
                <w:lang w:val="en"/>
              </w:rPr>
              <w:t>Bamboo</w:t>
            </w:r>
          </w:p>
        </w:tc>
      </w:tr>
      <w:tr w:rsidR="00F40F79" w:rsidRPr="002A34F0" w14:paraId="2F90BE70"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5E72CC70"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7519CEA2" w14:textId="77777777" w:rsidR="00F40F79" w:rsidRPr="002A34F0" w:rsidRDefault="00F40F79" w:rsidP="001A6C70">
            <w:pPr>
              <w:rPr>
                <w:color w:val="000000"/>
                <w:sz w:val="22"/>
                <w:szCs w:val="22"/>
                <w:lang w:val="en-US"/>
              </w:rPr>
            </w:pPr>
            <w:r w:rsidRPr="002A34F0">
              <w:rPr>
                <w:color w:val="000000"/>
                <w:sz w:val="22"/>
                <w:szCs w:val="22"/>
                <w:lang w:val="en"/>
              </w:rPr>
              <w:t>Metal sheet</w:t>
            </w:r>
          </w:p>
        </w:tc>
        <w:tc>
          <w:tcPr>
            <w:tcW w:w="3360" w:type="dxa"/>
            <w:tcBorders>
              <w:top w:val="nil"/>
              <w:left w:val="nil"/>
              <w:bottom w:val="nil"/>
              <w:right w:val="single" w:sz="8" w:space="0" w:color="auto"/>
            </w:tcBorders>
            <w:shd w:val="clear" w:color="auto" w:fill="auto"/>
            <w:vAlign w:val="center"/>
            <w:hideMark/>
          </w:tcPr>
          <w:p w14:paraId="7A1916E8" w14:textId="77777777" w:rsidR="00F40F79" w:rsidRPr="002A34F0" w:rsidRDefault="00F40F79" w:rsidP="001A6C70">
            <w:pPr>
              <w:rPr>
                <w:color w:val="000000"/>
                <w:sz w:val="22"/>
                <w:szCs w:val="22"/>
                <w:lang w:val="en-US"/>
              </w:rPr>
            </w:pPr>
            <w:r w:rsidRPr="002A34F0">
              <w:rPr>
                <w:color w:val="000000"/>
                <w:sz w:val="22"/>
                <w:szCs w:val="22"/>
                <w:lang w:val="en"/>
              </w:rPr>
              <w:t>Mud/Mud bricks/Earth</w:t>
            </w:r>
          </w:p>
        </w:tc>
      </w:tr>
      <w:tr w:rsidR="00F40F79" w:rsidRPr="002A34F0" w14:paraId="7EA1DC35"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5EE6A7C7"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51BF5602" w14:textId="77777777" w:rsidR="00F40F79" w:rsidRPr="002A34F0" w:rsidRDefault="00F40F79" w:rsidP="001A6C70">
            <w:pPr>
              <w:rPr>
                <w:color w:val="000000"/>
                <w:sz w:val="22"/>
                <w:szCs w:val="22"/>
                <w:lang w:val="en-US"/>
              </w:rPr>
            </w:pPr>
            <w:r w:rsidRPr="002A34F0">
              <w:rPr>
                <w:color w:val="000000"/>
                <w:sz w:val="22"/>
                <w:szCs w:val="22"/>
                <w:lang w:val="en"/>
              </w:rPr>
              <w:t>Roofing tile</w:t>
            </w:r>
          </w:p>
        </w:tc>
        <w:tc>
          <w:tcPr>
            <w:tcW w:w="3360" w:type="dxa"/>
            <w:tcBorders>
              <w:top w:val="nil"/>
              <w:left w:val="nil"/>
              <w:bottom w:val="nil"/>
              <w:right w:val="single" w:sz="8" w:space="0" w:color="auto"/>
            </w:tcBorders>
            <w:shd w:val="clear" w:color="auto" w:fill="auto"/>
            <w:vAlign w:val="center"/>
            <w:hideMark/>
          </w:tcPr>
          <w:p w14:paraId="345366F7"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33075224"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2289CC3A"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1B6C8100" w14:textId="77777777" w:rsidR="00F40F79" w:rsidRPr="002A34F0" w:rsidRDefault="00F40F79" w:rsidP="001A6C70">
            <w:pPr>
              <w:rPr>
                <w:color w:val="000000"/>
                <w:sz w:val="22"/>
                <w:szCs w:val="22"/>
                <w:lang w:val="en-US"/>
              </w:rPr>
            </w:pPr>
            <w:r w:rsidRPr="002A34F0">
              <w:rPr>
                <w:color w:val="000000"/>
                <w:sz w:val="22"/>
                <w:szCs w:val="22"/>
                <w:lang w:val="en"/>
              </w:rPr>
              <w:t>Slate/Asbestos</w:t>
            </w:r>
          </w:p>
        </w:tc>
        <w:tc>
          <w:tcPr>
            <w:tcW w:w="3360" w:type="dxa"/>
            <w:tcBorders>
              <w:top w:val="nil"/>
              <w:left w:val="nil"/>
              <w:bottom w:val="nil"/>
              <w:right w:val="single" w:sz="8" w:space="0" w:color="auto"/>
            </w:tcBorders>
            <w:shd w:val="clear" w:color="auto" w:fill="auto"/>
            <w:vAlign w:val="center"/>
            <w:hideMark/>
          </w:tcPr>
          <w:p w14:paraId="2C9D8BC2" w14:textId="77777777" w:rsidR="00F40F79" w:rsidRPr="002A34F0" w:rsidRDefault="00F40F79" w:rsidP="001A6C70">
            <w:pPr>
              <w:rPr>
                <w:color w:val="000000"/>
                <w:sz w:val="22"/>
                <w:szCs w:val="22"/>
                <w:lang w:val="en-US"/>
              </w:rPr>
            </w:pPr>
            <w:r w:rsidRPr="002A34F0">
              <w:rPr>
                <w:color w:val="000000"/>
                <w:sz w:val="22"/>
                <w:szCs w:val="22"/>
                <w:lang w:val="en"/>
              </w:rPr>
              <w:t>Thatch/Palm leaf or Raffia</w:t>
            </w:r>
          </w:p>
        </w:tc>
      </w:tr>
      <w:tr w:rsidR="00F40F79" w:rsidRPr="002A34F0" w14:paraId="3D15D6D8" w14:textId="77777777" w:rsidTr="001A6C70">
        <w:trPr>
          <w:trHeight w:val="300"/>
        </w:trPr>
        <w:tc>
          <w:tcPr>
            <w:tcW w:w="1680" w:type="dxa"/>
            <w:tcBorders>
              <w:top w:val="nil"/>
              <w:left w:val="single" w:sz="8" w:space="0" w:color="auto"/>
              <w:bottom w:val="single" w:sz="8" w:space="0" w:color="auto"/>
              <w:right w:val="nil"/>
            </w:tcBorders>
            <w:shd w:val="clear" w:color="auto" w:fill="auto"/>
            <w:vAlign w:val="center"/>
            <w:hideMark/>
          </w:tcPr>
          <w:p w14:paraId="3AE6FF8D"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single" w:sz="8" w:space="0" w:color="auto"/>
              <w:right w:val="dashed" w:sz="4" w:space="0" w:color="auto"/>
            </w:tcBorders>
            <w:shd w:val="clear" w:color="auto" w:fill="auto"/>
            <w:vAlign w:val="center"/>
            <w:hideMark/>
          </w:tcPr>
          <w:p w14:paraId="4AE6A135"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single" w:sz="8" w:space="0" w:color="auto"/>
              <w:right w:val="single" w:sz="8" w:space="0" w:color="auto"/>
            </w:tcBorders>
            <w:shd w:val="clear" w:color="auto" w:fill="auto"/>
            <w:vAlign w:val="center"/>
            <w:hideMark/>
          </w:tcPr>
          <w:p w14:paraId="0CC3580E" w14:textId="77777777" w:rsidR="00F40F79" w:rsidRPr="002A34F0" w:rsidRDefault="00F40F79" w:rsidP="001A6C70">
            <w:pPr>
              <w:rPr>
                <w:color w:val="000000"/>
                <w:sz w:val="22"/>
                <w:szCs w:val="22"/>
                <w:lang w:val="en-US"/>
              </w:rPr>
            </w:pPr>
            <w:r w:rsidRPr="002A34F0">
              <w:rPr>
                <w:color w:val="000000"/>
                <w:sz w:val="22"/>
                <w:szCs w:val="22"/>
                <w:lang w:val="en"/>
              </w:rPr>
              <w:t>Wood</w:t>
            </w:r>
          </w:p>
        </w:tc>
      </w:tr>
      <w:tr w:rsidR="00F40F79" w:rsidRPr="002A34F0" w14:paraId="6C7CFE4B"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09DFFA6F" w14:textId="77777777" w:rsidR="00F40F79" w:rsidRPr="002A34F0" w:rsidRDefault="00F40F79" w:rsidP="001A6C70">
            <w:pPr>
              <w:rPr>
                <w:color w:val="000000"/>
                <w:sz w:val="22"/>
                <w:szCs w:val="22"/>
                <w:lang w:val="en-US"/>
              </w:rPr>
            </w:pPr>
            <w:r w:rsidRPr="002A34F0">
              <w:rPr>
                <w:color w:val="000000"/>
                <w:sz w:val="22"/>
                <w:szCs w:val="22"/>
                <w:lang w:val="en"/>
              </w:rPr>
              <w:t>Energy</w:t>
            </w:r>
          </w:p>
        </w:tc>
        <w:tc>
          <w:tcPr>
            <w:tcW w:w="3240" w:type="dxa"/>
            <w:tcBorders>
              <w:top w:val="nil"/>
              <w:left w:val="single" w:sz="4" w:space="0" w:color="auto"/>
              <w:bottom w:val="nil"/>
              <w:right w:val="dashed" w:sz="4" w:space="0" w:color="auto"/>
            </w:tcBorders>
            <w:shd w:val="clear" w:color="auto" w:fill="auto"/>
            <w:vAlign w:val="center"/>
            <w:hideMark/>
          </w:tcPr>
          <w:p w14:paraId="70971F41"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709703E3" w14:textId="77777777" w:rsidR="00F40F79" w:rsidRPr="002A34F0" w:rsidRDefault="00F40F79" w:rsidP="001A6C70">
            <w:pPr>
              <w:rPr>
                <w:color w:val="000000"/>
                <w:sz w:val="22"/>
                <w:szCs w:val="22"/>
                <w:lang w:val="en-US"/>
              </w:rPr>
            </w:pPr>
            <w:r w:rsidRPr="002A34F0">
              <w:rPr>
                <w:color w:val="000000"/>
                <w:sz w:val="22"/>
                <w:szCs w:val="22"/>
                <w:lang w:val="en"/>
              </w:rPr>
              <w:t> </w:t>
            </w:r>
          </w:p>
        </w:tc>
      </w:tr>
      <w:tr w:rsidR="00F40F79" w:rsidRPr="002A34F0" w14:paraId="26C2A3C1"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12347391" w14:textId="77777777" w:rsidR="00F40F79" w:rsidRPr="002A34F0" w:rsidRDefault="00F40F79" w:rsidP="001A6C70">
            <w:pPr>
              <w:rPr>
                <w:i/>
                <w:iCs/>
                <w:color w:val="000000"/>
                <w:sz w:val="22"/>
                <w:szCs w:val="22"/>
                <w:lang w:val="en-US"/>
              </w:rPr>
            </w:pPr>
            <w:r w:rsidRPr="002A34F0">
              <w:rPr>
                <w:i/>
                <w:iCs/>
                <w:color w:val="000000"/>
                <w:sz w:val="22"/>
                <w:szCs w:val="22"/>
                <w:lang w:val="en"/>
              </w:rPr>
              <w:t>Lighting</w:t>
            </w:r>
          </w:p>
        </w:tc>
        <w:tc>
          <w:tcPr>
            <w:tcW w:w="3240" w:type="dxa"/>
            <w:tcBorders>
              <w:top w:val="nil"/>
              <w:left w:val="single" w:sz="4" w:space="0" w:color="auto"/>
              <w:bottom w:val="nil"/>
              <w:right w:val="dashed" w:sz="4" w:space="0" w:color="auto"/>
            </w:tcBorders>
            <w:shd w:val="clear" w:color="auto" w:fill="auto"/>
            <w:vAlign w:val="center"/>
            <w:hideMark/>
          </w:tcPr>
          <w:p w14:paraId="01423FF2" w14:textId="77777777" w:rsidR="00F40F79" w:rsidRPr="002A34F0" w:rsidRDefault="00F40F79" w:rsidP="001A6C70">
            <w:pPr>
              <w:rPr>
                <w:color w:val="000000"/>
                <w:sz w:val="22"/>
                <w:szCs w:val="22"/>
                <w:lang w:val="en-US"/>
              </w:rPr>
            </w:pPr>
            <w:r w:rsidRPr="002A34F0">
              <w:rPr>
                <w:color w:val="000000"/>
                <w:sz w:val="22"/>
                <w:szCs w:val="22"/>
                <w:lang w:val="en"/>
              </w:rPr>
              <w:t>Electricity (mains)</w:t>
            </w:r>
          </w:p>
        </w:tc>
        <w:tc>
          <w:tcPr>
            <w:tcW w:w="3360" w:type="dxa"/>
            <w:tcBorders>
              <w:top w:val="nil"/>
              <w:left w:val="nil"/>
              <w:bottom w:val="nil"/>
              <w:right w:val="single" w:sz="8" w:space="0" w:color="auto"/>
            </w:tcBorders>
            <w:shd w:val="clear" w:color="auto" w:fill="auto"/>
            <w:vAlign w:val="center"/>
            <w:hideMark/>
          </w:tcPr>
          <w:p w14:paraId="659BD837" w14:textId="77777777" w:rsidR="00F40F79" w:rsidRPr="002A34F0" w:rsidRDefault="00F40F79" w:rsidP="001A6C70">
            <w:pPr>
              <w:rPr>
                <w:color w:val="000000"/>
                <w:sz w:val="22"/>
                <w:szCs w:val="22"/>
                <w:lang w:val="en-US"/>
              </w:rPr>
            </w:pPr>
            <w:r w:rsidRPr="002A34F0">
              <w:rPr>
                <w:color w:val="000000"/>
                <w:sz w:val="22"/>
                <w:szCs w:val="22"/>
                <w:lang w:val="en"/>
              </w:rPr>
              <w:t>Candle</w:t>
            </w:r>
          </w:p>
        </w:tc>
      </w:tr>
      <w:tr w:rsidR="00F40F79" w:rsidRPr="002A34F0" w14:paraId="7C04EE51"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1410E607"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675555E2" w14:textId="77777777" w:rsidR="00F40F79" w:rsidRPr="002A34F0" w:rsidRDefault="00F40F79" w:rsidP="001A6C70">
            <w:pPr>
              <w:rPr>
                <w:color w:val="000000"/>
                <w:sz w:val="22"/>
                <w:szCs w:val="22"/>
                <w:lang w:val="en-US"/>
              </w:rPr>
            </w:pPr>
            <w:r w:rsidRPr="002A34F0">
              <w:rPr>
                <w:color w:val="000000"/>
                <w:sz w:val="22"/>
                <w:szCs w:val="22"/>
                <w:lang w:val="en"/>
              </w:rPr>
              <w:t>Electricity (private generator)</w:t>
            </w:r>
          </w:p>
        </w:tc>
        <w:tc>
          <w:tcPr>
            <w:tcW w:w="3360" w:type="dxa"/>
            <w:tcBorders>
              <w:top w:val="nil"/>
              <w:left w:val="nil"/>
              <w:bottom w:val="nil"/>
              <w:right w:val="single" w:sz="8" w:space="0" w:color="auto"/>
            </w:tcBorders>
            <w:shd w:val="clear" w:color="auto" w:fill="auto"/>
            <w:vAlign w:val="center"/>
            <w:hideMark/>
          </w:tcPr>
          <w:p w14:paraId="4FCCB9E9" w14:textId="77777777" w:rsidR="00F40F79" w:rsidRPr="002A34F0" w:rsidRDefault="00F40F79" w:rsidP="001A6C70">
            <w:pPr>
              <w:rPr>
                <w:color w:val="000000"/>
                <w:sz w:val="22"/>
                <w:szCs w:val="22"/>
                <w:lang w:val="en-US"/>
              </w:rPr>
            </w:pPr>
            <w:r w:rsidRPr="002A34F0">
              <w:rPr>
                <w:color w:val="000000"/>
                <w:sz w:val="22"/>
                <w:szCs w:val="22"/>
                <w:lang w:val="en"/>
              </w:rPr>
              <w:t>Crop residue</w:t>
            </w:r>
          </w:p>
        </w:tc>
      </w:tr>
      <w:tr w:rsidR="00F40F79" w:rsidRPr="002A34F0" w14:paraId="00EDF0D9"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64378EFD"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42755999" w14:textId="77777777" w:rsidR="00F40F79" w:rsidRPr="002A34F0" w:rsidRDefault="00F40F79" w:rsidP="001A6C70">
            <w:pPr>
              <w:rPr>
                <w:color w:val="000000"/>
                <w:sz w:val="22"/>
                <w:szCs w:val="22"/>
                <w:lang w:val="en-US"/>
              </w:rPr>
            </w:pPr>
            <w:r w:rsidRPr="002A34F0">
              <w:rPr>
                <w:color w:val="000000"/>
                <w:sz w:val="22"/>
                <w:szCs w:val="22"/>
                <w:lang w:val="en"/>
              </w:rPr>
              <w:t>Solar energy</w:t>
            </w:r>
          </w:p>
        </w:tc>
        <w:tc>
          <w:tcPr>
            <w:tcW w:w="3360" w:type="dxa"/>
            <w:tcBorders>
              <w:top w:val="nil"/>
              <w:left w:val="nil"/>
              <w:bottom w:val="nil"/>
              <w:right w:val="single" w:sz="8" w:space="0" w:color="auto"/>
            </w:tcBorders>
            <w:shd w:val="clear" w:color="auto" w:fill="auto"/>
            <w:vAlign w:val="center"/>
            <w:hideMark/>
          </w:tcPr>
          <w:p w14:paraId="2AFB2CAF" w14:textId="77777777" w:rsidR="00F40F79" w:rsidRPr="002A34F0" w:rsidRDefault="00F40F79" w:rsidP="001A6C70">
            <w:pPr>
              <w:rPr>
                <w:color w:val="000000"/>
                <w:sz w:val="22"/>
                <w:szCs w:val="22"/>
                <w:lang w:val="en-US"/>
              </w:rPr>
            </w:pPr>
            <w:r w:rsidRPr="002A34F0">
              <w:rPr>
                <w:color w:val="000000"/>
                <w:sz w:val="22"/>
                <w:szCs w:val="22"/>
                <w:lang w:val="en"/>
              </w:rPr>
              <w:t>Firewood</w:t>
            </w:r>
          </w:p>
        </w:tc>
      </w:tr>
      <w:tr w:rsidR="00F40F79" w:rsidRPr="002A34F0" w14:paraId="2E8317E7"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433D5BF2"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23FD25B7"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419C9168" w14:textId="77777777" w:rsidR="00F40F79" w:rsidRPr="002A34F0" w:rsidRDefault="00F40F79" w:rsidP="001A6C70">
            <w:pPr>
              <w:rPr>
                <w:color w:val="000000"/>
                <w:sz w:val="22"/>
                <w:szCs w:val="22"/>
                <w:lang w:val="en-US"/>
              </w:rPr>
            </w:pPr>
            <w:r w:rsidRPr="002A34F0">
              <w:rPr>
                <w:color w:val="000000"/>
                <w:sz w:val="22"/>
                <w:szCs w:val="22"/>
                <w:lang w:val="en"/>
              </w:rPr>
              <w:t>Flashlight/Torch</w:t>
            </w:r>
          </w:p>
        </w:tc>
      </w:tr>
      <w:tr w:rsidR="00F40F79" w:rsidRPr="002A34F0" w14:paraId="03B36514"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7638B994"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79345999"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685E4614" w14:textId="77777777" w:rsidR="00F40F79" w:rsidRPr="002A34F0" w:rsidRDefault="00F40F79" w:rsidP="001A6C70">
            <w:pPr>
              <w:rPr>
                <w:color w:val="000000"/>
                <w:sz w:val="22"/>
                <w:szCs w:val="22"/>
                <w:lang w:val="en-US"/>
              </w:rPr>
            </w:pPr>
            <w:r w:rsidRPr="002A34F0">
              <w:rPr>
                <w:color w:val="000000"/>
                <w:sz w:val="22"/>
                <w:szCs w:val="22"/>
                <w:lang w:val="en"/>
              </w:rPr>
              <w:t>Gas lamp</w:t>
            </w:r>
          </w:p>
        </w:tc>
      </w:tr>
      <w:tr w:rsidR="00F40F79" w:rsidRPr="002A34F0" w14:paraId="1B7DBC57"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143974C1"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7B40C456"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7EB9083B" w14:textId="77777777" w:rsidR="00F40F79" w:rsidRPr="002A34F0" w:rsidRDefault="00F40F79" w:rsidP="001A6C70">
            <w:pPr>
              <w:rPr>
                <w:color w:val="000000"/>
                <w:sz w:val="22"/>
                <w:szCs w:val="22"/>
                <w:lang w:val="en-US"/>
              </w:rPr>
            </w:pPr>
            <w:r w:rsidRPr="002A34F0">
              <w:rPr>
                <w:color w:val="000000"/>
                <w:sz w:val="22"/>
                <w:szCs w:val="22"/>
                <w:lang w:val="en"/>
              </w:rPr>
              <w:t>Kerosene lamp</w:t>
            </w:r>
          </w:p>
        </w:tc>
      </w:tr>
      <w:tr w:rsidR="00F40F79" w:rsidRPr="002A34F0" w14:paraId="179FA3D1"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41AF27A7" w14:textId="77777777" w:rsidR="00F40F79" w:rsidRPr="002A34F0" w:rsidRDefault="00F40F79" w:rsidP="001A6C70">
            <w:pPr>
              <w:rPr>
                <w:i/>
                <w:iCs/>
                <w:color w:val="000000"/>
                <w:sz w:val="22"/>
                <w:szCs w:val="22"/>
                <w:lang w:val="en-US"/>
              </w:rPr>
            </w:pPr>
            <w:r w:rsidRPr="002A34F0">
              <w:rPr>
                <w:i/>
                <w:iCs/>
                <w:color w:val="000000"/>
                <w:sz w:val="22"/>
                <w:szCs w:val="22"/>
                <w:lang w:val="en"/>
              </w:rPr>
              <w:t xml:space="preserve"> </w:t>
            </w:r>
          </w:p>
        </w:tc>
        <w:tc>
          <w:tcPr>
            <w:tcW w:w="3240" w:type="dxa"/>
            <w:tcBorders>
              <w:top w:val="nil"/>
              <w:left w:val="single" w:sz="4" w:space="0" w:color="auto"/>
              <w:bottom w:val="nil"/>
              <w:right w:val="dashed" w:sz="4" w:space="0" w:color="auto"/>
            </w:tcBorders>
            <w:shd w:val="clear" w:color="auto" w:fill="auto"/>
            <w:vAlign w:val="center"/>
            <w:hideMark/>
          </w:tcPr>
          <w:p w14:paraId="77910788"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11DAF2C1"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5035D71F"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625C4A43" w14:textId="77777777" w:rsidR="00F40F79" w:rsidRPr="002A34F0" w:rsidRDefault="00F40F79" w:rsidP="001A6C70">
            <w:pPr>
              <w:rPr>
                <w:i/>
                <w:iCs/>
                <w:color w:val="000000"/>
                <w:sz w:val="22"/>
                <w:szCs w:val="22"/>
                <w:lang w:val="en-US"/>
              </w:rPr>
            </w:pPr>
            <w:r w:rsidRPr="002A34F0">
              <w:rPr>
                <w:i/>
                <w:iCs/>
                <w:color w:val="000000"/>
                <w:sz w:val="22"/>
                <w:szCs w:val="22"/>
                <w:lang w:val="en"/>
              </w:rPr>
              <w:t>Cooking Fuel</w:t>
            </w:r>
          </w:p>
        </w:tc>
        <w:tc>
          <w:tcPr>
            <w:tcW w:w="3240" w:type="dxa"/>
            <w:tcBorders>
              <w:top w:val="nil"/>
              <w:left w:val="single" w:sz="4" w:space="0" w:color="auto"/>
              <w:bottom w:val="nil"/>
              <w:right w:val="dashed" w:sz="4" w:space="0" w:color="auto"/>
            </w:tcBorders>
            <w:shd w:val="clear" w:color="auto" w:fill="auto"/>
            <w:vAlign w:val="center"/>
            <w:hideMark/>
          </w:tcPr>
          <w:p w14:paraId="0999D52B" w14:textId="77777777" w:rsidR="00F40F79" w:rsidRPr="002A34F0" w:rsidRDefault="00F40F79" w:rsidP="001A6C70">
            <w:pPr>
              <w:rPr>
                <w:color w:val="000000"/>
                <w:sz w:val="22"/>
                <w:szCs w:val="22"/>
                <w:lang w:val="en-US"/>
              </w:rPr>
            </w:pPr>
            <w:r w:rsidRPr="002A34F0">
              <w:rPr>
                <w:color w:val="000000"/>
                <w:sz w:val="22"/>
                <w:szCs w:val="22"/>
                <w:lang w:val="en"/>
              </w:rPr>
              <w:t>Electricity</w:t>
            </w:r>
          </w:p>
        </w:tc>
        <w:tc>
          <w:tcPr>
            <w:tcW w:w="3360" w:type="dxa"/>
            <w:tcBorders>
              <w:top w:val="nil"/>
              <w:left w:val="nil"/>
              <w:bottom w:val="nil"/>
              <w:right w:val="single" w:sz="8" w:space="0" w:color="auto"/>
            </w:tcBorders>
            <w:shd w:val="clear" w:color="auto" w:fill="auto"/>
            <w:vAlign w:val="center"/>
            <w:hideMark/>
          </w:tcPr>
          <w:p w14:paraId="6D938A84" w14:textId="77777777" w:rsidR="00F40F79" w:rsidRPr="002A34F0" w:rsidRDefault="00F40F79" w:rsidP="001A6C70">
            <w:pPr>
              <w:rPr>
                <w:color w:val="000000"/>
                <w:sz w:val="22"/>
                <w:szCs w:val="22"/>
                <w:lang w:val="en-US"/>
              </w:rPr>
            </w:pPr>
            <w:r w:rsidRPr="002A34F0">
              <w:rPr>
                <w:color w:val="000000"/>
                <w:sz w:val="22"/>
                <w:szCs w:val="22"/>
                <w:lang w:val="en"/>
              </w:rPr>
              <w:t>Animal waste</w:t>
            </w:r>
          </w:p>
        </w:tc>
      </w:tr>
      <w:tr w:rsidR="00F40F79" w:rsidRPr="002A34F0" w14:paraId="564531D5"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3C8AB321"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3006BDEC" w14:textId="77777777" w:rsidR="00F40F79" w:rsidRPr="002A34F0" w:rsidRDefault="00F40F79" w:rsidP="001A6C70">
            <w:pPr>
              <w:rPr>
                <w:color w:val="000000"/>
                <w:sz w:val="22"/>
                <w:szCs w:val="22"/>
                <w:lang w:val="en-US"/>
              </w:rPr>
            </w:pPr>
            <w:r w:rsidRPr="002A34F0">
              <w:rPr>
                <w:color w:val="000000"/>
                <w:sz w:val="22"/>
                <w:szCs w:val="22"/>
                <w:lang w:val="en"/>
              </w:rPr>
              <w:t>Gas</w:t>
            </w:r>
          </w:p>
        </w:tc>
        <w:tc>
          <w:tcPr>
            <w:tcW w:w="3360" w:type="dxa"/>
            <w:tcBorders>
              <w:top w:val="nil"/>
              <w:left w:val="nil"/>
              <w:bottom w:val="nil"/>
              <w:right w:val="single" w:sz="8" w:space="0" w:color="auto"/>
            </w:tcBorders>
            <w:shd w:val="clear" w:color="auto" w:fill="auto"/>
            <w:vAlign w:val="center"/>
            <w:hideMark/>
          </w:tcPr>
          <w:p w14:paraId="0DB0E4C6" w14:textId="77777777" w:rsidR="00F40F79" w:rsidRPr="002A34F0" w:rsidRDefault="00F40F79" w:rsidP="001A6C70">
            <w:pPr>
              <w:rPr>
                <w:color w:val="000000"/>
                <w:sz w:val="22"/>
                <w:szCs w:val="22"/>
                <w:lang w:val="en-US"/>
              </w:rPr>
            </w:pPr>
            <w:r w:rsidRPr="002A34F0">
              <w:rPr>
                <w:color w:val="000000"/>
                <w:sz w:val="22"/>
                <w:szCs w:val="22"/>
                <w:lang w:val="en"/>
              </w:rPr>
              <w:t>Charcoal</w:t>
            </w:r>
          </w:p>
        </w:tc>
      </w:tr>
      <w:tr w:rsidR="00F40F79" w:rsidRPr="002A34F0" w14:paraId="3C5073EE"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3795912B"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7FEF01D3" w14:textId="77777777" w:rsidR="00F40F79" w:rsidRPr="002A34F0" w:rsidRDefault="00F40F79" w:rsidP="001A6C70">
            <w:pPr>
              <w:rPr>
                <w:color w:val="000000"/>
                <w:sz w:val="22"/>
                <w:szCs w:val="22"/>
                <w:lang w:val="en-US"/>
              </w:rPr>
            </w:pPr>
            <w:r w:rsidRPr="002A34F0">
              <w:rPr>
                <w:color w:val="000000"/>
                <w:sz w:val="22"/>
                <w:szCs w:val="22"/>
                <w:lang w:val="en"/>
              </w:rPr>
              <w:t>Kerosene</w:t>
            </w:r>
          </w:p>
        </w:tc>
        <w:tc>
          <w:tcPr>
            <w:tcW w:w="3360" w:type="dxa"/>
            <w:tcBorders>
              <w:top w:val="nil"/>
              <w:left w:val="nil"/>
              <w:bottom w:val="nil"/>
              <w:right w:val="single" w:sz="8" w:space="0" w:color="auto"/>
            </w:tcBorders>
            <w:shd w:val="clear" w:color="auto" w:fill="auto"/>
            <w:vAlign w:val="center"/>
            <w:hideMark/>
          </w:tcPr>
          <w:p w14:paraId="0F25E860" w14:textId="77777777" w:rsidR="00F40F79" w:rsidRPr="002A34F0" w:rsidRDefault="00F40F79" w:rsidP="001A6C70">
            <w:pPr>
              <w:rPr>
                <w:color w:val="000000"/>
                <w:sz w:val="22"/>
                <w:szCs w:val="22"/>
                <w:lang w:val="en-US"/>
              </w:rPr>
            </w:pPr>
            <w:r w:rsidRPr="002A34F0">
              <w:rPr>
                <w:color w:val="000000"/>
                <w:sz w:val="22"/>
                <w:szCs w:val="22"/>
                <w:lang w:val="en"/>
              </w:rPr>
              <w:t>Crop residue</w:t>
            </w:r>
          </w:p>
        </w:tc>
      </w:tr>
      <w:tr w:rsidR="00F40F79" w:rsidRPr="002A34F0" w14:paraId="111CB652"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757C4F1E"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3CF4340D"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7F7D9DD3" w14:textId="77777777" w:rsidR="00F40F79" w:rsidRPr="002A34F0" w:rsidRDefault="00F40F79" w:rsidP="001A6C70">
            <w:pPr>
              <w:rPr>
                <w:color w:val="000000"/>
                <w:sz w:val="22"/>
                <w:szCs w:val="22"/>
                <w:lang w:val="en-US"/>
              </w:rPr>
            </w:pPr>
            <w:r w:rsidRPr="002A34F0">
              <w:rPr>
                <w:color w:val="000000"/>
                <w:sz w:val="22"/>
                <w:szCs w:val="22"/>
                <w:lang w:val="en"/>
              </w:rPr>
              <w:t>None, no cooking</w:t>
            </w:r>
          </w:p>
        </w:tc>
      </w:tr>
      <w:tr w:rsidR="00F40F79" w:rsidRPr="002A34F0" w14:paraId="1064D3B6"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158B1546"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13BBDBB9"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28E91203"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1CDD5C23" w14:textId="77777777" w:rsidTr="001A6C70">
        <w:trPr>
          <w:trHeight w:val="288"/>
        </w:trPr>
        <w:tc>
          <w:tcPr>
            <w:tcW w:w="1680" w:type="dxa"/>
            <w:tcBorders>
              <w:top w:val="nil"/>
              <w:left w:val="single" w:sz="8" w:space="0" w:color="auto"/>
              <w:bottom w:val="nil"/>
              <w:right w:val="nil"/>
            </w:tcBorders>
            <w:shd w:val="clear" w:color="auto" w:fill="auto"/>
            <w:vAlign w:val="center"/>
            <w:hideMark/>
          </w:tcPr>
          <w:p w14:paraId="071A9FB3" w14:textId="77777777" w:rsidR="00F40F79" w:rsidRPr="002A34F0" w:rsidRDefault="00F40F79" w:rsidP="001A6C70">
            <w:pPr>
              <w:rPr>
                <w:color w:val="000000"/>
                <w:sz w:val="22"/>
                <w:szCs w:val="22"/>
                <w:lang w:val="en-US"/>
              </w:rPr>
            </w:pPr>
            <w:r w:rsidRPr="002A34F0">
              <w:rPr>
                <w:color w:val="000000"/>
                <w:sz w:val="22"/>
                <w:szCs w:val="22"/>
                <w:lang w:val="en"/>
              </w:rPr>
              <w:t> </w:t>
            </w:r>
          </w:p>
        </w:tc>
        <w:tc>
          <w:tcPr>
            <w:tcW w:w="3240" w:type="dxa"/>
            <w:tcBorders>
              <w:top w:val="nil"/>
              <w:left w:val="single" w:sz="4" w:space="0" w:color="auto"/>
              <w:bottom w:val="nil"/>
              <w:right w:val="dashed" w:sz="4" w:space="0" w:color="auto"/>
            </w:tcBorders>
            <w:shd w:val="clear" w:color="auto" w:fill="auto"/>
            <w:vAlign w:val="center"/>
            <w:hideMark/>
          </w:tcPr>
          <w:p w14:paraId="236D3A72"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nil"/>
              <w:right w:val="single" w:sz="8" w:space="0" w:color="auto"/>
            </w:tcBorders>
            <w:shd w:val="clear" w:color="auto" w:fill="auto"/>
            <w:vAlign w:val="center"/>
            <w:hideMark/>
          </w:tcPr>
          <w:p w14:paraId="3067E588" w14:textId="77777777" w:rsidR="00F40F79" w:rsidRPr="002A34F0" w:rsidRDefault="00F40F79" w:rsidP="001A6C70">
            <w:pPr>
              <w:rPr>
                <w:color w:val="000000"/>
                <w:sz w:val="22"/>
                <w:szCs w:val="22"/>
                <w:lang w:val="en-US"/>
              </w:rPr>
            </w:pPr>
            <w:r w:rsidRPr="002A34F0">
              <w:rPr>
                <w:color w:val="000000"/>
                <w:sz w:val="22"/>
                <w:szCs w:val="22"/>
                <w:lang w:val="en"/>
              </w:rPr>
              <w:t>Saw dust</w:t>
            </w:r>
          </w:p>
        </w:tc>
      </w:tr>
      <w:tr w:rsidR="00F40F79" w:rsidRPr="002A34F0" w14:paraId="45F7E68A" w14:textId="77777777" w:rsidTr="001A6C70">
        <w:trPr>
          <w:trHeight w:val="300"/>
        </w:trPr>
        <w:tc>
          <w:tcPr>
            <w:tcW w:w="1680" w:type="dxa"/>
            <w:tcBorders>
              <w:top w:val="nil"/>
              <w:left w:val="single" w:sz="8" w:space="0" w:color="auto"/>
              <w:bottom w:val="single" w:sz="8" w:space="0" w:color="auto"/>
              <w:right w:val="nil"/>
            </w:tcBorders>
            <w:shd w:val="clear" w:color="auto" w:fill="auto"/>
            <w:vAlign w:val="center"/>
            <w:hideMark/>
          </w:tcPr>
          <w:p w14:paraId="73247A5C"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240" w:type="dxa"/>
            <w:tcBorders>
              <w:top w:val="nil"/>
              <w:left w:val="single" w:sz="4" w:space="0" w:color="auto"/>
              <w:bottom w:val="single" w:sz="8" w:space="0" w:color="auto"/>
              <w:right w:val="dashed" w:sz="4" w:space="0" w:color="auto"/>
            </w:tcBorders>
            <w:shd w:val="clear" w:color="auto" w:fill="auto"/>
            <w:vAlign w:val="center"/>
            <w:hideMark/>
          </w:tcPr>
          <w:p w14:paraId="59771ED8"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60" w:type="dxa"/>
            <w:tcBorders>
              <w:top w:val="nil"/>
              <w:left w:val="nil"/>
              <w:bottom w:val="single" w:sz="8" w:space="0" w:color="auto"/>
              <w:right w:val="single" w:sz="8" w:space="0" w:color="auto"/>
            </w:tcBorders>
            <w:shd w:val="clear" w:color="auto" w:fill="auto"/>
            <w:vAlign w:val="center"/>
            <w:hideMark/>
          </w:tcPr>
          <w:p w14:paraId="49E73563" w14:textId="77777777" w:rsidR="00F40F79" w:rsidRPr="002A34F0" w:rsidRDefault="00F40F79" w:rsidP="001A6C70">
            <w:pPr>
              <w:rPr>
                <w:color w:val="000000"/>
                <w:sz w:val="22"/>
                <w:szCs w:val="22"/>
                <w:lang w:val="en-US"/>
              </w:rPr>
            </w:pPr>
            <w:r w:rsidRPr="002A34F0">
              <w:rPr>
                <w:color w:val="000000"/>
                <w:sz w:val="22"/>
                <w:szCs w:val="22"/>
                <w:lang w:val="en"/>
              </w:rPr>
              <w:t>Wood</w:t>
            </w:r>
          </w:p>
        </w:tc>
      </w:tr>
    </w:tbl>
    <w:p w14:paraId="5254123A" w14:textId="78BD3803" w:rsidR="00F40F79" w:rsidRPr="002A34F0" w:rsidRDefault="00F40F79" w:rsidP="00F40F79"/>
    <w:p w14:paraId="0E1AB2B8" w14:textId="77777777" w:rsidR="008339C1" w:rsidRPr="002A34F0" w:rsidRDefault="008339C1" w:rsidP="00F40F79"/>
    <w:tbl>
      <w:tblPr>
        <w:tblW w:w="8339" w:type="dxa"/>
        <w:tblLook w:val="04A0" w:firstRow="1" w:lastRow="0" w:firstColumn="1" w:lastColumn="0" w:noHBand="0" w:noVBand="1"/>
      </w:tblPr>
      <w:tblGrid>
        <w:gridCol w:w="1692"/>
        <w:gridCol w:w="3263"/>
        <w:gridCol w:w="3384"/>
      </w:tblGrid>
      <w:tr w:rsidR="00F40F79" w:rsidRPr="002A34F0" w14:paraId="4618F3D8" w14:textId="77777777" w:rsidTr="00F3074F">
        <w:trPr>
          <w:trHeight w:val="289"/>
        </w:trPr>
        <w:tc>
          <w:tcPr>
            <w:tcW w:w="8339" w:type="dxa"/>
            <w:gridSpan w:val="3"/>
            <w:tcBorders>
              <w:top w:val="single" w:sz="8" w:space="0" w:color="auto"/>
              <w:left w:val="single" w:sz="8" w:space="0" w:color="auto"/>
              <w:bottom w:val="nil"/>
              <w:right w:val="single" w:sz="8" w:space="0" w:color="000000"/>
            </w:tcBorders>
            <w:shd w:val="clear" w:color="auto" w:fill="auto"/>
            <w:vAlign w:val="center"/>
            <w:hideMark/>
          </w:tcPr>
          <w:p w14:paraId="7E4C0997" w14:textId="3CF9A28E" w:rsidR="00F40F79" w:rsidRPr="002A34F0" w:rsidRDefault="00F40F79" w:rsidP="001A6C70">
            <w:pPr>
              <w:rPr>
                <w:color w:val="000000"/>
                <w:sz w:val="22"/>
                <w:szCs w:val="22"/>
                <w:lang w:val="en-US"/>
              </w:rPr>
            </w:pPr>
            <w:r w:rsidRPr="002A34F0">
              <w:rPr>
                <w:color w:val="000000"/>
                <w:sz w:val="22"/>
                <w:szCs w:val="22"/>
                <w:lang w:val="en"/>
              </w:rPr>
              <w:lastRenderedPageBreak/>
              <w:t xml:space="preserve">Appendix Table </w:t>
            </w:r>
            <w:r w:rsidR="008339C1" w:rsidRPr="002A34F0">
              <w:rPr>
                <w:color w:val="000000"/>
                <w:sz w:val="22"/>
                <w:szCs w:val="22"/>
                <w:lang w:val="en"/>
              </w:rPr>
              <w:t>A.</w:t>
            </w:r>
            <w:r w:rsidRPr="002A34F0">
              <w:rPr>
                <w:color w:val="000000"/>
                <w:sz w:val="22"/>
                <w:szCs w:val="22"/>
                <w:lang w:val="en"/>
              </w:rPr>
              <w:t>1 continued. Improved/Unimproved Household Characteristic Classification</w:t>
            </w:r>
          </w:p>
        </w:tc>
      </w:tr>
      <w:tr w:rsidR="00F40F79" w:rsidRPr="002A34F0" w14:paraId="577F461E" w14:textId="77777777" w:rsidTr="00F3074F">
        <w:trPr>
          <w:trHeight w:val="301"/>
        </w:trPr>
        <w:tc>
          <w:tcPr>
            <w:tcW w:w="1692" w:type="dxa"/>
            <w:tcBorders>
              <w:top w:val="nil"/>
              <w:left w:val="single" w:sz="8" w:space="0" w:color="auto"/>
              <w:bottom w:val="single" w:sz="8" w:space="0" w:color="auto"/>
              <w:right w:val="nil"/>
            </w:tcBorders>
            <w:shd w:val="clear" w:color="auto" w:fill="auto"/>
            <w:vAlign w:val="center"/>
            <w:hideMark/>
          </w:tcPr>
          <w:p w14:paraId="464F8766"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263" w:type="dxa"/>
            <w:tcBorders>
              <w:top w:val="nil"/>
              <w:left w:val="single" w:sz="4" w:space="0" w:color="auto"/>
              <w:bottom w:val="single" w:sz="8" w:space="0" w:color="auto"/>
              <w:right w:val="dashed" w:sz="4" w:space="0" w:color="auto"/>
            </w:tcBorders>
            <w:shd w:val="clear" w:color="auto" w:fill="auto"/>
            <w:vAlign w:val="center"/>
            <w:hideMark/>
          </w:tcPr>
          <w:p w14:paraId="740A3D67" w14:textId="77777777" w:rsidR="00F40F79" w:rsidRPr="002A34F0" w:rsidRDefault="00F40F79" w:rsidP="001A6C70">
            <w:pPr>
              <w:rPr>
                <w:color w:val="000000"/>
                <w:sz w:val="22"/>
                <w:szCs w:val="22"/>
                <w:lang w:val="en-US"/>
              </w:rPr>
            </w:pPr>
            <w:r w:rsidRPr="002A34F0">
              <w:rPr>
                <w:color w:val="000000"/>
                <w:sz w:val="22"/>
                <w:szCs w:val="22"/>
                <w:lang w:val="en"/>
              </w:rPr>
              <w:t>Improved</w:t>
            </w:r>
          </w:p>
        </w:tc>
        <w:tc>
          <w:tcPr>
            <w:tcW w:w="3384" w:type="dxa"/>
            <w:tcBorders>
              <w:top w:val="nil"/>
              <w:left w:val="nil"/>
              <w:bottom w:val="single" w:sz="8" w:space="0" w:color="auto"/>
              <w:right w:val="single" w:sz="8" w:space="0" w:color="auto"/>
            </w:tcBorders>
            <w:shd w:val="clear" w:color="auto" w:fill="auto"/>
            <w:vAlign w:val="center"/>
            <w:hideMark/>
          </w:tcPr>
          <w:p w14:paraId="47E28118" w14:textId="77777777" w:rsidR="00F40F79" w:rsidRPr="002A34F0" w:rsidRDefault="00F40F79" w:rsidP="001A6C70">
            <w:pPr>
              <w:rPr>
                <w:color w:val="000000"/>
                <w:sz w:val="22"/>
                <w:szCs w:val="22"/>
                <w:lang w:val="en-US"/>
              </w:rPr>
            </w:pPr>
            <w:r w:rsidRPr="002A34F0">
              <w:rPr>
                <w:color w:val="000000"/>
                <w:sz w:val="22"/>
                <w:szCs w:val="22"/>
                <w:lang w:val="en"/>
              </w:rPr>
              <w:t>Unimproved</w:t>
            </w:r>
          </w:p>
        </w:tc>
      </w:tr>
      <w:tr w:rsidR="00F40F79" w:rsidRPr="002A34F0" w14:paraId="267CCAF4"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48B1C2EA" w14:textId="77777777" w:rsidR="00F40F79" w:rsidRPr="002A34F0" w:rsidRDefault="00F40F79" w:rsidP="001A6C70">
            <w:pPr>
              <w:rPr>
                <w:color w:val="000000"/>
                <w:sz w:val="22"/>
                <w:szCs w:val="22"/>
                <w:lang w:val="en-US"/>
              </w:rPr>
            </w:pPr>
            <w:r w:rsidRPr="002A34F0">
              <w:rPr>
                <w:color w:val="000000"/>
                <w:sz w:val="22"/>
                <w:szCs w:val="22"/>
                <w:lang w:val="en"/>
              </w:rPr>
              <w:t>Sanitation</w:t>
            </w:r>
          </w:p>
        </w:tc>
        <w:tc>
          <w:tcPr>
            <w:tcW w:w="3263" w:type="dxa"/>
            <w:tcBorders>
              <w:top w:val="nil"/>
              <w:left w:val="single" w:sz="4" w:space="0" w:color="auto"/>
              <w:bottom w:val="nil"/>
              <w:right w:val="dashed" w:sz="4" w:space="0" w:color="auto"/>
            </w:tcBorders>
            <w:shd w:val="clear" w:color="auto" w:fill="auto"/>
            <w:vAlign w:val="center"/>
            <w:hideMark/>
          </w:tcPr>
          <w:p w14:paraId="668F78ED"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84" w:type="dxa"/>
            <w:tcBorders>
              <w:top w:val="nil"/>
              <w:left w:val="nil"/>
              <w:bottom w:val="nil"/>
              <w:right w:val="single" w:sz="8" w:space="0" w:color="auto"/>
            </w:tcBorders>
            <w:shd w:val="clear" w:color="auto" w:fill="auto"/>
            <w:vAlign w:val="center"/>
            <w:hideMark/>
          </w:tcPr>
          <w:p w14:paraId="291F07D9" w14:textId="77777777" w:rsidR="00F40F79" w:rsidRPr="002A34F0" w:rsidRDefault="00F40F79" w:rsidP="001A6C70">
            <w:pPr>
              <w:rPr>
                <w:color w:val="000000"/>
                <w:sz w:val="22"/>
                <w:szCs w:val="22"/>
                <w:lang w:val="en-US"/>
              </w:rPr>
            </w:pPr>
            <w:r w:rsidRPr="002A34F0">
              <w:rPr>
                <w:color w:val="000000"/>
                <w:sz w:val="22"/>
                <w:szCs w:val="22"/>
                <w:lang w:val="en"/>
              </w:rPr>
              <w:t> </w:t>
            </w:r>
          </w:p>
        </w:tc>
      </w:tr>
      <w:tr w:rsidR="00F40F79" w:rsidRPr="002A34F0" w14:paraId="5C3A5AD4"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1C82B22F" w14:textId="77777777" w:rsidR="00F40F79" w:rsidRPr="002A34F0" w:rsidRDefault="00F40F79" w:rsidP="001A6C70">
            <w:pPr>
              <w:rPr>
                <w:i/>
                <w:iCs/>
                <w:color w:val="000000"/>
                <w:sz w:val="22"/>
                <w:szCs w:val="22"/>
                <w:lang w:val="en-US"/>
              </w:rPr>
            </w:pPr>
            <w:r w:rsidRPr="002A34F0">
              <w:rPr>
                <w:i/>
                <w:iCs/>
                <w:color w:val="000000"/>
                <w:sz w:val="22"/>
                <w:szCs w:val="22"/>
                <w:lang w:val="en"/>
              </w:rPr>
              <w:t>Toilet</w:t>
            </w:r>
          </w:p>
        </w:tc>
        <w:tc>
          <w:tcPr>
            <w:tcW w:w="3263" w:type="dxa"/>
            <w:tcBorders>
              <w:top w:val="nil"/>
              <w:left w:val="single" w:sz="4" w:space="0" w:color="auto"/>
              <w:bottom w:val="nil"/>
              <w:right w:val="dashed" w:sz="4" w:space="0" w:color="auto"/>
            </w:tcBorders>
            <w:shd w:val="clear" w:color="auto" w:fill="auto"/>
            <w:vAlign w:val="center"/>
            <w:hideMark/>
          </w:tcPr>
          <w:p w14:paraId="5CFA69BF" w14:textId="77777777" w:rsidR="00F40F79" w:rsidRPr="002A34F0" w:rsidRDefault="00F40F79" w:rsidP="001A6C70">
            <w:pPr>
              <w:rPr>
                <w:color w:val="000000"/>
                <w:sz w:val="22"/>
                <w:szCs w:val="22"/>
                <w:lang w:val="en-US"/>
              </w:rPr>
            </w:pPr>
            <w:r w:rsidRPr="002A34F0">
              <w:rPr>
                <w:color w:val="000000"/>
                <w:sz w:val="22"/>
                <w:szCs w:val="22"/>
                <w:lang w:val="en"/>
              </w:rPr>
              <w:t>KVIP</w:t>
            </w:r>
          </w:p>
        </w:tc>
        <w:tc>
          <w:tcPr>
            <w:tcW w:w="3384" w:type="dxa"/>
            <w:tcBorders>
              <w:top w:val="nil"/>
              <w:left w:val="nil"/>
              <w:bottom w:val="nil"/>
              <w:right w:val="single" w:sz="8" w:space="0" w:color="auto"/>
            </w:tcBorders>
            <w:shd w:val="clear" w:color="auto" w:fill="auto"/>
            <w:vAlign w:val="center"/>
            <w:hideMark/>
          </w:tcPr>
          <w:p w14:paraId="0DB7B8D4" w14:textId="77777777" w:rsidR="00F40F79" w:rsidRPr="002A34F0" w:rsidRDefault="00F40F79" w:rsidP="001A6C70">
            <w:pPr>
              <w:rPr>
                <w:color w:val="000000"/>
                <w:sz w:val="22"/>
                <w:szCs w:val="22"/>
                <w:lang w:val="en-US"/>
              </w:rPr>
            </w:pPr>
            <w:r w:rsidRPr="002A34F0">
              <w:rPr>
                <w:color w:val="000000"/>
                <w:sz w:val="22"/>
                <w:szCs w:val="22"/>
                <w:lang w:val="en"/>
              </w:rPr>
              <w:t>Bucket/Pan</w:t>
            </w:r>
          </w:p>
        </w:tc>
      </w:tr>
      <w:tr w:rsidR="00F40F79" w:rsidRPr="002A34F0" w14:paraId="13C6D07D"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45BB7199"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63" w:type="dxa"/>
            <w:tcBorders>
              <w:top w:val="nil"/>
              <w:left w:val="single" w:sz="4" w:space="0" w:color="auto"/>
              <w:bottom w:val="nil"/>
              <w:right w:val="dashed" w:sz="4" w:space="0" w:color="auto"/>
            </w:tcBorders>
            <w:shd w:val="clear" w:color="auto" w:fill="auto"/>
            <w:vAlign w:val="center"/>
            <w:hideMark/>
          </w:tcPr>
          <w:p w14:paraId="4301DAB7" w14:textId="77777777" w:rsidR="00F40F79" w:rsidRPr="002A34F0" w:rsidRDefault="00F40F79" w:rsidP="001A6C70">
            <w:pPr>
              <w:rPr>
                <w:color w:val="000000"/>
                <w:sz w:val="22"/>
                <w:szCs w:val="22"/>
                <w:lang w:val="en-US"/>
              </w:rPr>
            </w:pPr>
            <w:r w:rsidRPr="002A34F0">
              <w:rPr>
                <w:color w:val="000000"/>
                <w:sz w:val="22"/>
                <w:szCs w:val="22"/>
                <w:lang w:val="en"/>
              </w:rPr>
              <w:t>Pit latrine</w:t>
            </w:r>
          </w:p>
        </w:tc>
        <w:tc>
          <w:tcPr>
            <w:tcW w:w="3384" w:type="dxa"/>
            <w:tcBorders>
              <w:top w:val="nil"/>
              <w:left w:val="nil"/>
              <w:bottom w:val="nil"/>
              <w:right w:val="single" w:sz="8" w:space="0" w:color="auto"/>
            </w:tcBorders>
            <w:shd w:val="clear" w:color="auto" w:fill="auto"/>
            <w:vAlign w:val="center"/>
            <w:hideMark/>
          </w:tcPr>
          <w:p w14:paraId="39307A0B" w14:textId="77777777" w:rsidR="00F40F79" w:rsidRPr="002A34F0" w:rsidRDefault="00F40F79" w:rsidP="001A6C70">
            <w:pPr>
              <w:rPr>
                <w:color w:val="000000"/>
                <w:sz w:val="22"/>
                <w:szCs w:val="22"/>
                <w:lang w:val="en-US"/>
              </w:rPr>
            </w:pPr>
            <w:r w:rsidRPr="002A34F0">
              <w:rPr>
                <w:color w:val="000000"/>
                <w:sz w:val="22"/>
                <w:szCs w:val="22"/>
                <w:lang w:val="en"/>
              </w:rPr>
              <w:t>No facilities (bush/beach/field)</w:t>
            </w:r>
          </w:p>
        </w:tc>
      </w:tr>
      <w:tr w:rsidR="00F40F79" w:rsidRPr="002A34F0" w14:paraId="028393C5"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4D3912BE"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63" w:type="dxa"/>
            <w:tcBorders>
              <w:top w:val="nil"/>
              <w:left w:val="single" w:sz="4" w:space="0" w:color="auto"/>
              <w:bottom w:val="nil"/>
              <w:right w:val="dashed" w:sz="4" w:space="0" w:color="auto"/>
            </w:tcBorders>
            <w:shd w:val="clear" w:color="auto" w:fill="auto"/>
            <w:vAlign w:val="center"/>
            <w:hideMark/>
          </w:tcPr>
          <w:p w14:paraId="2190D9DE" w14:textId="77777777" w:rsidR="00F40F79" w:rsidRPr="002A34F0" w:rsidRDefault="00F40F79" w:rsidP="001A6C70">
            <w:pPr>
              <w:rPr>
                <w:color w:val="000000"/>
                <w:sz w:val="22"/>
                <w:szCs w:val="22"/>
                <w:lang w:val="en-US"/>
              </w:rPr>
            </w:pPr>
            <w:r w:rsidRPr="002A34F0">
              <w:rPr>
                <w:color w:val="000000"/>
                <w:sz w:val="22"/>
                <w:szCs w:val="22"/>
                <w:lang w:val="en"/>
              </w:rPr>
              <w:t>W.C.</w:t>
            </w:r>
          </w:p>
        </w:tc>
        <w:tc>
          <w:tcPr>
            <w:tcW w:w="3384" w:type="dxa"/>
            <w:tcBorders>
              <w:top w:val="nil"/>
              <w:left w:val="nil"/>
              <w:bottom w:val="nil"/>
              <w:right w:val="single" w:sz="8" w:space="0" w:color="auto"/>
            </w:tcBorders>
            <w:shd w:val="clear" w:color="auto" w:fill="auto"/>
            <w:vAlign w:val="center"/>
            <w:hideMark/>
          </w:tcPr>
          <w:p w14:paraId="4D02E121"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49713FF6" w14:textId="77777777" w:rsidTr="00F3074F">
        <w:trPr>
          <w:trHeight w:val="555"/>
        </w:trPr>
        <w:tc>
          <w:tcPr>
            <w:tcW w:w="1692" w:type="dxa"/>
            <w:tcBorders>
              <w:top w:val="nil"/>
              <w:left w:val="single" w:sz="8" w:space="0" w:color="auto"/>
              <w:bottom w:val="nil"/>
              <w:right w:val="nil"/>
            </w:tcBorders>
            <w:shd w:val="clear" w:color="auto" w:fill="auto"/>
            <w:vAlign w:val="center"/>
            <w:hideMark/>
          </w:tcPr>
          <w:p w14:paraId="0CC8ABCF" w14:textId="77777777" w:rsidR="00F40F79" w:rsidRPr="002A34F0" w:rsidRDefault="00F40F79" w:rsidP="001A6C70">
            <w:pPr>
              <w:rPr>
                <w:i/>
                <w:iCs/>
                <w:color w:val="000000"/>
                <w:sz w:val="22"/>
                <w:szCs w:val="22"/>
                <w:lang w:val="en-US"/>
              </w:rPr>
            </w:pPr>
            <w:r w:rsidRPr="002A34F0">
              <w:rPr>
                <w:i/>
                <w:iCs/>
                <w:color w:val="000000"/>
                <w:sz w:val="22"/>
                <w:szCs w:val="22"/>
                <w:lang w:val="en"/>
              </w:rPr>
              <w:t xml:space="preserve"> </w:t>
            </w:r>
          </w:p>
        </w:tc>
        <w:tc>
          <w:tcPr>
            <w:tcW w:w="3263" w:type="dxa"/>
            <w:tcBorders>
              <w:top w:val="nil"/>
              <w:left w:val="single" w:sz="4" w:space="0" w:color="auto"/>
              <w:bottom w:val="nil"/>
              <w:right w:val="dashed" w:sz="4" w:space="0" w:color="auto"/>
            </w:tcBorders>
            <w:shd w:val="clear" w:color="auto" w:fill="auto"/>
            <w:vAlign w:val="center"/>
            <w:hideMark/>
          </w:tcPr>
          <w:p w14:paraId="0973E35F"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84" w:type="dxa"/>
            <w:tcBorders>
              <w:top w:val="nil"/>
              <w:left w:val="nil"/>
              <w:bottom w:val="nil"/>
              <w:right w:val="single" w:sz="8" w:space="0" w:color="auto"/>
            </w:tcBorders>
            <w:shd w:val="clear" w:color="auto" w:fill="auto"/>
            <w:vAlign w:val="center"/>
            <w:hideMark/>
          </w:tcPr>
          <w:p w14:paraId="3DE65C57" w14:textId="77777777" w:rsidR="00F40F79" w:rsidRPr="002A34F0" w:rsidRDefault="00F40F79" w:rsidP="001A6C70">
            <w:pPr>
              <w:rPr>
                <w:color w:val="000000"/>
                <w:sz w:val="22"/>
                <w:szCs w:val="22"/>
                <w:lang w:val="en-US"/>
              </w:rPr>
            </w:pPr>
            <w:r w:rsidRPr="002A34F0">
              <w:rPr>
                <w:color w:val="000000"/>
                <w:sz w:val="22"/>
                <w:szCs w:val="22"/>
                <w:lang w:val="en"/>
              </w:rPr>
              <w:t>Public toilet (WC, KVIP, Pit, Pan, etc.)</w:t>
            </w:r>
          </w:p>
        </w:tc>
      </w:tr>
      <w:tr w:rsidR="00F40F79" w:rsidRPr="002A34F0" w14:paraId="1AE4BE2D" w14:textId="77777777" w:rsidTr="00F3074F">
        <w:trPr>
          <w:trHeight w:val="555"/>
        </w:trPr>
        <w:tc>
          <w:tcPr>
            <w:tcW w:w="1692" w:type="dxa"/>
            <w:tcBorders>
              <w:top w:val="nil"/>
              <w:left w:val="single" w:sz="8" w:space="0" w:color="auto"/>
              <w:bottom w:val="nil"/>
              <w:right w:val="nil"/>
            </w:tcBorders>
            <w:shd w:val="clear" w:color="auto" w:fill="auto"/>
            <w:vAlign w:val="center"/>
            <w:hideMark/>
          </w:tcPr>
          <w:p w14:paraId="18AFA8D2" w14:textId="77777777" w:rsidR="00F40F79" w:rsidRPr="002A34F0" w:rsidRDefault="00F40F79" w:rsidP="001A6C70">
            <w:pPr>
              <w:rPr>
                <w:i/>
                <w:iCs/>
                <w:color w:val="000000"/>
                <w:sz w:val="22"/>
                <w:szCs w:val="22"/>
                <w:lang w:val="en-US"/>
              </w:rPr>
            </w:pPr>
            <w:r w:rsidRPr="002A34F0">
              <w:rPr>
                <w:i/>
                <w:iCs/>
                <w:color w:val="000000"/>
                <w:sz w:val="22"/>
                <w:szCs w:val="22"/>
                <w:lang w:val="en"/>
              </w:rPr>
              <w:t>Liquid waste disposal</w:t>
            </w:r>
          </w:p>
        </w:tc>
        <w:tc>
          <w:tcPr>
            <w:tcW w:w="3263" w:type="dxa"/>
            <w:tcBorders>
              <w:top w:val="nil"/>
              <w:left w:val="single" w:sz="4" w:space="0" w:color="auto"/>
              <w:bottom w:val="nil"/>
              <w:right w:val="dashed" w:sz="4" w:space="0" w:color="auto"/>
            </w:tcBorders>
            <w:shd w:val="clear" w:color="auto" w:fill="auto"/>
            <w:vAlign w:val="center"/>
            <w:hideMark/>
          </w:tcPr>
          <w:p w14:paraId="25EC3BB6" w14:textId="77777777" w:rsidR="00F40F79" w:rsidRPr="002A34F0" w:rsidRDefault="00F40F79" w:rsidP="001A6C70">
            <w:pPr>
              <w:rPr>
                <w:color w:val="000000"/>
                <w:sz w:val="22"/>
                <w:szCs w:val="22"/>
                <w:lang w:val="en-US"/>
              </w:rPr>
            </w:pPr>
            <w:r w:rsidRPr="002A34F0">
              <w:rPr>
                <w:color w:val="000000"/>
                <w:sz w:val="22"/>
                <w:szCs w:val="22"/>
                <w:lang w:val="en"/>
              </w:rPr>
              <w:t>Through drainage into a pit (soak away)</w:t>
            </w:r>
          </w:p>
        </w:tc>
        <w:tc>
          <w:tcPr>
            <w:tcW w:w="3384" w:type="dxa"/>
            <w:tcBorders>
              <w:top w:val="nil"/>
              <w:left w:val="nil"/>
              <w:bottom w:val="nil"/>
              <w:right w:val="single" w:sz="8" w:space="0" w:color="auto"/>
            </w:tcBorders>
            <w:shd w:val="clear" w:color="auto" w:fill="auto"/>
            <w:vAlign w:val="center"/>
            <w:hideMark/>
          </w:tcPr>
          <w:p w14:paraId="72BB6A2A"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58AB36F6" w14:textId="77777777" w:rsidTr="00F3074F">
        <w:trPr>
          <w:trHeight w:val="555"/>
        </w:trPr>
        <w:tc>
          <w:tcPr>
            <w:tcW w:w="1692" w:type="dxa"/>
            <w:tcBorders>
              <w:top w:val="nil"/>
              <w:left w:val="single" w:sz="8" w:space="0" w:color="auto"/>
              <w:bottom w:val="nil"/>
              <w:right w:val="nil"/>
            </w:tcBorders>
            <w:shd w:val="clear" w:color="auto" w:fill="auto"/>
            <w:vAlign w:val="center"/>
            <w:hideMark/>
          </w:tcPr>
          <w:p w14:paraId="546093FF"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63" w:type="dxa"/>
            <w:tcBorders>
              <w:top w:val="nil"/>
              <w:left w:val="single" w:sz="4" w:space="0" w:color="auto"/>
              <w:bottom w:val="nil"/>
              <w:right w:val="dashed" w:sz="4" w:space="0" w:color="auto"/>
            </w:tcBorders>
            <w:shd w:val="clear" w:color="auto" w:fill="auto"/>
            <w:vAlign w:val="center"/>
            <w:hideMark/>
          </w:tcPr>
          <w:p w14:paraId="181A7AB3" w14:textId="77777777" w:rsidR="00F40F79" w:rsidRPr="002A34F0" w:rsidRDefault="00F40F79" w:rsidP="001A6C70">
            <w:pPr>
              <w:rPr>
                <w:color w:val="000000"/>
                <w:sz w:val="22"/>
                <w:szCs w:val="22"/>
                <w:lang w:val="en-US"/>
              </w:rPr>
            </w:pPr>
            <w:r w:rsidRPr="002A34F0">
              <w:rPr>
                <w:color w:val="000000"/>
                <w:sz w:val="22"/>
                <w:szCs w:val="22"/>
                <w:lang w:val="en"/>
              </w:rPr>
              <w:t>Through drainage system into a gutter</w:t>
            </w:r>
          </w:p>
        </w:tc>
        <w:tc>
          <w:tcPr>
            <w:tcW w:w="3384" w:type="dxa"/>
            <w:tcBorders>
              <w:top w:val="nil"/>
              <w:left w:val="nil"/>
              <w:bottom w:val="nil"/>
              <w:right w:val="single" w:sz="8" w:space="0" w:color="auto"/>
            </w:tcBorders>
            <w:shd w:val="clear" w:color="auto" w:fill="auto"/>
            <w:vAlign w:val="center"/>
            <w:hideMark/>
          </w:tcPr>
          <w:p w14:paraId="4AE1EF6E" w14:textId="77777777" w:rsidR="00F40F79" w:rsidRPr="002A34F0" w:rsidRDefault="00F40F79" w:rsidP="001A6C70">
            <w:pPr>
              <w:rPr>
                <w:color w:val="000000"/>
                <w:sz w:val="22"/>
                <w:szCs w:val="22"/>
                <w:lang w:val="en-US"/>
              </w:rPr>
            </w:pPr>
            <w:r w:rsidRPr="002A34F0">
              <w:rPr>
                <w:color w:val="000000"/>
                <w:sz w:val="22"/>
                <w:szCs w:val="22"/>
                <w:lang w:val="en"/>
              </w:rPr>
              <w:t>Thrown into gutter</w:t>
            </w:r>
          </w:p>
        </w:tc>
      </w:tr>
      <w:tr w:rsidR="00F40F79" w:rsidRPr="002A34F0" w14:paraId="7E5A19CC"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3B6859B4"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63" w:type="dxa"/>
            <w:tcBorders>
              <w:top w:val="nil"/>
              <w:left w:val="single" w:sz="4" w:space="0" w:color="auto"/>
              <w:bottom w:val="nil"/>
              <w:right w:val="dashed" w:sz="4" w:space="0" w:color="auto"/>
            </w:tcBorders>
            <w:shd w:val="clear" w:color="auto" w:fill="auto"/>
            <w:vAlign w:val="center"/>
            <w:hideMark/>
          </w:tcPr>
          <w:p w14:paraId="2D461C2B" w14:textId="77777777" w:rsidR="00F40F79" w:rsidRPr="002A34F0" w:rsidRDefault="00F40F79" w:rsidP="001A6C70">
            <w:pPr>
              <w:rPr>
                <w:color w:val="000000"/>
                <w:sz w:val="22"/>
                <w:szCs w:val="22"/>
                <w:lang w:val="en-US"/>
              </w:rPr>
            </w:pPr>
            <w:r w:rsidRPr="002A34F0">
              <w:rPr>
                <w:color w:val="000000"/>
                <w:sz w:val="22"/>
                <w:szCs w:val="22"/>
                <w:lang w:val="en"/>
              </w:rPr>
              <w:t>Through the sewerage system</w:t>
            </w:r>
          </w:p>
        </w:tc>
        <w:tc>
          <w:tcPr>
            <w:tcW w:w="3384" w:type="dxa"/>
            <w:tcBorders>
              <w:top w:val="nil"/>
              <w:left w:val="nil"/>
              <w:bottom w:val="nil"/>
              <w:right w:val="single" w:sz="8" w:space="0" w:color="auto"/>
            </w:tcBorders>
            <w:shd w:val="clear" w:color="auto" w:fill="auto"/>
            <w:vAlign w:val="center"/>
            <w:hideMark/>
          </w:tcPr>
          <w:p w14:paraId="75B365ED" w14:textId="77777777" w:rsidR="00F40F79" w:rsidRPr="002A34F0" w:rsidRDefault="00F40F79" w:rsidP="001A6C70">
            <w:pPr>
              <w:rPr>
                <w:color w:val="000000"/>
                <w:sz w:val="22"/>
                <w:szCs w:val="22"/>
                <w:lang w:val="en-US"/>
              </w:rPr>
            </w:pPr>
            <w:r w:rsidRPr="002A34F0">
              <w:rPr>
                <w:color w:val="000000"/>
                <w:sz w:val="22"/>
                <w:szCs w:val="22"/>
                <w:lang w:val="en"/>
              </w:rPr>
              <w:t>Thrown onto compound</w:t>
            </w:r>
          </w:p>
        </w:tc>
      </w:tr>
      <w:tr w:rsidR="00F40F79" w:rsidRPr="002A34F0" w14:paraId="093D7709"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619CAC1B" w14:textId="77777777" w:rsidR="00F40F79" w:rsidRPr="002A34F0" w:rsidRDefault="00F40F79" w:rsidP="001A6C70">
            <w:pPr>
              <w:rPr>
                <w:i/>
                <w:iCs/>
                <w:color w:val="000000"/>
                <w:sz w:val="22"/>
                <w:szCs w:val="22"/>
                <w:lang w:val="en-US"/>
              </w:rPr>
            </w:pPr>
            <w:r w:rsidRPr="002A34F0">
              <w:rPr>
                <w:i/>
                <w:iCs/>
                <w:color w:val="000000"/>
                <w:sz w:val="22"/>
                <w:szCs w:val="22"/>
                <w:lang w:val="en"/>
              </w:rPr>
              <w:t xml:space="preserve"> </w:t>
            </w:r>
          </w:p>
        </w:tc>
        <w:tc>
          <w:tcPr>
            <w:tcW w:w="3263" w:type="dxa"/>
            <w:tcBorders>
              <w:top w:val="nil"/>
              <w:left w:val="single" w:sz="4" w:space="0" w:color="auto"/>
              <w:bottom w:val="nil"/>
              <w:right w:val="dashed" w:sz="4" w:space="0" w:color="auto"/>
            </w:tcBorders>
            <w:shd w:val="clear" w:color="auto" w:fill="auto"/>
            <w:vAlign w:val="center"/>
            <w:hideMark/>
          </w:tcPr>
          <w:p w14:paraId="52837188"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84" w:type="dxa"/>
            <w:tcBorders>
              <w:top w:val="nil"/>
              <w:left w:val="nil"/>
              <w:bottom w:val="nil"/>
              <w:right w:val="single" w:sz="8" w:space="0" w:color="auto"/>
            </w:tcBorders>
            <w:shd w:val="clear" w:color="auto" w:fill="auto"/>
            <w:vAlign w:val="center"/>
            <w:hideMark/>
          </w:tcPr>
          <w:p w14:paraId="17A75390" w14:textId="77777777" w:rsidR="00F40F79" w:rsidRPr="002A34F0" w:rsidRDefault="00F40F79" w:rsidP="001A6C70">
            <w:pPr>
              <w:rPr>
                <w:color w:val="000000"/>
                <w:sz w:val="22"/>
                <w:szCs w:val="22"/>
                <w:lang w:val="en-US"/>
              </w:rPr>
            </w:pPr>
            <w:r w:rsidRPr="002A34F0">
              <w:rPr>
                <w:color w:val="000000"/>
                <w:sz w:val="22"/>
                <w:szCs w:val="22"/>
                <w:lang w:val="en"/>
              </w:rPr>
              <w:t>Thrown onto the street/outside</w:t>
            </w:r>
          </w:p>
        </w:tc>
      </w:tr>
      <w:tr w:rsidR="00F40F79" w:rsidRPr="002A34F0" w14:paraId="6A6B9259" w14:textId="77777777" w:rsidTr="00F3074F">
        <w:trPr>
          <w:trHeight w:val="555"/>
        </w:trPr>
        <w:tc>
          <w:tcPr>
            <w:tcW w:w="1692" w:type="dxa"/>
            <w:tcBorders>
              <w:top w:val="nil"/>
              <w:left w:val="single" w:sz="8" w:space="0" w:color="auto"/>
              <w:bottom w:val="nil"/>
              <w:right w:val="nil"/>
            </w:tcBorders>
            <w:shd w:val="clear" w:color="auto" w:fill="auto"/>
            <w:vAlign w:val="center"/>
            <w:hideMark/>
          </w:tcPr>
          <w:p w14:paraId="160C3ED5" w14:textId="77777777" w:rsidR="00F40F79" w:rsidRPr="002A34F0" w:rsidRDefault="00F40F79" w:rsidP="001A6C70">
            <w:pPr>
              <w:rPr>
                <w:i/>
                <w:iCs/>
                <w:color w:val="000000"/>
                <w:sz w:val="22"/>
                <w:szCs w:val="22"/>
                <w:lang w:val="en-US"/>
              </w:rPr>
            </w:pPr>
            <w:r w:rsidRPr="002A34F0">
              <w:rPr>
                <w:i/>
                <w:iCs/>
                <w:color w:val="000000"/>
                <w:sz w:val="22"/>
                <w:szCs w:val="22"/>
                <w:lang w:val="en"/>
              </w:rPr>
              <w:t>Solid waste disposal</w:t>
            </w:r>
          </w:p>
        </w:tc>
        <w:tc>
          <w:tcPr>
            <w:tcW w:w="3263" w:type="dxa"/>
            <w:tcBorders>
              <w:top w:val="nil"/>
              <w:left w:val="single" w:sz="4" w:space="0" w:color="auto"/>
              <w:bottom w:val="nil"/>
              <w:right w:val="dashed" w:sz="4" w:space="0" w:color="auto"/>
            </w:tcBorders>
            <w:shd w:val="clear" w:color="auto" w:fill="auto"/>
            <w:vAlign w:val="center"/>
            <w:hideMark/>
          </w:tcPr>
          <w:p w14:paraId="6ED32B72" w14:textId="77777777" w:rsidR="00F40F79" w:rsidRPr="002A34F0" w:rsidRDefault="00F40F79" w:rsidP="001A6C70">
            <w:pPr>
              <w:rPr>
                <w:color w:val="000000"/>
                <w:sz w:val="22"/>
                <w:szCs w:val="22"/>
                <w:lang w:val="en-US"/>
              </w:rPr>
            </w:pPr>
            <w:r w:rsidRPr="002A34F0">
              <w:rPr>
                <w:color w:val="000000"/>
                <w:sz w:val="22"/>
                <w:szCs w:val="22"/>
                <w:lang w:val="en"/>
              </w:rPr>
              <w:t>Collected</w:t>
            </w:r>
          </w:p>
        </w:tc>
        <w:tc>
          <w:tcPr>
            <w:tcW w:w="3384" w:type="dxa"/>
            <w:tcBorders>
              <w:top w:val="nil"/>
              <w:left w:val="nil"/>
              <w:bottom w:val="nil"/>
              <w:right w:val="single" w:sz="8" w:space="0" w:color="auto"/>
            </w:tcBorders>
            <w:shd w:val="clear" w:color="auto" w:fill="auto"/>
            <w:vAlign w:val="center"/>
            <w:hideMark/>
          </w:tcPr>
          <w:p w14:paraId="3636ABDA" w14:textId="77777777" w:rsidR="00F40F79" w:rsidRPr="002A34F0" w:rsidRDefault="00F40F79" w:rsidP="001A6C70">
            <w:pPr>
              <w:rPr>
                <w:color w:val="000000"/>
                <w:sz w:val="22"/>
                <w:szCs w:val="22"/>
                <w:lang w:val="en-US"/>
              </w:rPr>
            </w:pPr>
            <w:r w:rsidRPr="002A34F0">
              <w:rPr>
                <w:color w:val="000000"/>
                <w:sz w:val="22"/>
                <w:szCs w:val="22"/>
                <w:lang w:val="en"/>
              </w:rPr>
              <w:t>Buried by household</w:t>
            </w:r>
          </w:p>
        </w:tc>
      </w:tr>
      <w:tr w:rsidR="00F40F79" w:rsidRPr="002A34F0" w14:paraId="128E4DF7"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3BDA5D76"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63" w:type="dxa"/>
            <w:tcBorders>
              <w:top w:val="nil"/>
              <w:left w:val="single" w:sz="4" w:space="0" w:color="auto"/>
              <w:bottom w:val="nil"/>
              <w:right w:val="dashed" w:sz="4" w:space="0" w:color="auto"/>
            </w:tcBorders>
            <w:shd w:val="clear" w:color="auto" w:fill="auto"/>
            <w:vAlign w:val="center"/>
            <w:hideMark/>
          </w:tcPr>
          <w:p w14:paraId="43405EBE" w14:textId="77777777" w:rsidR="00F40F79" w:rsidRPr="002A34F0" w:rsidRDefault="00F40F79" w:rsidP="001A6C70">
            <w:pPr>
              <w:rPr>
                <w:color w:val="000000"/>
                <w:sz w:val="22"/>
                <w:szCs w:val="22"/>
                <w:lang w:val="en-US"/>
              </w:rPr>
            </w:pPr>
            <w:r w:rsidRPr="002A34F0">
              <w:rPr>
                <w:color w:val="000000"/>
                <w:sz w:val="22"/>
                <w:szCs w:val="22"/>
                <w:lang w:val="en"/>
              </w:rPr>
              <w:t>Public dump (container)</w:t>
            </w:r>
          </w:p>
        </w:tc>
        <w:tc>
          <w:tcPr>
            <w:tcW w:w="3384" w:type="dxa"/>
            <w:tcBorders>
              <w:top w:val="nil"/>
              <w:left w:val="nil"/>
              <w:bottom w:val="nil"/>
              <w:right w:val="single" w:sz="8" w:space="0" w:color="auto"/>
            </w:tcBorders>
            <w:shd w:val="clear" w:color="auto" w:fill="auto"/>
            <w:vAlign w:val="center"/>
            <w:hideMark/>
          </w:tcPr>
          <w:p w14:paraId="177F87ED" w14:textId="77777777" w:rsidR="00F40F79" w:rsidRPr="002A34F0" w:rsidRDefault="00F40F79" w:rsidP="001A6C70">
            <w:pPr>
              <w:rPr>
                <w:color w:val="000000"/>
                <w:sz w:val="22"/>
                <w:szCs w:val="22"/>
                <w:lang w:val="en-US"/>
              </w:rPr>
            </w:pPr>
            <w:r w:rsidRPr="002A34F0">
              <w:rPr>
                <w:color w:val="000000"/>
                <w:sz w:val="22"/>
                <w:szCs w:val="22"/>
                <w:lang w:val="en"/>
              </w:rPr>
              <w:t>Burned by household</w:t>
            </w:r>
          </w:p>
        </w:tc>
      </w:tr>
      <w:tr w:rsidR="00F40F79" w:rsidRPr="002A34F0" w14:paraId="56A48DBE"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7851BF6A" w14:textId="77777777" w:rsidR="00F40F79" w:rsidRPr="002A34F0" w:rsidRDefault="00F40F79" w:rsidP="001A6C70">
            <w:pPr>
              <w:rPr>
                <w:i/>
                <w:iCs/>
                <w:color w:val="000000"/>
                <w:sz w:val="22"/>
                <w:szCs w:val="22"/>
                <w:lang w:val="en-US"/>
              </w:rPr>
            </w:pPr>
            <w:r w:rsidRPr="002A34F0">
              <w:rPr>
                <w:i/>
                <w:iCs/>
                <w:color w:val="000000"/>
                <w:sz w:val="22"/>
                <w:szCs w:val="22"/>
                <w:lang w:val="en"/>
              </w:rPr>
              <w:t> </w:t>
            </w:r>
          </w:p>
        </w:tc>
        <w:tc>
          <w:tcPr>
            <w:tcW w:w="3263" w:type="dxa"/>
            <w:tcBorders>
              <w:top w:val="nil"/>
              <w:left w:val="single" w:sz="4" w:space="0" w:color="auto"/>
              <w:bottom w:val="nil"/>
              <w:right w:val="dashed" w:sz="4" w:space="0" w:color="auto"/>
            </w:tcBorders>
            <w:shd w:val="clear" w:color="auto" w:fill="auto"/>
            <w:vAlign w:val="center"/>
            <w:hideMark/>
          </w:tcPr>
          <w:p w14:paraId="732938AB" w14:textId="77777777" w:rsidR="00F40F79" w:rsidRPr="002A34F0" w:rsidRDefault="00F40F79" w:rsidP="001A6C70">
            <w:pPr>
              <w:rPr>
                <w:color w:val="000000"/>
                <w:sz w:val="22"/>
                <w:szCs w:val="22"/>
                <w:lang w:val="en-US"/>
              </w:rPr>
            </w:pPr>
            <w:r w:rsidRPr="002A34F0">
              <w:rPr>
                <w:color w:val="000000"/>
                <w:sz w:val="22"/>
                <w:szCs w:val="22"/>
                <w:lang w:val="en"/>
              </w:rPr>
              <w:t>Public dump (open space)</w:t>
            </w:r>
          </w:p>
        </w:tc>
        <w:tc>
          <w:tcPr>
            <w:tcW w:w="3384" w:type="dxa"/>
            <w:tcBorders>
              <w:top w:val="nil"/>
              <w:left w:val="nil"/>
              <w:bottom w:val="nil"/>
              <w:right w:val="single" w:sz="8" w:space="0" w:color="auto"/>
            </w:tcBorders>
            <w:shd w:val="clear" w:color="auto" w:fill="auto"/>
            <w:vAlign w:val="center"/>
            <w:hideMark/>
          </w:tcPr>
          <w:p w14:paraId="0F6FFF5F" w14:textId="77777777" w:rsidR="00F40F79" w:rsidRPr="002A34F0" w:rsidRDefault="00F40F79" w:rsidP="001A6C70">
            <w:pPr>
              <w:rPr>
                <w:color w:val="000000"/>
                <w:sz w:val="22"/>
                <w:szCs w:val="22"/>
                <w:lang w:val="en-US"/>
              </w:rPr>
            </w:pPr>
            <w:r w:rsidRPr="002A34F0">
              <w:rPr>
                <w:color w:val="000000"/>
                <w:sz w:val="22"/>
                <w:szCs w:val="22"/>
                <w:lang w:val="en"/>
              </w:rPr>
              <w:t>Dumped indiscriminately</w:t>
            </w:r>
          </w:p>
        </w:tc>
      </w:tr>
      <w:tr w:rsidR="00F40F79" w:rsidRPr="002A34F0" w14:paraId="59F94D6C"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01DE8EA4"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263" w:type="dxa"/>
            <w:tcBorders>
              <w:top w:val="nil"/>
              <w:left w:val="single" w:sz="4" w:space="0" w:color="auto"/>
              <w:bottom w:val="nil"/>
              <w:right w:val="dashed" w:sz="4" w:space="0" w:color="auto"/>
            </w:tcBorders>
            <w:shd w:val="clear" w:color="auto" w:fill="auto"/>
            <w:vAlign w:val="center"/>
            <w:hideMark/>
          </w:tcPr>
          <w:p w14:paraId="5212CA2C"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84" w:type="dxa"/>
            <w:tcBorders>
              <w:top w:val="nil"/>
              <w:left w:val="nil"/>
              <w:bottom w:val="nil"/>
              <w:right w:val="single" w:sz="8" w:space="0" w:color="auto"/>
            </w:tcBorders>
            <w:shd w:val="clear" w:color="auto" w:fill="auto"/>
            <w:vAlign w:val="center"/>
            <w:hideMark/>
          </w:tcPr>
          <w:p w14:paraId="35E2D45A" w14:textId="77777777" w:rsidR="00F40F79" w:rsidRPr="002A34F0" w:rsidRDefault="00F40F79" w:rsidP="001A6C70">
            <w:pPr>
              <w:rPr>
                <w:color w:val="000000"/>
                <w:sz w:val="22"/>
                <w:szCs w:val="22"/>
                <w:lang w:val="en-US"/>
              </w:rPr>
            </w:pPr>
            <w:r w:rsidRPr="002A34F0">
              <w:rPr>
                <w:color w:val="000000"/>
                <w:sz w:val="22"/>
                <w:szCs w:val="22"/>
                <w:lang w:val="en"/>
              </w:rPr>
              <w:t>Other</w:t>
            </w:r>
          </w:p>
        </w:tc>
      </w:tr>
      <w:tr w:rsidR="00F40F79" w:rsidRPr="002A34F0" w14:paraId="4E011DF8"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4C1C0213" w14:textId="74FC685F" w:rsidR="00F40F79" w:rsidRPr="002A34F0" w:rsidRDefault="00F3074F" w:rsidP="001A6C70">
            <w:pPr>
              <w:rPr>
                <w:color w:val="000000"/>
                <w:sz w:val="22"/>
                <w:szCs w:val="22"/>
                <w:lang w:val="en-US"/>
              </w:rPr>
            </w:pPr>
            <w:r w:rsidRPr="002A34F0">
              <w:rPr>
                <w:color w:val="000000"/>
                <w:sz w:val="22"/>
                <w:szCs w:val="22"/>
                <w:lang w:val="en"/>
              </w:rPr>
              <w:t xml:space="preserve">Drinking </w:t>
            </w:r>
            <w:r w:rsidR="00F40F79" w:rsidRPr="002A34F0">
              <w:rPr>
                <w:color w:val="000000"/>
                <w:sz w:val="22"/>
                <w:szCs w:val="22"/>
                <w:lang w:val="en"/>
              </w:rPr>
              <w:t>Water Source</w:t>
            </w:r>
          </w:p>
        </w:tc>
        <w:tc>
          <w:tcPr>
            <w:tcW w:w="3263" w:type="dxa"/>
            <w:tcBorders>
              <w:top w:val="nil"/>
              <w:left w:val="single" w:sz="4" w:space="0" w:color="auto"/>
              <w:bottom w:val="nil"/>
              <w:right w:val="dashed" w:sz="4" w:space="0" w:color="auto"/>
            </w:tcBorders>
            <w:shd w:val="clear" w:color="auto" w:fill="auto"/>
            <w:vAlign w:val="center"/>
            <w:hideMark/>
          </w:tcPr>
          <w:p w14:paraId="69886492" w14:textId="77777777" w:rsidR="00F40F79" w:rsidRPr="002A34F0" w:rsidRDefault="00F40F79" w:rsidP="001A6C70">
            <w:pPr>
              <w:rPr>
                <w:color w:val="000000"/>
                <w:sz w:val="22"/>
                <w:szCs w:val="22"/>
                <w:lang w:val="en-US"/>
              </w:rPr>
            </w:pPr>
            <w:r w:rsidRPr="002A34F0">
              <w:rPr>
                <w:color w:val="000000"/>
                <w:sz w:val="22"/>
                <w:szCs w:val="22"/>
                <w:lang w:val="en"/>
              </w:rPr>
              <w:t xml:space="preserve"> </w:t>
            </w:r>
          </w:p>
        </w:tc>
        <w:tc>
          <w:tcPr>
            <w:tcW w:w="3384" w:type="dxa"/>
            <w:tcBorders>
              <w:top w:val="nil"/>
              <w:left w:val="nil"/>
              <w:bottom w:val="nil"/>
              <w:right w:val="single" w:sz="8" w:space="0" w:color="auto"/>
            </w:tcBorders>
            <w:shd w:val="clear" w:color="auto" w:fill="auto"/>
            <w:vAlign w:val="center"/>
            <w:hideMark/>
          </w:tcPr>
          <w:p w14:paraId="308734CB" w14:textId="77777777" w:rsidR="00F40F79" w:rsidRPr="002A34F0" w:rsidRDefault="00F40F79" w:rsidP="001A6C70">
            <w:pPr>
              <w:rPr>
                <w:color w:val="000000"/>
                <w:sz w:val="22"/>
                <w:szCs w:val="22"/>
                <w:lang w:val="en-US"/>
              </w:rPr>
            </w:pPr>
            <w:r w:rsidRPr="002A34F0">
              <w:rPr>
                <w:color w:val="000000"/>
                <w:sz w:val="22"/>
                <w:szCs w:val="22"/>
                <w:lang w:val="en"/>
              </w:rPr>
              <w:t> </w:t>
            </w:r>
          </w:p>
        </w:tc>
      </w:tr>
      <w:tr w:rsidR="0064634E" w:rsidRPr="002A34F0" w14:paraId="516035F7" w14:textId="77777777" w:rsidTr="0062304E">
        <w:trPr>
          <w:trHeight w:val="289"/>
        </w:trPr>
        <w:tc>
          <w:tcPr>
            <w:tcW w:w="1692" w:type="dxa"/>
            <w:tcBorders>
              <w:top w:val="nil"/>
              <w:left w:val="single" w:sz="8" w:space="0" w:color="auto"/>
              <w:bottom w:val="nil"/>
              <w:right w:val="nil"/>
            </w:tcBorders>
            <w:shd w:val="clear" w:color="auto" w:fill="auto"/>
            <w:vAlign w:val="center"/>
          </w:tcPr>
          <w:p w14:paraId="1BE7A536" w14:textId="2C869A64" w:rsidR="0064634E" w:rsidRPr="002A34F0" w:rsidRDefault="0064634E" w:rsidP="0064634E">
            <w:pPr>
              <w:rPr>
                <w:i/>
                <w:iCs/>
                <w:color w:val="000000"/>
                <w:sz w:val="22"/>
                <w:szCs w:val="22"/>
                <w:lang w:val="en-US"/>
              </w:rPr>
            </w:pPr>
            <w:r w:rsidRPr="002A34F0">
              <w:rPr>
                <w:i/>
                <w:iCs/>
                <w:color w:val="000000"/>
                <w:sz w:val="22"/>
                <w:szCs w:val="22"/>
                <w:lang w:val="en"/>
              </w:rPr>
              <w:t>Pipe-borne</w:t>
            </w:r>
          </w:p>
        </w:tc>
        <w:tc>
          <w:tcPr>
            <w:tcW w:w="3263" w:type="dxa"/>
            <w:tcBorders>
              <w:top w:val="nil"/>
              <w:left w:val="single" w:sz="4" w:space="0" w:color="auto"/>
              <w:bottom w:val="nil"/>
              <w:right w:val="dashed" w:sz="4" w:space="0" w:color="auto"/>
            </w:tcBorders>
            <w:shd w:val="clear" w:color="auto" w:fill="auto"/>
            <w:vAlign w:val="center"/>
          </w:tcPr>
          <w:p w14:paraId="20B9D499" w14:textId="5D342546" w:rsidR="0064634E" w:rsidRPr="002A34F0" w:rsidRDefault="0064634E" w:rsidP="0064634E">
            <w:pPr>
              <w:rPr>
                <w:color w:val="000000"/>
                <w:sz w:val="22"/>
                <w:szCs w:val="22"/>
                <w:lang w:val="en-US"/>
              </w:rPr>
            </w:pPr>
            <w:r w:rsidRPr="002A34F0">
              <w:rPr>
                <w:color w:val="000000"/>
                <w:sz w:val="22"/>
                <w:szCs w:val="22"/>
                <w:lang w:val="en"/>
              </w:rPr>
              <w:t>Pipe-borne inside dwelling</w:t>
            </w:r>
          </w:p>
        </w:tc>
        <w:tc>
          <w:tcPr>
            <w:tcW w:w="3384" w:type="dxa"/>
            <w:tcBorders>
              <w:top w:val="nil"/>
              <w:left w:val="nil"/>
              <w:bottom w:val="nil"/>
              <w:right w:val="single" w:sz="8" w:space="0" w:color="auto"/>
            </w:tcBorders>
            <w:shd w:val="clear" w:color="auto" w:fill="auto"/>
            <w:vAlign w:val="center"/>
            <w:hideMark/>
          </w:tcPr>
          <w:p w14:paraId="141DAC1B" w14:textId="77777777" w:rsidR="0064634E" w:rsidRPr="002A34F0" w:rsidRDefault="0064634E" w:rsidP="0064634E">
            <w:pPr>
              <w:rPr>
                <w:color w:val="000000"/>
                <w:sz w:val="22"/>
                <w:szCs w:val="22"/>
                <w:lang w:val="en-US"/>
              </w:rPr>
            </w:pPr>
            <w:r w:rsidRPr="002A34F0">
              <w:rPr>
                <w:color w:val="000000"/>
                <w:sz w:val="22"/>
                <w:szCs w:val="22"/>
                <w:lang w:val="en"/>
              </w:rPr>
              <w:t>Dugout/Pond/Lake/Dam/Canal</w:t>
            </w:r>
          </w:p>
        </w:tc>
      </w:tr>
      <w:tr w:rsidR="0064634E" w:rsidRPr="002A34F0" w14:paraId="6023CEF2" w14:textId="77777777" w:rsidTr="00F3074F">
        <w:trPr>
          <w:trHeight w:val="289"/>
        </w:trPr>
        <w:tc>
          <w:tcPr>
            <w:tcW w:w="1692" w:type="dxa"/>
            <w:tcBorders>
              <w:top w:val="nil"/>
              <w:left w:val="single" w:sz="8" w:space="0" w:color="auto"/>
              <w:bottom w:val="nil"/>
              <w:right w:val="nil"/>
            </w:tcBorders>
            <w:shd w:val="clear" w:color="auto" w:fill="auto"/>
            <w:vAlign w:val="center"/>
          </w:tcPr>
          <w:p w14:paraId="20419CA4" w14:textId="77777777" w:rsidR="0064634E" w:rsidRPr="002A34F0" w:rsidRDefault="0064634E" w:rsidP="0064634E">
            <w:pPr>
              <w:rPr>
                <w:i/>
                <w:iCs/>
                <w:color w:val="000000"/>
                <w:sz w:val="22"/>
                <w:szCs w:val="22"/>
                <w:lang w:val="en"/>
              </w:rPr>
            </w:pPr>
          </w:p>
        </w:tc>
        <w:tc>
          <w:tcPr>
            <w:tcW w:w="3263" w:type="dxa"/>
            <w:tcBorders>
              <w:top w:val="nil"/>
              <w:left w:val="single" w:sz="4" w:space="0" w:color="auto"/>
              <w:bottom w:val="nil"/>
              <w:right w:val="dashed" w:sz="4" w:space="0" w:color="auto"/>
            </w:tcBorders>
            <w:shd w:val="clear" w:color="auto" w:fill="auto"/>
            <w:vAlign w:val="center"/>
          </w:tcPr>
          <w:p w14:paraId="1022FB39" w14:textId="23D0A323" w:rsidR="0064634E" w:rsidRPr="002A34F0" w:rsidRDefault="0064634E" w:rsidP="0064634E">
            <w:pPr>
              <w:rPr>
                <w:i/>
                <w:iCs/>
                <w:color w:val="000000"/>
                <w:sz w:val="22"/>
                <w:szCs w:val="22"/>
                <w:lang w:val="en"/>
              </w:rPr>
            </w:pPr>
            <w:r w:rsidRPr="002A34F0">
              <w:rPr>
                <w:color w:val="000000"/>
                <w:sz w:val="22"/>
                <w:szCs w:val="22"/>
                <w:lang w:val="en"/>
              </w:rPr>
              <w:t>Pipe-borne outside dwelling</w:t>
            </w:r>
          </w:p>
        </w:tc>
        <w:tc>
          <w:tcPr>
            <w:tcW w:w="3384" w:type="dxa"/>
            <w:tcBorders>
              <w:top w:val="nil"/>
              <w:left w:val="nil"/>
              <w:bottom w:val="nil"/>
              <w:right w:val="single" w:sz="8" w:space="0" w:color="auto"/>
            </w:tcBorders>
            <w:shd w:val="clear" w:color="auto" w:fill="auto"/>
            <w:vAlign w:val="center"/>
          </w:tcPr>
          <w:p w14:paraId="290C83AA" w14:textId="7AF97E53" w:rsidR="0064634E" w:rsidRPr="002A34F0" w:rsidRDefault="0064634E" w:rsidP="0064634E">
            <w:pPr>
              <w:rPr>
                <w:color w:val="000000"/>
                <w:sz w:val="22"/>
                <w:szCs w:val="22"/>
                <w:lang w:val="en"/>
              </w:rPr>
            </w:pPr>
            <w:r w:rsidRPr="002A34F0">
              <w:rPr>
                <w:color w:val="000000"/>
                <w:sz w:val="22"/>
                <w:szCs w:val="22"/>
                <w:lang w:val="en"/>
              </w:rPr>
              <w:t>Other</w:t>
            </w:r>
          </w:p>
        </w:tc>
      </w:tr>
      <w:tr w:rsidR="0064634E" w:rsidRPr="002A34F0" w14:paraId="3D89BEB3" w14:textId="77777777" w:rsidTr="00F3074F">
        <w:trPr>
          <w:trHeight w:val="289"/>
        </w:trPr>
        <w:tc>
          <w:tcPr>
            <w:tcW w:w="1692" w:type="dxa"/>
            <w:tcBorders>
              <w:top w:val="nil"/>
              <w:left w:val="single" w:sz="8" w:space="0" w:color="auto"/>
              <w:bottom w:val="nil"/>
              <w:right w:val="nil"/>
            </w:tcBorders>
            <w:shd w:val="clear" w:color="auto" w:fill="auto"/>
            <w:vAlign w:val="center"/>
          </w:tcPr>
          <w:p w14:paraId="79380001" w14:textId="3C587563" w:rsidR="0064634E" w:rsidRPr="002A34F0" w:rsidRDefault="0064634E" w:rsidP="0064634E">
            <w:pPr>
              <w:rPr>
                <w:i/>
                <w:iCs/>
                <w:color w:val="000000"/>
                <w:sz w:val="22"/>
                <w:szCs w:val="22"/>
                <w:lang w:val="en"/>
              </w:rPr>
            </w:pPr>
            <w:r w:rsidRPr="002A34F0">
              <w:rPr>
                <w:i/>
                <w:iCs/>
                <w:color w:val="000000"/>
                <w:sz w:val="22"/>
                <w:szCs w:val="22"/>
                <w:lang w:val="en"/>
              </w:rPr>
              <w:t>Vendor</w:t>
            </w:r>
          </w:p>
        </w:tc>
        <w:tc>
          <w:tcPr>
            <w:tcW w:w="3263" w:type="dxa"/>
            <w:tcBorders>
              <w:top w:val="nil"/>
              <w:left w:val="single" w:sz="4" w:space="0" w:color="auto"/>
              <w:bottom w:val="nil"/>
              <w:right w:val="dashed" w:sz="4" w:space="0" w:color="auto"/>
            </w:tcBorders>
            <w:shd w:val="clear" w:color="auto" w:fill="auto"/>
            <w:vAlign w:val="center"/>
          </w:tcPr>
          <w:p w14:paraId="74651135" w14:textId="1894DA46" w:rsidR="0064634E" w:rsidRPr="002A34F0" w:rsidRDefault="0064634E" w:rsidP="0064634E">
            <w:pPr>
              <w:rPr>
                <w:color w:val="000000"/>
                <w:sz w:val="22"/>
                <w:szCs w:val="22"/>
                <w:lang w:val="en"/>
              </w:rPr>
            </w:pPr>
            <w:r w:rsidRPr="002A34F0">
              <w:rPr>
                <w:color w:val="000000"/>
                <w:sz w:val="22"/>
                <w:szCs w:val="22"/>
                <w:lang w:val="en"/>
              </w:rPr>
              <w:t>Bottled water</w:t>
            </w:r>
          </w:p>
        </w:tc>
        <w:tc>
          <w:tcPr>
            <w:tcW w:w="3384" w:type="dxa"/>
            <w:tcBorders>
              <w:top w:val="nil"/>
              <w:left w:val="nil"/>
              <w:bottom w:val="nil"/>
              <w:right w:val="single" w:sz="8" w:space="0" w:color="auto"/>
            </w:tcBorders>
            <w:shd w:val="clear" w:color="auto" w:fill="auto"/>
            <w:vAlign w:val="center"/>
          </w:tcPr>
          <w:p w14:paraId="64521F5A" w14:textId="507038FA" w:rsidR="0064634E" w:rsidRPr="002A34F0" w:rsidRDefault="0064634E" w:rsidP="0064634E">
            <w:pPr>
              <w:rPr>
                <w:color w:val="000000"/>
                <w:sz w:val="22"/>
                <w:szCs w:val="22"/>
                <w:lang w:val="en"/>
              </w:rPr>
            </w:pPr>
            <w:r w:rsidRPr="002A34F0">
              <w:rPr>
                <w:color w:val="000000"/>
                <w:sz w:val="22"/>
                <w:szCs w:val="22"/>
                <w:lang w:val="en"/>
              </w:rPr>
              <w:t>Rainwater</w:t>
            </w:r>
          </w:p>
        </w:tc>
      </w:tr>
      <w:tr w:rsidR="0064634E" w:rsidRPr="002A34F0" w14:paraId="409236FE" w14:textId="77777777" w:rsidTr="00F3074F">
        <w:trPr>
          <w:trHeight w:val="289"/>
        </w:trPr>
        <w:tc>
          <w:tcPr>
            <w:tcW w:w="1692" w:type="dxa"/>
            <w:tcBorders>
              <w:top w:val="nil"/>
              <w:left w:val="single" w:sz="8" w:space="0" w:color="auto"/>
              <w:bottom w:val="nil"/>
              <w:right w:val="nil"/>
            </w:tcBorders>
            <w:shd w:val="clear" w:color="auto" w:fill="auto"/>
            <w:vAlign w:val="center"/>
          </w:tcPr>
          <w:p w14:paraId="4B358AF9" w14:textId="37913619" w:rsidR="0064634E" w:rsidRPr="002A34F0" w:rsidRDefault="0064634E" w:rsidP="0064634E">
            <w:pPr>
              <w:rPr>
                <w:i/>
                <w:iCs/>
                <w:color w:val="000000"/>
                <w:sz w:val="22"/>
                <w:szCs w:val="22"/>
                <w:lang w:val="en"/>
              </w:rPr>
            </w:pPr>
          </w:p>
        </w:tc>
        <w:tc>
          <w:tcPr>
            <w:tcW w:w="3263" w:type="dxa"/>
            <w:tcBorders>
              <w:top w:val="nil"/>
              <w:left w:val="single" w:sz="4" w:space="0" w:color="auto"/>
              <w:bottom w:val="nil"/>
              <w:right w:val="dashed" w:sz="4" w:space="0" w:color="auto"/>
            </w:tcBorders>
            <w:shd w:val="clear" w:color="auto" w:fill="auto"/>
            <w:vAlign w:val="center"/>
          </w:tcPr>
          <w:p w14:paraId="60213E48" w14:textId="21867EA2" w:rsidR="0064634E" w:rsidRPr="002A34F0" w:rsidRDefault="0064634E" w:rsidP="0064634E">
            <w:pPr>
              <w:rPr>
                <w:color w:val="000000"/>
                <w:sz w:val="22"/>
                <w:szCs w:val="22"/>
                <w:lang w:val="en"/>
              </w:rPr>
            </w:pPr>
            <w:r w:rsidRPr="002A34F0">
              <w:rPr>
                <w:color w:val="000000"/>
                <w:sz w:val="22"/>
                <w:szCs w:val="22"/>
                <w:lang w:val="en"/>
              </w:rPr>
              <w:t>Sachet water</w:t>
            </w:r>
          </w:p>
        </w:tc>
        <w:tc>
          <w:tcPr>
            <w:tcW w:w="3384" w:type="dxa"/>
            <w:tcBorders>
              <w:top w:val="nil"/>
              <w:left w:val="nil"/>
              <w:bottom w:val="nil"/>
              <w:right w:val="single" w:sz="8" w:space="0" w:color="auto"/>
            </w:tcBorders>
            <w:shd w:val="clear" w:color="auto" w:fill="auto"/>
            <w:vAlign w:val="center"/>
          </w:tcPr>
          <w:p w14:paraId="765F4976" w14:textId="7C46AE5A" w:rsidR="0064634E" w:rsidRPr="002A34F0" w:rsidRDefault="0064634E" w:rsidP="0064634E">
            <w:pPr>
              <w:rPr>
                <w:color w:val="000000"/>
                <w:sz w:val="22"/>
                <w:szCs w:val="22"/>
                <w:lang w:val="en"/>
              </w:rPr>
            </w:pPr>
            <w:r w:rsidRPr="002A34F0">
              <w:rPr>
                <w:color w:val="000000"/>
                <w:sz w:val="22"/>
                <w:szCs w:val="22"/>
                <w:lang w:val="en"/>
              </w:rPr>
              <w:t>River/Stream</w:t>
            </w:r>
          </w:p>
        </w:tc>
      </w:tr>
      <w:tr w:rsidR="0064634E" w:rsidRPr="002A34F0" w14:paraId="4B411902" w14:textId="77777777" w:rsidTr="00F3074F">
        <w:trPr>
          <w:trHeight w:val="289"/>
        </w:trPr>
        <w:tc>
          <w:tcPr>
            <w:tcW w:w="1692" w:type="dxa"/>
            <w:tcBorders>
              <w:top w:val="nil"/>
              <w:left w:val="single" w:sz="8" w:space="0" w:color="auto"/>
              <w:bottom w:val="nil"/>
              <w:right w:val="nil"/>
            </w:tcBorders>
            <w:shd w:val="clear" w:color="auto" w:fill="auto"/>
            <w:vAlign w:val="center"/>
          </w:tcPr>
          <w:p w14:paraId="5CB39189" w14:textId="71E664B9" w:rsidR="0064634E" w:rsidRPr="002A34F0" w:rsidRDefault="0064634E" w:rsidP="0064634E">
            <w:pPr>
              <w:rPr>
                <w:i/>
                <w:iCs/>
                <w:color w:val="000000"/>
                <w:sz w:val="22"/>
                <w:szCs w:val="22"/>
                <w:lang w:val="en"/>
              </w:rPr>
            </w:pPr>
            <w:r w:rsidRPr="002A34F0">
              <w:rPr>
                <w:i/>
                <w:iCs/>
                <w:color w:val="000000"/>
                <w:sz w:val="22"/>
                <w:szCs w:val="22"/>
                <w:lang w:val="en"/>
              </w:rPr>
              <w:t>Other</w:t>
            </w:r>
          </w:p>
        </w:tc>
        <w:tc>
          <w:tcPr>
            <w:tcW w:w="3263" w:type="dxa"/>
            <w:tcBorders>
              <w:top w:val="nil"/>
              <w:left w:val="single" w:sz="4" w:space="0" w:color="auto"/>
              <w:bottom w:val="nil"/>
              <w:right w:val="dashed" w:sz="4" w:space="0" w:color="auto"/>
            </w:tcBorders>
            <w:shd w:val="clear" w:color="auto" w:fill="auto"/>
            <w:vAlign w:val="center"/>
          </w:tcPr>
          <w:p w14:paraId="6FE30AC9" w14:textId="12A4D655" w:rsidR="0064634E" w:rsidRPr="002A34F0" w:rsidRDefault="0064634E" w:rsidP="0064634E">
            <w:pPr>
              <w:rPr>
                <w:color w:val="000000"/>
                <w:sz w:val="22"/>
                <w:szCs w:val="22"/>
                <w:lang w:val="en"/>
              </w:rPr>
            </w:pPr>
            <w:r w:rsidRPr="002A34F0">
              <w:rPr>
                <w:color w:val="000000"/>
                <w:sz w:val="22"/>
                <w:szCs w:val="22"/>
                <w:lang w:val="en"/>
              </w:rPr>
              <w:t>Bore-hole/Pump/Tube well</w:t>
            </w:r>
          </w:p>
        </w:tc>
        <w:tc>
          <w:tcPr>
            <w:tcW w:w="3384" w:type="dxa"/>
            <w:tcBorders>
              <w:top w:val="nil"/>
              <w:left w:val="nil"/>
              <w:bottom w:val="nil"/>
              <w:right w:val="single" w:sz="8" w:space="0" w:color="auto"/>
            </w:tcBorders>
            <w:shd w:val="clear" w:color="auto" w:fill="auto"/>
            <w:vAlign w:val="center"/>
          </w:tcPr>
          <w:p w14:paraId="7421AEF0" w14:textId="3E9BA33D" w:rsidR="0064634E" w:rsidRPr="002A34F0" w:rsidRDefault="0064634E" w:rsidP="0064634E">
            <w:pPr>
              <w:rPr>
                <w:color w:val="000000"/>
                <w:sz w:val="22"/>
                <w:szCs w:val="22"/>
                <w:lang w:val="en"/>
              </w:rPr>
            </w:pPr>
            <w:r w:rsidRPr="002A34F0">
              <w:rPr>
                <w:color w:val="000000"/>
                <w:sz w:val="22"/>
                <w:szCs w:val="22"/>
                <w:lang w:val="en"/>
              </w:rPr>
              <w:t>Tanker supply/Vendor provided</w:t>
            </w:r>
          </w:p>
        </w:tc>
      </w:tr>
      <w:tr w:rsidR="0064634E" w:rsidRPr="002A34F0" w14:paraId="4EC3E049" w14:textId="77777777" w:rsidTr="00F3074F">
        <w:trPr>
          <w:trHeight w:val="289"/>
        </w:trPr>
        <w:tc>
          <w:tcPr>
            <w:tcW w:w="1692" w:type="dxa"/>
            <w:tcBorders>
              <w:top w:val="nil"/>
              <w:left w:val="single" w:sz="8" w:space="0" w:color="auto"/>
              <w:bottom w:val="nil"/>
              <w:right w:val="nil"/>
            </w:tcBorders>
            <w:shd w:val="clear" w:color="auto" w:fill="auto"/>
            <w:vAlign w:val="center"/>
          </w:tcPr>
          <w:p w14:paraId="3197693E" w14:textId="77777777" w:rsidR="0064634E" w:rsidRPr="002A34F0" w:rsidRDefault="0064634E" w:rsidP="0064634E">
            <w:pPr>
              <w:rPr>
                <w:i/>
                <w:iCs/>
                <w:color w:val="000000"/>
                <w:sz w:val="22"/>
                <w:szCs w:val="22"/>
                <w:lang w:val="en"/>
              </w:rPr>
            </w:pPr>
          </w:p>
        </w:tc>
        <w:tc>
          <w:tcPr>
            <w:tcW w:w="3263" w:type="dxa"/>
            <w:tcBorders>
              <w:top w:val="nil"/>
              <w:left w:val="single" w:sz="4" w:space="0" w:color="auto"/>
              <w:bottom w:val="nil"/>
              <w:right w:val="dashed" w:sz="4" w:space="0" w:color="auto"/>
            </w:tcBorders>
            <w:shd w:val="clear" w:color="auto" w:fill="auto"/>
            <w:vAlign w:val="center"/>
          </w:tcPr>
          <w:p w14:paraId="18AD2AF2" w14:textId="58BF3D57" w:rsidR="0064634E" w:rsidRPr="002A34F0" w:rsidRDefault="0064634E" w:rsidP="0064634E">
            <w:pPr>
              <w:rPr>
                <w:i/>
                <w:iCs/>
                <w:color w:val="000000"/>
                <w:sz w:val="22"/>
                <w:szCs w:val="22"/>
                <w:lang w:val="en"/>
              </w:rPr>
            </w:pPr>
            <w:r w:rsidRPr="002A34F0">
              <w:rPr>
                <w:color w:val="000000"/>
                <w:sz w:val="22"/>
                <w:szCs w:val="22"/>
                <w:lang w:val="en"/>
              </w:rPr>
              <w:t>Protected spring</w:t>
            </w:r>
          </w:p>
        </w:tc>
        <w:tc>
          <w:tcPr>
            <w:tcW w:w="3384" w:type="dxa"/>
            <w:tcBorders>
              <w:top w:val="nil"/>
              <w:left w:val="nil"/>
              <w:bottom w:val="nil"/>
              <w:right w:val="single" w:sz="8" w:space="0" w:color="auto"/>
            </w:tcBorders>
            <w:shd w:val="clear" w:color="auto" w:fill="auto"/>
            <w:vAlign w:val="center"/>
          </w:tcPr>
          <w:p w14:paraId="46553AF7" w14:textId="73D22E67" w:rsidR="0064634E" w:rsidRPr="002A34F0" w:rsidRDefault="0064634E" w:rsidP="0064634E">
            <w:pPr>
              <w:rPr>
                <w:color w:val="000000"/>
                <w:sz w:val="22"/>
                <w:szCs w:val="22"/>
                <w:lang w:val="en"/>
              </w:rPr>
            </w:pPr>
            <w:r w:rsidRPr="002A34F0">
              <w:rPr>
                <w:color w:val="000000"/>
                <w:sz w:val="22"/>
                <w:szCs w:val="22"/>
                <w:lang w:val="en"/>
              </w:rPr>
              <w:t>Unprotected spring</w:t>
            </w:r>
          </w:p>
        </w:tc>
      </w:tr>
      <w:tr w:rsidR="0064634E" w:rsidRPr="002A34F0" w14:paraId="56C918D6"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73031A5F" w14:textId="77777777" w:rsidR="0064634E" w:rsidRPr="002A34F0" w:rsidRDefault="0064634E" w:rsidP="0064634E">
            <w:pPr>
              <w:rPr>
                <w:color w:val="000000"/>
                <w:sz w:val="22"/>
                <w:szCs w:val="22"/>
                <w:lang w:val="en-US"/>
              </w:rPr>
            </w:pPr>
            <w:r w:rsidRPr="002A34F0">
              <w:rPr>
                <w:color w:val="000000"/>
                <w:sz w:val="22"/>
                <w:szCs w:val="22"/>
                <w:lang w:val="en"/>
              </w:rPr>
              <w:t> </w:t>
            </w:r>
          </w:p>
        </w:tc>
        <w:tc>
          <w:tcPr>
            <w:tcW w:w="3263" w:type="dxa"/>
            <w:tcBorders>
              <w:top w:val="nil"/>
              <w:left w:val="single" w:sz="4" w:space="0" w:color="auto"/>
              <w:bottom w:val="nil"/>
              <w:right w:val="dashed" w:sz="4" w:space="0" w:color="auto"/>
            </w:tcBorders>
            <w:shd w:val="clear" w:color="auto" w:fill="auto"/>
            <w:vAlign w:val="center"/>
          </w:tcPr>
          <w:p w14:paraId="59179FF4" w14:textId="3BA110DE" w:rsidR="0064634E" w:rsidRPr="002A34F0" w:rsidRDefault="0064634E" w:rsidP="0064634E">
            <w:pPr>
              <w:rPr>
                <w:i/>
                <w:iCs/>
                <w:color w:val="000000"/>
                <w:sz w:val="22"/>
                <w:szCs w:val="22"/>
                <w:lang w:val="en-US"/>
              </w:rPr>
            </w:pPr>
            <w:r w:rsidRPr="002A34F0">
              <w:rPr>
                <w:color w:val="000000"/>
                <w:sz w:val="22"/>
                <w:szCs w:val="22"/>
                <w:lang w:val="en"/>
              </w:rPr>
              <w:t>Protected well</w:t>
            </w:r>
          </w:p>
        </w:tc>
        <w:tc>
          <w:tcPr>
            <w:tcW w:w="3384" w:type="dxa"/>
            <w:tcBorders>
              <w:top w:val="nil"/>
              <w:left w:val="nil"/>
              <w:bottom w:val="nil"/>
              <w:right w:val="single" w:sz="8" w:space="0" w:color="auto"/>
            </w:tcBorders>
            <w:shd w:val="clear" w:color="auto" w:fill="auto"/>
            <w:vAlign w:val="center"/>
          </w:tcPr>
          <w:p w14:paraId="7A602DC7" w14:textId="29916716" w:rsidR="0064634E" w:rsidRPr="002A34F0" w:rsidRDefault="0064634E" w:rsidP="0064634E">
            <w:pPr>
              <w:rPr>
                <w:color w:val="000000"/>
                <w:sz w:val="22"/>
                <w:szCs w:val="22"/>
                <w:lang w:val="en-US"/>
              </w:rPr>
            </w:pPr>
            <w:r w:rsidRPr="002A34F0">
              <w:rPr>
                <w:color w:val="000000"/>
                <w:sz w:val="22"/>
                <w:szCs w:val="22"/>
                <w:lang w:val="en"/>
              </w:rPr>
              <w:t>Unprotected well</w:t>
            </w:r>
          </w:p>
        </w:tc>
      </w:tr>
      <w:tr w:rsidR="0064634E" w:rsidRPr="002A34F0" w14:paraId="169DCFA7"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7BCAB928" w14:textId="77777777" w:rsidR="0064634E" w:rsidRPr="002A34F0" w:rsidRDefault="0064634E" w:rsidP="0064634E">
            <w:pPr>
              <w:rPr>
                <w:color w:val="000000"/>
                <w:sz w:val="22"/>
                <w:szCs w:val="22"/>
                <w:lang w:val="en-US"/>
              </w:rPr>
            </w:pPr>
            <w:r w:rsidRPr="002A34F0">
              <w:rPr>
                <w:color w:val="000000"/>
                <w:sz w:val="22"/>
                <w:szCs w:val="22"/>
                <w:lang w:val="en"/>
              </w:rPr>
              <w:t> </w:t>
            </w:r>
          </w:p>
        </w:tc>
        <w:tc>
          <w:tcPr>
            <w:tcW w:w="3263" w:type="dxa"/>
            <w:tcBorders>
              <w:top w:val="nil"/>
              <w:left w:val="single" w:sz="4" w:space="0" w:color="auto"/>
              <w:bottom w:val="nil"/>
              <w:right w:val="dashed" w:sz="4" w:space="0" w:color="auto"/>
            </w:tcBorders>
            <w:shd w:val="clear" w:color="auto" w:fill="auto"/>
            <w:vAlign w:val="center"/>
          </w:tcPr>
          <w:p w14:paraId="2B2E378E" w14:textId="3064E10D" w:rsidR="0064634E" w:rsidRPr="002A34F0" w:rsidRDefault="0064634E" w:rsidP="0064634E">
            <w:pPr>
              <w:rPr>
                <w:color w:val="000000"/>
                <w:sz w:val="22"/>
                <w:szCs w:val="22"/>
                <w:lang w:val="en-US"/>
              </w:rPr>
            </w:pPr>
            <w:r w:rsidRPr="002A34F0">
              <w:rPr>
                <w:color w:val="000000"/>
                <w:sz w:val="22"/>
                <w:szCs w:val="22"/>
                <w:lang w:val="en"/>
              </w:rPr>
              <w:t>Public tap/Standpipe</w:t>
            </w:r>
          </w:p>
        </w:tc>
        <w:tc>
          <w:tcPr>
            <w:tcW w:w="3384" w:type="dxa"/>
            <w:tcBorders>
              <w:top w:val="nil"/>
              <w:left w:val="nil"/>
              <w:bottom w:val="nil"/>
              <w:right w:val="single" w:sz="8" w:space="0" w:color="auto"/>
            </w:tcBorders>
            <w:shd w:val="clear" w:color="auto" w:fill="auto"/>
            <w:vAlign w:val="center"/>
          </w:tcPr>
          <w:p w14:paraId="27161E86" w14:textId="6C5A2211" w:rsidR="0064634E" w:rsidRPr="002A34F0" w:rsidRDefault="0064634E" w:rsidP="0064634E">
            <w:pPr>
              <w:rPr>
                <w:color w:val="000000"/>
                <w:sz w:val="22"/>
                <w:szCs w:val="22"/>
                <w:lang w:val="en-US"/>
              </w:rPr>
            </w:pPr>
          </w:p>
        </w:tc>
      </w:tr>
      <w:tr w:rsidR="0064634E" w:rsidRPr="002A34F0" w14:paraId="5FF07213"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2D539340" w14:textId="693ECAE0" w:rsidR="0064634E" w:rsidRPr="002A34F0" w:rsidRDefault="0064634E" w:rsidP="0064634E">
            <w:pPr>
              <w:rPr>
                <w:color w:val="000000"/>
                <w:sz w:val="22"/>
                <w:szCs w:val="22"/>
                <w:lang w:val="en-US"/>
              </w:rPr>
            </w:pPr>
            <w:r w:rsidRPr="002A34F0">
              <w:rPr>
                <w:color w:val="000000"/>
                <w:sz w:val="22"/>
                <w:szCs w:val="22"/>
                <w:lang w:val="en"/>
              </w:rPr>
              <w:t>ICT</w:t>
            </w:r>
          </w:p>
        </w:tc>
        <w:tc>
          <w:tcPr>
            <w:tcW w:w="3263" w:type="dxa"/>
            <w:tcBorders>
              <w:top w:val="nil"/>
              <w:left w:val="single" w:sz="4" w:space="0" w:color="auto"/>
              <w:bottom w:val="nil"/>
              <w:right w:val="dashed" w:sz="4" w:space="0" w:color="auto"/>
            </w:tcBorders>
            <w:shd w:val="clear" w:color="auto" w:fill="auto"/>
            <w:vAlign w:val="center"/>
          </w:tcPr>
          <w:p w14:paraId="7A44C37B" w14:textId="3DFDF8AB" w:rsidR="0064634E" w:rsidRPr="002A34F0" w:rsidRDefault="0064634E" w:rsidP="0064634E">
            <w:pPr>
              <w:rPr>
                <w:color w:val="000000"/>
                <w:sz w:val="22"/>
                <w:szCs w:val="22"/>
                <w:lang w:val="en-US"/>
              </w:rPr>
            </w:pPr>
            <w:r w:rsidRPr="002A34F0">
              <w:rPr>
                <w:color w:val="000000"/>
                <w:sz w:val="22"/>
                <w:szCs w:val="22"/>
                <w:lang w:val="en"/>
              </w:rPr>
              <w:t xml:space="preserve"> </w:t>
            </w:r>
          </w:p>
        </w:tc>
        <w:tc>
          <w:tcPr>
            <w:tcW w:w="3384" w:type="dxa"/>
            <w:tcBorders>
              <w:top w:val="nil"/>
              <w:left w:val="nil"/>
              <w:bottom w:val="nil"/>
              <w:right w:val="single" w:sz="8" w:space="0" w:color="auto"/>
            </w:tcBorders>
            <w:shd w:val="clear" w:color="auto" w:fill="auto"/>
            <w:vAlign w:val="center"/>
          </w:tcPr>
          <w:p w14:paraId="3B0C3F98" w14:textId="53397F87" w:rsidR="0064634E" w:rsidRPr="002A34F0" w:rsidRDefault="0064634E" w:rsidP="0064634E">
            <w:pPr>
              <w:rPr>
                <w:color w:val="000000"/>
                <w:sz w:val="22"/>
                <w:szCs w:val="22"/>
                <w:lang w:val="en-US"/>
              </w:rPr>
            </w:pPr>
            <w:r w:rsidRPr="002A34F0">
              <w:rPr>
                <w:color w:val="000000"/>
                <w:sz w:val="22"/>
                <w:szCs w:val="22"/>
                <w:lang w:val="en"/>
              </w:rPr>
              <w:t xml:space="preserve"> </w:t>
            </w:r>
          </w:p>
        </w:tc>
      </w:tr>
      <w:tr w:rsidR="0064634E" w:rsidRPr="002A34F0" w14:paraId="73683F62"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26552429" w14:textId="23F0DA33" w:rsidR="0064634E" w:rsidRPr="002A34F0" w:rsidRDefault="0064634E" w:rsidP="0064634E">
            <w:pPr>
              <w:rPr>
                <w:color w:val="000000"/>
                <w:sz w:val="22"/>
                <w:szCs w:val="22"/>
                <w:lang w:val="en-US"/>
              </w:rPr>
            </w:pPr>
            <w:r w:rsidRPr="002A34F0">
              <w:rPr>
                <w:i/>
                <w:iCs/>
                <w:color w:val="000000"/>
                <w:sz w:val="22"/>
                <w:szCs w:val="22"/>
                <w:lang w:val="en"/>
              </w:rPr>
              <w:t>Mobile Phone</w:t>
            </w:r>
          </w:p>
        </w:tc>
        <w:tc>
          <w:tcPr>
            <w:tcW w:w="3263" w:type="dxa"/>
            <w:tcBorders>
              <w:top w:val="nil"/>
              <w:left w:val="single" w:sz="4" w:space="0" w:color="auto"/>
              <w:bottom w:val="nil"/>
              <w:right w:val="dashed" w:sz="4" w:space="0" w:color="auto"/>
            </w:tcBorders>
            <w:shd w:val="clear" w:color="auto" w:fill="auto"/>
            <w:vAlign w:val="center"/>
            <w:hideMark/>
          </w:tcPr>
          <w:p w14:paraId="2B5909E5" w14:textId="1AC23387" w:rsidR="0064634E" w:rsidRPr="002A34F0" w:rsidRDefault="0064634E" w:rsidP="0064634E">
            <w:pPr>
              <w:rPr>
                <w:color w:val="000000"/>
                <w:sz w:val="22"/>
                <w:szCs w:val="22"/>
                <w:lang w:val="en-US"/>
              </w:rPr>
            </w:pPr>
            <w:r w:rsidRPr="002A34F0">
              <w:rPr>
                <w:color w:val="000000"/>
                <w:sz w:val="22"/>
                <w:szCs w:val="22"/>
                <w:lang w:val="en"/>
              </w:rPr>
              <w:t>Owns mobile phone</w:t>
            </w:r>
          </w:p>
        </w:tc>
        <w:tc>
          <w:tcPr>
            <w:tcW w:w="3384" w:type="dxa"/>
            <w:tcBorders>
              <w:top w:val="nil"/>
              <w:left w:val="nil"/>
              <w:bottom w:val="nil"/>
              <w:right w:val="single" w:sz="8" w:space="0" w:color="auto"/>
            </w:tcBorders>
            <w:shd w:val="clear" w:color="auto" w:fill="auto"/>
            <w:vAlign w:val="center"/>
            <w:hideMark/>
          </w:tcPr>
          <w:p w14:paraId="11DD573B" w14:textId="02D69B5A" w:rsidR="0064634E" w:rsidRPr="002A34F0" w:rsidRDefault="0064634E" w:rsidP="0064634E">
            <w:pPr>
              <w:rPr>
                <w:color w:val="000000"/>
                <w:sz w:val="22"/>
                <w:szCs w:val="22"/>
                <w:lang w:val="en-US"/>
              </w:rPr>
            </w:pPr>
            <w:r w:rsidRPr="002A34F0">
              <w:rPr>
                <w:color w:val="000000"/>
                <w:sz w:val="22"/>
                <w:szCs w:val="22"/>
                <w:lang w:val="en"/>
              </w:rPr>
              <w:t>Does not own mobile phone</w:t>
            </w:r>
          </w:p>
        </w:tc>
      </w:tr>
      <w:tr w:rsidR="0064634E" w:rsidRPr="002A34F0" w14:paraId="7366E9A9"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0154815A" w14:textId="6E290A7F" w:rsidR="0064634E" w:rsidRPr="002A34F0" w:rsidRDefault="0064634E" w:rsidP="0064634E">
            <w:pPr>
              <w:rPr>
                <w:color w:val="000000"/>
                <w:sz w:val="22"/>
                <w:szCs w:val="22"/>
                <w:lang w:val="en-US"/>
              </w:rPr>
            </w:pPr>
            <w:r w:rsidRPr="002A34F0">
              <w:rPr>
                <w:i/>
                <w:iCs/>
                <w:color w:val="000000"/>
                <w:sz w:val="22"/>
                <w:szCs w:val="22"/>
                <w:lang w:val="en"/>
              </w:rPr>
              <w:t>Internet Access</w:t>
            </w:r>
          </w:p>
        </w:tc>
        <w:tc>
          <w:tcPr>
            <w:tcW w:w="3263" w:type="dxa"/>
            <w:tcBorders>
              <w:top w:val="nil"/>
              <w:left w:val="single" w:sz="4" w:space="0" w:color="auto"/>
              <w:bottom w:val="nil"/>
              <w:right w:val="dashed" w:sz="4" w:space="0" w:color="auto"/>
            </w:tcBorders>
            <w:shd w:val="clear" w:color="auto" w:fill="auto"/>
            <w:vAlign w:val="center"/>
            <w:hideMark/>
          </w:tcPr>
          <w:p w14:paraId="21F2F8CB" w14:textId="6B030B05" w:rsidR="0064634E" w:rsidRPr="002A34F0" w:rsidRDefault="0064634E" w:rsidP="0064634E">
            <w:pPr>
              <w:rPr>
                <w:color w:val="000000"/>
                <w:sz w:val="22"/>
                <w:szCs w:val="22"/>
                <w:lang w:val="en-US"/>
              </w:rPr>
            </w:pPr>
            <w:r w:rsidRPr="002A34F0">
              <w:rPr>
                <w:color w:val="000000"/>
                <w:sz w:val="22"/>
                <w:szCs w:val="22"/>
                <w:lang w:val="en"/>
              </w:rPr>
              <w:t>Accesses the internet</w:t>
            </w:r>
          </w:p>
        </w:tc>
        <w:tc>
          <w:tcPr>
            <w:tcW w:w="3384" w:type="dxa"/>
            <w:tcBorders>
              <w:top w:val="nil"/>
              <w:left w:val="nil"/>
              <w:bottom w:val="nil"/>
              <w:right w:val="single" w:sz="8" w:space="0" w:color="auto"/>
            </w:tcBorders>
            <w:shd w:val="clear" w:color="auto" w:fill="auto"/>
            <w:vAlign w:val="center"/>
            <w:hideMark/>
          </w:tcPr>
          <w:p w14:paraId="013F45D7" w14:textId="62C9FB7C" w:rsidR="0064634E" w:rsidRPr="002A34F0" w:rsidRDefault="0064634E" w:rsidP="0064634E">
            <w:pPr>
              <w:rPr>
                <w:color w:val="000000"/>
                <w:sz w:val="22"/>
                <w:szCs w:val="22"/>
                <w:lang w:val="en-US"/>
              </w:rPr>
            </w:pPr>
            <w:r w:rsidRPr="002A34F0">
              <w:rPr>
                <w:color w:val="000000"/>
                <w:sz w:val="22"/>
                <w:szCs w:val="22"/>
                <w:lang w:val="en"/>
              </w:rPr>
              <w:t>Does not access the internet</w:t>
            </w:r>
          </w:p>
        </w:tc>
      </w:tr>
      <w:tr w:rsidR="0064634E" w:rsidRPr="002A34F0" w14:paraId="2002F2C8" w14:textId="77777777" w:rsidTr="00F3074F">
        <w:trPr>
          <w:trHeight w:val="289"/>
        </w:trPr>
        <w:tc>
          <w:tcPr>
            <w:tcW w:w="1692" w:type="dxa"/>
            <w:tcBorders>
              <w:top w:val="nil"/>
              <w:left w:val="single" w:sz="8" w:space="0" w:color="auto"/>
              <w:bottom w:val="nil"/>
              <w:right w:val="nil"/>
            </w:tcBorders>
            <w:shd w:val="clear" w:color="auto" w:fill="auto"/>
            <w:vAlign w:val="center"/>
            <w:hideMark/>
          </w:tcPr>
          <w:p w14:paraId="4E1EE275" w14:textId="13D2968B" w:rsidR="0064634E" w:rsidRPr="002A34F0" w:rsidRDefault="0064634E" w:rsidP="0064634E">
            <w:pPr>
              <w:rPr>
                <w:i/>
                <w:iCs/>
                <w:color w:val="000000"/>
                <w:sz w:val="22"/>
                <w:szCs w:val="22"/>
                <w:lang w:val="en-US"/>
              </w:rPr>
            </w:pPr>
            <w:r w:rsidRPr="002A34F0">
              <w:rPr>
                <w:i/>
                <w:iCs/>
                <w:color w:val="000000"/>
                <w:sz w:val="22"/>
                <w:szCs w:val="22"/>
                <w:lang w:val="en"/>
              </w:rPr>
              <w:t>Desktops</w:t>
            </w:r>
          </w:p>
        </w:tc>
        <w:tc>
          <w:tcPr>
            <w:tcW w:w="3263" w:type="dxa"/>
            <w:tcBorders>
              <w:top w:val="nil"/>
              <w:left w:val="single" w:sz="4" w:space="0" w:color="auto"/>
              <w:bottom w:val="nil"/>
              <w:right w:val="dashed" w:sz="4" w:space="0" w:color="auto"/>
            </w:tcBorders>
            <w:shd w:val="clear" w:color="auto" w:fill="auto"/>
            <w:vAlign w:val="center"/>
            <w:hideMark/>
          </w:tcPr>
          <w:p w14:paraId="11E2790D" w14:textId="49911CD1" w:rsidR="0064634E" w:rsidRPr="002A34F0" w:rsidRDefault="0064634E" w:rsidP="0064634E">
            <w:pPr>
              <w:rPr>
                <w:color w:val="000000"/>
                <w:sz w:val="22"/>
                <w:szCs w:val="22"/>
                <w:lang w:val="en-US"/>
              </w:rPr>
            </w:pPr>
            <w:r w:rsidRPr="002A34F0">
              <w:rPr>
                <w:color w:val="000000"/>
                <w:sz w:val="22"/>
                <w:szCs w:val="22"/>
                <w:lang w:val="en"/>
              </w:rPr>
              <w:t>Household has desktop or laptop</w:t>
            </w:r>
          </w:p>
        </w:tc>
        <w:tc>
          <w:tcPr>
            <w:tcW w:w="3384" w:type="dxa"/>
            <w:tcBorders>
              <w:top w:val="nil"/>
              <w:left w:val="nil"/>
              <w:bottom w:val="nil"/>
              <w:right w:val="single" w:sz="8" w:space="0" w:color="auto"/>
            </w:tcBorders>
            <w:shd w:val="clear" w:color="auto" w:fill="auto"/>
            <w:vAlign w:val="center"/>
            <w:hideMark/>
          </w:tcPr>
          <w:p w14:paraId="384A9355" w14:textId="6475D2A1" w:rsidR="0064634E" w:rsidRPr="002A34F0" w:rsidRDefault="0064634E" w:rsidP="0064634E">
            <w:pPr>
              <w:rPr>
                <w:color w:val="000000"/>
                <w:sz w:val="22"/>
                <w:szCs w:val="22"/>
                <w:lang w:val="en-US"/>
              </w:rPr>
            </w:pPr>
            <w:r w:rsidRPr="002A34F0">
              <w:rPr>
                <w:color w:val="000000"/>
                <w:sz w:val="22"/>
                <w:szCs w:val="22"/>
                <w:lang w:val="en"/>
              </w:rPr>
              <w:t>Household has no desktop or laptop</w:t>
            </w:r>
          </w:p>
        </w:tc>
      </w:tr>
      <w:tr w:rsidR="0064634E" w:rsidRPr="002A34F0" w14:paraId="021FA60C" w14:textId="77777777" w:rsidTr="00F3074F">
        <w:trPr>
          <w:trHeight w:val="289"/>
        </w:trPr>
        <w:tc>
          <w:tcPr>
            <w:tcW w:w="1692" w:type="dxa"/>
            <w:tcBorders>
              <w:top w:val="nil"/>
              <w:left w:val="single" w:sz="8" w:space="0" w:color="auto"/>
              <w:bottom w:val="single" w:sz="8" w:space="0" w:color="auto"/>
              <w:right w:val="nil"/>
            </w:tcBorders>
            <w:shd w:val="clear" w:color="auto" w:fill="auto"/>
            <w:vAlign w:val="center"/>
            <w:hideMark/>
          </w:tcPr>
          <w:p w14:paraId="2C28A066" w14:textId="042653D1" w:rsidR="0064634E" w:rsidRPr="002A34F0" w:rsidRDefault="0064634E" w:rsidP="0064634E">
            <w:pPr>
              <w:rPr>
                <w:i/>
                <w:iCs/>
                <w:color w:val="000000"/>
                <w:sz w:val="22"/>
                <w:szCs w:val="22"/>
                <w:lang w:val="en-US"/>
              </w:rPr>
            </w:pPr>
            <w:r w:rsidRPr="002A34F0">
              <w:rPr>
                <w:i/>
                <w:iCs/>
                <w:color w:val="000000"/>
                <w:sz w:val="22"/>
                <w:szCs w:val="22"/>
                <w:lang w:val="en"/>
              </w:rPr>
              <w:t>Fixed phone line</w:t>
            </w:r>
          </w:p>
        </w:tc>
        <w:tc>
          <w:tcPr>
            <w:tcW w:w="3263" w:type="dxa"/>
            <w:tcBorders>
              <w:top w:val="nil"/>
              <w:left w:val="single" w:sz="4" w:space="0" w:color="auto"/>
              <w:bottom w:val="single" w:sz="8" w:space="0" w:color="auto"/>
              <w:right w:val="dashed" w:sz="4" w:space="0" w:color="auto"/>
            </w:tcBorders>
            <w:shd w:val="clear" w:color="auto" w:fill="auto"/>
            <w:vAlign w:val="center"/>
            <w:hideMark/>
          </w:tcPr>
          <w:p w14:paraId="2D9E364F" w14:textId="043EC4A0" w:rsidR="0064634E" w:rsidRPr="002A34F0" w:rsidRDefault="0064634E" w:rsidP="0064634E">
            <w:pPr>
              <w:rPr>
                <w:color w:val="000000"/>
                <w:sz w:val="22"/>
                <w:szCs w:val="22"/>
                <w:lang w:val="en-US"/>
              </w:rPr>
            </w:pPr>
            <w:r w:rsidRPr="002A34F0">
              <w:rPr>
                <w:color w:val="000000"/>
                <w:sz w:val="22"/>
                <w:szCs w:val="22"/>
                <w:lang w:val="en"/>
              </w:rPr>
              <w:t>Household has fixed phone line</w:t>
            </w:r>
          </w:p>
        </w:tc>
        <w:tc>
          <w:tcPr>
            <w:tcW w:w="3384" w:type="dxa"/>
            <w:tcBorders>
              <w:top w:val="nil"/>
              <w:left w:val="nil"/>
              <w:bottom w:val="single" w:sz="8" w:space="0" w:color="auto"/>
              <w:right w:val="single" w:sz="8" w:space="0" w:color="auto"/>
            </w:tcBorders>
            <w:shd w:val="clear" w:color="auto" w:fill="auto"/>
            <w:vAlign w:val="center"/>
            <w:hideMark/>
          </w:tcPr>
          <w:p w14:paraId="29963297" w14:textId="18E75322" w:rsidR="0064634E" w:rsidRPr="002A34F0" w:rsidRDefault="0064634E" w:rsidP="0064634E">
            <w:pPr>
              <w:rPr>
                <w:color w:val="000000"/>
                <w:sz w:val="22"/>
                <w:szCs w:val="22"/>
                <w:lang w:val="en-US"/>
              </w:rPr>
            </w:pPr>
            <w:r w:rsidRPr="002A34F0">
              <w:rPr>
                <w:color w:val="000000"/>
                <w:sz w:val="22"/>
                <w:szCs w:val="22"/>
                <w:lang w:val="en"/>
              </w:rPr>
              <w:t>Household has no fixed phone line</w:t>
            </w:r>
          </w:p>
        </w:tc>
      </w:tr>
    </w:tbl>
    <w:p w14:paraId="2ADF59D8" w14:textId="77777777" w:rsidR="00F40F79" w:rsidRPr="002A34F0" w:rsidRDefault="00F40F79" w:rsidP="00F40F79">
      <w:pPr>
        <w:pStyle w:val="References"/>
      </w:pPr>
    </w:p>
    <w:p w14:paraId="5EF1CC60" w14:textId="77777777" w:rsidR="00341D18" w:rsidRPr="002A34F0" w:rsidRDefault="00341D18" w:rsidP="001050C4">
      <w:pPr>
        <w:pStyle w:val="References"/>
      </w:pPr>
    </w:p>
    <w:p w14:paraId="6B1D909E" w14:textId="77777777" w:rsidR="00341D18" w:rsidRPr="002A34F0" w:rsidRDefault="00341D18" w:rsidP="00106C25">
      <w:pPr>
        <w:pStyle w:val="References"/>
        <w:ind w:left="0" w:firstLine="0"/>
        <w:sectPr w:rsidR="00341D18" w:rsidRPr="002A34F0" w:rsidSect="006E7B9E">
          <w:footerReference w:type="default" r:id="rId17"/>
          <w:pgSz w:w="11901" w:h="16840" w:code="9"/>
          <w:pgMar w:top="1418" w:right="1701" w:bottom="1418" w:left="1701" w:header="709" w:footer="709" w:gutter="0"/>
          <w:lnNumType w:countBy="1" w:restart="continuous"/>
          <w:cols w:space="708"/>
          <w:docGrid w:linePitch="360"/>
        </w:sectPr>
      </w:pPr>
    </w:p>
    <w:tbl>
      <w:tblPr>
        <w:tblW w:w="14030" w:type="dxa"/>
        <w:tblLayout w:type="fixed"/>
        <w:tblLook w:val="04A0" w:firstRow="1" w:lastRow="0" w:firstColumn="1" w:lastColumn="0" w:noHBand="0" w:noVBand="1"/>
      </w:tblPr>
      <w:tblGrid>
        <w:gridCol w:w="1987"/>
        <w:gridCol w:w="875"/>
        <w:gridCol w:w="899"/>
        <w:gridCol w:w="866"/>
        <w:gridCol w:w="943"/>
        <w:gridCol w:w="1049"/>
        <w:gridCol w:w="1036"/>
        <w:gridCol w:w="1036"/>
        <w:gridCol w:w="1072"/>
        <w:gridCol w:w="927"/>
        <w:gridCol w:w="820"/>
        <w:gridCol w:w="900"/>
        <w:gridCol w:w="1620"/>
      </w:tblGrid>
      <w:tr w:rsidR="0014121B" w:rsidRPr="002A34F0" w14:paraId="30B6FBEE" w14:textId="77777777" w:rsidTr="003A227F">
        <w:trPr>
          <w:trHeight w:val="288"/>
        </w:trPr>
        <w:tc>
          <w:tcPr>
            <w:tcW w:w="3761" w:type="dxa"/>
            <w:gridSpan w:val="3"/>
            <w:tcBorders>
              <w:top w:val="single" w:sz="8" w:space="0" w:color="auto"/>
              <w:left w:val="single" w:sz="8" w:space="0" w:color="auto"/>
              <w:bottom w:val="nil"/>
              <w:right w:val="nil"/>
            </w:tcBorders>
            <w:shd w:val="clear" w:color="auto" w:fill="auto"/>
            <w:noWrap/>
            <w:vAlign w:val="bottom"/>
            <w:hideMark/>
          </w:tcPr>
          <w:p w14:paraId="58C7CDEF" w14:textId="18CAE1D7" w:rsidR="0014121B" w:rsidRPr="002A34F0" w:rsidRDefault="0014121B">
            <w:pPr>
              <w:rPr>
                <w:color w:val="000000"/>
                <w:sz w:val="20"/>
                <w:szCs w:val="20"/>
                <w:lang w:val="en-US"/>
              </w:rPr>
            </w:pPr>
            <w:r w:rsidRPr="002A34F0">
              <w:rPr>
                <w:color w:val="000000"/>
                <w:sz w:val="20"/>
                <w:szCs w:val="20"/>
              </w:rPr>
              <w:lastRenderedPageBreak/>
              <w:t xml:space="preserve">Appendix Table </w:t>
            </w:r>
            <w:r w:rsidR="008339C1" w:rsidRPr="002A34F0">
              <w:rPr>
                <w:color w:val="000000"/>
                <w:sz w:val="20"/>
                <w:szCs w:val="20"/>
              </w:rPr>
              <w:t>A.</w:t>
            </w:r>
            <w:r w:rsidRPr="002A34F0">
              <w:rPr>
                <w:color w:val="000000"/>
                <w:sz w:val="20"/>
                <w:szCs w:val="20"/>
              </w:rPr>
              <w:t>2. GLM Regression Results</w:t>
            </w:r>
          </w:p>
        </w:tc>
        <w:tc>
          <w:tcPr>
            <w:tcW w:w="866" w:type="dxa"/>
            <w:tcBorders>
              <w:top w:val="single" w:sz="8" w:space="0" w:color="auto"/>
              <w:left w:val="nil"/>
              <w:bottom w:val="nil"/>
              <w:right w:val="nil"/>
            </w:tcBorders>
            <w:shd w:val="clear" w:color="auto" w:fill="auto"/>
            <w:noWrap/>
            <w:vAlign w:val="bottom"/>
            <w:hideMark/>
          </w:tcPr>
          <w:p w14:paraId="04343E0B" w14:textId="77777777" w:rsidR="0014121B" w:rsidRPr="002A34F0" w:rsidRDefault="0014121B">
            <w:pPr>
              <w:rPr>
                <w:color w:val="000000"/>
                <w:sz w:val="20"/>
                <w:szCs w:val="20"/>
              </w:rPr>
            </w:pPr>
            <w:r w:rsidRPr="002A34F0">
              <w:rPr>
                <w:color w:val="000000"/>
                <w:sz w:val="20"/>
                <w:szCs w:val="20"/>
              </w:rPr>
              <w:t> </w:t>
            </w:r>
          </w:p>
        </w:tc>
        <w:tc>
          <w:tcPr>
            <w:tcW w:w="943" w:type="dxa"/>
            <w:tcBorders>
              <w:top w:val="single" w:sz="8" w:space="0" w:color="auto"/>
              <w:left w:val="nil"/>
              <w:bottom w:val="nil"/>
              <w:right w:val="nil"/>
            </w:tcBorders>
            <w:shd w:val="clear" w:color="auto" w:fill="auto"/>
            <w:noWrap/>
            <w:vAlign w:val="bottom"/>
            <w:hideMark/>
          </w:tcPr>
          <w:p w14:paraId="633CD4E8" w14:textId="77777777" w:rsidR="0014121B" w:rsidRPr="002A34F0" w:rsidRDefault="0014121B">
            <w:pPr>
              <w:rPr>
                <w:color w:val="000000"/>
                <w:sz w:val="20"/>
                <w:szCs w:val="20"/>
              </w:rPr>
            </w:pPr>
            <w:r w:rsidRPr="002A34F0">
              <w:rPr>
                <w:color w:val="000000"/>
                <w:sz w:val="20"/>
                <w:szCs w:val="20"/>
              </w:rPr>
              <w:t> </w:t>
            </w:r>
          </w:p>
        </w:tc>
        <w:tc>
          <w:tcPr>
            <w:tcW w:w="1049" w:type="dxa"/>
            <w:tcBorders>
              <w:top w:val="single" w:sz="8" w:space="0" w:color="auto"/>
              <w:left w:val="nil"/>
              <w:bottom w:val="nil"/>
              <w:right w:val="nil"/>
            </w:tcBorders>
            <w:shd w:val="clear" w:color="auto" w:fill="auto"/>
            <w:noWrap/>
            <w:vAlign w:val="bottom"/>
            <w:hideMark/>
          </w:tcPr>
          <w:p w14:paraId="2FC0A8DD" w14:textId="77777777" w:rsidR="0014121B" w:rsidRPr="002A34F0" w:rsidRDefault="0014121B">
            <w:pPr>
              <w:rPr>
                <w:color w:val="000000"/>
                <w:sz w:val="20"/>
                <w:szCs w:val="20"/>
              </w:rPr>
            </w:pPr>
            <w:r w:rsidRPr="002A34F0">
              <w:rPr>
                <w:color w:val="000000"/>
                <w:sz w:val="20"/>
                <w:szCs w:val="20"/>
              </w:rPr>
              <w:t> </w:t>
            </w:r>
          </w:p>
        </w:tc>
        <w:tc>
          <w:tcPr>
            <w:tcW w:w="1036" w:type="dxa"/>
            <w:tcBorders>
              <w:top w:val="single" w:sz="8" w:space="0" w:color="auto"/>
              <w:left w:val="nil"/>
              <w:bottom w:val="nil"/>
              <w:right w:val="nil"/>
            </w:tcBorders>
            <w:shd w:val="clear" w:color="auto" w:fill="auto"/>
            <w:noWrap/>
            <w:vAlign w:val="bottom"/>
            <w:hideMark/>
          </w:tcPr>
          <w:p w14:paraId="0D1B054C" w14:textId="77777777" w:rsidR="0014121B" w:rsidRPr="002A34F0" w:rsidRDefault="0014121B">
            <w:pPr>
              <w:rPr>
                <w:color w:val="000000"/>
                <w:sz w:val="20"/>
                <w:szCs w:val="20"/>
              </w:rPr>
            </w:pPr>
            <w:r w:rsidRPr="002A34F0">
              <w:rPr>
                <w:color w:val="000000"/>
                <w:sz w:val="20"/>
                <w:szCs w:val="20"/>
              </w:rPr>
              <w:t> </w:t>
            </w:r>
          </w:p>
        </w:tc>
        <w:tc>
          <w:tcPr>
            <w:tcW w:w="1036" w:type="dxa"/>
            <w:tcBorders>
              <w:top w:val="single" w:sz="8" w:space="0" w:color="auto"/>
              <w:left w:val="nil"/>
              <w:bottom w:val="nil"/>
              <w:right w:val="nil"/>
            </w:tcBorders>
            <w:shd w:val="clear" w:color="auto" w:fill="auto"/>
            <w:noWrap/>
            <w:vAlign w:val="bottom"/>
            <w:hideMark/>
          </w:tcPr>
          <w:p w14:paraId="60A6F45F" w14:textId="77777777" w:rsidR="0014121B" w:rsidRPr="002A34F0" w:rsidRDefault="0014121B">
            <w:pPr>
              <w:rPr>
                <w:color w:val="000000"/>
                <w:sz w:val="20"/>
                <w:szCs w:val="20"/>
              </w:rPr>
            </w:pPr>
            <w:r w:rsidRPr="002A34F0">
              <w:rPr>
                <w:color w:val="000000"/>
                <w:sz w:val="20"/>
                <w:szCs w:val="20"/>
              </w:rPr>
              <w:t> </w:t>
            </w:r>
          </w:p>
        </w:tc>
        <w:tc>
          <w:tcPr>
            <w:tcW w:w="1072" w:type="dxa"/>
            <w:tcBorders>
              <w:top w:val="single" w:sz="8" w:space="0" w:color="auto"/>
              <w:left w:val="nil"/>
              <w:bottom w:val="nil"/>
              <w:right w:val="nil"/>
            </w:tcBorders>
            <w:shd w:val="clear" w:color="auto" w:fill="auto"/>
            <w:noWrap/>
            <w:vAlign w:val="bottom"/>
            <w:hideMark/>
          </w:tcPr>
          <w:p w14:paraId="7FF9D073" w14:textId="77777777" w:rsidR="0014121B" w:rsidRPr="002A34F0" w:rsidRDefault="0014121B">
            <w:pPr>
              <w:rPr>
                <w:color w:val="000000"/>
                <w:sz w:val="20"/>
                <w:szCs w:val="20"/>
              </w:rPr>
            </w:pPr>
            <w:r w:rsidRPr="002A34F0">
              <w:rPr>
                <w:color w:val="000000"/>
                <w:sz w:val="20"/>
                <w:szCs w:val="20"/>
              </w:rPr>
              <w:t> </w:t>
            </w:r>
          </w:p>
        </w:tc>
        <w:tc>
          <w:tcPr>
            <w:tcW w:w="927" w:type="dxa"/>
            <w:tcBorders>
              <w:top w:val="single" w:sz="8" w:space="0" w:color="auto"/>
              <w:left w:val="nil"/>
              <w:bottom w:val="nil"/>
              <w:right w:val="nil"/>
            </w:tcBorders>
            <w:shd w:val="clear" w:color="auto" w:fill="auto"/>
            <w:noWrap/>
            <w:vAlign w:val="bottom"/>
            <w:hideMark/>
          </w:tcPr>
          <w:p w14:paraId="2DBEDA38" w14:textId="77777777" w:rsidR="0014121B" w:rsidRPr="002A34F0" w:rsidRDefault="0014121B">
            <w:pPr>
              <w:rPr>
                <w:color w:val="000000"/>
                <w:sz w:val="20"/>
                <w:szCs w:val="20"/>
              </w:rPr>
            </w:pPr>
            <w:r w:rsidRPr="002A34F0">
              <w:rPr>
                <w:color w:val="000000"/>
                <w:sz w:val="20"/>
                <w:szCs w:val="20"/>
              </w:rPr>
              <w:t> </w:t>
            </w:r>
          </w:p>
        </w:tc>
        <w:tc>
          <w:tcPr>
            <w:tcW w:w="820" w:type="dxa"/>
            <w:tcBorders>
              <w:top w:val="single" w:sz="8" w:space="0" w:color="auto"/>
              <w:left w:val="nil"/>
              <w:bottom w:val="nil"/>
              <w:right w:val="nil"/>
            </w:tcBorders>
            <w:shd w:val="clear" w:color="auto" w:fill="auto"/>
            <w:noWrap/>
            <w:vAlign w:val="bottom"/>
            <w:hideMark/>
          </w:tcPr>
          <w:p w14:paraId="0DC6555D" w14:textId="77777777" w:rsidR="0014121B" w:rsidRPr="002A34F0" w:rsidRDefault="0014121B">
            <w:pPr>
              <w:rPr>
                <w:color w:val="000000"/>
                <w:sz w:val="20"/>
                <w:szCs w:val="20"/>
              </w:rPr>
            </w:pPr>
            <w:r w:rsidRPr="002A34F0">
              <w:rPr>
                <w:color w:val="000000"/>
                <w:sz w:val="20"/>
                <w:szCs w:val="20"/>
              </w:rPr>
              <w:t> </w:t>
            </w:r>
          </w:p>
        </w:tc>
        <w:tc>
          <w:tcPr>
            <w:tcW w:w="900" w:type="dxa"/>
            <w:tcBorders>
              <w:top w:val="single" w:sz="8" w:space="0" w:color="auto"/>
              <w:left w:val="nil"/>
              <w:bottom w:val="nil"/>
              <w:right w:val="nil"/>
            </w:tcBorders>
            <w:shd w:val="clear" w:color="auto" w:fill="auto"/>
            <w:noWrap/>
            <w:vAlign w:val="bottom"/>
            <w:hideMark/>
          </w:tcPr>
          <w:p w14:paraId="0CC57B0C" w14:textId="77777777" w:rsidR="0014121B" w:rsidRPr="002A34F0" w:rsidRDefault="0014121B">
            <w:pPr>
              <w:rPr>
                <w:color w:val="000000"/>
                <w:sz w:val="20"/>
                <w:szCs w:val="20"/>
              </w:rPr>
            </w:pPr>
            <w:r w:rsidRPr="002A34F0">
              <w:rPr>
                <w:color w:val="000000"/>
                <w:sz w:val="20"/>
                <w:szCs w:val="20"/>
              </w:rPr>
              <w:t> </w:t>
            </w:r>
          </w:p>
        </w:tc>
        <w:tc>
          <w:tcPr>
            <w:tcW w:w="1620" w:type="dxa"/>
            <w:tcBorders>
              <w:top w:val="single" w:sz="8" w:space="0" w:color="auto"/>
              <w:left w:val="nil"/>
              <w:bottom w:val="nil"/>
              <w:right w:val="single" w:sz="8" w:space="0" w:color="auto"/>
            </w:tcBorders>
            <w:shd w:val="clear" w:color="auto" w:fill="auto"/>
            <w:noWrap/>
            <w:vAlign w:val="bottom"/>
            <w:hideMark/>
          </w:tcPr>
          <w:p w14:paraId="0F0E3FEC" w14:textId="77777777" w:rsidR="0014121B" w:rsidRPr="002A34F0" w:rsidRDefault="0014121B">
            <w:pPr>
              <w:rPr>
                <w:i/>
                <w:iCs/>
                <w:color w:val="000000"/>
                <w:sz w:val="20"/>
                <w:szCs w:val="20"/>
              </w:rPr>
            </w:pPr>
            <w:r w:rsidRPr="002A34F0">
              <w:rPr>
                <w:i/>
                <w:iCs/>
                <w:color w:val="000000"/>
                <w:sz w:val="20"/>
                <w:szCs w:val="20"/>
              </w:rPr>
              <w:t>obs. = 40,798</w:t>
            </w:r>
          </w:p>
        </w:tc>
      </w:tr>
      <w:tr w:rsidR="0014121B" w:rsidRPr="002A34F0" w14:paraId="43DBF436" w14:textId="77777777" w:rsidTr="003A227F">
        <w:trPr>
          <w:trHeight w:val="300"/>
        </w:trPr>
        <w:tc>
          <w:tcPr>
            <w:tcW w:w="1987" w:type="dxa"/>
            <w:tcBorders>
              <w:top w:val="nil"/>
              <w:left w:val="single" w:sz="8" w:space="0" w:color="auto"/>
              <w:bottom w:val="single" w:sz="8" w:space="0" w:color="auto"/>
              <w:right w:val="nil"/>
            </w:tcBorders>
            <w:shd w:val="clear" w:color="auto" w:fill="auto"/>
            <w:noWrap/>
            <w:vAlign w:val="bottom"/>
            <w:hideMark/>
          </w:tcPr>
          <w:p w14:paraId="76EB9FF7" w14:textId="77777777" w:rsidR="0014121B" w:rsidRPr="002A34F0" w:rsidRDefault="0014121B">
            <w:pPr>
              <w:rPr>
                <w:color w:val="000000"/>
                <w:sz w:val="20"/>
                <w:szCs w:val="20"/>
              </w:rPr>
            </w:pPr>
            <w:r w:rsidRPr="002A34F0">
              <w:rPr>
                <w:color w:val="000000"/>
                <w:sz w:val="20"/>
                <w:szCs w:val="20"/>
              </w:rPr>
              <w:t> </w:t>
            </w:r>
          </w:p>
        </w:tc>
        <w:tc>
          <w:tcPr>
            <w:tcW w:w="875" w:type="dxa"/>
            <w:tcBorders>
              <w:top w:val="nil"/>
              <w:left w:val="nil"/>
              <w:bottom w:val="single" w:sz="8" w:space="0" w:color="auto"/>
              <w:right w:val="nil"/>
            </w:tcBorders>
            <w:shd w:val="clear" w:color="auto" w:fill="auto"/>
            <w:noWrap/>
            <w:vAlign w:val="bottom"/>
            <w:hideMark/>
          </w:tcPr>
          <w:p w14:paraId="4864C403" w14:textId="77777777" w:rsidR="0014121B" w:rsidRPr="002A34F0" w:rsidRDefault="0014121B">
            <w:pPr>
              <w:rPr>
                <w:color w:val="000000"/>
                <w:sz w:val="20"/>
                <w:szCs w:val="20"/>
              </w:rPr>
            </w:pPr>
            <w:r w:rsidRPr="002A34F0">
              <w:rPr>
                <w:color w:val="000000"/>
                <w:sz w:val="20"/>
                <w:szCs w:val="20"/>
              </w:rPr>
              <w:t> </w:t>
            </w:r>
          </w:p>
        </w:tc>
        <w:tc>
          <w:tcPr>
            <w:tcW w:w="899" w:type="dxa"/>
            <w:tcBorders>
              <w:top w:val="nil"/>
              <w:left w:val="nil"/>
              <w:bottom w:val="single" w:sz="8" w:space="0" w:color="auto"/>
              <w:right w:val="nil"/>
            </w:tcBorders>
            <w:shd w:val="clear" w:color="auto" w:fill="auto"/>
            <w:noWrap/>
            <w:vAlign w:val="bottom"/>
            <w:hideMark/>
          </w:tcPr>
          <w:p w14:paraId="5CC0758A" w14:textId="77777777" w:rsidR="0014121B" w:rsidRPr="002A34F0" w:rsidRDefault="0014121B">
            <w:pPr>
              <w:rPr>
                <w:color w:val="000000"/>
                <w:sz w:val="20"/>
                <w:szCs w:val="20"/>
              </w:rPr>
            </w:pPr>
            <w:r w:rsidRPr="002A34F0">
              <w:rPr>
                <w:color w:val="000000"/>
                <w:sz w:val="20"/>
                <w:szCs w:val="20"/>
              </w:rPr>
              <w:t> </w:t>
            </w:r>
          </w:p>
        </w:tc>
        <w:tc>
          <w:tcPr>
            <w:tcW w:w="866" w:type="dxa"/>
            <w:tcBorders>
              <w:top w:val="nil"/>
              <w:left w:val="nil"/>
              <w:bottom w:val="single" w:sz="8" w:space="0" w:color="auto"/>
              <w:right w:val="nil"/>
            </w:tcBorders>
            <w:shd w:val="clear" w:color="auto" w:fill="auto"/>
            <w:noWrap/>
            <w:vAlign w:val="bottom"/>
            <w:hideMark/>
          </w:tcPr>
          <w:p w14:paraId="5E6A0FCA" w14:textId="77777777" w:rsidR="0014121B" w:rsidRPr="002A34F0" w:rsidRDefault="0014121B">
            <w:pPr>
              <w:rPr>
                <w:color w:val="000000"/>
                <w:sz w:val="20"/>
                <w:szCs w:val="20"/>
              </w:rPr>
            </w:pPr>
            <w:r w:rsidRPr="002A34F0">
              <w:rPr>
                <w:color w:val="000000"/>
                <w:sz w:val="20"/>
                <w:szCs w:val="20"/>
              </w:rPr>
              <w:t> </w:t>
            </w:r>
          </w:p>
        </w:tc>
        <w:tc>
          <w:tcPr>
            <w:tcW w:w="943" w:type="dxa"/>
            <w:tcBorders>
              <w:top w:val="nil"/>
              <w:left w:val="nil"/>
              <w:bottom w:val="single" w:sz="8" w:space="0" w:color="auto"/>
              <w:right w:val="nil"/>
            </w:tcBorders>
            <w:shd w:val="clear" w:color="auto" w:fill="auto"/>
            <w:noWrap/>
            <w:vAlign w:val="bottom"/>
            <w:hideMark/>
          </w:tcPr>
          <w:p w14:paraId="25EC9E5D" w14:textId="77777777" w:rsidR="0014121B" w:rsidRPr="002A34F0" w:rsidRDefault="0014121B">
            <w:pPr>
              <w:rPr>
                <w:color w:val="000000"/>
                <w:sz w:val="20"/>
                <w:szCs w:val="20"/>
              </w:rPr>
            </w:pPr>
            <w:r w:rsidRPr="002A34F0">
              <w:rPr>
                <w:color w:val="000000"/>
                <w:sz w:val="20"/>
                <w:szCs w:val="20"/>
              </w:rPr>
              <w:t> </w:t>
            </w:r>
          </w:p>
        </w:tc>
        <w:tc>
          <w:tcPr>
            <w:tcW w:w="1049" w:type="dxa"/>
            <w:tcBorders>
              <w:top w:val="nil"/>
              <w:left w:val="nil"/>
              <w:bottom w:val="single" w:sz="8" w:space="0" w:color="auto"/>
              <w:right w:val="nil"/>
            </w:tcBorders>
            <w:shd w:val="clear" w:color="auto" w:fill="auto"/>
            <w:noWrap/>
            <w:vAlign w:val="bottom"/>
            <w:hideMark/>
          </w:tcPr>
          <w:p w14:paraId="0184116F" w14:textId="77777777" w:rsidR="0014121B" w:rsidRPr="002A34F0" w:rsidRDefault="0014121B">
            <w:pPr>
              <w:rPr>
                <w:color w:val="000000"/>
                <w:sz w:val="20"/>
                <w:szCs w:val="20"/>
              </w:rPr>
            </w:pPr>
            <w:r w:rsidRPr="002A34F0">
              <w:rPr>
                <w:color w:val="000000"/>
                <w:sz w:val="20"/>
                <w:szCs w:val="20"/>
              </w:rPr>
              <w:t> </w:t>
            </w:r>
          </w:p>
        </w:tc>
        <w:tc>
          <w:tcPr>
            <w:tcW w:w="1036" w:type="dxa"/>
            <w:tcBorders>
              <w:top w:val="nil"/>
              <w:left w:val="nil"/>
              <w:bottom w:val="single" w:sz="8" w:space="0" w:color="auto"/>
              <w:right w:val="nil"/>
            </w:tcBorders>
            <w:shd w:val="clear" w:color="auto" w:fill="auto"/>
            <w:noWrap/>
            <w:vAlign w:val="bottom"/>
            <w:hideMark/>
          </w:tcPr>
          <w:p w14:paraId="429D72EA" w14:textId="77777777" w:rsidR="0014121B" w:rsidRPr="002A34F0" w:rsidRDefault="0014121B">
            <w:pPr>
              <w:rPr>
                <w:color w:val="000000"/>
                <w:sz w:val="20"/>
                <w:szCs w:val="20"/>
              </w:rPr>
            </w:pPr>
            <w:r w:rsidRPr="002A34F0">
              <w:rPr>
                <w:color w:val="000000"/>
                <w:sz w:val="20"/>
                <w:szCs w:val="20"/>
              </w:rPr>
              <w:t> </w:t>
            </w:r>
          </w:p>
        </w:tc>
        <w:tc>
          <w:tcPr>
            <w:tcW w:w="1036" w:type="dxa"/>
            <w:tcBorders>
              <w:top w:val="nil"/>
              <w:left w:val="nil"/>
              <w:bottom w:val="single" w:sz="8" w:space="0" w:color="auto"/>
              <w:right w:val="nil"/>
            </w:tcBorders>
            <w:shd w:val="clear" w:color="auto" w:fill="auto"/>
            <w:noWrap/>
            <w:vAlign w:val="bottom"/>
            <w:hideMark/>
          </w:tcPr>
          <w:p w14:paraId="2D4E5F90" w14:textId="77777777" w:rsidR="0014121B" w:rsidRPr="002A34F0" w:rsidRDefault="0014121B">
            <w:pPr>
              <w:rPr>
                <w:color w:val="000000"/>
                <w:sz w:val="20"/>
                <w:szCs w:val="20"/>
              </w:rPr>
            </w:pPr>
            <w:r w:rsidRPr="002A34F0">
              <w:rPr>
                <w:color w:val="000000"/>
                <w:sz w:val="20"/>
                <w:szCs w:val="20"/>
              </w:rPr>
              <w:t> </w:t>
            </w:r>
          </w:p>
        </w:tc>
        <w:tc>
          <w:tcPr>
            <w:tcW w:w="1072" w:type="dxa"/>
            <w:tcBorders>
              <w:top w:val="nil"/>
              <w:left w:val="nil"/>
              <w:bottom w:val="single" w:sz="8" w:space="0" w:color="auto"/>
              <w:right w:val="nil"/>
            </w:tcBorders>
            <w:shd w:val="clear" w:color="auto" w:fill="auto"/>
            <w:noWrap/>
            <w:vAlign w:val="bottom"/>
            <w:hideMark/>
          </w:tcPr>
          <w:p w14:paraId="32B4F37A" w14:textId="77777777" w:rsidR="0014121B" w:rsidRPr="002A34F0" w:rsidRDefault="0014121B">
            <w:pPr>
              <w:rPr>
                <w:color w:val="000000"/>
                <w:sz w:val="20"/>
                <w:szCs w:val="20"/>
              </w:rPr>
            </w:pPr>
            <w:r w:rsidRPr="002A34F0">
              <w:rPr>
                <w:color w:val="000000"/>
                <w:sz w:val="20"/>
                <w:szCs w:val="20"/>
              </w:rPr>
              <w:t> </w:t>
            </w:r>
          </w:p>
        </w:tc>
        <w:tc>
          <w:tcPr>
            <w:tcW w:w="927" w:type="dxa"/>
            <w:tcBorders>
              <w:top w:val="nil"/>
              <w:left w:val="nil"/>
              <w:bottom w:val="single" w:sz="8" w:space="0" w:color="auto"/>
              <w:right w:val="nil"/>
            </w:tcBorders>
            <w:shd w:val="clear" w:color="auto" w:fill="auto"/>
            <w:noWrap/>
            <w:vAlign w:val="bottom"/>
            <w:hideMark/>
          </w:tcPr>
          <w:p w14:paraId="62ED52D4" w14:textId="77777777" w:rsidR="0014121B" w:rsidRPr="002A34F0" w:rsidRDefault="0014121B">
            <w:pPr>
              <w:rPr>
                <w:color w:val="000000"/>
                <w:sz w:val="20"/>
                <w:szCs w:val="20"/>
              </w:rPr>
            </w:pPr>
            <w:r w:rsidRPr="002A34F0">
              <w:rPr>
                <w:color w:val="000000"/>
                <w:sz w:val="20"/>
                <w:szCs w:val="20"/>
              </w:rPr>
              <w:t> </w:t>
            </w:r>
          </w:p>
        </w:tc>
        <w:tc>
          <w:tcPr>
            <w:tcW w:w="820" w:type="dxa"/>
            <w:tcBorders>
              <w:top w:val="nil"/>
              <w:left w:val="nil"/>
              <w:bottom w:val="single" w:sz="8" w:space="0" w:color="auto"/>
              <w:right w:val="nil"/>
            </w:tcBorders>
            <w:shd w:val="clear" w:color="auto" w:fill="auto"/>
            <w:noWrap/>
            <w:vAlign w:val="bottom"/>
            <w:hideMark/>
          </w:tcPr>
          <w:p w14:paraId="458F821B" w14:textId="77777777" w:rsidR="0014121B" w:rsidRPr="002A34F0" w:rsidRDefault="0014121B">
            <w:pPr>
              <w:rPr>
                <w:color w:val="000000"/>
                <w:sz w:val="20"/>
                <w:szCs w:val="20"/>
              </w:rPr>
            </w:pPr>
            <w:r w:rsidRPr="002A34F0">
              <w:rPr>
                <w:color w:val="000000"/>
                <w:sz w:val="20"/>
                <w:szCs w:val="20"/>
              </w:rPr>
              <w:t> </w:t>
            </w:r>
          </w:p>
        </w:tc>
        <w:tc>
          <w:tcPr>
            <w:tcW w:w="900" w:type="dxa"/>
            <w:tcBorders>
              <w:top w:val="nil"/>
              <w:left w:val="nil"/>
              <w:bottom w:val="single" w:sz="8" w:space="0" w:color="auto"/>
              <w:right w:val="nil"/>
            </w:tcBorders>
            <w:shd w:val="clear" w:color="auto" w:fill="auto"/>
            <w:noWrap/>
            <w:vAlign w:val="bottom"/>
            <w:hideMark/>
          </w:tcPr>
          <w:p w14:paraId="2D7F1FA6" w14:textId="77777777" w:rsidR="0014121B" w:rsidRPr="002A34F0" w:rsidRDefault="0014121B">
            <w:pPr>
              <w:rPr>
                <w:color w:val="000000"/>
                <w:sz w:val="20"/>
                <w:szCs w:val="20"/>
              </w:rPr>
            </w:pPr>
            <w:r w:rsidRPr="002A34F0">
              <w:rPr>
                <w:color w:val="000000"/>
                <w:sz w:val="20"/>
                <w:szCs w:val="20"/>
              </w:rPr>
              <w:t> </w:t>
            </w:r>
          </w:p>
        </w:tc>
        <w:tc>
          <w:tcPr>
            <w:tcW w:w="1620" w:type="dxa"/>
            <w:tcBorders>
              <w:top w:val="nil"/>
              <w:left w:val="nil"/>
              <w:bottom w:val="single" w:sz="8" w:space="0" w:color="auto"/>
              <w:right w:val="single" w:sz="8" w:space="0" w:color="auto"/>
            </w:tcBorders>
            <w:shd w:val="clear" w:color="auto" w:fill="auto"/>
            <w:noWrap/>
            <w:vAlign w:val="bottom"/>
            <w:hideMark/>
          </w:tcPr>
          <w:p w14:paraId="00EDF4FB" w14:textId="77777777" w:rsidR="0014121B" w:rsidRPr="002A34F0" w:rsidRDefault="0014121B">
            <w:pPr>
              <w:rPr>
                <w:i/>
                <w:iCs/>
                <w:color w:val="000000"/>
                <w:sz w:val="20"/>
                <w:szCs w:val="20"/>
              </w:rPr>
            </w:pPr>
            <w:r w:rsidRPr="002A34F0">
              <w:rPr>
                <w:i/>
                <w:iCs/>
                <w:color w:val="000000"/>
                <w:sz w:val="20"/>
                <w:szCs w:val="20"/>
              </w:rPr>
              <w:t>EA= 2136</w:t>
            </w:r>
          </w:p>
        </w:tc>
      </w:tr>
      <w:tr w:rsidR="0014121B" w:rsidRPr="002A34F0" w14:paraId="1E7A6860" w14:textId="77777777" w:rsidTr="003A227F">
        <w:trPr>
          <w:trHeight w:val="288"/>
        </w:trPr>
        <w:tc>
          <w:tcPr>
            <w:tcW w:w="1987" w:type="dxa"/>
            <w:vMerge w:val="restart"/>
            <w:tcBorders>
              <w:top w:val="nil"/>
              <w:left w:val="single" w:sz="8" w:space="0" w:color="auto"/>
              <w:bottom w:val="nil"/>
              <w:right w:val="single" w:sz="8" w:space="0" w:color="auto"/>
            </w:tcBorders>
            <w:shd w:val="clear" w:color="auto" w:fill="auto"/>
            <w:vAlign w:val="bottom"/>
            <w:hideMark/>
          </w:tcPr>
          <w:p w14:paraId="683489D7" w14:textId="77777777" w:rsidR="0014121B" w:rsidRPr="002A34F0" w:rsidRDefault="0014121B">
            <w:pPr>
              <w:rPr>
                <w:b/>
                <w:bCs/>
                <w:color w:val="000000"/>
                <w:sz w:val="20"/>
                <w:szCs w:val="20"/>
              </w:rPr>
            </w:pPr>
            <w:r w:rsidRPr="002A34F0">
              <w:rPr>
                <w:b/>
                <w:bCs/>
                <w:color w:val="000000"/>
                <w:sz w:val="20"/>
                <w:szCs w:val="20"/>
              </w:rPr>
              <w:t>Improved Living Conditions</w:t>
            </w:r>
          </w:p>
        </w:tc>
        <w:tc>
          <w:tcPr>
            <w:tcW w:w="875" w:type="dxa"/>
            <w:tcBorders>
              <w:top w:val="nil"/>
              <w:left w:val="nil"/>
              <w:bottom w:val="nil"/>
              <w:right w:val="nil"/>
            </w:tcBorders>
            <w:shd w:val="clear" w:color="auto" w:fill="auto"/>
            <w:noWrap/>
            <w:vAlign w:val="bottom"/>
            <w:hideMark/>
          </w:tcPr>
          <w:p w14:paraId="4298FAAF" w14:textId="77777777" w:rsidR="0014121B" w:rsidRPr="002A34F0" w:rsidRDefault="0014121B">
            <w:pPr>
              <w:rPr>
                <w:color w:val="000000"/>
                <w:sz w:val="20"/>
                <w:szCs w:val="20"/>
              </w:rPr>
            </w:pPr>
            <w:r w:rsidRPr="002A34F0">
              <w:rPr>
                <w:color w:val="000000"/>
                <w:sz w:val="20"/>
                <w:szCs w:val="20"/>
              </w:rPr>
              <w:t>SES</w:t>
            </w:r>
          </w:p>
        </w:tc>
        <w:tc>
          <w:tcPr>
            <w:tcW w:w="899" w:type="dxa"/>
            <w:tcBorders>
              <w:top w:val="nil"/>
              <w:left w:val="nil"/>
              <w:bottom w:val="nil"/>
              <w:right w:val="nil"/>
            </w:tcBorders>
            <w:shd w:val="clear" w:color="auto" w:fill="auto"/>
            <w:noWrap/>
            <w:vAlign w:val="bottom"/>
            <w:hideMark/>
          </w:tcPr>
          <w:p w14:paraId="01D5F5E7" w14:textId="77777777" w:rsidR="0014121B" w:rsidRPr="002A34F0" w:rsidRDefault="0014121B">
            <w:pPr>
              <w:rPr>
                <w:color w:val="000000"/>
                <w:sz w:val="20"/>
                <w:szCs w:val="20"/>
              </w:rPr>
            </w:pPr>
          </w:p>
        </w:tc>
        <w:tc>
          <w:tcPr>
            <w:tcW w:w="866" w:type="dxa"/>
            <w:tcBorders>
              <w:top w:val="nil"/>
              <w:left w:val="single" w:sz="4" w:space="0" w:color="auto"/>
              <w:bottom w:val="nil"/>
              <w:right w:val="nil"/>
            </w:tcBorders>
            <w:shd w:val="clear" w:color="auto" w:fill="auto"/>
            <w:noWrap/>
            <w:vAlign w:val="bottom"/>
            <w:hideMark/>
          </w:tcPr>
          <w:p w14:paraId="084748BB" w14:textId="77777777" w:rsidR="0014121B" w:rsidRPr="002A34F0" w:rsidRDefault="0014121B">
            <w:pPr>
              <w:rPr>
                <w:color w:val="000000"/>
                <w:sz w:val="20"/>
                <w:szCs w:val="20"/>
              </w:rPr>
            </w:pPr>
            <w:r w:rsidRPr="002A34F0">
              <w:rPr>
                <w:color w:val="000000"/>
                <w:sz w:val="20"/>
                <w:szCs w:val="20"/>
              </w:rPr>
              <w:t>ICE</w:t>
            </w:r>
          </w:p>
        </w:tc>
        <w:tc>
          <w:tcPr>
            <w:tcW w:w="943" w:type="dxa"/>
            <w:tcBorders>
              <w:top w:val="nil"/>
              <w:left w:val="nil"/>
              <w:bottom w:val="nil"/>
              <w:right w:val="single" w:sz="4" w:space="0" w:color="auto"/>
            </w:tcBorders>
            <w:shd w:val="clear" w:color="auto" w:fill="auto"/>
            <w:noWrap/>
            <w:vAlign w:val="bottom"/>
            <w:hideMark/>
          </w:tcPr>
          <w:p w14:paraId="31BDEF0D" w14:textId="77777777" w:rsidR="0014121B" w:rsidRPr="002A34F0" w:rsidRDefault="0014121B">
            <w:pPr>
              <w:rPr>
                <w:color w:val="000000"/>
                <w:sz w:val="20"/>
                <w:szCs w:val="20"/>
              </w:rPr>
            </w:pPr>
            <w:r w:rsidRPr="002A34F0">
              <w:rPr>
                <w:color w:val="000000"/>
                <w:sz w:val="20"/>
                <w:szCs w:val="20"/>
              </w:rPr>
              <w:t> </w:t>
            </w:r>
          </w:p>
        </w:tc>
        <w:tc>
          <w:tcPr>
            <w:tcW w:w="1049" w:type="dxa"/>
            <w:tcBorders>
              <w:top w:val="nil"/>
              <w:left w:val="nil"/>
              <w:bottom w:val="nil"/>
              <w:right w:val="nil"/>
            </w:tcBorders>
            <w:shd w:val="clear" w:color="auto" w:fill="auto"/>
            <w:noWrap/>
            <w:vAlign w:val="bottom"/>
            <w:hideMark/>
          </w:tcPr>
          <w:p w14:paraId="5E888A45" w14:textId="77777777" w:rsidR="0014121B" w:rsidRPr="002A34F0" w:rsidRDefault="0014121B">
            <w:pPr>
              <w:rPr>
                <w:color w:val="000000"/>
                <w:sz w:val="20"/>
                <w:szCs w:val="20"/>
              </w:rPr>
            </w:pPr>
            <w:r w:rsidRPr="002A34F0">
              <w:rPr>
                <w:color w:val="000000"/>
                <w:sz w:val="20"/>
                <w:szCs w:val="20"/>
              </w:rPr>
              <w:t>SES#ICE</w:t>
            </w:r>
          </w:p>
        </w:tc>
        <w:tc>
          <w:tcPr>
            <w:tcW w:w="1036" w:type="dxa"/>
            <w:tcBorders>
              <w:top w:val="nil"/>
              <w:left w:val="nil"/>
              <w:bottom w:val="nil"/>
              <w:right w:val="nil"/>
            </w:tcBorders>
            <w:shd w:val="clear" w:color="auto" w:fill="auto"/>
            <w:noWrap/>
            <w:vAlign w:val="bottom"/>
            <w:hideMark/>
          </w:tcPr>
          <w:p w14:paraId="372D71BD" w14:textId="77777777" w:rsidR="0014121B" w:rsidRPr="002A34F0" w:rsidRDefault="0014121B">
            <w:pPr>
              <w:rPr>
                <w:color w:val="000000"/>
                <w:sz w:val="20"/>
                <w:szCs w:val="20"/>
              </w:rPr>
            </w:pPr>
          </w:p>
        </w:tc>
        <w:tc>
          <w:tcPr>
            <w:tcW w:w="1036" w:type="dxa"/>
            <w:tcBorders>
              <w:top w:val="nil"/>
              <w:left w:val="nil"/>
              <w:bottom w:val="nil"/>
              <w:right w:val="nil"/>
            </w:tcBorders>
            <w:shd w:val="clear" w:color="auto" w:fill="auto"/>
            <w:noWrap/>
            <w:vAlign w:val="bottom"/>
            <w:hideMark/>
          </w:tcPr>
          <w:p w14:paraId="65713AC5" w14:textId="77777777" w:rsidR="0014121B" w:rsidRPr="002A34F0" w:rsidRDefault="0014121B">
            <w:pPr>
              <w:rPr>
                <w:sz w:val="20"/>
                <w:szCs w:val="20"/>
              </w:rPr>
            </w:pPr>
          </w:p>
        </w:tc>
        <w:tc>
          <w:tcPr>
            <w:tcW w:w="1072" w:type="dxa"/>
            <w:tcBorders>
              <w:top w:val="nil"/>
              <w:left w:val="nil"/>
              <w:bottom w:val="nil"/>
              <w:right w:val="nil"/>
            </w:tcBorders>
            <w:shd w:val="clear" w:color="auto" w:fill="auto"/>
            <w:noWrap/>
            <w:vAlign w:val="bottom"/>
            <w:hideMark/>
          </w:tcPr>
          <w:p w14:paraId="43E892F9" w14:textId="77777777" w:rsidR="0014121B" w:rsidRPr="002A34F0" w:rsidRDefault="0014121B">
            <w:pPr>
              <w:rPr>
                <w:sz w:val="20"/>
                <w:szCs w:val="20"/>
              </w:rPr>
            </w:pPr>
          </w:p>
        </w:tc>
        <w:tc>
          <w:tcPr>
            <w:tcW w:w="927" w:type="dxa"/>
            <w:tcBorders>
              <w:top w:val="nil"/>
              <w:left w:val="single" w:sz="4" w:space="0" w:color="auto"/>
              <w:bottom w:val="nil"/>
              <w:right w:val="single" w:sz="4" w:space="0" w:color="auto"/>
            </w:tcBorders>
            <w:shd w:val="clear" w:color="auto" w:fill="auto"/>
            <w:noWrap/>
            <w:vAlign w:val="bottom"/>
            <w:hideMark/>
          </w:tcPr>
          <w:p w14:paraId="4C5B3A84" w14:textId="77777777" w:rsidR="0014121B" w:rsidRPr="002A34F0" w:rsidRDefault="0014121B">
            <w:pPr>
              <w:rPr>
                <w:color w:val="000000"/>
                <w:sz w:val="20"/>
                <w:szCs w:val="20"/>
              </w:rPr>
            </w:pPr>
            <w:r w:rsidRPr="002A34F0">
              <w:rPr>
                <w:color w:val="000000"/>
                <w:sz w:val="20"/>
                <w:szCs w:val="20"/>
              </w:rPr>
              <w:t>Intercept</w:t>
            </w:r>
          </w:p>
        </w:tc>
        <w:tc>
          <w:tcPr>
            <w:tcW w:w="820" w:type="dxa"/>
            <w:tcBorders>
              <w:top w:val="nil"/>
              <w:left w:val="nil"/>
              <w:bottom w:val="nil"/>
              <w:right w:val="nil"/>
            </w:tcBorders>
            <w:shd w:val="clear" w:color="auto" w:fill="auto"/>
            <w:noWrap/>
            <w:vAlign w:val="bottom"/>
            <w:hideMark/>
          </w:tcPr>
          <w:p w14:paraId="62E0AE8C" w14:textId="77777777" w:rsidR="0014121B" w:rsidRPr="002A34F0" w:rsidRDefault="0014121B">
            <w:pPr>
              <w:rPr>
                <w:color w:val="000000"/>
                <w:sz w:val="20"/>
                <w:szCs w:val="20"/>
              </w:rPr>
            </w:pPr>
            <w:r w:rsidRPr="002A34F0">
              <w:rPr>
                <w:color w:val="000000"/>
                <w:sz w:val="20"/>
                <w:szCs w:val="20"/>
              </w:rPr>
              <w:t>AIC</w:t>
            </w:r>
          </w:p>
        </w:tc>
        <w:tc>
          <w:tcPr>
            <w:tcW w:w="900" w:type="dxa"/>
            <w:tcBorders>
              <w:top w:val="nil"/>
              <w:left w:val="nil"/>
              <w:bottom w:val="nil"/>
              <w:right w:val="nil"/>
            </w:tcBorders>
            <w:shd w:val="clear" w:color="auto" w:fill="auto"/>
            <w:noWrap/>
            <w:vAlign w:val="bottom"/>
            <w:hideMark/>
          </w:tcPr>
          <w:p w14:paraId="60950D78" w14:textId="77777777" w:rsidR="0014121B" w:rsidRPr="002A34F0" w:rsidRDefault="0014121B">
            <w:pPr>
              <w:rPr>
                <w:color w:val="000000"/>
                <w:sz w:val="20"/>
                <w:szCs w:val="20"/>
              </w:rPr>
            </w:pPr>
            <w:r w:rsidRPr="002A34F0">
              <w:rPr>
                <w:color w:val="000000"/>
                <w:sz w:val="20"/>
                <w:szCs w:val="20"/>
              </w:rPr>
              <w:t>BIC</w:t>
            </w:r>
          </w:p>
        </w:tc>
        <w:tc>
          <w:tcPr>
            <w:tcW w:w="1620" w:type="dxa"/>
            <w:vMerge w:val="restart"/>
            <w:tcBorders>
              <w:top w:val="nil"/>
              <w:left w:val="nil"/>
              <w:bottom w:val="dashed" w:sz="4" w:space="0" w:color="000000"/>
              <w:right w:val="single" w:sz="8" w:space="0" w:color="auto"/>
            </w:tcBorders>
            <w:shd w:val="clear" w:color="auto" w:fill="auto"/>
            <w:vAlign w:val="bottom"/>
            <w:hideMark/>
          </w:tcPr>
          <w:p w14:paraId="5132A1EA" w14:textId="77777777" w:rsidR="0014121B" w:rsidRPr="002A34F0" w:rsidRDefault="0014121B">
            <w:pPr>
              <w:rPr>
                <w:color w:val="000000"/>
                <w:sz w:val="20"/>
                <w:szCs w:val="20"/>
              </w:rPr>
            </w:pPr>
            <w:r w:rsidRPr="002A34F0">
              <w:rPr>
                <w:color w:val="000000"/>
                <w:sz w:val="20"/>
                <w:szCs w:val="20"/>
              </w:rPr>
              <w:t>Log pseudolikelihood</w:t>
            </w:r>
          </w:p>
        </w:tc>
      </w:tr>
      <w:tr w:rsidR="0014121B" w:rsidRPr="002A34F0" w14:paraId="7A840EE5" w14:textId="77777777" w:rsidTr="003A227F">
        <w:trPr>
          <w:trHeight w:val="288"/>
        </w:trPr>
        <w:tc>
          <w:tcPr>
            <w:tcW w:w="1987" w:type="dxa"/>
            <w:vMerge/>
            <w:tcBorders>
              <w:top w:val="nil"/>
              <w:left w:val="single" w:sz="8" w:space="0" w:color="auto"/>
              <w:bottom w:val="nil"/>
              <w:right w:val="single" w:sz="8" w:space="0" w:color="auto"/>
            </w:tcBorders>
            <w:vAlign w:val="center"/>
            <w:hideMark/>
          </w:tcPr>
          <w:p w14:paraId="5902E099" w14:textId="77777777" w:rsidR="0014121B" w:rsidRPr="002A34F0" w:rsidRDefault="0014121B">
            <w:pPr>
              <w:rPr>
                <w:b/>
                <w:bCs/>
                <w:color w:val="000000"/>
                <w:sz w:val="20"/>
                <w:szCs w:val="20"/>
              </w:rPr>
            </w:pPr>
          </w:p>
        </w:tc>
        <w:tc>
          <w:tcPr>
            <w:tcW w:w="875" w:type="dxa"/>
            <w:tcBorders>
              <w:top w:val="nil"/>
              <w:left w:val="nil"/>
              <w:bottom w:val="nil"/>
              <w:right w:val="nil"/>
            </w:tcBorders>
            <w:shd w:val="clear" w:color="auto" w:fill="auto"/>
            <w:noWrap/>
            <w:vAlign w:val="bottom"/>
            <w:hideMark/>
          </w:tcPr>
          <w:p w14:paraId="5E6F307C" w14:textId="54F3D4E1" w:rsidR="0014121B" w:rsidRPr="002A34F0" w:rsidRDefault="0014121B">
            <w:pPr>
              <w:rPr>
                <w:color w:val="000000"/>
                <w:sz w:val="20"/>
                <w:szCs w:val="20"/>
              </w:rPr>
            </w:pPr>
            <w:r w:rsidRPr="002A34F0">
              <w:rPr>
                <w:color w:val="000000"/>
                <w:sz w:val="20"/>
                <w:szCs w:val="20"/>
              </w:rPr>
              <w:t>Aff.</w:t>
            </w:r>
          </w:p>
        </w:tc>
        <w:tc>
          <w:tcPr>
            <w:tcW w:w="899" w:type="dxa"/>
            <w:tcBorders>
              <w:top w:val="nil"/>
              <w:left w:val="nil"/>
              <w:bottom w:val="nil"/>
              <w:right w:val="nil"/>
            </w:tcBorders>
            <w:shd w:val="clear" w:color="auto" w:fill="auto"/>
            <w:noWrap/>
            <w:vAlign w:val="bottom"/>
            <w:hideMark/>
          </w:tcPr>
          <w:p w14:paraId="6AA3FC41" w14:textId="77777777" w:rsidR="0014121B" w:rsidRPr="002A34F0" w:rsidRDefault="0014121B">
            <w:pPr>
              <w:rPr>
                <w:color w:val="000000"/>
                <w:sz w:val="20"/>
                <w:szCs w:val="20"/>
              </w:rPr>
            </w:pPr>
            <w:r w:rsidRPr="002A34F0">
              <w:rPr>
                <w:color w:val="000000"/>
                <w:sz w:val="20"/>
                <w:szCs w:val="20"/>
              </w:rPr>
              <w:t>Poor</w:t>
            </w:r>
          </w:p>
        </w:tc>
        <w:tc>
          <w:tcPr>
            <w:tcW w:w="866" w:type="dxa"/>
            <w:tcBorders>
              <w:top w:val="nil"/>
              <w:left w:val="single" w:sz="4" w:space="0" w:color="auto"/>
              <w:bottom w:val="nil"/>
              <w:right w:val="nil"/>
            </w:tcBorders>
            <w:shd w:val="clear" w:color="auto" w:fill="auto"/>
            <w:noWrap/>
            <w:vAlign w:val="bottom"/>
            <w:hideMark/>
          </w:tcPr>
          <w:p w14:paraId="30114971" w14:textId="0FFE5A1A" w:rsidR="0014121B" w:rsidRPr="002A34F0" w:rsidRDefault="0014121B">
            <w:pPr>
              <w:rPr>
                <w:color w:val="000000"/>
                <w:sz w:val="20"/>
                <w:szCs w:val="20"/>
              </w:rPr>
            </w:pPr>
            <w:r w:rsidRPr="002A34F0">
              <w:rPr>
                <w:color w:val="000000"/>
                <w:sz w:val="20"/>
                <w:szCs w:val="20"/>
              </w:rPr>
              <w:t>Aff.</w:t>
            </w:r>
          </w:p>
        </w:tc>
        <w:tc>
          <w:tcPr>
            <w:tcW w:w="943" w:type="dxa"/>
            <w:tcBorders>
              <w:top w:val="nil"/>
              <w:left w:val="nil"/>
              <w:bottom w:val="nil"/>
              <w:right w:val="single" w:sz="4" w:space="0" w:color="auto"/>
            </w:tcBorders>
            <w:shd w:val="clear" w:color="auto" w:fill="auto"/>
            <w:noWrap/>
            <w:vAlign w:val="bottom"/>
            <w:hideMark/>
          </w:tcPr>
          <w:p w14:paraId="223B493F" w14:textId="77777777" w:rsidR="0014121B" w:rsidRPr="002A34F0" w:rsidRDefault="0014121B">
            <w:pPr>
              <w:rPr>
                <w:color w:val="000000"/>
                <w:sz w:val="20"/>
                <w:szCs w:val="20"/>
              </w:rPr>
            </w:pPr>
            <w:r w:rsidRPr="002A34F0">
              <w:rPr>
                <w:color w:val="000000"/>
                <w:sz w:val="20"/>
                <w:szCs w:val="20"/>
              </w:rPr>
              <w:t>Poor</w:t>
            </w:r>
          </w:p>
        </w:tc>
        <w:tc>
          <w:tcPr>
            <w:tcW w:w="1049" w:type="dxa"/>
            <w:tcBorders>
              <w:top w:val="nil"/>
              <w:left w:val="nil"/>
              <w:bottom w:val="nil"/>
              <w:right w:val="nil"/>
            </w:tcBorders>
            <w:shd w:val="clear" w:color="auto" w:fill="auto"/>
            <w:noWrap/>
            <w:vAlign w:val="bottom"/>
            <w:hideMark/>
          </w:tcPr>
          <w:p w14:paraId="5775BD84" w14:textId="77777777" w:rsidR="0014121B" w:rsidRPr="002A34F0" w:rsidRDefault="0014121B">
            <w:pPr>
              <w:rPr>
                <w:color w:val="000000"/>
                <w:sz w:val="20"/>
                <w:szCs w:val="20"/>
              </w:rPr>
            </w:pPr>
            <w:r w:rsidRPr="002A34F0">
              <w:rPr>
                <w:color w:val="000000"/>
                <w:sz w:val="20"/>
                <w:szCs w:val="20"/>
              </w:rPr>
              <w:t>Aff.#Aff.</w:t>
            </w:r>
          </w:p>
        </w:tc>
        <w:tc>
          <w:tcPr>
            <w:tcW w:w="1036" w:type="dxa"/>
            <w:tcBorders>
              <w:top w:val="nil"/>
              <w:left w:val="nil"/>
              <w:bottom w:val="nil"/>
              <w:right w:val="nil"/>
            </w:tcBorders>
            <w:shd w:val="clear" w:color="auto" w:fill="auto"/>
            <w:noWrap/>
            <w:vAlign w:val="bottom"/>
            <w:hideMark/>
          </w:tcPr>
          <w:p w14:paraId="5AF463AB" w14:textId="77777777" w:rsidR="0014121B" w:rsidRPr="002A34F0" w:rsidRDefault="0014121B">
            <w:pPr>
              <w:rPr>
                <w:color w:val="000000"/>
                <w:sz w:val="20"/>
                <w:szCs w:val="20"/>
              </w:rPr>
            </w:pPr>
            <w:r w:rsidRPr="002A34F0">
              <w:rPr>
                <w:color w:val="000000"/>
                <w:sz w:val="20"/>
                <w:szCs w:val="20"/>
              </w:rPr>
              <w:t>Aff.#Poor</w:t>
            </w:r>
          </w:p>
        </w:tc>
        <w:tc>
          <w:tcPr>
            <w:tcW w:w="1036" w:type="dxa"/>
            <w:tcBorders>
              <w:top w:val="nil"/>
              <w:left w:val="nil"/>
              <w:bottom w:val="nil"/>
              <w:right w:val="nil"/>
            </w:tcBorders>
            <w:shd w:val="clear" w:color="auto" w:fill="auto"/>
            <w:noWrap/>
            <w:vAlign w:val="bottom"/>
            <w:hideMark/>
          </w:tcPr>
          <w:p w14:paraId="6CA0747B" w14:textId="77777777" w:rsidR="0014121B" w:rsidRPr="002A34F0" w:rsidRDefault="0014121B">
            <w:pPr>
              <w:rPr>
                <w:color w:val="000000"/>
                <w:sz w:val="20"/>
                <w:szCs w:val="20"/>
              </w:rPr>
            </w:pPr>
            <w:r w:rsidRPr="002A34F0">
              <w:rPr>
                <w:color w:val="000000"/>
                <w:sz w:val="20"/>
                <w:szCs w:val="20"/>
              </w:rPr>
              <w:t>Poor#Aff.</w:t>
            </w:r>
          </w:p>
        </w:tc>
        <w:tc>
          <w:tcPr>
            <w:tcW w:w="1072" w:type="dxa"/>
            <w:tcBorders>
              <w:top w:val="nil"/>
              <w:left w:val="nil"/>
              <w:bottom w:val="nil"/>
              <w:right w:val="nil"/>
            </w:tcBorders>
            <w:shd w:val="clear" w:color="auto" w:fill="auto"/>
            <w:noWrap/>
            <w:vAlign w:val="bottom"/>
            <w:hideMark/>
          </w:tcPr>
          <w:p w14:paraId="62A178F5" w14:textId="77777777" w:rsidR="0014121B" w:rsidRPr="002A34F0" w:rsidRDefault="0014121B">
            <w:pPr>
              <w:rPr>
                <w:color w:val="000000"/>
                <w:sz w:val="20"/>
                <w:szCs w:val="20"/>
              </w:rPr>
            </w:pPr>
            <w:r w:rsidRPr="002A34F0">
              <w:rPr>
                <w:color w:val="000000"/>
                <w:sz w:val="20"/>
                <w:szCs w:val="20"/>
              </w:rPr>
              <w:t>Poor#Poor</w:t>
            </w:r>
          </w:p>
        </w:tc>
        <w:tc>
          <w:tcPr>
            <w:tcW w:w="927" w:type="dxa"/>
            <w:tcBorders>
              <w:top w:val="nil"/>
              <w:left w:val="single" w:sz="4" w:space="0" w:color="auto"/>
              <w:bottom w:val="nil"/>
              <w:right w:val="single" w:sz="4" w:space="0" w:color="auto"/>
            </w:tcBorders>
            <w:shd w:val="clear" w:color="auto" w:fill="auto"/>
            <w:noWrap/>
            <w:vAlign w:val="bottom"/>
            <w:hideMark/>
          </w:tcPr>
          <w:p w14:paraId="67AA4CF5" w14:textId="77777777" w:rsidR="0014121B" w:rsidRPr="002A34F0" w:rsidRDefault="0014121B">
            <w:pPr>
              <w:rPr>
                <w:color w:val="000000"/>
                <w:sz w:val="20"/>
                <w:szCs w:val="20"/>
              </w:rPr>
            </w:pPr>
            <w:r w:rsidRPr="002A34F0">
              <w:rPr>
                <w:color w:val="000000"/>
                <w:sz w:val="20"/>
                <w:szCs w:val="20"/>
              </w:rPr>
              <w:t> </w:t>
            </w:r>
          </w:p>
        </w:tc>
        <w:tc>
          <w:tcPr>
            <w:tcW w:w="820" w:type="dxa"/>
            <w:tcBorders>
              <w:top w:val="nil"/>
              <w:left w:val="nil"/>
              <w:bottom w:val="nil"/>
              <w:right w:val="nil"/>
            </w:tcBorders>
            <w:shd w:val="clear" w:color="auto" w:fill="auto"/>
            <w:noWrap/>
            <w:vAlign w:val="bottom"/>
            <w:hideMark/>
          </w:tcPr>
          <w:p w14:paraId="0B5739CF" w14:textId="77777777" w:rsidR="0014121B" w:rsidRPr="002A34F0" w:rsidRDefault="0014121B">
            <w:pPr>
              <w:rPr>
                <w:color w:val="000000"/>
                <w:sz w:val="20"/>
                <w:szCs w:val="20"/>
              </w:rPr>
            </w:pPr>
          </w:p>
        </w:tc>
        <w:tc>
          <w:tcPr>
            <w:tcW w:w="900" w:type="dxa"/>
            <w:tcBorders>
              <w:top w:val="nil"/>
              <w:left w:val="nil"/>
              <w:bottom w:val="nil"/>
              <w:right w:val="nil"/>
            </w:tcBorders>
            <w:shd w:val="clear" w:color="auto" w:fill="auto"/>
            <w:noWrap/>
            <w:vAlign w:val="bottom"/>
            <w:hideMark/>
          </w:tcPr>
          <w:p w14:paraId="2C5175C5" w14:textId="77777777" w:rsidR="0014121B" w:rsidRPr="002A34F0" w:rsidRDefault="0014121B">
            <w:pPr>
              <w:rPr>
                <w:sz w:val="20"/>
                <w:szCs w:val="20"/>
              </w:rPr>
            </w:pPr>
          </w:p>
        </w:tc>
        <w:tc>
          <w:tcPr>
            <w:tcW w:w="1620" w:type="dxa"/>
            <w:vMerge/>
            <w:tcBorders>
              <w:top w:val="nil"/>
              <w:left w:val="nil"/>
              <w:bottom w:val="dashed" w:sz="4" w:space="0" w:color="000000"/>
              <w:right w:val="single" w:sz="8" w:space="0" w:color="auto"/>
            </w:tcBorders>
            <w:vAlign w:val="center"/>
            <w:hideMark/>
          </w:tcPr>
          <w:p w14:paraId="4C1FC98D" w14:textId="77777777" w:rsidR="0014121B" w:rsidRPr="002A34F0" w:rsidRDefault="0014121B">
            <w:pPr>
              <w:rPr>
                <w:color w:val="000000"/>
                <w:sz w:val="20"/>
                <w:szCs w:val="20"/>
              </w:rPr>
            </w:pPr>
          </w:p>
        </w:tc>
      </w:tr>
      <w:tr w:rsidR="0014121B" w:rsidRPr="002A34F0" w14:paraId="068F7780" w14:textId="77777777" w:rsidTr="003A227F">
        <w:trPr>
          <w:trHeight w:val="288"/>
        </w:trPr>
        <w:tc>
          <w:tcPr>
            <w:tcW w:w="1987" w:type="dxa"/>
            <w:tcBorders>
              <w:top w:val="dashed" w:sz="4" w:space="0" w:color="auto"/>
              <w:left w:val="single" w:sz="8" w:space="0" w:color="auto"/>
              <w:bottom w:val="dashed" w:sz="4" w:space="0" w:color="auto"/>
              <w:right w:val="single" w:sz="8" w:space="0" w:color="auto"/>
            </w:tcBorders>
            <w:shd w:val="clear" w:color="auto" w:fill="auto"/>
            <w:noWrap/>
            <w:vAlign w:val="bottom"/>
            <w:hideMark/>
          </w:tcPr>
          <w:p w14:paraId="373C5DE1" w14:textId="77777777" w:rsidR="0014121B" w:rsidRPr="002A34F0" w:rsidRDefault="0014121B">
            <w:pPr>
              <w:rPr>
                <w:color w:val="000000"/>
                <w:sz w:val="20"/>
                <w:szCs w:val="20"/>
              </w:rPr>
            </w:pPr>
            <w:r w:rsidRPr="002A34F0">
              <w:rPr>
                <w:color w:val="000000"/>
                <w:sz w:val="20"/>
                <w:szCs w:val="20"/>
              </w:rPr>
              <w:t>Housing</w:t>
            </w:r>
          </w:p>
        </w:tc>
        <w:tc>
          <w:tcPr>
            <w:tcW w:w="875" w:type="dxa"/>
            <w:tcBorders>
              <w:top w:val="dashed" w:sz="4" w:space="0" w:color="auto"/>
              <w:left w:val="nil"/>
              <w:bottom w:val="dashed" w:sz="4" w:space="0" w:color="auto"/>
              <w:right w:val="nil"/>
            </w:tcBorders>
            <w:shd w:val="clear" w:color="auto" w:fill="auto"/>
            <w:noWrap/>
            <w:vAlign w:val="bottom"/>
            <w:hideMark/>
          </w:tcPr>
          <w:p w14:paraId="21EA4FCA" w14:textId="77777777" w:rsidR="0014121B" w:rsidRPr="002A34F0" w:rsidRDefault="0014121B">
            <w:pPr>
              <w:rPr>
                <w:color w:val="000000"/>
                <w:sz w:val="20"/>
                <w:szCs w:val="20"/>
              </w:rPr>
            </w:pPr>
            <w:r w:rsidRPr="002A34F0">
              <w:rPr>
                <w:color w:val="000000"/>
                <w:sz w:val="20"/>
                <w:szCs w:val="20"/>
              </w:rPr>
              <w:t> </w:t>
            </w:r>
          </w:p>
        </w:tc>
        <w:tc>
          <w:tcPr>
            <w:tcW w:w="899" w:type="dxa"/>
            <w:tcBorders>
              <w:top w:val="dashed" w:sz="4" w:space="0" w:color="auto"/>
              <w:left w:val="nil"/>
              <w:bottom w:val="dashed" w:sz="4" w:space="0" w:color="auto"/>
              <w:right w:val="nil"/>
            </w:tcBorders>
            <w:shd w:val="clear" w:color="auto" w:fill="auto"/>
            <w:noWrap/>
            <w:vAlign w:val="bottom"/>
            <w:hideMark/>
          </w:tcPr>
          <w:p w14:paraId="3503C410" w14:textId="77777777" w:rsidR="0014121B" w:rsidRPr="002A34F0" w:rsidRDefault="0014121B">
            <w:pPr>
              <w:rPr>
                <w:color w:val="000000"/>
                <w:sz w:val="20"/>
                <w:szCs w:val="20"/>
              </w:rPr>
            </w:pPr>
            <w:r w:rsidRPr="002A34F0">
              <w:rPr>
                <w:color w:val="000000"/>
                <w:sz w:val="20"/>
                <w:szCs w:val="20"/>
              </w:rPr>
              <w:t> </w:t>
            </w:r>
          </w:p>
        </w:tc>
        <w:tc>
          <w:tcPr>
            <w:tcW w:w="866" w:type="dxa"/>
            <w:tcBorders>
              <w:top w:val="dashed" w:sz="4" w:space="0" w:color="auto"/>
              <w:left w:val="single" w:sz="4" w:space="0" w:color="auto"/>
              <w:bottom w:val="dashed" w:sz="4" w:space="0" w:color="auto"/>
              <w:right w:val="nil"/>
            </w:tcBorders>
            <w:shd w:val="clear" w:color="auto" w:fill="auto"/>
            <w:noWrap/>
            <w:vAlign w:val="bottom"/>
            <w:hideMark/>
          </w:tcPr>
          <w:p w14:paraId="6C855ED2" w14:textId="77777777" w:rsidR="0014121B" w:rsidRPr="002A34F0" w:rsidRDefault="0014121B">
            <w:pPr>
              <w:rPr>
                <w:color w:val="000000"/>
                <w:sz w:val="20"/>
                <w:szCs w:val="20"/>
              </w:rPr>
            </w:pPr>
            <w:r w:rsidRPr="002A34F0">
              <w:rPr>
                <w:color w:val="000000"/>
                <w:sz w:val="20"/>
                <w:szCs w:val="20"/>
              </w:rPr>
              <w:t> </w:t>
            </w:r>
          </w:p>
        </w:tc>
        <w:tc>
          <w:tcPr>
            <w:tcW w:w="943" w:type="dxa"/>
            <w:tcBorders>
              <w:top w:val="dashed" w:sz="4" w:space="0" w:color="auto"/>
              <w:left w:val="nil"/>
              <w:bottom w:val="dashed" w:sz="4" w:space="0" w:color="auto"/>
              <w:right w:val="single" w:sz="4" w:space="0" w:color="auto"/>
            </w:tcBorders>
            <w:shd w:val="clear" w:color="auto" w:fill="auto"/>
            <w:noWrap/>
            <w:vAlign w:val="bottom"/>
            <w:hideMark/>
          </w:tcPr>
          <w:p w14:paraId="5393834B" w14:textId="77777777" w:rsidR="0014121B" w:rsidRPr="002A34F0" w:rsidRDefault="0014121B">
            <w:pPr>
              <w:rPr>
                <w:color w:val="000000"/>
                <w:sz w:val="20"/>
                <w:szCs w:val="20"/>
              </w:rPr>
            </w:pPr>
            <w:r w:rsidRPr="002A34F0">
              <w:rPr>
                <w:color w:val="000000"/>
                <w:sz w:val="20"/>
                <w:szCs w:val="20"/>
              </w:rPr>
              <w:t> </w:t>
            </w:r>
          </w:p>
        </w:tc>
        <w:tc>
          <w:tcPr>
            <w:tcW w:w="1049" w:type="dxa"/>
            <w:tcBorders>
              <w:top w:val="dashed" w:sz="4" w:space="0" w:color="auto"/>
              <w:left w:val="nil"/>
              <w:bottom w:val="dashed" w:sz="4" w:space="0" w:color="auto"/>
              <w:right w:val="nil"/>
            </w:tcBorders>
            <w:shd w:val="clear" w:color="auto" w:fill="auto"/>
            <w:noWrap/>
            <w:vAlign w:val="bottom"/>
            <w:hideMark/>
          </w:tcPr>
          <w:p w14:paraId="5D20A864" w14:textId="77777777" w:rsidR="0014121B" w:rsidRPr="002A34F0" w:rsidRDefault="0014121B">
            <w:pPr>
              <w:rPr>
                <w:color w:val="000000"/>
                <w:sz w:val="20"/>
                <w:szCs w:val="20"/>
              </w:rPr>
            </w:pPr>
            <w:r w:rsidRPr="002A34F0">
              <w:rPr>
                <w:color w:val="000000"/>
                <w:sz w:val="20"/>
                <w:szCs w:val="20"/>
              </w:rPr>
              <w:t> </w:t>
            </w:r>
          </w:p>
        </w:tc>
        <w:tc>
          <w:tcPr>
            <w:tcW w:w="1036" w:type="dxa"/>
            <w:tcBorders>
              <w:top w:val="dashed" w:sz="4" w:space="0" w:color="auto"/>
              <w:left w:val="nil"/>
              <w:bottom w:val="dashed" w:sz="4" w:space="0" w:color="auto"/>
              <w:right w:val="nil"/>
            </w:tcBorders>
            <w:shd w:val="clear" w:color="auto" w:fill="auto"/>
            <w:noWrap/>
            <w:vAlign w:val="bottom"/>
            <w:hideMark/>
          </w:tcPr>
          <w:p w14:paraId="48E8DD7E" w14:textId="77777777" w:rsidR="0014121B" w:rsidRPr="002A34F0" w:rsidRDefault="0014121B">
            <w:pPr>
              <w:rPr>
                <w:color w:val="000000"/>
                <w:sz w:val="20"/>
                <w:szCs w:val="20"/>
              </w:rPr>
            </w:pPr>
            <w:r w:rsidRPr="002A34F0">
              <w:rPr>
                <w:color w:val="000000"/>
                <w:sz w:val="20"/>
                <w:szCs w:val="20"/>
              </w:rPr>
              <w:t> </w:t>
            </w:r>
          </w:p>
        </w:tc>
        <w:tc>
          <w:tcPr>
            <w:tcW w:w="1036" w:type="dxa"/>
            <w:tcBorders>
              <w:top w:val="dashed" w:sz="4" w:space="0" w:color="auto"/>
              <w:left w:val="nil"/>
              <w:bottom w:val="dashed" w:sz="4" w:space="0" w:color="auto"/>
              <w:right w:val="nil"/>
            </w:tcBorders>
            <w:shd w:val="clear" w:color="auto" w:fill="auto"/>
            <w:noWrap/>
            <w:vAlign w:val="bottom"/>
            <w:hideMark/>
          </w:tcPr>
          <w:p w14:paraId="28860A75" w14:textId="77777777" w:rsidR="0014121B" w:rsidRPr="002A34F0" w:rsidRDefault="0014121B">
            <w:pPr>
              <w:rPr>
                <w:color w:val="000000"/>
                <w:sz w:val="20"/>
                <w:szCs w:val="20"/>
              </w:rPr>
            </w:pPr>
            <w:r w:rsidRPr="002A34F0">
              <w:rPr>
                <w:color w:val="000000"/>
                <w:sz w:val="20"/>
                <w:szCs w:val="20"/>
              </w:rPr>
              <w:t> </w:t>
            </w:r>
          </w:p>
        </w:tc>
        <w:tc>
          <w:tcPr>
            <w:tcW w:w="1072" w:type="dxa"/>
            <w:tcBorders>
              <w:top w:val="dashed" w:sz="4" w:space="0" w:color="auto"/>
              <w:left w:val="nil"/>
              <w:bottom w:val="dashed" w:sz="4" w:space="0" w:color="auto"/>
              <w:right w:val="nil"/>
            </w:tcBorders>
            <w:shd w:val="clear" w:color="auto" w:fill="auto"/>
            <w:noWrap/>
            <w:vAlign w:val="bottom"/>
            <w:hideMark/>
          </w:tcPr>
          <w:p w14:paraId="394C029F" w14:textId="77777777" w:rsidR="0014121B" w:rsidRPr="002A34F0" w:rsidRDefault="0014121B">
            <w:pPr>
              <w:rPr>
                <w:color w:val="000000"/>
                <w:sz w:val="20"/>
                <w:szCs w:val="20"/>
              </w:rPr>
            </w:pPr>
            <w:r w:rsidRPr="002A34F0">
              <w:rPr>
                <w:color w:val="000000"/>
                <w:sz w:val="20"/>
                <w:szCs w:val="20"/>
              </w:rPr>
              <w:t> </w:t>
            </w:r>
          </w:p>
        </w:tc>
        <w:tc>
          <w:tcPr>
            <w:tcW w:w="927" w:type="dxa"/>
            <w:tcBorders>
              <w:top w:val="dashed" w:sz="4" w:space="0" w:color="auto"/>
              <w:left w:val="single" w:sz="4" w:space="0" w:color="auto"/>
              <w:bottom w:val="dashed" w:sz="4" w:space="0" w:color="auto"/>
              <w:right w:val="single" w:sz="4" w:space="0" w:color="auto"/>
            </w:tcBorders>
            <w:shd w:val="clear" w:color="auto" w:fill="auto"/>
            <w:noWrap/>
            <w:vAlign w:val="bottom"/>
            <w:hideMark/>
          </w:tcPr>
          <w:p w14:paraId="340D589E" w14:textId="77777777" w:rsidR="0014121B" w:rsidRPr="002A34F0" w:rsidRDefault="0014121B">
            <w:pPr>
              <w:rPr>
                <w:color w:val="000000"/>
                <w:sz w:val="20"/>
                <w:szCs w:val="20"/>
              </w:rPr>
            </w:pPr>
            <w:r w:rsidRPr="002A34F0">
              <w:rPr>
                <w:color w:val="000000"/>
                <w:sz w:val="20"/>
                <w:szCs w:val="20"/>
              </w:rPr>
              <w:t> </w:t>
            </w:r>
          </w:p>
        </w:tc>
        <w:tc>
          <w:tcPr>
            <w:tcW w:w="820" w:type="dxa"/>
            <w:tcBorders>
              <w:top w:val="dashed" w:sz="4" w:space="0" w:color="auto"/>
              <w:left w:val="nil"/>
              <w:bottom w:val="dashed" w:sz="4" w:space="0" w:color="auto"/>
              <w:right w:val="nil"/>
            </w:tcBorders>
            <w:shd w:val="clear" w:color="auto" w:fill="auto"/>
            <w:noWrap/>
            <w:vAlign w:val="bottom"/>
            <w:hideMark/>
          </w:tcPr>
          <w:p w14:paraId="7F0D6A7B" w14:textId="77777777" w:rsidR="0014121B" w:rsidRPr="002A34F0" w:rsidRDefault="0014121B">
            <w:pPr>
              <w:rPr>
                <w:color w:val="000000"/>
                <w:sz w:val="20"/>
                <w:szCs w:val="20"/>
              </w:rPr>
            </w:pPr>
            <w:r w:rsidRPr="002A34F0">
              <w:rPr>
                <w:color w:val="000000"/>
                <w:sz w:val="20"/>
                <w:szCs w:val="20"/>
              </w:rPr>
              <w:t> </w:t>
            </w:r>
          </w:p>
        </w:tc>
        <w:tc>
          <w:tcPr>
            <w:tcW w:w="900" w:type="dxa"/>
            <w:tcBorders>
              <w:top w:val="dashed" w:sz="4" w:space="0" w:color="auto"/>
              <w:left w:val="nil"/>
              <w:bottom w:val="dashed" w:sz="4" w:space="0" w:color="auto"/>
              <w:right w:val="nil"/>
            </w:tcBorders>
            <w:shd w:val="clear" w:color="auto" w:fill="auto"/>
            <w:noWrap/>
            <w:vAlign w:val="bottom"/>
            <w:hideMark/>
          </w:tcPr>
          <w:p w14:paraId="40BADCA8" w14:textId="77777777" w:rsidR="0014121B" w:rsidRPr="002A34F0" w:rsidRDefault="0014121B">
            <w:pPr>
              <w:rPr>
                <w:color w:val="000000"/>
                <w:sz w:val="20"/>
                <w:szCs w:val="20"/>
              </w:rPr>
            </w:pPr>
            <w:r w:rsidRPr="002A34F0">
              <w:rPr>
                <w:color w:val="000000"/>
                <w:sz w:val="20"/>
                <w:szCs w:val="20"/>
              </w:rPr>
              <w:t> </w:t>
            </w:r>
          </w:p>
        </w:tc>
        <w:tc>
          <w:tcPr>
            <w:tcW w:w="1620" w:type="dxa"/>
            <w:tcBorders>
              <w:top w:val="nil"/>
              <w:left w:val="nil"/>
              <w:bottom w:val="dashed" w:sz="4" w:space="0" w:color="auto"/>
              <w:right w:val="single" w:sz="8" w:space="0" w:color="auto"/>
            </w:tcBorders>
            <w:shd w:val="clear" w:color="auto" w:fill="auto"/>
            <w:noWrap/>
            <w:vAlign w:val="bottom"/>
            <w:hideMark/>
          </w:tcPr>
          <w:p w14:paraId="5BAFE921" w14:textId="77777777" w:rsidR="0014121B" w:rsidRPr="002A34F0" w:rsidRDefault="0014121B">
            <w:pPr>
              <w:rPr>
                <w:color w:val="000000"/>
                <w:sz w:val="20"/>
                <w:szCs w:val="20"/>
              </w:rPr>
            </w:pPr>
            <w:r w:rsidRPr="002A34F0">
              <w:rPr>
                <w:color w:val="000000"/>
                <w:sz w:val="20"/>
                <w:szCs w:val="20"/>
              </w:rPr>
              <w:t> </w:t>
            </w:r>
          </w:p>
        </w:tc>
      </w:tr>
      <w:tr w:rsidR="0014121B" w:rsidRPr="002A34F0" w14:paraId="6CAA9DBD"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48E81B2D" w14:textId="77777777" w:rsidR="0014121B" w:rsidRPr="002A34F0" w:rsidRDefault="0014121B">
            <w:pPr>
              <w:ind w:firstLineChars="100" w:firstLine="200"/>
              <w:rPr>
                <w:i/>
                <w:iCs/>
                <w:color w:val="000000"/>
                <w:sz w:val="20"/>
                <w:szCs w:val="20"/>
              </w:rPr>
            </w:pPr>
            <w:r w:rsidRPr="002A34F0">
              <w:rPr>
                <w:i/>
                <w:iCs/>
                <w:color w:val="000000"/>
                <w:sz w:val="20"/>
                <w:szCs w:val="20"/>
              </w:rPr>
              <w:t>Dwelling</w:t>
            </w:r>
          </w:p>
        </w:tc>
        <w:tc>
          <w:tcPr>
            <w:tcW w:w="875" w:type="dxa"/>
            <w:tcBorders>
              <w:top w:val="nil"/>
              <w:left w:val="nil"/>
              <w:bottom w:val="dashed" w:sz="4" w:space="0" w:color="auto"/>
              <w:right w:val="nil"/>
            </w:tcBorders>
            <w:shd w:val="clear" w:color="auto" w:fill="auto"/>
            <w:noWrap/>
            <w:vAlign w:val="center"/>
            <w:hideMark/>
          </w:tcPr>
          <w:p w14:paraId="0B677799" w14:textId="77777777" w:rsidR="0014121B" w:rsidRPr="002A34F0" w:rsidRDefault="0014121B">
            <w:pPr>
              <w:jc w:val="center"/>
              <w:rPr>
                <w:color w:val="000000"/>
                <w:sz w:val="20"/>
                <w:szCs w:val="20"/>
              </w:rPr>
            </w:pPr>
            <w:r w:rsidRPr="002A34F0">
              <w:rPr>
                <w:color w:val="000000"/>
                <w:sz w:val="20"/>
                <w:szCs w:val="20"/>
              </w:rPr>
              <w:t>0.973*</w:t>
            </w:r>
          </w:p>
        </w:tc>
        <w:tc>
          <w:tcPr>
            <w:tcW w:w="899" w:type="dxa"/>
            <w:tcBorders>
              <w:top w:val="nil"/>
              <w:left w:val="nil"/>
              <w:bottom w:val="dashed" w:sz="4" w:space="0" w:color="auto"/>
              <w:right w:val="nil"/>
            </w:tcBorders>
            <w:shd w:val="clear" w:color="auto" w:fill="auto"/>
            <w:noWrap/>
            <w:vAlign w:val="center"/>
            <w:hideMark/>
          </w:tcPr>
          <w:p w14:paraId="1B63F1CA" w14:textId="77777777" w:rsidR="0014121B" w:rsidRPr="002A34F0" w:rsidRDefault="0014121B">
            <w:pPr>
              <w:jc w:val="center"/>
              <w:rPr>
                <w:color w:val="000000"/>
                <w:sz w:val="20"/>
                <w:szCs w:val="20"/>
              </w:rPr>
            </w:pPr>
            <w:r w:rsidRPr="002A34F0">
              <w:rPr>
                <w:color w:val="000000"/>
                <w:sz w:val="20"/>
                <w:szCs w:val="20"/>
              </w:rPr>
              <w:t>-0.826*</w:t>
            </w:r>
          </w:p>
        </w:tc>
        <w:tc>
          <w:tcPr>
            <w:tcW w:w="866" w:type="dxa"/>
            <w:tcBorders>
              <w:top w:val="nil"/>
              <w:left w:val="single" w:sz="4" w:space="0" w:color="auto"/>
              <w:bottom w:val="dashed" w:sz="4" w:space="0" w:color="auto"/>
              <w:right w:val="nil"/>
            </w:tcBorders>
            <w:shd w:val="clear" w:color="auto" w:fill="auto"/>
            <w:noWrap/>
            <w:vAlign w:val="center"/>
            <w:hideMark/>
          </w:tcPr>
          <w:p w14:paraId="643F979D" w14:textId="77777777" w:rsidR="0014121B" w:rsidRPr="002A34F0" w:rsidRDefault="0014121B">
            <w:pPr>
              <w:jc w:val="center"/>
              <w:rPr>
                <w:color w:val="000000"/>
                <w:sz w:val="20"/>
                <w:szCs w:val="20"/>
              </w:rPr>
            </w:pPr>
            <w:r w:rsidRPr="002A34F0">
              <w:rPr>
                <w:color w:val="000000"/>
                <w:sz w:val="20"/>
                <w:szCs w:val="20"/>
              </w:rPr>
              <w:t>-0.261*</w:t>
            </w:r>
          </w:p>
        </w:tc>
        <w:tc>
          <w:tcPr>
            <w:tcW w:w="943" w:type="dxa"/>
            <w:tcBorders>
              <w:top w:val="nil"/>
              <w:left w:val="nil"/>
              <w:bottom w:val="dashed" w:sz="4" w:space="0" w:color="auto"/>
              <w:right w:val="single" w:sz="4" w:space="0" w:color="auto"/>
            </w:tcBorders>
            <w:shd w:val="clear" w:color="auto" w:fill="auto"/>
            <w:noWrap/>
            <w:vAlign w:val="center"/>
            <w:hideMark/>
          </w:tcPr>
          <w:p w14:paraId="76A85BF1" w14:textId="77777777" w:rsidR="0014121B" w:rsidRPr="002A34F0" w:rsidRDefault="0014121B">
            <w:pPr>
              <w:jc w:val="center"/>
              <w:rPr>
                <w:color w:val="000000"/>
                <w:sz w:val="20"/>
                <w:szCs w:val="20"/>
              </w:rPr>
            </w:pPr>
            <w:r w:rsidRPr="002A34F0">
              <w:rPr>
                <w:color w:val="000000"/>
                <w:sz w:val="20"/>
                <w:szCs w:val="20"/>
              </w:rPr>
              <w:t>-0.038</w:t>
            </w:r>
          </w:p>
        </w:tc>
        <w:tc>
          <w:tcPr>
            <w:tcW w:w="1049" w:type="dxa"/>
            <w:tcBorders>
              <w:top w:val="nil"/>
              <w:left w:val="nil"/>
              <w:bottom w:val="dashed" w:sz="4" w:space="0" w:color="auto"/>
              <w:right w:val="nil"/>
            </w:tcBorders>
            <w:shd w:val="clear" w:color="auto" w:fill="auto"/>
            <w:noWrap/>
            <w:vAlign w:val="center"/>
            <w:hideMark/>
          </w:tcPr>
          <w:p w14:paraId="33DC1AB2" w14:textId="77777777" w:rsidR="0014121B" w:rsidRPr="002A34F0" w:rsidRDefault="0014121B">
            <w:pPr>
              <w:jc w:val="center"/>
              <w:rPr>
                <w:color w:val="000000"/>
                <w:sz w:val="20"/>
                <w:szCs w:val="20"/>
              </w:rPr>
            </w:pPr>
            <w:r w:rsidRPr="002A34F0">
              <w:rPr>
                <w:color w:val="000000"/>
                <w:sz w:val="20"/>
                <w:szCs w:val="20"/>
              </w:rPr>
              <w:t>0.327*</w:t>
            </w:r>
          </w:p>
        </w:tc>
        <w:tc>
          <w:tcPr>
            <w:tcW w:w="1036" w:type="dxa"/>
            <w:tcBorders>
              <w:top w:val="nil"/>
              <w:left w:val="nil"/>
              <w:bottom w:val="dashed" w:sz="4" w:space="0" w:color="auto"/>
              <w:right w:val="nil"/>
            </w:tcBorders>
            <w:shd w:val="clear" w:color="auto" w:fill="auto"/>
            <w:noWrap/>
            <w:vAlign w:val="center"/>
            <w:hideMark/>
          </w:tcPr>
          <w:p w14:paraId="1DF8F91B" w14:textId="77777777" w:rsidR="0014121B" w:rsidRPr="002A34F0" w:rsidRDefault="0014121B">
            <w:pPr>
              <w:jc w:val="center"/>
              <w:rPr>
                <w:color w:val="000000"/>
                <w:sz w:val="20"/>
                <w:szCs w:val="20"/>
              </w:rPr>
            </w:pPr>
            <w:r w:rsidRPr="002A34F0">
              <w:rPr>
                <w:color w:val="000000"/>
                <w:sz w:val="20"/>
                <w:szCs w:val="20"/>
              </w:rPr>
              <w:t>-0.273*</w:t>
            </w:r>
          </w:p>
        </w:tc>
        <w:tc>
          <w:tcPr>
            <w:tcW w:w="1036" w:type="dxa"/>
            <w:tcBorders>
              <w:top w:val="nil"/>
              <w:left w:val="nil"/>
              <w:bottom w:val="dashed" w:sz="4" w:space="0" w:color="auto"/>
              <w:right w:val="nil"/>
            </w:tcBorders>
            <w:shd w:val="clear" w:color="auto" w:fill="auto"/>
            <w:noWrap/>
            <w:vAlign w:val="center"/>
            <w:hideMark/>
          </w:tcPr>
          <w:p w14:paraId="73793D7F" w14:textId="77777777" w:rsidR="0014121B" w:rsidRPr="002A34F0" w:rsidRDefault="0014121B">
            <w:pPr>
              <w:jc w:val="center"/>
              <w:rPr>
                <w:color w:val="000000"/>
                <w:sz w:val="20"/>
                <w:szCs w:val="20"/>
              </w:rPr>
            </w:pPr>
            <w:r w:rsidRPr="002A34F0">
              <w:rPr>
                <w:color w:val="000000"/>
                <w:sz w:val="20"/>
                <w:szCs w:val="20"/>
              </w:rPr>
              <w:t>-0.274*</w:t>
            </w:r>
          </w:p>
        </w:tc>
        <w:tc>
          <w:tcPr>
            <w:tcW w:w="1072" w:type="dxa"/>
            <w:tcBorders>
              <w:top w:val="nil"/>
              <w:left w:val="nil"/>
              <w:bottom w:val="dashed" w:sz="4" w:space="0" w:color="auto"/>
              <w:right w:val="nil"/>
            </w:tcBorders>
            <w:shd w:val="clear" w:color="auto" w:fill="auto"/>
            <w:noWrap/>
            <w:vAlign w:val="center"/>
            <w:hideMark/>
          </w:tcPr>
          <w:p w14:paraId="0D39364A" w14:textId="77777777" w:rsidR="0014121B" w:rsidRPr="002A34F0" w:rsidRDefault="0014121B">
            <w:pPr>
              <w:jc w:val="center"/>
              <w:rPr>
                <w:color w:val="000000"/>
                <w:sz w:val="20"/>
                <w:szCs w:val="20"/>
              </w:rPr>
            </w:pPr>
            <w:r w:rsidRPr="002A34F0">
              <w:rPr>
                <w:color w:val="000000"/>
                <w:sz w:val="20"/>
                <w:szCs w:val="20"/>
              </w:rPr>
              <w:t>0.338*</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66E45FD1" w14:textId="77777777" w:rsidR="0014121B" w:rsidRPr="002A34F0" w:rsidRDefault="0014121B">
            <w:pPr>
              <w:jc w:val="center"/>
              <w:rPr>
                <w:color w:val="000000"/>
                <w:sz w:val="20"/>
                <w:szCs w:val="20"/>
              </w:rPr>
            </w:pPr>
            <w:r w:rsidRPr="002A34F0">
              <w:rPr>
                <w:color w:val="000000"/>
                <w:sz w:val="20"/>
                <w:szCs w:val="20"/>
              </w:rPr>
              <w:t>2.514*</w:t>
            </w:r>
          </w:p>
        </w:tc>
        <w:tc>
          <w:tcPr>
            <w:tcW w:w="820" w:type="dxa"/>
            <w:tcBorders>
              <w:top w:val="nil"/>
              <w:left w:val="nil"/>
              <w:bottom w:val="dashed" w:sz="4" w:space="0" w:color="auto"/>
              <w:right w:val="nil"/>
            </w:tcBorders>
            <w:shd w:val="clear" w:color="auto" w:fill="auto"/>
            <w:noWrap/>
            <w:vAlign w:val="center"/>
            <w:hideMark/>
          </w:tcPr>
          <w:p w14:paraId="623CB1D6" w14:textId="77777777" w:rsidR="0014121B" w:rsidRPr="002A34F0" w:rsidRDefault="0014121B">
            <w:pPr>
              <w:jc w:val="center"/>
              <w:rPr>
                <w:color w:val="000000"/>
                <w:sz w:val="20"/>
                <w:szCs w:val="20"/>
              </w:rPr>
            </w:pPr>
            <w:r w:rsidRPr="002A34F0">
              <w:rPr>
                <w:color w:val="000000"/>
                <w:sz w:val="20"/>
                <w:szCs w:val="20"/>
              </w:rPr>
              <w:t>0.487</w:t>
            </w:r>
          </w:p>
        </w:tc>
        <w:tc>
          <w:tcPr>
            <w:tcW w:w="900" w:type="dxa"/>
            <w:tcBorders>
              <w:top w:val="nil"/>
              <w:left w:val="nil"/>
              <w:bottom w:val="dashed" w:sz="4" w:space="0" w:color="auto"/>
              <w:right w:val="nil"/>
            </w:tcBorders>
            <w:shd w:val="clear" w:color="auto" w:fill="auto"/>
            <w:noWrap/>
            <w:vAlign w:val="center"/>
            <w:hideMark/>
          </w:tcPr>
          <w:p w14:paraId="4D7F4192" w14:textId="77777777" w:rsidR="0014121B" w:rsidRPr="002A34F0" w:rsidRDefault="0014121B">
            <w:pPr>
              <w:jc w:val="center"/>
              <w:rPr>
                <w:color w:val="000000"/>
                <w:sz w:val="20"/>
                <w:szCs w:val="20"/>
              </w:rPr>
            </w:pPr>
            <w:r w:rsidRPr="002A34F0">
              <w:rPr>
                <w:color w:val="000000"/>
                <w:sz w:val="20"/>
                <w:szCs w:val="20"/>
              </w:rPr>
              <w:t>-421432</w:t>
            </w:r>
          </w:p>
        </w:tc>
        <w:tc>
          <w:tcPr>
            <w:tcW w:w="1620" w:type="dxa"/>
            <w:tcBorders>
              <w:top w:val="nil"/>
              <w:left w:val="nil"/>
              <w:bottom w:val="dashed" w:sz="4" w:space="0" w:color="auto"/>
              <w:right w:val="single" w:sz="8" w:space="0" w:color="auto"/>
            </w:tcBorders>
            <w:shd w:val="clear" w:color="auto" w:fill="auto"/>
            <w:noWrap/>
            <w:vAlign w:val="center"/>
            <w:hideMark/>
          </w:tcPr>
          <w:p w14:paraId="26036E49" w14:textId="77777777" w:rsidR="0014121B" w:rsidRPr="002A34F0" w:rsidRDefault="0014121B">
            <w:pPr>
              <w:jc w:val="center"/>
              <w:rPr>
                <w:color w:val="000000"/>
                <w:sz w:val="20"/>
                <w:szCs w:val="20"/>
              </w:rPr>
            </w:pPr>
            <w:r w:rsidRPr="002A34F0">
              <w:rPr>
                <w:color w:val="000000"/>
                <w:sz w:val="20"/>
                <w:szCs w:val="20"/>
              </w:rPr>
              <w:t>-9919.800</w:t>
            </w:r>
          </w:p>
        </w:tc>
      </w:tr>
      <w:tr w:rsidR="0014121B" w:rsidRPr="002A34F0" w14:paraId="729F6CF3"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687256D7" w14:textId="77777777" w:rsidR="0014121B" w:rsidRPr="002A34F0" w:rsidRDefault="0014121B">
            <w:pPr>
              <w:ind w:firstLineChars="100" w:firstLine="200"/>
              <w:rPr>
                <w:i/>
                <w:iCs/>
                <w:color w:val="000000"/>
                <w:sz w:val="20"/>
                <w:szCs w:val="20"/>
              </w:rPr>
            </w:pPr>
            <w:r w:rsidRPr="002A34F0">
              <w:rPr>
                <w:i/>
                <w:iCs/>
                <w:color w:val="000000"/>
                <w:sz w:val="20"/>
                <w:szCs w:val="20"/>
              </w:rPr>
              <w:t>Wall</w:t>
            </w:r>
          </w:p>
        </w:tc>
        <w:tc>
          <w:tcPr>
            <w:tcW w:w="875" w:type="dxa"/>
            <w:tcBorders>
              <w:top w:val="nil"/>
              <w:left w:val="nil"/>
              <w:bottom w:val="dashed" w:sz="4" w:space="0" w:color="auto"/>
              <w:right w:val="nil"/>
            </w:tcBorders>
            <w:shd w:val="clear" w:color="auto" w:fill="auto"/>
            <w:noWrap/>
            <w:vAlign w:val="center"/>
            <w:hideMark/>
          </w:tcPr>
          <w:p w14:paraId="057A67A0" w14:textId="77777777" w:rsidR="0014121B" w:rsidRPr="002A34F0" w:rsidRDefault="0014121B">
            <w:pPr>
              <w:jc w:val="center"/>
              <w:rPr>
                <w:color w:val="000000"/>
                <w:sz w:val="20"/>
                <w:szCs w:val="20"/>
              </w:rPr>
            </w:pPr>
            <w:r w:rsidRPr="002A34F0">
              <w:rPr>
                <w:color w:val="000000"/>
                <w:sz w:val="20"/>
                <w:szCs w:val="20"/>
              </w:rPr>
              <w:t>0.542*</w:t>
            </w:r>
          </w:p>
        </w:tc>
        <w:tc>
          <w:tcPr>
            <w:tcW w:w="899" w:type="dxa"/>
            <w:tcBorders>
              <w:top w:val="nil"/>
              <w:left w:val="nil"/>
              <w:bottom w:val="dashed" w:sz="4" w:space="0" w:color="auto"/>
              <w:right w:val="nil"/>
            </w:tcBorders>
            <w:shd w:val="clear" w:color="auto" w:fill="auto"/>
            <w:noWrap/>
            <w:vAlign w:val="center"/>
            <w:hideMark/>
          </w:tcPr>
          <w:p w14:paraId="43E61FB8" w14:textId="77777777" w:rsidR="0014121B" w:rsidRPr="002A34F0" w:rsidRDefault="0014121B">
            <w:pPr>
              <w:jc w:val="center"/>
              <w:rPr>
                <w:color w:val="000000"/>
                <w:sz w:val="20"/>
                <w:szCs w:val="20"/>
              </w:rPr>
            </w:pPr>
            <w:r w:rsidRPr="002A34F0">
              <w:rPr>
                <w:color w:val="000000"/>
                <w:sz w:val="20"/>
                <w:szCs w:val="20"/>
              </w:rPr>
              <w:t>-0.156*</w:t>
            </w:r>
          </w:p>
        </w:tc>
        <w:tc>
          <w:tcPr>
            <w:tcW w:w="866" w:type="dxa"/>
            <w:tcBorders>
              <w:top w:val="nil"/>
              <w:left w:val="single" w:sz="4" w:space="0" w:color="auto"/>
              <w:bottom w:val="dashed" w:sz="4" w:space="0" w:color="auto"/>
              <w:right w:val="nil"/>
            </w:tcBorders>
            <w:shd w:val="clear" w:color="auto" w:fill="auto"/>
            <w:noWrap/>
            <w:vAlign w:val="center"/>
            <w:hideMark/>
          </w:tcPr>
          <w:p w14:paraId="6E5BB154" w14:textId="77777777" w:rsidR="0014121B" w:rsidRPr="002A34F0" w:rsidRDefault="0014121B">
            <w:pPr>
              <w:jc w:val="center"/>
              <w:rPr>
                <w:color w:val="000000"/>
                <w:sz w:val="20"/>
                <w:szCs w:val="20"/>
              </w:rPr>
            </w:pPr>
            <w:r w:rsidRPr="002A34F0">
              <w:rPr>
                <w:color w:val="000000"/>
                <w:sz w:val="20"/>
                <w:szCs w:val="20"/>
              </w:rPr>
              <w:t>0.488*</w:t>
            </w:r>
          </w:p>
        </w:tc>
        <w:tc>
          <w:tcPr>
            <w:tcW w:w="943" w:type="dxa"/>
            <w:tcBorders>
              <w:top w:val="nil"/>
              <w:left w:val="nil"/>
              <w:bottom w:val="dashed" w:sz="4" w:space="0" w:color="auto"/>
              <w:right w:val="single" w:sz="4" w:space="0" w:color="auto"/>
            </w:tcBorders>
            <w:shd w:val="clear" w:color="auto" w:fill="auto"/>
            <w:noWrap/>
            <w:vAlign w:val="center"/>
            <w:hideMark/>
          </w:tcPr>
          <w:p w14:paraId="4EAEDB66" w14:textId="77777777" w:rsidR="0014121B" w:rsidRPr="002A34F0" w:rsidRDefault="0014121B">
            <w:pPr>
              <w:jc w:val="center"/>
              <w:rPr>
                <w:color w:val="000000"/>
                <w:sz w:val="20"/>
                <w:szCs w:val="20"/>
              </w:rPr>
            </w:pPr>
            <w:r w:rsidRPr="002A34F0">
              <w:rPr>
                <w:color w:val="000000"/>
                <w:sz w:val="20"/>
                <w:szCs w:val="20"/>
              </w:rPr>
              <w:t>-0.407*</w:t>
            </w:r>
          </w:p>
        </w:tc>
        <w:tc>
          <w:tcPr>
            <w:tcW w:w="1049" w:type="dxa"/>
            <w:tcBorders>
              <w:top w:val="nil"/>
              <w:left w:val="nil"/>
              <w:bottom w:val="dashed" w:sz="4" w:space="0" w:color="auto"/>
              <w:right w:val="nil"/>
            </w:tcBorders>
            <w:shd w:val="clear" w:color="auto" w:fill="auto"/>
            <w:noWrap/>
            <w:vAlign w:val="center"/>
            <w:hideMark/>
          </w:tcPr>
          <w:p w14:paraId="2523C9DF" w14:textId="77777777" w:rsidR="0014121B" w:rsidRPr="002A34F0" w:rsidRDefault="0014121B">
            <w:pPr>
              <w:jc w:val="center"/>
              <w:rPr>
                <w:color w:val="000000"/>
                <w:sz w:val="20"/>
                <w:szCs w:val="20"/>
              </w:rPr>
            </w:pPr>
            <w:r w:rsidRPr="002A34F0">
              <w:rPr>
                <w:color w:val="000000"/>
                <w:sz w:val="20"/>
                <w:szCs w:val="20"/>
              </w:rPr>
              <w:t>-0.120</w:t>
            </w:r>
          </w:p>
        </w:tc>
        <w:tc>
          <w:tcPr>
            <w:tcW w:w="1036" w:type="dxa"/>
            <w:tcBorders>
              <w:top w:val="nil"/>
              <w:left w:val="nil"/>
              <w:bottom w:val="dashed" w:sz="4" w:space="0" w:color="auto"/>
              <w:right w:val="nil"/>
            </w:tcBorders>
            <w:shd w:val="clear" w:color="auto" w:fill="auto"/>
            <w:noWrap/>
            <w:vAlign w:val="center"/>
            <w:hideMark/>
          </w:tcPr>
          <w:p w14:paraId="6904467A" w14:textId="77777777" w:rsidR="0014121B" w:rsidRPr="002A34F0" w:rsidRDefault="0014121B">
            <w:pPr>
              <w:jc w:val="center"/>
              <w:rPr>
                <w:color w:val="000000"/>
                <w:sz w:val="20"/>
                <w:szCs w:val="20"/>
              </w:rPr>
            </w:pPr>
            <w:r w:rsidRPr="002A34F0">
              <w:rPr>
                <w:color w:val="000000"/>
                <w:sz w:val="20"/>
                <w:szCs w:val="20"/>
              </w:rPr>
              <w:t>-0.214*</w:t>
            </w:r>
          </w:p>
        </w:tc>
        <w:tc>
          <w:tcPr>
            <w:tcW w:w="1036" w:type="dxa"/>
            <w:tcBorders>
              <w:top w:val="nil"/>
              <w:left w:val="nil"/>
              <w:bottom w:val="dashed" w:sz="4" w:space="0" w:color="auto"/>
              <w:right w:val="nil"/>
            </w:tcBorders>
            <w:shd w:val="clear" w:color="auto" w:fill="auto"/>
            <w:noWrap/>
            <w:vAlign w:val="center"/>
            <w:hideMark/>
          </w:tcPr>
          <w:p w14:paraId="6410A7AF" w14:textId="77777777" w:rsidR="0014121B" w:rsidRPr="002A34F0" w:rsidRDefault="0014121B">
            <w:pPr>
              <w:jc w:val="center"/>
              <w:rPr>
                <w:color w:val="000000"/>
                <w:sz w:val="20"/>
                <w:szCs w:val="20"/>
              </w:rPr>
            </w:pPr>
            <w:r w:rsidRPr="002A34F0">
              <w:rPr>
                <w:color w:val="000000"/>
                <w:sz w:val="20"/>
                <w:szCs w:val="20"/>
              </w:rPr>
              <w:t>-0.056</w:t>
            </w:r>
          </w:p>
        </w:tc>
        <w:tc>
          <w:tcPr>
            <w:tcW w:w="1072" w:type="dxa"/>
            <w:tcBorders>
              <w:top w:val="nil"/>
              <w:left w:val="nil"/>
              <w:bottom w:val="dashed" w:sz="4" w:space="0" w:color="auto"/>
              <w:right w:val="nil"/>
            </w:tcBorders>
            <w:shd w:val="clear" w:color="auto" w:fill="auto"/>
            <w:noWrap/>
            <w:vAlign w:val="center"/>
            <w:hideMark/>
          </w:tcPr>
          <w:p w14:paraId="6DFDDDF5" w14:textId="77777777" w:rsidR="0014121B" w:rsidRPr="002A34F0" w:rsidRDefault="0014121B">
            <w:pPr>
              <w:jc w:val="center"/>
              <w:rPr>
                <w:color w:val="000000"/>
                <w:sz w:val="20"/>
                <w:szCs w:val="20"/>
              </w:rPr>
            </w:pPr>
            <w:r w:rsidRPr="002A34F0">
              <w:rPr>
                <w:color w:val="000000"/>
                <w:sz w:val="20"/>
                <w:szCs w:val="20"/>
              </w:rPr>
              <w:t>0.017</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3F38E3BC" w14:textId="77777777" w:rsidR="0014121B" w:rsidRPr="002A34F0" w:rsidRDefault="0014121B">
            <w:pPr>
              <w:jc w:val="center"/>
              <w:rPr>
                <w:color w:val="000000"/>
                <w:sz w:val="20"/>
                <w:szCs w:val="20"/>
              </w:rPr>
            </w:pPr>
            <w:r w:rsidRPr="002A34F0">
              <w:rPr>
                <w:color w:val="000000"/>
                <w:sz w:val="20"/>
                <w:szCs w:val="20"/>
              </w:rPr>
              <w:t>3.120*</w:t>
            </w:r>
          </w:p>
        </w:tc>
        <w:tc>
          <w:tcPr>
            <w:tcW w:w="820" w:type="dxa"/>
            <w:tcBorders>
              <w:top w:val="nil"/>
              <w:left w:val="nil"/>
              <w:bottom w:val="dashed" w:sz="4" w:space="0" w:color="auto"/>
              <w:right w:val="nil"/>
            </w:tcBorders>
            <w:shd w:val="clear" w:color="auto" w:fill="auto"/>
            <w:noWrap/>
            <w:vAlign w:val="center"/>
            <w:hideMark/>
          </w:tcPr>
          <w:p w14:paraId="04857426" w14:textId="77777777" w:rsidR="0014121B" w:rsidRPr="002A34F0" w:rsidRDefault="0014121B">
            <w:pPr>
              <w:jc w:val="center"/>
              <w:rPr>
                <w:color w:val="000000"/>
                <w:sz w:val="20"/>
                <w:szCs w:val="20"/>
              </w:rPr>
            </w:pPr>
            <w:r w:rsidRPr="002A34F0">
              <w:rPr>
                <w:color w:val="000000"/>
                <w:sz w:val="20"/>
                <w:szCs w:val="20"/>
              </w:rPr>
              <w:t>0.301</w:t>
            </w:r>
          </w:p>
        </w:tc>
        <w:tc>
          <w:tcPr>
            <w:tcW w:w="900" w:type="dxa"/>
            <w:tcBorders>
              <w:top w:val="nil"/>
              <w:left w:val="nil"/>
              <w:bottom w:val="dashed" w:sz="4" w:space="0" w:color="auto"/>
              <w:right w:val="nil"/>
            </w:tcBorders>
            <w:shd w:val="clear" w:color="auto" w:fill="auto"/>
            <w:noWrap/>
            <w:vAlign w:val="center"/>
            <w:hideMark/>
          </w:tcPr>
          <w:p w14:paraId="0EC588E9" w14:textId="77777777" w:rsidR="0014121B" w:rsidRPr="002A34F0" w:rsidRDefault="0014121B">
            <w:pPr>
              <w:jc w:val="center"/>
              <w:rPr>
                <w:color w:val="000000"/>
                <w:sz w:val="20"/>
                <w:szCs w:val="20"/>
              </w:rPr>
            </w:pPr>
            <w:r w:rsidRPr="002A34F0">
              <w:rPr>
                <w:color w:val="000000"/>
                <w:sz w:val="20"/>
                <w:szCs w:val="20"/>
              </w:rPr>
              <w:t>-424732</w:t>
            </w:r>
          </w:p>
        </w:tc>
        <w:tc>
          <w:tcPr>
            <w:tcW w:w="1620" w:type="dxa"/>
            <w:tcBorders>
              <w:top w:val="nil"/>
              <w:left w:val="nil"/>
              <w:bottom w:val="dashed" w:sz="4" w:space="0" w:color="auto"/>
              <w:right w:val="single" w:sz="8" w:space="0" w:color="auto"/>
            </w:tcBorders>
            <w:shd w:val="clear" w:color="auto" w:fill="auto"/>
            <w:noWrap/>
            <w:vAlign w:val="center"/>
            <w:hideMark/>
          </w:tcPr>
          <w:p w14:paraId="4B220179" w14:textId="77777777" w:rsidR="0014121B" w:rsidRPr="002A34F0" w:rsidRDefault="0014121B">
            <w:pPr>
              <w:jc w:val="center"/>
              <w:rPr>
                <w:color w:val="000000"/>
                <w:sz w:val="20"/>
                <w:szCs w:val="20"/>
              </w:rPr>
            </w:pPr>
            <w:r w:rsidRPr="002A34F0">
              <w:rPr>
                <w:color w:val="000000"/>
                <w:sz w:val="20"/>
                <w:szCs w:val="20"/>
              </w:rPr>
              <w:t>-6120.713</w:t>
            </w:r>
          </w:p>
        </w:tc>
      </w:tr>
      <w:tr w:rsidR="0014121B" w:rsidRPr="002A34F0" w14:paraId="6730DC45"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692398FE" w14:textId="77777777" w:rsidR="0014121B" w:rsidRPr="002A34F0" w:rsidRDefault="0014121B">
            <w:pPr>
              <w:ind w:firstLineChars="100" w:firstLine="200"/>
              <w:rPr>
                <w:i/>
                <w:iCs/>
                <w:color w:val="000000"/>
                <w:sz w:val="20"/>
                <w:szCs w:val="20"/>
              </w:rPr>
            </w:pPr>
            <w:r w:rsidRPr="002A34F0">
              <w:rPr>
                <w:i/>
                <w:iCs/>
                <w:color w:val="000000"/>
                <w:sz w:val="20"/>
                <w:szCs w:val="20"/>
              </w:rPr>
              <w:t>Floor</w:t>
            </w:r>
          </w:p>
        </w:tc>
        <w:tc>
          <w:tcPr>
            <w:tcW w:w="875" w:type="dxa"/>
            <w:tcBorders>
              <w:top w:val="nil"/>
              <w:left w:val="nil"/>
              <w:bottom w:val="dashed" w:sz="4" w:space="0" w:color="auto"/>
              <w:right w:val="nil"/>
            </w:tcBorders>
            <w:shd w:val="clear" w:color="auto" w:fill="auto"/>
            <w:noWrap/>
            <w:vAlign w:val="center"/>
            <w:hideMark/>
          </w:tcPr>
          <w:p w14:paraId="15B125B6" w14:textId="77777777" w:rsidR="0014121B" w:rsidRPr="002A34F0" w:rsidRDefault="0014121B">
            <w:pPr>
              <w:jc w:val="center"/>
              <w:rPr>
                <w:color w:val="000000"/>
                <w:sz w:val="20"/>
                <w:szCs w:val="20"/>
              </w:rPr>
            </w:pPr>
            <w:r w:rsidRPr="002A34F0">
              <w:rPr>
                <w:color w:val="000000"/>
                <w:sz w:val="20"/>
                <w:szCs w:val="20"/>
              </w:rPr>
              <w:t>0.371</w:t>
            </w:r>
          </w:p>
        </w:tc>
        <w:tc>
          <w:tcPr>
            <w:tcW w:w="899" w:type="dxa"/>
            <w:tcBorders>
              <w:top w:val="nil"/>
              <w:left w:val="nil"/>
              <w:bottom w:val="dashed" w:sz="4" w:space="0" w:color="auto"/>
              <w:right w:val="nil"/>
            </w:tcBorders>
            <w:shd w:val="clear" w:color="auto" w:fill="auto"/>
            <w:noWrap/>
            <w:vAlign w:val="center"/>
            <w:hideMark/>
          </w:tcPr>
          <w:p w14:paraId="48007E00" w14:textId="77777777" w:rsidR="0014121B" w:rsidRPr="002A34F0" w:rsidRDefault="0014121B">
            <w:pPr>
              <w:jc w:val="center"/>
              <w:rPr>
                <w:color w:val="000000"/>
                <w:sz w:val="20"/>
                <w:szCs w:val="20"/>
              </w:rPr>
            </w:pPr>
            <w:r w:rsidRPr="002A34F0">
              <w:rPr>
                <w:color w:val="000000"/>
                <w:sz w:val="20"/>
                <w:szCs w:val="20"/>
              </w:rPr>
              <w:t>-0.278</w:t>
            </w:r>
          </w:p>
        </w:tc>
        <w:tc>
          <w:tcPr>
            <w:tcW w:w="866" w:type="dxa"/>
            <w:tcBorders>
              <w:top w:val="nil"/>
              <w:left w:val="single" w:sz="4" w:space="0" w:color="auto"/>
              <w:bottom w:val="dashed" w:sz="4" w:space="0" w:color="auto"/>
              <w:right w:val="nil"/>
            </w:tcBorders>
            <w:shd w:val="clear" w:color="auto" w:fill="auto"/>
            <w:noWrap/>
            <w:vAlign w:val="center"/>
            <w:hideMark/>
          </w:tcPr>
          <w:p w14:paraId="55EE9965" w14:textId="77777777" w:rsidR="0014121B" w:rsidRPr="002A34F0" w:rsidRDefault="0014121B">
            <w:pPr>
              <w:jc w:val="center"/>
              <w:rPr>
                <w:color w:val="000000"/>
                <w:sz w:val="20"/>
                <w:szCs w:val="20"/>
              </w:rPr>
            </w:pPr>
            <w:r w:rsidRPr="002A34F0">
              <w:rPr>
                <w:color w:val="000000"/>
                <w:sz w:val="20"/>
                <w:szCs w:val="20"/>
              </w:rPr>
              <w:t>-0.138</w:t>
            </w:r>
          </w:p>
        </w:tc>
        <w:tc>
          <w:tcPr>
            <w:tcW w:w="943" w:type="dxa"/>
            <w:tcBorders>
              <w:top w:val="nil"/>
              <w:left w:val="nil"/>
              <w:bottom w:val="dashed" w:sz="4" w:space="0" w:color="auto"/>
              <w:right w:val="single" w:sz="4" w:space="0" w:color="auto"/>
            </w:tcBorders>
            <w:shd w:val="clear" w:color="auto" w:fill="auto"/>
            <w:noWrap/>
            <w:vAlign w:val="center"/>
            <w:hideMark/>
          </w:tcPr>
          <w:p w14:paraId="3D7F97E6" w14:textId="77777777" w:rsidR="0014121B" w:rsidRPr="002A34F0" w:rsidRDefault="0014121B">
            <w:pPr>
              <w:jc w:val="center"/>
              <w:rPr>
                <w:color w:val="000000"/>
                <w:sz w:val="20"/>
                <w:szCs w:val="20"/>
              </w:rPr>
            </w:pPr>
            <w:r w:rsidRPr="002A34F0">
              <w:rPr>
                <w:color w:val="000000"/>
                <w:sz w:val="20"/>
                <w:szCs w:val="20"/>
              </w:rPr>
              <w:t>0.208</w:t>
            </w:r>
          </w:p>
        </w:tc>
        <w:tc>
          <w:tcPr>
            <w:tcW w:w="1049" w:type="dxa"/>
            <w:tcBorders>
              <w:top w:val="nil"/>
              <w:left w:val="nil"/>
              <w:bottom w:val="dashed" w:sz="4" w:space="0" w:color="auto"/>
              <w:right w:val="nil"/>
            </w:tcBorders>
            <w:shd w:val="clear" w:color="auto" w:fill="auto"/>
            <w:noWrap/>
            <w:vAlign w:val="center"/>
            <w:hideMark/>
          </w:tcPr>
          <w:p w14:paraId="62F33515" w14:textId="77777777" w:rsidR="0014121B" w:rsidRPr="002A34F0" w:rsidRDefault="0014121B">
            <w:pPr>
              <w:jc w:val="center"/>
              <w:rPr>
                <w:color w:val="000000"/>
                <w:sz w:val="20"/>
                <w:szCs w:val="20"/>
              </w:rPr>
            </w:pPr>
            <w:r w:rsidRPr="002A34F0">
              <w:rPr>
                <w:color w:val="000000"/>
                <w:sz w:val="20"/>
                <w:szCs w:val="20"/>
              </w:rPr>
              <w:t>0.121</w:t>
            </w:r>
          </w:p>
        </w:tc>
        <w:tc>
          <w:tcPr>
            <w:tcW w:w="1036" w:type="dxa"/>
            <w:tcBorders>
              <w:top w:val="nil"/>
              <w:left w:val="nil"/>
              <w:bottom w:val="dashed" w:sz="4" w:space="0" w:color="auto"/>
              <w:right w:val="nil"/>
            </w:tcBorders>
            <w:shd w:val="clear" w:color="auto" w:fill="auto"/>
            <w:noWrap/>
            <w:vAlign w:val="center"/>
            <w:hideMark/>
          </w:tcPr>
          <w:p w14:paraId="2748615D" w14:textId="77777777" w:rsidR="0014121B" w:rsidRPr="002A34F0" w:rsidRDefault="0014121B">
            <w:pPr>
              <w:jc w:val="center"/>
              <w:rPr>
                <w:color w:val="000000"/>
                <w:sz w:val="20"/>
                <w:szCs w:val="20"/>
              </w:rPr>
            </w:pPr>
            <w:r w:rsidRPr="002A34F0">
              <w:rPr>
                <w:color w:val="000000"/>
                <w:sz w:val="20"/>
                <w:szCs w:val="20"/>
              </w:rPr>
              <w:t>-0.213</w:t>
            </w:r>
          </w:p>
        </w:tc>
        <w:tc>
          <w:tcPr>
            <w:tcW w:w="1036" w:type="dxa"/>
            <w:tcBorders>
              <w:top w:val="nil"/>
              <w:left w:val="nil"/>
              <w:bottom w:val="dashed" w:sz="4" w:space="0" w:color="auto"/>
              <w:right w:val="nil"/>
            </w:tcBorders>
            <w:shd w:val="clear" w:color="auto" w:fill="auto"/>
            <w:noWrap/>
            <w:vAlign w:val="center"/>
            <w:hideMark/>
          </w:tcPr>
          <w:p w14:paraId="1ECBF47E" w14:textId="77777777" w:rsidR="0014121B" w:rsidRPr="002A34F0" w:rsidRDefault="0014121B">
            <w:pPr>
              <w:jc w:val="center"/>
              <w:rPr>
                <w:color w:val="000000"/>
                <w:sz w:val="20"/>
                <w:szCs w:val="20"/>
              </w:rPr>
            </w:pPr>
            <w:r w:rsidRPr="002A34F0">
              <w:rPr>
                <w:color w:val="000000"/>
                <w:sz w:val="20"/>
                <w:szCs w:val="20"/>
              </w:rPr>
              <w:t>-0.047</w:t>
            </w:r>
          </w:p>
        </w:tc>
        <w:tc>
          <w:tcPr>
            <w:tcW w:w="1072" w:type="dxa"/>
            <w:tcBorders>
              <w:top w:val="nil"/>
              <w:left w:val="nil"/>
              <w:bottom w:val="dashed" w:sz="4" w:space="0" w:color="auto"/>
              <w:right w:val="nil"/>
            </w:tcBorders>
            <w:shd w:val="clear" w:color="auto" w:fill="auto"/>
            <w:noWrap/>
            <w:vAlign w:val="center"/>
            <w:hideMark/>
          </w:tcPr>
          <w:p w14:paraId="116F5919" w14:textId="77777777" w:rsidR="0014121B" w:rsidRPr="002A34F0" w:rsidRDefault="0014121B">
            <w:pPr>
              <w:jc w:val="center"/>
              <w:rPr>
                <w:color w:val="000000"/>
                <w:sz w:val="20"/>
                <w:szCs w:val="20"/>
              </w:rPr>
            </w:pPr>
            <w:r w:rsidRPr="002A34F0">
              <w:rPr>
                <w:color w:val="000000"/>
                <w:sz w:val="20"/>
                <w:szCs w:val="20"/>
              </w:rPr>
              <w:t>0.065</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77B9C6F5" w14:textId="77777777" w:rsidR="0014121B" w:rsidRPr="002A34F0" w:rsidRDefault="0014121B">
            <w:pPr>
              <w:jc w:val="center"/>
              <w:rPr>
                <w:color w:val="000000"/>
                <w:sz w:val="20"/>
                <w:szCs w:val="20"/>
              </w:rPr>
            </w:pPr>
            <w:r w:rsidRPr="002A34F0">
              <w:rPr>
                <w:color w:val="000000"/>
                <w:sz w:val="20"/>
                <w:szCs w:val="20"/>
              </w:rPr>
              <w:t>2.986</w:t>
            </w:r>
          </w:p>
        </w:tc>
        <w:tc>
          <w:tcPr>
            <w:tcW w:w="820" w:type="dxa"/>
            <w:tcBorders>
              <w:top w:val="nil"/>
              <w:left w:val="nil"/>
              <w:bottom w:val="dashed" w:sz="4" w:space="0" w:color="auto"/>
              <w:right w:val="nil"/>
            </w:tcBorders>
            <w:shd w:val="clear" w:color="auto" w:fill="auto"/>
            <w:noWrap/>
            <w:vAlign w:val="center"/>
            <w:hideMark/>
          </w:tcPr>
          <w:p w14:paraId="2D128BA8" w14:textId="77777777" w:rsidR="0014121B" w:rsidRPr="002A34F0" w:rsidRDefault="0014121B">
            <w:pPr>
              <w:jc w:val="center"/>
              <w:rPr>
                <w:color w:val="000000"/>
                <w:sz w:val="20"/>
                <w:szCs w:val="20"/>
              </w:rPr>
            </w:pPr>
            <w:r w:rsidRPr="002A34F0">
              <w:rPr>
                <w:color w:val="000000"/>
                <w:sz w:val="20"/>
                <w:szCs w:val="20"/>
              </w:rPr>
              <w:t>0.33</w:t>
            </w:r>
          </w:p>
        </w:tc>
        <w:tc>
          <w:tcPr>
            <w:tcW w:w="900" w:type="dxa"/>
            <w:tcBorders>
              <w:top w:val="nil"/>
              <w:left w:val="nil"/>
              <w:bottom w:val="dashed" w:sz="4" w:space="0" w:color="auto"/>
              <w:right w:val="nil"/>
            </w:tcBorders>
            <w:shd w:val="clear" w:color="auto" w:fill="auto"/>
            <w:noWrap/>
            <w:vAlign w:val="center"/>
            <w:hideMark/>
          </w:tcPr>
          <w:p w14:paraId="3B84802D" w14:textId="77777777" w:rsidR="0014121B" w:rsidRPr="002A34F0" w:rsidRDefault="0014121B">
            <w:pPr>
              <w:jc w:val="center"/>
              <w:rPr>
                <w:color w:val="000000"/>
                <w:sz w:val="20"/>
                <w:szCs w:val="20"/>
              </w:rPr>
            </w:pPr>
            <w:r w:rsidRPr="002A34F0">
              <w:rPr>
                <w:color w:val="000000"/>
                <w:sz w:val="20"/>
                <w:szCs w:val="20"/>
              </w:rPr>
              <w:t>-424120</w:t>
            </w:r>
          </w:p>
        </w:tc>
        <w:tc>
          <w:tcPr>
            <w:tcW w:w="1620" w:type="dxa"/>
            <w:tcBorders>
              <w:top w:val="nil"/>
              <w:left w:val="nil"/>
              <w:bottom w:val="dashed" w:sz="4" w:space="0" w:color="auto"/>
              <w:right w:val="single" w:sz="8" w:space="0" w:color="auto"/>
            </w:tcBorders>
            <w:shd w:val="clear" w:color="auto" w:fill="auto"/>
            <w:noWrap/>
            <w:vAlign w:val="center"/>
            <w:hideMark/>
          </w:tcPr>
          <w:p w14:paraId="65361783" w14:textId="77777777" w:rsidR="0014121B" w:rsidRPr="002A34F0" w:rsidRDefault="0014121B">
            <w:pPr>
              <w:jc w:val="center"/>
              <w:rPr>
                <w:color w:val="000000"/>
                <w:sz w:val="20"/>
                <w:szCs w:val="20"/>
              </w:rPr>
            </w:pPr>
            <w:r w:rsidRPr="002A34F0">
              <w:rPr>
                <w:color w:val="000000"/>
                <w:sz w:val="20"/>
                <w:szCs w:val="20"/>
              </w:rPr>
              <w:t>-6721.978</w:t>
            </w:r>
          </w:p>
        </w:tc>
      </w:tr>
      <w:tr w:rsidR="0014121B" w:rsidRPr="002A34F0" w14:paraId="1FE7B59B"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587F418B" w14:textId="77777777" w:rsidR="0014121B" w:rsidRPr="002A34F0" w:rsidRDefault="0014121B">
            <w:pPr>
              <w:ind w:firstLineChars="100" w:firstLine="200"/>
              <w:rPr>
                <w:i/>
                <w:iCs/>
                <w:color w:val="000000"/>
                <w:sz w:val="20"/>
                <w:szCs w:val="20"/>
              </w:rPr>
            </w:pPr>
            <w:r w:rsidRPr="002A34F0">
              <w:rPr>
                <w:i/>
                <w:iCs/>
                <w:color w:val="000000"/>
                <w:sz w:val="20"/>
                <w:szCs w:val="20"/>
              </w:rPr>
              <w:t>Roof</w:t>
            </w:r>
          </w:p>
        </w:tc>
        <w:tc>
          <w:tcPr>
            <w:tcW w:w="875" w:type="dxa"/>
            <w:tcBorders>
              <w:top w:val="nil"/>
              <w:left w:val="nil"/>
              <w:bottom w:val="dashed" w:sz="4" w:space="0" w:color="auto"/>
              <w:right w:val="nil"/>
            </w:tcBorders>
            <w:shd w:val="clear" w:color="auto" w:fill="auto"/>
            <w:noWrap/>
            <w:vAlign w:val="center"/>
            <w:hideMark/>
          </w:tcPr>
          <w:p w14:paraId="250262B7" w14:textId="77777777" w:rsidR="0014121B" w:rsidRPr="002A34F0" w:rsidRDefault="0014121B">
            <w:pPr>
              <w:jc w:val="center"/>
              <w:rPr>
                <w:color w:val="000000"/>
                <w:sz w:val="20"/>
                <w:szCs w:val="20"/>
              </w:rPr>
            </w:pPr>
            <w:r w:rsidRPr="002A34F0">
              <w:rPr>
                <w:color w:val="000000"/>
                <w:sz w:val="20"/>
                <w:szCs w:val="20"/>
              </w:rPr>
              <w:t>0.091</w:t>
            </w:r>
          </w:p>
        </w:tc>
        <w:tc>
          <w:tcPr>
            <w:tcW w:w="899" w:type="dxa"/>
            <w:tcBorders>
              <w:top w:val="nil"/>
              <w:left w:val="nil"/>
              <w:bottom w:val="dashed" w:sz="4" w:space="0" w:color="auto"/>
              <w:right w:val="nil"/>
            </w:tcBorders>
            <w:shd w:val="clear" w:color="auto" w:fill="auto"/>
            <w:noWrap/>
            <w:vAlign w:val="center"/>
            <w:hideMark/>
          </w:tcPr>
          <w:p w14:paraId="6791CB90" w14:textId="77777777" w:rsidR="0014121B" w:rsidRPr="002A34F0" w:rsidRDefault="0014121B">
            <w:pPr>
              <w:jc w:val="center"/>
              <w:rPr>
                <w:color w:val="000000"/>
                <w:sz w:val="20"/>
                <w:szCs w:val="20"/>
              </w:rPr>
            </w:pPr>
            <w:r w:rsidRPr="002A34F0">
              <w:rPr>
                <w:color w:val="000000"/>
                <w:sz w:val="20"/>
                <w:szCs w:val="20"/>
              </w:rPr>
              <w:t>-0.156</w:t>
            </w:r>
          </w:p>
        </w:tc>
        <w:tc>
          <w:tcPr>
            <w:tcW w:w="866" w:type="dxa"/>
            <w:tcBorders>
              <w:top w:val="nil"/>
              <w:left w:val="single" w:sz="4" w:space="0" w:color="auto"/>
              <w:bottom w:val="dashed" w:sz="4" w:space="0" w:color="auto"/>
              <w:right w:val="nil"/>
            </w:tcBorders>
            <w:shd w:val="clear" w:color="auto" w:fill="auto"/>
            <w:noWrap/>
            <w:vAlign w:val="center"/>
            <w:hideMark/>
          </w:tcPr>
          <w:p w14:paraId="5F3B3F48" w14:textId="77777777" w:rsidR="0014121B" w:rsidRPr="002A34F0" w:rsidRDefault="0014121B">
            <w:pPr>
              <w:jc w:val="center"/>
              <w:rPr>
                <w:color w:val="000000"/>
                <w:sz w:val="20"/>
                <w:szCs w:val="20"/>
              </w:rPr>
            </w:pPr>
            <w:r w:rsidRPr="002A34F0">
              <w:rPr>
                <w:color w:val="000000"/>
                <w:sz w:val="20"/>
                <w:szCs w:val="20"/>
              </w:rPr>
              <w:t>-0.106</w:t>
            </w:r>
          </w:p>
        </w:tc>
        <w:tc>
          <w:tcPr>
            <w:tcW w:w="943" w:type="dxa"/>
            <w:tcBorders>
              <w:top w:val="nil"/>
              <w:left w:val="nil"/>
              <w:bottom w:val="dashed" w:sz="4" w:space="0" w:color="auto"/>
              <w:right w:val="single" w:sz="4" w:space="0" w:color="auto"/>
            </w:tcBorders>
            <w:shd w:val="clear" w:color="auto" w:fill="auto"/>
            <w:noWrap/>
            <w:vAlign w:val="center"/>
            <w:hideMark/>
          </w:tcPr>
          <w:p w14:paraId="7EF7A38A" w14:textId="77777777" w:rsidR="0014121B" w:rsidRPr="002A34F0" w:rsidRDefault="0014121B">
            <w:pPr>
              <w:jc w:val="center"/>
              <w:rPr>
                <w:color w:val="000000"/>
                <w:sz w:val="20"/>
                <w:szCs w:val="20"/>
              </w:rPr>
            </w:pPr>
            <w:r w:rsidRPr="002A34F0">
              <w:rPr>
                <w:color w:val="000000"/>
                <w:sz w:val="20"/>
                <w:szCs w:val="20"/>
              </w:rPr>
              <w:t>-0.1</w:t>
            </w:r>
          </w:p>
        </w:tc>
        <w:tc>
          <w:tcPr>
            <w:tcW w:w="1049" w:type="dxa"/>
            <w:tcBorders>
              <w:top w:val="nil"/>
              <w:left w:val="nil"/>
              <w:bottom w:val="dashed" w:sz="4" w:space="0" w:color="auto"/>
              <w:right w:val="nil"/>
            </w:tcBorders>
            <w:shd w:val="clear" w:color="auto" w:fill="auto"/>
            <w:noWrap/>
            <w:vAlign w:val="center"/>
            <w:hideMark/>
          </w:tcPr>
          <w:p w14:paraId="7D49E508" w14:textId="77777777" w:rsidR="0014121B" w:rsidRPr="002A34F0" w:rsidRDefault="0014121B">
            <w:pPr>
              <w:jc w:val="center"/>
              <w:rPr>
                <w:color w:val="000000"/>
                <w:sz w:val="20"/>
                <w:szCs w:val="20"/>
              </w:rPr>
            </w:pPr>
            <w:r w:rsidRPr="002A34F0">
              <w:rPr>
                <w:color w:val="000000"/>
                <w:sz w:val="20"/>
                <w:szCs w:val="20"/>
              </w:rPr>
              <w:t>-0.171</w:t>
            </w:r>
          </w:p>
        </w:tc>
        <w:tc>
          <w:tcPr>
            <w:tcW w:w="1036" w:type="dxa"/>
            <w:tcBorders>
              <w:top w:val="nil"/>
              <w:left w:val="nil"/>
              <w:bottom w:val="dashed" w:sz="4" w:space="0" w:color="auto"/>
              <w:right w:val="nil"/>
            </w:tcBorders>
            <w:shd w:val="clear" w:color="auto" w:fill="auto"/>
            <w:noWrap/>
            <w:vAlign w:val="center"/>
            <w:hideMark/>
          </w:tcPr>
          <w:p w14:paraId="16E46682" w14:textId="77777777" w:rsidR="0014121B" w:rsidRPr="002A34F0" w:rsidRDefault="0014121B">
            <w:pPr>
              <w:jc w:val="center"/>
              <w:rPr>
                <w:color w:val="000000"/>
                <w:sz w:val="20"/>
                <w:szCs w:val="20"/>
              </w:rPr>
            </w:pPr>
            <w:r w:rsidRPr="002A34F0">
              <w:rPr>
                <w:color w:val="000000"/>
                <w:sz w:val="20"/>
                <w:szCs w:val="20"/>
              </w:rPr>
              <w:t>-0.153</w:t>
            </w:r>
          </w:p>
        </w:tc>
        <w:tc>
          <w:tcPr>
            <w:tcW w:w="1036" w:type="dxa"/>
            <w:tcBorders>
              <w:top w:val="nil"/>
              <w:left w:val="nil"/>
              <w:bottom w:val="dashed" w:sz="4" w:space="0" w:color="auto"/>
              <w:right w:val="nil"/>
            </w:tcBorders>
            <w:shd w:val="clear" w:color="auto" w:fill="auto"/>
            <w:noWrap/>
            <w:vAlign w:val="center"/>
            <w:hideMark/>
          </w:tcPr>
          <w:p w14:paraId="533D53C8" w14:textId="77777777" w:rsidR="0014121B" w:rsidRPr="002A34F0" w:rsidRDefault="0014121B">
            <w:pPr>
              <w:jc w:val="center"/>
              <w:rPr>
                <w:color w:val="000000"/>
                <w:sz w:val="20"/>
                <w:szCs w:val="20"/>
              </w:rPr>
            </w:pPr>
            <w:r w:rsidRPr="002A34F0">
              <w:rPr>
                <w:color w:val="000000"/>
                <w:sz w:val="20"/>
                <w:szCs w:val="20"/>
              </w:rPr>
              <w:t>-0.135</w:t>
            </w:r>
          </w:p>
        </w:tc>
        <w:tc>
          <w:tcPr>
            <w:tcW w:w="1072" w:type="dxa"/>
            <w:tcBorders>
              <w:top w:val="nil"/>
              <w:left w:val="nil"/>
              <w:bottom w:val="dashed" w:sz="4" w:space="0" w:color="auto"/>
              <w:right w:val="nil"/>
            </w:tcBorders>
            <w:shd w:val="clear" w:color="auto" w:fill="auto"/>
            <w:noWrap/>
            <w:vAlign w:val="center"/>
            <w:hideMark/>
          </w:tcPr>
          <w:p w14:paraId="72C3EF3A" w14:textId="77777777" w:rsidR="0014121B" w:rsidRPr="002A34F0" w:rsidRDefault="0014121B">
            <w:pPr>
              <w:jc w:val="center"/>
              <w:rPr>
                <w:color w:val="000000"/>
                <w:sz w:val="20"/>
                <w:szCs w:val="20"/>
              </w:rPr>
            </w:pPr>
            <w:r w:rsidRPr="002A34F0">
              <w:rPr>
                <w:color w:val="000000"/>
                <w:sz w:val="20"/>
                <w:szCs w:val="20"/>
              </w:rPr>
              <w:t>-0.084</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61BD8086" w14:textId="77777777" w:rsidR="0014121B" w:rsidRPr="002A34F0" w:rsidRDefault="0014121B">
            <w:pPr>
              <w:jc w:val="center"/>
              <w:rPr>
                <w:color w:val="000000"/>
                <w:sz w:val="20"/>
                <w:szCs w:val="20"/>
              </w:rPr>
            </w:pPr>
            <w:r w:rsidRPr="002A34F0">
              <w:rPr>
                <w:color w:val="000000"/>
                <w:sz w:val="20"/>
                <w:szCs w:val="20"/>
              </w:rPr>
              <w:t>4.314</w:t>
            </w:r>
          </w:p>
        </w:tc>
        <w:tc>
          <w:tcPr>
            <w:tcW w:w="820" w:type="dxa"/>
            <w:tcBorders>
              <w:top w:val="nil"/>
              <w:left w:val="nil"/>
              <w:bottom w:val="dashed" w:sz="4" w:space="0" w:color="auto"/>
              <w:right w:val="nil"/>
            </w:tcBorders>
            <w:shd w:val="clear" w:color="auto" w:fill="auto"/>
            <w:noWrap/>
            <w:vAlign w:val="center"/>
            <w:hideMark/>
          </w:tcPr>
          <w:p w14:paraId="3DF889A5" w14:textId="77777777" w:rsidR="0014121B" w:rsidRPr="002A34F0" w:rsidRDefault="0014121B">
            <w:pPr>
              <w:jc w:val="center"/>
              <w:rPr>
                <w:color w:val="000000"/>
                <w:sz w:val="20"/>
                <w:szCs w:val="20"/>
              </w:rPr>
            </w:pPr>
            <w:r w:rsidRPr="002A34F0">
              <w:rPr>
                <w:color w:val="000000"/>
                <w:sz w:val="20"/>
                <w:szCs w:val="20"/>
              </w:rPr>
              <w:t>0.134</w:t>
            </w:r>
          </w:p>
        </w:tc>
        <w:tc>
          <w:tcPr>
            <w:tcW w:w="900" w:type="dxa"/>
            <w:tcBorders>
              <w:top w:val="nil"/>
              <w:left w:val="nil"/>
              <w:bottom w:val="dashed" w:sz="4" w:space="0" w:color="auto"/>
              <w:right w:val="nil"/>
            </w:tcBorders>
            <w:shd w:val="clear" w:color="auto" w:fill="auto"/>
            <w:noWrap/>
            <w:vAlign w:val="center"/>
            <w:hideMark/>
          </w:tcPr>
          <w:p w14:paraId="02C5472D" w14:textId="77777777" w:rsidR="0014121B" w:rsidRPr="002A34F0" w:rsidRDefault="0014121B">
            <w:pPr>
              <w:jc w:val="center"/>
              <w:rPr>
                <w:color w:val="000000"/>
                <w:sz w:val="20"/>
                <w:szCs w:val="20"/>
              </w:rPr>
            </w:pPr>
            <w:r w:rsidRPr="002A34F0">
              <w:rPr>
                <w:color w:val="000000"/>
                <w:sz w:val="20"/>
                <w:szCs w:val="20"/>
              </w:rPr>
              <w:t>-429654</w:t>
            </w:r>
          </w:p>
        </w:tc>
        <w:tc>
          <w:tcPr>
            <w:tcW w:w="1620" w:type="dxa"/>
            <w:tcBorders>
              <w:top w:val="nil"/>
              <w:left w:val="nil"/>
              <w:bottom w:val="dashed" w:sz="4" w:space="0" w:color="auto"/>
              <w:right w:val="single" w:sz="8" w:space="0" w:color="auto"/>
            </w:tcBorders>
            <w:shd w:val="clear" w:color="auto" w:fill="auto"/>
            <w:noWrap/>
            <w:vAlign w:val="center"/>
            <w:hideMark/>
          </w:tcPr>
          <w:p w14:paraId="654840B8" w14:textId="77777777" w:rsidR="0014121B" w:rsidRPr="002A34F0" w:rsidRDefault="0014121B">
            <w:pPr>
              <w:jc w:val="center"/>
              <w:rPr>
                <w:color w:val="000000"/>
                <w:sz w:val="20"/>
                <w:szCs w:val="20"/>
              </w:rPr>
            </w:pPr>
            <w:r w:rsidRPr="002A34F0">
              <w:rPr>
                <w:color w:val="000000"/>
                <w:sz w:val="20"/>
                <w:szCs w:val="20"/>
              </w:rPr>
              <w:t>-2730.524</w:t>
            </w:r>
          </w:p>
        </w:tc>
      </w:tr>
      <w:tr w:rsidR="0014121B" w:rsidRPr="002A34F0" w14:paraId="2B5D9892"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172EAEDD" w14:textId="77777777" w:rsidR="0014121B" w:rsidRPr="002A34F0" w:rsidRDefault="0014121B">
            <w:pPr>
              <w:rPr>
                <w:color w:val="000000"/>
                <w:sz w:val="20"/>
                <w:szCs w:val="20"/>
              </w:rPr>
            </w:pPr>
            <w:r w:rsidRPr="002A34F0">
              <w:rPr>
                <w:color w:val="000000"/>
                <w:sz w:val="20"/>
                <w:szCs w:val="20"/>
              </w:rPr>
              <w:t>Energy</w:t>
            </w:r>
          </w:p>
        </w:tc>
        <w:tc>
          <w:tcPr>
            <w:tcW w:w="875" w:type="dxa"/>
            <w:tcBorders>
              <w:top w:val="nil"/>
              <w:left w:val="nil"/>
              <w:bottom w:val="dashed" w:sz="4" w:space="0" w:color="auto"/>
              <w:right w:val="nil"/>
            </w:tcBorders>
            <w:shd w:val="clear" w:color="auto" w:fill="auto"/>
            <w:noWrap/>
            <w:vAlign w:val="center"/>
            <w:hideMark/>
          </w:tcPr>
          <w:p w14:paraId="74F7068F" w14:textId="77777777" w:rsidR="0014121B" w:rsidRPr="002A34F0" w:rsidRDefault="0014121B">
            <w:pPr>
              <w:jc w:val="center"/>
              <w:rPr>
                <w:color w:val="000000"/>
                <w:sz w:val="20"/>
                <w:szCs w:val="20"/>
              </w:rPr>
            </w:pPr>
            <w:r w:rsidRPr="002A34F0">
              <w:rPr>
                <w:color w:val="000000"/>
                <w:sz w:val="20"/>
                <w:szCs w:val="20"/>
              </w:rPr>
              <w:t> </w:t>
            </w:r>
          </w:p>
        </w:tc>
        <w:tc>
          <w:tcPr>
            <w:tcW w:w="899" w:type="dxa"/>
            <w:tcBorders>
              <w:top w:val="nil"/>
              <w:left w:val="nil"/>
              <w:bottom w:val="dashed" w:sz="4" w:space="0" w:color="auto"/>
              <w:right w:val="nil"/>
            </w:tcBorders>
            <w:shd w:val="clear" w:color="auto" w:fill="auto"/>
            <w:noWrap/>
            <w:vAlign w:val="center"/>
            <w:hideMark/>
          </w:tcPr>
          <w:p w14:paraId="43C39795" w14:textId="77777777" w:rsidR="0014121B" w:rsidRPr="002A34F0" w:rsidRDefault="0014121B">
            <w:pPr>
              <w:jc w:val="center"/>
              <w:rPr>
                <w:color w:val="000000"/>
                <w:sz w:val="20"/>
                <w:szCs w:val="20"/>
              </w:rPr>
            </w:pPr>
            <w:r w:rsidRPr="002A34F0">
              <w:rPr>
                <w:color w:val="000000"/>
                <w:sz w:val="20"/>
                <w:szCs w:val="20"/>
              </w:rPr>
              <w:t> </w:t>
            </w:r>
          </w:p>
        </w:tc>
        <w:tc>
          <w:tcPr>
            <w:tcW w:w="866" w:type="dxa"/>
            <w:tcBorders>
              <w:top w:val="nil"/>
              <w:left w:val="single" w:sz="4" w:space="0" w:color="auto"/>
              <w:bottom w:val="dashed" w:sz="4" w:space="0" w:color="auto"/>
              <w:right w:val="nil"/>
            </w:tcBorders>
            <w:shd w:val="clear" w:color="auto" w:fill="auto"/>
            <w:noWrap/>
            <w:vAlign w:val="center"/>
            <w:hideMark/>
          </w:tcPr>
          <w:p w14:paraId="419AFDE1" w14:textId="77777777" w:rsidR="0014121B" w:rsidRPr="002A34F0" w:rsidRDefault="0014121B">
            <w:pPr>
              <w:jc w:val="center"/>
              <w:rPr>
                <w:color w:val="000000"/>
                <w:sz w:val="20"/>
                <w:szCs w:val="20"/>
              </w:rPr>
            </w:pPr>
            <w:r w:rsidRPr="002A34F0">
              <w:rPr>
                <w:color w:val="000000"/>
                <w:sz w:val="20"/>
                <w:szCs w:val="20"/>
              </w:rPr>
              <w:t> </w:t>
            </w:r>
          </w:p>
        </w:tc>
        <w:tc>
          <w:tcPr>
            <w:tcW w:w="943" w:type="dxa"/>
            <w:tcBorders>
              <w:top w:val="nil"/>
              <w:left w:val="nil"/>
              <w:bottom w:val="dashed" w:sz="4" w:space="0" w:color="auto"/>
              <w:right w:val="single" w:sz="4" w:space="0" w:color="auto"/>
            </w:tcBorders>
            <w:shd w:val="clear" w:color="auto" w:fill="auto"/>
            <w:noWrap/>
            <w:vAlign w:val="center"/>
            <w:hideMark/>
          </w:tcPr>
          <w:p w14:paraId="720A76E7" w14:textId="77777777" w:rsidR="0014121B" w:rsidRPr="002A34F0" w:rsidRDefault="0014121B">
            <w:pPr>
              <w:jc w:val="center"/>
              <w:rPr>
                <w:color w:val="000000"/>
                <w:sz w:val="20"/>
                <w:szCs w:val="20"/>
              </w:rPr>
            </w:pPr>
            <w:r w:rsidRPr="002A34F0">
              <w:rPr>
                <w:color w:val="000000"/>
                <w:sz w:val="20"/>
                <w:szCs w:val="20"/>
              </w:rPr>
              <w:t> </w:t>
            </w:r>
          </w:p>
        </w:tc>
        <w:tc>
          <w:tcPr>
            <w:tcW w:w="1049" w:type="dxa"/>
            <w:tcBorders>
              <w:top w:val="nil"/>
              <w:left w:val="nil"/>
              <w:bottom w:val="dashed" w:sz="4" w:space="0" w:color="auto"/>
              <w:right w:val="nil"/>
            </w:tcBorders>
            <w:shd w:val="clear" w:color="auto" w:fill="auto"/>
            <w:noWrap/>
            <w:vAlign w:val="center"/>
            <w:hideMark/>
          </w:tcPr>
          <w:p w14:paraId="168077C7" w14:textId="77777777" w:rsidR="0014121B" w:rsidRPr="002A34F0" w:rsidRDefault="0014121B">
            <w:pPr>
              <w:jc w:val="center"/>
              <w:rPr>
                <w:color w:val="000000"/>
                <w:sz w:val="20"/>
                <w:szCs w:val="20"/>
              </w:rPr>
            </w:pPr>
            <w:r w:rsidRPr="002A34F0">
              <w:rPr>
                <w:color w:val="000000"/>
                <w:sz w:val="20"/>
                <w:szCs w:val="20"/>
              </w:rPr>
              <w:t> </w:t>
            </w:r>
          </w:p>
        </w:tc>
        <w:tc>
          <w:tcPr>
            <w:tcW w:w="1036" w:type="dxa"/>
            <w:tcBorders>
              <w:top w:val="nil"/>
              <w:left w:val="nil"/>
              <w:bottom w:val="dashed" w:sz="4" w:space="0" w:color="auto"/>
              <w:right w:val="nil"/>
            </w:tcBorders>
            <w:shd w:val="clear" w:color="auto" w:fill="auto"/>
            <w:noWrap/>
            <w:vAlign w:val="center"/>
            <w:hideMark/>
          </w:tcPr>
          <w:p w14:paraId="597FCA82" w14:textId="77777777" w:rsidR="0014121B" w:rsidRPr="002A34F0" w:rsidRDefault="0014121B">
            <w:pPr>
              <w:jc w:val="center"/>
              <w:rPr>
                <w:color w:val="000000"/>
                <w:sz w:val="20"/>
                <w:szCs w:val="20"/>
              </w:rPr>
            </w:pPr>
            <w:r w:rsidRPr="002A34F0">
              <w:rPr>
                <w:color w:val="000000"/>
                <w:sz w:val="20"/>
                <w:szCs w:val="20"/>
              </w:rPr>
              <w:t> </w:t>
            </w:r>
          </w:p>
        </w:tc>
        <w:tc>
          <w:tcPr>
            <w:tcW w:w="1036" w:type="dxa"/>
            <w:tcBorders>
              <w:top w:val="nil"/>
              <w:left w:val="nil"/>
              <w:bottom w:val="dashed" w:sz="4" w:space="0" w:color="auto"/>
              <w:right w:val="nil"/>
            </w:tcBorders>
            <w:shd w:val="clear" w:color="auto" w:fill="auto"/>
            <w:noWrap/>
            <w:vAlign w:val="center"/>
            <w:hideMark/>
          </w:tcPr>
          <w:p w14:paraId="1688C66E" w14:textId="77777777" w:rsidR="0014121B" w:rsidRPr="002A34F0" w:rsidRDefault="0014121B">
            <w:pPr>
              <w:jc w:val="center"/>
              <w:rPr>
                <w:color w:val="000000"/>
                <w:sz w:val="20"/>
                <w:szCs w:val="20"/>
              </w:rPr>
            </w:pPr>
            <w:r w:rsidRPr="002A34F0">
              <w:rPr>
                <w:color w:val="000000"/>
                <w:sz w:val="20"/>
                <w:szCs w:val="20"/>
              </w:rPr>
              <w:t> </w:t>
            </w:r>
          </w:p>
        </w:tc>
        <w:tc>
          <w:tcPr>
            <w:tcW w:w="1072" w:type="dxa"/>
            <w:tcBorders>
              <w:top w:val="nil"/>
              <w:left w:val="nil"/>
              <w:bottom w:val="dashed" w:sz="4" w:space="0" w:color="auto"/>
              <w:right w:val="nil"/>
            </w:tcBorders>
            <w:shd w:val="clear" w:color="auto" w:fill="auto"/>
            <w:noWrap/>
            <w:vAlign w:val="center"/>
            <w:hideMark/>
          </w:tcPr>
          <w:p w14:paraId="18311E57" w14:textId="77777777" w:rsidR="0014121B" w:rsidRPr="002A34F0" w:rsidRDefault="0014121B">
            <w:pPr>
              <w:jc w:val="center"/>
              <w:rPr>
                <w:color w:val="000000"/>
                <w:sz w:val="20"/>
                <w:szCs w:val="20"/>
              </w:rPr>
            </w:pPr>
            <w:r w:rsidRPr="002A34F0">
              <w:rPr>
                <w:color w:val="000000"/>
                <w:sz w:val="20"/>
                <w:szCs w:val="20"/>
              </w:rPr>
              <w:t> </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2F65A1CF" w14:textId="77777777" w:rsidR="0014121B" w:rsidRPr="002A34F0" w:rsidRDefault="0014121B">
            <w:pPr>
              <w:jc w:val="center"/>
              <w:rPr>
                <w:color w:val="000000"/>
                <w:sz w:val="20"/>
                <w:szCs w:val="20"/>
              </w:rPr>
            </w:pPr>
            <w:r w:rsidRPr="002A34F0">
              <w:rPr>
                <w:color w:val="000000"/>
                <w:sz w:val="20"/>
                <w:szCs w:val="20"/>
              </w:rPr>
              <w:t> </w:t>
            </w:r>
          </w:p>
        </w:tc>
        <w:tc>
          <w:tcPr>
            <w:tcW w:w="820" w:type="dxa"/>
            <w:tcBorders>
              <w:top w:val="nil"/>
              <w:left w:val="nil"/>
              <w:bottom w:val="dashed" w:sz="4" w:space="0" w:color="auto"/>
              <w:right w:val="nil"/>
            </w:tcBorders>
            <w:shd w:val="clear" w:color="auto" w:fill="auto"/>
            <w:noWrap/>
            <w:vAlign w:val="center"/>
            <w:hideMark/>
          </w:tcPr>
          <w:p w14:paraId="68FD507F" w14:textId="77777777" w:rsidR="0014121B" w:rsidRPr="002A34F0" w:rsidRDefault="0014121B">
            <w:pPr>
              <w:jc w:val="center"/>
              <w:rPr>
                <w:color w:val="000000"/>
                <w:sz w:val="20"/>
                <w:szCs w:val="20"/>
              </w:rPr>
            </w:pPr>
            <w:r w:rsidRPr="002A34F0">
              <w:rPr>
                <w:color w:val="000000"/>
                <w:sz w:val="20"/>
                <w:szCs w:val="20"/>
              </w:rPr>
              <w:t> </w:t>
            </w:r>
          </w:p>
        </w:tc>
        <w:tc>
          <w:tcPr>
            <w:tcW w:w="900" w:type="dxa"/>
            <w:tcBorders>
              <w:top w:val="nil"/>
              <w:left w:val="nil"/>
              <w:bottom w:val="dashed" w:sz="4" w:space="0" w:color="auto"/>
              <w:right w:val="nil"/>
            </w:tcBorders>
            <w:shd w:val="clear" w:color="auto" w:fill="auto"/>
            <w:noWrap/>
            <w:vAlign w:val="center"/>
            <w:hideMark/>
          </w:tcPr>
          <w:p w14:paraId="59061138" w14:textId="77777777" w:rsidR="0014121B" w:rsidRPr="002A34F0" w:rsidRDefault="0014121B">
            <w:pPr>
              <w:jc w:val="center"/>
              <w:rPr>
                <w:color w:val="000000"/>
                <w:sz w:val="20"/>
                <w:szCs w:val="20"/>
              </w:rPr>
            </w:pPr>
            <w:r w:rsidRPr="002A34F0">
              <w:rPr>
                <w:color w:val="000000"/>
                <w:sz w:val="20"/>
                <w:szCs w:val="20"/>
              </w:rPr>
              <w:t> </w:t>
            </w:r>
          </w:p>
        </w:tc>
        <w:tc>
          <w:tcPr>
            <w:tcW w:w="1620" w:type="dxa"/>
            <w:tcBorders>
              <w:top w:val="nil"/>
              <w:left w:val="nil"/>
              <w:bottom w:val="dashed" w:sz="4" w:space="0" w:color="auto"/>
              <w:right w:val="single" w:sz="8" w:space="0" w:color="auto"/>
            </w:tcBorders>
            <w:shd w:val="clear" w:color="auto" w:fill="auto"/>
            <w:noWrap/>
            <w:vAlign w:val="center"/>
            <w:hideMark/>
          </w:tcPr>
          <w:p w14:paraId="58CF7F90" w14:textId="77777777" w:rsidR="0014121B" w:rsidRPr="002A34F0" w:rsidRDefault="0014121B">
            <w:pPr>
              <w:jc w:val="center"/>
              <w:rPr>
                <w:color w:val="000000"/>
                <w:sz w:val="20"/>
                <w:szCs w:val="20"/>
              </w:rPr>
            </w:pPr>
            <w:r w:rsidRPr="002A34F0">
              <w:rPr>
                <w:color w:val="000000"/>
                <w:sz w:val="20"/>
                <w:szCs w:val="20"/>
              </w:rPr>
              <w:t> </w:t>
            </w:r>
          </w:p>
        </w:tc>
      </w:tr>
      <w:tr w:rsidR="0014121B" w:rsidRPr="002A34F0" w14:paraId="096377C8"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40B2EA09" w14:textId="77777777" w:rsidR="0014121B" w:rsidRPr="002A34F0" w:rsidRDefault="0014121B">
            <w:pPr>
              <w:ind w:firstLineChars="100" w:firstLine="200"/>
              <w:rPr>
                <w:i/>
                <w:iCs/>
                <w:color w:val="000000"/>
                <w:sz w:val="20"/>
                <w:szCs w:val="20"/>
              </w:rPr>
            </w:pPr>
            <w:r w:rsidRPr="002A34F0">
              <w:rPr>
                <w:i/>
                <w:iCs/>
                <w:color w:val="000000"/>
                <w:sz w:val="20"/>
                <w:szCs w:val="20"/>
              </w:rPr>
              <w:t>Lighting</w:t>
            </w:r>
          </w:p>
        </w:tc>
        <w:tc>
          <w:tcPr>
            <w:tcW w:w="875" w:type="dxa"/>
            <w:tcBorders>
              <w:top w:val="nil"/>
              <w:left w:val="nil"/>
              <w:bottom w:val="dashed" w:sz="4" w:space="0" w:color="auto"/>
              <w:right w:val="nil"/>
            </w:tcBorders>
            <w:shd w:val="clear" w:color="auto" w:fill="auto"/>
            <w:noWrap/>
            <w:vAlign w:val="center"/>
            <w:hideMark/>
          </w:tcPr>
          <w:p w14:paraId="2AC942AC" w14:textId="77777777" w:rsidR="0014121B" w:rsidRPr="002A34F0" w:rsidRDefault="0014121B">
            <w:pPr>
              <w:jc w:val="center"/>
              <w:rPr>
                <w:color w:val="000000"/>
                <w:sz w:val="20"/>
                <w:szCs w:val="20"/>
              </w:rPr>
            </w:pPr>
            <w:r w:rsidRPr="002A34F0">
              <w:rPr>
                <w:color w:val="000000"/>
                <w:sz w:val="20"/>
                <w:szCs w:val="20"/>
              </w:rPr>
              <w:t>1.577</w:t>
            </w:r>
          </w:p>
        </w:tc>
        <w:tc>
          <w:tcPr>
            <w:tcW w:w="899" w:type="dxa"/>
            <w:tcBorders>
              <w:top w:val="nil"/>
              <w:left w:val="nil"/>
              <w:bottom w:val="dashed" w:sz="4" w:space="0" w:color="auto"/>
              <w:right w:val="nil"/>
            </w:tcBorders>
            <w:shd w:val="clear" w:color="auto" w:fill="auto"/>
            <w:noWrap/>
            <w:vAlign w:val="center"/>
            <w:hideMark/>
          </w:tcPr>
          <w:p w14:paraId="060F8D71" w14:textId="77777777" w:rsidR="0014121B" w:rsidRPr="002A34F0" w:rsidRDefault="0014121B">
            <w:pPr>
              <w:jc w:val="center"/>
              <w:rPr>
                <w:color w:val="000000"/>
                <w:sz w:val="20"/>
                <w:szCs w:val="20"/>
              </w:rPr>
            </w:pPr>
            <w:r w:rsidRPr="002A34F0">
              <w:rPr>
                <w:color w:val="000000"/>
                <w:sz w:val="20"/>
                <w:szCs w:val="20"/>
              </w:rPr>
              <w:t>-1.473</w:t>
            </w:r>
          </w:p>
        </w:tc>
        <w:tc>
          <w:tcPr>
            <w:tcW w:w="866" w:type="dxa"/>
            <w:tcBorders>
              <w:top w:val="nil"/>
              <w:left w:val="single" w:sz="4" w:space="0" w:color="auto"/>
              <w:bottom w:val="dashed" w:sz="4" w:space="0" w:color="auto"/>
              <w:right w:val="nil"/>
            </w:tcBorders>
            <w:shd w:val="clear" w:color="auto" w:fill="auto"/>
            <w:noWrap/>
            <w:vAlign w:val="center"/>
            <w:hideMark/>
          </w:tcPr>
          <w:p w14:paraId="1DB1CA12" w14:textId="77777777" w:rsidR="0014121B" w:rsidRPr="002A34F0" w:rsidRDefault="0014121B">
            <w:pPr>
              <w:jc w:val="center"/>
              <w:rPr>
                <w:color w:val="000000"/>
                <w:sz w:val="20"/>
                <w:szCs w:val="20"/>
              </w:rPr>
            </w:pPr>
            <w:r w:rsidRPr="002A34F0">
              <w:rPr>
                <w:color w:val="000000"/>
                <w:sz w:val="20"/>
                <w:szCs w:val="20"/>
              </w:rPr>
              <w:t>-0.034</w:t>
            </w:r>
          </w:p>
        </w:tc>
        <w:tc>
          <w:tcPr>
            <w:tcW w:w="943" w:type="dxa"/>
            <w:tcBorders>
              <w:top w:val="nil"/>
              <w:left w:val="nil"/>
              <w:bottom w:val="dashed" w:sz="4" w:space="0" w:color="auto"/>
              <w:right w:val="single" w:sz="4" w:space="0" w:color="auto"/>
            </w:tcBorders>
            <w:shd w:val="clear" w:color="auto" w:fill="auto"/>
            <w:noWrap/>
            <w:vAlign w:val="center"/>
            <w:hideMark/>
          </w:tcPr>
          <w:p w14:paraId="48A1D9D9" w14:textId="77777777" w:rsidR="0014121B" w:rsidRPr="002A34F0" w:rsidRDefault="0014121B">
            <w:pPr>
              <w:jc w:val="center"/>
              <w:rPr>
                <w:color w:val="000000"/>
                <w:sz w:val="20"/>
                <w:szCs w:val="20"/>
              </w:rPr>
            </w:pPr>
            <w:r w:rsidRPr="002A34F0">
              <w:rPr>
                <w:color w:val="000000"/>
                <w:sz w:val="20"/>
                <w:szCs w:val="20"/>
              </w:rPr>
              <w:t>0.16</w:t>
            </w:r>
          </w:p>
        </w:tc>
        <w:tc>
          <w:tcPr>
            <w:tcW w:w="1049" w:type="dxa"/>
            <w:tcBorders>
              <w:top w:val="nil"/>
              <w:left w:val="nil"/>
              <w:bottom w:val="dashed" w:sz="4" w:space="0" w:color="auto"/>
              <w:right w:val="nil"/>
            </w:tcBorders>
            <w:shd w:val="clear" w:color="auto" w:fill="auto"/>
            <w:noWrap/>
            <w:vAlign w:val="center"/>
            <w:hideMark/>
          </w:tcPr>
          <w:p w14:paraId="042F3459" w14:textId="77777777" w:rsidR="0014121B" w:rsidRPr="002A34F0" w:rsidRDefault="0014121B">
            <w:pPr>
              <w:jc w:val="center"/>
              <w:rPr>
                <w:color w:val="000000"/>
                <w:sz w:val="20"/>
                <w:szCs w:val="20"/>
              </w:rPr>
            </w:pPr>
            <w:r w:rsidRPr="002A34F0">
              <w:rPr>
                <w:color w:val="000000"/>
                <w:sz w:val="20"/>
                <w:szCs w:val="20"/>
              </w:rPr>
              <w:t>0.344</w:t>
            </w:r>
          </w:p>
        </w:tc>
        <w:tc>
          <w:tcPr>
            <w:tcW w:w="1036" w:type="dxa"/>
            <w:tcBorders>
              <w:top w:val="nil"/>
              <w:left w:val="nil"/>
              <w:bottom w:val="dashed" w:sz="4" w:space="0" w:color="auto"/>
              <w:right w:val="nil"/>
            </w:tcBorders>
            <w:shd w:val="clear" w:color="auto" w:fill="auto"/>
            <w:noWrap/>
            <w:vAlign w:val="center"/>
            <w:hideMark/>
          </w:tcPr>
          <w:p w14:paraId="21F7FDFF" w14:textId="77777777" w:rsidR="0014121B" w:rsidRPr="002A34F0" w:rsidRDefault="0014121B">
            <w:pPr>
              <w:jc w:val="center"/>
              <w:rPr>
                <w:color w:val="000000"/>
                <w:sz w:val="20"/>
                <w:szCs w:val="20"/>
              </w:rPr>
            </w:pPr>
            <w:r w:rsidRPr="002A34F0">
              <w:rPr>
                <w:color w:val="000000"/>
                <w:sz w:val="20"/>
                <w:szCs w:val="20"/>
              </w:rPr>
              <w:t>-0.645</w:t>
            </w:r>
          </w:p>
        </w:tc>
        <w:tc>
          <w:tcPr>
            <w:tcW w:w="1036" w:type="dxa"/>
            <w:tcBorders>
              <w:top w:val="nil"/>
              <w:left w:val="nil"/>
              <w:bottom w:val="dashed" w:sz="4" w:space="0" w:color="auto"/>
              <w:right w:val="nil"/>
            </w:tcBorders>
            <w:shd w:val="clear" w:color="auto" w:fill="auto"/>
            <w:noWrap/>
            <w:vAlign w:val="center"/>
            <w:hideMark/>
          </w:tcPr>
          <w:p w14:paraId="41D7D3F0" w14:textId="77777777" w:rsidR="0014121B" w:rsidRPr="002A34F0" w:rsidRDefault="0014121B">
            <w:pPr>
              <w:jc w:val="center"/>
              <w:rPr>
                <w:color w:val="000000"/>
                <w:sz w:val="20"/>
                <w:szCs w:val="20"/>
              </w:rPr>
            </w:pPr>
            <w:r w:rsidRPr="002A34F0">
              <w:rPr>
                <w:color w:val="000000"/>
                <w:sz w:val="20"/>
                <w:szCs w:val="20"/>
              </w:rPr>
              <w:t>-0.111</w:t>
            </w:r>
          </w:p>
        </w:tc>
        <w:tc>
          <w:tcPr>
            <w:tcW w:w="1072" w:type="dxa"/>
            <w:tcBorders>
              <w:top w:val="nil"/>
              <w:left w:val="nil"/>
              <w:bottom w:val="dashed" w:sz="4" w:space="0" w:color="auto"/>
              <w:right w:val="nil"/>
            </w:tcBorders>
            <w:shd w:val="clear" w:color="auto" w:fill="auto"/>
            <w:noWrap/>
            <w:vAlign w:val="center"/>
            <w:hideMark/>
          </w:tcPr>
          <w:p w14:paraId="0FEA6FCA" w14:textId="77777777" w:rsidR="0014121B" w:rsidRPr="002A34F0" w:rsidRDefault="0014121B">
            <w:pPr>
              <w:jc w:val="center"/>
              <w:rPr>
                <w:color w:val="000000"/>
                <w:sz w:val="20"/>
                <w:szCs w:val="20"/>
              </w:rPr>
            </w:pPr>
            <w:r w:rsidRPr="002A34F0">
              <w:rPr>
                <w:color w:val="000000"/>
                <w:sz w:val="20"/>
                <w:szCs w:val="20"/>
              </w:rPr>
              <w:t>0.064</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2FCF4471" w14:textId="77777777" w:rsidR="0014121B" w:rsidRPr="002A34F0" w:rsidRDefault="0014121B">
            <w:pPr>
              <w:jc w:val="center"/>
              <w:rPr>
                <w:color w:val="000000"/>
                <w:sz w:val="20"/>
                <w:szCs w:val="20"/>
              </w:rPr>
            </w:pPr>
            <w:r w:rsidRPr="002A34F0">
              <w:rPr>
                <w:color w:val="000000"/>
                <w:sz w:val="20"/>
                <w:szCs w:val="20"/>
              </w:rPr>
              <w:t>3.099</w:t>
            </w:r>
          </w:p>
        </w:tc>
        <w:tc>
          <w:tcPr>
            <w:tcW w:w="820" w:type="dxa"/>
            <w:tcBorders>
              <w:top w:val="nil"/>
              <w:left w:val="nil"/>
              <w:bottom w:val="dashed" w:sz="4" w:space="0" w:color="auto"/>
              <w:right w:val="nil"/>
            </w:tcBorders>
            <w:shd w:val="clear" w:color="auto" w:fill="auto"/>
            <w:noWrap/>
            <w:vAlign w:val="center"/>
            <w:hideMark/>
          </w:tcPr>
          <w:p w14:paraId="3D817566" w14:textId="77777777" w:rsidR="0014121B" w:rsidRPr="002A34F0" w:rsidRDefault="0014121B">
            <w:pPr>
              <w:jc w:val="center"/>
              <w:rPr>
                <w:color w:val="000000"/>
                <w:sz w:val="20"/>
                <w:szCs w:val="20"/>
              </w:rPr>
            </w:pPr>
            <w:r w:rsidRPr="002A34F0">
              <w:rPr>
                <w:color w:val="000000"/>
                <w:sz w:val="20"/>
                <w:szCs w:val="20"/>
              </w:rPr>
              <w:t>0.340</w:t>
            </w:r>
          </w:p>
        </w:tc>
        <w:tc>
          <w:tcPr>
            <w:tcW w:w="900" w:type="dxa"/>
            <w:tcBorders>
              <w:top w:val="nil"/>
              <w:left w:val="nil"/>
              <w:bottom w:val="dashed" w:sz="4" w:space="0" w:color="auto"/>
              <w:right w:val="nil"/>
            </w:tcBorders>
            <w:shd w:val="clear" w:color="auto" w:fill="auto"/>
            <w:noWrap/>
            <w:vAlign w:val="center"/>
            <w:hideMark/>
          </w:tcPr>
          <w:p w14:paraId="2A81956F" w14:textId="77777777" w:rsidR="0014121B" w:rsidRPr="002A34F0" w:rsidRDefault="0014121B">
            <w:pPr>
              <w:jc w:val="center"/>
              <w:rPr>
                <w:color w:val="000000"/>
                <w:sz w:val="20"/>
                <w:szCs w:val="20"/>
              </w:rPr>
            </w:pPr>
            <w:r w:rsidRPr="002A34F0">
              <w:rPr>
                <w:color w:val="000000"/>
                <w:sz w:val="20"/>
                <w:szCs w:val="20"/>
              </w:rPr>
              <w:t>-425231</w:t>
            </w:r>
          </w:p>
        </w:tc>
        <w:tc>
          <w:tcPr>
            <w:tcW w:w="1620" w:type="dxa"/>
            <w:tcBorders>
              <w:top w:val="nil"/>
              <w:left w:val="nil"/>
              <w:bottom w:val="dashed" w:sz="4" w:space="0" w:color="auto"/>
              <w:right w:val="single" w:sz="8" w:space="0" w:color="auto"/>
            </w:tcBorders>
            <w:shd w:val="clear" w:color="auto" w:fill="auto"/>
            <w:noWrap/>
            <w:vAlign w:val="center"/>
            <w:hideMark/>
          </w:tcPr>
          <w:p w14:paraId="484E92D3" w14:textId="77777777" w:rsidR="0014121B" w:rsidRPr="002A34F0" w:rsidRDefault="0014121B">
            <w:pPr>
              <w:jc w:val="center"/>
              <w:rPr>
                <w:color w:val="000000"/>
                <w:sz w:val="20"/>
                <w:szCs w:val="20"/>
              </w:rPr>
            </w:pPr>
            <w:r w:rsidRPr="002A34F0">
              <w:rPr>
                <w:color w:val="000000"/>
                <w:sz w:val="20"/>
                <w:szCs w:val="20"/>
              </w:rPr>
              <w:t>-6933.437</w:t>
            </w:r>
          </w:p>
        </w:tc>
      </w:tr>
      <w:tr w:rsidR="0014121B" w:rsidRPr="002A34F0" w14:paraId="19DD8786"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47F6DFF0" w14:textId="77777777" w:rsidR="0014121B" w:rsidRPr="002A34F0" w:rsidRDefault="0014121B">
            <w:pPr>
              <w:ind w:firstLineChars="100" w:firstLine="200"/>
              <w:rPr>
                <w:i/>
                <w:iCs/>
                <w:color w:val="000000"/>
                <w:sz w:val="20"/>
                <w:szCs w:val="20"/>
              </w:rPr>
            </w:pPr>
            <w:r w:rsidRPr="002A34F0">
              <w:rPr>
                <w:i/>
                <w:iCs/>
                <w:color w:val="000000"/>
                <w:sz w:val="20"/>
                <w:szCs w:val="20"/>
              </w:rPr>
              <w:t>Fuel</w:t>
            </w:r>
          </w:p>
        </w:tc>
        <w:tc>
          <w:tcPr>
            <w:tcW w:w="875" w:type="dxa"/>
            <w:tcBorders>
              <w:top w:val="nil"/>
              <w:left w:val="nil"/>
              <w:bottom w:val="dashed" w:sz="4" w:space="0" w:color="auto"/>
              <w:right w:val="nil"/>
            </w:tcBorders>
            <w:shd w:val="clear" w:color="auto" w:fill="auto"/>
            <w:noWrap/>
            <w:vAlign w:val="center"/>
            <w:hideMark/>
          </w:tcPr>
          <w:p w14:paraId="64F9E170" w14:textId="77777777" w:rsidR="0014121B" w:rsidRPr="002A34F0" w:rsidRDefault="0014121B">
            <w:pPr>
              <w:jc w:val="center"/>
              <w:rPr>
                <w:color w:val="000000"/>
                <w:sz w:val="20"/>
                <w:szCs w:val="20"/>
              </w:rPr>
            </w:pPr>
            <w:r w:rsidRPr="002A34F0">
              <w:rPr>
                <w:color w:val="000000"/>
                <w:sz w:val="20"/>
                <w:szCs w:val="20"/>
              </w:rPr>
              <w:t>2.350*</w:t>
            </w:r>
          </w:p>
        </w:tc>
        <w:tc>
          <w:tcPr>
            <w:tcW w:w="899" w:type="dxa"/>
            <w:tcBorders>
              <w:top w:val="nil"/>
              <w:left w:val="nil"/>
              <w:bottom w:val="dashed" w:sz="4" w:space="0" w:color="auto"/>
              <w:right w:val="nil"/>
            </w:tcBorders>
            <w:shd w:val="clear" w:color="auto" w:fill="auto"/>
            <w:noWrap/>
            <w:vAlign w:val="center"/>
            <w:hideMark/>
          </w:tcPr>
          <w:p w14:paraId="614A6B10" w14:textId="77777777" w:rsidR="0014121B" w:rsidRPr="002A34F0" w:rsidRDefault="0014121B">
            <w:pPr>
              <w:jc w:val="center"/>
              <w:rPr>
                <w:color w:val="000000"/>
                <w:sz w:val="20"/>
                <w:szCs w:val="20"/>
              </w:rPr>
            </w:pPr>
            <w:r w:rsidRPr="002A34F0">
              <w:rPr>
                <w:color w:val="000000"/>
                <w:sz w:val="20"/>
                <w:szCs w:val="20"/>
              </w:rPr>
              <w:t>-2.123*</w:t>
            </w:r>
          </w:p>
        </w:tc>
        <w:tc>
          <w:tcPr>
            <w:tcW w:w="866" w:type="dxa"/>
            <w:tcBorders>
              <w:top w:val="nil"/>
              <w:left w:val="single" w:sz="4" w:space="0" w:color="auto"/>
              <w:bottom w:val="dashed" w:sz="4" w:space="0" w:color="auto"/>
              <w:right w:val="nil"/>
            </w:tcBorders>
            <w:shd w:val="clear" w:color="auto" w:fill="auto"/>
            <w:noWrap/>
            <w:vAlign w:val="center"/>
            <w:hideMark/>
          </w:tcPr>
          <w:p w14:paraId="7EFA3BCC" w14:textId="77777777" w:rsidR="0014121B" w:rsidRPr="002A34F0" w:rsidRDefault="0014121B">
            <w:pPr>
              <w:jc w:val="center"/>
              <w:rPr>
                <w:color w:val="000000"/>
                <w:sz w:val="20"/>
                <w:szCs w:val="20"/>
              </w:rPr>
            </w:pPr>
            <w:r w:rsidRPr="002A34F0">
              <w:rPr>
                <w:color w:val="000000"/>
                <w:sz w:val="20"/>
                <w:szCs w:val="20"/>
              </w:rPr>
              <w:t>0.310*</w:t>
            </w:r>
          </w:p>
        </w:tc>
        <w:tc>
          <w:tcPr>
            <w:tcW w:w="943" w:type="dxa"/>
            <w:tcBorders>
              <w:top w:val="nil"/>
              <w:left w:val="nil"/>
              <w:bottom w:val="dashed" w:sz="4" w:space="0" w:color="auto"/>
              <w:right w:val="single" w:sz="4" w:space="0" w:color="auto"/>
            </w:tcBorders>
            <w:shd w:val="clear" w:color="auto" w:fill="auto"/>
            <w:noWrap/>
            <w:vAlign w:val="center"/>
            <w:hideMark/>
          </w:tcPr>
          <w:p w14:paraId="60D4EC08" w14:textId="77777777" w:rsidR="0014121B" w:rsidRPr="002A34F0" w:rsidRDefault="0014121B">
            <w:pPr>
              <w:jc w:val="center"/>
              <w:rPr>
                <w:color w:val="000000"/>
                <w:sz w:val="20"/>
                <w:szCs w:val="20"/>
              </w:rPr>
            </w:pPr>
            <w:r w:rsidRPr="002A34F0">
              <w:rPr>
                <w:color w:val="000000"/>
                <w:sz w:val="20"/>
                <w:szCs w:val="20"/>
              </w:rPr>
              <w:t>-0.291*</w:t>
            </w:r>
          </w:p>
        </w:tc>
        <w:tc>
          <w:tcPr>
            <w:tcW w:w="1049" w:type="dxa"/>
            <w:tcBorders>
              <w:top w:val="nil"/>
              <w:left w:val="nil"/>
              <w:bottom w:val="dashed" w:sz="4" w:space="0" w:color="auto"/>
              <w:right w:val="nil"/>
            </w:tcBorders>
            <w:shd w:val="clear" w:color="auto" w:fill="auto"/>
            <w:noWrap/>
            <w:vAlign w:val="center"/>
            <w:hideMark/>
          </w:tcPr>
          <w:p w14:paraId="636FD089" w14:textId="77777777" w:rsidR="0014121B" w:rsidRPr="002A34F0" w:rsidRDefault="0014121B">
            <w:pPr>
              <w:jc w:val="center"/>
              <w:rPr>
                <w:color w:val="000000"/>
                <w:sz w:val="20"/>
                <w:szCs w:val="20"/>
              </w:rPr>
            </w:pPr>
            <w:r w:rsidRPr="002A34F0">
              <w:rPr>
                <w:color w:val="000000"/>
                <w:sz w:val="20"/>
                <w:szCs w:val="20"/>
              </w:rPr>
              <w:t>0.097*</w:t>
            </w:r>
          </w:p>
        </w:tc>
        <w:tc>
          <w:tcPr>
            <w:tcW w:w="1036" w:type="dxa"/>
            <w:tcBorders>
              <w:top w:val="nil"/>
              <w:left w:val="nil"/>
              <w:bottom w:val="dashed" w:sz="4" w:space="0" w:color="auto"/>
              <w:right w:val="nil"/>
            </w:tcBorders>
            <w:shd w:val="clear" w:color="auto" w:fill="auto"/>
            <w:noWrap/>
            <w:vAlign w:val="center"/>
            <w:hideMark/>
          </w:tcPr>
          <w:p w14:paraId="53A00B9C" w14:textId="77777777" w:rsidR="0014121B" w:rsidRPr="002A34F0" w:rsidRDefault="0014121B">
            <w:pPr>
              <w:jc w:val="center"/>
              <w:rPr>
                <w:color w:val="000000"/>
                <w:sz w:val="20"/>
                <w:szCs w:val="20"/>
              </w:rPr>
            </w:pPr>
            <w:r w:rsidRPr="002A34F0">
              <w:rPr>
                <w:color w:val="000000"/>
                <w:sz w:val="20"/>
                <w:szCs w:val="20"/>
              </w:rPr>
              <w:t>-0.487*</w:t>
            </w:r>
          </w:p>
        </w:tc>
        <w:tc>
          <w:tcPr>
            <w:tcW w:w="1036" w:type="dxa"/>
            <w:tcBorders>
              <w:top w:val="nil"/>
              <w:left w:val="nil"/>
              <w:bottom w:val="dashed" w:sz="4" w:space="0" w:color="auto"/>
              <w:right w:val="nil"/>
            </w:tcBorders>
            <w:shd w:val="clear" w:color="auto" w:fill="auto"/>
            <w:noWrap/>
            <w:vAlign w:val="center"/>
            <w:hideMark/>
          </w:tcPr>
          <w:p w14:paraId="3DEA3278" w14:textId="77777777" w:rsidR="0014121B" w:rsidRPr="002A34F0" w:rsidRDefault="0014121B">
            <w:pPr>
              <w:jc w:val="center"/>
              <w:rPr>
                <w:color w:val="000000"/>
                <w:sz w:val="20"/>
                <w:szCs w:val="20"/>
              </w:rPr>
            </w:pPr>
            <w:r w:rsidRPr="002A34F0">
              <w:rPr>
                <w:color w:val="000000"/>
                <w:sz w:val="20"/>
                <w:szCs w:val="20"/>
              </w:rPr>
              <w:t>0.004</w:t>
            </w:r>
          </w:p>
        </w:tc>
        <w:tc>
          <w:tcPr>
            <w:tcW w:w="1072" w:type="dxa"/>
            <w:tcBorders>
              <w:top w:val="nil"/>
              <w:left w:val="nil"/>
              <w:bottom w:val="dashed" w:sz="4" w:space="0" w:color="auto"/>
              <w:right w:val="nil"/>
            </w:tcBorders>
            <w:shd w:val="clear" w:color="auto" w:fill="auto"/>
            <w:noWrap/>
            <w:vAlign w:val="center"/>
            <w:hideMark/>
          </w:tcPr>
          <w:p w14:paraId="5C9EF46B" w14:textId="77777777" w:rsidR="0014121B" w:rsidRPr="002A34F0" w:rsidRDefault="0014121B">
            <w:pPr>
              <w:jc w:val="center"/>
              <w:rPr>
                <w:color w:val="000000"/>
                <w:sz w:val="20"/>
                <w:szCs w:val="20"/>
              </w:rPr>
            </w:pPr>
            <w:r w:rsidRPr="002A34F0">
              <w:rPr>
                <w:color w:val="000000"/>
                <w:sz w:val="20"/>
                <w:szCs w:val="20"/>
              </w:rPr>
              <w:t>0.17*</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59138A01" w14:textId="77777777" w:rsidR="0014121B" w:rsidRPr="002A34F0" w:rsidRDefault="0014121B">
            <w:pPr>
              <w:jc w:val="center"/>
              <w:rPr>
                <w:color w:val="000000"/>
                <w:sz w:val="20"/>
                <w:szCs w:val="20"/>
              </w:rPr>
            </w:pPr>
            <w:r w:rsidRPr="002A34F0">
              <w:rPr>
                <w:color w:val="000000"/>
                <w:sz w:val="20"/>
                <w:szCs w:val="20"/>
              </w:rPr>
              <w:t>-0.340*</w:t>
            </w:r>
          </w:p>
        </w:tc>
        <w:tc>
          <w:tcPr>
            <w:tcW w:w="820" w:type="dxa"/>
            <w:tcBorders>
              <w:top w:val="nil"/>
              <w:left w:val="nil"/>
              <w:bottom w:val="dashed" w:sz="4" w:space="0" w:color="auto"/>
              <w:right w:val="nil"/>
            </w:tcBorders>
            <w:shd w:val="clear" w:color="auto" w:fill="auto"/>
            <w:noWrap/>
            <w:vAlign w:val="center"/>
            <w:hideMark/>
          </w:tcPr>
          <w:p w14:paraId="5DA24019" w14:textId="77777777" w:rsidR="0014121B" w:rsidRPr="002A34F0" w:rsidRDefault="0014121B">
            <w:pPr>
              <w:jc w:val="center"/>
              <w:rPr>
                <w:color w:val="000000"/>
                <w:sz w:val="20"/>
                <w:szCs w:val="20"/>
              </w:rPr>
            </w:pPr>
            <w:r w:rsidRPr="002A34F0">
              <w:rPr>
                <w:color w:val="000000"/>
                <w:sz w:val="20"/>
                <w:szCs w:val="20"/>
              </w:rPr>
              <w:t xml:space="preserve"> 0.886</w:t>
            </w:r>
          </w:p>
        </w:tc>
        <w:tc>
          <w:tcPr>
            <w:tcW w:w="900" w:type="dxa"/>
            <w:tcBorders>
              <w:top w:val="nil"/>
              <w:left w:val="nil"/>
              <w:bottom w:val="dashed" w:sz="4" w:space="0" w:color="auto"/>
              <w:right w:val="nil"/>
            </w:tcBorders>
            <w:shd w:val="clear" w:color="auto" w:fill="auto"/>
            <w:noWrap/>
            <w:vAlign w:val="center"/>
            <w:hideMark/>
          </w:tcPr>
          <w:p w14:paraId="3481E2F6" w14:textId="77777777" w:rsidR="0014121B" w:rsidRPr="002A34F0" w:rsidRDefault="0014121B">
            <w:pPr>
              <w:jc w:val="center"/>
              <w:rPr>
                <w:color w:val="000000"/>
                <w:sz w:val="20"/>
                <w:szCs w:val="20"/>
              </w:rPr>
            </w:pPr>
            <w:r w:rsidRPr="002A34F0">
              <w:rPr>
                <w:color w:val="000000"/>
                <w:sz w:val="20"/>
                <w:szCs w:val="20"/>
              </w:rPr>
              <w:t>-413765</w:t>
            </w:r>
          </w:p>
        </w:tc>
        <w:tc>
          <w:tcPr>
            <w:tcW w:w="1620" w:type="dxa"/>
            <w:tcBorders>
              <w:top w:val="nil"/>
              <w:left w:val="nil"/>
              <w:bottom w:val="dashed" w:sz="4" w:space="0" w:color="auto"/>
              <w:right w:val="single" w:sz="8" w:space="0" w:color="auto"/>
            </w:tcBorders>
            <w:shd w:val="clear" w:color="auto" w:fill="auto"/>
            <w:noWrap/>
            <w:vAlign w:val="center"/>
            <w:hideMark/>
          </w:tcPr>
          <w:p w14:paraId="75ECD613" w14:textId="77777777" w:rsidR="0014121B" w:rsidRPr="002A34F0" w:rsidRDefault="0014121B">
            <w:pPr>
              <w:jc w:val="center"/>
              <w:rPr>
                <w:color w:val="000000"/>
                <w:sz w:val="20"/>
                <w:szCs w:val="20"/>
              </w:rPr>
            </w:pPr>
            <w:r w:rsidRPr="002A34F0">
              <w:rPr>
                <w:color w:val="000000"/>
                <w:sz w:val="20"/>
                <w:szCs w:val="20"/>
              </w:rPr>
              <w:t>-18053.303</w:t>
            </w:r>
          </w:p>
        </w:tc>
      </w:tr>
      <w:tr w:rsidR="0014121B" w:rsidRPr="002A34F0" w14:paraId="685CB435"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62A4D374" w14:textId="77777777" w:rsidR="0014121B" w:rsidRPr="002A34F0" w:rsidRDefault="0014121B">
            <w:pPr>
              <w:rPr>
                <w:color w:val="000000"/>
                <w:sz w:val="20"/>
                <w:szCs w:val="20"/>
              </w:rPr>
            </w:pPr>
            <w:r w:rsidRPr="002A34F0">
              <w:rPr>
                <w:color w:val="000000"/>
                <w:sz w:val="20"/>
                <w:szCs w:val="20"/>
              </w:rPr>
              <w:t>Sanitation</w:t>
            </w:r>
          </w:p>
        </w:tc>
        <w:tc>
          <w:tcPr>
            <w:tcW w:w="875" w:type="dxa"/>
            <w:tcBorders>
              <w:top w:val="nil"/>
              <w:left w:val="nil"/>
              <w:bottom w:val="dashed" w:sz="4" w:space="0" w:color="auto"/>
              <w:right w:val="nil"/>
            </w:tcBorders>
            <w:shd w:val="clear" w:color="auto" w:fill="auto"/>
            <w:noWrap/>
            <w:vAlign w:val="center"/>
            <w:hideMark/>
          </w:tcPr>
          <w:p w14:paraId="6850F6AF" w14:textId="77777777" w:rsidR="0014121B" w:rsidRPr="002A34F0" w:rsidRDefault="0014121B">
            <w:pPr>
              <w:jc w:val="center"/>
              <w:rPr>
                <w:color w:val="000000"/>
                <w:sz w:val="20"/>
                <w:szCs w:val="20"/>
              </w:rPr>
            </w:pPr>
            <w:r w:rsidRPr="002A34F0">
              <w:rPr>
                <w:color w:val="000000"/>
                <w:sz w:val="20"/>
                <w:szCs w:val="20"/>
              </w:rPr>
              <w:t> </w:t>
            </w:r>
          </w:p>
        </w:tc>
        <w:tc>
          <w:tcPr>
            <w:tcW w:w="899" w:type="dxa"/>
            <w:tcBorders>
              <w:top w:val="nil"/>
              <w:left w:val="nil"/>
              <w:bottom w:val="dashed" w:sz="4" w:space="0" w:color="auto"/>
              <w:right w:val="nil"/>
            </w:tcBorders>
            <w:shd w:val="clear" w:color="auto" w:fill="auto"/>
            <w:noWrap/>
            <w:vAlign w:val="center"/>
            <w:hideMark/>
          </w:tcPr>
          <w:p w14:paraId="051486D9" w14:textId="77777777" w:rsidR="0014121B" w:rsidRPr="002A34F0" w:rsidRDefault="0014121B">
            <w:pPr>
              <w:jc w:val="center"/>
              <w:rPr>
                <w:color w:val="000000"/>
                <w:sz w:val="20"/>
                <w:szCs w:val="20"/>
              </w:rPr>
            </w:pPr>
            <w:r w:rsidRPr="002A34F0">
              <w:rPr>
                <w:color w:val="000000"/>
                <w:sz w:val="20"/>
                <w:szCs w:val="20"/>
              </w:rPr>
              <w:t> </w:t>
            </w:r>
          </w:p>
        </w:tc>
        <w:tc>
          <w:tcPr>
            <w:tcW w:w="866" w:type="dxa"/>
            <w:tcBorders>
              <w:top w:val="nil"/>
              <w:left w:val="single" w:sz="4" w:space="0" w:color="auto"/>
              <w:bottom w:val="dashed" w:sz="4" w:space="0" w:color="auto"/>
              <w:right w:val="nil"/>
            </w:tcBorders>
            <w:shd w:val="clear" w:color="auto" w:fill="auto"/>
            <w:noWrap/>
            <w:vAlign w:val="center"/>
            <w:hideMark/>
          </w:tcPr>
          <w:p w14:paraId="7F85DC30" w14:textId="77777777" w:rsidR="0014121B" w:rsidRPr="002A34F0" w:rsidRDefault="0014121B">
            <w:pPr>
              <w:jc w:val="center"/>
              <w:rPr>
                <w:color w:val="000000"/>
                <w:sz w:val="20"/>
                <w:szCs w:val="20"/>
              </w:rPr>
            </w:pPr>
            <w:r w:rsidRPr="002A34F0">
              <w:rPr>
                <w:color w:val="000000"/>
                <w:sz w:val="20"/>
                <w:szCs w:val="20"/>
              </w:rPr>
              <w:t> </w:t>
            </w:r>
          </w:p>
        </w:tc>
        <w:tc>
          <w:tcPr>
            <w:tcW w:w="943" w:type="dxa"/>
            <w:tcBorders>
              <w:top w:val="nil"/>
              <w:left w:val="nil"/>
              <w:bottom w:val="dashed" w:sz="4" w:space="0" w:color="auto"/>
              <w:right w:val="single" w:sz="4" w:space="0" w:color="auto"/>
            </w:tcBorders>
            <w:shd w:val="clear" w:color="auto" w:fill="auto"/>
            <w:noWrap/>
            <w:vAlign w:val="center"/>
            <w:hideMark/>
          </w:tcPr>
          <w:p w14:paraId="4D5D27D4" w14:textId="77777777" w:rsidR="0014121B" w:rsidRPr="002A34F0" w:rsidRDefault="0014121B">
            <w:pPr>
              <w:jc w:val="center"/>
              <w:rPr>
                <w:color w:val="000000"/>
                <w:sz w:val="20"/>
                <w:szCs w:val="20"/>
              </w:rPr>
            </w:pPr>
            <w:r w:rsidRPr="002A34F0">
              <w:rPr>
                <w:color w:val="000000"/>
                <w:sz w:val="20"/>
                <w:szCs w:val="20"/>
              </w:rPr>
              <w:t> </w:t>
            </w:r>
          </w:p>
        </w:tc>
        <w:tc>
          <w:tcPr>
            <w:tcW w:w="1049" w:type="dxa"/>
            <w:tcBorders>
              <w:top w:val="nil"/>
              <w:left w:val="nil"/>
              <w:bottom w:val="dashed" w:sz="4" w:space="0" w:color="auto"/>
              <w:right w:val="nil"/>
            </w:tcBorders>
            <w:shd w:val="clear" w:color="auto" w:fill="auto"/>
            <w:noWrap/>
            <w:vAlign w:val="center"/>
            <w:hideMark/>
          </w:tcPr>
          <w:p w14:paraId="09CDDCBD" w14:textId="77777777" w:rsidR="0014121B" w:rsidRPr="002A34F0" w:rsidRDefault="0014121B">
            <w:pPr>
              <w:jc w:val="center"/>
              <w:rPr>
                <w:color w:val="000000"/>
                <w:sz w:val="20"/>
                <w:szCs w:val="20"/>
              </w:rPr>
            </w:pPr>
            <w:r w:rsidRPr="002A34F0">
              <w:rPr>
                <w:color w:val="000000"/>
                <w:sz w:val="20"/>
                <w:szCs w:val="20"/>
              </w:rPr>
              <w:t> </w:t>
            </w:r>
          </w:p>
        </w:tc>
        <w:tc>
          <w:tcPr>
            <w:tcW w:w="1036" w:type="dxa"/>
            <w:tcBorders>
              <w:top w:val="nil"/>
              <w:left w:val="nil"/>
              <w:bottom w:val="dashed" w:sz="4" w:space="0" w:color="auto"/>
              <w:right w:val="nil"/>
            </w:tcBorders>
            <w:shd w:val="clear" w:color="auto" w:fill="auto"/>
            <w:noWrap/>
            <w:vAlign w:val="center"/>
            <w:hideMark/>
          </w:tcPr>
          <w:p w14:paraId="399A07A4" w14:textId="77777777" w:rsidR="0014121B" w:rsidRPr="002A34F0" w:rsidRDefault="0014121B">
            <w:pPr>
              <w:jc w:val="center"/>
              <w:rPr>
                <w:color w:val="000000"/>
                <w:sz w:val="20"/>
                <w:szCs w:val="20"/>
              </w:rPr>
            </w:pPr>
            <w:r w:rsidRPr="002A34F0">
              <w:rPr>
                <w:color w:val="000000"/>
                <w:sz w:val="20"/>
                <w:szCs w:val="20"/>
              </w:rPr>
              <w:t> </w:t>
            </w:r>
          </w:p>
        </w:tc>
        <w:tc>
          <w:tcPr>
            <w:tcW w:w="1036" w:type="dxa"/>
            <w:tcBorders>
              <w:top w:val="nil"/>
              <w:left w:val="nil"/>
              <w:bottom w:val="dashed" w:sz="4" w:space="0" w:color="auto"/>
              <w:right w:val="nil"/>
            </w:tcBorders>
            <w:shd w:val="clear" w:color="auto" w:fill="auto"/>
            <w:noWrap/>
            <w:vAlign w:val="center"/>
            <w:hideMark/>
          </w:tcPr>
          <w:p w14:paraId="6523F545" w14:textId="77777777" w:rsidR="0014121B" w:rsidRPr="002A34F0" w:rsidRDefault="0014121B">
            <w:pPr>
              <w:jc w:val="center"/>
              <w:rPr>
                <w:color w:val="000000"/>
                <w:sz w:val="20"/>
                <w:szCs w:val="20"/>
              </w:rPr>
            </w:pPr>
            <w:r w:rsidRPr="002A34F0">
              <w:rPr>
                <w:color w:val="000000"/>
                <w:sz w:val="20"/>
                <w:szCs w:val="20"/>
              </w:rPr>
              <w:t> </w:t>
            </w:r>
          </w:p>
        </w:tc>
        <w:tc>
          <w:tcPr>
            <w:tcW w:w="1072" w:type="dxa"/>
            <w:tcBorders>
              <w:top w:val="nil"/>
              <w:left w:val="nil"/>
              <w:bottom w:val="dashed" w:sz="4" w:space="0" w:color="auto"/>
              <w:right w:val="nil"/>
            </w:tcBorders>
            <w:shd w:val="clear" w:color="auto" w:fill="auto"/>
            <w:noWrap/>
            <w:vAlign w:val="center"/>
            <w:hideMark/>
          </w:tcPr>
          <w:p w14:paraId="2F8537FA" w14:textId="77777777" w:rsidR="0014121B" w:rsidRPr="002A34F0" w:rsidRDefault="0014121B">
            <w:pPr>
              <w:jc w:val="center"/>
              <w:rPr>
                <w:color w:val="000000"/>
                <w:sz w:val="20"/>
                <w:szCs w:val="20"/>
              </w:rPr>
            </w:pPr>
            <w:r w:rsidRPr="002A34F0">
              <w:rPr>
                <w:color w:val="000000"/>
                <w:sz w:val="20"/>
                <w:szCs w:val="20"/>
              </w:rPr>
              <w:t> </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24C1387B" w14:textId="77777777" w:rsidR="0014121B" w:rsidRPr="002A34F0" w:rsidRDefault="0014121B">
            <w:pPr>
              <w:jc w:val="center"/>
              <w:rPr>
                <w:color w:val="000000"/>
                <w:sz w:val="20"/>
                <w:szCs w:val="20"/>
              </w:rPr>
            </w:pPr>
            <w:r w:rsidRPr="002A34F0">
              <w:rPr>
                <w:color w:val="000000"/>
                <w:sz w:val="20"/>
                <w:szCs w:val="20"/>
              </w:rPr>
              <w:t> </w:t>
            </w:r>
          </w:p>
        </w:tc>
        <w:tc>
          <w:tcPr>
            <w:tcW w:w="820" w:type="dxa"/>
            <w:tcBorders>
              <w:top w:val="nil"/>
              <w:left w:val="nil"/>
              <w:bottom w:val="dashed" w:sz="4" w:space="0" w:color="auto"/>
              <w:right w:val="nil"/>
            </w:tcBorders>
            <w:shd w:val="clear" w:color="auto" w:fill="auto"/>
            <w:noWrap/>
            <w:vAlign w:val="center"/>
            <w:hideMark/>
          </w:tcPr>
          <w:p w14:paraId="23A0852D" w14:textId="77777777" w:rsidR="0014121B" w:rsidRPr="002A34F0" w:rsidRDefault="0014121B">
            <w:pPr>
              <w:jc w:val="center"/>
              <w:rPr>
                <w:color w:val="000000"/>
                <w:sz w:val="20"/>
                <w:szCs w:val="20"/>
              </w:rPr>
            </w:pPr>
            <w:r w:rsidRPr="002A34F0">
              <w:rPr>
                <w:color w:val="000000"/>
                <w:sz w:val="20"/>
                <w:szCs w:val="20"/>
              </w:rPr>
              <w:t> </w:t>
            </w:r>
          </w:p>
        </w:tc>
        <w:tc>
          <w:tcPr>
            <w:tcW w:w="900" w:type="dxa"/>
            <w:tcBorders>
              <w:top w:val="nil"/>
              <w:left w:val="nil"/>
              <w:bottom w:val="dashed" w:sz="4" w:space="0" w:color="auto"/>
              <w:right w:val="nil"/>
            </w:tcBorders>
            <w:shd w:val="clear" w:color="auto" w:fill="auto"/>
            <w:noWrap/>
            <w:vAlign w:val="center"/>
            <w:hideMark/>
          </w:tcPr>
          <w:p w14:paraId="6021D58E" w14:textId="77777777" w:rsidR="0014121B" w:rsidRPr="002A34F0" w:rsidRDefault="0014121B">
            <w:pPr>
              <w:jc w:val="center"/>
              <w:rPr>
                <w:color w:val="000000"/>
                <w:sz w:val="20"/>
                <w:szCs w:val="20"/>
              </w:rPr>
            </w:pPr>
            <w:r w:rsidRPr="002A34F0">
              <w:rPr>
                <w:color w:val="000000"/>
                <w:sz w:val="20"/>
                <w:szCs w:val="20"/>
              </w:rPr>
              <w:t> </w:t>
            </w:r>
          </w:p>
        </w:tc>
        <w:tc>
          <w:tcPr>
            <w:tcW w:w="1620" w:type="dxa"/>
            <w:tcBorders>
              <w:top w:val="nil"/>
              <w:left w:val="nil"/>
              <w:bottom w:val="dashed" w:sz="4" w:space="0" w:color="auto"/>
              <w:right w:val="single" w:sz="8" w:space="0" w:color="auto"/>
            </w:tcBorders>
            <w:shd w:val="clear" w:color="auto" w:fill="auto"/>
            <w:noWrap/>
            <w:vAlign w:val="center"/>
            <w:hideMark/>
          </w:tcPr>
          <w:p w14:paraId="0D0A89FF" w14:textId="77777777" w:rsidR="0014121B" w:rsidRPr="002A34F0" w:rsidRDefault="0014121B">
            <w:pPr>
              <w:jc w:val="center"/>
              <w:rPr>
                <w:color w:val="000000"/>
                <w:sz w:val="20"/>
                <w:szCs w:val="20"/>
              </w:rPr>
            </w:pPr>
            <w:r w:rsidRPr="002A34F0">
              <w:rPr>
                <w:color w:val="000000"/>
                <w:sz w:val="20"/>
                <w:szCs w:val="20"/>
              </w:rPr>
              <w:t> </w:t>
            </w:r>
          </w:p>
        </w:tc>
      </w:tr>
      <w:tr w:rsidR="0014121B" w:rsidRPr="002A34F0" w14:paraId="502EC9F2"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477A346A" w14:textId="77777777" w:rsidR="0014121B" w:rsidRPr="002A34F0" w:rsidRDefault="0014121B">
            <w:pPr>
              <w:ind w:firstLineChars="100" w:firstLine="200"/>
              <w:rPr>
                <w:i/>
                <w:iCs/>
                <w:color w:val="000000"/>
                <w:sz w:val="20"/>
                <w:szCs w:val="20"/>
              </w:rPr>
            </w:pPr>
            <w:r w:rsidRPr="002A34F0">
              <w:rPr>
                <w:i/>
                <w:iCs/>
                <w:color w:val="000000"/>
                <w:sz w:val="20"/>
                <w:szCs w:val="20"/>
              </w:rPr>
              <w:t>Solid Waste</w:t>
            </w:r>
          </w:p>
        </w:tc>
        <w:tc>
          <w:tcPr>
            <w:tcW w:w="875" w:type="dxa"/>
            <w:tcBorders>
              <w:top w:val="nil"/>
              <w:left w:val="nil"/>
              <w:bottom w:val="dashed" w:sz="4" w:space="0" w:color="auto"/>
              <w:right w:val="nil"/>
            </w:tcBorders>
            <w:shd w:val="clear" w:color="auto" w:fill="auto"/>
            <w:noWrap/>
            <w:vAlign w:val="center"/>
            <w:hideMark/>
          </w:tcPr>
          <w:p w14:paraId="36399436" w14:textId="77777777" w:rsidR="0014121B" w:rsidRPr="002A34F0" w:rsidRDefault="0014121B">
            <w:pPr>
              <w:jc w:val="center"/>
              <w:rPr>
                <w:color w:val="000000"/>
                <w:sz w:val="20"/>
                <w:szCs w:val="20"/>
              </w:rPr>
            </w:pPr>
            <w:r w:rsidRPr="002A34F0">
              <w:rPr>
                <w:color w:val="000000"/>
                <w:sz w:val="20"/>
                <w:szCs w:val="20"/>
              </w:rPr>
              <w:t>0.255*</w:t>
            </w:r>
          </w:p>
        </w:tc>
        <w:tc>
          <w:tcPr>
            <w:tcW w:w="899" w:type="dxa"/>
            <w:tcBorders>
              <w:top w:val="nil"/>
              <w:left w:val="nil"/>
              <w:bottom w:val="dashed" w:sz="4" w:space="0" w:color="auto"/>
              <w:right w:val="nil"/>
            </w:tcBorders>
            <w:shd w:val="clear" w:color="auto" w:fill="auto"/>
            <w:noWrap/>
            <w:vAlign w:val="center"/>
            <w:hideMark/>
          </w:tcPr>
          <w:p w14:paraId="59F79CF4" w14:textId="77777777" w:rsidR="0014121B" w:rsidRPr="002A34F0" w:rsidRDefault="0014121B">
            <w:pPr>
              <w:jc w:val="center"/>
              <w:rPr>
                <w:color w:val="000000"/>
                <w:sz w:val="20"/>
                <w:szCs w:val="20"/>
              </w:rPr>
            </w:pPr>
            <w:r w:rsidRPr="002A34F0">
              <w:rPr>
                <w:color w:val="000000"/>
                <w:sz w:val="20"/>
                <w:szCs w:val="20"/>
              </w:rPr>
              <w:t>-1.235*</w:t>
            </w:r>
          </w:p>
        </w:tc>
        <w:tc>
          <w:tcPr>
            <w:tcW w:w="866" w:type="dxa"/>
            <w:tcBorders>
              <w:top w:val="nil"/>
              <w:left w:val="single" w:sz="4" w:space="0" w:color="auto"/>
              <w:bottom w:val="dashed" w:sz="4" w:space="0" w:color="auto"/>
              <w:right w:val="nil"/>
            </w:tcBorders>
            <w:shd w:val="clear" w:color="auto" w:fill="auto"/>
            <w:noWrap/>
            <w:vAlign w:val="center"/>
            <w:hideMark/>
          </w:tcPr>
          <w:p w14:paraId="0B4D2578" w14:textId="77777777" w:rsidR="0014121B" w:rsidRPr="002A34F0" w:rsidRDefault="0014121B">
            <w:pPr>
              <w:jc w:val="center"/>
              <w:rPr>
                <w:color w:val="000000"/>
                <w:sz w:val="20"/>
                <w:szCs w:val="20"/>
              </w:rPr>
            </w:pPr>
            <w:r w:rsidRPr="002A34F0">
              <w:rPr>
                <w:color w:val="000000"/>
                <w:sz w:val="20"/>
                <w:szCs w:val="20"/>
              </w:rPr>
              <w:t>-0.654*</w:t>
            </w:r>
          </w:p>
        </w:tc>
        <w:tc>
          <w:tcPr>
            <w:tcW w:w="943" w:type="dxa"/>
            <w:tcBorders>
              <w:top w:val="nil"/>
              <w:left w:val="nil"/>
              <w:bottom w:val="dashed" w:sz="4" w:space="0" w:color="auto"/>
              <w:right w:val="single" w:sz="4" w:space="0" w:color="auto"/>
            </w:tcBorders>
            <w:shd w:val="clear" w:color="auto" w:fill="auto"/>
            <w:noWrap/>
            <w:vAlign w:val="center"/>
            <w:hideMark/>
          </w:tcPr>
          <w:p w14:paraId="29A3247E" w14:textId="77777777" w:rsidR="0014121B" w:rsidRPr="002A34F0" w:rsidRDefault="0014121B">
            <w:pPr>
              <w:jc w:val="center"/>
              <w:rPr>
                <w:color w:val="000000"/>
                <w:sz w:val="20"/>
                <w:szCs w:val="20"/>
              </w:rPr>
            </w:pPr>
            <w:r w:rsidRPr="002A34F0">
              <w:rPr>
                <w:color w:val="000000"/>
                <w:sz w:val="20"/>
                <w:szCs w:val="20"/>
              </w:rPr>
              <w:t>0.076</w:t>
            </w:r>
          </w:p>
        </w:tc>
        <w:tc>
          <w:tcPr>
            <w:tcW w:w="1049" w:type="dxa"/>
            <w:tcBorders>
              <w:top w:val="nil"/>
              <w:left w:val="nil"/>
              <w:bottom w:val="dashed" w:sz="4" w:space="0" w:color="auto"/>
              <w:right w:val="nil"/>
            </w:tcBorders>
            <w:shd w:val="clear" w:color="auto" w:fill="auto"/>
            <w:noWrap/>
            <w:vAlign w:val="center"/>
            <w:hideMark/>
          </w:tcPr>
          <w:p w14:paraId="72BBBC94" w14:textId="77777777" w:rsidR="0014121B" w:rsidRPr="002A34F0" w:rsidRDefault="0014121B">
            <w:pPr>
              <w:jc w:val="center"/>
              <w:rPr>
                <w:color w:val="000000"/>
                <w:sz w:val="20"/>
                <w:szCs w:val="20"/>
              </w:rPr>
            </w:pPr>
            <w:r w:rsidRPr="002A34F0">
              <w:rPr>
                <w:color w:val="000000"/>
                <w:sz w:val="20"/>
                <w:szCs w:val="20"/>
              </w:rPr>
              <w:t>0.532*</w:t>
            </w:r>
          </w:p>
        </w:tc>
        <w:tc>
          <w:tcPr>
            <w:tcW w:w="1036" w:type="dxa"/>
            <w:tcBorders>
              <w:top w:val="nil"/>
              <w:left w:val="nil"/>
              <w:bottom w:val="dashed" w:sz="4" w:space="0" w:color="auto"/>
              <w:right w:val="nil"/>
            </w:tcBorders>
            <w:shd w:val="clear" w:color="auto" w:fill="auto"/>
            <w:noWrap/>
            <w:vAlign w:val="center"/>
            <w:hideMark/>
          </w:tcPr>
          <w:p w14:paraId="273E6C8F" w14:textId="77777777" w:rsidR="0014121B" w:rsidRPr="002A34F0" w:rsidRDefault="0014121B">
            <w:pPr>
              <w:jc w:val="center"/>
              <w:rPr>
                <w:color w:val="000000"/>
                <w:sz w:val="20"/>
                <w:szCs w:val="20"/>
              </w:rPr>
            </w:pPr>
            <w:r w:rsidRPr="002A34F0">
              <w:rPr>
                <w:color w:val="000000"/>
                <w:sz w:val="20"/>
                <w:szCs w:val="20"/>
              </w:rPr>
              <w:t>-0.182</w:t>
            </w:r>
          </w:p>
        </w:tc>
        <w:tc>
          <w:tcPr>
            <w:tcW w:w="1036" w:type="dxa"/>
            <w:tcBorders>
              <w:top w:val="nil"/>
              <w:left w:val="nil"/>
              <w:bottom w:val="dashed" w:sz="4" w:space="0" w:color="auto"/>
              <w:right w:val="nil"/>
            </w:tcBorders>
            <w:shd w:val="clear" w:color="auto" w:fill="auto"/>
            <w:noWrap/>
            <w:vAlign w:val="center"/>
            <w:hideMark/>
          </w:tcPr>
          <w:p w14:paraId="20D767EB" w14:textId="77777777" w:rsidR="0014121B" w:rsidRPr="002A34F0" w:rsidRDefault="0014121B">
            <w:pPr>
              <w:jc w:val="center"/>
              <w:rPr>
                <w:color w:val="000000"/>
                <w:sz w:val="20"/>
                <w:szCs w:val="20"/>
              </w:rPr>
            </w:pPr>
            <w:r w:rsidRPr="002A34F0">
              <w:rPr>
                <w:color w:val="000000"/>
                <w:sz w:val="20"/>
                <w:szCs w:val="20"/>
              </w:rPr>
              <w:t>-0.001</w:t>
            </w:r>
          </w:p>
        </w:tc>
        <w:tc>
          <w:tcPr>
            <w:tcW w:w="1072" w:type="dxa"/>
            <w:tcBorders>
              <w:top w:val="nil"/>
              <w:left w:val="nil"/>
              <w:bottom w:val="dashed" w:sz="4" w:space="0" w:color="auto"/>
              <w:right w:val="nil"/>
            </w:tcBorders>
            <w:shd w:val="clear" w:color="auto" w:fill="auto"/>
            <w:noWrap/>
            <w:vAlign w:val="center"/>
            <w:hideMark/>
          </w:tcPr>
          <w:p w14:paraId="02BA5E2B" w14:textId="77777777" w:rsidR="0014121B" w:rsidRPr="002A34F0" w:rsidRDefault="0014121B">
            <w:pPr>
              <w:jc w:val="center"/>
              <w:rPr>
                <w:color w:val="000000"/>
                <w:sz w:val="20"/>
                <w:szCs w:val="20"/>
              </w:rPr>
            </w:pPr>
            <w:r w:rsidRPr="002A34F0">
              <w:rPr>
                <w:color w:val="000000"/>
                <w:sz w:val="20"/>
                <w:szCs w:val="20"/>
              </w:rPr>
              <w:t>-0.057</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42BB4926" w14:textId="77777777" w:rsidR="0014121B" w:rsidRPr="002A34F0" w:rsidRDefault="0014121B">
            <w:pPr>
              <w:jc w:val="center"/>
              <w:rPr>
                <w:color w:val="000000"/>
                <w:sz w:val="20"/>
                <w:szCs w:val="20"/>
              </w:rPr>
            </w:pPr>
            <w:r w:rsidRPr="002A34F0">
              <w:rPr>
                <w:color w:val="000000"/>
                <w:sz w:val="20"/>
                <w:szCs w:val="20"/>
              </w:rPr>
              <w:t>3.517*</w:t>
            </w:r>
          </w:p>
        </w:tc>
        <w:tc>
          <w:tcPr>
            <w:tcW w:w="820" w:type="dxa"/>
            <w:tcBorders>
              <w:top w:val="nil"/>
              <w:left w:val="nil"/>
              <w:bottom w:val="dashed" w:sz="4" w:space="0" w:color="auto"/>
              <w:right w:val="nil"/>
            </w:tcBorders>
            <w:shd w:val="clear" w:color="auto" w:fill="auto"/>
            <w:noWrap/>
            <w:vAlign w:val="center"/>
            <w:hideMark/>
          </w:tcPr>
          <w:p w14:paraId="25F2131F" w14:textId="77777777" w:rsidR="0014121B" w:rsidRPr="002A34F0" w:rsidRDefault="0014121B">
            <w:pPr>
              <w:jc w:val="center"/>
              <w:rPr>
                <w:color w:val="000000"/>
                <w:sz w:val="20"/>
                <w:szCs w:val="20"/>
              </w:rPr>
            </w:pPr>
            <w:r w:rsidRPr="002A34F0">
              <w:rPr>
                <w:color w:val="000000"/>
                <w:sz w:val="20"/>
                <w:szCs w:val="20"/>
              </w:rPr>
              <w:t>0.324</w:t>
            </w:r>
          </w:p>
        </w:tc>
        <w:tc>
          <w:tcPr>
            <w:tcW w:w="900" w:type="dxa"/>
            <w:tcBorders>
              <w:top w:val="nil"/>
              <w:left w:val="nil"/>
              <w:bottom w:val="dashed" w:sz="4" w:space="0" w:color="auto"/>
              <w:right w:val="nil"/>
            </w:tcBorders>
            <w:shd w:val="clear" w:color="auto" w:fill="auto"/>
            <w:noWrap/>
            <w:vAlign w:val="center"/>
            <w:hideMark/>
          </w:tcPr>
          <w:p w14:paraId="52D44E59" w14:textId="77777777" w:rsidR="0014121B" w:rsidRPr="002A34F0" w:rsidRDefault="0014121B">
            <w:pPr>
              <w:jc w:val="center"/>
              <w:rPr>
                <w:color w:val="000000"/>
                <w:sz w:val="20"/>
                <w:szCs w:val="20"/>
              </w:rPr>
            </w:pPr>
            <w:r w:rsidRPr="002A34F0">
              <w:rPr>
                <w:color w:val="000000"/>
                <w:sz w:val="20"/>
                <w:szCs w:val="20"/>
              </w:rPr>
              <w:t>-424154</w:t>
            </w:r>
          </w:p>
        </w:tc>
        <w:tc>
          <w:tcPr>
            <w:tcW w:w="1620" w:type="dxa"/>
            <w:tcBorders>
              <w:top w:val="nil"/>
              <w:left w:val="nil"/>
              <w:bottom w:val="dashed" w:sz="4" w:space="0" w:color="auto"/>
              <w:right w:val="single" w:sz="8" w:space="0" w:color="auto"/>
            </w:tcBorders>
            <w:shd w:val="clear" w:color="auto" w:fill="auto"/>
            <w:noWrap/>
            <w:vAlign w:val="center"/>
            <w:hideMark/>
          </w:tcPr>
          <w:p w14:paraId="35CE8E1D" w14:textId="77777777" w:rsidR="0014121B" w:rsidRPr="002A34F0" w:rsidRDefault="0014121B">
            <w:pPr>
              <w:jc w:val="center"/>
              <w:rPr>
                <w:color w:val="000000"/>
                <w:sz w:val="20"/>
                <w:szCs w:val="20"/>
              </w:rPr>
            </w:pPr>
            <w:r w:rsidRPr="002A34F0">
              <w:rPr>
                <w:color w:val="000000"/>
                <w:sz w:val="20"/>
                <w:szCs w:val="20"/>
              </w:rPr>
              <w:t>-6591.175</w:t>
            </w:r>
          </w:p>
        </w:tc>
      </w:tr>
      <w:tr w:rsidR="0014121B" w:rsidRPr="002A34F0" w14:paraId="11080901"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2E0639D5" w14:textId="77777777" w:rsidR="0014121B" w:rsidRPr="002A34F0" w:rsidRDefault="0014121B">
            <w:pPr>
              <w:ind w:firstLineChars="100" w:firstLine="200"/>
              <w:rPr>
                <w:i/>
                <w:iCs/>
                <w:color w:val="000000"/>
                <w:sz w:val="20"/>
                <w:szCs w:val="20"/>
              </w:rPr>
            </w:pPr>
            <w:r w:rsidRPr="002A34F0">
              <w:rPr>
                <w:i/>
                <w:iCs/>
                <w:color w:val="000000"/>
                <w:sz w:val="20"/>
                <w:szCs w:val="20"/>
              </w:rPr>
              <w:t>Liquid Waste</w:t>
            </w:r>
          </w:p>
        </w:tc>
        <w:tc>
          <w:tcPr>
            <w:tcW w:w="875" w:type="dxa"/>
            <w:tcBorders>
              <w:top w:val="nil"/>
              <w:left w:val="nil"/>
              <w:bottom w:val="dashed" w:sz="4" w:space="0" w:color="auto"/>
              <w:right w:val="nil"/>
            </w:tcBorders>
            <w:shd w:val="clear" w:color="auto" w:fill="auto"/>
            <w:noWrap/>
            <w:vAlign w:val="center"/>
            <w:hideMark/>
          </w:tcPr>
          <w:p w14:paraId="3FE56FF4" w14:textId="77777777" w:rsidR="0014121B" w:rsidRPr="002A34F0" w:rsidRDefault="0014121B">
            <w:pPr>
              <w:jc w:val="center"/>
              <w:rPr>
                <w:color w:val="000000"/>
                <w:sz w:val="20"/>
                <w:szCs w:val="20"/>
              </w:rPr>
            </w:pPr>
            <w:r w:rsidRPr="002A34F0">
              <w:rPr>
                <w:color w:val="000000"/>
                <w:sz w:val="20"/>
                <w:szCs w:val="20"/>
              </w:rPr>
              <w:t>0.787*</w:t>
            </w:r>
          </w:p>
        </w:tc>
        <w:tc>
          <w:tcPr>
            <w:tcW w:w="899" w:type="dxa"/>
            <w:tcBorders>
              <w:top w:val="nil"/>
              <w:left w:val="nil"/>
              <w:bottom w:val="dashed" w:sz="4" w:space="0" w:color="auto"/>
              <w:right w:val="nil"/>
            </w:tcBorders>
            <w:shd w:val="clear" w:color="auto" w:fill="auto"/>
            <w:noWrap/>
            <w:vAlign w:val="center"/>
            <w:hideMark/>
          </w:tcPr>
          <w:p w14:paraId="6004B9BB" w14:textId="77777777" w:rsidR="0014121B" w:rsidRPr="002A34F0" w:rsidRDefault="0014121B">
            <w:pPr>
              <w:jc w:val="center"/>
              <w:rPr>
                <w:color w:val="000000"/>
                <w:sz w:val="20"/>
                <w:szCs w:val="20"/>
              </w:rPr>
            </w:pPr>
            <w:r w:rsidRPr="002A34F0">
              <w:rPr>
                <w:color w:val="000000"/>
                <w:sz w:val="20"/>
                <w:szCs w:val="20"/>
              </w:rPr>
              <w:t>-0.160*</w:t>
            </w:r>
          </w:p>
        </w:tc>
        <w:tc>
          <w:tcPr>
            <w:tcW w:w="866" w:type="dxa"/>
            <w:tcBorders>
              <w:top w:val="nil"/>
              <w:left w:val="single" w:sz="4" w:space="0" w:color="auto"/>
              <w:bottom w:val="dashed" w:sz="4" w:space="0" w:color="auto"/>
              <w:right w:val="nil"/>
            </w:tcBorders>
            <w:shd w:val="clear" w:color="auto" w:fill="auto"/>
            <w:noWrap/>
            <w:vAlign w:val="center"/>
            <w:hideMark/>
          </w:tcPr>
          <w:p w14:paraId="30562FD3" w14:textId="77777777" w:rsidR="0014121B" w:rsidRPr="002A34F0" w:rsidRDefault="0014121B">
            <w:pPr>
              <w:jc w:val="center"/>
              <w:rPr>
                <w:color w:val="000000"/>
                <w:sz w:val="20"/>
                <w:szCs w:val="20"/>
              </w:rPr>
            </w:pPr>
            <w:r w:rsidRPr="002A34F0">
              <w:rPr>
                <w:color w:val="000000"/>
                <w:sz w:val="20"/>
                <w:szCs w:val="20"/>
              </w:rPr>
              <w:t>0.627*</w:t>
            </w:r>
          </w:p>
        </w:tc>
        <w:tc>
          <w:tcPr>
            <w:tcW w:w="943" w:type="dxa"/>
            <w:tcBorders>
              <w:top w:val="nil"/>
              <w:left w:val="nil"/>
              <w:bottom w:val="dashed" w:sz="4" w:space="0" w:color="auto"/>
              <w:right w:val="single" w:sz="4" w:space="0" w:color="auto"/>
            </w:tcBorders>
            <w:shd w:val="clear" w:color="auto" w:fill="auto"/>
            <w:noWrap/>
            <w:vAlign w:val="center"/>
            <w:hideMark/>
          </w:tcPr>
          <w:p w14:paraId="757572E9" w14:textId="77777777" w:rsidR="0014121B" w:rsidRPr="002A34F0" w:rsidRDefault="0014121B">
            <w:pPr>
              <w:jc w:val="center"/>
              <w:rPr>
                <w:color w:val="000000"/>
                <w:sz w:val="20"/>
                <w:szCs w:val="20"/>
              </w:rPr>
            </w:pPr>
            <w:r w:rsidRPr="002A34F0">
              <w:rPr>
                <w:color w:val="000000"/>
                <w:sz w:val="20"/>
                <w:szCs w:val="20"/>
              </w:rPr>
              <w:t>-0.069*</w:t>
            </w:r>
          </w:p>
        </w:tc>
        <w:tc>
          <w:tcPr>
            <w:tcW w:w="1049" w:type="dxa"/>
            <w:tcBorders>
              <w:top w:val="nil"/>
              <w:left w:val="nil"/>
              <w:bottom w:val="dashed" w:sz="4" w:space="0" w:color="auto"/>
              <w:right w:val="nil"/>
            </w:tcBorders>
            <w:shd w:val="clear" w:color="auto" w:fill="auto"/>
            <w:noWrap/>
            <w:vAlign w:val="center"/>
            <w:hideMark/>
          </w:tcPr>
          <w:p w14:paraId="35C65CDD" w14:textId="77777777" w:rsidR="0014121B" w:rsidRPr="002A34F0" w:rsidRDefault="0014121B">
            <w:pPr>
              <w:jc w:val="center"/>
              <w:rPr>
                <w:color w:val="000000"/>
                <w:sz w:val="20"/>
                <w:szCs w:val="20"/>
              </w:rPr>
            </w:pPr>
            <w:r w:rsidRPr="002A34F0">
              <w:rPr>
                <w:color w:val="000000"/>
                <w:sz w:val="20"/>
                <w:szCs w:val="20"/>
              </w:rPr>
              <w:t>0.132*</w:t>
            </w:r>
          </w:p>
        </w:tc>
        <w:tc>
          <w:tcPr>
            <w:tcW w:w="1036" w:type="dxa"/>
            <w:tcBorders>
              <w:top w:val="nil"/>
              <w:left w:val="nil"/>
              <w:bottom w:val="dashed" w:sz="4" w:space="0" w:color="auto"/>
              <w:right w:val="nil"/>
            </w:tcBorders>
            <w:shd w:val="clear" w:color="auto" w:fill="auto"/>
            <w:noWrap/>
            <w:vAlign w:val="center"/>
            <w:hideMark/>
          </w:tcPr>
          <w:p w14:paraId="15E56CD2" w14:textId="77777777" w:rsidR="0014121B" w:rsidRPr="002A34F0" w:rsidRDefault="0014121B">
            <w:pPr>
              <w:jc w:val="center"/>
              <w:rPr>
                <w:color w:val="000000"/>
                <w:sz w:val="20"/>
                <w:szCs w:val="20"/>
              </w:rPr>
            </w:pPr>
            <w:r w:rsidRPr="002A34F0">
              <w:rPr>
                <w:color w:val="000000"/>
                <w:sz w:val="20"/>
                <w:szCs w:val="20"/>
              </w:rPr>
              <w:t>-0.273*</w:t>
            </w:r>
          </w:p>
        </w:tc>
        <w:tc>
          <w:tcPr>
            <w:tcW w:w="1036" w:type="dxa"/>
            <w:tcBorders>
              <w:top w:val="nil"/>
              <w:left w:val="nil"/>
              <w:bottom w:val="dashed" w:sz="4" w:space="0" w:color="auto"/>
              <w:right w:val="nil"/>
            </w:tcBorders>
            <w:shd w:val="clear" w:color="auto" w:fill="auto"/>
            <w:noWrap/>
            <w:vAlign w:val="center"/>
            <w:hideMark/>
          </w:tcPr>
          <w:p w14:paraId="1D8C624C" w14:textId="77777777" w:rsidR="0014121B" w:rsidRPr="002A34F0" w:rsidRDefault="0014121B">
            <w:pPr>
              <w:jc w:val="center"/>
              <w:rPr>
                <w:color w:val="000000"/>
                <w:sz w:val="20"/>
                <w:szCs w:val="20"/>
              </w:rPr>
            </w:pPr>
            <w:r w:rsidRPr="002A34F0">
              <w:rPr>
                <w:color w:val="000000"/>
                <w:sz w:val="20"/>
                <w:szCs w:val="20"/>
              </w:rPr>
              <w:t>-0.215*</w:t>
            </w:r>
          </w:p>
        </w:tc>
        <w:tc>
          <w:tcPr>
            <w:tcW w:w="1072" w:type="dxa"/>
            <w:tcBorders>
              <w:top w:val="nil"/>
              <w:left w:val="nil"/>
              <w:bottom w:val="dashed" w:sz="4" w:space="0" w:color="auto"/>
              <w:right w:val="nil"/>
            </w:tcBorders>
            <w:shd w:val="clear" w:color="auto" w:fill="auto"/>
            <w:noWrap/>
            <w:vAlign w:val="center"/>
            <w:hideMark/>
          </w:tcPr>
          <w:p w14:paraId="2DA3C551" w14:textId="77777777" w:rsidR="0014121B" w:rsidRPr="002A34F0" w:rsidRDefault="0014121B">
            <w:pPr>
              <w:jc w:val="center"/>
              <w:rPr>
                <w:color w:val="000000"/>
                <w:sz w:val="20"/>
                <w:szCs w:val="20"/>
              </w:rPr>
            </w:pPr>
            <w:r w:rsidRPr="002A34F0">
              <w:rPr>
                <w:color w:val="000000"/>
                <w:sz w:val="20"/>
                <w:szCs w:val="20"/>
              </w:rPr>
              <w:t>0.03</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7ED587BE" w14:textId="77777777" w:rsidR="0014121B" w:rsidRPr="002A34F0" w:rsidRDefault="0014121B">
            <w:pPr>
              <w:jc w:val="center"/>
              <w:rPr>
                <w:color w:val="000000"/>
                <w:sz w:val="20"/>
                <w:szCs w:val="20"/>
              </w:rPr>
            </w:pPr>
            <w:r w:rsidRPr="002A34F0">
              <w:rPr>
                <w:color w:val="000000"/>
                <w:sz w:val="20"/>
                <w:szCs w:val="20"/>
              </w:rPr>
              <w:t>-0.7*</w:t>
            </w:r>
          </w:p>
        </w:tc>
        <w:tc>
          <w:tcPr>
            <w:tcW w:w="820" w:type="dxa"/>
            <w:tcBorders>
              <w:top w:val="nil"/>
              <w:left w:val="nil"/>
              <w:bottom w:val="dashed" w:sz="4" w:space="0" w:color="auto"/>
              <w:right w:val="nil"/>
            </w:tcBorders>
            <w:shd w:val="clear" w:color="auto" w:fill="auto"/>
            <w:noWrap/>
            <w:vAlign w:val="center"/>
            <w:hideMark/>
          </w:tcPr>
          <w:p w14:paraId="60C583A0" w14:textId="77777777" w:rsidR="0014121B" w:rsidRPr="002A34F0" w:rsidRDefault="0014121B">
            <w:pPr>
              <w:jc w:val="center"/>
              <w:rPr>
                <w:color w:val="000000"/>
                <w:sz w:val="20"/>
                <w:szCs w:val="20"/>
              </w:rPr>
            </w:pPr>
            <w:r w:rsidRPr="002A34F0">
              <w:rPr>
                <w:color w:val="000000"/>
                <w:sz w:val="20"/>
                <w:szCs w:val="20"/>
              </w:rPr>
              <w:t>1.101</w:t>
            </w:r>
          </w:p>
        </w:tc>
        <w:tc>
          <w:tcPr>
            <w:tcW w:w="900" w:type="dxa"/>
            <w:tcBorders>
              <w:top w:val="nil"/>
              <w:left w:val="nil"/>
              <w:bottom w:val="dashed" w:sz="4" w:space="0" w:color="auto"/>
              <w:right w:val="nil"/>
            </w:tcBorders>
            <w:shd w:val="clear" w:color="auto" w:fill="auto"/>
            <w:noWrap/>
            <w:vAlign w:val="center"/>
            <w:hideMark/>
          </w:tcPr>
          <w:p w14:paraId="145777DB" w14:textId="77777777" w:rsidR="0014121B" w:rsidRPr="002A34F0" w:rsidRDefault="0014121B">
            <w:pPr>
              <w:jc w:val="center"/>
              <w:rPr>
                <w:color w:val="000000"/>
                <w:sz w:val="20"/>
                <w:szCs w:val="20"/>
              </w:rPr>
            </w:pPr>
            <w:r w:rsidRPr="002A34F0">
              <w:rPr>
                <w:color w:val="000000"/>
                <w:sz w:val="20"/>
                <w:szCs w:val="20"/>
              </w:rPr>
              <w:t>-404741</w:t>
            </w:r>
          </w:p>
        </w:tc>
        <w:tc>
          <w:tcPr>
            <w:tcW w:w="1620" w:type="dxa"/>
            <w:tcBorders>
              <w:top w:val="nil"/>
              <w:left w:val="nil"/>
              <w:bottom w:val="dashed" w:sz="4" w:space="0" w:color="auto"/>
              <w:right w:val="single" w:sz="8" w:space="0" w:color="auto"/>
            </w:tcBorders>
            <w:shd w:val="clear" w:color="auto" w:fill="auto"/>
            <w:noWrap/>
            <w:vAlign w:val="center"/>
            <w:hideMark/>
          </w:tcPr>
          <w:p w14:paraId="7A9DC128" w14:textId="77777777" w:rsidR="0014121B" w:rsidRPr="002A34F0" w:rsidRDefault="0014121B">
            <w:pPr>
              <w:jc w:val="center"/>
              <w:rPr>
                <w:color w:val="000000"/>
                <w:sz w:val="20"/>
                <w:szCs w:val="20"/>
              </w:rPr>
            </w:pPr>
            <w:r w:rsidRPr="002A34F0">
              <w:rPr>
                <w:color w:val="000000"/>
                <w:sz w:val="20"/>
                <w:szCs w:val="20"/>
              </w:rPr>
              <w:t>-22443.625</w:t>
            </w:r>
          </w:p>
        </w:tc>
      </w:tr>
      <w:tr w:rsidR="0014121B" w:rsidRPr="002A34F0" w14:paraId="05E5DC3B"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7C4E2D5F" w14:textId="77777777" w:rsidR="0014121B" w:rsidRPr="002A34F0" w:rsidRDefault="0014121B">
            <w:pPr>
              <w:ind w:firstLineChars="100" w:firstLine="200"/>
              <w:rPr>
                <w:i/>
                <w:iCs/>
                <w:color w:val="000000"/>
                <w:sz w:val="20"/>
                <w:szCs w:val="20"/>
              </w:rPr>
            </w:pPr>
            <w:r w:rsidRPr="002A34F0">
              <w:rPr>
                <w:i/>
                <w:iCs/>
                <w:color w:val="000000"/>
                <w:sz w:val="20"/>
                <w:szCs w:val="20"/>
              </w:rPr>
              <w:t>Toilet</w:t>
            </w:r>
          </w:p>
        </w:tc>
        <w:tc>
          <w:tcPr>
            <w:tcW w:w="875" w:type="dxa"/>
            <w:tcBorders>
              <w:top w:val="nil"/>
              <w:left w:val="nil"/>
              <w:bottom w:val="dashed" w:sz="4" w:space="0" w:color="auto"/>
              <w:right w:val="nil"/>
            </w:tcBorders>
            <w:shd w:val="clear" w:color="auto" w:fill="auto"/>
            <w:noWrap/>
            <w:vAlign w:val="center"/>
            <w:hideMark/>
          </w:tcPr>
          <w:p w14:paraId="5E2F96B0" w14:textId="77777777" w:rsidR="0014121B" w:rsidRPr="002A34F0" w:rsidRDefault="0014121B">
            <w:pPr>
              <w:jc w:val="center"/>
              <w:rPr>
                <w:color w:val="000000"/>
                <w:sz w:val="20"/>
                <w:szCs w:val="20"/>
              </w:rPr>
            </w:pPr>
            <w:r w:rsidRPr="002A34F0">
              <w:rPr>
                <w:color w:val="000000"/>
                <w:sz w:val="20"/>
                <w:szCs w:val="20"/>
              </w:rPr>
              <w:t>1.104</w:t>
            </w:r>
          </w:p>
        </w:tc>
        <w:tc>
          <w:tcPr>
            <w:tcW w:w="899" w:type="dxa"/>
            <w:tcBorders>
              <w:top w:val="nil"/>
              <w:left w:val="nil"/>
              <w:bottom w:val="dashed" w:sz="4" w:space="0" w:color="auto"/>
              <w:right w:val="nil"/>
            </w:tcBorders>
            <w:shd w:val="clear" w:color="auto" w:fill="auto"/>
            <w:noWrap/>
            <w:vAlign w:val="center"/>
            <w:hideMark/>
          </w:tcPr>
          <w:p w14:paraId="62B4BD78" w14:textId="77777777" w:rsidR="0014121B" w:rsidRPr="002A34F0" w:rsidRDefault="0014121B">
            <w:pPr>
              <w:jc w:val="center"/>
              <w:rPr>
                <w:color w:val="000000"/>
                <w:sz w:val="20"/>
                <w:szCs w:val="20"/>
              </w:rPr>
            </w:pPr>
            <w:r w:rsidRPr="002A34F0">
              <w:rPr>
                <w:color w:val="000000"/>
                <w:sz w:val="20"/>
                <w:szCs w:val="20"/>
              </w:rPr>
              <w:t>-0.290</w:t>
            </w:r>
          </w:p>
        </w:tc>
        <w:tc>
          <w:tcPr>
            <w:tcW w:w="866" w:type="dxa"/>
            <w:tcBorders>
              <w:top w:val="nil"/>
              <w:left w:val="single" w:sz="4" w:space="0" w:color="auto"/>
              <w:bottom w:val="dashed" w:sz="4" w:space="0" w:color="auto"/>
              <w:right w:val="nil"/>
            </w:tcBorders>
            <w:shd w:val="clear" w:color="auto" w:fill="auto"/>
            <w:noWrap/>
            <w:vAlign w:val="center"/>
            <w:hideMark/>
          </w:tcPr>
          <w:p w14:paraId="4AD59523" w14:textId="77777777" w:rsidR="0014121B" w:rsidRPr="002A34F0" w:rsidRDefault="0014121B">
            <w:pPr>
              <w:jc w:val="center"/>
              <w:rPr>
                <w:color w:val="000000"/>
                <w:sz w:val="20"/>
                <w:szCs w:val="20"/>
              </w:rPr>
            </w:pPr>
            <w:r w:rsidRPr="002A34F0">
              <w:rPr>
                <w:color w:val="000000"/>
                <w:sz w:val="20"/>
                <w:szCs w:val="20"/>
              </w:rPr>
              <w:t>1.227</w:t>
            </w:r>
          </w:p>
        </w:tc>
        <w:tc>
          <w:tcPr>
            <w:tcW w:w="943" w:type="dxa"/>
            <w:tcBorders>
              <w:top w:val="nil"/>
              <w:left w:val="nil"/>
              <w:bottom w:val="dashed" w:sz="4" w:space="0" w:color="auto"/>
              <w:right w:val="single" w:sz="4" w:space="0" w:color="auto"/>
            </w:tcBorders>
            <w:shd w:val="clear" w:color="auto" w:fill="auto"/>
            <w:noWrap/>
            <w:vAlign w:val="center"/>
            <w:hideMark/>
          </w:tcPr>
          <w:p w14:paraId="7EC732CF" w14:textId="77777777" w:rsidR="0014121B" w:rsidRPr="002A34F0" w:rsidRDefault="0014121B">
            <w:pPr>
              <w:jc w:val="center"/>
              <w:rPr>
                <w:color w:val="000000"/>
                <w:sz w:val="20"/>
                <w:szCs w:val="20"/>
              </w:rPr>
            </w:pPr>
            <w:r w:rsidRPr="002A34F0">
              <w:rPr>
                <w:color w:val="000000"/>
                <w:sz w:val="20"/>
                <w:szCs w:val="20"/>
              </w:rPr>
              <w:t>-0.975</w:t>
            </w:r>
          </w:p>
        </w:tc>
        <w:tc>
          <w:tcPr>
            <w:tcW w:w="1049" w:type="dxa"/>
            <w:tcBorders>
              <w:top w:val="nil"/>
              <w:left w:val="nil"/>
              <w:bottom w:val="dashed" w:sz="4" w:space="0" w:color="auto"/>
              <w:right w:val="nil"/>
            </w:tcBorders>
            <w:shd w:val="clear" w:color="auto" w:fill="auto"/>
            <w:noWrap/>
            <w:vAlign w:val="center"/>
            <w:hideMark/>
          </w:tcPr>
          <w:p w14:paraId="3AF519E6" w14:textId="77777777" w:rsidR="0014121B" w:rsidRPr="002A34F0" w:rsidRDefault="0014121B">
            <w:pPr>
              <w:jc w:val="center"/>
              <w:rPr>
                <w:color w:val="000000"/>
                <w:sz w:val="20"/>
                <w:szCs w:val="20"/>
              </w:rPr>
            </w:pPr>
            <w:r w:rsidRPr="002A34F0">
              <w:rPr>
                <w:color w:val="000000"/>
                <w:sz w:val="20"/>
                <w:szCs w:val="20"/>
              </w:rPr>
              <w:t>0.181</w:t>
            </w:r>
          </w:p>
        </w:tc>
        <w:tc>
          <w:tcPr>
            <w:tcW w:w="1036" w:type="dxa"/>
            <w:tcBorders>
              <w:top w:val="nil"/>
              <w:left w:val="nil"/>
              <w:bottom w:val="dashed" w:sz="4" w:space="0" w:color="auto"/>
              <w:right w:val="nil"/>
            </w:tcBorders>
            <w:shd w:val="clear" w:color="auto" w:fill="auto"/>
            <w:noWrap/>
            <w:vAlign w:val="center"/>
            <w:hideMark/>
          </w:tcPr>
          <w:p w14:paraId="67EF5934" w14:textId="77777777" w:rsidR="0014121B" w:rsidRPr="002A34F0" w:rsidRDefault="0014121B">
            <w:pPr>
              <w:jc w:val="center"/>
              <w:rPr>
                <w:color w:val="000000"/>
                <w:sz w:val="20"/>
                <w:szCs w:val="20"/>
              </w:rPr>
            </w:pPr>
            <w:r w:rsidRPr="002A34F0">
              <w:rPr>
                <w:color w:val="000000"/>
                <w:sz w:val="20"/>
                <w:szCs w:val="20"/>
              </w:rPr>
              <w:t>-0.111</w:t>
            </w:r>
          </w:p>
        </w:tc>
        <w:tc>
          <w:tcPr>
            <w:tcW w:w="1036" w:type="dxa"/>
            <w:tcBorders>
              <w:top w:val="nil"/>
              <w:left w:val="nil"/>
              <w:bottom w:val="dashed" w:sz="4" w:space="0" w:color="auto"/>
              <w:right w:val="nil"/>
            </w:tcBorders>
            <w:shd w:val="clear" w:color="auto" w:fill="auto"/>
            <w:noWrap/>
            <w:vAlign w:val="center"/>
            <w:hideMark/>
          </w:tcPr>
          <w:p w14:paraId="643E191F" w14:textId="77777777" w:rsidR="0014121B" w:rsidRPr="002A34F0" w:rsidRDefault="0014121B">
            <w:pPr>
              <w:jc w:val="center"/>
              <w:rPr>
                <w:color w:val="000000"/>
                <w:sz w:val="20"/>
                <w:szCs w:val="20"/>
              </w:rPr>
            </w:pPr>
            <w:r w:rsidRPr="002A34F0">
              <w:rPr>
                <w:color w:val="000000"/>
                <w:sz w:val="20"/>
                <w:szCs w:val="20"/>
              </w:rPr>
              <w:t>-0.375</w:t>
            </w:r>
          </w:p>
        </w:tc>
        <w:tc>
          <w:tcPr>
            <w:tcW w:w="1072" w:type="dxa"/>
            <w:tcBorders>
              <w:top w:val="nil"/>
              <w:left w:val="nil"/>
              <w:bottom w:val="dashed" w:sz="4" w:space="0" w:color="auto"/>
              <w:right w:val="nil"/>
            </w:tcBorders>
            <w:shd w:val="clear" w:color="auto" w:fill="auto"/>
            <w:noWrap/>
            <w:vAlign w:val="center"/>
            <w:hideMark/>
          </w:tcPr>
          <w:p w14:paraId="3D56B66B" w14:textId="77777777" w:rsidR="0014121B" w:rsidRPr="002A34F0" w:rsidRDefault="0014121B">
            <w:pPr>
              <w:jc w:val="center"/>
              <w:rPr>
                <w:color w:val="000000"/>
                <w:sz w:val="20"/>
                <w:szCs w:val="20"/>
              </w:rPr>
            </w:pPr>
            <w:r w:rsidRPr="002A34F0">
              <w:rPr>
                <w:color w:val="000000"/>
                <w:sz w:val="20"/>
                <w:szCs w:val="20"/>
              </w:rPr>
              <w:t>0.011</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42A0FFE3" w14:textId="77777777" w:rsidR="0014121B" w:rsidRPr="002A34F0" w:rsidRDefault="0014121B">
            <w:pPr>
              <w:jc w:val="center"/>
              <w:rPr>
                <w:color w:val="000000"/>
                <w:sz w:val="20"/>
                <w:szCs w:val="20"/>
              </w:rPr>
            </w:pPr>
            <w:r w:rsidRPr="002A34F0">
              <w:rPr>
                <w:color w:val="000000"/>
                <w:sz w:val="20"/>
                <w:szCs w:val="20"/>
              </w:rPr>
              <w:t>-0.047</w:t>
            </w:r>
          </w:p>
        </w:tc>
        <w:tc>
          <w:tcPr>
            <w:tcW w:w="820" w:type="dxa"/>
            <w:tcBorders>
              <w:top w:val="nil"/>
              <w:left w:val="nil"/>
              <w:bottom w:val="dashed" w:sz="4" w:space="0" w:color="auto"/>
              <w:right w:val="nil"/>
            </w:tcBorders>
            <w:shd w:val="clear" w:color="auto" w:fill="auto"/>
            <w:noWrap/>
            <w:vAlign w:val="center"/>
            <w:hideMark/>
          </w:tcPr>
          <w:p w14:paraId="35857936" w14:textId="77777777" w:rsidR="0014121B" w:rsidRPr="002A34F0" w:rsidRDefault="0014121B">
            <w:pPr>
              <w:jc w:val="center"/>
              <w:rPr>
                <w:color w:val="000000"/>
                <w:sz w:val="20"/>
                <w:szCs w:val="20"/>
              </w:rPr>
            </w:pPr>
            <w:r w:rsidRPr="002A34F0">
              <w:rPr>
                <w:color w:val="000000"/>
                <w:sz w:val="20"/>
                <w:szCs w:val="20"/>
              </w:rPr>
              <w:t>0.959</w:t>
            </w:r>
          </w:p>
        </w:tc>
        <w:tc>
          <w:tcPr>
            <w:tcW w:w="900" w:type="dxa"/>
            <w:tcBorders>
              <w:top w:val="nil"/>
              <w:left w:val="nil"/>
              <w:bottom w:val="dashed" w:sz="4" w:space="0" w:color="auto"/>
              <w:right w:val="nil"/>
            </w:tcBorders>
            <w:shd w:val="clear" w:color="auto" w:fill="auto"/>
            <w:noWrap/>
            <w:vAlign w:val="center"/>
            <w:hideMark/>
          </w:tcPr>
          <w:p w14:paraId="5C87ECF9" w14:textId="77777777" w:rsidR="0014121B" w:rsidRPr="002A34F0" w:rsidRDefault="0014121B">
            <w:pPr>
              <w:jc w:val="center"/>
              <w:rPr>
                <w:color w:val="000000"/>
                <w:sz w:val="20"/>
                <w:szCs w:val="20"/>
              </w:rPr>
            </w:pPr>
            <w:r w:rsidRPr="002A34F0">
              <w:rPr>
                <w:color w:val="000000"/>
                <w:sz w:val="20"/>
                <w:szCs w:val="20"/>
              </w:rPr>
              <w:t>-412273</w:t>
            </w:r>
          </w:p>
        </w:tc>
        <w:tc>
          <w:tcPr>
            <w:tcW w:w="1620" w:type="dxa"/>
            <w:tcBorders>
              <w:top w:val="nil"/>
              <w:left w:val="nil"/>
              <w:bottom w:val="dashed" w:sz="4" w:space="0" w:color="auto"/>
              <w:right w:val="single" w:sz="8" w:space="0" w:color="auto"/>
            </w:tcBorders>
            <w:shd w:val="clear" w:color="auto" w:fill="auto"/>
            <w:noWrap/>
            <w:vAlign w:val="center"/>
            <w:hideMark/>
          </w:tcPr>
          <w:p w14:paraId="659AFCEC" w14:textId="77777777" w:rsidR="0014121B" w:rsidRPr="002A34F0" w:rsidRDefault="0014121B">
            <w:pPr>
              <w:jc w:val="center"/>
              <w:rPr>
                <w:color w:val="000000"/>
                <w:sz w:val="20"/>
                <w:szCs w:val="20"/>
              </w:rPr>
            </w:pPr>
            <w:r w:rsidRPr="002A34F0">
              <w:rPr>
                <w:color w:val="000000"/>
                <w:sz w:val="20"/>
                <w:szCs w:val="20"/>
              </w:rPr>
              <w:t>-19545.729</w:t>
            </w:r>
          </w:p>
        </w:tc>
      </w:tr>
      <w:tr w:rsidR="0014121B" w:rsidRPr="002A34F0" w14:paraId="500DB19B"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5E3E6586" w14:textId="77777777" w:rsidR="0014121B" w:rsidRPr="002A34F0" w:rsidRDefault="0014121B">
            <w:pPr>
              <w:rPr>
                <w:color w:val="000000"/>
                <w:sz w:val="20"/>
                <w:szCs w:val="20"/>
              </w:rPr>
            </w:pPr>
            <w:r w:rsidRPr="002A34F0">
              <w:rPr>
                <w:color w:val="000000"/>
                <w:sz w:val="20"/>
                <w:szCs w:val="20"/>
              </w:rPr>
              <w:t>Drinking Water</w:t>
            </w:r>
          </w:p>
        </w:tc>
        <w:tc>
          <w:tcPr>
            <w:tcW w:w="875" w:type="dxa"/>
            <w:tcBorders>
              <w:top w:val="nil"/>
              <w:left w:val="nil"/>
              <w:bottom w:val="dashed" w:sz="4" w:space="0" w:color="auto"/>
              <w:right w:val="nil"/>
            </w:tcBorders>
            <w:shd w:val="clear" w:color="auto" w:fill="auto"/>
            <w:noWrap/>
            <w:vAlign w:val="center"/>
            <w:hideMark/>
          </w:tcPr>
          <w:p w14:paraId="1AC9B853" w14:textId="77777777" w:rsidR="0014121B" w:rsidRPr="002A34F0" w:rsidRDefault="0014121B">
            <w:pPr>
              <w:jc w:val="center"/>
              <w:rPr>
                <w:color w:val="000000"/>
                <w:sz w:val="20"/>
                <w:szCs w:val="20"/>
              </w:rPr>
            </w:pPr>
            <w:r w:rsidRPr="002A34F0">
              <w:rPr>
                <w:color w:val="000000"/>
                <w:sz w:val="20"/>
                <w:szCs w:val="20"/>
              </w:rPr>
              <w:t> </w:t>
            </w:r>
          </w:p>
        </w:tc>
        <w:tc>
          <w:tcPr>
            <w:tcW w:w="899" w:type="dxa"/>
            <w:tcBorders>
              <w:top w:val="nil"/>
              <w:left w:val="nil"/>
              <w:bottom w:val="dashed" w:sz="4" w:space="0" w:color="auto"/>
              <w:right w:val="nil"/>
            </w:tcBorders>
            <w:shd w:val="clear" w:color="auto" w:fill="auto"/>
            <w:noWrap/>
            <w:vAlign w:val="center"/>
            <w:hideMark/>
          </w:tcPr>
          <w:p w14:paraId="47B0F82E" w14:textId="77777777" w:rsidR="0014121B" w:rsidRPr="002A34F0" w:rsidRDefault="0014121B">
            <w:pPr>
              <w:jc w:val="center"/>
              <w:rPr>
                <w:color w:val="000000"/>
                <w:sz w:val="20"/>
                <w:szCs w:val="20"/>
              </w:rPr>
            </w:pPr>
            <w:r w:rsidRPr="002A34F0">
              <w:rPr>
                <w:color w:val="000000"/>
                <w:sz w:val="20"/>
                <w:szCs w:val="20"/>
              </w:rPr>
              <w:t> </w:t>
            </w:r>
          </w:p>
        </w:tc>
        <w:tc>
          <w:tcPr>
            <w:tcW w:w="866" w:type="dxa"/>
            <w:tcBorders>
              <w:top w:val="nil"/>
              <w:left w:val="single" w:sz="4" w:space="0" w:color="auto"/>
              <w:bottom w:val="dashed" w:sz="4" w:space="0" w:color="auto"/>
              <w:right w:val="nil"/>
            </w:tcBorders>
            <w:shd w:val="clear" w:color="auto" w:fill="auto"/>
            <w:noWrap/>
            <w:vAlign w:val="center"/>
            <w:hideMark/>
          </w:tcPr>
          <w:p w14:paraId="6B2DE71B" w14:textId="77777777" w:rsidR="0014121B" w:rsidRPr="002A34F0" w:rsidRDefault="0014121B">
            <w:pPr>
              <w:jc w:val="center"/>
              <w:rPr>
                <w:color w:val="000000"/>
                <w:sz w:val="20"/>
                <w:szCs w:val="20"/>
              </w:rPr>
            </w:pPr>
            <w:r w:rsidRPr="002A34F0">
              <w:rPr>
                <w:color w:val="000000"/>
                <w:sz w:val="20"/>
                <w:szCs w:val="20"/>
              </w:rPr>
              <w:t> </w:t>
            </w:r>
          </w:p>
        </w:tc>
        <w:tc>
          <w:tcPr>
            <w:tcW w:w="943" w:type="dxa"/>
            <w:tcBorders>
              <w:top w:val="nil"/>
              <w:left w:val="nil"/>
              <w:bottom w:val="dashed" w:sz="4" w:space="0" w:color="auto"/>
              <w:right w:val="single" w:sz="4" w:space="0" w:color="auto"/>
            </w:tcBorders>
            <w:shd w:val="clear" w:color="auto" w:fill="auto"/>
            <w:noWrap/>
            <w:vAlign w:val="center"/>
            <w:hideMark/>
          </w:tcPr>
          <w:p w14:paraId="5B07F450" w14:textId="77777777" w:rsidR="0014121B" w:rsidRPr="002A34F0" w:rsidRDefault="0014121B">
            <w:pPr>
              <w:jc w:val="center"/>
              <w:rPr>
                <w:color w:val="000000"/>
                <w:sz w:val="20"/>
                <w:szCs w:val="20"/>
              </w:rPr>
            </w:pPr>
            <w:r w:rsidRPr="002A34F0">
              <w:rPr>
                <w:color w:val="000000"/>
                <w:sz w:val="20"/>
                <w:szCs w:val="20"/>
              </w:rPr>
              <w:t> </w:t>
            </w:r>
          </w:p>
        </w:tc>
        <w:tc>
          <w:tcPr>
            <w:tcW w:w="1049" w:type="dxa"/>
            <w:tcBorders>
              <w:top w:val="nil"/>
              <w:left w:val="nil"/>
              <w:bottom w:val="dashed" w:sz="4" w:space="0" w:color="auto"/>
              <w:right w:val="nil"/>
            </w:tcBorders>
            <w:shd w:val="clear" w:color="auto" w:fill="auto"/>
            <w:noWrap/>
            <w:vAlign w:val="center"/>
            <w:hideMark/>
          </w:tcPr>
          <w:p w14:paraId="5B34847E" w14:textId="77777777" w:rsidR="0014121B" w:rsidRPr="002A34F0" w:rsidRDefault="0014121B">
            <w:pPr>
              <w:jc w:val="center"/>
              <w:rPr>
                <w:color w:val="000000"/>
                <w:sz w:val="20"/>
                <w:szCs w:val="20"/>
              </w:rPr>
            </w:pPr>
            <w:r w:rsidRPr="002A34F0">
              <w:rPr>
                <w:color w:val="000000"/>
                <w:sz w:val="20"/>
                <w:szCs w:val="20"/>
              </w:rPr>
              <w:t> </w:t>
            </w:r>
          </w:p>
        </w:tc>
        <w:tc>
          <w:tcPr>
            <w:tcW w:w="1036" w:type="dxa"/>
            <w:tcBorders>
              <w:top w:val="nil"/>
              <w:left w:val="nil"/>
              <w:bottom w:val="dashed" w:sz="4" w:space="0" w:color="auto"/>
              <w:right w:val="nil"/>
            </w:tcBorders>
            <w:shd w:val="clear" w:color="auto" w:fill="auto"/>
            <w:noWrap/>
            <w:vAlign w:val="center"/>
            <w:hideMark/>
          </w:tcPr>
          <w:p w14:paraId="08CBB10A" w14:textId="77777777" w:rsidR="0014121B" w:rsidRPr="002A34F0" w:rsidRDefault="0014121B">
            <w:pPr>
              <w:jc w:val="center"/>
              <w:rPr>
                <w:color w:val="000000"/>
                <w:sz w:val="20"/>
                <w:szCs w:val="20"/>
              </w:rPr>
            </w:pPr>
            <w:r w:rsidRPr="002A34F0">
              <w:rPr>
                <w:color w:val="000000"/>
                <w:sz w:val="20"/>
                <w:szCs w:val="20"/>
              </w:rPr>
              <w:t> </w:t>
            </w:r>
          </w:p>
        </w:tc>
        <w:tc>
          <w:tcPr>
            <w:tcW w:w="1036" w:type="dxa"/>
            <w:tcBorders>
              <w:top w:val="nil"/>
              <w:left w:val="nil"/>
              <w:bottom w:val="dashed" w:sz="4" w:space="0" w:color="auto"/>
              <w:right w:val="nil"/>
            </w:tcBorders>
            <w:shd w:val="clear" w:color="auto" w:fill="auto"/>
            <w:noWrap/>
            <w:vAlign w:val="center"/>
            <w:hideMark/>
          </w:tcPr>
          <w:p w14:paraId="09538941" w14:textId="77777777" w:rsidR="0014121B" w:rsidRPr="002A34F0" w:rsidRDefault="0014121B">
            <w:pPr>
              <w:jc w:val="center"/>
              <w:rPr>
                <w:color w:val="000000"/>
                <w:sz w:val="20"/>
                <w:szCs w:val="20"/>
              </w:rPr>
            </w:pPr>
            <w:r w:rsidRPr="002A34F0">
              <w:rPr>
                <w:color w:val="000000"/>
                <w:sz w:val="20"/>
                <w:szCs w:val="20"/>
              </w:rPr>
              <w:t> </w:t>
            </w:r>
          </w:p>
        </w:tc>
        <w:tc>
          <w:tcPr>
            <w:tcW w:w="1072" w:type="dxa"/>
            <w:tcBorders>
              <w:top w:val="nil"/>
              <w:left w:val="nil"/>
              <w:bottom w:val="dashed" w:sz="4" w:space="0" w:color="auto"/>
              <w:right w:val="nil"/>
            </w:tcBorders>
            <w:shd w:val="clear" w:color="auto" w:fill="auto"/>
            <w:noWrap/>
            <w:vAlign w:val="center"/>
            <w:hideMark/>
          </w:tcPr>
          <w:p w14:paraId="64C53410" w14:textId="77777777" w:rsidR="0014121B" w:rsidRPr="002A34F0" w:rsidRDefault="0014121B">
            <w:pPr>
              <w:jc w:val="center"/>
              <w:rPr>
                <w:color w:val="000000"/>
                <w:sz w:val="20"/>
                <w:szCs w:val="20"/>
              </w:rPr>
            </w:pPr>
            <w:r w:rsidRPr="002A34F0">
              <w:rPr>
                <w:color w:val="000000"/>
                <w:sz w:val="20"/>
                <w:szCs w:val="20"/>
              </w:rPr>
              <w:t> </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7C6B4584" w14:textId="77777777" w:rsidR="0014121B" w:rsidRPr="002A34F0" w:rsidRDefault="0014121B">
            <w:pPr>
              <w:jc w:val="center"/>
              <w:rPr>
                <w:color w:val="000000"/>
                <w:sz w:val="20"/>
                <w:szCs w:val="20"/>
              </w:rPr>
            </w:pPr>
            <w:r w:rsidRPr="002A34F0">
              <w:rPr>
                <w:color w:val="000000"/>
                <w:sz w:val="20"/>
                <w:szCs w:val="20"/>
              </w:rPr>
              <w:t> </w:t>
            </w:r>
          </w:p>
        </w:tc>
        <w:tc>
          <w:tcPr>
            <w:tcW w:w="820" w:type="dxa"/>
            <w:tcBorders>
              <w:top w:val="nil"/>
              <w:left w:val="nil"/>
              <w:bottom w:val="dashed" w:sz="4" w:space="0" w:color="auto"/>
              <w:right w:val="nil"/>
            </w:tcBorders>
            <w:shd w:val="clear" w:color="auto" w:fill="auto"/>
            <w:noWrap/>
            <w:vAlign w:val="center"/>
            <w:hideMark/>
          </w:tcPr>
          <w:p w14:paraId="3A56D4E3" w14:textId="77777777" w:rsidR="0014121B" w:rsidRPr="002A34F0" w:rsidRDefault="0014121B">
            <w:pPr>
              <w:jc w:val="center"/>
              <w:rPr>
                <w:color w:val="000000"/>
                <w:sz w:val="20"/>
                <w:szCs w:val="20"/>
              </w:rPr>
            </w:pPr>
            <w:r w:rsidRPr="002A34F0">
              <w:rPr>
                <w:color w:val="000000"/>
                <w:sz w:val="20"/>
                <w:szCs w:val="20"/>
              </w:rPr>
              <w:t> </w:t>
            </w:r>
          </w:p>
        </w:tc>
        <w:tc>
          <w:tcPr>
            <w:tcW w:w="900" w:type="dxa"/>
            <w:tcBorders>
              <w:top w:val="nil"/>
              <w:left w:val="nil"/>
              <w:bottom w:val="dashed" w:sz="4" w:space="0" w:color="auto"/>
              <w:right w:val="nil"/>
            </w:tcBorders>
            <w:shd w:val="clear" w:color="auto" w:fill="auto"/>
            <w:noWrap/>
            <w:vAlign w:val="center"/>
            <w:hideMark/>
          </w:tcPr>
          <w:p w14:paraId="3031CCBA" w14:textId="77777777" w:rsidR="0014121B" w:rsidRPr="002A34F0" w:rsidRDefault="0014121B">
            <w:pPr>
              <w:jc w:val="center"/>
              <w:rPr>
                <w:color w:val="000000"/>
                <w:sz w:val="20"/>
                <w:szCs w:val="20"/>
              </w:rPr>
            </w:pPr>
            <w:r w:rsidRPr="002A34F0">
              <w:rPr>
                <w:color w:val="000000"/>
                <w:sz w:val="20"/>
                <w:szCs w:val="20"/>
              </w:rPr>
              <w:t> </w:t>
            </w:r>
          </w:p>
        </w:tc>
        <w:tc>
          <w:tcPr>
            <w:tcW w:w="1620" w:type="dxa"/>
            <w:tcBorders>
              <w:top w:val="nil"/>
              <w:left w:val="nil"/>
              <w:bottom w:val="dashed" w:sz="4" w:space="0" w:color="auto"/>
              <w:right w:val="single" w:sz="8" w:space="0" w:color="auto"/>
            </w:tcBorders>
            <w:shd w:val="clear" w:color="auto" w:fill="auto"/>
            <w:noWrap/>
            <w:vAlign w:val="center"/>
            <w:hideMark/>
          </w:tcPr>
          <w:p w14:paraId="0187C142" w14:textId="77777777" w:rsidR="0014121B" w:rsidRPr="002A34F0" w:rsidRDefault="0014121B">
            <w:pPr>
              <w:jc w:val="center"/>
              <w:rPr>
                <w:color w:val="000000"/>
                <w:sz w:val="20"/>
                <w:szCs w:val="20"/>
              </w:rPr>
            </w:pPr>
            <w:r w:rsidRPr="002A34F0">
              <w:rPr>
                <w:color w:val="000000"/>
                <w:sz w:val="20"/>
                <w:szCs w:val="20"/>
              </w:rPr>
              <w:t> </w:t>
            </w:r>
          </w:p>
        </w:tc>
      </w:tr>
      <w:tr w:rsidR="0014121B" w:rsidRPr="002A34F0" w14:paraId="0AF100F2"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38635CBB" w14:textId="77777777" w:rsidR="0014121B" w:rsidRPr="002A34F0" w:rsidRDefault="0014121B">
            <w:pPr>
              <w:ind w:firstLineChars="100" w:firstLine="200"/>
              <w:rPr>
                <w:i/>
                <w:iCs/>
                <w:color w:val="000000"/>
                <w:sz w:val="20"/>
                <w:szCs w:val="20"/>
              </w:rPr>
            </w:pPr>
            <w:r w:rsidRPr="002A34F0">
              <w:rPr>
                <w:i/>
                <w:iCs/>
                <w:color w:val="000000"/>
                <w:sz w:val="20"/>
                <w:szCs w:val="20"/>
              </w:rPr>
              <w:t>Piped</w:t>
            </w:r>
          </w:p>
        </w:tc>
        <w:tc>
          <w:tcPr>
            <w:tcW w:w="875" w:type="dxa"/>
            <w:tcBorders>
              <w:top w:val="nil"/>
              <w:left w:val="nil"/>
              <w:bottom w:val="dashed" w:sz="4" w:space="0" w:color="auto"/>
              <w:right w:val="nil"/>
            </w:tcBorders>
            <w:shd w:val="clear" w:color="auto" w:fill="auto"/>
            <w:noWrap/>
            <w:vAlign w:val="center"/>
            <w:hideMark/>
          </w:tcPr>
          <w:p w14:paraId="56E93392" w14:textId="77777777" w:rsidR="0014121B" w:rsidRPr="002A34F0" w:rsidRDefault="0014121B">
            <w:pPr>
              <w:jc w:val="center"/>
              <w:rPr>
                <w:color w:val="000000"/>
                <w:sz w:val="20"/>
                <w:szCs w:val="20"/>
              </w:rPr>
            </w:pPr>
            <w:r w:rsidRPr="002A34F0">
              <w:rPr>
                <w:color w:val="000000"/>
                <w:sz w:val="20"/>
                <w:szCs w:val="20"/>
              </w:rPr>
              <w:t>-0.452*</w:t>
            </w:r>
          </w:p>
        </w:tc>
        <w:tc>
          <w:tcPr>
            <w:tcW w:w="899" w:type="dxa"/>
            <w:tcBorders>
              <w:top w:val="nil"/>
              <w:left w:val="nil"/>
              <w:bottom w:val="dashed" w:sz="4" w:space="0" w:color="auto"/>
              <w:right w:val="nil"/>
            </w:tcBorders>
            <w:shd w:val="clear" w:color="auto" w:fill="auto"/>
            <w:noWrap/>
            <w:vAlign w:val="center"/>
            <w:hideMark/>
          </w:tcPr>
          <w:p w14:paraId="4B6C4660" w14:textId="77777777" w:rsidR="0014121B" w:rsidRPr="002A34F0" w:rsidRDefault="0014121B">
            <w:pPr>
              <w:jc w:val="center"/>
              <w:rPr>
                <w:color w:val="000000"/>
                <w:sz w:val="20"/>
                <w:szCs w:val="20"/>
              </w:rPr>
            </w:pPr>
            <w:r w:rsidRPr="002A34F0">
              <w:rPr>
                <w:color w:val="000000"/>
                <w:sz w:val="20"/>
                <w:szCs w:val="20"/>
              </w:rPr>
              <w:t>0.694*</w:t>
            </w:r>
          </w:p>
        </w:tc>
        <w:tc>
          <w:tcPr>
            <w:tcW w:w="866" w:type="dxa"/>
            <w:tcBorders>
              <w:top w:val="nil"/>
              <w:left w:val="single" w:sz="4" w:space="0" w:color="auto"/>
              <w:bottom w:val="dashed" w:sz="4" w:space="0" w:color="auto"/>
              <w:right w:val="nil"/>
            </w:tcBorders>
            <w:shd w:val="clear" w:color="auto" w:fill="auto"/>
            <w:noWrap/>
            <w:vAlign w:val="center"/>
            <w:hideMark/>
          </w:tcPr>
          <w:p w14:paraId="13D49EA7" w14:textId="77777777" w:rsidR="0014121B" w:rsidRPr="002A34F0" w:rsidRDefault="0014121B">
            <w:pPr>
              <w:jc w:val="center"/>
              <w:rPr>
                <w:color w:val="000000"/>
                <w:sz w:val="20"/>
                <w:szCs w:val="20"/>
              </w:rPr>
            </w:pPr>
            <w:r w:rsidRPr="002A34F0">
              <w:rPr>
                <w:color w:val="000000"/>
                <w:sz w:val="20"/>
                <w:szCs w:val="20"/>
              </w:rPr>
              <w:t>-0.2901*</w:t>
            </w:r>
          </w:p>
        </w:tc>
        <w:tc>
          <w:tcPr>
            <w:tcW w:w="943" w:type="dxa"/>
            <w:tcBorders>
              <w:top w:val="nil"/>
              <w:left w:val="nil"/>
              <w:bottom w:val="dashed" w:sz="4" w:space="0" w:color="auto"/>
              <w:right w:val="single" w:sz="4" w:space="0" w:color="auto"/>
            </w:tcBorders>
            <w:shd w:val="clear" w:color="auto" w:fill="auto"/>
            <w:noWrap/>
            <w:vAlign w:val="center"/>
            <w:hideMark/>
          </w:tcPr>
          <w:p w14:paraId="5ED734F9" w14:textId="77777777" w:rsidR="0014121B" w:rsidRPr="002A34F0" w:rsidRDefault="0014121B">
            <w:pPr>
              <w:jc w:val="center"/>
              <w:rPr>
                <w:color w:val="000000"/>
                <w:sz w:val="20"/>
                <w:szCs w:val="20"/>
              </w:rPr>
            </w:pPr>
            <w:r w:rsidRPr="002A34F0">
              <w:rPr>
                <w:color w:val="000000"/>
                <w:sz w:val="20"/>
                <w:szCs w:val="20"/>
              </w:rPr>
              <w:t>0.08*</w:t>
            </w:r>
          </w:p>
        </w:tc>
        <w:tc>
          <w:tcPr>
            <w:tcW w:w="1049" w:type="dxa"/>
            <w:tcBorders>
              <w:top w:val="nil"/>
              <w:left w:val="nil"/>
              <w:bottom w:val="dashed" w:sz="4" w:space="0" w:color="auto"/>
              <w:right w:val="nil"/>
            </w:tcBorders>
            <w:shd w:val="clear" w:color="auto" w:fill="auto"/>
            <w:noWrap/>
            <w:vAlign w:val="center"/>
            <w:hideMark/>
          </w:tcPr>
          <w:p w14:paraId="0118192A" w14:textId="77777777" w:rsidR="0014121B" w:rsidRPr="002A34F0" w:rsidRDefault="0014121B">
            <w:pPr>
              <w:jc w:val="center"/>
              <w:rPr>
                <w:color w:val="000000"/>
                <w:sz w:val="20"/>
                <w:szCs w:val="20"/>
              </w:rPr>
            </w:pPr>
            <w:r w:rsidRPr="002A34F0">
              <w:rPr>
                <w:color w:val="000000"/>
                <w:sz w:val="20"/>
                <w:szCs w:val="20"/>
              </w:rPr>
              <w:t>-0.042</w:t>
            </w:r>
          </w:p>
        </w:tc>
        <w:tc>
          <w:tcPr>
            <w:tcW w:w="1036" w:type="dxa"/>
            <w:tcBorders>
              <w:top w:val="nil"/>
              <w:left w:val="nil"/>
              <w:bottom w:val="dashed" w:sz="4" w:space="0" w:color="auto"/>
              <w:right w:val="nil"/>
            </w:tcBorders>
            <w:shd w:val="clear" w:color="auto" w:fill="auto"/>
            <w:noWrap/>
            <w:vAlign w:val="center"/>
            <w:hideMark/>
          </w:tcPr>
          <w:p w14:paraId="148A1888" w14:textId="77777777" w:rsidR="0014121B" w:rsidRPr="002A34F0" w:rsidRDefault="0014121B">
            <w:pPr>
              <w:jc w:val="center"/>
              <w:rPr>
                <w:color w:val="000000"/>
                <w:sz w:val="20"/>
                <w:szCs w:val="20"/>
              </w:rPr>
            </w:pPr>
            <w:r w:rsidRPr="002A34F0">
              <w:rPr>
                <w:color w:val="000000"/>
                <w:sz w:val="20"/>
                <w:szCs w:val="20"/>
              </w:rPr>
              <w:t>0.048</w:t>
            </w:r>
          </w:p>
        </w:tc>
        <w:tc>
          <w:tcPr>
            <w:tcW w:w="1036" w:type="dxa"/>
            <w:tcBorders>
              <w:top w:val="nil"/>
              <w:left w:val="nil"/>
              <w:bottom w:val="dashed" w:sz="4" w:space="0" w:color="auto"/>
              <w:right w:val="nil"/>
            </w:tcBorders>
            <w:shd w:val="clear" w:color="auto" w:fill="auto"/>
            <w:noWrap/>
            <w:vAlign w:val="center"/>
            <w:hideMark/>
          </w:tcPr>
          <w:p w14:paraId="10DBDCB2" w14:textId="77777777" w:rsidR="0014121B" w:rsidRPr="002A34F0" w:rsidRDefault="0014121B">
            <w:pPr>
              <w:jc w:val="center"/>
              <w:rPr>
                <w:color w:val="000000"/>
                <w:sz w:val="20"/>
                <w:szCs w:val="20"/>
              </w:rPr>
            </w:pPr>
            <w:r w:rsidRPr="002A34F0">
              <w:rPr>
                <w:color w:val="000000"/>
                <w:sz w:val="20"/>
                <w:szCs w:val="20"/>
              </w:rPr>
              <w:t>-0.028</w:t>
            </w:r>
          </w:p>
        </w:tc>
        <w:tc>
          <w:tcPr>
            <w:tcW w:w="1072" w:type="dxa"/>
            <w:tcBorders>
              <w:top w:val="nil"/>
              <w:left w:val="nil"/>
              <w:bottom w:val="dashed" w:sz="4" w:space="0" w:color="auto"/>
              <w:right w:val="nil"/>
            </w:tcBorders>
            <w:shd w:val="clear" w:color="auto" w:fill="auto"/>
            <w:noWrap/>
            <w:vAlign w:val="center"/>
            <w:hideMark/>
          </w:tcPr>
          <w:p w14:paraId="5DAE5BFC" w14:textId="77777777" w:rsidR="0014121B" w:rsidRPr="002A34F0" w:rsidRDefault="0014121B">
            <w:pPr>
              <w:jc w:val="center"/>
              <w:rPr>
                <w:color w:val="000000"/>
                <w:sz w:val="20"/>
                <w:szCs w:val="20"/>
              </w:rPr>
            </w:pPr>
            <w:r w:rsidRPr="002A34F0">
              <w:rPr>
                <w:color w:val="000000"/>
                <w:sz w:val="20"/>
                <w:szCs w:val="20"/>
              </w:rPr>
              <w:t>-0.157*</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050BC767" w14:textId="77777777" w:rsidR="0014121B" w:rsidRPr="002A34F0" w:rsidRDefault="0014121B">
            <w:pPr>
              <w:jc w:val="center"/>
              <w:rPr>
                <w:color w:val="000000"/>
                <w:sz w:val="20"/>
                <w:szCs w:val="20"/>
              </w:rPr>
            </w:pPr>
            <w:r w:rsidRPr="002A34F0">
              <w:rPr>
                <w:color w:val="000000"/>
                <w:sz w:val="20"/>
                <w:szCs w:val="20"/>
              </w:rPr>
              <w:t>0.983*</w:t>
            </w:r>
          </w:p>
        </w:tc>
        <w:tc>
          <w:tcPr>
            <w:tcW w:w="820" w:type="dxa"/>
            <w:tcBorders>
              <w:top w:val="nil"/>
              <w:left w:val="nil"/>
              <w:bottom w:val="dashed" w:sz="4" w:space="0" w:color="auto"/>
              <w:right w:val="nil"/>
            </w:tcBorders>
            <w:shd w:val="clear" w:color="auto" w:fill="auto"/>
            <w:noWrap/>
            <w:vAlign w:val="center"/>
            <w:hideMark/>
          </w:tcPr>
          <w:p w14:paraId="2FED64FB" w14:textId="77777777" w:rsidR="0014121B" w:rsidRPr="002A34F0" w:rsidRDefault="0014121B">
            <w:pPr>
              <w:jc w:val="center"/>
              <w:rPr>
                <w:color w:val="000000"/>
                <w:sz w:val="20"/>
                <w:szCs w:val="20"/>
              </w:rPr>
            </w:pPr>
            <w:r w:rsidRPr="002A34F0">
              <w:rPr>
                <w:color w:val="000000"/>
                <w:sz w:val="20"/>
                <w:szCs w:val="20"/>
              </w:rPr>
              <w:t>0.991</w:t>
            </w:r>
          </w:p>
        </w:tc>
        <w:tc>
          <w:tcPr>
            <w:tcW w:w="900" w:type="dxa"/>
            <w:tcBorders>
              <w:top w:val="nil"/>
              <w:left w:val="nil"/>
              <w:bottom w:val="dashed" w:sz="4" w:space="0" w:color="auto"/>
              <w:right w:val="nil"/>
            </w:tcBorders>
            <w:shd w:val="clear" w:color="auto" w:fill="auto"/>
            <w:noWrap/>
            <w:vAlign w:val="center"/>
            <w:hideMark/>
          </w:tcPr>
          <w:p w14:paraId="4147AB41" w14:textId="77777777" w:rsidR="0014121B" w:rsidRPr="002A34F0" w:rsidRDefault="0014121B">
            <w:pPr>
              <w:jc w:val="center"/>
              <w:rPr>
                <w:color w:val="000000"/>
                <w:sz w:val="20"/>
                <w:szCs w:val="20"/>
              </w:rPr>
            </w:pPr>
            <w:r w:rsidRPr="002A34F0">
              <w:rPr>
                <w:color w:val="000000"/>
                <w:sz w:val="20"/>
                <w:szCs w:val="20"/>
              </w:rPr>
              <w:t>-407377</w:t>
            </w:r>
          </w:p>
        </w:tc>
        <w:tc>
          <w:tcPr>
            <w:tcW w:w="1620" w:type="dxa"/>
            <w:tcBorders>
              <w:top w:val="nil"/>
              <w:left w:val="nil"/>
              <w:bottom w:val="dashed" w:sz="4" w:space="0" w:color="auto"/>
              <w:right w:val="single" w:sz="8" w:space="0" w:color="auto"/>
            </w:tcBorders>
            <w:shd w:val="clear" w:color="auto" w:fill="auto"/>
            <w:noWrap/>
            <w:vAlign w:val="center"/>
            <w:hideMark/>
          </w:tcPr>
          <w:p w14:paraId="7581ADAF" w14:textId="77777777" w:rsidR="0014121B" w:rsidRPr="002A34F0" w:rsidRDefault="0014121B">
            <w:pPr>
              <w:jc w:val="center"/>
              <w:rPr>
                <w:color w:val="000000"/>
                <w:sz w:val="20"/>
                <w:szCs w:val="20"/>
              </w:rPr>
            </w:pPr>
            <w:r w:rsidRPr="002A34F0">
              <w:rPr>
                <w:color w:val="000000"/>
                <w:sz w:val="20"/>
                <w:szCs w:val="20"/>
              </w:rPr>
              <w:t>-20214.71</w:t>
            </w:r>
          </w:p>
        </w:tc>
      </w:tr>
      <w:tr w:rsidR="0014121B" w:rsidRPr="002A34F0" w14:paraId="714E2A44"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5ABE0CD1" w14:textId="77777777" w:rsidR="0014121B" w:rsidRPr="002A34F0" w:rsidRDefault="0014121B">
            <w:pPr>
              <w:ind w:firstLineChars="100" w:firstLine="200"/>
              <w:rPr>
                <w:i/>
                <w:iCs/>
                <w:color w:val="000000"/>
                <w:sz w:val="20"/>
                <w:szCs w:val="20"/>
              </w:rPr>
            </w:pPr>
            <w:r w:rsidRPr="002A34F0">
              <w:rPr>
                <w:i/>
                <w:iCs/>
                <w:color w:val="000000"/>
                <w:sz w:val="20"/>
                <w:szCs w:val="20"/>
              </w:rPr>
              <w:t>Vendor</w:t>
            </w:r>
          </w:p>
        </w:tc>
        <w:tc>
          <w:tcPr>
            <w:tcW w:w="875" w:type="dxa"/>
            <w:tcBorders>
              <w:top w:val="nil"/>
              <w:left w:val="nil"/>
              <w:bottom w:val="dashed" w:sz="4" w:space="0" w:color="auto"/>
              <w:right w:val="nil"/>
            </w:tcBorders>
            <w:shd w:val="clear" w:color="auto" w:fill="auto"/>
            <w:noWrap/>
            <w:vAlign w:val="center"/>
            <w:hideMark/>
          </w:tcPr>
          <w:p w14:paraId="47FEA403" w14:textId="77777777" w:rsidR="0014121B" w:rsidRPr="002A34F0" w:rsidRDefault="0014121B">
            <w:pPr>
              <w:jc w:val="center"/>
              <w:rPr>
                <w:color w:val="000000"/>
                <w:sz w:val="20"/>
                <w:szCs w:val="20"/>
              </w:rPr>
            </w:pPr>
            <w:r w:rsidRPr="002A34F0">
              <w:rPr>
                <w:color w:val="000000"/>
                <w:sz w:val="20"/>
                <w:szCs w:val="20"/>
              </w:rPr>
              <w:t>0.459*</w:t>
            </w:r>
          </w:p>
        </w:tc>
        <w:tc>
          <w:tcPr>
            <w:tcW w:w="899" w:type="dxa"/>
            <w:tcBorders>
              <w:top w:val="nil"/>
              <w:left w:val="nil"/>
              <w:bottom w:val="dashed" w:sz="4" w:space="0" w:color="auto"/>
              <w:right w:val="nil"/>
            </w:tcBorders>
            <w:shd w:val="clear" w:color="auto" w:fill="auto"/>
            <w:noWrap/>
            <w:vAlign w:val="center"/>
            <w:hideMark/>
          </w:tcPr>
          <w:p w14:paraId="0EE6EB1F" w14:textId="77777777" w:rsidR="0014121B" w:rsidRPr="002A34F0" w:rsidRDefault="0014121B">
            <w:pPr>
              <w:jc w:val="center"/>
              <w:rPr>
                <w:color w:val="000000"/>
                <w:sz w:val="20"/>
                <w:szCs w:val="20"/>
              </w:rPr>
            </w:pPr>
            <w:r w:rsidRPr="002A34F0">
              <w:rPr>
                <w:color w:val="000000"/>
                <w:sz w:val="20"/>
                <w:szCs w:val="20"/>
              </w:rPr>
              <w:t>-0.718*</w:t>
            </w:r>
          </w:p>
        </w:tc>
        <w:tc>
          <w:tcPr>
            <w:tcW w:w="866" w:type="dxa"/>
            <w:tcBorders>
              <w:top w:val="nil"/>
              <w:left w:val="single" w:sz="4" w:space="0" w:color="auto"/>
              <w:bottom w:val="dashed" w:sz="4" w:space="0" w:color="auto"/>
              <w:right w:val="nil"/>
            </w:tcBorders>
            <w:shd w:val="clear" w:color="auto" w:fill="auto"/>
            <w:noWrap/>
            <w:vAlign w:val="center"/>
            <w:hideMark/>
          </w:tcPr>
          <w:p w14:paraId="4BD6CA8B" w14:textId="77777777" w:rsidR="0014121B" w:rsidRPr="002A34F0" w:rsidRDefault="0014121B">
            <w:pPr>
              <w:jc w:val="center"/>
              <w:rPr>
                <w:color w:val="000000"/>
                <w:sz w:val="20"/>
                <w:szCs w:val="20"/>
              </w:rPr>
            </w:pPr>
            <w:r w:rsidRPr="002A34F0">
              <w:rPr>
                <w:color w:val="000000"/>
                <w:sz w:val="20"/>
                <w:szCs w:val="20"/>
              </w:rPr>
              <w:t>0.286*</w:t>
            </w:r>
          </w:p>
        </w:tc>
        <w:tc>
          <w:tcPr>
            <w:tcW w:w="943" w:type="dxa"/>
            <w:tcBorders>
              <w:top w:val="nil"/>
              <w:left w:val="nil"/>
              <w:bottom w:val="dashed" w:sz="4" w:space="0" w:color="auto"/>
              <w:right w:val="single" w:sz="4" w:space="0" w:color="auto"/>
            </w:tcBorders>
            <w:shd w:val="clear" w:color="auto" w:fill="auto"/>
            <w:noWrap/>
            <w:vAlign w:val="center"/>
            <w:hideMark/>
          </w:tcPr>
          <w:p w14:paraId="0A251EE0" w14:textId="77777777" w:rsidR="0014121B" w:rsidRPr="002A34F0" w:rsidRDefault="0014121B">
            <w:pPr>
              <w:jc w:val="center"/>
              <w:rPr>
                <w:color w:val="000000"/>
                <w:sz w:val="20"/>
                <w:szCs w:val="20"/>
              </w:rPr>
            </w:pPr>
            <w:r w:rsidRPr="002A34F0">
              <w:rPr>
                <w:color w:val="000000"/>
                <w:sz w:val="20"/>
                <w:szCs w:val="20"/>
              </w:rPr>
              <w:t>-0.072*</w:t>
            </w:r>
          </w:p>
        </w:tc>
        <w:tc>
          <w:tcPr>
            <w:tcW w:w="1049" w:type="dxa"/>
            <w:tcBorders>
              <w:top w:val="nil"/>
              <w:left w:val="nil"/>
              <w:bottom w:val="dashed" w:sz="4" w:space="0" w:color="auto"/>
              <w:right w:val="nil"/>
            </w:tcBorders>
            <w:shd w:val="clear" w:color="auto" w:fill="auto"/>
            <w:noWrap/>
            <w:vAlign w:val="center"/>
            <w:hideMark/>
          </w:tcPr>
          <w:p w14:paraId="4D1E2BD3" w14:textId="77777777" w:rsidR="0014121B" w:rsidRPr="002A34F0" w:rsidRDefault="0014121B">
            <w:pPr>
              <w:jc w:val="center"/>
              <w:rPr>
                <w:color w:val="000000"/>
                <w:sz w:val="20"/>
                <w:szCs w:val="20"/>
              </w:rPr>
            </w:pPr>
            <w:r w:rsidRPr="002A34F0">
              <w:rPr>
                <w:color w:val="000000"/>
                <w:sz w:val="20"/>
                <w:szCs w:val="20"/>
              </w:rPr>
              <w:t>0.038</w:t>
            </w:r>
          </w:p>
        </w:tc>
        <w:tc>
          <w:tcPr>
            <w:tcW w:w="1036" w:type="dxa"/>
            <w:tcBorders>
              <w:top w:val="nil"/>
              <w:left w:val="nil"/>
              <w:bottom w:val="dashed" w:sz="4" w:space="0" w:color="auto"/>
              <w:right w:val="nil"/>
            </w:tcBorders>
            <w:shd w:val="clear" w:color="auto" w:fill="auto"/>
            <w:noWrap/>
            <w:vAlign w:val="center"/>
            <w:hideMark/>
          </w:tcPr>
          <w:p w14:paraId="19841D30" w14:textId="77777777" w:rsidR="0014121B" w:rsidRPr="002A34F0" w:rsidRDefault="0014121B">
            <w:pPr>
              <w:jc w:val="center"/>
              <w:rPr>
                <w:color w:val="000000"/>
                <w:sz w:val="20"/>
                <w:szCs w:val="20"/>
              </w:rPr>
            </w:pPr>
            <w:r w:rsidRPr="002A34F0">
              <w:rPr>
                <w:color w:val="000000"/>
                <w:sz w:val="20"/>
                <w:szCs w:val="20"/>
              </w:rPr>
              <w:t>-0.074</w:t>
            </w:r>
          </w:p>
        </w:tc>
        <w:tc>
          <w:tcPr>
            <w:tcW w:w="1036" w:type="dxa"/>
            <w:tcBorders>
              <w:top w:val="nil"/>
              <w:left w:val="nil"/>
              <w:bottom w:val="dashed" w:sz="4" w:space="0" w:color="auto"/>
              <w:right w:val="nil"/>
            </w:tcBorders>
            <w:shd w:val="clear" w:color="auto" w:fill="auto"/>
            <w:noWrap/>
            <w:vAlign w:val="center"/>
            <w:hideMark/>
          </w:tcPr>
          <w:p w14:paraId="7C60849D" w14:textId="77777777" w:rsidR="0014121B" w:rsidRPr="002A34F0" w:rsidRDefault="0014121B">
            <w:pPr>
              <w:jc w:val="center"/>
              <w:rPr>
                <w:color w:val="000000"/>
                <w:sz w:val="20"/>
                <w:szCs w:val="20"/>
              </w:rPr>
            </w:pPr>
            <w:r w:rsidRPr="002A34F0">
              <w:rPr>
                <w:color w:val="000000"/>
                <w:sz w:val="20"/>
                <w:szCs w:val="20"/>
              </w:rPr>
              <w:t>0.010</w:t>
            </w:r>
          </w:p>
        </w:tc>
        <w:tc>
          <w:tcPr>
            <w:tcW w:w="1072" w:type="dxa"/>
            <w:tcBorders>
              <w:top w:val="nil"/>
              <w:left w:val="nil"/>
              <w:bottom w:val="dashed" w:sz="4" w:space="0" w:color="auto"/>
              <w:right w:val="nil"/>
            </w:tcBorders>
            <w:shd w:val="clear" w:color="auto" w:fill="auto"/>
            <w:noWrap/>
            <w:vAlign w:val="center"/>
            <w:hideMark/>
          </w:tcPr>
          <w:p w14:paraId="1DCC747F" w14:textId="77777777" w:rsidR="0014121B" w:rsidRPr="002A34F0" w:rsidRDefault="0014121B">
            <w:pPr>
              <w:jc w:val="center"/>
              <w:rPr>
                <w:color w:val="000000"/>
                <w:sz w:val="20"/>
                <w:szCs w:val="20"/>
              </w:rPr>
            </w:pPr>
            <w:r w:rsidRPr="002A34F0">
              <w:rPr>
                <w:color w:val="000000"/>
                <w:sz w:val="20"/>
                <w:szCs w:val="20"/>
              </w:rPr>
              <w:t>0.158*</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479DF08C" w14:textId="77777777" w:rsidR="0014121B" w:rsidRPr="002A34F0" w:rsidRDefault="0014121B">
            <w:pPr>
              <w:jc w:val="center"/>
              <w:rPr>
                <w:color w:val="000000"/>
                <w:sz w:val="20"/>
                <w:szCs w:val="20"/>
              </w:rPr>
            </w:pPr>
            <w:r w:rsidRPr="002A34F0">
              <w:rPr>
                <w:color w:val="000000"/>
                <w:sz w:val="20"/>
                <w:szCs w:val="20"/>
              </w:rPr>
              <w:t>-1.059*</w:t>
            </w:r>
          </w:p>
        </w:tc>
        <w:tc>
          <w:tcPr>
            <w:tcW w:w="820" w:type="dxa"/>
            <w:tcBorders>
              <w:top w:val="nil"/>
              <w:left w:val="nil"/>
              <w:bottom w:val="dashed" w:sz="4" w:space="0" w:color="auto"/>
              <w:right w:val="nil"/>
            </w:tcBorders>
            <w:shd w:val="clear" w:color="auto" w:fill="auto"/>
            <w:noWrap/>
            <w:vAlign w:val="center"/>
            <w:hideMark/>
          </w:tcPr>
          <w:p w14:paraId="1121FE7C" w14:textId="77777777" w:rsidR="0014121B" w:rsidRPr="002A34F0" w:rsidRDefault="0014121B">
            <w:pPr>
              <w:jc w:val="center"/>
              <w:rPr>
                <w:color w:val="000000"/>
                <w:sz w:val="20"/>
                <w:szCs w:val="20"/>
              </w:rPr>
            </w:pPr>
            <w:r w:rsidRPr="002A34F0">
              <w:rPr>
                <w:color w:val="000000"/>
                <w:sz w:val="20"/>
                <w:szCs w:val="20"/>
              </w:rPr>
              <w:t>0.969</w:t>
            </w:r>
          </w:p>
        </w:tc>
        <w:tc>
          <w:tcPr>
            <w:tcW w:w="900" w:type="dxa"/>
            <w:tcBorders>
              <w:top w:val="nil"/>
              <w:left w:val="nil"/>
              <w:bottom w:val="dashed" w:sz="4" w:space="0" w:color="auto"/>
              <w:right w:val="nil"/>
            </w:tcBorders>
            <w:shd w:val="clear" w:color="auto" w:fill="auto"/>
            <w:noWrap/>
            <w:vAlign w:val="center"/>
            <w:hideMark/>
          </w:tcPr>
          <w:p w14:paraId="602C836E" w14:textId="77777777" w:rsidR="0014121B" w:rsidRPr="002A34F0" w:rsidRDefault="0014121B">
            <w:pPr>
              <w:jc w:val="center"/>
              <w:rPr>
                <w:color w:val="000000"/>
                <w:sz w:val="20"/>
                <w:szCs w:val="20"/>
              </w:rPr>
            </w:pPr>
            <w:r w:rsidRPr="002A34F0">
              <w:rPr>
                <w:color w:val="000000"/>
                <w:sz w:val="20"/>
                <w:szCs w:val="20"/>
              </w:rPr>
              <w:t>-407669</w:t>
            </w:r>
          </w:p>
        </w:tc>
        <w:tc>
          <w:tcPr>
            <w:tcW w:w="1620" w:type="dxa"/>
            <w:tcBorders>
              <w:top w:val="nil"/>
              <w:left w:val="nil"/>
              <w:bottom w:val="dashed" w:sz="4" w:space="0" w:color="auto"/>
              <w:right w:val="single" w:sz="8" w:space="0" w:color="auto"/>
            </w:tcBorders>
            <w:shd w:val="clear" w:color="auto" w:fill="auto"/>
            <w:noWrap/>
            <w:vAlign w:val="center"/>
            <w:hideMark/>
          </w:tcPr>
          <w:p w14:paraId="26BB0F7E" w14:textId="77777777" w:rsidR="0014121B" w:rsidRPr="002A34F0" w:rsidRDefault="0014121B">
            <w:pPr>
              <w:jc w:val="center"/>
              <w:rPr>
                <w:color w:val="000000"/>
                <w:sz w:val="20"/>
                <w:szCs w:val="20"/>
              </w:rPr>
            </w:pPr>
            <w:r w:rsidRPr="002A34F0">
              <w:rPr>
                <w:color w:val="000000"/>
                <w:sz w:val="20"/>
                <w:szCs w:val="20"/>
              </w:rPr>
              <w:t>-19746.87</w:t>
            </w:r>
          </w:p>
        </w:tc>
      </w:tr>
      <w:tr w:rsidR="0014121B" w:rsidRPr="002A34F0" w14:paraId="4BBF0C6A"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5EB85635" w14:textId="77777777" w:rsidR="0014121B" w:rsidRPr="002A34F0" w:rsidRDefault="0014121B">
            <w:pPr>
              <w:ind w:firstLineChars="100" w:firstLine="200"/>
              <w:rPr>
                <w:i/>
                <w:iCs/>
                <w:color w:val="000000"/>
                <w:sz w:val="20"/>
                <w:szCs w:val="20"/>
              </w:rPr>
            </w:pPr>
            <w:r w:rsidRPr="002A34F0">
              <w:rPr>
                <w:i/>
                <w:iCs/>
                <w:color w:val="000000"/>
                <w:sz w:val="20"/>
                <w:szCs w:val="20"/>
              </w:rPr>
              <w:t>Other</w:t>
            </w:r>
          </w:p>
        </w:tc>
        <w:tc>
          <w:tcPr>
            <w:tcW w:w="875" w:type="dxa"/>
            <w:tcBorders>
              <w:top w:val="nil"/>
              <w:left w:val="nil"/>
              <w:bottom w:val="dashed" w:sz="4" w:space="0" w:color="auto"/>
              <w:right w:val="nil"/>
            </w:tcBorders>
            <w:shd w:val="clear" w:color="auto" w:fill="auto"/>
            <w:noWrap/>
            <w:vAlign w:val="center"/>
            <w:hideMark/>
          </w:tcPr>
          <w:p w14:paraId="60D0117C" w14:textId="77777777" w:rsidR="0014121B" w:rsidRPr="002A34F0" w:rsidRDefault="0014121B">
            <w:pPr>
              <w:jc w:val="center"/>
              <w:rPr>
                <w:color w:val="000000"/>
                <w:sz w:val="20"/>
                <w:szCs w:val="20"/>
              </w:rPr>
            </w:pPr>
            <w:r w:rsidRPr="002A34F0">
              <w:rPr>
                <w:color w:val="000000"/>
                <w:sz w:val="20"/>
                <w:szCs w:val="20"/>
              </w:rPr>
              <w:t>-0.054</w:t>
            </w:r>
          </w:p>
        </w:tc>
        <w:tc>
          <w:tcPr>
            <w:tcW w:w="899" w:type="dxa"/>
            <w:tcBorders>
              <w:top w:val="nil"/>
              <w:left w:val="nil"/>
              <w:bottom w:val="dashed" w:sz="4" w:space="0" w:color="auto"/>
              <w:right w:val="nil"/>
            </w:tcBorders>
            <w:shd w:val="clear" w:color="auto" w:fill="auto"/>
            <w:noWrap/>
            <w:vAlign w:val="center"/>
            <w:hideMark/>
          </w:tcPr>
          <w:p w14:paraId="293BA0E8" w14:textId="77777777" w:rsidR="0014121B" w:rsidRPr="002A34F0" w:rsidRDefault="0014121B">
            <w:pPr>
              <w:jc w:val="center"/>
              <w:rPr>
                <w:color w:val="000000"/>
                <w:sz w:val="20"/>
                <w:szCs w:val="20"/>
              </w:rPr>
            </w:pPr>
            <w:r w:rsidRPr="002A34F0">
              <w:rPr>
                <w:color w:val="000000"/>
                <w:sz w:val="20"/>
                <w:szCs w:val="20"/>
              </w:rPr>
              <w:t>-0.279*</w:t>
            </w:r>
          </w:p>
        </w:tc>
        <w:tc>
          <w:tcPr>
            <w:tcW w:w="866" w:type="dxa"/>
            <w:tcBorders>
              <w:top w:val="nil"/>
              <w:left w:val="single" w:sz="4" w:space="0" w:color="auto"/>
              <w:bottom w:val="dashed" w:sz="4" w:space="0" w:color="auto"/>
              <w:right w:val="nil"/>
            </w:tcBorders>
            <w:shd w:val="clear" w:color="auto" w:fill="auto"/>
            <w:noWrap/>
            <w:vAlign w:val="center"/>
            <w:hideMark/>
          </w:tcPr>
          <w:p w14:paraId="6F98BC78" w14:textId="77777777" w:rsidR="0014121B" w:rsidRPr="002A34F0" w:rsidRDefault="0014121B">
            <w:pPr>
              <w:jc w:val="center"/>
              <w:rPr>
                <w:color w:val="000000"/>
                <w:sz w:val="20"/>
                <w:szCs w:val="20"/>
              </w:rPr>
            </w:pPr>
            <w:r w:rsidRPr="002A34F0">
              <w:rPr>
                <w:color w:val="000000"/>
                <w:sz w:val="20"/>
                <w:szCs w:val="20"/>
              </w:rPr>
              <w:t>0.034</w:t>
            </w:r>
          </w:p>
        </w:tc>
        <w:tc>
          <w:tcPr>
            <w:tcW w:w="943" w:type="dxa"/>
            <w:tcBorders>
              <w:top w:val="nil"/>
              <w:left w:val="nil"/>
              <w:bottom w:val="dashed" w:sz="4" w:space="0" w:color="auto"/>
              <w:right w:val="single" w:sz="4" w:space="0" w:color="auto"/>
            </w:tcBorders>
            <w:shd w:val="clear" w:color="auto" w:fill="auto"/>
            <w:noWrap/>
            <w:vAlign w:val="center"/>
            <w:hideMark/>
          </w:tcPr>
          <w:p w14:paraId="51833FC7" w14:textId="77777777" w:rsidR="0014121B" w:rsidRPr="002A34F0" w:rsidRDefault="0014121B">
            <w:pPr>
              <w:jc w:val="center"/>
              <w:rPr>
                <w:color w:val="000000"/>
                <w:sz w:val="20"/>
                <w:szCs w:val="20"/>
              </w:rPr>
            </w:pPr>
            <w:r w:rsidRPr="002A34F0">
              <w:rPr>
                <w:color w:val="000000"/>
                <w:sz w:val="20"/>
                <w:szCs w:val="20"/>
              </w:rPr>
              <w:t>-0.079</w:t>
            </w:r>
          </w:p>
        </w:tc>
        <w:tc>
          <w:tcPr>
            <w:tcW w:w="1049" w:type="dxa"/>
            <w:tcBorders>
              <w:top w:val="nil"/>
              <w:left w:val="nil"/>
              <w:bottom w:val="dashed" w:sz="4" w:space="0" w:color="auto"/>
              <w:right w:val="nil"/>
            </w:tcBorders>
            <w:shd w:val="clear" w:color="auto" w:fill="auto"/>
            <w:noWrap/>
            <w:vAlign w:val="center"/>
            <w:hideMark/>
          </w:tcPr>
          <w:p w14:paraId="33329C9F" w14:textId="77777777" w:rsidR="0014121B" w:rsidRPr="002A34F0" w:rsidRDefault="0014121B">
            <w:pPr>
              <w:jc w:val="center"/>
              <w:rPr>
                <w:color w:val="000000"/>
                <w:sz w:val="20"/>
                <w:szCs w:val="20"/>
              </w:rPr>
            </w:pPr>
            <w:r w:rsidRPr="002A34F0">
              <w:rPr>
                <w:color w:val="000000"/>
                <w:sz w:val="20"/>
                <w:szCs w:val="20"/>
              </w:rPr>
              <w:t>0.157</w:t>
            </w:r>
          </w:p>
        </w:tc>
        <w:tc>
          <w:tcPr>
            <w:tcW w:w="1036" w:type="dxa"/>
            <w:tcBorders>
              <w:top w:val="nil"/>
              <w:left w:val="nil"/>
              <w:bottom w:val="dashed" w:sz="4" w:space="0" w:color="auto"/>
              <w:right w:val="nil"/>
            </w:tcBorders>
            <w:shd w:val="clear" w:color="auto" w:fill="auto"/>
            <w:noWrap/>
            <w:vAlign w:val="center"/>
            <w:hideMark/>
          </w:tcPr>
          <w:p w14:paraId="37AF45BF" w14:textId="77777777" w:rsidR="0014121B" w:rsidRPr="002A34F0" w:rsidRDefault="0014121B">
            <w:pPr>
              <w:jc w:val="center"/>
              <w:rPr>
                <w:color w:val="000000"/>
                <w:sz w:val="20"/>
                <w:szCs w:val="20"/>
              </w:rPr>
            </w:pPr>
            <w:r w:rsidRPr="002A34F0">
              <w:rPr>
                <w:color w:val="000000"/>
                <w:sz w:val="20"/>
                <w:szCs w:val="20"/>
              </w:rPr>
              <w:t>0.37</w:t>
            </w:r>
          </w:p>
        </w:tc>
        <w:tc>
          <w:tcPr>
            <w:tcW w:w="1036" w:type="dxa"/>
            <w:tcBorders>
              <w:top w:val="nil"/>
              <w:left w:val="nil"/>
              <w:bottom w:val="dashed" w:sz="4" w:space="0" w:color="auto"/>
              <w:right w:val="nil"/>
            </w:tcBorders>
            <w:shd w:val="clear" w:color="auto" w:fill="auto"/>
            <w:noWrap/>
            <w:vAlign w:val="center"/>
            <w:hideMark/>
          </w:tcPr>
          <w:p w14:paraId="5A137CE3" w14:textId="77777777" w:rsidR="0014121B" w:rsidRPr="002A34F0" w:rsidRDefault="0014121B">
            <w:pPr>
              <w:jc w:val="center"/>
              <w:rPr>
                <w:color w:val="000000"/>
                <w:sz w:val="20"/>
                <w:szCs w:val="20"/>
              </w:rPr>
            </w:pPr>
            <w:r w:rsidRPr="002A34F0">
              <w:rPr>
                <w:color w:val="000000"/>
                <w:sz w:val="20"/>
                <w:szCs w:val="20"/>
              </w:rPr>
              <w:t>0.209</w:t>
            </w:r>
          </w:p>
        </w:tc>
        <w:tc>
          <w:tcPr>
            <w:tcW w:w="1072" w:type="dxa"/>
            <w:tcBorders>
              <w:top w:val="nil"/>
              <w:left w:val="nil"/>
              <w:bottom w:val="dashed" w:sz="4" w:space="0" w:color="auto"/>
              <w:right w:val="nil"/>
            </w:tcBorders>
            <w:shd w:val="clear" w:color="auto" w:fill="auto"/>
            <w:noWrap/>
            <w:vAlign w:val="center"/>
            <w:hideMark/>
          </w:tcPr>
          <w:p w14:paraId="38AAFBC3" w14:textId="77777777" w:rsidR="0014121B" w:rsidRPr="002A34F0" w:rsidRDefault="0014121B">
            <w:pPr>
              <w:jc w:val="center"/>
              <w:rPr>
                <w:color w:val="000000"/>
                <w:sz w:val="20"/>
                <w:szCs w:val="20"/>
              </w:rPr>
            </w:pPr>
            <w:r w:rsidRPr="002A34F0">
              <w:rPr>
                <w:color w:val="000000"/>
                <w:sz w:val="20"/>
                <w:szCs w:val="20"/>
              </w:rPr>
              <w:t>-0.14</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128945E1" w14:textId="77777777" w:rsidR="0014121B" w:rsidRPr="002A34F0" w:rsidRDefault="0014121B">
            <w:pPr>
              <w:jc w:val="center"/>
              <w:rPr>
                <w:color w:val="000000"/>
                <w:sz w:val="20"/>
                <w:szCs w:val="20"/>
              </w:rPr>
            </w:pPr>
            <w:r w:rsidRPr="002A34F0">
              <w:rPr>
                <w:color w:val="000000"/>
                <w:sz w:val="20"/>
                <w:szCs w:val="20"/>
              </w:rPr>
              <w:t>-4.716*</w:t>
            </w:r>
          </w:p>
        </w:tc>
        <w:tc>
          <w:tcPr>
            <w:tcW w:w="820" w:type="dxa"/>
            <w:tcBorders>
              <w:top w:val="nil"/>
              <w:left w:val="nil"/>
              <w:bottom w:val="dashed" w:sz="4" w:space="0" w:color="auto"/>
              <w:right w:val="nil"/>
            </w:tcBorders>
            <w:shd w:val="clear" w:color="auto" w:fill="auto"/>
            <w:noWrap/>
            <w:vAlign w:val="center"/>
            <w:hideMark/>
          </w:tcPr>
          <w:p w14:paraId="374A7AA4" w14:textId="77777777" w:rsidR="0014121B" w:rsidRPr="002A34F0" w:rsidRDefault="0014121B">
            <w:pPr>
              <w:jc w:val="center"/>
              <w:rPr>
                <w:color w:val="000000"/>
                <w:sz w:val="20"/>
                <w:szCs w:val="20"/>
              </w:rPr>
            </w:pPr>
            <w:r w:rsidRPr="002A34F0">
              <w:rPr>
                <w:color w:val="000000"/>
                <w:sz w:val="20"/>
                <w:szCs w:val="20"/>
              </w:rPr>
              <w:t>0.087</w:t>
            </w:r>
          </w:p>
        </w:tc>
        <w:tc>
          <w:tcPr>
            <w:tcW w:w="900" w:type="dxa"/>
            <w:tcBorders>
              <w:top w:val="nil"/>
              <w:left w:val="nil"/>
              <w:bottom w:val="dashed" w:sz="4" w:space="0" w:color="auto"/>
              <w:right w:val="nil"/>
            </w:tcBorders>
            <w:shd w:val="clear" w:color="auto" w:fill="auto"/>
            <w:noWrap/>
            <w:vAlign w:val="center"/>
            <w:hideMark/>
          </w:tcPr>
          <w:p w14:paraId="3F4FBE5E" w14:textId="77777777" w:rsidR="0014121B" w:rsidRPr="002A34F0" w:rsidRDefault="0014121B">
            <w:pPr>
              <w:jc w:val="center"/>
              <w:rPr>
                <w:color w:val="000000"/>
                <w:sz w:val="20"/>
                <w:szCs w:val="20"/>
              </w:rPr>
            </w:pPr>
            <w:r w:rsidRPr="002A34F0">
              <w:rPr>
                <w:color w:val="000000"/>
                <w:sz w:val="20"/>
                <w:szCs w:val="20"/>
              </w:rPr>
              <w:t>-430738</w:t>
            </w:r>
          </w:p>
        </w:tc>
        <w:tc>
          <w:tcPr>
            <w:tcW w:w="1620" w:type="dxa"/>
            <w:tcBorders>
              <w:top w:val="nil"/>
              <w:left w:val="nil"/>
              <w:bottom w:val="dashed" w:sz="4" w:space="0" w:color="auto"/>
              <w:right w:val="single" w:sz="8" w:space="0" w:color="auto"/>
            </w:tcBorders>
            <w:shd w:val="clear" w:color="auto" w:fill="auto"/>
            <w:noWrap/>
            <w:vAlign w:val="center"/>
            <w:hideMark/>
          </w:tcPr>
          <w:p w14:paraId="7146FF5A" w14:textId="77777777" w:rsidR="0014121B" w:rsidRPr="002A34F0" w:rsidRDefault="0014121B">
            <w:pPr>
              <w:jc w:val="center"/>
              <w:rPr>
                <w:color w:val="000000"/>
                <w:sz w:val="20"/>
                <w:szCs w:val="20"/>
              </w:rPr>
            </w:pPr>
            <w:r w:rsidRPr="002A34F0">
              <w:rPr>
                <w:color w:val="000000"/>
                <w:sz w:val="20"/>
                <w:szCs w:val="20"/>
              </w:rPr>
              <w:t>-1760.847</w:t>
            </w:r>
          </w:p>
        </w:tc>
      </w:tr>
      <w:tr w:rsidR="0014121B" w:rsidRPr="002A34F0" w14:paraId="57CCECF1"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7B4C2DEC" w14:textId="77777777" w:rsidR="0014121B" w:rsidRPr="002A34F0" w:rsidRDefault="0014121B">
            <w:pPr>
              <w:rPr>
                <w:color w:val="000000"/>
                <w:sz w:val="20"/>
                <w:szCs w:val="20"/>
              </w:rPr>
            </w:pPr>
            <w:r w:rsidRPr="002A34F0">
              <w:rPr>
                <w:color w:val="000000"/>
                <w:sz w:val="20"/>
                <w:szCs w:val="20"/>
              </w:rPr>
              <w:t>ICT</w:t>
            </w:r>
          </w:p>
        </w:tc>
        <w:tc>
          <w:tcPr>
            <w:tcW w:w="875" w:type="dxa"/>
            <w:tcBorders>
              <w:top w:val="nil"/>
              <w:left w:val="nil"/>
              <w:bottom w:val="dashed" w:sz="4" w:space="0" w:color="auto"/>
              <w:right w:val="nil"/>
            </w:tcBorders>
            <w:shd w:val="clear" w:color="auto" w:fill="auto"/>
            <w:noWrap/>
            <w:vAlign w:val="center"/>
            <w:hideMark/>
          </w:tcPr>
          <w:p w14:paraId="348ABAC2" w14:textId="77777777" w:rsidR="0014121B" w:rsidRPr="002A34F0" w:rsidRDefault="0014121B">
            <w:pPr>
              <w:jc w:val="center"/>
              <w:rPr>
                <w:color w:val="000000"/>
                <w:sz w:val="20"/>
                <w:szCs w:val="20"/>
              </w:rPr>
            </w:pPr>
            <w:r w:rsidRPr="002A34F0">
              <w:rPr>
                <w:color w:val="000000"/>
                <w:sz w:val="20"/>
                <w:szCs w:val="20"/>
              </w:rPr>
              <w:t> </w:t>
            </w:r>
          </w:p>
        </w:tc>
        <w:tc>
          <w:tcPr>
            <w:tcW w:w="899" w:type="dxa"/>
            <w:tcBorders>
              <w:top w:val="nil"/>
              <w:left w:val="nil"/>
              <w:bottom w:val="dashed" w:sz="4" w:space="0" w:color="auto"/>
              <w:right w:val="nil"/>
            </w:tcBorders>
            <w:shd w:val="clear" w:color="auto" w:fill="auto"/>
            <w:noWrap/>
            <w:vAlign w:val="center"/>
            <w:hideMark/>
          </w:tcPr>
          <w:p w14:paraId="492B806A" w14:textId="77777777" w:rsidR="0014121B" w:rsidRPr="002A34F0" w:rsidRDefault="0014121B">
            <w:pPr>
              <w:jc w:val="center"/>
              <w:rPr>
                <w:color w:val="000000"/>
                <w:sz w:val="20"/>
                <w:szCs w:val="20"/>
              </w:rPr>
            </w:pPr>
            <w:r w:rsidRPr="002A34F0">
              <w:rPr>
                <w:color w:val="000000"/>
                <w:sz w:val="20"/>
                <w:szCs w:val="20"/>
              </w:rPr>
              <w:t> </w:t>
            </w:r>
          </w:p>
        </w:tc>
        <w:tc>
          <w:tcPr>
            <w:tcW w:w="866" w:type="dxa"/>
            <w:tcBorders>
              <w:top w:val="nil"/>
              <w:left w:val="single" w:sz="4" w:space="0" w:color="auto"/>
              <w:bottom w:val="dashed" w:sz="4" w:space="0" w:color="auto"/>
              <w:right w:val="nil"/>
            </w:tcBorders>
            <w:shd w:val="clear" w:color="auto" w:fill="auto"/>
            <w:noWrap/>
            <w:vAlign w:val="center"/>
            <w:hideMark/>
          </w:tcPr>
          <w:p w14:paraId="24EA377A" w14:textId="77777777" w:rsidR="0014121B" w:rsidRPr="002A34F0" w:rsidRDefault="0014121B">
            <w:pPr>
              <w:jc w:val="center"/>
              <w:rPr>
                <w:color w:val="000000"/>
                <w:sz w:val="20"/>
                <w:szCs w:val="20"/>
              </w:rPr>
            </w:pPr>
            <w:r w:rsidRPr="002A34F0">
              <w:rPr>
                <w:color w:val="000000"/>
                <w:sz w:val="20"/>
                <w:szCs w:val="20"/>
              </w:rPr>
              <w:t> </w:t>
            </w:r>
          </w:p>
        </w:tc>
        <w:tc>
          <w:tcPr>
            <w:tcW w:w="943" w:type="dxa"/>
            <w:tcBorders>
              <w:top w:val="nil"/>
              <w:left w:val="nil"/>
              <w:bottom w:val="dashed" w:sz="4" w:space="0" w:color="auto"/>
              <w:right w:val="single" w:sz="4" w:space="0" w:color="auto"/>
            </w:tcBorders>
            <w:shd w:val="clear" w:color="auto" w:fill="auto"/>
            <w:noWrap/>
            <w:vAlign w:val="center"/>
            <w:hideMark/>
          </w:tcPr>
          <w:p w14:paraId="485F1C69" w14:textId="77777777" w:rsidR="0014121B" w:rsidRPr="002A34F0" w:rsidRDefault="0014121B">
            <w:pPr>
              <w:jc w:val="center"/>
              <w:rPr>
                <w:color w:val="000000"/>
                <w:sz w:val="20"/>
                <w:szCs w:val="20"/>
              </w:rPr>
            </w:pPr>
            <w:r w:rsidRPr="002A34F0">
              <w:rPr>
                <w:color w:val="000000"/>
                <w:sz w:val="20"/>
                <w:szCs w:val="20"/>
              </w:rPr>
              <w:t> </w:t>
            </w:r>
          </w:p>
        </w:tc>
        <w:tc>
          <w:tcPr>
            <w:tcW w:w="1049" w:type="dxa"/>
            <w:tcBorders>
              <w:top w:val="nil"/>
              <w:left w:val="nil"/>
              <w:bottom w:val="dashed" w:sz="4" w:space="0" w:color="auto"/>
              <w:right w:val="nil"/>
            </w:tcBorders>
            <w:shd w:val="clear" w:color="auto" w:fill="auto"/>
            <w:noWrap/>
            <w:vAlign w:val="center"/>
            <w:hideMark/>
          </w:tcPr>
          <w:p w14:paraId="03D1C0DD" w14:textId="77777777" w:rsidR="0014121B" w:rsidRPr="002A34F0" w:rsidRDefault="0014121B">
            <w:pPr>
              <w:jc w:val="center"/>
              <w:rPr>
                <w:color w:val="000000"/>
                <w:sz w:val="20"/>
                <w:szCs w:val="20"/>
              </w:rPr>
            </w:pPr>
            <w:r w:rsidRPr="002A34F0">
              <w:rPr>
                <w:color w:val="000000"/>
                <w:sz w:val="20"/>
                <w:szCs w:val="20"/>
              </w:rPr>
              <w:t> </w:t>
            </w:r>
          </w:p>
        </w:tc>
        <w:tc>
          <w:tcPr>
            <w:tcW w:w="1036" w:type="dxa"/>
            <w:tcBorders>
              <w:top w:val="nil"/>
              <w:left w:val="nil"/>
              <w:bottom w:val="dashed" w:sz="4" w:space="0" w:color="auto"/>
              <w:right w:val="nil"/>
            </w:tcBorders>
            <w:shd w:val="clear" w:color="auto" w:fill="auto"/>
            <w:noWrap/>
            <w:vAlign w:val="center"/>
            <w:hideMark/>
          </w:tcPr>
          <w:p w14:paraId="20E09429" w14:textId="77777777" w:rsidR="0014121B" w:rsidRPr="002A34F0" w:rsidRDefault="0014121B">
            <w:pPr>
              <w:jc w:val="center"/>
              <w:rPr>
                <w:color w:val="000000"/>
                <w:sz w:val="20"/>
                <w:szCs w:val="20"/>
              </w:rPr>
            </w:pPr>
            <w:r w:rsidRPr="002A34F0">
              <w:rPr>
                <w:color w:val="000000"/>
                <w:sz w:val="20"/>
                <w:szCs w:val="20"/>
              </w:rPr>
              <w:t> </w:t>
            </w:r>
          </w:p>
        </w:tc>
        <w:tc>
          <w:tcPr>
            <w:tcW w:w="1036" w:type="dxa"/>
            <w:tcBorders>
              <w:top w:val="nil"/>
              <w:left w:val="nil"/>
              <w:bottom w:val="dashed" w:sz="4" w:space="0" w:color="auto"/>
              <w:right w:val="nil"/>
            </w:tcBorders>
            <w:shd w:val="clear" w:color="auto" w:fill="auto"/>
            <w:noWrap/>
            <w:vAlign w:val="center"/>
            <w:hideMark/>
          </w:tcPr>
          <w:p w14:paraId="62A0B35F" w14:textId="77777777" w:rsidR="0014121B" w:rsidRPr="002A34F0" w:rsidRDefault="0014121B">
            <w:pPr>
              <w:jc w:val="center"/>
              <w:rPr>
                <w:color w:val="000000"/>
                <w:sz w:val="20"/>
                <w:szCs w:val="20"/>
              </w:rPr>
            </w:pPr>
            <w:r w:rsidRPr="002A34F0">
              <w:rPr>
                <w:color w:val="000000"/>
                <w:sz w:val="20"/>
                <w:szCs w:val="20"/>
              </w:rPr>
              <w:t> </w:t>
            </w:r>
          </w:p>
        </w:tc>
        <w:tc>
          <w:tcPr>
            <w:tcW w:w="1072" w:type="dxa"/>
            <w:tcBorders>
              <w:top w:val="nil"/>
              <w:left w:val="nil"/>
              <w:bottom w:val="dashed" w:sz="4" w:space="0" w:color="auto"/>
              <w:right w:val="nil"/>
            </w:tcBorders>
            <w:shd w:val="clear" w:color="auto" w:fill="auto"/>
            <w:noWrap/>
            <w:vAlign w:val="center"/>
            <w:hideMark/>
          </w:tcPr>
          <w:p w14:paraId="4A0E327B" w14:textId="77777777" w:rsidR="0014121B" w:rsidRPr="002A34F0" w:rsidRDefault="0014121B">
            <w:pPr>
              <w:jc w:val="center"/>
              <w:rPr>
                <w:color w:val="000000"/>
                <w:sz w:val="20"/>
                <w:szCs w:val="20"/>
              </w:rPr>
            </w:pPr>
            <w:r w:rsidRPr="002A34F0">
              <w:rPr>
                <w:color w:val="000000"/>
                <w:sz w:val="20"/>
                <w:szCs w:val="20"/>
              </w:rPr>
              <w:t> </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1DB372E6" w14:textId="77777777" w:rsidR="0014121B" w:rsidRPr="002A34F0" w:rsidRDefault="0014121B">
            <w:pPr>
              <w:jc w:val="center"/>
              <w:rPr>
                <w:color w:val="000000"/>
                <w:sz w:val="20"/>
                <w:szCs w:val="20"/>
              </w:rPr>
            </w:pPr>
            <w:r w:rsidRPr="002A34F0">
              <w:rPr>
                <w:color w:val="000000"/>
                <w:sz w:val="20"/>
                <w:szCs w:val="20"/>
              </w:rPr>
              <w:t> </w:t>
            </w:r>
          </w:p>
        </w:tc>
        <w:tc>
          <w:tcPr>
            <w:tcW w:w="820" w:type="dxa"/>
            <w:tcBorders>
              <w:top w:val="nil"/>
              <w:left w:val="nil"/>
              <w:bottom w:val="dashed" w:sz="4" w:space="0" w:color="auto"/>
              <w:right w:val="nil"/>
            </w:tcBorders>
            <w:shd w:val="clear" w:color="auto" w:fill="auto"/>
            <w:noWrap/>
            <w:vAlign w:val="center"/>
            <w:hideMark/>
          </w:tcPr>
          <w:p w14:paraId="084BAFB5" w14:textId="77777777" w:rsidR="0014121B" w:rsidRPr="002A34F0" w:rsidRDefault="0014121B">
            <w:pPr>
              <w:jc w:val="center"/>
              <w:rPr>
                <w:color w:val="000000"/>
                <w:sz w:val="20"/>
                <w:szCs w:val="20"/>
              </w:rPr>
            </w:pPr>
            <w:r w:rsidRPr="002A34F0">
              <w:rPr>
                <w:color w:val="000000"/>
                <w:sz w:val="20"/>
                <w:szCs w:val="20"/>
              </w:rPr>
              <w:t> </w:t>
            </w:r>
          </w:p>
        </w:tc>
        <w:tc>
          <w:tcPr>
            <w:tcW w:w="900" w:type="dxa"/>
            <w:tcBorders>
              <w:top w:val="nil"/>
              <w:left w:val="nil"/>
              <w:bottom w:val="dashed" w:sz="4" w:space="0" w:color="auto"/>
              <w:right w:val="nil"/>
            </w:tcBorders>
            <w:shd w:val="clear" w:color="auto" w:fill="auto"/>
            <w:noWrap/>
            <w:vAlign w:val="center"/>
            <w:hideMark/>
          </w:tcPr>
          <w:p w14:paraId="5AA07789" w14:textId="77777777" w:rsidR="0014121B" w:rsidRPr="002A34F0" w:rsidRDefault="0014121B">
            <w:pPr>
              <w:jc w:val="center"/>
              <w:rPr>
                <w:color w:val="000000"/>
                <w:sz w:val="20"/>
                <w:szCs w:val="20"/>
              </w:rPr>
            </w:pPr>
            <w:r w:rsidRPr="002A34F0">
              <w:rPr>
                <w:color w:val="000000"/>
                <w:sz w:val="20"/>
                <w:szCs w:val="20"/>
              </w:rPr>
              <w:t> </w:t>
            </w:r>
          </w:p>
        </w:tc>
        <w:tc>
          <w:tcPr>
            <w:tcW w:w="1620" w:type="dxa"/>
            <w:tcBorders>
              <w:top w:val="nil"/>
              <w:left w:val="nil"/>
              <w:bottom w:val="dashed" w:sz="4" w:space="0" w:color="auto"/>
              <w:right w:val="single" w:sz="8" w:space="0" w:color="auto"/>
            </w:tcBorders>
            <w:shd w:val="clear" w:color="auto" w:fill="auto"/>
            <w:noWrap/>
            <w:vAlign w:val="center"/>
            <w:hideMark/>
          </w:tcPr>
          <w:p w14:paraId="5916B93B" w14:textId="77777777" w:rsidR="0014121B" w:rsidRPr="002A34F0" w:rsidRDefault="0014121B">
            <w:pPr>
              <w:jc w:val="center"/>
              <w:rPr>
                <w:color w:val="000000"/>
                <w:sz w:val="20"/>
                <w:szCs w:val="20"/>
              </w:rPr>
            </w:pPr>
            <w:r w:rsidRPr="002A34F0">
              <w:rPr>
                <w:color w:val="000000"/>
                <w:sz w:val="20"/>
                <w:szCs w:val="20"/>
              </w:rPr>
              <w:t> </w:t>
            </w:r>
          </w:p>
        </w:tc>
      </w:tr>
      <w:tr w:rsidR="0014121B" w:rsidRPr="002A34F0" w14:paraId="65FF2CB2"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6BAAB197" w14:textId="77777777" w:rsidR="0014121B" w:rsidRPr="002A34F0" w:rsidRDefault="0014121B">
            <w:pPr>
              <w:ind w:firstLineChars="100" w:firstLine="200"/>
              <w:rPr>
                <w:i/>
                <w:iCs/>
                <w:color w:val="000000"/>
                <w:sz w:val="20"/>
                <w:szCs w:val="20"/>
              </w:rPr>
            </w:pPr>
            <w:r w:rsidRPr="002A34F0">
              <w:rPr>
                <w:i/>
                <w:iCs/>
                <w:color w:val="000000"/>
                <w:sz w:val="20"/>
                <w:szCs w:val="20"/>
              </w:rPr>
              <w:t>Mobiles</w:t>
            </w:r>
          </w:p>
        </w:tc>
        <w:tc>
          <w:tcPr>
            <w:tcW w:w="875" w:type="dxa"/>
            <w:tcBorders>
              <w:top w:val="nil"/>
              <w:left w:val="nil"/>
              <w:bottom w:val="dashed" w:sz="4" w:space="0" w:color="auto"/>
              <w:right w:val="nil"/>
            </w:tcBorders>
            <w:shd w:val="clear" w:color="auto" w:fill="auto"/>
            <w:noWrap/>
            <w:vAlign w:val="center"/>
            <w:hideMark/>
          </w:tcPr>
          <w:p w14:paraId="0E6BD81B" w14:textId="77777777" w:rsidR="0014121B" w:rsidRPr="002A34F0" w:rsidRDefault="0014121B">
            <w:pPr>
              <w:jc w:val="center"/>
              <w:rPr>
                <w:color w:val="000000"/>
                <w:sz w:val="20"/>
                <w:szCs w:val="20"/>
              </w:rPr>
            </w:pPr>
            <w:r w:rsidRPr="002A34F0">
              <w:rPr>
                <w:color w:val="000000"/>
                <w:sz w:val="20"/>
                <w:szCs w:val="20"/>
              </w:rPr>
              <w:t>0.577*</w:t>
            </w:r>
          </w:p>
        </w:tc>
        <w:tc>
          <w:tcPr>
            <w:tcW w:w="899" w:type="dxa"/>
            <w:tcBorders>
              <w:top w:val="nil"/>
              <w:left w:val="nil"/>
              <w:bottom w:val="dashed" w:sz="4" w:space="0" w:color="auto"/>
              <w:right w:val="nil"/>
            </w:tcBorders>
            <w:shd w:val="clear" w:color="auto" w:fill="auto"/>
            <w:noWrap/>
            <w:vAlign w:val="center"/>
            <w:hideMark/>
          </w:tcPr>
          <w:p w14:paraId="5A4E4D2A" w14:textId="77777777" w:rsidR="0014121B" w:rsidRPr="002A34F0" w:rsidRDefault="0014121B">
            <w:pPr>
              <w:jc w:val="center"/>
              <w:rPr>
                <w:color w:val="000000"/>
                <w:sz w:val="20"/>
                <w:szCs w:val="20"/>
              </w:rPr>
            </w:pPr>
            <w:r w:rsidRPr="002A34F0">
              <w:rPr>
                <w:color w:val="000000"/>
                <w:sz w:val="20"/>
                <w:szCs w:val="20"/>
              </w:rPr>
              <w:t>-0.512*</w:t>
            </w:r>
          </w:p>
        </w:tc>
        <w:tc>
          <w:tcPr>
            <w:tcW w:w="866" w:type="dxa"/>
            <w:tcBorders>
              <w:top w:val="nil"/>
              <w:left w:val="single" w:sz="4" w:space="0" w:color="auto"/>
              <w:bottom w:val="dashed" w:sz="4" w:space="0" w:color="auto"/>
              <w:right w:val="nil"/>
            </w:tcBorders>
            <w:shd w:val="clear" w:color="auto" w:fill="auto"/>
            <w:noWrap/>
            <w:vAlign w:val="center"/>
            <w:hideMark/>
          </w:tcPr>
          <w:p w14:paraId="08F3176F" w14:textId="77777777" w:rsidR="0014121B" w:rsidRPr="002A34F0" w:rsidRDefault="0014121B">
            <w:pPr>
              <w:jc w:val="center"/>
              <w:rPr>
                <w:color w:val="000000"/>
                <w:sz w:val="20"/>
                <w:szCs w:val="20"/>
              </w:rPr>
            </w:pPr>
            <w:r w:rsidRPr="002A34F0">
              <w:rPr>
                <w:color w:val="000000"/>
                <w:sz w:val="20"/>
                <w:szCs w:val="20"/>
              </w:rPr>
              <w:t>0.108*</w:t>
            </w:r>
          </w:p>
        </w:tc>
        <w:tc>
          <w:tcPr>
            <w:tcW w:w="943" w:type="dxa"/>
            <w:tcBorders>
              <w:top w:val="nil"/>
              <w:left w:val="nil"/>
              <w:bottom w:val="dashed" w:sz="4" w:space="0" w:color="auto"/>
              <w:right w:val="single" w:sz="4" w:space="0" w:color="auto"/>
            </w:tcBorders>
            <w:shd w:val="clear" w:color="auto" w:fill="auto"/>
            <w:noWrap/>
            <w:vAlign w:val="center"/>
            <w:hideMark/>
          </w:tcPr>
          <w:p w14:paraId="70D6A243" w14:textId="77777777" w:rsidR="0014121B" w:rsidRPr="002A34F0" w:rsidRDefault="0014121B">
            <w:pPr>
              <w:jc w:val="center"/>
              <w:rPr>
                <w:color w:val="000000"/>
                <w:sz w:val="20"/>
                <w:szCs w:val="20"/>
              </w:rPr>
            </w:pPr>
            <w:r w:rsidRPr="002A34F0">
              <w:rPr>
                <w:color w:val="000000"/>
                <w:sz w:val="20"/>
                <w:szCs w:val="20"/>
              </w:rPr>
              <w:t>-0.011</w:t>
            </w:r>
          </w:p>
        </w:tc>
        <w:tc>
          <w:tcPr>
            <w:tcW w:w="1049" w:type="dxa"/>
            <w:tcBorders>
              <w:top w:val="nil"/>
              <w:left w:val="nil"/>
              <w:bottom w:val="dashed" w:sz="4" w:space="0" w:color="auto"/>
              <w:right w:val="nil"/>
            </w:tcBorders>
            <w:shd w:val="clear" w:color="auto" w:fill="auto"/>
            <w:noWrap/>
            <w:vAlign w:val="center"/>
            <w:hideMark/>
          </w:tcPr>
          <w:p w14:paraId="751BD33B" w14:textId="77777777" w:rsidR="0014121B" w:rsidRPr="002A34F0" w:rsidRDefault="0014121B">
            <w:pPr>
              <w:jc w:val="center"/>
              <w:rPr>
                <w:color w:val="000000"/>
                <w:sz w:val="20"/>
                <w:szCs w:val="20"/>
              </w:rPr>
            </w:pPr>
            <w:r w:rsidRPr="002A34F0">
              <w:rPr>
                <w:color w:val="000000"/>
                <w:sz w:val="20"/>
                <w:szCs w:val="20"/>
              </w:rPr>
              <w:t>-0.152*</w:t>
            </w:r>
          </w:p>
        </w:tc>
        <w:tc>
          <w:tcPr>
            <w:tcW w:w="1036" w:type="dxa"/>
            <w:tcBorders>
              <w:top w:val="nil"/>
              <w:left w:val="nil"/>
              <w:bottom w:val="dashed" w:sz="4" w:space="0" w:color="auto"/>
              <w:right w:val="nil"/>
            </w:tcBorders>
            <w:shd w:val="clear" w:color="auto" w:fill="auto"/>
            <w:noWrap/>
            <w:vAlign w:val="center"/>
            <w:hideMark/>
          </w:tcPr>
          <w:p w14:paraId="4783780B" w14:textId="77777777" w:rsidR="0014121B" w:rsidRPr="002A34F0" w:rsidRDefault="0014121B">
            <w:pPr>
              <w:jc w:val="center"/>
              <w:rPr>
                <w:color w:val="000000"/>
                <w:sz w:val="20"/>
                <w:szCs w:val="20"/>
              </w:rPr>
            </w:pPr>
            <w:r w:rsidRPr="002A34F0">
              <w:rPr>
                <w:color w:val="000000"/>
                <w:sz w:val="20"/>
                <w:szCs w:val="20"/>
              </w:rPr>
              <w:t>0.017</w:t>
            </w:r>
          </w:p>
        </w:tc>
        <w:tc>
          <w:tcPr>
            <w:tcW w:w="1036" w:type="dxa"/>
            <w:tcBorders>
              <w:top w:val="nil"/>
              <w:left w:val="nil"/>
              <w:bottom w:val="dashed" w:sz="4" w:space="0" w:color="auto"/>
              <w:right w:val="nil"/>
            </w:tcBorders>
            <w:shd w:val="clear" w:color="auto" w:fill="auto"/>
            <w:noWrap/>
            <w:vAlign w:val="center"/>
            <w:hideMark/>
          </w:tcPr>
          <w:p w14:paraId="19A11058" w14:textId="77777777" w:rsidR="0014121B" w:rsidRPr="002A34F0" w:rsidRDefault="0014121B">
            <w:pPr>
              <w:jc w:val="center"/>
              <w:rPr>
                <w:color w:val="000000"/>
                <w:sz w:val="20"/>
                <w:szCs w:val="20"/>
              </w:rPr>
            </w:pPr>
            <w:r w:rsidRPr="002A34F0">
              <w:rPr>
                <w:color w:val="000000"/>
                <w:sz w:val="20"/>
                <w:szCs w:val="20"/>
              </w:rPr>
              <w:t>0.168*</w:t>
            </w:r>
          </w:p>
        </w:tc>
        <w:tc>
          <w:tcPr>
            <w:tcW w:w="1072" w:type="dxa"/>
            <w:tcBorders>
              <w:top w:val="nil"/>
              <w:left w:val="nil"/>
              <w:bottom w:val="dashed" w:sz="4" w:space="0" w:color="auto"/>
              <w:right w:val="nil"/>
            </w:tcBorders>
            <w:shd w:val="clear" w:color="auto" w:fill="auto"/>
            <w:noWrap/>
            <w:vAlign w:val="center"/>
            <w:hideMark/>
          </w:tcPr>
          <w:p w14:paraId="52FCCB59" w14:textId="77777777" w:rsidR="0014121B" w:rsidRPr="002A34F0" w:rsidRDefault="0014121B">
            <w:pPr>
              <w:jc w:val="center"/>
              <w:rPr>
                <w:color w:val="000000"/>
                <w:sz w:val="20"/>
                <w:szCs w:val="20"/>
              </w:rPr>
            </w:pPr>
            <w:r w:rsidRPr="002A34F0">
              <w:rPr>
                <w:color w:val="000000"/>
                <w:sz w:val="20"/>
                <w:szCs w:val="20"/>
              </w:rPr>
              <w:t>-0.147*</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4711E4D5" w14:textId="77777777" w:rsidR="0014121B" w:rsidRPr="002A34F0" w:rsidRDefault="0014121B">
            <w:pPr>
              <w:jc w:val="center"/>
              <w:rPr>
                <w:color w:val="000000"/>
                <w:sz w:val="20"/>
                <w:szCs w:val="20"/>
              </w:rPr>
            </w:pPr>
            <w:r w:rsidRPr="002A34F0">
              <w:rPr>
                <w:color w:val="000000"/>
                <w:sz w:val="20"/>
                <w:szCs w:val="20"/>
              </w:rPr>
              <w:t>0.369*</w:t>
            </w:r>
          </w:p>
        </w:tc>
        <w:tc>
          <w:tcPr>
            <w:tcW w:w="820" w:type="dxa"/>
            <w:tcBorders>
              <w:top w:val="nil"/>
              <w:left w:val="nil"/>
              <w:bottom w:val="dashed" w:sz="4" w:space="0" w:color="auto"/>
              <w:right w:val="nil"/>
            </w:tcBorders>
            <w:shd w:val="clear" w:color="auto" w:fill="auto"/>
            <w:noWrap/>
            <w:vAlign w:val="center"/>
            <w:hideMark/>
          </w:tcPr>
          <w:p w14:paraId="14848E82" w14:textId="77777777" w:rsidR="0014121B" w:rsidRPr="002A34F0" w:rsidRDefault="0014121B">
            <w:pPr>
              <w:jc w:val="center"/>
              <w:rPr>
                <w:color w:val="000000"/>
                <w:sz w:val="20"/>
                <w:szCs w:val="20"/>
              </w:rPr>
            </w:pPr>
            <w:r w:rsidRPr="002A34F0">
              <w:rPr>
                <w:color w:val="000000"/>
                <w:sz w:val="20"/>
                <w:szCs w:val="20"/>
              </w:rPr>
              <w:t>0.919</w:t>
            </w:r>
          </w:p>
        </w:tc>
        <w:tc>
          <w:tcPr>
            <w:tcW w:w="900" w:type="dxa"/>
            <w:tcBorders>
              <w:top w:val="nil"/>
              <w:left w:val="nil"/>
              <w:bottom w:val="dashed" w:sz="4" w:space="0" w:color="auto"/>
              <w:right w:val="nil"/>
            </w:tcBorders>
            <w:shd w:val="clear" w:color="auto" w:fill="auto"/>
            <w:noWrap/>
            <w:vAlign w:val="center"/>
            <w:hideMark/>
          </w:tcPr>
          <w:p w14:paraId="3C5BBD82" w14:textId="77777777" w:rsidR="0014121B" w:rsidRPr="002A34F0" w:rsidRDefault="0014121B">
            <w:pPr>
              <w:jc w:val="center"/>
              <w:rPr>
                <w:color w:val="000000"/>
                <w:sz w:val="20"/>
                <w:szCs w:val="20"/>
              </w:rPr>
            </w:pPr>
            <w:r w:rsidRPr="002A34F0">
              <w:rPr>
                <w:color w:val="000000"/>
                <w:sz w:val="20"/>
                <w:szCs w:val="20"/>
              </w:rPr>
              <w:t>-427772</w:t>
            </w:r>
          </w:p>
        </w:tc>
        <w:tc>
          <w:tcPr>
            <w:tcW w:w="1620" w:type="dxa"/>
            <w:tcBorders>
              <w:top w:val="nil"/>
              <w:left w:val="nil"/>
              <w:bottom w:val="dashed" w:sz="4" w:space="0" w:color="auto"/>
              <w:right w:val="single" w:sz="8" w:space="0" w:color="auto"/>
            </w:tcBorders>
            <w:shd w:val="clear" w:color="auto" w:fill="auto"/>
            <w:noWrap/>
            <w:vAlign w:val="center"/>
            <w:hideMark/>
          </w:tcPr>
          <w:p w14:paraId="26820B7B" w14:textId="77777777" w:rsidR="0014121B" w:rsidRPr="002A34F0" w:rsidRDefault="0014121B">
            <w:pPr>
              <w:jc w:val="center"/>
              <w:rPr>
                <w:color w:val="000000"/>
                <w:sz w:val="20"/>
                <w:szCs w:val="20"/>
              </w:rPr>
            </w:pPr>
            <w:r w:rsidRPr="002A34F0">
              <w:rPr>
                <w:color w:val="000000"/>
                <w:sz w:val="20"/>
                <w:szCs w:val="20"/>
              </w:rPr>
              <w:t>-18730.41</w:t>
            </w:r>
          </w:p>
        </w:tc>
      </w:tr>
      <w:tr w:rsidR="0014121B" w:rsidRPr="002A34F0" w14:paraId="18F361AC"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09629FA7" w14:textId="77777777" w:rsidR="0014121B" w:rsidRPr="002A34F0" w:rsidRDefault="0014121B">
            <w:pPr>
              <w:ind w:firstLineChars="100" w:firstLine="200"/>
              <w:rPr>
                <w:i/>
                <w:iCs/>
                <w:color w:val="000000"/>
                <w:sz w:val="20"/>
                <w:szCs w:val="20"/>
              </w:rPr>
            </w:pPr>
            <w:r w:rsidRPr="002A34F0">
              <w:rPr>
                <w:i/>
                <w:iCs/>
                <w:color w:val="000000"/>
                <w:sz w:val="20"/>
                <w:szCs w:val="20"/>
              </w:rPr>
              <w:t>Internet</w:t>
            </w:r>
          </w:p>
        </w:tc>
        <w:tc>
          <w:tcPr>
            <w:tcW w:w="875" w:type="dxa"/>
            <w:tcBorders>
              <w:top w:val="nil"/>
              <w:left w:val="nil"/>
              <w:bottom w:val="dashed" w:sz="4" w:space="0" w:color="auto"/>
              <w:right w:val="nil"/>
            </w:tcBorders>
            <w:shd w:val="clear" w:color="auto" w:fill="auto"/>
            <w:noWrap/>
            <w:vAlign w:val="center"/>
            <w:hideMark/>
          </w:tcPr>
          <w:p w14:paraId="27938E3B" w14:textId="77777777" w:rsidR="0014121B" w:rsidRPr="002A34F0" w:rsidRDefault="0014121B">
            <w:pPr>
              <w:jc w:val="center"/>
              <w:rPr>
                <w:color w:val="000000"/>
                <w:sz w:val="20"/>
                <w:szCs w:val="20"/>
              </w:rPr>
            </w:pPr>
            <w:r w:rsidRPr="002A34F0">
              <w:rPr>
                <w:color w:val="000000"/>
                <w:sz w:val="20"/>
                <w:szCs w:val="20"/>
              </w:rPr>
              <w:t>1.523*</w:t>
            </w:r>
          </w:p>
        </w:tc>
        <w:tc>
          <w:tcPr>
            <w:tcW w:w="899" w:type="dxa"/>
            <w:tcBorders>
              <w:top w:val="nil"/>
              <w:left w:val="nil"/>
              <w:bottom w:val="dashed" w:sz="4" w:space="0" w:color="auto"/>
              <w:right w:val="nil"/>
            </w:tcBorders>
            <w:shd w:val="clear" w:color="auto" w:fill="auto"/>
            <w:noWrap/>
            <w:vAlign w:val="center"/>
            <w:hideMark/>
          </w:tcPr>
          <w:p w14:paraId="62C428A0" w14:textId="77777777" w:rsidR="0014121B" w:rsidRPr="002A34F0" w:rsidRDefault="0014121B">
            <w:pPr>
              <w:jc w:val="center"/>
              <w:rPr>
                <w:color w:val="000000"/>
                <w:sz w:val="20"/>
                <w:szCs w:val="20"/>
              </w:rPr>
            </w:pPr>
            <w:r w:rsidRPr="002A34F0">
              <w:rPr>
                <w:color w:val="000000"/>
                <w:sz w:val="20"/>
                <w:szCs w:val="20"/>
              </w:rPr>
              <w:t>-1.77*</w:t>
            </w:r>
          </w:p>
        </w:tc>
        <w:tc>
          <w:tcPr>
            <w:tcW w:w="866" w:type="dxa"/>
            <w:tcBorders>
              <w:top w:val="nil"/>
              <w:left w:val="single" w:sz="4" w:space="0" w:color="auto"/>
              <w:bottom w:val="dashed" w:sz="4" w:space="0" w:color="auto"/>
              <w:right w:val="nil"/>
            </w:tcBorders>
            <w:shd w:val="clear" w:color="auto" w:fill="auto"/>
            <w:noWrap/>
            <w:vAlign w:val="center"/>
            <w:hideMark/>
          </w:tcPr>
          <w:p w14:paraId="1A576F00" w14:textId="77777777" w:rsidR="0014121B" w:rsidRPr="002A34F0" w:rsidRDefault="0014121B">
            <w:pPr>
              <w:jc w:val="center"/>
              <w:rPr>
                <w:color w:val="000000"/>
                <w:sz w:val="20"/>
                <w:szCs w:val="20"/>
              </w:rPr>
            </w:pPr>
            <w:r w:rsidRPr="002A34F0">
              <w:rPr>
                <w:color w:val="000000"/>
                <w:sz w:val="20"/>
                <w:szCs w:val="20"/>
              </w:rPr>
              <w:t>0.155*</w:t>
            </w:r>
          </w:p>
        </w:tc>
        <w:tc>
          <w:tcPr>
            <w:tcW w:w="943" w:type="dxa"/>
            <w:tcBorders>
              <w:top w:val="nil"/>
              <w:left w:val="nil"/>
              <w:bottom w:val="dashed" w:sz="4" w:space="0" w:color="auto"/>
              <w:right w:val="single" w:sz="4" w:space="0" w:color="auto"/>
            </w:tcBorders>
            <w:shd w:val="clear" w:color="auto" w:fill="auto"/>
            <w:noWrap/>
            <w:vAlign w:val="center"/>
            <w:hideMark/>
          </w:tcPr>
          <w:p w14:paraId="274A038E" w14:textId="77777777" w:rsidR="0014121B" w:rsidRPr="002A34F0" w:rsidRDefault="0014121B">
            <w:pPr>
              <w:jc w:val="center"/>
              <w:rPr>
                <w:color w:val="000000"/>
                <w:sz w:val="20"/>
                <w:szCs w:val="20"/>
              </w:rPr>
            </w:pPr>
            <w:r w:rsidRPr="002A34F0">
              <w:rPr>
                <w:color w:val="000000"/>
                <w:sz w:val="20"/>
                <w:szCs w:val="20"/>
              </w:rPr>
              <w:t>0.009</w:t>
            </w:r>
          </w:p>
        </w:tc>
        <w:tc>
          <w:tcPr>
            <w:tcW w:w="1049" w:type="dxa"/>
            <w:tcBorders>
              <w:top w:val="nil"/>
              <w:left w:val="nil"/>
              <w:bottom w:val="dashed" w:sz="4" w:space="0" w:color="auto"/>
              <w:right w:val="nil"/>
            </w:tcBorders>
            <w:shd w:val="clear" w:color="auto" w:fill="auto"/>
            <w:noWrap/>
            <w:vAlign w:val="center"/>
            <w:hideMark/>
          </w:tcPr>
          <w:p w14:paraId="5D772D09" w14:textId="77777777" w:rsidR="0014121B" w:rsidRPr="002A34F0" w:rsidRDefault="0014121B">
            <w:pPr>
              <w:jc w:val="center"/>
              <w:rPr>
                <w:color w:val="000000"/>
                <w:sz w:val="20"/>
                <w:szCs w:val="20"/>
              </w:rPr>
            </w:pPr>
            <w:r w:rsidRPr="002A34F0">
              <w:rPr>
                <w:color w:val="000000"/>
                <w:sz w:val="20"/>
                <w:szCs w:val="20"/>
              </w:rPr>
              <w:t>-0.093*</w:t>
            </w:r>
          </w:p>
        </w:tc>
        <w:tc>
          <w:tcPr>
            <w:tcW w:w="1036" w:type="dxa"/>
            <w:tcBorders>
              <w:top w:val="nil"/>
              <w:left w:val="nil"/>
              <w:bottom w:val="dashed" w:sz="4" w:space="0" w:color="auto"/>
              <w:right w:val="nil"/>
            </w:tcBorders>
            <w:shd w:val="clear" w:color="auto" w:fill="auto"/>
            <w:noWrap/>
            <w:vAlign w:val="center"/>
            <w:hideMark/>
          </w:tcPr>
          <w:p w14:paraId="400792ED" w14:textId="77777777" w:rsidR="0014121B" w:rsidRPr="002A34F0" w:rsidRDefault="0014121B">
            <w:pPr>
              <w:jc w:val="center"/>
              <w:rPr>
                <w:color w:val="000000"/>
                <w:sz w:val="20"/>
                <w:szCs w:val="20"/>
              </w:rPr>
            </w:pPr>
            <w:r w:rsidRPr="002A34F0">
              <w:rPr>
                <w:color w:val="000000"/>
                <w:sz w:val="20"/>
                <w:szCs w:val="20"/>
              </w:rPr>
              <w:t>-0.139*</w:t>
            </w:r>
          </w:p>
        </w:tc>
        <w:tc>
          <w:tcPr>
            <w:tcW w:w="1036" w:type="dxa"/>
            <w:tcBorders>
              <w:top w:val="nil"/>
              <w:left w:val="nil"/>
              <w:bottom w:val="dashed" w:sz="4" w:space="0" w:color="auto"/>
              <w:right w:val="nil"/>
            </w:tcBorders>
            <w:shd w:val="clear" w:color="auto" w:fill="auto"/>
            <w:noWrap/>
            <w:vAlign w:val="center"/>
            <w:hideMark/>
          </w:tcPr>
          <w:p w14:paraId="7D9C7412" w14:textId="77777777" w:rsidR="0014121B" w:rsidRPr="002A34F0" w:rsidRDefault="0014121B">
            <w:pPr>
              <w:jc w:val="center"/>
              <w:rPr>
                <w:color w:val="000000"/>
                <w:sz w:val="20"/>
                <w:szCs w:val="20"/>
              </w:rPr>
            </w:pPr>
            <w:r w:rsidRPr="002A34F0">
              <w:rPr>
                <w:color w:val="000000"/>
                <w:sz w:val="20"/>
                <w:szCs w:val="20"/>
              </w:rPr>
              <w:t>0.278*</w:t>
            </w:r>
          </w:p>
        </w:tc>
        <w:tc>
          <w:tcPr>
            <w:tcW w:w="1072" w:type="dxa"/>
            <w:tcBorders>
              <w:top w:val="nil"/>
              <w:left w:val="nil"/>
              <w:bottom w:val="dashed" w:sz="4" w:space="0" w:color="auto"/>
              <w:right w:val="nil"/>
            </w:tcBorders>
            <w:shd w:val="clear" w:color="auto" w:fill="auto"/>
            <w:noWrap/>
            <w:vAlign w:val="center"/>
            <w:hideMark/>
          </w:tcPr>
          <w:p w14:paraId="761DDEE8" w14:textId="77777777" w:rsidR="0014121B" w:rsidRPr="002A34F0" w:rsidRDefault="0014121B">
            <w:pPr>
              <w:jc w:val="center"/>
              <w:rPr>
                <w:color w:val="000000"/>
                <w:sz w:val="20"/>
                <w:szCs w:val="20"/>
              </w:rPr>
            </w:pPr>
            <w:r w:rsidRPr="002A34F0">
              <w:rPr>
                <w:color w:val="000000"/>
                <w:sz w:val="20"/>
                <w:szCs w:val="20"/>
              </w:rPr>
              <w:t>-0.15*</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72FD5A99" w14:textId="77777777" w:rsidR="0014121B" w:rsidRPr="002A34F0" w:rsidRDefault="0014121B">
            <w:pPr>
              <w:jc w:val="center"/>
              <w:rPr>
                <w:color w:val="000000"/>
                <w:sz w:val="20"/>
                <w:szCs w:val="20"/>
              </w:rPr>
            </w:pPr>
            <w:r w:rsidRPr="002A34F0">
              <w:rPr>
                <w:color w:val="000000"/>
                <w:sz w:val="20"/>
                <w:szCs w:val="20"/>
              </w:rPr>
              <w:t>-2.11*</w:t>
            </w:r>
          </w:p>
        </w:tc>
        <w:tc>
          <w:tcPr>
            <w:tcW w:w="820" w:type="dxa"/>
            <w:tcBorders>
              <w:top w:val="nil"/>
              <w:left w:val="nil"/>
              <w:bottom w:val="dashed" w:sz="4" w:space="0" w:color="auto"/>
              <w:right w:val="nil"/>
            </w:tcBorders>
            <w:shd w:val="clear" w:color="auto" w:fill="auto"/>
            <w:noWrap/>
            <w:vAlign w:val="center"/>
            <w:hideMark/>
          </w:tcPr>
          <w:p w14:paraId="7C898435" w14:textId="77777777" w:rsidR="0014121B" w:rsidRPr="002A34F0" w:rsidRDefault="0014121B">
            <w:pPr>
              <w:jc w:val="center"/>
              <w:rPr>
                <w:color w:val="000000"/>
                <w:sz w:val="20"/>
                <w:szCs w:val="20"/>
              </w:rPr>
            </w:pPr>
            <w:r w:rsidRPr="002A34F0">
              <w:rPr>
                <w:color w:val="000000"/>
                <w:sz w:val="20"/>
                <w:szCs w:val="20"/>
              </w:rPr>
              <w:t>0.550</w:t>
            </w:r>
          </w:p>
        </w:tc>
        <w:tc>
          <w:tcPr>
            <w:tcW w:w="900" w:type="dxa"/>
            <w:tcBorders>
              <w:top w:val="nil"/>
              <w:left w:val="nil"/>
              <w:bottom w:val="dashed" w:sz="4" w:space="0" w:color="auto"/>
              <w:right w:val="nil"/>
            </w:tcBorders>
            <w:shd w:val="clear" w:color="auto" w:fill="auto"/>
            <w:noWrap/>
            <w:vAlign w:val="center"/>
            <w:hideMark/>
          </w:tcPr>
          <w:p w14:paraId="42A1E35C" w14:textId="77777777" w:rsidR="0014121B" w:rsidRPr="002A34F0" w:rsidRDefault="0014121B">
            <w:pPr>
              <w:jc w:val="center"/>
              <w:rPr>
                <w:color w:val="000000"/>
                <w:sz w:val="20"/>
                <w:szCs w:val="20"/>
              </w:rPr>
            </w:pPr>
            <w:r w:rsidRPr="002A34F0">
              <w:rPr>
                <w:color w:val="000000"/>
                <w:sz w:val="20"/>
                <w:szCs w:val="20"/>
              </w:rPr>
              <w:t>-426206</w:t>
            </w:r>
          </w:p>
        </w:tc>
        <w:tc>
          <w:tcPr>
            <w:tcW w:w="1620" w:type="dxa"/>
            <w:tcBorders>
              <w:top w:val="nil"/>
              <w:left w:val="nil"/>
              <w:bottom w:val="dashed" w:sz="4" w:space="0" w:color="auto"/>
              <w:right w:val="single" w:sz="8" w:space="0" w:color="auto"/>
            </w:tcBorders>
            <w:shd w:val="clear" w:color="auto" w:fill="auto"/>
            <w:noWrap/>
            <w:vAlign w:val="center"/>
            <w:hideMark/>
          </w:tcPr>
          <w:p w14:paraId="579C0EDF" w14:textId="77777777" w:rsidR="0014121B" w:rsidRPr="002A34F0" w:rsidRDefault="0014121B">
            <w:pPr>
              <w:jc w:val="center"/>
              <w:rPr>
                <w:color w:val="000000"/>
                <w:sz w:val="20"/>
                <w:szCs w:val="20"/>
              </w:rPr>
            </w:pPr>
            <w:r w:rsidRPr="002A34F0">
              <w:rPr>
                <w:color w:val="000000"/>
                <w:sz w:val="20"/>
                <w:szCs w:val="20"/>
              </w:rPr>
              <w:t>-11216.269</w:t>
            </w:r>
          </w:p>
        </w:tc>
      </w:tr>
      <w:tr w:rsidR="0014121B" w:rsidRPr="002A34F0" w14:paraId="5F42CE95" w14:textId="77777777" w:rsidTr="003A227F">
        <w:trPr>
          <w:trHeight w:val="288"/>
        </w:trPr>
        <w:tc>
          <w:tcPr>
            <w:tcW w:w="1987" w:type="dxa"/>
            <w:tcBorders>
              <w:top w:val="nil"/>
              <w:left w:val="single" w:sz="8" w:space="0" w:color="auto"/>
              <w:bottom w:val="dashed" w:sz="4" w:space="0" w:color="auto"/>
              <w:right w:val="single" w:sz="8" w:space="0" w:color="auto"/>
            </w:tcBorders>
            <w:shd w:val="clear" w:color="auto" w:fill="auto"/>
            <w:noWrap/>
            <w:vAlign w:val="bottom"/>
            <w:hideMark/>
          </w:tcPr>
          <w:p w14:paraId="4BF6C319" w14:textId="77777777" w:rsidR="0014121B" w:rsidRPr="002A34F0" w:rsidRDefault="0014121B">
            <w:pPr>
              <w:ind w:firstLineChars="100" w:firstLine="200"/>
              <w:rPr>
                <w:i/>
                <w:iCs/>
                <w:color w:val="000000"/>
                <w:sz w:val="20"/>
                <w:szCs w:val="20"/>
              </w:rPr>
            </w:pPr>
            <w:r w:rsidRPr="002A34F0">
              <w:rPr>
                <w:i/>
                <w:iCs/>
                <w:color w:val="000000"/>
                <w:sz w:val="20"/>
                <w:szCs w:val="20"/>
              </w:rPr>
              <w:t>Desktops</w:t>
            </w:r>
          </w:p>
        </w:tc>
        <w:tc>
          <w:tcPr>
            <w:tcW w:w="875" w:type="dxa"/>
            <w:tcBorders>
              <w:top w:val="nil"/>
              <w:left w:val="nil"/>
              <w:bottom w:val="dashed" w:sz="4" w:space="0" w:color="auto"/>
              <w:right w:val="nil"/>
            </w:tcBorders>
            <w:shd w:val="clear" w:color="auto" w:fill="auto"/>
            <w:noWrap/>
            <w:vAlign w:val="center"/>
            <w:hideMark/>
          </w:tcPr>
          <w:p w14:paraId="54A77816" w14:textId="77777777" w:rsidR="0014121B" w:rsidRPr="002A34F0" w:rsidRDefault="0014121B">
            <w:pPr>
              <w:jc w:val="center"/>
              <w:rPr>
                <w:color w:val="000000"/>
                <w:sz w:val="20"/>
                <w:szCs w:val="20"/>
              </w:rPr>
            </w:pPr>
            <w:r w:rsidRPr="002A34F0">
              <w:rPr>
                <w:color w:val="000000"/>
                <w:sz w:val="20"/>
                <w:szCs w:val="20"/>
              </w:rPr>
              <w:t>2.381*</w:t>
            </w:r>
          </w:p>
        </w:tc>
        <w:tc>
          <w:tcPr>
            <w:tcW w:w="899" w:type="dxa"/>
            <w:tcBorders>
              <w:top w:val="nil"/>
              <w:left w:val="nil"/>
              <w:bottom w:val="dashed" w:sz="4" w:space="0" w:color="auto"/>
              <w:right w:val="nil"/>
            </w:tcBorders>
            <w:shd w:val="clear" w:color="auto" w:fill="auto"/>
            <w:noWrap/>
            <w:vAlign w:val="center"/>
            <w:hideMark/>
          </w:tcPr>
          <w:p w14:paraId="37B6D44F" w14:textId="77777777" w:rsidR="0014121B" w:rsidRPr="002A34F0" w:rsidRDefault="0014121B">
            <w:pPr>
              <w:jc w:val="center"/>
              <w:rPr>
                <w:color w:val="000000"/>
                <w:sz w:val="20"/>
                <w:szCs w:val="20"/>
              </w:rPr>
            </w:pPr>
            <w:r w:rsidRPr="002A34F0">
              <w:rPr>
                <w:color w:val="000000"/>
                <w:sz w:val="20"/>
                <w:szCs w:val="20"/>
              </w:rPr>
              <w:t>-2.569*</w:t>
            </w:r>
          </w:p>
        </w:tc>
        <w:tc>
          <w:tcPr>
            <w:tcW w:w="866" w:type="dxa"/>
            <w:tcBorders>
              <w:top w:val="nil"/>
              <w:left w:val="single" w:sz="4" w:space="0" w:color="auto"/>
              <w:bottom w:val="dashed" w:sz="4" w:space="0" w:color="auto"/>
              <w:right w:val="nil"/>
            </w:tcBorders>
            <w:shd w:val="clear" w:color="auto" w:fill="auto"/>
            <w:noWrap/>
            <w:vAlign w:val="center"/>
            <w:hideMark/>
          </w:tcPr>
          <w:p w14:paraId="7BFBBF40" w14:textId="77777777" w:rsidR="0014121B" w:rsidRPr="002A34F0" w:rsidRDefault="0014121B">
            <w:pPr>
              <w:jc w:val="center"/>
              <w:rPr>
                <w:color w:val="000000"/>
                <w:sz w:val="20"/>
                <w:szCs w:val="20"/>
              </w:rPr>
            </w:pPr>
            <w:r w:rsidRPr="002A34F0">
              <w:rPr>
                <w:color w:val="000000"/>
                <w:sz w:val="20"/>
                <w:szCs w:val="20"/>
              </w:rPr>
              <w:t>0.111*</w:t>
            </w:r>
          </w:p>
        </w:tc>
        <w:tc>
          <w:tcPr>
            <w:tcW w:w="943" w:type="dxa"/>
            <w:tcBorders>
              <w:top w:val="nil"/>
              <w:left w:val="nil"/>
              <w:bottom w:val="dashed" w:sz="4" w:space="0" w:color="auto"/>
              <w:right w:val="single" w:sz="4" w:space="0" w:color="auto"/>
            </w:tcBorders>
            <w:shd w:val="clear" w:color="auto" w:fill="auto"/>
            <w:noWrap/>
            <w:vAlign w:val="center"/>
            <w:hideMark/>
          </w:tcPr>
          <w:p w14:paraId="03E4F151" w14:textId="77777777" w:rsidR="0014121B" w:rsidRPr="002A34F0" w:rsidRDefault="0014121B">
            <w:pPr>
              <w:jc w:val="center"/>
              <w:rPr>
                <w:color w:val="000000"/>
                <w:sz w:val="20"/>
                <w:szCs w:val="20"/>
              </w:rPr>
            </w:pPr>
            <w:r w:rsidRPr="002A34F0">
              <w:rPr>
                <w:color w:val="000000"/>
                <w:sz w:val="20"/>
                <w:szCs w:val="20"/>
              </w:rPr>
              <w:t>-0.093*</w:t>
            </w:r>
          </w:p>
        </w:tc>
        <w:tc>
          <w:tcPr>
            <w:tcW w:w="1049" w:type="dxa"/>
            <w:tcBorders>
              <w:top w:val="nil"/>
              <w:left w:val="nil"/>
              <w:bottom w:val="dashed" w:sz="4" w:space="0" w:color="auto"/>
              <w:right w:val="nil"/>
            </w:tcBorders>
            <w:shd w:val="clear" w:color="auto" w:fill="auto"/>
            <w:noWrap/>
            <w:vAlign w:val="center"/>
            <w:hideMark/>
          </w:tcPr>
          <w:p w14:paraId="010A55AB" w14:textId="77777777" w:rsidR="0014121B" w:rsidRPr="002A34F0" w:rsidRDefault="0014121B">
            <w:pPr>
              <w:jc w:val="center"/>
              <w:rPr>
                <w:color w:val="000000"/>
                <w:sz w:val="20"/>
                <w:szCs w:val="20"/>
              </w:rPr>
            </w:pPr>
            <w:r w:rsidRPr="002A34F0">
              <w:rPr>
                <w:color w:val="000000"/>
                <w:sz w:val="20"/>
                <w:szCs w:val="20"/>
              </w:rPr>
              <w:t>0.079*</w:t>
            </w:r>
          </w:p>
        </w:tc>
        <w:tc>
          <w:tcPr>
            <w:tcW w:w="1036" w:type="dxa"/>
            <w:tcBorders>
              <w:top w:val="nil"/>
              <w:left w:val="nil"/>
              <w:bottom w:val="dashed" w:sz="4" w:space="0" w:color="auto"/>
              <w:right w:val="nil"/>
            </w:tcBorders>
            <w:shd w:val="clear" w:color="auto" w:fill="auto"/>
            <w:noWrap/>
            <w:vAlign w:val="center"/>
            <w:hideMark/>
          </w:tcPr>
          <w:p w14:paraId="04853F2A" w14:textId="77777777" w:rsidR="0014121B" w:rsidRPr="002A34F0" w:rsidRDefault="0014121B">
            <w:pPr>
              <w:jc w:val="center"/>
              <w:rPr>
                <w:color w:val="000000"/>
                <w:sz w:val="20"/>
                <w:szCs w:val="20"/>
              </w:rPr>
            </w:pPr>
            <w:r w:rsidRPr="002A34F0">
              <w:rPr>
                <w:color w:val="000000"/>
                <w:sz w:val="20"/>
                <w:szCs w:val="20"/>
              </w:rPr>
              <w:t>-0.227*</w:t>
            </w:r>
          </w:p>
        </w:tc>
        <w:tc>
          <w:tcPr>
            <w:tcW w:w="1036" w:type="dxa"/>
            <w:tcBorders>
              <w:top w:val="nil"/>
              <w:left w:val="nil"/>
              <w:bottom w:val="dashed" w:sz="4" w:space="0" w:color="auto"/>
              <w:right w:val="nil"/>
            </w:tcBorders>
            <w:shd w:val="clear" w:color="auto" w:fill="auto"/>
            <w:noWrap/>
            <w:vAlign w:val="center"/>
            <w:hideMark/>
          </w:tcPr>
          <w:p w14:paraId="06D4F106" w14:textId="77777777" w:rsidR="0014121B" w:rsidRPr="002A34F0" w:rsidRDefault="0014121B">
            <w:pPr>
              <w:jc w:val="center"/>
              <w:rPr>
                <w:color w:val="000000"/>
                <w:sz w:val="20"/>
                <w:szCs w:val="20"/>
              </w:rPr>
            </w:pPr>
            <w:r w:rsidRPr="002A34F0">
              <w:rPr>
                <w:color w:val="000000"/>
                <w:sz w:val="20"/>
                <w:szCs w:val="20"/>
              </w:rPr>
              <w:t>0.287</w:t>
            </w:r>
          </w:p>
        </w:tc>
        <w:tc>
          <w:tcPr>
            <w:tcW w:w="1072" w:type="dxa"/>
            <w:tcBorders>
              <w:top w:val="nil"/>
              <w:left w:val="nil"/>
              <w:bottom w:val="dashed" w:sz="4" w:space="0" w:color="auto"/>
              <w:right w:val="nil"/>
            </w:tcBorders>
            <w:shd w:val="clear" w:color="auto" w:fill="auto"/>
            <w:noWrap/>
            <w:vAlign w:val="center"/>
            <w:hideMark/>
          </w:tcPr>
          <w:p w14:paraId="322F2C16" w14:textId="77777777" w:rsidR="0014121B" w:rsidRPr="002A34F0" w:rsidRDefault="0014121B">
            <w:pPr>
              <w:jc w:val="center"/>
              <w:rPr>
                <w:color w:val="000000"/>
                <w:sz w:val="20"/>
                <w:szCs w:val="20"/>
              </w:rPr>
            </w:pPr>
            <w:r w:rsidRPr="002A34F0">
              <w:rPr>
                <w:color w:val="000000"/>
                <w:sz w:val="20"/>
                <w:szCs w:val="20"/>
              </w:rPr>
              <w:t>0.179</w:t>
            </w:r>
          </w:p>
        </w:tc>
        <w:tc>
          <w:tcPr>
            <w:tcW w:w="927" w:type="dxa"/>
            <w:tcBorders>
              <w:top w:val="nil"/>
              <w:left w:val="single" w:sz="4" w:space="0" w:color="auto"/>
              <w:bottom w:val="dashed" w:sz="4" w:space="0" w:color="auto"/>
              <w:right w:val="single" w:sz="4" w:space="0" w:color="auto"/>
            </w:tcBorders>
            <w:shd w:val="clear" w:color="auto" w:fill="auto"/>
            <w:noWrap/>
            <w:vAlign w:val="center"/>
            <w:hideMark/>
          </w:tcPr>
          <w:p w14:paraId="56BB0557" w14:textId="77777777" w:rsidR="0014121B" w:rsidRPr="002A34F0" w:rsidRDefault="0014121B">
            <w:pPr>
              <w:jc w:val="center"/>
              <w:rPr>
                <w:color w:val="000000"/>
                <w:sz w:val="20"/>
                <w:szCs w:val="20"/>
              </w:rPr>
            </w:pPr>
            <w:r w:rsidRPr="002A34F0">
              <w:rPr>
                <w:color w:val="000000"/>
                <w:sz w:val="20"/>
                <w:szCs w:val="20"/>
              </w:rPr>
              <w:t>-2.256</w:t>
            </w:r>
          </w:p>
        </w:tc>
        <w:tc>
          <w:tcPr>
            <w:tcW w:w="820" w:type="dxa"/>
            <w:tcBorders>
              <w:top w:val="nil"/>
              <w:left w:val="nil"/>
              <w:bottom w:val="dashed" w:sz="4" w:space="0" w:color="auto"/>
              <w:right w:val="nil"/>
            </w:tcBorders>
            <w:shd w:val="clear" w:color="auto" w:fill="auto"/>
            <w:noWrap/>
            <w:vAlign w:val="center"/>
            <w:hideMark/>
          </w:tcPr>
          <w:p w14:paraId="5FC8B33E" w14:textId="77777777" w:rsidR="0014121B" w:rsidRPr="002A34F0" w:rsidRDefault="0014121B">
            <w:pPr>
              <w:jc w:val="center"/>
              <w:rPr>
                <w:color w:val="000000"/>
                <w:sz w:val="20"/>
                <w:szCs w:val="20"/>
              </w:rPr>
            </w:pPr>
            <w:r w:rsidRPr="002A34F0">
              <w:rPr>
                <w:color w:val="000000"/>
                <w:sz w:val="20"/>
                <w:szCs w:val="20"/>
              </w:rPr>
              <w:t>0.537</w:t>
            </w:r>
          </w:p>
        </w:tc>
        <w:tc>
          <w:tcPr>
            <w:tcW w:w="900" w:type="dxa"/>
            <w:tcBorders>
              <w:top w:val="nil"/>
              <w:left w:val="nil"/>
              <w:bottom w:val="dashed" w:sz="4" w:space="0" w:color="auto"/>
              <w:right w:val="nil"/>
            </w:tcBorders>
            <w:shd w:val="clear" w:color="auto" w:fill="auto"/>
            <w:noWrap/>
            <w:vAlign w:val="center"/>
            <w:hideMark/>
          </w:tcPr>
          <w:p w14:paraId="31914D28" w14:textId="77777777" w:rsidR="0014121B" w:rsidRPr="002A34F0" w:rsidRDefault="0014121B">
            <w:pPr>
              <w:jc w:val="center"/>
              <w:rPr>
                <w:color w:val="000000"/>
                <w:sz w:val="20"/>
                <w:szCs w:val="20"/>
              </w:rPr>
            </w:pPr>
            <w:r w:rsidRPr="002A34F0">
              <w:rPr>
                <w:color w:val="000000"/>
                <w:sz w:val="20"/>
                <w:szCs w:val="20"/>
              </w:rPr>
              <w:t>-422470</w:t>
            </w:r>
          </w:p>
        </w:tc>
        <w:tc>
          <w:tcPr>
            <w:tcW w:w="1620" w:type="dxa"/>
            <w:tcBorders>
              <w:top w:val="nil"/>
              <w:left w:val="nil"/>
              <w:bottom w:val="dashed" w:sz="4" w:space="0" w:color="auto"/>
              <w:right w:val="single" w:sz="8" w:space="0" w:color="auto"/>
            </w:tcBorders>
            <w:shd w:val="clear" w:color="auto" w:fill="auto"/>
            <w:noWrap/>
            <w:vAlign w:val="center"/>
            <w:hideMark/>
          </w:tcPr>
          <w:p w14:paraId="2E49C622" w14:textId="77777777" w:rsidR="0014121B" w:rsidRPr="002A34F0" w:rsidRDefault="0014121B">
            <w:pPr>
              <w:jc w:val="center"/>
              <w:rPr>
                <w:color w:val="000000"/>
                <w:sz w:val="20"/>
                <w:szCs w:val="20"/>
              </w:rPr>
            </w:pPr>
            <w:r w:rsidRPr="002A34F0">
              <w:rPr>
                <w:color w:val="000000"/>
                <w:sz w:val="20"/>
                <w:szCs w:val="20"/>
              </w:rPr>
              <w:t>-10938.709</w:t>
            </w:r>
          </w:p>
        </w:tc>
      </w:tr>
      <w:tr w:rsidR="0014121B" w:rsidRPr="002A34F0" w14:paraId="43FB43AE" w14:textId="77777777" w:rsidTr="003A227F">
        <w:trPr>
          <w:trHeight w:val="300"/>
        </w:trPr>
        <w:tc>
          <w:tcPr>
            <w:tcW w:w="1987" w:type="dxa"/>
            <w:tcBorders>
              <w:top w:val="nil"/>
              <w:left w:val="single" w:sz="8" w:space="0" w:color="auto"/>
              <w:bottom w:val="single" w:sz="8" w:space="0" w:color="auto"/>
              <w:right w:val="single" w:sz="8" w:space="0" w:color="auto"/>
            </w:tcBorders>
            <w:shd w:val="clear" w:color="auto" w:fill="auto"/>
            <w:noWrap/>
            <w:vAlign w:val="bottom"/>
            <w:hideMark/>
          </w:tcPr>
          <w:p w14:paraId="20FC07DE" w14:textId="77777777" w:rsidR="0014121B" w:rsidRPr="002A34F0" w:rsidRDefault="0014121B">
            <w:pPr>
              <w:ind w:firstLineChars="100" w:firstLine="200"/>
              <w:rPr>
                <w:i/>
                <w:iCs/>
                <w:color w:val="000000"/>
                <w:sz w:val="20"/>
                <w:szCs w:val="20"/>
              </w:rPr>
            </w:pPr>
            <w:r w:rsidRPr="002A34F0">
              <w:rPr>
                <w:i/>
                <w:iCs/>
                <w:color w:val="000000"/>
                <w:sz w:val="20"/>
                <w:szCs w:val="20"/>
              </w:rPr>
              <w:t>Phone line</w:t>
            </w:r>
          </w:p>
        </w:tc>
        <w:tc>
          <w:tcPr>
            <w:tcW w:w="875" w:type="dxa"/>
            <w:tcBorders>
              <w:top w:val="nil"/>
              <w:left w:val="nil"/>
              <w:bottom w:val="single" w:sz="12" w:space="0" w:color="auto"/>
              <w:right w:val="nil"/>
            </w:tcBorders>
            <w:shd w:val="clear" w:color="auto" w:fill="auto"/>
            <w:noWrap/>
            <w:vAlign w:val="center"/>
            <w:hideMark/>
          </w:tcPr>
          <w:p w14:paraId="7FC68C09" w14:textId="77777777" w:rsidR="0014121B" w:rsidRPr="002A34F0" w:rsidRDefault="0014121B">
            <w:pPr>
              <w:jc w:val="center"/>
              <w:rPr>
                <w:color w:val="000000"/>
                <w:sz w:val="20"/>
                <w:szCs w:val="20"/>
              </w:rPr>
            </w:pPr>
            <w:r w:rsidRPr="002A34F0">
              <w:rPr>
                <w:color w:val="000000"/>
                <w:sz w:val="20"/>
                <w:szCs w:val="20"/>
              </w:rPr>
              <w:t>1.989*</w:t>
            </w:r>
          </w:p>
        </w:tc>
        <w:tc>
          <w:tcPr>
            <w:tcW w:w="899" w:type="dxa"/>
            <w:tcBorders>
              <w:top w:val="nil"/>
              <w:left w:val="nil"/>
              <w:bottom w:val="single" w:sz="12" w:space="0" w:color="auto"/>
              <w:right w:val="nil"/>
            </w:tcBorders>
            <w:shd w:val="clear" w:color="auto" w:fill="auto"/>
            <w:noWrap/>
            <w:vAlign w:val="center"/>
            <w:hideMark/>
          </w:tcPr>
          <w:p w14:paraId="7EF744E7" w14:textId="77777777" w:rsidR="0014121B" w:rsidRPr="002A34F0" w:rsidRDefault="0014121B">
            <w:pPr>
              <w:jc w:val="center"/>
              <w:rPr>
                <w:color w:val="000000"/>
                <w:sz w:val="20"/>
                <w:szCs w:val="20"/>
              </w:rPr>
            </w:pPr>
            <w:r w:rsidRPr="002A34F0">
              <w:rPr>
                <w:color w:val="000000"/>
                <w:sz w:val="20"/>
                <w:szCs w:val="20"/>
              </w:rPr>
              <w:t>-0.991*</w:t>
            </w:r>
          </w:p>
        </w:tc>
        <w:tc>
          <w:tcPr>
            <w:tcW w:w="866" w:type="dxa"/>
            <w:tcBorders>
              <w:top w:val="nil"/>
              <w:left w:val="single" w:sz="4" w:space="0" w:color="auto"/>
              <w:bottom w:val="single" w:sz="12" w:space="0" w:color="auto"/>
              <w:right w:val="nil"/>
            </w:tcBorders>
            <w:shd w:val="clear" w:color="auto" w:fill="auto"/>
            <w:noWrap/>
            <w:vAlign w:val="center"/>
            <w:hideMark/>
          </w:tcPr>
          <w:p w14:paraId="6F1B5A0F" w14:textId="77777777" w:rsidR="0014121B" w:rsidRPr="002A34F0" w:rsidRDefault="0014121B">
            <w:pPr>
              <w:jc w:val="center"/>
              <w:rPr>
                <w:color w:val="000000"/>
                <w:sz w:val="20"/>
                <w:szCs w:val="20"/>
              </w:rPr>
            </w:pPr>
            <w:r w:rsidRPr="002A34F0">
              <w:rPr>
                <w:color w:val="000000"/>
                <w:sz w:val="20"/>
                <w:szCs w:val="20"/>
              </w:rPr>
              <w:t>0.820*</w:t>
            </w:r>
          </w:p>
        </w:tc>
        <w:tc>
          <w:tcPr>
            <w:tcW w:w="943" w:type="dxa"/>
            <w:tcBorders>
              <w:top w:val="nil"/>
              <w:left w:val="nil"/>
              <w:bottom w:val="single" w:sz="12" w:space="0" w:color="auto"/>
              <w:right w:val="single" w:sz="4" w:space="0" w:color="auto"/>
            </w:tcBorders>
            <w:shd w:val="clear" w:color="auto" w:fill="auto"/>
            <w:noWrap/>
            <w:vAlign w:val="center"/>
            <w:hideMark/>
          </w:tcPr>
          <w:p w14:paraId="075AF34E" w14:textId="77777777" w:rsidR="0014121B" w:rsidRPr="002A34F0" w:rsidRDefault="0014121B">
            <w:pPr>
              <w:jc w:val="center"/>
              <w:rPr>
                <w:color w:val="000000"/>
                <w:sz w:val="20"/>
                <w:szCs w:val="20"/>
              </w:rPr>
            </w:pPr>
            <w:r w:rsidRPr="002A34F0">
              <w:rPr>
                <w:color w:val="000000"/>
                <w:sz w:val="20"/>
                <w:szCs w:val="20"/>
              </w:rPr>
              <w:t>-0.183*</w:t>
            </w:r>
          </w:p>
        </w:tc>
        <w:tc>
          <w:tcPr>
            <w:tcW w:w="1049" w:type="dxa"/>
            <w:tcBorders>
              <w:top w:val="nil"/>
              <w:left w:val="nil"/>
              <w:bottom w:val="single" w:sz="12" w:space="0" w:color="auto"/>
              <w:right w:val="nil"/>
            </w:tcBorders>
            <w:shd w:val="clear" w:color="auto" w:fill="auto"/>
            <w:noWrap/>
            <w:vAlign w:val="center"/>
            <w:hideMark/>
          </w:tcPr>
          <w:p w14:paraId="4734A292" w14:textId="77777777" w:rsidR="0014121B" w:rsidRPr="002A34F0" w:rsidRDefault="0014121B">
            <w:pPr>
              <w:jc w:val="center"/>
              <w:rPr>
                <w:color w:val="000000"/>
                <w:sz w:val="20"/>
                <w:szCs w:val="20"/>
              </w:rPr>
            </w:pPr>
            <w:r w:rsidRPr="002A34F0">
              <w:rPr>
                <w:color w:val="000000"/>
                <w:sz w:val="20"/>
                <w:szCs w:val="20"/>
              </w:rPr>
              <w:t>-0.274*</w:t>
            </w:r>
          </w:p>
        </w:tc>
        <w:tc>
          <w:tcPr>
            <w:tcW w:w="1036" w:type="dxa"/>
            <w:tcBorders>
              <w:top w:val="nil"/>
              <w:left w:val="nil"/>
              <w:bottom w:val="single" w:sz="12" w:space="0" w:color="auto"/>
              <w:right w:val="nil"/>
            </w:tcBorders>
            <w:shd w:val="clear" w:color="auto" w:fill="auto"/>
            <w:noWrap/>
            <w:vAlign w:val="center"/>
            <w:hideMark/>
          </w:tcPr>
          <w:p w14:paraId="494D8D76" w14:textId="77777777" w:rsidR="0014121B" w:rsidRPr="002A34F0" w:rsidRDefault="0014121B">
            <w:pPr>
              <w:jc w:val="center"/>
              <w:rPr>
                <w:color w:val="000000"/>
                <w:sz w:val="20"/>
                <w:szCs w:val="20"/>
              </w:rPr>
            </w:pPr>
            <w:r w:rsidRPr="002A34F0">
              <w:rPr>
                <w:color w:val="000000"/>
                <w:sz w:val="20"/>
                <w:szCs w:val="20"/>
              </w:rPr>
              <w:t>-0.119</w:t>
            </w:r>
          </w:p>
        </w:tc>
        <w:tc>
          <w:tcPr>
            <w:tcW w:w="1036" w:type="dxa"/>
            <w:tcBorders>
              <w:top w:val="nil"/>
              <w:left w:val="nil"/>
              <w:bottom w:val="single" w:sz="12" w:space="0" w:color="auto"/>
              <w:right w:val="nil"/>
            </w:tcBorders>
            <w:shd w:val="clear" w:color="auto" w:fill="auto"/>
            <w:noWrap/>
            <w:vAlign w:val="center"/>
            <w:hideMark/>
          </w:tcPr>
          <w:p w14:paraId="3F38BA37" w14:textId="77777777" w:rsidR="0014121B" w:rsidRPr="002A34F0" w:rsidRDefault="0014121B">
            <w:pPr>
              <w:jc w:val="center"/>
              <w:rPr>
                <w:color w:val="000000"/>
                <w:sz w:val="20"/>
                <w:szCs w:val="20"/>
              </w:rPr>
            </w:pPr>
            <w:r w:rsidRPr="002A34F0">
              <w:rPr>
                <w:color w:val="000000"/>
                <w:sz w:val="20"/>
                <w:szCs w:val="20"/>
              </w:rPr>
              <w:t>0.168</w:t>
            </w:r>
          </w:p>
        </w:tc>
        <w:tc>
          <w:tcPr>
            <w:tcW w:w="1072" w:type="dxa"/>
            <w:tcBorders>
              <w:top w:val="nil"/>
              <w:left w:val="nil"/>
              <w:bottom w:val="single" w:sz="12" w:space="0" w:color="auto"/>
              <w:right w:val="nil"/>
            </w:tcBorders>
            <w:shd w:val="clear" w:color="auto" w:fill="auto"/>
            <w:noWrap/>
            <w:vAlign w:val="center"/>
            <w:hideMark/>
          </w:tcPr>
          <w:p w14:paraId="7E4C9B5B" w14:textId="77777777" w:rsidR="0014121B" w:rsidRPr="002A34F0" w:rsidRDefault="0014121B">
            <w:pPr>
              <w:jc w:val="center"/>
              <w:rPr>
                <w:color w:val="000000"/>
                <w:sz w:val="20"/>
                <w:szCs w:val="20"/>
              </w:rPr>
            </w:pPr>
            <w:r w:rsidRPr="002A34F0">
              <w:rPr>
                <w:color w:val="000000"/>
                <w:sz w:val="20"/>
                <w:szCs w:val="20"/>
              </w:rPr>
              <w:t>-0.032</w:t>
            </w:r>
          </w:p>
        </w:tc>
        <w:tc>
          <w:tcPr>
            <w:tcW w:w="927" w:type="dxa"/>
            <w:tcBorders>
              <w:top w:val="nil"/>
              <w:left w:val="single" w:sz="4" w:space="0" w:color="auto"/>
              <w:bottom w:val="single" w:sz="12" w:space="0" w:color="auto"/>
              <w:right w:val="single" w:sz="4" w:space="0" w:color="auto"/>
            </w:tcBorders>
            <w:shd w:val="clear" w:color="auto" w:fill="auto"/>
            <w:noWrap/>
            <w:vAlign w:val="center"/>
            <w:hideMark/>
          </w:tcPr>
          <w:p w14:paraId="5BF0E7EB" w14:textId="77777777" w:rsidR="0014121B" w:rsidRPr="002A34F0" w:rsidRDefault="0014121B">
            <w:pPr>
              <w:jc w:val="center"/>
              <w:rPr>
                <w:color w:val="000000"/>
                <w:sz w:val="20"/>
                <w:szCs w:val="20"/>
              </w:rPr>
            </w:pPr>
            <w:r w:rsidRPr="002A34F0">
              <w:rPr>
                <w:color w:val="000000"/>
                <w:sz w:val="20"/>
                <w:szCs w:val="20"/>
              </w:rPr>
              <w:t>-3.863*</w:t>
            </w:r>
          </w:p>
        </w:tc>
        <w:tc>
          <w:tcPr>
            <w:tcW w:w="820" w:type="dxa"/>
            <w:tcBorders>
              <w:top w:val="nil"/>
              <w:left w:val="nil"/>
              <w:bottom w:val="single" w:sz="12" w:space="0" w:color="auto"/>
              <w:right w:val="nil"/>
            </w:tcBorders>
            <w:shd w:val="clear" w:color="auto" w:fill="auto"/>
            <w:noWrap/>
            <w:vAlign w:val="center"/>
            <w:hideMark/>
          </w:tcPr>
          <w:p w14:paraId="43FE17EF" w14:textId="77777777" w:rsidR="0014121B" w:rsidRPr="002A34F0" w:rsidRDefault="0014121B">
            <w:pPr>
              <w:jc w:val="center"/>
              <w:rPr>
                <w:color w:val="000000"/>
                <w:sz w:val="20"/>
                <w:szCs w:val="20"/>
              </w:rPr>
            </w:pPr>
            <w:r w:rsidRPr="002A34F0">
              <w:rPr>
                <w:color w:val="000000"/>
                <w:sz w:val="20"/>
                <w:szCs w:val="20"/>
              </w:rPr>
              <w:t>0.278</w:t>
            </w:r>
          </w:p>
        </w:tc>
        <w:tc>
          <w:tcPr>
            <w:tcW w:w="900" w:type="dxa"/>
            <w:tcBorders>
              <w:top w:val="nil"/>
              <w:left w:val="nil"/>
              <w:bottom w:val="single" w:sz="12" w:space="0" w:color="auto"/>
              <w:right w:val="nil"/>
            </w:tcBorders>
            <w:shd w:val="clear" w:color="auto" w:fill="auto"/>
            <w:noWrap/>
            <w:vAlign w:val="center"/>
            <w:hideMark/>
          </w:tcPr>
          <w:p w14:paraId="05E90571" w14:textId="77777777" w:rsidR="0014121B" w:rsidRPr="002A34F0" w:rsidRDefault="0014121B">
            <w:pPr>
              <w:jc w:val="center"/>
              <w:rPr>
                <w:color w:val="000000"/>
                <w:sz w:val="20"/>
                <w:szCs w:val="20"/>
              </w:rPr>
            </w:pPr>
            <w:r w:rsidRPr="002A34F0">
              <w:rPr>
                <w:color w:val="000000"/>
                <w:sz w:val="20"/>
                <w:szCs w:val="20"/>
              </w:rPr>
              <w:t>-426849</w:t>
            </w:r>
          </w:p>
        </w:tc>
        <w:tc>
          <w:tcPr>
            <w:tcW w:w="1620" w:type="dxa"/>
            <w:tcBorders>
              <w:top w:val="nil"/>
              <w:left w:val="nil"/>
              <w:bottom w:val="single" w:sz="12" w:space="0" w:color="auto"/>
              <w:right w:val="single" w:sz="8" w:space="0" w:color="auto"/>
            </w:tcBorders>
            <w:shd w:val="clear" w:color="auto" w:fill="auto"/>
            <w:noWrap/>
            <w:vAlign w:val="center"/>
            <w:hideMark/>
          </w:tcPr>
          <w:p w14:paraId="57827CD1" w14:textId="77777777" w:rsidR="0014121B" w:rsidRPr="002A34F0" w:rsidRDefault="0014121B">
            <w:pPr>
              <w:jc w:val="center"/>
              <w:rPr>
                <w:color w:val="000000"/>
                <w:sz w:val="20"/>
                <w:szCs w:val="20"/>
              </w:rPr>
            </w:pPr>
            <w:r w:rsidRPr="002A34F0">
              <w:rPr>
                <w:color w:val="000000"/>
                <w:sz w:val="20"/>
                <w:szCs w:val="20"/>
              </w:rPr>
              <w:t>-5655.583</w:t>
            </w:r>
          </w:p>
        </w:tc>
      </w:tr>
      <w:tr w:rsidR="0014121B" w:rsidRPr="002A34F0" w14:paraId="50567020" w14:textId="77777777" w:rsidTr="003A227F">
        <w:trPr>
          <w:trHeight w:val="288"/>
        </w:trPr>
        <w:tc>
          <w:tcPr>
            <w:tcW w:w="4627" w:type="dxa"/>
            <w:gridSpan w:val="4"/>
            <w:tcBorders>
              <w:top w:val="nil"/>
              <w:left w:val="single" w:sz="8" w:space="0" w:color="auto"/>
              <w:bottom w:val="nil"/>
              <w:right w:val="nil"/>
            </w:tcBorders>
            <w:shd w:val="clear" w:color="auto" w:fill="auto"/>
            <w:noWrap/>
            <w:vAlign w:val="bottom"/>
            <w:hideMark/>
          </w:tcPr>
          <w:p w14:paraId="19603751" w14:textId="77777777" w:rsidR="0014121B" w:rsidRPr="002A34F0" w:rsidRDefault="0014121B">
            <w:pPr>
              <w:ind w:firstLineChars="100" w:firstLine="200"/>
              <w:rPr>
                <w:i/>
                <w:iCs/>
                <w:color w:val="000000"/>
                <w:sz w:val="20"/>
                <w:szCs w:val="20"/>
              </w:rPr>
            </w:pPr>
            <w:r w:rsidRPr="002A34F0">
              <w:rPr>
                <w:i/>
                <w:iCs/>
                <w:color w:val="000000"/>
                <w:sz w:val="20"/>
                <w:szCs w:val="20"/>
              </w:rPr>
              <w:t>* denotes statistical significance at the .05 level</w:t>
            </w:r>
          </w:p>
        </w:tc>
        <w:tc>
          <w:tcPr>
            <w:tcW w:w="943" w:type="dxa"/>
            <w:tcBorders>
              <w:top w:val="nil"/>
              <w:left w:val="nil"/>
              <w:bottom w:val="nil"/>
              <w:right w:val="nil"/>
            </w:tcBorders>
            <w:shd w:val="clear" w:color="auto" w:fill="auto"/>
            <w:noWrap/>
            <w:vAlign w:val="bottom"/>
            <w:hideMark/>
          </w:tcPr>
          <w:p w14:paraId="1B36CE62" w14:textId="77777777" w:rsidR="0014121B" w:rsidRPr="002A34F0" w:rsidRDefault="0014121B">
            <w:pPr>
              <w:ind w:firstLineChars="100" w:firstLine="200"/>
              <w:rPr>
                <w:i/>
                <w:iCs/>
                <w:color w:val="000000"/>
                <w:sz w:val="20"/>
                <w:szCs w:val="20"/>
              </w:rPr>
            </w:pPr>
          </w:p>
        </w:tc>
        <w:tc>
          <w:tcPr>
            <w:tcW w:w="1049" w:type="dxa"/>
            <w:tcBorders>
              <w:top w:val="nil"/>
              <w:left w:val="nil"/>
              <w:bottom w:val="nil"/>
              <w:right w:val="nil"/>
            </w:tcBorders>
            <w:shd w:val="clear" w:color="auto" w:fill="auto"/>
            <w:noWrap/>
            <w:vAlign w:val="bottom"/>
            <w:hideMark/>
          </w:tcPr>
          <w:p w14:paraId="209842AC" w14:textId="77777777" w:rsidR="0014121B" w:rsidRPr="002A34F0" w:rsidRDefault="0014121B">
            <w:pPr>
              <w:rPr>
                <w:sz w:val="20"/>
                <w:szCs w:val="20"/>
              </w:rPr>
            </w:pPr>
          </w:p>
        </w:tc>
        <w:tc>
          <w:tcPr>
            <w:tcW w:w="1036" w:type="dxa"/>
            <w:tcBorders>
              <w:top w:val="nil"/>
              <w:left w:val="nil"/>
              <w:bottom w:val="nil"/>
              <w:right w:val="nil"/>
            </w:tcBorders>
            <w:shd w:val="clear" w:color="auto" w:fill="auto"/>
            <w:noWrap/>
            <w:vAlign w:val="bottom"/>
            <w:hideMark/>
          </w:tcPr>
          <w:p w14:paraId="0C427563" w14:textId="77777777" w:rsidR="0014121B" w:rsidRPr="002A34F0" w:rsidRDefault="0014121B">
            <w:pPr>
              <w:rPr>
                <w:sz w:val="20"/>
                <w:szCs w:val="20"/>
              </w:rPr>
            </w:pPr>
          </w:p>
        </w:tc>
        <w:tc>
          <w:tcPr>
            <w:tcW w:w="1036" w:type="dxa"/>
            <w:tcBorders>
              <w:top w:val="nil"/>
              <w:left w:val="nil"/>
              <w:bottom w:val="nil"/>
              <w:right w:val="nil"/>
            </w:tcBorders>
            <w:shd w:val="clear" w:color="auto" w:fill="auto"/>
            <w:noWrap/>
            <w:vAlign w:val="bottom"/>
            <w:hideMark/>
          </w:tcPr>
          <w:p w14:paraId="6C9E1394" w14:textId="77777777" w:rsidR="0014121B" w:rsidRPr="002A34F0" w:rsidRDefault="0014121B">
            <w:pPr>
              <w:rPr>
                <w:sz w:val="20"/>
                <w:szCs w:val="20"/>
              </w:rPr>
            </w:pPr>
          </w:p>
        </w:tc>
        <w:tc>
          <w:tcPr>
            <w:tcW w:w="1072" w:type="dxa"/>
            <w:tcBorders>
              <w:top w:val="nil"/>
              <w:left w:val="nil"/>
              <w:bottom w:val="nil"/>
              <w:right w:val="nil"/>
            </w:tcBorders>
            <w:shd w:val="clear" w:color="auto" w:fill="auto"/>
            <w:noWrap/>
            <w:vAlign w:val="bottom"/>
            <w:hideMark/>
          </w:tcPr>
          <w:p w14:paraId="076212F3" w14:textId="77777777" w:rsidR="0014121B" w:rsidRPr="002A34F0" w:rsidRDefault="0014121B">
            <w:pPr>
              <w:rPr>
                <w:sz w:val="20"/>
                <w:szCs w:val="20"/>
              </w:rPr>
            </w:pPr>
          </w:p>
        </w:tc>
        <w:tc>
          <w:tcPr>
            <w:tcW w:w="927" w:type="dxa"/>
            <w:tcBorders>
              <w:top w:val="nil"/>
              <w:left w:val="nil"/>
              <w:bottom w:val="nil"/>
              <w:right w:val="nil"/>
            </w:tcBorders>
            <w:shd w:val="clear" w:color="auto" w:fill="auto"/>
            <w:noWrap/>
            <w:vAlign w:val="bottom"/>
            <w:hideMark/>
          </w:tcPr>
          <w:p w14:paraId="587DA342" w14:textId="77777777" w:rsidR="0014121B" w:rsidRPr="002A34F0" w:rsidRDefault="0014121B">
            <w:pPr>
              <w:rPr>
                <w:sz w:val="20"/>
                <w:szCs w:val="20"/>
              </w:rPr>
            </w:pPr>
          </w:p>
        </w:tc>
        <w:tc>
          <w:tcPr>
            <w:tcW w:w="820" w:type="dxa"/>
            <w:tcBorders>
              <w:top w:val="nil"/>
              <w:left w:val="nil"/>
              <w:bottom w:val="nil"/>
              <w:right w:val="nil"/>
            </w:tcBorders>
            <w:shd w:val="clear" w:color="auto" w:fill="auto"/>
            <w:noWrap/>
            <w:vAlign w:val="bottom"/>
            <w:hideMark/>
          </w:tcPr>
          <w:p w14:paraId="66ECF08B" w14:textId="77777777" w:rsidR="0014121B" w:rsidRPr="002A34F0" w:rsidRDefault="0014121B">
            <w:pPr>
              <w:rPr>
                <w:sz w:val="20"/>
                <w:szCs w:val="20"/>
              </w:rPr>
            </w:pPr>
          </w:p>
        </w:tc>
        <w:tc>
          <w:tcPr>
            <w:tcW w:w="900" w:type="dxa"/>
            <w:tcBorders>
              <w:top w:val="nil"/>
              <w:left w:val="nil"/>
              <w:bottom w:val="nil"/>
              <w:right w:val="nil"/>
            </w:tcBorders>
            <w:shd w:val="clear" w:color="auto" w:fill="auto"/>
            <w:noWrap/>
            <w:vAlign w:val="bottom"/>
            <w:hideMark/>
          </w:tcPr>
          <w:p w14:paraId="2AD4EEF9" w14:textId="77777777" w:rsidR="0014121B" w:rsidRPr="002A34F0" w:rsidRDefault="0014121B">
            <w:pPr>
              <w:rPr>
                <w:sz w:val="20"/>
                <w:szCs w:val="20"/>
              </w:rPr>
            </w:pPr>
          </w:p>
        </w:tc>
        <w:tc>
          <w:tcPr>
            <w:tcW w:w="1620" w:type="dxa"/>
            <w:tcBorders>
              <w:top w:val="nil"/>
              <w:left w:val="nil"/>
              <w:bottom w:val="nil"/>
              <w:right w:val="single" w:sz="8" w:space="0" w:color="auto"/>
            </w:tcBorders>
            <w:shd w:val="clear" w:color="auto" w:fill="auto"/>
            <w:noWrap/>
            <w:vAlign w:val="bottom"/>
            <w:hideMark/>
          </w:tcPr>
          <w:p w14:paraId="45E07E34" w14:textId="77777777" w:rsidR="0014121B" w:rsidRPr="002A34F0" w:rsidRDefault="0014121B">
            <w:pPr>
              <w:rPr>
                <w:color w:val="000000"/>
                <w:sz w:val="20"/>
                <w:szCs w:val="20"/>
              </w:rPr>
            </w:pPr>
            <w:r w:rsidRPr="002A34F0">
              <w:rPr>
                <w:color w:val="000000"/>
                <w:sz w:val="20"/>
                <w:szCs w:val="20"/>
              </w:rPr>
              <w:t> </w:t>
            </w:r>
          </w:p>
        </w:tc>
      </w:tr>
      <w:tr w:rsidR="003A227F" w14:paraId="452C4B6C" w14:textId="77777777" w:rsidTr="003A227F">
        <w:trPr>
          <w:trHeight w:val="300"/>
        </w:trPr>
        <w:tc>
          <w:tcPr>
            <w:tcW w:w="11510" w:type="dxa"/>
            <w:gridSpan w:val="11"/>
            <w:tcBorders>
              <w:top w:val="nil"/>
              <w:left w:val="single" w:sz="8" w:space="0" w:color="auto"/>
              <w:bottom w:val="single" w:sz="8" w:space="0" w:color="auto"/>
              <w:right w:val="nil"/>
            </w:tcBorders>
            <w:shd w:val="clear" w:color="auto" w:fill="auto"/>
            <w:noWrap/>
            <w:vAlign w:val="bottom"/>
            <w:hideMark/>
          </w:tcPr>
          <w:p w14:paraId="1F18504C" w14:textId="77777777" w:rsidR="0014121B" w:rsidRDefault="0014121B">
            <w:pPr>
              <w:ind w:firstLineChars="100" w:firstLine="200"/>
              <w:rPr>
                <w:i/>
                <w:iCs/>
                <w:color w:val="000000"/>
                <w:sz w:val="20"/>
                <w:szCs w:val="20"/>
              </w:rPr>
            </w:pPr>
            <w:r w:rsidRPr="002A34F0">
              <w:rPr>
                <w:i/>
                <w:iCs/>
                <w:color w:val="000000"/>
                <w:sz w:val="20"/>
                <w:szCs w:val="20"/>
              </w:rPr>
              <w:t>Estimated in Stata using specification suggested by Baum (2008): glm Y i.SES##EA_SES , link(logit) family(binomial) vce(robust)</w:t>
            </w:r>
          </w:p>
        </w:tc>
        <w:tc>
          <w:tcPr>
            <w:tcW w:w="900" w:type="dxa"/>
            <w:tcBorders>
              <w:top w:val="nil"/>
              <w:left w:val="nil"/>
              <w:bottom w:val="single" w:sz="8" w:space="0" w:color="auto"/>
              <w:right w:val="nil"/>
            </w:tcBorders>
            <w:shd w:val="clear" w:color="auto" w:fill="auto"/>
            <w:noWrap/>
            <w:vAlign w:val="bottom"/>
            <w:hideMark/>
          </w:tcPr>
          <w:p w14:paraId="02CD30D4" w14:textId="77777777" w:rsidR="0014121B" w:rsidRDefault="0014121B">
            <w:pPr>
              <w:rPr>
                <w:color w:val="000000"/>
                <w:sz w:val="20"/>
                <w:szCs w:val="20"/>
              </w:rPr>
            </w:pPr>
            <w:r>
              <w:rPr>
                <w:color w:val="000000"/>
                <w:sz w:val="20"/>
                <w:szCs w:val="20"/>
              </w:rPr>
              <w:t> </w:t>
            </w:r>
          </w:p>
        </w:tc>
        <w:tc>
          <w:tcPr>
            <w:tcW w:w="1620" w:type="dxa"/>
            <w:tcBorders>
              <w:top w:val="nil"/>
              <w:left w:val="nil"/>
              <w:bottom w:val="single" w:sz="8" w:space="0" w:color="auto"/>
              <w:right w:val="single" w:sz="8" w:space="0" w:color="auto"/>
            </w:tcBorders>
            <w:shd w:val="clear" w:color="auto" w:fill="auto"/>
            <w:noWrap/>
            <w:vAlign w:val="bottom"/>
            <w:hideMark/>
          </w:tcPr>
          <w:p w14:paraId="14D6F7DB" w14:textId="77777777" w:rsidR="0014121B" w:rsidRDefault="0014121B">
            <w:pPr>
              <w:rPr>
                <w:color w:val="000000"/>
                <w:sz w:val="20"/>
                <w:szCs w:val="20"/>
              </w:rPr>
            </w:pPr>
            <w:r>
              <w:rPr>
                <w:color w:val="000000"/>
                <w:sz w:val="20"/>
                <w:szCs w:val="20"/>
              </w:rPr>
              <w:t> </w:t>
            </w:r>
          </w:p>
        </w:tc>
      </w:tr>
    </w:tbl>
    <w:p w14:paraId="7CFE43BD" w14:textId="77777777" w:rsidR="00F40F79" w:rsidRPr="009207F0" w:rsidRDefault="00F40F79" w:rsidP="00A95888">
      <w:pPr>
        <w:pStyle w:val="References"/>
        <w:spacing w:line="240" w:lineRule="auto"/>
        <w:ind w:left="0" w:firstLine="0"/>
      </w:pPr>
    </w:p>
    <w:sectPr w:rsidR="00F40F79" w:rsidRPr="009207F0" w:rsidSect="00A95888">
      <w:pgSz w:w="16840" w:h="11901" w:orient="landscape" w:code="9"/>
      <w:pgMar w:top="1477" w:right="1418" w:bottom="79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DB1F" w14:textId="77777777" w:rsidR="00B11628" w:rsidRDefault="00B11628" w:rsidP="00AF2C92">
      <w:r>
        <w:separator/>
      </w:r>
    </w:p>
  </w:endnote>
  <w:endnote w:type="continuationSeparator" w:id="0">
    <w:p w14:paraId="5F50DEE4" w14:textId="77777777" w:rsidR="00B11628" w:rsidRDefault="00B11628"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850405"/>
      <w:docPartObj>
        <w:docPartGallery w:val="Page Numbers (Bottom of Page)"/>
        <w:docPartUnique/>
      </w:docPartObj>
    </w:sdtPr>
    <w:sdtEndPr>
      <w:rPr>
        <w:noProof/>
      </w:rPr>
    </w:sdtEndPr>
    <w:sdtContent>
      <w:p w14:paraId="0A147295" w14:textId="3844CE52" w:rsidR="006E7B9E" w:rsidRDefault="006E7B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351A83" w14:textId="77777777" w:rsidR="002211DD" w:rsidRDefault="0022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E8F9F" w14:textId="77777777" w:rsidR="00B11628" w:rsidRDefault="00B11628" w:rsidP="00AF2C92">
      <w:r>
        <w:separator/>
      </w:r>
    </w:p>
  </w:footnote>
  <w:footnote w:type="continuationSeparator" w:id="0">
    <w:p w14:paraId="5F4EFC3F" w14:textId="77777777" w:rsidR="00B11628" w:rsidRDefault="00B11628" w:rsidP="00AF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507573"/>
    <w:multiLevelType w:val="hybridMultilevel"/>
    <w:tmpl w:val="C2DC130E"/>
    <w:lvl w:ilvl="0" w:tplc="80CEF43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FB65EC"/>
    <w:multiLevelType w:val="hybridMultilevel"/>
    <w:tmpl w:val="370E60FA"/>
    <w:lvl w:ilvl="0" w:tplc="9A181F2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3C259C4"/>
    <w:multiLevelType w:val="multilevel"/>
    <w:tmpl w:val="DBBA1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EC7168"/>
    <w:multiLevelType w:val="hybridMultilevel"/>
    <w:tmpl w:val="EC7E2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181A22"/>
    <w:multiLevelType w:val="hybridMultilevel"/>
    <w:tmpl w:val="51325204"/>
    <w:lvl w:ilvl="0" w:tplc="576ADD2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29414292">
    <w:abstractNumId w:val="17"/>
  </w:num>
  <w:num w:numId="2" w16cid:durableId="365760666">
    <w:abstractNumId w:val="22"/>
  </w:num>
  <w:num w:numId="3" w16cid:durableId="888419436">
    <w:abstractNumId w:val="1"/>
  </w:num>
  <w:num w:numId="4" w16cid:durableId="1781144024">
    <w:abstractNumId w:val="2"/>
  </w:num>
  <w:num w:numId="5" w16cid:durableId="1376810453">
    <w:abstractNumId w:val="3"/>
  </w:num>
  <w:num w:numId="6" w16cid:durableId="699554478">
    <w:abstractNumId w:val="4"/>
  </w:num>
  <w:num w:numId="7" w16cid:durableId="844591279">
    <w:abstractNumId w:val="9"/>
  </w:num>
  <w:num w:numId="8" w16cid:durableId="1300375297">
    <w:abstractNumId w:val="5"/>
  </w:num>
  <w:num w:numId="9" w16cid:durableId="1089155980">
    <w:abstractNumId w:val="7"/>
  </w:num>
  <w:num w:numId="10" w16cid:durableId="888228466">
    <w:abstractNumId w:val="6"/>
  </w:num>
  <w:num w:numId="11" w16cid:durableId="1792825648">
    <w:abstractNumId w:val="10"/>
  </w:num>
  <w:num w:numId="12" w16cid:durableId="1029994262">
    <w:abstractNumId w:val="8"/>
  </w:num>
  <w:num w:numId="13" w16cid:durableId="1090199686">
    <w:abstractNumId w:val="20"/>
  </w:num>
  <w:num w:numId="14" w16cid:durableId="1213079551">
    <w:abstractNumId w:val="23"/>
  </w:num>
  <w:num w:numId="15" w16cid:durableId="1442990681">
    <w:abstractNumId w:val="16"/>
  </w:num>
  <w:num w:numId="16" w16cid:durableId="743339148">
    <w:abstractNumId w:val="19"/>
  </w:num>
  <w:num w:numId="17" w16cid:durableId="728575826">
    <w:abstractNumId w:val="11"/>
  </w:num>
  <w:num w:numId="18" w16cid:durableId="1902596476">
    <w:abstractNumId w:val="0"/>
  </w:num>
  <w:num w:numId="19" w16cid:durableId="1135180910">
    <w:abstractNumId w:val="13"/>
  </w:num>
  <w:num w:numId="20" w16cid:durableId="84811917">
    <w:abstractNumId w:val="23"/>
  </w:num>
  <w:num w:numId="21" w16cid:durableId="1145046489">
    <w:abstractNumId w:val="23"/>
  </w:num>
  <w:num w:numId="22" w16cid:durableId="563489782">
    <w:abstractNumId w:val="23"/>
  </w:num>
  <w:num w:numId="23" w16cid:durableId="29770120">
    <w:abstractNumId w:val="23"/>
  </w:num>
  <w:num w:numId="24" w16cid:durableId="1642928713">
    <w:abstractNumId w:val="20"/>
  </w:num>
  <w:num w:numId="25" w16cid:durableId="128129310">
    <w:abstractNumId w:val="21"/>
  </w:num>
  <w:num w:numId="26" w16cid:durableId="1621064365">
    <w:abstractNumId w:val="24"/>
  </w:num>
  <w:num w:numId="27" w16cid:durableId="163206424">
    <w:abstractNumId w:val="26"/>
  </w:num>
  <w:num w:numId="28" w16cid:durableId="237792567">
    <w:abstractNumId w:val="23"/>
  </w:num>
  <w:num w:numId="29" w16cid:durableId="668101565">
    <w:abstractNumId w:val="15"/>
  </w:num>
  <w:num w:numId="30" w16cid:durableId="1521969163">
    <w:abstractNumId w:val="27"/>
  </w:num>
  <w:num w:numId="31" w16cid:durableId="563565316">
    <w:abstractNumId w:val="14"/>
  </w:num>
  <w:num w:numId="32" w16cid:durableId="189612742">
    <w:abstractNumId w:val="12"/>
  </w:num>
  <w:num w:numId="33" w16cid:durableId="1513648188">
    <w:abstractNumId w:val="18"/>
  </w:num>
  <w:num w:numId="34" w16cid:durableId="203952315">
    <w:abstractNumId w:val="25"/>
  </w:num>
  <w:num w:numId="35" w16cid:durableId="3819471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0DC"/>
    <w:rsid w:val="00000224"/>
    <w:rsid w:val="0000161B"/>
    <w:rsid w:val="00001899"/>
    <w:rsid w:val="00001B53"/>
    <w:rsid w:val="000049AD"/>
    <w:rsid w:val="00005E97"/>
    <w:rsid w:val="0000681B"/>
    <w:rsid w:val="00007066"/>
    <w:rsid w:val="0000778E"/>
    <w:rsid w:val="000077A9"/>
    <w:rsid w:val="00007BA5"/>
    <w:rsid w:val="00010C08"/>
    <w:rsid w:val="00010C1E"/>
    <w:rsid w:val="00011215"/>
    <w:rsid w:val="00011AC1"/>
    <w:rsid w:val="00012AA3"/>
    <w:rsid w:val="000133C0"/>
    <w:rsid w:val="00014C4E"/>
    <w:rsid w:val="0001622E"/>
    <w:rsid w:val="00017107"/>
    <w:rsid w:val="000202E2"/>
    <w:rsid w:val="0002121D"/>
    <w:rsid w:val="00022441"/>
    <w:rsid w:val="0002261E"/>
    <w:rsid w:val="0002404E"/>
    <w:rsid w:val="00024839"/>
    <w:rsid w:val="00025534"/>
    <w:rsid w:val="00026871"/>
    <w:rsid w:val="00026B51"/>
    <w:rsid w:val="00031E4F"/>
    <w:rsid w:val="000320EC"/>
    <w:rsid w:val="000322FB"/>
    <w:rsid w:val="0003235A"/>
    <w:rsid w:val="00032484"/>
    <w:rsid w:val="0003334E"/>
    <w:rsid w:val="0003442C"/>
    <w:rsid w:val="000351F0"/>
    <w:rsid w:val="00037A98"/>
    <w:rsid w:val="00040646"/>
    <w:rsid w:val="000413D2"/>
    <w:rsid w:val="000427FB"/>
    <w:rsid w:val="00042ACB"/>
    <w:rsid w:val="00043270"/>
    <w:rsid w:val="000432F3"/>
    <w:rsid w:val="0004455E"/>
    <w:rsid w:val="00046BC3"/>
    <w:rsid w:val="00046EFA"/>
    <w:rsid w:val="00047241"/>
    <w:rsid w:val="00047CB5"/>
    <w:rsid w:val="00051FAA"/>
    <w:rsid w:val="00052134"/>
    <w:rsid w:val="0005265B"/>
    <w:rsid w:val="00052AA3"/>
    <w:rsid w:val="000572A9"/>
    <w:rsid w:val="0005736B"/>
    <w:rsid w:val="000612E4"/>
    <w:rsid w:val="00061325"/>
    <w:rsid w:val="00065CA4"/>
    <w:rsid w:val="000673BD"/>
    <w:rsid w:val="0006759E"/>
    <w:rsid w:val="000705F5"/>
    <w:rsid w:val="0007235F"/>
    <w:rsid w:val="000733AC"/>
    <w:rsid w:val="00074B81"/>
    <w:rsid w:val="00074D22"/>
    <w:rsid w:val="00075081"/>
    <w:rsid w:val="0007528A"/>
    <w:rsid w:val="00075E9D"/>
    <w:rsid w:val="000811AB"/>
    <w:rsid w:val="000814CC"/>
    <w:rsid w:val="00082AD5"/>
    <w:rsid w:val="00082BAF"/>
    <w:rsid w:val="000831AE"/>
    <w:rsid w:val="00083C5F"/>
    <w:rsid w:val="00084AA8"/>
    <w:rsid w:val="00085A85"/>
    <w:rsid w:val="00086D17"/>
    <w:rsid w:val="00087E6D"/>
    <w:rsid w:val="0009172C"/>
    <w:rsid w:val="000930EC"/>
    <w:rsid w:val="00095E61"/>
    <w:rsid w:val="000966C1"/>
    <w:rsid w:val="00096730"/>
    <w:rsid w:val="00096931"/>
    <w:rsid w:val="00096A0E"/>
    <w:rsid w:val="000970AC"/>
    <w:rsid w:val="000A1167"/>
    <w:rsid w:val="000A233C"/>
    <w:rsid w:val="000A4428"/>
    <w:rsid w:val="000A6D40"/>
    <w:rsid w:val="000A7BC3"/>
    <w:rsid w:val="000B001C"/>
    <w:rsid w:val="000B0EA3"/>
    <w:rsid w:val="000B1661"/>
    <w:rsid w:val="000B1F0B"/>
    <w:rsid w:val="000B2A10"/>
    <w:rsid w:val="000B2E21"/>
    <w:rsid w:val="000B2E88"/>
    <w:rsid w:val="000B37A3"/>
    <w:rsid w:val="000B4603"/>
    <w:rsid w:val="000C000B"/>
    <w:rsid w:val="000C072E"/>
    <w:rsid w:val="000C09BE"/>
    <w:rsid w:val="000C0D1E"/>
    <w:rsid w:val="000C126A"/>
    <w:rsid w:val="000C1380"/>
    <w:rsid w:val="000C1B70"/>
    <w:rsid w:val="000C26C9"/>
    <w:rsid w:val="000C2B6C"/>
    <w:rsid w:val="000C32DD"/>
    <w:rsid w:val="000C3463"/>
    <w:rsid w:val="000C36F5"/>
    <w:rsid w:val="000C38BE"/>
    <w:rsid w:val="000C449C"/>
    <w:rsid w:val="000C554F"/>
    <w:rsid w:val="000C6DC3"/>
    <w:rsid w:val="000C7029"/>
    <w:rsid w:val="000C7127"/>
    <w:rsid w:val="000C7C39"/>
    <w:rsid w:val="000D0C56"/>
    <w:rsid w:val="000D0DC5"/>
    <w:rsid w:val="000D15FF"/>
    <w:rsid w:val="000D22F2"/>
    <w:rsid w:val="000D2806"/>
    <w:rsid w:val="000D28DF"/>
    <w:rsid w:val="000D488B"/>
    <w:rsid w:val="000D68DF"/>
    <w:rsid w:val="000D6DDF"/>
    <w:rsid w:val="000E138D"/>
    <w:rsid w:val="000E16E0"/>
    <w:rsid w:val="000E187A"/>
    <w:rsid w:val="000E2D61"/>
    <w:rsid w:val="000E35F1"/>
    <w:rsid w:val="000E3947"/>
    <w:rsid w:val="000E3E2D"/>
    <w:rsid w:val="000E450E"/>
    <w:rsid w:val="000E5A9A"/>
    <w:rsid w:val="000E6259"/>
    <w:rsid w:val="000E7286"/>
    <w:rsid w:val="000F0B23"/>
    <w:rsid w:val="000F0CE8"/>
    <w:rsid w:val="000F4677"/>
    <w:rsid w:val="000F4B2A"/>
    <w:rsid w:val="000F5890"/>
    <w:rsid w:val="000F5BE0"/>
    <w:rsid w:val="00100587"/>
    <w:rsid w:val="0010224B"/>
    <w:rsid w:val="0010284E"/>
    <w:rsid w:val="00103122"/>
    <w:rsid w:val="0010336A"/>
    <w:rsid w:val="001050C4"/>
    <w:rsid w:val="001050F1"/>
    <w:rsid w:val="00105AEA"/>
    <w:rsid w:val="00105BEC"/>
    <w:rsid w:val="00106461"/>
    <w:rsid w:val="00106C25"/>
    <w:rsid w:val="00106DAF"/>
    <w:rsid w:val="001106D5"/>
    <w:rsid w:val="0011105F"/>
    <w:rsid w:val="001116A8"/>
    <w:rsid w:val="0011292A"/>
    <w:rsid w:val="00114ABE"/>
    <w:rsid w:val="00115CAA"/>
    <w:rsid w:val="00115E3F"/>
    <w:rsid w:val="00116023"/>
    <w:rsid w:val="00117306"/>
    <w:rsid w:val="001216FB"/>
    <w:rsid w:val="001239C9"/>
    <w:rsid w:val="00123AF7"/>
    <w:rsid w:val="00123D50"/>
    <w:rsid w:val="00124FDF"/>
    <w:rsid w:val="00132292"/>
    <w:rsid w:val="00134A51"/>
    <w:rsid w:val="00134DDD"/>
    <w:rsid w:val="00134E3F"/>
    <w:rsid w:val="00136828"/>
    <w:rsid w:val="001371FF"/>
    <w:rsid w:val="001405F3"/>
    <w:rsid w:val="00140727"/>
    <w:rsid w:val="001407BA"/>
    <w:rsid w:val="0014121B"/>
    <w:rsid w:val="00141A54"/>
    <w:rsid w:val="0014551C"/>
    <w:rsid w:val="001478DA"/>
    <w:rsid w:val="001479EE"/>
    <w:rsid w:val="00147F53"/>
    <w:rsid w:val="00150EB3"/>
    <w:rsid w:val="001513DD"/>
    <w:rsid w:val="001514F8"/>
    <w:rsid w:val="00151772"/>
    <w:rsid w:val="00153B22"/>
    <w:rsid w:val="00153C76"/>
    <w:rsid w:val="001550C1"/>
    <w:rsid w:val="00156330"/>
    <w:rsid w:val="00160579"/>
    <w:rsid w:val="00160628"/>
    <w:rsid w:val="00160D78"/>
    <w:rsid w:val="00161344"/>
    <w:rsid w:val="001616F4"/>
    <w:rsid w:val="00162195"/>
    <w:rsid w:val="00163061"/>
    <w:rsid w:val="0016322A"/>
    <w:rsid w:val="001648E1"/>
    <w:rsid w:val="00165A21"/>
    <w:rsid w:val="0016631E"/>
    <w:rsid w:val="0016667A"/>
    <w:rsid w:val="001674C6"/>
    <w:rsid w:val="00167E54"/>
    <w:rsid w:val="00170039"/>
    <w:rsid w:val="001705CE"/>
    <w:rsid w:val="00170C18"/>
    <w:rsid w:val="00170CCD"/>
    <w:rsid w:val="00172EA1"/>
    <w:rsid w:val="00174128"/>
    <w:rsid w:val="0017554E"/>
    <w:rsid w:val="00176C0F"/>
    <w:rsid w:val="0017714B"/>
    <w:rsid w:val="001804DF"/>
    <w:rsid w:val="00180600"/>
    <w:rsid w:val="00181703"/>
    <w:rsid w:val="00181BDC"/>
    <w:rsid w:val="00181DB0"/>
    <w:rsid w:val="00181FEA"/>
    <w:rsid w:val="001829E3"/>
    <w:rsid w:val="00182FAF"/>
    <w:rsid w:val="00183499"/>
    <w:rsid w:val="00186016"/>
    <w:rsid w:val="001863CF"/>
    <w:rsid w:val="0018785E"/>
    <w:rsid w:val="0019173A"/>
    <w:rsid w:val="00191CAF"/>
    <w:rsid w:val="001924C0"/>
    <w:rsid w:val="00193BDE"/>
    <w:rsid w:val="0019626E"/>
    <w:rsid w:val="001968C7"/>
    <w:rsid w:val="0019731E"/>
    <w:rsid w:val="00197898"/>
    <w:rsid w:val="001A09FE"/>
    <w:rsid w:val="001A0CF6"/>
    <w:rsid w:val="001A10D8"/>
    <w:rsid w:val="001A2993"/>
    <w:rsid w:val="001A4337"/>
    <w:rsid w:val="001A54F7"/>
    <w:rsid w:val="001A5CFA"/>
    <w:rsid w:val="001A6366"/>
    <w:rsid w:val="001A67C9"/>
    <w:rsid w:val="001A686D"/>
    <w:rsid w:val="001A69DE"/>
    <w:rsid w:val="001A713C"/>
    <w:rsid w:val="001B1C7C"/>
    <w:rsid w:val="001B20A9"/>
    <w:rsid w:val="001B398F"/>
    <w:rsid w:val="001B3FE6"/>
    <w:rsid w:val="001B46C6"/>
    <w:rsid w:val="001B4B48"/>
    <w:rsid w:val="001B4D1F"/>
    <w:rsid w:val="001B59A7"/>
    <w:rsid w:val="001B5E9F"/>
    <w:rsid w:val="001B61F5"/>
    <w:rsid w:val="001B7170"/>
    <w:rsid w:val="001B7681"/>
    <w:rsid w:val="001B7CAE"/>
    <w:rsid w:val="001C0772"/>
    <w:rsid w:val="001C0D4F"/>
    <w:rsid w:val="001C1BA3"/>
    <w:rsid w:val="001C1DEC"/>
    <w:rsid w:val="001C2397"/>
    <w:rsid w:val="001C2A48"/>
    <w:rsid w:val="001C2F72"/>
    <w:rsid w:val="001C4C8D"/>
    <w:rsid w:val="001C4D19"/>
    <w:rsid w:val="001C4EAC"/>
    <w:rsid w:val="001C5736"/>
    <w:rsid w:val="001C5ABA"/>
    <w:rsid w:val="001D15F7"/>
    <w:rsid w:val="001D1756"/>
    <w:rsid w:val="001D1A27"/>
    <w:rsid w:val="001D1DFB"/>
    <w:rsid w:val="001D4502"/>
    <w:rsid w:val="001D4FB6"/>
    <w:rsid w:val="001D5848"/>
    <w:rsid w:val="001D647F"/>
    <w:rsid w:val="001D6857"/>
    <w:rsid w:val="001D792F"/>
    <w:rsid w:val="001E0572"/>
    <w:rsid w:val="001E0A67"/>
    <w:rsid w:val="001E1028"/>
    <w:rsid w:val="001E14E2"/>
    <w:rsid w:val="001E1E9E"/>
    <w:rsid w:val="001E2440"/>
    <w:rsid w:val="001E3806"/>
    <w:rsid w:val="001E6163"/>
    <w:rsid w:val="001E6302"/>
    <w:rsid w:val="001E77F6"/>
    <w:rsid w:val="001E79F9"/>
    <w:rsid w:val="001E7DCB"/>
    <w:rsid w:val="001F02DA"/>
    <w:rsid w:val="001F1F43"/>
    <w:rsid w:val="001F3411"/>
    <w:rsid w:val="001F361F"/>
    <w:rsid w:val="001F38B2"/>
    <w:rsid w:val="001F4287"/>
    <w:rsid w:val="001F4DBA"/>
    <w:rsid w:val="001F568D"/>
    <w:rsid w:val="001F6AD6"/>
    <w:rsid w:val="001F7028"/>
    <w:rsid w:val="002010FB"/>
    <w:rsid w:val="00203EC8"/>
    <w:rsid w:val="0020415E"/>
    <w:rsid w:val="00204638"/>
    <w:rsid w:val="00204FF4"/>
    <w:rsid w:val="00207B60"/>
    <w:rsid w:val="0021056E"/>
    <w:rsid w:val="0021075D"/>
    <w:rsid w:val="0021165A"/>
    <w:rsid w:val="00211BC9"/>
    <w:rsid w:val="002129E1"/>
    <w:rsid w:val="00214C0A"/>
    <w:rsid w:val="0021620C"/>
    <w:rsid w:val="00216E78"/>
    <w:rsid w:val="00217275"/>
    <w:rsid w:val="002200E4"/>
    <w:rsid w:val="002211DD"/>
    <w:rsid w:val="00221442"/>
    <w:rsid w:val="002217C9"/>
    <w:rsid w:val="002224B0"/>
    <w:rsid w:val="0022384F"/>
    <w:rsid w:val="00225E06"/>
    <w:rsid w:val="00225EA3"/>
    <w:rsid w:val="00225F52"/>
    <w:rsid w:val="00226E5E"/>
    <w:rsid w:val="0022769C"/>
    <w:rsid w:val="00230F9A"/>
    <w:rsid w:val="00232107"/>
    <w:rsid w:val="00233A48"/>
    <w:rsid w:val="00235C9E"/>
    <w:rsid w:val="00236C1B"/>
    <w:rsid w:val="00236CD1"/>
    <w:rsid w:val="00236F4B"/>
    <w:rsid w:val="00237764"/>
    <w:rsid w:val="002404E4"/>
    <w:rsid w:val="0024064D"/>
    <w:rsid w:val="002411EE"/>
    <w:rsid w:val="00242B0D"/>
    <w:rsid w:val="00243A17"/>
    <w:rsid w:val="002456E3"/>
    <w:rsid w:val="002467C6"/>
    <w:rsid w:val="00246811"/>
    <w:rsid w:val="0024692A"/>
    <w:rsid w:val="0025062A"/>
    <w:rsid w:val="00250B8F"/>
    <w:rsid w:val="00250F7E"/>
    <w:rsid w:val="00252BBA"/>
    <w:rsid w:val="00253123"/>
    <w:rsid w:val="002564CF"/>
    <w:rsid w:val="00263109"/>
    <w:rsid w:val="00264001"/>
    <w:rsid w:val="00264148"/>
    <w:rsid w:val="00266354"/>
    <w:rsid w:val="002665D4"/>
    <w:rsid w:val="00267A18"/>
    <w:rsid w:val="00270CD6"/>
    <w:rsid w:val="00271186"/>
    <w:rsid w:val="00271192"/>
    <w:rsid w:val="00271C6D"/>
    <w:rsid w:val="00272F6C"/>
    <w:rsid w:val="00273462"/>
    <w:rsid w:val="0027395B"/>
    <w:rsid w:val="0027433D"/>
    <w:rsid w:val="00274701"/>
    <w:rsid w:val="00275854"/>
    <w:rsid w:val="00280ED7"/>
    <w:rsid w:val="00283B41"/>
    <w:rsid w:val="00285F28"/>
    <w:rsid w:val="00286398"/>
    <w:rsid w:val="002863C1"/>
    <w:rsid w:val="0028697D"/>
    <w:rsid w:val="00287B6F"/>
    <w:rsid w:val="00290E16"/>
    <w:rsid w:val="00291769"/>
    <w:rsid w:val="00291850"/>
    <w:rsid w:val="002935C8"/>
    <w:rsid w:val="00294E94"/>
    <w:rsid w:val="00295F7B"/>
    <w:rsid w:val="002975F6"/>
    <w:rsid w:val="00297603"/>
    <w:rsid w:val="002A051B"/>
    <w:rsid w:val="002A1CB3"/>
    <w:rsid w:val="002A1F42"/>
    <w:rsid w:val="002A2D35"/>
    <w:rsid w:val="002A34F0"/>
    <w:rsid w:val="002A3C42"/>
    <w:rsid w:val="002A49B4"/>
    <w:rsid w:val="002A59BC"/>
    <w:rsid w:val="002A5D75"/>
    <w:rsid w:val="002A6EA1"/>
    <w:rsid w:val="002A7892"/>
    <w:rsid w:val="002B018F"/>
    <w:rsid w:val="002B021F"/>
    <w:rsid w:val="002B14E6"/>
    <w:rsid w:val="002B1B1A"/>
    <w:rsid w:val="002B1E8E"/>
    <w:rsid w:val="002B25B9"/>
    <w:rsid w:val="002B2C81"/>
    <w:rsid w:val="002B3AE6"/>
    <w:rsid w:val="002B62C7"/>
    <w:rsid w:val="002B66A0"/>
    <w:rsid w:val="002B7228"/>
    <w:rsid w:val="002C0849"/>
    <w:rsid w:val="002C0F30"/>
    <w:rsid w:val="002C1155"/>
    <w:rsid w:val="002C221E"/>
    <w:rsid w:val="002C53EE"/>
    <w:rsid w:val="002C5DEA"/>
    <w:rsid w:val="002C6A9A"/>
    <w:rsid w:val="002C6F80"/>
    <w:rsid w:val="002C7F4B"/>
    <w:rsid w:val="002D1113"/>
    <w:rsid w:val="002D24F7"/>
    <w:rsid w:val="002D2799"/>
    <w:rsid w:val="002D2CD7"/>
    <w:rsid w:val="002D4D5C"/>
    <w:rsid w:val="002D4DDC"/>
    <w:rsid w:val="002D4F75"/>
    <w:rsid w:val="002D5529"/>
    <w:rsid w:val="002D578D"/>
    <w:rsid w:val="002D5EEA"/>
    <w:rsid w:val="002D6493"/>
    <w:rsid w:val="002D7AB6"/>
    <w:rsid w:val="002D7D81"/>
    <w:rsid w:val="002D7E85"/>
    <w:rsid w:val="002E06D0"/>
    <w:rsid w:val="002E1572"/>
    <w:rsid w:val="002E2DAD"/>
    <w:rsid w:val="002E3C27"/>
    <w:rsid w:val="002E403A"/>
    <w:rsid w:val="002E45DD"/>
    <w:rsid w:val="002E7F3A"/>
    <w:rsid w:val="002F08EF"/>
    <w:rsid w:val="002F204B"/>
    <w:rsid w:val="002F4EDB"/>
    <w:rsid w:val="002F6054"/>
    <w:rsid w:val="002F7786"/>
    <w:rsid w:val="002F79F8"/>
    <w:rsid w:val="00303B63"/>
    <w:rsid w:val="00303E13"/>
    <w:rsid w:val="0030717E"/>
    <w:rsid w:val="00310BFE"/>
    <w:rsid w:val="00310E13"/>
    <w:rsid w:val="00312053"/>
    <w:rsid w:val="00312A9A"/>
    <w:rsid w:val="003134E0"/>
    <w:rsid w:val="00313636"/>
    <w:rsid w:val="00314B4C"/>
    <w:rsid w:val="00314C54"/>
    <w:rsid w:val="00315713"/>
    <w:rsid w:val="00316247"/>
    <w:rsid w:val="0031686C"/>
    <w:rsid w:val="00316FE0"/>
    <w:rsid w:val="003204D2"/>
    <w:rsid w:val="00320B2F"/>
    <w:rsid w:val="00322717"/>
    <w:rsid w:val="00322F1A"/>
    <w:rsid w:val="00323417"/>
    <w:rsid w:val="00324AFC"/>
    <w:rsid w:val="0032605E"/>
    <w:rsid w:val="00326393"/>
    <w:rsid w:val="00326A82"/>
    <w:rsid w:val="0032745A"/>
    <w:rsid w:val="003275D1"/>
    <w:rsid w:val="00330B2A"/>
    <w:rsid w:val="00331E17"/>
    <w:rsid w:val="00332328"/>
    <w:rsid w:val="00333063"/>
    <w:rsid w:val="0033416C"/>
    <w:rsid w:val="00334818"/>
    <w:rsid w:val="003348AB"/>
    <w:rsid w:val="0033505B"/>
    <w:rsid w:val="00335C3F"/>
    <w:rsid w:val="00335FD9"/>
    <w:rsid w:val="0033617A"/>
    <w:rsid w:val="003408E3"/>
    <w:rsid w:val="00341D18"/>
    <w:rsid w:val="003425BF"/>
    <w:rsid w:val="00343480"/>
    <w:rsid w:val="0034435E"/>
    <w:rsid w:val="0034465E"/>
    <w:rsid w:val="00344DDC"/>
    <w:rsid w:val="0034513F"/>
    <w:rsid w:val="003453D4"/>
    <w:rsid w:val="00345E89"/>
    <w:rsid w:val="00346CC3"/>
    <w:rsid w:val="00350E98"/>
    <w:rsid w:val="003522A1"/>
    <w:rsid w:val="0035254B"/>
    <w:rsid w:val="00353555"/>
    <w:rsid w:val="00354312"/>
    <w:rsid w:val="00355D35"/>
    <w:rsid w:val="003565D4"/>
    <w:rsid w:val="003573D8"/>
    <w:rsid w:val="0036031F"/>
    <w:rsid w:val="003607FB"/>
    <w:rsid w:val="00360FD5"/>
    <w:rsid w:val="00361945"/>
    <w:rsid w:val="0036225E"/>
    <w:rsid w:val="0036340D"/>
    <w:rsid w:val="003634A5"/>
    <w:rsid w:val="00364019"/>
    <w:rsid w:val="00366868"/>
    <w:rsid w:val="00366F89"/>
    <w:rsid w:val="00367506"/>
    <w:rsid w:val="00370085"/>
    <w:rsid w:val="0037090E"/>
    <w:rsid w:val="00371885"/>
    <w:rsid w:val="003725B5"/>
    <w:rsid w:val="00373814"/>
    <w:rsid w:val="003744A7"/>
    <w:rsid w:val="003747C1"/>
    <w:rsid w:val="00376235"/>
    <w:rsid w:val="00377C8D"/>
    <w:rsid w:val="00381FB6"/>
    <w:rsid w:val="003836D3"/>
    <w:rsid w:val="00383905"/>
    <w:rsid w:val="00383A52"/>
    <w:rsid w:val="0038664A"/>
    <w:rsid w:val="003903C9"/>
    <w:rsid w:val="003914D1"/>
    <w:rsid w:val="00391652"/>
    <w:rsid w:val="003939ED"/>
    <w:rsid w:val="00394793"/>
    <w:rsid w:val="0039507F"/>
    <w:rsid w:val="003969F3"/>
    <w:rsid w:val="00396FE3"/>
    <w:rsid w:val="003A1260"/>
    <w:rsid w:val="003A227F"/>
    <w:rsid w:val="003A295F"/>
    <w:rsid w:val="003A41DD"/>
    <w:rsid w:val="003A4A2D"/>
    <w:rsid w:val="003A5071"/>
    <w:rsid w:val="003A5320"/>
    <w:rsid w:val="003A53D4"/>
    <w:rsid w:val="003A7033"/>
    <w:rsid w:val="003B3124"/>
    <w:rsid w:val="003B47FE"/>
    <w:rsid w:val="003B4ED0"/>
    <w:rsid w:val="003B5673"/>
    <w:rsid w:val="003B6287"/>
    <w:rsid w:val="003B62C9"/>
    <w:rsid w:val="003B651B"/>
    <w:rsid w:val="003B74C7"/>
    <w:rsid w:val="003C0BAF"/>
    <w:rsid w:val="003C0C88"/>
    <w:rsid w:val="003C7176"/>
    <w:rsid w:val="003C7B18"/>
    <w:rsid w:val="003C7F2F"/>
    <w:rsid w:val="003D0909"/>
    <w:rsid w:val="003D0929"/>
    <w:rsid w:val="003D136E"/>
    <w:rsid w:val="003D17EA"/>
    <w:rsid w:val="003D1F68"/>
    <w:rsid w:val="003D32D8"/>
    <w:rsid w:val="003D4729"/>
    <w:rsid w:val="003D5FCB"/>
    <w:rsid w:val="003D69CC"/>
    <w:rsid w:val="003D7DD6"/>
    <w:rsid w:val="003E0E0F"/>
    <w:rsid w:val="003E473F"/>
    <w:rsid w:val="003E5AAF"/>
    <w:rsid w:val="003E600D"/>
    <w:rsid w:val="003E62E8"/>
    <w:rsid w:val="003E64DF"/>
    <w:rsid w:val="003E6A5D"/>
    <w:rsid w:val="003E7846"/>
    <w:rsid w:val="003F193A"/>
    <w:rsid w:val="003F4207"/>
    <w:rsid w:val="003F5C46"/>
    <w:rsid w:val="003F6BB2"/>
    <w:rsid w:val="003F7107"/>
    <w:rsid w:val="003F7CBB"/>
    <w:rsid w:val="003F7D34"/>
    <w:rsid w:val="004018A2"/>
    <w:rsid w:val="00403726"/>
    <w:rsid w:val="004073A6"/>
    <w:rsid w:val="00407E49"/>
    <w:rsid w:val="00411225"/>
    <w:rsid w:val="004121CD"/>
    <w:rsid w:val="004123A3"/>
    <w:rsid w:val="00412C8E"/>
    <w:rsid w:val="004137D7"/>
    <w:rsid w:val="0041518D"/>
    <w:rsid w:val="00416030"/>
    <w:rsid w:val="00417224"/>
    <w:rsid w:val="00417891"/>
    <w:rsid w:val="004206D2"/>
    <w:rsid w:val="00420BC2"/>
    <w:rsid w:val="0042221D"/>
    <w:rsid w:val="0042299E"/>
    <w:rsid w:val="0042499F"/>
    <w:rsid w:val="00424DD3"/>
    <w:rsid w:val="004264FA"/>
    <w:rsid w:val="004269C5"/>
    <w:rsid w:val="00430297"/>
    <w:rsid w:val="004310E7"/>
    <w:rsid w:val="004329A9"/>
    <w:rsid w:val="00433DA8"/>
    <w:rsid w:val="00435939"/>
    <w:rsid w:val="0043775A"/>
    <w:rsid w:val="0043791F"/>
    <w:rsid w:val="00437CC7"/>
    <w:rsid w:val="00441E78"/>
    <w:rsid w:val="00442B9C"/>
    <w:rsid w:val="00443737"/>
    <w:rsid w:val="00443AC0"/>
    <w:rsid w:val="0044415E"/>
    <w:rsid w:val="004445B9"/>
    <w:rsid w:val="004459C4"/>
    <w:rsid w:val="00445EFA"/>
    <w:rsid w:val="0044738A"/>
    <w:rsid w:val="004473D3"/>
    <w:rsid w:val="0044764F"/>
    <w:rsid w:val="00451233"/>
    <w:rsid w:val="00452231"/>
    <w:rsid w:val="00454C48"/>
    <w:rsid w:val="00456366"/>
    <w:rsid w:val="00457271"/>
    <w:rsid w:val="0045777F"/>
    <w:rsid w:val="00457DBB"/>
    <w:rsid w:val="00460C13"/>
    <w:rsid w:val="00461D9B"/>
    <w:rsid w:val="00462222"/>
    <w:rsid w:val="0046230E"/>
    <w:rsid w:val="004631D5"/>
    <w:rsid w:val="00463228"/>
    <w:rsid w:val="00463782"/>
    <w:rsid w:val="00464C8F"/>
    <w:rsid w:val="00464DF5"/>
    <w:rsid w:val="004654CF"/>
    <w:rsid w:val="004667E0"/>
    <w:rsid w:val="0046760E"/>
    <w:rsid w:val="004677E3"/>
    <w:rsid w:val="00467F27"/>
    <w:rsid w:val="00470E10"/>
    <w:rsid w:val="004710C4"/>
    <w:rsid w:val="00471853"/>
    <w:rsid w:val="00473686"/>
    <w:rsid w:val="00475D82"/>
    <w:rsid w:val="0047612D"/>
    <w:rsid w:val="0047648E"/>
    <w:rsid w:val="004767FA"/>
    <w:rsid w:val="00476D27"/>
    <w:rsid w:val="00477A97"/>
    <w:rsid w:val="00477BEC"/>
    <w:rsid w:val="00477D77"/>
    <w:rsid w:val="00481343"/>
    <w:rsid w:val="004821CF"/>
    <w:rsid w:val="004822B2"/>
    <w:rsid w:val="00482B81"/>
    <w:rsid w:val="00483B22"/>
    <w:rsid w:val="00483C69"/>
    <w:rsid w:val="00484A1D"/>
    <w:rsid w:val="00484A55"/>
    <w:rsid w:val="004851FD"/>
    <w:rsid w:val="0048549E"/>
    <w:rsid w:val="0048596A"/>
    <w:rsid w:val="00490B65"/>
    <w:rsid w:val="004916A2"/>
    <w:rsid w:val="00491C8A"/>
    <w:rsid w:val="004930C6"/>
    <w:rsid w:val="00493347"/>
    <w:rsid w:val="004938E1"/>
    <w:rsid w:val="004940D8"/>
    <w:rsid w:val="00494B9F"/>
    <w:rsid w:val="0049558E"/>
    <w:rsid w:val="00496092"/>
    <w:rsid w:val="00497182"/>
    <w:rsid w:val="00497653"/>
    <w:rsid w:val="00497D1B"/>
    <w:rsid w:val="004A08DB"/>
    <w:rsid w:val="004A19E6"/>
    <w:rsid w:val="004A25D0"/>
    <w:rsid w:val="004A37E8"/>
    <w:rsid w:val="004A4405"/>
    <w:rsid w:val="004A4562"/>
    <w:rsid w:val="004A7549"/>
    <w:rsid w:val="004B09D4"/>
    <w:rsid w:val="004B309D"/>
    <w:rsid w:val="004B330A"/>
    <w:rsid w:val="004B4A99"/>
    <w:rsid w:val="004B5481"/>
    <w:rsid w:val="004B5937"/>
    <w:rsid w:val="004B59D9"/>
    <w:rsid w:val="004B7C8E"/>
    <w:rsid w:val="004C05F1"/>
    <w:rsid w:val="004C1674"/>
    <w:rsid w:val="004C2855"/>
    <w:rsid w:val="004C3D3C"/>
    <w:rsid w:val="004C44B5"/>
    <w:rsid w:val="004C61CB"/>
    <w:rsid w:val="004D0EDC"/>
    <w:rsid w:val="004D1220"/>
    <w:rsid w:val="004D14B3"/>
    <w:rsid w:val="004D1529"/>
    <w:rsid w:val="004D1777"/>
    <w:rsid w:val="004D2253"/>
    <w:rsid w:val="004D3628"/>
    <w:rsid w:val="004D452E"/>
    <w:rsid w:val="004D5514"/>
    <w:rsid w:val="004D56C3"/>
    <w:rsid w:val="004D5B8E"/>
    <w:rsid w:val="004D7107"/>
    <w:rsid w:val="004E0338"/>
    <w:rsid w:val="004E0D02"/>
    <w:rsid w:val="004E23DF"/>
    <w:rsid w:val="004E25D1"/>
    <w:rsid w:val="004E39B4"/>
    <w:rsid w:val="004E3EF8"/>
    <w:rsid w:val="004E47A3"/>
    <w:rsid w:val="004E4E18"/>
    <w:rsid w:val="004E4FF3"/>
    <w:rsid w:val="004E56A8"/>
    <w:rsid w:val="004E6A6F"/>
    <w:rsid w:val="004E6AEA"/>
    <w:rsid w:val="004E6BFD"/>
    <w:rsid w:val="004E7DEA"/>
    <w:rsid w:val="004F180C"/>
    <w:rsid w:val="004F2986"/>
    <w:rsid w:val="004F3B55"/>
    <w:rsid w:val="004F428E"/>
    <w:rsid w:val="004F4E46"/>
    <w:rsid w:val="004F6B7D"/>
    <w:rsid w:val="004F6E45"/>
    <w:rsid w:val="004F7C5A"/>
    <w:rsid w:val="0050047B"/>
    <w:rsid w:val="00501122"/>
    <w:rsid w:val="005015F6"/>
    <w:rsid w:val="00502DB1"/>
    <w:rsid w:val="005030C4"/>
    <w:rsid w:val="005031C5"/>
    <w:rsid w:val="00504FDC"/>
    <w:rsid w:val="0050526B"/>
    <w:rsid w:val="00505F04"/>
    <w:rsid w:val="0050689C"/>
    <w:rsid w:val="00510FE6"/>
    <w:rsid w:val="00511168"/>
    <w:rsid w:val="005120CC"/>
    <w:rsid w:val="00512A27"/>
    <w:rsid w:val="00512B7B"/>
    <w:rsid w:val="00514EA1"/>
    <w:rsid w:val="005151EB"/>
    <w:rsid w:val="00515E6F"/>
    <w:rsid w:val="00516BBF"/>
    <w:rsid w:val="0051798B"/>
    <w:rsid w:val="00520084"/>
    <w:rsid w:val="005216C3"/>
    <w:rsid w:val="00521F5A"/>
    <w:rsid w:val="005220EB"/>
    <w:rsid w:val="005224F9"/>
    <w:rsid w:val="00523452"/>
    <w:rsid w:val="0052452A"/>
    <w:rsid w:val="005253A6"/>
    <w:rsid w:val="00525CAC"/>
    <w:rsid w:val="00525E06"/>
    <w:rsid w:val="005262F2"/>
    <w:rsid w:val="00526454"/>
    <w:rsid w:val="005267DA"/>
    <w:rsid w:val="00526F6F"/>
    <w:rsid w:val="00527B03"/>
    <w:rsid w:val="00531823"/>
    <w:rsid w:val="0053276A"/>
    <w:rsid w:val="0053419D"/>
    <w:rsid w:val="00534855"/>
    <w:rsid w:val="00534ECC"/>
    <w:rsid w:val="00535836"/>
    <w:rsid w:val="005367CA"/>
    <w:rsid w:val="0053720D"/>
    <w:rsid w:val="00540EF5"/>
    <w:rsid w:val="00541BF3"/>
    <w:rsid w:val="00541CD3"/>
    <w:rsid w:val="005437D5"/>
    <w:rsid w:val="00545082"/>
    <w:rsid w:val="005460C6"/>
    <w:rsid w:val="005463CB"/>
    <w:rsid w:val="0054697D"/>
    <w:rsid w:val="005476FA"/>
    <w:rsid w:val="00547F79"/>
    <w:rsid w:val="00553685"/>
    <w:rsid w:val="00553E9C"/>
    <w:rsid w:val="0055595E"/>
    <w:rsid w:val="00557988"/>
    <w:rsid w:val="00557D67"/>
    <w:rsid w:val="0056212F"/>
    <w:rsid w:val="00562C49"/>
    <w:rsid w:val="00562CCF"/>
    <w:rsid w:val="00562DEF"/>
    <w:rsid w:val="0056321A"/>
    <w:rsid w:val="005636BF"/>
    <w:rsid w:val="00563A35"/>
    <w:rsid w:val="00563AB0"/>
    <w:rsid w:val="00563F23"/>
    <w:rsid w:val="0056630F"/>
    <w:rsid w:val="00566596"/>
    <w:rsid w:val="00571432"/>
    <w:rsid w:val="00572DBA"/>
    <w:rsid w:val="005741E9"/>
    <w:rsid w:val="005748CF"/>
    <w:rsid w:val="0057655B"/>
    <w:rsid w:val="005803AF"/>
    <w:rsid w:val="00581277"/>
    <w:rsid w:val="005812DC"/>
    <w:rsid w:val="00582552"/>
    <w:rsid w:val="005834AC"/>
    <w:rsid w:val="00584270"/>
    <w:rsid w:val="00584738"/>
    <w:rsid w:val="00585AA4"/>
    <w:rsid w:val="00585E65"/>
    <w:rsid w:val="005920B0"/>
    <w:rsid w:val="0059380D"/>
    <w:rsid w:val="00593C8C"/>
    <w:rsid w:val="00594549"/>
    <w:rsid w:val="00595A8F"/>
    <w:rsid w:val="005977C2"/>
    <w:rsid w:val="00597BF2"/>
    <w:rsid w:val="00597C78"/>
    <w:rsid w:val="005A1F47"/>
    <w:rsid w:val="005A1F54"/>
    <w:rsid w:val="005A3020"/>
    <w:rsid w:val="005A6E7F"/>
    <w:rsid w:val="005B134E"/>
    <w:rsid w:val="005B2039"/>
    <w:rsid w:val="005B344F"/>
    <w:rsid w:val="005B36AF"/>
    <w:rsid w:val="005B3FBA"/>
    <w:rsid w:val="005B4A1D"/>
    <w:rsid w:val="005B52EA"/>
    <w:rsid w:val="005B674D"/>
    <w:rsid w:val="005B6B55"/>
    <w:rsid w:val="005C056D"/>
    <w:rsid w:val="005C093C"/>
    <w:rsid w:val="005C0CBE"/>
    <w:rsid w:val="005C0CC8"/>
    <w:rsid w:val="005C1FCF"/>
    <w:rsid w:val="005C2357"/>
    <w:rsid w:val="005C3F41"/>
    <w:rsid w:val="005C3FF3"/>
    <w:rsid w:val="005C56A5"/>
    <w:rsid w:val="005C718B"/>
    <w:rsid w:val="005D0292"/>
    <w:rsid w:val="005D17C0"/>
    <w:rsid w:val="005D1885"/>
    <w:rsid w:val="005D23A9"/>
    <w:rsid w:val="005D407C"/>
    <w:rsid w:val="005D4A38"/>
    <w:rsid w:val="005D564C"/>
    <w:rsid w:val="005D5FF0"/>
    <w:rsid w:val="005D64A8"/>
    <w:rsid w:val="005D7599"/>
    <w:rsid w:val="005E030C"/>
    <w:rsid w:val="005E03D9"/>
    <w:rsid w:val="005E1958"/>
    <w:rsid w:val="005E1D71"/>
    <w:rsid w:val="005E2A53"/>
    <w:rsid w:val="005E2EEA"/>
    <w:rsid w:val="005E3708"/>
    <w:rsid w:val="005E3CCD"/>
    <w:rsid w:val="005E3D6B"/>
    <w:rsid w:val="005E4785"/>
    <w:rsid w:val="005E54C2"/>
    <w:rsid w:val="005E5756"/>
    <w:rsid w:val="005E59FF"/>
    <w:rsid w:val="005E5B55"/>
    <w:rsid w:val="005E5E4A"/>
    <w:rsid w:val="005E6695"/>
    <w:rsid w:val="005E693D"/>
    <w:rsid w:val="005E7013"/>
    <w:rsid w:val="005E75BF"/>
    <w:rsid w:val="005F0BC8"/>
    <w:rsid w:val="005F1FC3"/>
    <w:rsid w:val="005F38C2"/>
    <w:rsid w:val="005F408E"/>
    <w:rsid w:val="005F45B1"/>
    <w:rsid w:val="005F57BA"/>
    <w:rsid w:val="005F5B6B"/>
    <w:rsid w:val="005F6159"/>
    <w:rsid w:val="005F618C"/>
    <w:rsid w:val="005F61E6"/>
    <w:rsid w:val="005F691C"/>
    <w:rsid w:val="005F6C45"/>
    <w:rsid w:val="00600E2F"/>
    <w:rsid w:val="0060294B"/>
    <w:rsid w:val="00602F65"/>
    <w:rsid w:val="006034DB"/>
    <w:rsid w:val="00603613"/>
    <w:rsid w:val="00603633"/>
    <w:rsid w:val="00604841"/>
    <w:rsid w:val="00605A69"/>
    <w:rsid w:val="00606BE0"/>
    <w:rsid w:val="00606C54"/>
    <w:rsid w:val="00607461"/>
    <w:rsid w:val="006077F2"/>
    <w:rsid w:val="0061123F"/>
    <w:rsid w:val="00611C6C"/>
    <w:rsid w:val="00612076"/>
    <w:rsid w:val="00612D68"/>
    <w:rsid w:val="00614375"/>
    <w:rsid w:val="00614EBD"/>
    <w:rsid w:val="0061575A"/>
    <w:rsid w:val="00615B0A"/>
    <w:rsid w:val="006168CF"/>
    <w:rsid w:val="00617A86"/>
    <w:rsid w:val="0062011B"/>
    <w:rsid w:val="00620F41"/>
    <w:rsid w:val="00621097"/>
    <w:rsid w:val="0062304E"/>
    <w:rsid w:val="00626DE0"/>
    <w:rsid w:val="00626FBC"/>
    <w:rsid w:val="00630901"/>
    <w:rsid w:val="00630A1A"/>
    <w:rsid w:val="00630F5F"/>
    <w:rsid w:val="00631F8E"/>
    <w:rsid w:val="00632284"/>
    <w:rsid w:val="00632851"/>
    <w:rsid w:val="00633094"/>
    <w:rsid w:val="00633DB2"/>
    <w:rsid w:val="00636B51"/>
    <w:rsid w:val="00636EE9"/>
    <w:rsid w:val="00640328"/>
    <w:rsid w:val="00640950"/>
    <w:rsid w:val="00641AE7"/>
    <w:rsid w:val="00642629"/>
    <w:rsid w:val="0064634E"/>
    <w:rsid w:val="00646713"/>
    <w:rsid w:val="006476A0"/>
    <w:rsid w:val="006476A9"/>
    <w:rsid w:val="0064782B"/>
    <w:rsid w:val="00647869"/>
    <w:rsid w:val="00650503"/>
    <w:rsid w:val="0065205B"/>
    <w:rsid w:val="0065293D"/>
    <w:rsid w:val="00652BA0"/>
    <w:rsid w:val="00653EFC"/>
    <w:rsid w:val="00654021"/>
    <w:rsid w:val="00654E03"/>
    <w:rsid w:val="006604BE"/>
    <w:rsid w:val="00661045"/>
    <w:rsid w:val="0066279A"/>
    <w:rsid w:val="00662FC1"/>
    <w:rsid w:val="0066559A"/>
    <w:rsid w:val="00665946"/>
    <w:rsid w:val="00665DF1"/>
    <w:rsid w:val="006662E5"/>
    <w:rsid w:val="00666DA8"/>
    <w:rsid w:val="0067040E"/>
    <w:rsid w:val="00671057"/>
    <w:rsid w:val="00671D47"/>
    <w:rsid w:val="006721C5"/>
    <w:rsid w:val="0067382A"/>
    <w:rsid w:val="00673A47"/>
    <w:rsid w:val="00674275"/>
    <w:rsid w:val="006753F0"/>
    <w:rsid w:val="00675A67"/>
    <w:rsid w:val="00675AAF"/>
    <w:rsid w:val="0068031A"/>
    <w:rsid w:val="006805D1"/>
    <w:rsid w:val="006813BF"/>
    <w:rsid w:val="00681B2F"/>
    <w:rsid w:val="00682D2B"/>
    <w:rsid w:val="0068335F"/>
    <w:rsid w:val="006866DD"/>
    <w:rsid w:val="00686BD1"/>
    <w:rsid w:val="00687217"/>
    <w:rsid w:val="00691054"/>
    <w:rsid w:val="006910DC"/>
    <w:rsid w:val="0069171D"/>
    <w:rsid w:val="00691FE1"/>
    <w:rsid w:val="00692A9E"/>
    <w:rsid w:val="00693302"/>
    <w:rsid w:val="00695568"/>
    <w:rsid w:val="0069640B"/>
    <w:rsid w:val="00697B39"/>
    <w:rsid w:val="00697C09"/>
    <w:rsid w:val="006A0BE7"/>
    <w:rsid w:val="006A1B83"/>
    <w:rsid w:val="006A1F5A"/>
    <w:rsid w:val="006A21CD"/>
    <w:rsid w:val="006A4728"/>
    <w:rsid w:val="006A5918"/>
    <w:rsid w:val="006A7ECC"/>
    <w:rsid w:val="006B05E8"/>
    <w:rsid w:val="006B21B2"/>
    <w:rsid w:val="006B21E9"/>
    <w:rsid w:val="006B25A0"/>
    <w:rsid w:val="006B3387"/>
    <w:rsid w:val="006B4A4A"/>
    <w:rsid w:val="006B4B9A"/>
    <w:rsid w:val="006B6334"/>
    <w:rsid w:val="006C1681"/>
    <w:rsid w:val="006C19B2"/>
    <w:rsid w:val="006C2D15"/>
    <w:rsid w:val="006C4409"/>
    <w:rsid w:val="006C466F"/>
    <w:rsid w:val="006C4992"/>
    <w:rsid w:val="006C4DD2"/>
    <w:rsid w:val="006C54D2"/>
    <w:rsid w:val="006C5BB8"/>
    <w:rsid w:val="006C6936"/>
    <w:rsid w:val="006C7B01"/>
    <w:rsid w:val="006C7B5D"/>
    <w:rsid w:val="006D0FE8"/>
    <w:rsid w:val="006D1C3A"/>
    <w:rsid w:val="006D1EB1"/>
    <w:rsid w:val="006D2915"/>
    <w:rsid w:val="006D41D6"/>
    <w:rsid w:val="006D4676"/>
    <w:rsid w:val="006D4B2B"/>
    <w:rsid w:val="006D4F3C"/>
    <w:rsid w:val="006D5147"/>
    <w:rsid w:val="006D5C66"/>
    <w:rsid w:val="006D7002"/>
    <w:rsid w:val="006E0FB6"/>
    <w:rsid w:val="006E15FC"/>
    <w:rsid w:val="006E1B3C"/>
    <w:rsid w:val="006E2335"/>
    <w:rsid w:val="006E23FB"/>
    <w:rsid w:val="006E325A"/>
    <w:rsid w:val="006E33EC"/>
    <w:rsid w:val="006E364D"/>
    <w:rsid w:val="006E3802"/>
    <w:rsid w:val="006E3F00"/>
    <w:rsid w:val="006E5693"/>
    <w:rsid w:val="006E5B5E"/>
    <w:rsid w:val="006E651A"/>
    <w:rsid w:val="006E6C02"/>
    <w:rsid w:val="006E75DC"/>
    <w:rsid w:val="006E7B9E"/>
    <w:rsid w:val="006F0867"/>
    <w:rsid w:val="006F1939"/>
    <w:rsid w:val="006F1AE6"/>
    <w:rsid w:val="006F1B0D"/>
    <w:rsid w:val="006F1B84"/>
    <w:rsid w:val="006F231A"/>
    <w:rsid w:val="006F49DF"/>
    <w:rsid w:val="006F6267"/>
    <w:rsid w:val="006F631D"/>
    <w:rsid w:val="006F6B55"/>
    <w:rsid w:val="006F74AF"/>
    <w:rsid w:val="006F788D"/>
    <w:rsid w:val="006F78E1"/>
    <w:rsid w:val="007000FF"/>
    <w:rsid w:val="00700653"/>
    <w:rsid w:val="00701072"/>
    <w:rsid w:val="00702054"/>
    <w:rsid w:val="00702569"/>
    <w:rsid w:val="007035A4"/>
    <w:rsid w:val="0070720F"/>
    <w:rsid w:val="00707A50"/>
    <w:rsid w:val="00710FBE"/>
    <w:rsid w:val="0071112E"/>
    <w:rsid w:val="00711799"/>
    <w:rsid w:val="007118C8"/>
    <w:rsid w:val="00711A7D"/>
    <w:rsid w:val="0071227A"/>
    <w:rsid w:val="00712B43"/>
    <w:rsid w:val="00712B78"/>
    <w:rsid w:val="00712C3E"/>
    <w:rsid w:val="00713351"/>
    <w:rsid w:val="0071393B"/>
    <w:rsid w:val="00713E9B"/>
    <w:rsid w:val="00713EE2"/>
    <w:rsid w:val="007177FC"/>
    <w:rsid w:val="00720C5E"/>
    <w:rsid w:val="00721701"/>
    <w:rsid w:val="00723CBE"/>
    <w:rsid w:val="0072456C"/>
    <w:rsid w:val="007266C3"/>
    <w:rsid w:val="00726831"/>
    <w:rsid w:val="0072711F"/>
    <w:rsid w:val="00727DD3"/>
    <w:rsid w:val="00731835"/>
    <w:rsid w:val="0073343E"/>
    <w:rsid w:val="0073391D"/>
    <w:rsid w:val="007341F8"/>
    <w:rsid w:val="007342E4"/>
    <w:rsid w:val="00734372"/>
    <w:rsid w:val="00734D31"/>
    <w:rsid w:val="00734EB8"/>
    <w:rsid w:val="00735F8B"/>
    <w:rsid w:val="00736B47"/>
    <w:rsid w:val="00736D74"/>
    <w:rsid w:val="0074090B"/>
    <w:rsid w:val="00741CA9"/>
    <w:rsid w:val="00742D1F"/>
    <w:rsid w:val="00743EBA"/>
    <w:rsid w:val="00744C8E"/>
    <w:rsid w:val="00745737"/>
    <w:rsid w:val="0074707E"/>
    <w:rsid w:val="007477E9"/>
    <w:rsid w:val="00747AA4"/>
    <w:rsid w:val="00750345"/>
    <w:rsid w:val="00750929"/>
    <w:rsid w:val="007509CD"/>
    <w:rsid w:val="007516DC"/>
    <w:rsid w:val="00752E58"/>
    <w:rsid w:val="007547FD"/>
    <w:rsid w:val="00754B80"/>
    <w:rsid w:val="00754C92"/>
    <w:rsid w:val="00754D0F"/>
    <w:rsid w:val="007559D6"/>
    <w:rsid w:val="00756321"/>
    <w:rsid w:val="00756CB7"/>
    <w:rsid w:val="00761918"/>
    <w:rsid w:val="007629B7"/>
    <w:rsid w:val="00762F03"/>
    <w:rsid w:val="00763824"/>
    <w:rsid w:val="00763B6E"/>
    <w:rsid w:val="0076413B"/>
    <w:rsid w:val="007648AE"/>
    <w:rsid w:val="00764BF8"/>
    <w:rsid w:val="0076514D"/>
    <w:rsid w:val="00765FCF"/>
    <w:rsid w:val="007662A4"/>
    <w:rsid w:val="00766788"/>
    <w:rsid w:val="00767A5A"/>
    <w:rsid w:val="00771A6A"/>
    <w:rsid w:val="00772A49"/>
    <w:rsid w:val="00773D59"/>
    <w:rsid w:val="00773FC8"/>
    <w:rsid w:val="00775193"/>
    <w:rsid w:val="007761A5"/>
    <w:rsid w:val="00776F6B"/>
    <w:rsid w:val="00777AAD"/>
    <w:rsid w:val="007803FE"/>
    <w:rsid w:val="00781003"/>
    <w:rsid w:val="00782D67"/>
    <w:rsid w:val="00782DCB"/>
    <w:rsid w:val="007865A0"/>
    <w:rsid w:val="0078692B"/>
    <w:rsid w:val="00790D41"/>
    <w:rsid w:val="00791044"/>
    <w:rsid w:val="007911FD"/>
    <w:rsid w:val="007932B8"/>
    <w:rsid w:val="00793930"/>
    <w:rsid w:val="00793DD1"/>
    <w:rsid w:val="00794FEC"/>
    <w:rsid w:val="007962B3"/>
    <w:rsid w:val="00796671"/>
    <w:rsid w:val="00796A20"/>
    <w:rsid w:val="00797D03"/>
    <w:rsid w:val="007A003E"/>
    <w:rsid w:val="007A00E3"/>
    <w:rsid w:val="007A1965"/>
    <w:rsid w:val="007A2ED1"/>
    <w:rsid w:val="007A42FA"/>
    <w:rsid w:val="007A4BE6"/>
    <w:rsid w:val="007A4FAF"/>
    <w:rsid w:val="007B0CD2"/>
    <w:rsid w:val="007B0DC6"/>
    <w:rsid w:val="007B0EA2"/>
    <w:rsid w:val="007B1094"/>
    <w:rsid w:val="007B1136"/>
    <w:rsid w:val="007B1762"/>
    <w:rsid w:val="007B27FE"/>
    <w:rsid w:val="007B30A3"/>
    <w:rsid w:val="007B3320"/>
    <w:rsid w:val="007B5949"/>
    <w:rsid w:val="007B60F1"/>
    <w:rsid w:val="007B69F9"/>
    <w:rsid w:val="007C301F"/>
    <w:rsid w:val="007C4540"/>
    <w:rsid w:val="007C55D6"/>
    <w:rsid w:val="007C65AF"/>
    <w:rsid w:val="007C71B6"/>
    <w:rsid w:val="007D108C"/>
    <w:rsid w:val="007D135D"/>
    <w:rsid w:val="007D2A9A"/>
    <w:rsid w:val="007D33B0"/>
    <w:rsid w:val="007D556B"/>
    <w:rsid w:val="007D5D14"/>
    <w:rsid w:val="007D6879"/>
    <w:rsid w:val="007D700D"/>
    <w:rsid w:val="007D730F"/>
    <w:rsid w:val="007D7CD8"/>
    <w:rsid w:val="007E0AAE"/>
    <w:rsid w:val="007E0B2A"/>
    <w:rsid w:val="007E113E"/>
    <w:rsid w:val="007E152B"/>
    <w:rsid w:val="007E2A7D"/>
    <w:rsid w:val="007E3AA7"/>
    <w:rsid w:val="007E4944"/>
    <w:rsid w:val="007E56DF"/>
    <w:rsid w:val="007E5B7B"/>
    <w:rsid w:val="007E5E77"/>
    <w:rsid w:val="007F08A1"/>
    <w:rsid w:val="007F2331"/>
    <w:rsid w:val="007F2E88"/>
    <w:rsid w:val="007F4617"/>
    <w:rsid w:val="007F737D"/>
    <w:rsid w:val="0080114B"/>
    <w:rsid w:val="0080308E"/>
    <w:rsid w:val="008036DD"/>
    <w:rsid w:val="00805303"/>
    <w:rsid w:val="00805835"/>
    <w:rsid w:val="00806705"/>
    <w:rsid w:val="00806738"/>
    <w:rsid w:val="008067C0"/>
    <w:rsid w:val="0080778A"/>
    <w:rsid w:val="00811BD4"/>
    <w:rsid w:val="0081332B"/>
    <w:rsid w:val="00813570"/>
    <w:rsid w:val="008144F5"/>
    <w:rsid w:val="0081497E"/>
    <w:rsid w:val="00814AAA"/>
    <w:rsid w:val="00815BF1"/>
    <w:rsid w:val="00816D7D"/>
    <w:rsid w:val="008203B6"/>
    <w:rsid w:val="00820708"/>
    <w:rsid w:val="00821225"/>
    <w:rsid w:val="008216D5"/>
    <w:rsid w:val="008229DA"/>
    <w:rsid w:val="008249CE"/>
    <w:rsid w:val="008264D1"/>
    <w:rsid w:val="00827CDD"/>
    <w:rsid w:val="00831A50"/>
    <w:rsid w:val="00831B3C"/>
    <w:rsid w:val="00831C89"/>
    <w:rsid w:val="00832114"/>
    <w:rsid w:val="008339C1"/>
    <w:rsid w:val="00834C46"/>
    <w:rsid w:val="008355CA"/>
    <w:rsid w:val="00835D0A"/>
    <w:rsid w:val="0084093E"/>
    <w:rsid w:val="00841CE1"/>
    <w:rsid w:val="0084276D"/>
    <w:rsid w:val="008440F1"/>
    <w:rsid w:val="00845371"/>
    <w:rsid w:val="008458C5"/>
    <w:rsid w:val="0084678D"/>
    <w:rsid w:val="00846B98"/>
    <w:rsid w:val="008473D8"/>
    <w:rsid w:val="00847E98"/>
    <w:rsid w:val="00847FBC"/>
    <w:rsid w:val="008528DC"/>
    <w:rsid w:val="00852B8C"/>
    <w:rsid w:val="008543AD"/>
    <w:rsid w:val="00854981"/>
    <w:rsid w:val="0085519B"/>
    <w:rsid w:val="00857B2F"/>
    <w:rsid w:val="0086044F"/>
    <w:rsid w:val="00860A82"/>
    <w:rsid w:val="00864B2E"/>
    <w:rsid w:val="00865963"/>
    <w:rsid w:val="00866D1F"/>
    <w:rsid w:val="008709BF"/>
    <w:rsid w:val="00870FD9"/>
    <w:rsid w:val="00871C1D"/>
    <w:rsid w:val="00873A84"/>
    <w:rsid w:val="0087450E"/>
    <w:rsid w:val="00875A82"/>
    <w:rsid w:val="00875F1A"/>
    <w:rsid w:val="00876CA3"/>
    <w:rsid w:val="008772FE"/>
    <w:rsid w:val="008775F1"/>
    <w:rsid w:val="00880FEE"/>
    <w:rsid w:val="008816BF"/>
    <w:rsid w:val="008821AE"/>
    <w:rsid w:val="008829D7"/>
    <w:rsid w:val="00883D3A"/>
    <w:rsid w:val="008854F7"/>
    <w:rsid w:val="00885A9D"/>
    <w:rsid w:val="008929D2"/>
    <w:rsid w:val="00892D83"/>
    <w:rsid w:val="00893442"/>
    <w:rsid w:val="00893583"/>
    <w:rsid w:val="00893636"/>
    <w:rsid w:val="00893B94"/>
    <w:rsid w:val="0089502D"/>
    <w:rsid w:val="008952A4"/>
    <w:rsid w:val="00896E9D"/>
    <w:rsid w:val="00896F11"/>
    <w:rsid w:val="008A0B12"/>
    <w:rsid w:val="008A1049"/>
    <w:rsid w:val="008A1590"/>
    <w:rsid w:val="008A1A45"/>
    <w:rsid w:val="008A1C98"/>
    <w:rsid w:val="008A2D46"/>
    <w:rsid w:val="008A322D"/>
    <w:rsid w:val="008A3EE4"/>
    <w:rsid w:val="008A4D72"/>
    <w:rsid w:val="008A57F3"/>
    <w:rsid w:val="008A60B5"/>
    <w:rsid w:val="008A6285"/>
    <w:rsid w:val="008A63B2"/>
    <w:rsid w:val="008B3075"/>
    <w:rsid w:val="008B345D"/>
    <w:rsid w:val="008B7E2F"/>
    <w:rsid w:val="008C0412"/>
    <w:rsid w:val="008C0923"/>
    <w:rsid w:val="008C1EEF"/>
    <w:rsid w:val="008C1FC2"/>
    <w:rsid w:val="008C2980"/>
    <w:rsid w:val="008C2F78"/>
    <w:rsid w:val="008C4069"/>
    <w:rsid w:val="008C4CC3"/>
    <w:rsid w:val="008C4DD6"/>
    <w:rsid w:val="008C5AFB"/>
    <w:rsid w:val="008C7C95"/>
    <w:rsid w:val="008D070E"/>
    <w:rsid w:val="008D07FB"/>
    <w:rsid w:val="008D0C02"/>
    <w:rsid w:val="008D112F"/>
    <w:rsid w:val="008D2496"/>
    <w:rsid w:val="008D25D8"/>
    <w:rsid w:val="008D357D"/>
    <w:rsid w:val="008D435A"/>
    <w:rsid w:val="008D5F9A"/>
    <w:rsid w:val="008D610E"/>
    <w:rsid w:val="008E04EE"/>
    <w:rsid w:val="008E09D9"/>
    <w:rsid w:val="008E11E7"/>
    <w:rsid w:val="008E18FA"/>
    <w:rsid w:val="008E2696"/>
    <w:rsid w:val="008E387B"/>
    <w:rsid w:val="008E3C04"/>
    <w:rsid w:val="008E41EF"/>
    <w:rsid w:val="008E6087"/>
    <w:rsid w:val="008E6C05"/>
    <w:rsid w:val="008E758D"/>
    <w:rsid w:val="008F10A7"/>
    <w:rsid w:val="008F2A4E"/>
    <w:rsid w:val="008F4454"/>
    <w:rsid w:val="008F5252"/>
    <w:rsid w:val="008F5894"/>
    <w:rsid w:val="008F62FA"/>
    <w:rsid w:val="008F6663"/>
    <w:rsid w:val="008F752C"/>
    <w:rsid w:val="008F755D"/>
    <w:rsid w:val="008F7A39"/>
    <w:rsid w:val="009021E8"/>
    <w:rsid w:val="00902AD1"/>
    <w:rsid w:val="00902F9B"/>
    <w:rsid w:val="009039A7"/>
    <w:rsid w:val="0090418F"/>
    <w:rsid w:val="00904677"/>
    <w:rsid w:val="0090489B"/>
    <w:rsid w:val="0090531F"/>
    <w:rsid w:val="00905EE2"/>
    <w:rsid w:val="00906257"/>
    <w:rsid w:val="00907932"/>
    <w:rsid w:val="00907998"/>
    <w:rsid w:val="00911440"/>
    <w:rsid w:val="00911712"/>
    <w:rsid w:val="00911B27"/>
    <w:rsid w:val="00914E8B"/>
    <w:rsid w:val="009151E8"/>
    <w:rsid w:val="00916685"/>
    <w:rsid w:val="009170BE"/>
    <w:rsid w:val="009171D1"/>
    <w:rsid w:val="009207F0"/>
    <w:rsid w:val="00920B55"/>
    <w:rsid w:val="0092271C"/>
    <w:rsid w:val="00923E54"/>
    <w:rsid w:val="00925CF5"/>
    <w:rsid w:val="00926018"/>
    <w:rsid w:val="009262C9"/>
    <w:rsid w:val="00926D3D"/>
    <w:rsid w:val="0093000F"/>
    <w:rsid w:val="00930199"/>
    <w:rsid w:val="00930EB9"/>
    <w:rsid w:val="00931DEE"/>
    <w:rsid w:val="00932054"/>
    <w:rsid w:val="00933DC7"/>
    <w:rsid w:val="00937197"/>
    <w:rsid w:val="00937299"/>
    <w:rsid w:val="00937C24"/>
    <w:rsid w:val="0094188D"/>
    <w:rsid w:val="009418F4"/>
    <w:rsid w:val="00942BBC"/>
    <w:rsid w:val="009439E3"/>
    <w:rsid w:val="00944180"/>
    <w:rsid w:val="00944AA0"/>
    <w:rsid w:val="00945B8B"/>
    <w:rsid w:val="00946524"/>
    <w:rsid w:val="00946EAF"/>
    <w:rsid w:val="00947DA2"/>
    <w:rsid w:val="009506A6"/>
    <w:rsid w:val="0095080F"/>
    <w:rsid w:val="0095112D"/>
    <w:rsid w:val="00951177"/>
    <w:rsid w:val="00952E29"/>
    <w:rsid w:val="00954310"/>
    <w:rsid w:val="009561D0"/>
    <w:rsid w:val="009578EA"/>
    <w:rsid w:val="00961895"/>
    <w:rsid w:val="00961C09"/>
    <w:rsid w:val="009626A2"/>
    <w:rsid w:val="009640D0"/>
    <w:rsid w:val="00964156"/>
    <w:rsid w:val="00964BDC"/>
    <w:rsid w:val="00965347"/>
    <w:rsid w:val="00966E55"/>
    <w:rsid w:val="009673E8"/>
    <w:rsid w:val="0097136F"/>
    <w:rsid w:val="00972C01"/>
    <w:rsid w:val="00973E69"/>
    <w:rsid w:val="00974DB8"/>
    <w:rsid w:val="00974FAD"/>
    <w:rsid w:val="00976710"/>
    <w:rsid w:val="009800D5"/>
    <w:rsid w:val="00980552"/>
    <w:rsid w:val="00980661"/>
    <w:rsid w:val="0098093B"/>
    <w:rsid w:val="00980EF8"/>
    <w:rsid w:val="009825C3"/>
    <w:rsid w:val="00982C81"/>
    <w:rsid w:val="0098333F"/>
    <w:rsid w:val="00983B20"/>
    <w:rsid w:val="00984744"/>
    <w:rsid w:val="00984C51"/>
    <w:rsid w:val="0098557D"/>
    <w:rsid w:val="009876D4"/>
    <w:rsid w:val="009908C5"/>
    <w:rsid w:val="009914A5"/>
    <w:rsid w:val="0099548E"/>
    <w:rsid w:val="00996456"/>
    <w:rsid w:val="00996A12"/>
    <w:rsid w:val="00997A21"/>
    <w:rsid w:val="00997B0F"/>
    <w:rsid w:val="009A0521"/>
    <w:rsid w:val="009A0CC3"/>
    <w:rsid w:val="009A1CAD"/>
    <w:rsid w:val="009A2CD8"/>
    <w:rsid w:val="009A3440"/>
    <w:rsid w:val="009A38B7"/>
    <w:rsid w:val="009A4B02"/>
    <w:rsid w:val="009A5832"/>
    <w:rsid w:val="009A6838"/>
    <w:rsid w:val="009B00F2"/>
    <w:rsid w:val="009B021C"/>
    <w:rsid w:val="009B0380"/>
    <w:rsid w:val="009B1127"/>
    <w:rsid w:val="009B18DA"/>
    <w:rsid w:val="009B24B5"/>
    <w:rsid w:val="009B42C7"/>
    <w:rsid w:val="009B4EBC"/>
    <w:rsid w:val="009B5ABB"/>
    <w:rsid w:val="009B73CE"/>
    <w:rsid w:val="009B797F"/>
    <w:rsid w:val="009C16D9"/>
    <w:rsid w:val="009C2461"/>
    <w:rsid w:val="009C2A1B"/>
    <w:rsid w:val="009C2BE2"/>
    <w:rsid w:val="009C342D"/>
    <w:rsid w:val="009C3612"/>
    <w:rsid w:val="009C443D"/>
    <w:rsid w:val="009C5A15"/>
    <w:rsid w:val="009C6FE2"/>
    <w:rsid w:val="009C73B0"/>
    <w:rsid w:val="009C7674"/>
    <w:rsid w:val="009D004A"/>
    <w:rsid w:val="009D053A"/>
    <w:rsid w:val="009D05A5"/>
    <w:rsid w:val="009D0B4D"/>
    <w:rsid w:val="009D2581"/>
    <w:rsid w:val="009D315B"/>
    <w:rsid w:val="009D41CE"/>
    <w:rsid w:val="009D4EF5"/>
    <w:rsid w:val="009D5880"/>
    <w:rsid w:val="009D5C02"/>
    <w:rsid w:val="009D637F"/>
    <w:rsid w:val="009D65DB"/>
    <w:rsid w:val="009D795D"/>
    <w:rsid w:val="009E070B"/>
    <w:rsid w:val="009E1FD4"/>
    <w:rsid w:val="009E21E4"/>
    <w:rsid w:val="009E3B07"/>
    <w:rsid w:val="009E3F2C"/>
    <w:rsid w:val="009E4283"/>
    <w:rsid w:val="009E51D1"/>
    <w:rsid w:val="009E5531"/>
    <w:rsid w:val="009E5B1B"/>
    <w:rsid w:val="009E6C61"/>
    <w:rsid w:val="009E79A5"/>
    <w:rsid w:val="009F110F"/>
    <w:rsid w:val="009F1395"/>
    <w:rsid w:val="009F171E"/>
    <w:rsid w:val="009F3D2F"/>
    <w:rsid w:val="009F589D"/>
    <w:rsid w:val="009F67DD"/>
    <w:rsid w:val="009F7052"/>
    <w:rsid w:val="009F7A6D"/>
    <w:rsid w:val="00A00805"/>
    <w:rsid w:val="00A01206"/>
    <w:rsid w:val="00A01AA0"/>
    <w:rsid w:val="00A023B0"/>
    <w:rsid w:val="00A02668"/>
    <w:rsid w:val="00A02801"/>
    <w:rsid w:val="00A0579C"/>
    <w:rsid w:val="00A06A39"/>
    <w:rsid w:val="00A06B6F"/>
    <w:rsid w:val="00A06C37"/>
    <w:rsid w:val="00A06F3C"/>
    <w:rsid w:val="00A07F58"/>
    <w:rsid w:val="00A11FE9"/>
    <w:rsid w:val="00A12E0A"/>
    <w:rsid w:val="00A131CB"/>
    <w:rsid w:val="00A1369B"/>
    <w:rsid w:val="00A141F4"/>
    <w:rsid w:val="00A14847"/>
    <w:rsid w:val="00A151C0"/>
    <w:rsid w:val="00A15B84"/>
    <w:rsid w:val="00A15DAB"/>
    <w:rsid w:val="00A16D6D"/>
    <w:rsid w:val="00A1706B"/>
    <w:rsid w:val="00A1779A"/>
    <w:rsid w:val="00A20752"/>
    <w:rsid w:val="00A21383"/>
    <w:rsid w:val="00A2199F"/>
    <w:rsid w:val="00A21B31"/>
    <w:rsid w:val="00A230F6"/>
    <w:rsid w:val="00A2360E"/>
    <w:rsid w:val="00A24C3D"/>
    <w:rsid w:val="00A2511A"/>
    <w:rsid w:val="00A26247"/>
    <w:rsid w:val="00A26E0C"/>
    <w:rsid w:val="00A3068B"/>
    <w:rsid w:val="00A32A6B"/>
    <w:rsid w:val="00A32FCB"/>
    <w:rsid w:val="00A332C2"/>
    <w:rsid w:val="00A338FF"/>
    <w:rsid w:val="00A34C25"/>
    <w:rsid w:val="00A34F5D"/>
    <w:rsid w:val="00A3507D"/>
    <w:rsid w:val="00A35DF3"/>
    <w:rsid w:val="00A35EBB"/>
    <w:rsid w:val="00A36177"/>
    <w:rsid w:val="00A3717A"/>
    <w:rsid w:val="00A4088C"/>
    <w:rsid w:val="00A41F40"/>
    <w:rsid w:val="00A42B78"/>
    <w:rsid w:val="00A4456B"/>
    <w:rsid w:val="00A448D4"/>
    <w:rsid w:val="00A44F10"/>
    <w:rsid w:val="00A452E0"/>
    <w:rsid w:val="00A466DB"/>
    <w:rsid w:val="00A46C0B"/>
    <w:rsid w:val="00A506DF"/>
    <w:rsid w:val="00A50CFA"/>
    <w:rsid w:val="00A515BA"/>
    <w:rsid w:val="00A51EA5"/>
    <w:rsid w:val="00A5372A"/>
    <w:rsid w:val="00A53742"/>
    <w:rsid w:val="00A541A8"/>
    <w:rsid w:val="00A541D4"/>
    <w:rsid w:val="00A542CD"/>
    <w:rsid w:val="00A543DB"/>
    <w:rsid w:val="00A545B0"/>
    <w:rsid w:val="00A54FB1"/>
    <w:rsid w:val="00A557A1"/>
    <w:rsid w:val="00A5646A"/>
    <w:rsid w:val="00A6265A"/>
    <w:rsid w:val="00A63059"/>
    <w:rsid w:val="00A63AE3"/>
    <w:rsid w:val="00A651A4"/>
    <w:rsid w:val="00A70352"/>
    <w:rsid w:val="00A71361"/>
    <w:rsid w:val="00A71397"/>
    <w:rsid w:val="00A73292"/>
    <w:rsid w:val="00A74314"/>
    <w:rsid w:val="00A7441C"/>
    <w:rsid w:val="00A746E2"/>
    <w:rsid w:val="00A74DF8"/>
    <w:rsid w:val="00A753FF"/>
    <w:rsid w:val="00A75579"/>
    <w:rsid w:val="00A75D03"/>
    <w:rsid w:val="00A81A2D"/>
    <w:rsid w:val="00A81FF2"/>
    <w:rsid w:val="00A83904"/>
    <w:rsid w:val="00A9019E"/>
    <w:rsid w:val="00A90A79"/>
    <w:rsid w:val="00A90BBB"/>
    <w:rsid w:val="00A9192D"/>
    <w:rsid w:val="00A91F00"/>
    <w:rsid w:val="00A927E0"/>
    <w:rsid w:val="00A957EE"/>
    <w:rsid w:val="00A95888"/>
    <w:rsid w:val="00A958E3"/>
    <w:rsid w:val="00A963B5"/>
    <w:rsid w:val="00A96B30"/>
    <w:rsid w:val="00A96F95"/>
    <w:rsid w:val="00A96FC6"/>
    <w:rsid w:val="00AA0962"/>
    <w:rsid w:val="00AA330A"/>
    <w:rsid w:val="00AA3546"/>
    <w:rsid w:val="00AA4131"/>
    <w:rsid w:val="00AA4185"/>
    <w:rsid w:val="00AA442D"/>
    <w:rsid w:val="00AA4BC2"/>
    <w:rsid w:val="00AA52C0"/>
    <w:rsid w:val="00AA59B5"/>
    <w:rsid w:val="00AA6994"/>
    <w:rsid w:val="00AA6AB3"/>
    <w:rsid w:val="00AA7777"/>
    <w:rsid w:val="00AA7B84"/>
    <w:rsid w:val="00AB0DC6"/>
    <w:rsid w:val="00AB1E93"/>
    <w:rsid w:val="00AB3F21"/>
    <w:rsid w:val="00AB708D"/>
    <w:rsid w:val="00AB7EA9"/>
    <w:rsid w:val="00AC011C"/>
    <w:rsid w:val="00AC0B4C"/>
    <w:rsid w:val="00AC1164"/>
    <w:rsid w:val="00AC11CB"/>
    <w:rsid w:val="00AC2296"/>
    <w:rsid w:val="00AC2754"/>
    <w:rsid w:val="00AC48B0"/>
    <w:rsid w:val="00AC4ACD"/>
    <w:rsid w:val="00AC5DFB"/>
    <w:rsid w:val="00AD13DC"/>
    <w:rsid w:val="00AD3D73"/>
    <w:rsid w:val="00AD44C7"/>
    <w:rsid w:val="00AD59B4"/>
    <w:rsid w:val="00AD5CEF"/>
    <w:rsid w:val="00AD654C"/>
    <w:rsid w:val="00AD6DE2"/>
    <w:rsid w:val="00AD773D"/>
    <w:rsid w:val="00AD7DF0"/>
    <w:rsid w:val="00AE00DC"/>
    <w:rsid w:val="00AE0A40"/>
    <w:rsid w:val="00AE0A57"/>
    <w:rsid w:val="00AE1ED4"/>
    <w:rsid w:val="00AE21E1"/>
    <w:rsid w:val="00AE2F8D"/>
    <w:rsid w:val="00AE3BAE"/>
    <w:rsid w:val="00AE3D3A"/>
    <w:rsid w:val="00AE479B"/>
    <w:rsid w:val="00AE5937"/>
    <w:rsid w:val="00AE6A21"/>
    <w:rsid w:val="00AE76BD"/>
    <w:rsid w:val="00AF1C8F"/>
    <w:rsid w:val="00AF219E"/>
    <w:rsid w:val="00AF2B68"/>
    <w:rsid w:val="00AF2C92"/>
    <w:rsid w:val="00AF34D2"/>
    <w:rsid w:val="00AF3B30"/>
    <w:rsid w:val="00AF3EC1"/>
    <w:rsid w:val="00AF47B9"/>
    <w:rsid w:val="00AF5025"/>
    <w:rsid w:val="00AF519F"/>
    <w:rsid w:val="00AF5387"/>
    <w:rsid w:val="00AF55F5"/>
    <w:rsid w:val="00AF78D1"/>
    <w:rsid w:val="00AF7E86"/>
    <w:rsid w:val="00B00DC2"/>
    <w:rsid w:val="00B01236"/>
    <w:rsid w:val="00B01397"/>
    <w:rsid w:val="00B024B9"/>
    <w:rsid w:val="00B0289D"/>
    <w:rsid w:val="00B03046"/>
    <w:rsid w:val="00B0378B"/>
    <w:rsid w:val="00B03FD0"/>
    <w:rsid w:val="00B077FA"/>
    <w:rsid w:val="00B11628"/>
    <w:rsid w:val="00B127D7"/>
    <w:rsid w:val="00B13742"/>
    <w:rsid w:val="00B13B0C"/>
    <w:rsid w:val="00B14408"/>
    <w:rsid w:val="00B1453A"/>
    <w:rsid w:val="00B15007"/>
    <w:rsid w:val="00B1661C"/>
    <w:rsid w:val="00B16E90"/>
    <w:rsid w:val="00B1726C"/>
    <w:rsid w:val="00B17B42"/>
    <w:rsid w:val="00B20F82"/>
    <w:rsid w:val="00B21500"/>
    <w:rsid w:val="00B223A8"/>
    <w:rsid w:val="00B233E2"/>
    <w:rsid w:val="00B236DA"/>
    <w:rsid w:val="00B2375C"/>
    <w:rsid w:val="00B25BD5"/>
    <w:rsid w:val="00B26290"/>
    <w:rsid w:val="00B2744B"/>
    <w:rsid w:val="00B30F7E"/>
    <w:rsid w:val="00B34079"/>
    <w:rsid w:val="00B346B8"/>
    <w:rsid w:val="00B3793A"/>
    <w:rsid w:val="00B379ED"/>
    <w:rsid w:val="00B401BA"/>
    <w:rsid w:val="00B407E4"/>
    <w:rsid w:val="00B42170"/>
    <w:rsid w:val="00B425B6"/>
    <w:rsid w:val="00B42A72"/>
    <w:rsid w:val="00B43210"/>
    <w:rsid w:val="00B43C4A"/>
    <w:rsid w:val="00B441AE"/>
    <w:rsid w:val="00B4465B"/>
    <w:rsid w:val="00B45A65"/>
    <w:rsid w:val="00B45CE9"/>
    <w:rsid w:val="00B45F33"/>
    <w:rsid w:val="00B463C0"/>
    <w:rsid w:val="00B46D50"/>
    <w:rsid w:val="00B530A5"/>
    <w:rsid w:val="00B53170"/>
    <w:rsid w:val="00B5331B"/>
    <w:rsid w:val="00B5371C"/>
    <w:rsid w:val="00B548B9"/>
    <w:rsid w:val="00B549B5"/>
    <w:rsid w:val="00B55BCF"/>
    <w:rsid w:val="00B56DBE"/>
    <w:rsid w:val="00B611DB"/>
    <w:rsid w:val="00B623E2"/>
    <w:rsid w:val="00B626CC"/>
    <w:rsid w:val="00B62999"/>
    <w:rsid w:val="00B63105"/>
    <w:rsid w:val="00B63366"/>
    <w:rsid w:val="00B63BE3"/>
    <w:rsid w:val="00B64308"/>
    <w:rsid w:val="00B64885"/>
    <w:rsid w:val="00B64A9C"/>
    <w:rsid w:val="00B64FA3"/>
    <w:rsid w:val="00B65A05"/>
    <w:rsid w:val="00B66810"/>
    <w:rsid w:val="00B66B41"/>
    <w:rsid w:val="00B67040"/>
    <w:rsid w:val="00B7037E"/>
    <w:rsid w:val="00B70B80"/>
    <w:rsid w:val="00B71915"/>
    <w:rsid w:val="00B72BE3"/>
    <w:rsid w:val="00B72E1E"/>
    <w:rsid w:val="00B73330"/>
    <w:rsid w:val="00B73B80"/>
    <w:rsid w:val="00B75F98"/>
    <w:rsid w:val="00B763EB"/>
    <w:rsid w:val="00B770C7"/>
    <w:rsid w:val="00B770D7"/>
    <w:rsid w:val="00B772AB"/>
    <w:rsid w:val="00B80C10"/>
    <w:rsid w:val="00B80F26"/>
    <w:rsid w:val="00B820C2"/>
    <w:rsid w:val="00B822BD"/>
    <w:rsid w:val="00B82387"/>
    <w:rsid w:val="00B842F4"/>
    <w:rsid w:val="00B86E6A"/>
    <w:rsid w:val="00B8791B"/>
    <w:rsid w:val="00B90374"/>
    <w:rsid w:val="00B91541"/>
    <w:rsid w:val="00B915FA"/>
    <w:rsid w:val="00B91A7B"/>
    <w:rsid w:val="00B924B7"/>
    <w:rsid w:val="00B929DD"/>
    <w:rsid w:val="00B9302E"/>
    <w:rsid w:val="00B9340C"/>
    <w:rsid w:val="00B93AF6"/>
    <w:rsid w:val="00B94C59"/>
    <w:rsid w:val="00B94FE2"/>
    <w:rsid w:val="00B94FE9"/>
    <w:rsid w:val="00B95405"/>
    <w:rsid w:val="00B963BB"/>
    <w:rsid w:val="00B963F1"/>
    <w:rsid w:val="00B96732"/>
    <w:rsid w:val="00B97A67"/>
    <w:rsid w:val="00BA020A"/>
    <w:rsid w:val="00BA24C7"/>
    <w:rsid w:val="00BA24D5"/>
    <w:rsid w:val="00BA2FAC"/>
    <w:rsid w:val="00BA3064"/>
    <w:rsid w:val="00BA358B"/>
    <w:rsid w:val="00BA5195"/>
    <w:rsid w:val="00BA5466"/>
    <w:rsid w:val="00BA5CFC"/>
    <w:rsid w:val="00BA796B"/>
    <w:rsid w:val="00BB00F2"/>
    <w:rsid w:val="00BB025A"/>
    <w:rsid w:val="00BB02A4"/>
    <w:rsid w:val="00BB08A0"/>
    <w:rsid w:val="00BB1270"/>
    <w:rsid w:val="00BB1D52"/>
    <w:rsid w:val="00BB1E44"/>
    <w:rsid w:val="00BB1F02"/>
    <w:rsid w:val="00BB4672"/>
    <w:rsid w:val="00BB4F5E"/>
    <w:rsid w:val="00BB5267"/>
    <w:rsid w:val="00BB52B8"/>
    <w:rsid w:val="00BB5321"/>
    <w:rsid w:val="00BB59D8"/>
    <w:rsid w:val="00BB5EBD"/>
    <w:rsid w:val="00BB71E7"/>
    <w:rsid w:val="00BB724F"/>
    <w:rsid w:val="00BB7621"/>
    <w:rsid w:val="00BB7E69"/>
    <w:rsid w:val="00BC02A6"/>
    <w:rsid w:val="00BC0E51"/>
    <w:rsid w:val="00BC2E48"/>
    <w:rsid w:val="00BC31AF"/>
    <w:rsid w:val="00BC3C1F"/>
    <w:rsid w:val="00BC3CE5"/>
    <w:rsid w:val="00BC4344"/>
    <w:rsid w:val="00BC4DF6"/>
    <w:rsid w:val="00BC4EF5"/>
    <w:rsid w:val="00BC5514"/>
    <w:rsid w:val="00BC7B5F"/>
    <w:rsid w:val="00BC7CE7"/>
    <w:rsid w:val="00BD0CF1"/>
    <w:rsid w:val="00BD0FBA"/>
    <w:rsid w:val="00BD1F42"/>
    <w:rsid w:val="00BD2363"/>
    <w:rsid w:val="00BD295E"/>
    <w:rsid w:val="00BD3D01"/>
    <w:rsid w:val="00BD4217"/>
    <w:rsid w:val="00BD4664"/>
    <w:rsid w:val="00BD4B3E"/>
    <w:rsid w:val="00BD6B87"/>
    <w:rsid w:val="00BD73A4"/>
    <w:rsid w:val="00BD7529"/>
    <w:rsid w:val="00BE1193"/>
    <w:rsid w:val="00BE281A"/>
    <w:rsid w:val="00BE2D6A"/>
    <w:rsid w:val="00BE2FC0"/>
    <w:rsid w:val="00BE5229"/>
    <w:rsid w:val="00BE5B70"/>
    <w:rsid w:val="00BE7248"/>
    <w:rsid w:val="00BF064E"/>
    <w:rsid w:val="00BF0B6E"/>
    <w:rsid w:val="00BF0CE8"/>
    <w:rsid w:val="00BF267B"/>
    <w:rsid w:val="00BF30CF"/>
    <w:rsid w:val="00BF40E3"/>
    <w:rsid w:val="00BF4849"/>
    <w:rsid w:val="00BF4EA7"/>
    <w:rsid w:val="00BF5698"/>
    <w:rsid w:val="00BF5C01"/>
    <w:rsid w:val="00BF6525"/>
    <w:rsid w:val="00BF68A9"/>
    <w:rsid w:val="00BF6D64"/>
    <w:rsid w:val="00C00BCE"/>
    <w:rsid w:val="00C00EDB"/>
    <w:rsid w:val="00C024FC"/>
    <w:rsid w:val="00C02863"/>
    <w:rsid w:val="00C02A28"/>
    <w:rsid w:val="00C0383A"/>
    <w:rsid w:val="00C067FF"/>
    <w:rsid w:val="00C12862"/>
    <w:rsid w:val="00C12B1B"/>
    <w:rsid w:val="00C1332A"/>
    <w:rsid w:val="00C13D28"/>
    <w:rsid w:val="00C14585"/>
    <w:rsid w:val="00C14D4A"/>
    <w:rsid w:val="00C16529"/>
    <w:rsid w:val="00C165A0"/>
    <w:rsid w:val="00C16A34"/>
    <w:rsid w:val="00C17FBE"/>
    <w:rsid w:val="00C20A69"/>
    <w:rsid w:val="00C216CE"/>
    <w:rsid w:val="00C2183C"/>
    <w:rsid w:val="00C2184F"/>
    <w:rsid w:val="00C21EC3"/>
    <w:rsid w:val="00C22888"/>
    <w:rsid w:val="00C22A78"/>
    <w:rsid w:val="00C22A90"/>
    <w:rsid w:val="00C23C7E"/>
    <w:rsid w:val="00C240A1"/>
    <w:rsid w:val="00C24257"/>
    <w:rsid w:val="00C246C5"/>
    <w:rsid w:val="00C24D96"/>
    <w:rsid w:val="00C25A82"/>
    <w:rsid w:val="00C2644A"/>
    <w:rsid w:val="00C2776C"/>
    <w:rsid w:val="00C27792"/>
    <w:rsid w:val="00C27BFE"/>
    <w:rsid w:val="00C3099B"/>
    <w:rsid w:val="00C30A2A"/>
    <w:rsid w:val="00C33993"/>
    <w:rsid w:val="00C33C19"/>
    <w:rsid w:val="00C33FF5"/>
    <w:rsid w:val="00C34F86"/>
    <w:rsid w:val="00C376C4"/>
    <w:rsid w:val="00C37768"/>
    <w:rsid w:val="00C37D84"/>
    <w:rsid w:val="00C40547"/>
    <w:rsid w:val="00C4069E"/>
    <w:rsid w:val="00C41ADC"/>
    <w:rsid w:val="00C42593"/>
    <w:rsid w:val="00C426A8"/>
    <w:rsid w:val="00C42C5C"/>
    <w:rsid w:val="00C43384"/>
    <w:rsid w:val="00C44149"/>
    <w:rsid w:val="00C44410"/>
    <w:rsid w:val="00C4446E"/>
    <w:rsid w:val="00C44A15"/>
    <w:rsid w:val="00C4630A"/>
    <w:rsid w:val="00C50A53"/>
    <w:rsid w:val="00C50EBB"/>
    <w:rsid w:val="00C51965"/>
    <w:rsid w:val="00C523F0"/>
    <w:rsid w:val="00C526D2"/>
    <w:rsid w:val="00C53A91"/>
    <w:rsid w:val="00C56D37"/>
    <w:rsid w:val="00C5794E"/>
    <w:rsid w:val="00C60968"/>
    <w:rsid w:val="00C60E65"/>
    <w:rsid w:val="00C6338E"/>
    <w:rsid w:val="00C63D39"/>
    <w:rsid w:val="00C63EDD"/>
    <w:rsid w:val="00C64AE5"/>
    <w:rsid w:val="00C6578A"/>
    <w:rsid w:val="00C65B36"/>
    <w:rsid w:val="00C65FEF"/>
    <w:rsid w:val="00C662FF"/>
    <w:rsid w:val="00C67EEF"/>
    <w:rsid w:val="00C705B9"/>
    <w:rsid w:val="00C70A3B"/>
    <w:rsid w:val="00C70C40"/>
    <w:rsid w:val="00C7116B"/>
    <w:rsid w:val="00C71C70"/>
    <w:rsid w:val="00C72814"/>
    <w:rsid w:val="00C7292E"/>
    <w:rsid w:val="00C73793"/>
    <w:rsid w:val="00C74E88"/>
    <w:rsid w:val="00C75BF2"/>
    <w:rsid w:val="00C767B7"/>
    <w:rsid w:val="00C76AD1"/>
    <w:rsid w:val="00C77205"/>
    <w:rsid w:val="00C773AC"/>
    <w:rsid w:val="00C80924"/>
    <w:rsid w:val="00C8286B"/>
    <w:rsid w:val="00C925CD"/>
    <w:rsid w:val="00C947F8"/>
    <w:rsid w:val="00C9515F"/>
    <w:rsid w:val="00C961BF"/>
    <w:rsid w:val="00C963C5"/>
    <w:rsid w:val="00C97176"/>
    <w:rsid w:val="00C97ABF"/>
    <w:rsid w:val="00C97BBF"/>
    <w:rsid w:val="00C97F18"/>
    <w:rsid w:val="00CA030C"/>
    <w:rsid w:val="00CA13E0"/>
    <w:rsid w:val="00CA1F41"/>
    <w:rsid w:val="00CA2544"/>
    <w:rsid w:val="00CA32EC"/>
    <w:rsid w:val="00CA32EE"/>
    <w:rsid w:val="00CA3921"/>
    <w:rsid w:val="00CA5771"/>
    <w:rsid w:val="00CA6A1A"/>
    <w:rsid w:val="00CB2307"/>
    <w:rsid w:val="00CB5791"/>
    <w:rsid w:val="00CB580A"/>
    <w:rsid w:val="00CB5A66"/>
    <w:rsid w:val="00CB65BD"/>
    <w:rsid w:val="00CC022C"/>
    <w:rsid w:val="00CC1B29"/>
    <w:rsid w:val="00CC1B78"/>
    <w:rsid w:val="00CC1E75"/>
    <w:rsid w:val="00CC2E0E"/>
    <w:rsid w:val="00CC361C"/>
    <w:rsid w:val="00CC398C"/>
    <w:rsid w:val="00CC474B"/>
    <w:rsid w:val="00CC5EC2"/>
    <w:rsid w:val="00CC658C"/>
    <w:rsid w:val="00CC67BF"/>
    <w:rsid w:val="00CC703F"/>
    <w:rsid w:val="00CD0843"/>
    <w:rsid w:val="00CD10DF"/>
    <w:rsid w:val="00CD1F3E"/>
    <w:rsid w:val="00CD37E1"/>
    <w:rsid w:val="00CD3DB1"/>
    <w:rsid w:val="00CD4A2B"/>
    <w:rsid w:val="00CD4E31"/>
    <w:rsid w:val="00CD5683"/>
    <w:rsid w:val="00CD5A78"/>
    <w:rsid w:val="00CD64B6"/>
    <w:rsid w:val="00CD703A"/>
    <w:rsid w:val="00CD7345"/>
    <w:rsid w:val="00CD7AEB"/>
    <w:rsid w:val="00CD7D96"/>
    <w:rsid w:val="00CD7ED5"/>
    <w:rsid w:val="00CE0BC1"/>
    <w:rsid w:val="00CE1A59"/>
    <w:rsid w:val="00CE23D6"/>
    <w:rsid w:val="00CE372E"/>
    <w:rsid w:val="00CE3D63"/>
    <w:rsid w:val="00CE52F3"/>
    <w:rsid w:val="00CE5A44"/>
    <w:rsid w:val="00CF0835"/>
    <w:rsid w:val="00CF0A1B"/>
    <w:rsid w:val="00CF19F6"/>
    <w:rsid w:val="00CF1CEA"/>
    <w:rsid w:val="00CF2F4F"/>
    <w:rsid w:val="00CF5081"/>
    <w:rsid w:val="00CF536D"/>
    <w:rsid w:val="00CF542F"/>
    <w:rsid w:val="00CF6ECF"/>
    <w:rsid w:val="00CF7AF0"/>
    <w:rsid w:val="00D00538"/>
    <w:rsid w:val="00D00EE9"/>
    <w:rsid w:val="00D02E9D"/>
    <w:rsid w:val="00D02FDC"/>
    <w:rsid w:val="00D052AE"/>
    <w:rsid w:val="00D06AC5"/>
    <w:rsid w:val="00D10714"/>
    <w:rsid w:val="00D10CB8"/>
    <w:rsid w:val="00D12022"/>
    <w:rsid w:val="00D12806"/>
    <w:rsid w:val="00D12991"/>
    <w:rsid w:val="00D12D44"/>
    <w:rsid w:val="00D15018"/>
    <w:rsid w:val="00D158AC"/>
    <w:rsid w:val="00D15C00"/>
    <w:rsid w:val="00D15C95"/>
    <w:rsid w:val="00D1694C"/>
    <w:rsid w:val="00D1783C"/>
    <w:rsid w:val="00D20BF6"/>
    <w:rsid w:val="00D20F5E"/>
    <w:rsid w:val="00D214A6"/>
    <w:rsid w:val="00D214EA"/>
    <w:rsid w:val="00D23B76"/>
    <w:rsid w:val="00D24B4A"/>
    <w:rsid w:val="00D25C85"/>
    <w:rsid w:val="00D25F9D"/>
    <w:rsid w:val="00D26F19"/>
    <w:rsid w:val="00D27409"/>
    <w:rsid w:val="00D3260D"/>
    <w:rsid w:val="00D349B3"/>
    <w:rsid w:val="00D379A3"/>
    <w:rsid w:val="00D42C7B"/>
    <w:rsid w:val="00D43269"/>
    <w:rsid w:val="00D43557"/>
    <w:rsid w:val="00D43C24"/>
    <w:rsid w:val="00D4436C"/>
    <w:rsid w:val="00D45FF3"/>
    <w:rsid w:val="00D46CB1"/>
    <w:rsid w:val="00D5029B"/>
    <w:rsid w:val="00D50BCB"/>
    <w:rsid w:val="00D512CF"/>
    <w:rsid w:val="00D528B9"/>
    <w:rsid w:val="00D53186"/>
    <w:rsid w:val="00D54126"/>
    <w:rsid w:val="00D5487D"/>
    <w:rsid w:val="00D552D7"/>
    <w:rsid w:val="00D56717"/>
    <w:rsid w:val="00D5681B"/>
    <w:rsid w:val="00D60140"/>
    <w:rsid w:val="00D6024A"/>
    <w:rsid w:val="00D608B5"/>
    <w:rsid w:val="00D61B7B"/>
    <w:rsid w:val="00D64739"/>
    <w:rsid w:val="00D65209"/>
    <w:rsid w:val="00D65447"/>
    <w:rsid w:val="00D6797E"/>
    <w:rsid w:val="00D702AC"/>
    <w:rsid w:val="00D714F7"/>
    <w:rsid w:val="00D71F99"/>
    <w:rsid w:val="00D7304A"/>
    <w:rsid w:val="00D73CA4"/>
    <w:rsid w:val="00D73D71"/>
    <w:rsid w:val="00D73EDB"/>
    <w:rsid w:val="00D74396"/>
    <w:rsid w:val="00D7736D"/>
    <w:rsid w:val="00D775A0"/>
    <w:rsid w:val="00D77C6C"/>
    <w:rsid w:val="00D80284"/>
    <w:rsid w:val="00D81E51"/>
    <w:rsid w:val="00D81F71"/>
    <w:rsid w:val="00D82A09"/>
    <w:rsid w:val="00D839BB"/>
    <w:rsid w:val="00D8642D"/>
    <w:rsid w:val="00D903BB"/>
    <w:rsid w:val="00D90A5E"/>
    <w:rsid w:val="00D9130B"/>
    <w:rsid w:val="00D91855"/>
    <w:rsid w:val="00D91A68"/>
    <w:rsid w:val="00D93370"/>
    <w:rsid w:val="00D94EC0"/>
    <w:rsid w:val="00D9598E"/>
    <w:rsid w:val="00D95A68"/>
    <w:rsid w:val="00D961AD"/>
    <w:rsid w:val="00D9647F"/>
    <w:rsid w:val="00D97DE0"/>
    <w:rsid w:val="00D97FDC"/>
    <w:rsid w:val="00DA0750"/>
    <w:rsid w:val="00DA099E"/>
    <w:rsid w:val="00DA17C7"/>
    <w:rsid w:val="00DA6A9A"/>
    <w:rsid w:val="00DA7FB1"/>
    <w:rsid w:val="00DB1753"/>
    <w:rsid w:val="00DB1EFD"/>
    <w:rsid w:val="00DB2175"/>
    <w:rsid w:val="00DB36CB"/>
    <w:rsid w:val="00DB3EAF"/>
    <w:rsid w:val="00DB4284"/>
    <w:rsid w:val="00DB46C6"/>
    <w:rsid w:val="00DB582C"/>
    <w:rsid w:val="00DB5923"/>
    <w:rsid w:val="00DB6D74"/>
    <w:rsid w:val="00DC2020"/>
    <w:rsid w:val="00DC2210"/>
    <w:rsid w:val="00DC3203"/>
    <w:rsid w:val="00DC3639"/>
    <w:rsid w:val="00DC3C99"/>
    <w:rsid w:val="00DC46F8"/>
    <w:rsid w:val="00DC4A63"/>
    <w:rsid w:val="00DC52F5"/>
    <w:rsid w:val="00DC5FD0"/>
    <w:rsid w:val="00DC71B1"/>
    <w:rsid w:val="00DD0354"/>
    <w:rsid w:val="00DD082D"/>
    <w:rsid w:val="00DD27D7"/>
    <w:rsid w:val="00DD2B17"/>
    <w:rsid w:val="00DD3CA5"/>
    <w:rsid w:val="00DD3ED7"/>
    <w:rsid w:val="00DD458C"/>
    <w:rsid w:val="00DD6305"/>
    <w:rsid w:val="00DD6BBB"/>
    <w:rsid w:val="00DD72E9"/>
    <w:rsid w:val="00DD7605"/>
    <w:rsid w:val="00DE04EA"/>
    <w:rsid w:val="00DE05F7"/>
    <w:rsid w:val="00DE10A9"/>
    <w:rsid w:val="00DE2020"/>
    <w:rsid w:val="00DE22F1"/>
    <w:rsid w:val="00DE3476"/>
    <w:rsid w:val="00DE375A"/>
    <w:rsid w:val="00DE3FA5"/>
    <w:rsid w:val="00DE4893"/>
    <w:rsid w:val="00DE56F6"/>
    <w:rsid w:val="00DE7440"/>
    <w:rsid w:val="00DE7BEA"/>
    <w:rsid w:val="00DE7DAA"/>
    <w:rsid w:val="00DE7E93"/>
    <w:rsid w:val="00DE7F7B"/>
    <w:rsid w:val="00DF16B7"/>
    <w:rsid w:val="00DF305C"/>
    <w:rsid w:val="00DF4CE1"/>
    <w:rsid w:val="00DF595D"/>
    <w:rsid w:val="00DF5B84"/>
    <w:rsid w:val="00DF64AA"/>
    <w:rsid w:val="00DF6C08"/>
    <w:rsid w:val="00DF6D5B"/>
    <w:rsid w:val="00DF771B"/>
    <w:rsid w:val="00DF7B57"/>
    <w:rsid w:val="00DF7EE2"/>
    <w:rsid w:val="00E01BAA"/>
    <w:rsid w:val="00E0282A"/>
    <w:rsid w:val="00E02F9B"/>
    <w:rsid w:val="00E032B2"/>
    <w:rsid w:val="00E06603"/>
    <w:rsid w:val="00E07E14"/>
    <w:rsid w:val="00E103F1"/>
    <w:rsid w:val="00E1192D"/>
    <w:rsid w:val="00E12D26"/>
    <w:rsid w:val="00E131F3"/>
    <w:rsid w:val="00E13758"/>
    <w:rsid w:val="00E14CDD"/>
    <w:rsid w:val="00E14F94"/>
    <w:rsid w:val="00E150FF"/>
    <w:rsid w:val="00E155E1"/>
    <w:rsid w:val="00E1585B"/>
    <w:rsid w:val="00E17336"/>
    <w:rsid w:val="00E17CAA"/>
    <w:rsid w:val="00E17D15"/>
    <w:rsid w:val="00E20BF2"/>
    <w:rsid w:val="00E21F28"/>
    <w:rsid w:val="00E22B95"/>
    <w:rsid w:val="00E2354C"/>
    <w:rsid w:val="00E2722B"/>
    <w:rsid w:val="00E27CDB"/>
    <w:rsid w:val="00E30331"/>
    <w:rsid w:val="00E30BB8"/>
    <w:rsid w:val="00E31F10"/>
    <w:rsid w:val="00E31F9C"/>
    <w:rsid w:val="00E33C1A"/>
    <w:rsid w:val="00E33CA0"/>
    <w:rsid w:val="00E343A1"/>
    <w:rsid w:val="00E34706"/>
    <w:rsid w:val="00E35F1A"/>
    <w:rsid w:val="00E40488"/>
    <w:rsid w:val="00E40D59"/>
    <w:rsid w:val="00E4267A"/>
    <w:rsid w:val="00E42AE6"/>
    <w:rsid w:val="00E42F48"/>
    <w:rsid w:val="00E444B6"/>
    <w:rsid w:val="00E448C2"/>
    <w:rsid w:val="00E449EC"/>
    <w:rsid w:val="00E44D30"/>
    <w:rsid w:val="00E46240"/>
    <w:rsid w:val="00E50367"/>
    <w:rsid w:val="00E50BDB"/>
    <w:rsid w:val="00E5133F"/>
    <w:rsid w:val="00E51AB7"/>
    <w:rsid w:val="00E51ABA"/>
    <w:rsid w:val="00E524CB"/>
    <w:rsid w:val="00E5256C"/>
    <w:rsid w:val="00E54316"/>
    <w:rsid w:val="00E54FA2"/>
    <w:rsid w:val="00E60B60"/>
    <w:rsid w:val="00E61061"/>
    <w:rsid w:val="00E62071"/>
    <w:rsid w:val="00E64FDA"/>
    <w:rsid w:val="00E65456"/>
    <w:rsid w:val="00E65A91"/>
    <w:rsid w:val="00E66188"/>
    <w:rsid w:val="00E664FB"/>
    <w:rsid w:val="00E672F0"/>
    <w:rsid w:val="00E70373"/>
    <w:rsid w:val="00E7051A"/>
    <w:rsid w:val="00E722FA"/>
    <w:rsid w:val="00E72E40"/>
    <w:rsid w:val="00E73027"/>
    <w:rsid w:val="00E73472"/>
    <w:rsid w:val="00E73665"/>
    <w:rsid w:val="00E73749"/>
    <w:rsid w:val="00E73999"/>
    <w:rsid w:val="00E73BDC"/>
    <w:rsid w:val="00E73E9E"/>
    <w:rsid w:val="00E757F1"/>
    <w:rsid w:val="00E76335"/>
    <w:rsid w:val="00E8031B"/>
    <w:rsid w:val="00E808C8"/>
    <w:rsid w:val="00E81660"/>
    <w:rsid w:val="00E848B1"/>
    <w:rsid w:val="00E854FE"/>
    <w:rsid w:val="00E85B18"/>
    <w:rsid w:val="00E85C4A"/>
    <w:rsid w:val="00E87BE3"/>
    <w:rsid w:val="00E906CC"/>
    <w:rsid w:val="00E91C03"/>
    <w:rsid w:val="00E92A15"/>
    <w:rsid w:val="00E92B35"/>
    <w:rsid w:val="00E939A0"/>
    <w:rsid w:val="00E94414"/>
    <w:rsid w:val="00E9651E"/>
    <w:rsid w:val="00E96724"/>
    <w:rsid w:val="00E97E4E"/>
    <w:rsid w:val="00EA11BC"/>
    <w:rsid w:val="00EA1286"/>
    <w:rsid w:val="00EA1A44"/>
    <w:rsid w:val="00EA1C53"/>
    <w:rsid w:val="00EA1CC2"/>
    <w:rsid w:val="00EA2D76"/>
    <w:rsid w:val="00EA3634"/>
    <w:rsid w:val="00EA4644"/>
    <w:rsid w:val="00EA47C4"/>
    <w:rsid w:val="00EA55E2"/>
    <w:rsid w:val="00EA65BC"/>
    <w:rsid w:val="00EA6652"/>
    <w:rsid w:val="00EA6B79"/>
    <w:rsid w:val="00EA758A"/>
    <w:rsid w:val="00EA7711"/>
    <w:rsid w:val="00EB096F"/>
    <w:rsid w:val="00EB0C7E"/>
    <w:rsid w:val="00EB199F"/>
    <w:rsid w:val="00EB21A4"/>
    <w:rsid w:val="00EB27C4"/>
    <w:rsid w:val="00EB3913"/>
    <w:rsid w:val="00EB41C4"/>
    <w:rsid w:val="00EB458B"/>
    <w:rsid w:val="00EB4FD4"/>
    <w:rsid w:val="00EB5387"/>
    <w:rsid w:val="00EB5B6A"/>
    <w:rsid w:val="00EB5C10"/>
    <w:rsid w:val="00EB6986"/>
    <w:rsid w:val="00EB7322"/>
    <w:rsid w:val="00EC0FE9"/>
    <w:rsid w:val="00EC198B"/>
    <w:rsid w:val="00EC1D8D"/>
    <w:rsid w:val="00EC2149"/>
    <w:rsid w:val="00EC426D"/>
    <w:rsid w:val="00EC571B"/>
    <w:rsid w:val="00EC57D7"/>
    <w:rsid w:val="00EC5F66"/>
    <w:rsid w:val="00EC6385"/>
    <w:rsid w:val="00EC6458"/>
    <w:rsid w:val="00EC7FA2"/>
    <w:rsid w:val="00ED04B4"/>
    <w:rsid w:val="00ED082E"/>
    <w:rsid w:val="00ED1B9F"/>
    <w:rsid w:val="00ED1DE9"/>
    <w:rsid w:val="00ED1E28"/>
    <w:rsid w:val="00ED23D4"/>
    <w:rsid w:val="00ED48B5"/>
    <w:rsid w:val="00ED49E0"/>
    <w:rsid w:val="00ED4B57"/>
    <w:rsid w:val="00ED5E0B"/>
    <w:rsid w:val="00EE0F9B"/>
    <w:rsid w:val="00EE10A1"/>
    <w:rsid w:val="00EE1AF2"/>
    <w:rsid w:val="00EE20E5"/>
    <w:rsid w:val="00EE37B6"/>
    <w:rsid w:val="00EE4045"/>
    <w:rsid w:val="00EE45C4"/>
    <w:rsid w:val="00EE45DE"/>
    <w:rsid w:val="00EE5875"/>
    <w:rsid w:val="00EE5E1B"/>
    <w:rsid w:val="00EE6DEB"/>
    <w:rsid w:val="00EF05E7"/>
    <w:rsid w:val="00EF0C69"/>
    <w:rsid w:val="00EF0F45"/>
    <w:rsid w:val="00EF29D8"/>
    <w:rsid w:val="00EF3261"/>
    <w:rsid w:val="00EF412F"/>
    <w:rsid w:val="00EF56A1"/>
    <w:rsid w:val="00EF7353"/>
    <w:rsid w:val="00EF7463"/>
    <w:rsid w:val="00EF7971"/>
    <w:rsid w:val="00F002EF"/>
    <w:rsid w:val="00F0066C"/>
    <w:rsid w:val="00F0085E"/>
    <w:rsid w:val="00F0087E"/>
    <w:rsid w:val="00F01EE9"/>
    <w:rsid w:val="00F03739"/>
    <w:rsid w:val="00F038B7"/>
    <w:rsid w:val="00F047F5"/>
    <w:rsid w:val="00F04900"/>
    <w:rsid w:val="00F04B8B"/>
    <w:rsid w:val="00F0542A"/>
    <w:rsid w:val="00F05544"/>
    <w:rsid w:val="00F059EC"/>
    <w:rsid w:val="00F065A4"/>
    <w:rsid w:val="00F07EA1"/>
    <w:rsid w:val="00F10486"/>
    <w:rsid w:val="00F111E1"/>
    <w:rsid w:val="00F126B9"/>
    <w:rsid w:val="00F12715"/>
    <w:rsid w:val="00F144D5"/>
    <w:rsid w:val="00F146CA"/>
    <w:rsid w:val="00F146F0"/>
    <w:rsid w:val="00F14B81"/>
    <w:rsid w:val="00F15039"/>
    <w:rsid w:val="00F15309"/>
    <w:rsid w:val="00F15AA3"/>
    <w:rsid w:val="00F20FF3"/>
    <w:rsid w:val="00F2190B"/>
    <w:rsid w:val="00F228B5"/>
    <w:rsid w:val="00F2389C"/>
    <w:rsid w:val="00F24B57"/>
    <w:rsid w:val="00F251B3"/>
    <w:rsid w:val="00F25C67"/>
    <w:rsid w:val="00F26082"/>
    <w:rsid w:val="00F26FE8"/>
    <w:rsid w:val="00F274BD"/>
    <w:rsid w:val="00F3074F"/>
    <w:rsid w:val="00F3084D"/>
    <w:rsid w:val="00F308C2"/>
    <w:rsid w:val="00F30DFF"/>
    <w:rsid w:val="00F312C6"/>
    <w:rsid w:val="00F328E3"/>
    <w:rsid w:val="00F32B80"/>
    <w:rsid w:val="00F32BD8"/>
    <w:rsid w:val="00F339D1"/>
    <w:rsid w:val="00F340EB"/>
    <w:rsid w:val="00F3525D"/>
    <w:rsid w:val="00F35285"/>
    <w:rsid w:val="00F37932"/>
    <w:rsid w:val="00F40F79"/>
    <w:rsid w:val="00F40FC5"/>
    <w:rsid w:val="00F42E7E"/>
    <w:rsid w:val="00F43B9D"/>
    <w:rsid w:val="00F43F7D"/>
    <w:rsid w:val="00F44482"/>
    <w:rsid w:val="00F44CDA"/>
    <w:rsid w:val="00F44D5E"/>
    <w:rsid w:val="00F45D6F"/>
    <w:rsid w:val="00F47D9D"/>
    <w:rsid w:val="00F5219E"/>
    <w:rsid w:val="00F53A35"/>
    <w:rsid w:val="00F53C86"/>
    <w:rsid w:val="00F54C4A"/>
    <w:rsid w:val="00F5501F"/>
    <w:rsid w:val="00F55A3D"/>
    <w:rsid w:val="00F569CD"/>
    <w:rsid w:val="00F5744B"/>
    <w:rsid w:val="00F606A0"/>
    <w:rsid w:val="00F61209"/>
    <w:rsid w:val="00F61482"/>
    <w:rsid w:val="00F61DCD"/>
    <w:rsid w:val="00F61FD3"/>
    <w:rsid w:val="00F6259E"/>
    <w:rsid w:val="00F6318F"/>
    <w:rsid w:val="00F63851"/>
    <w:rsid w:val="00F63A4B"/>
    <w:rsid w:val="00F650D4"/>
    <w:rsid w:val="00F65DD4"/>
    <w:rsid w:val="00F672B2"/>
    <w:rsid w:val="00F67432"/>
    <w:rsid w:val="00F703D0"/>
    <w:rsid w:val="00F74121"/>
    <w:rsid w:val="00F76151"/>
    <w:rsid w:val="00F76D89"/>
    <w:rsid w:val="00F773EA"/>
    <w:rsid w:val="00F80265"/>
    <w:rsid w:val="00F82E3D"/>
    <w:rsid w:val="00F83285"/>
    <w:rsid w:val="00F83973"/>
    <w:rsid w:val="00F839D4"/>
    <w:rsid w:val="00F85010"/>
    <w:rsid w:val="00F85BF3"/>
    <w:rsid w:val="00F86D46"/>
    <w:rsid w:val="00F87973"/>
    <w:rsid w:val="00F87FA3"/>
    <w:rsid w:val="00F906B2"/>
    <w:rsid w:val="00F90787"/>
    <w:rsid w:val="00F93B1A"/>
    <w:rsid w:val="00F93D8C"/>
    <w:rsid w:val="00FA10CE"/>
    <w:rsid w:val="00FA1B5C"/>
    <w:rsid w:val="00FA2797"/>
    <w:rsid w:val="00FA2EFC"/>
    <w:rsid w:val="00FA3102"/>
    <w:rsid w:val="00FA4701"/>
    <w:rsid w:val="00FA48D4"/>
    <w:rsid w:val="00FA4E40"/>
    <w:rsid w:val="00FA54FA"/>
    <w:rsid w:val="00FA615A"/>
    <w:rsid w:val="00FA6D39"/>
    <w:rsid w:val="00FA751F"/>
    <w:rsid w:val="00FA7FB9"/>
    <w:rsid w:val="00FB09AA"/>
    <w:rsid w:val="00FB10C1"/>
    <w:rsid w:val="00FB195C"/>
    <w:rsid w:val="00FB227E"/>
    <w:rsid w:val="00FB2824"/>
    <w:rsid w:val="00FB2F6E"/>
    <w:rsid w:val="00FB3BD0"/>
    <w:rsid w:val="00FB3D61"/>
    <w:rsid w:val="00FB433D"/>
    <w:rsid w:val="00FB44CE"/>
    <w:rsid w:val="00FB4559"/>
    <w:rsid w:val="00FB4A34"/>
    <w:rsid w:val="00FB5009"/>
    <w:rsid w:val="00FB76AB"/>
    <w:rsid w:val="00FC0066"/>
    <w:rsid w:val="00FC43C6"/>
    <w:rsid w:val="00FC443F"/>
    <w:rsid w:val="00FC56D5"/>
    <w:rsid w:val="00FC5EC9"/>
    <w:rsid w:val="00FC659A"/>
    <w:rsid w:val="00FC7C2A"/>
    <w:rsid w:val="00FC7E67"/>
    <w:rsid w:val="00FD03FE"/>
    <w:rsid w:val="00FD126E"/>
    <w:rsid w:val="00FD252A"/>
    <w:rsid w:val="00FD3C36"/>
    <w:rsid w:val="00FD40CB"/>
    <w:rsid w:val="00FD4D81"/>
    <w:rsid w:val="00FD521C"/>
    <w:rsid w:val="00FD68CD"/>
    <w:rsid w:val="00FD69D9"/>
    <w:rsid w:val="00FD6A2B"/>
    <w:rsid w:val="00FD6F86"/>
    <w:rsid w:val="00FD7498"/>
    <w:rsid w:val="00FD7701"/>
    <w:rsid w:val="00FD7FB3"/>
    <w:rsid w:val="00FE10EC"/>
    <w:rsid w:val="00FE12E0"/>
    <w:rsid w:val="00FE1BC4"/>
    <w:rsid w:val="00FE4713"/>
    <w:rsid w:val="00FE4F8F"/>
    <w:rsid w:val="00FE6D53"/>
    <w:rsid w:val="00FF1103"/>
    <w:rsid w:val="00FF14D6"/>
    <w:rsid w:val="00FF1F44"/>
    <w:rsid w:val="00FF225E"/>
    <w:rsid w:val="00FF3BAB"/>
    <w:rsid w:val="00FF3CAF"/>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DBF5"/>
  <w14:defaultImageDpi w14:val="330"/>
  <w15:docId w15:val="{37CA05D5-D82B-4F7F-AFEA-5E668B78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74BD"/>
    <w:rPr>
      <w:sz w:val="24"/>
      <w:szCs w:val="24"/>
      <w:lang w:val="en-CA" w:eastAsia="en-US"/>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lang w:val="en-GB" w:eastAsia="en-GB"/>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lang w:val="en-GB" w:eastAsia="en-GB"/>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lang w:val="en-GB" w:eastAsia="en-GB"/>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lang w:val="en-GB" w:eastAsia="en-GB"/>
    </w:rPr>
  </w:style>
  <w:style w:type="paragraph" w:customStyle="1" w:styleId="Authornames">
    <w:name w:val="Author names"/>
    <w:basedOn w:val="Normal"/>
    <w:next w:val="Normal"/>
    <w:qFormat/>
    <w:rsid w:val="00F04900"/>
    <w:pPr>
      <w:spacing w:before="240" w:line="360" w:lineRule="auto"/>
    </w:pPr>
    <w:rPr>
      <w:sz w:val="28"/>
      <w:lang w:val="en-GB" w:eastAsia="en-GB"/>
    </w:rPr>
  </w:style>
  <w:style w:type="paragraph" w:customStyle="1" w:styleId="Affiliation">
    <w:name w:val="Affiliation"/>
    <w:basedOn w:val="Normal"/>
    <w:qFormat/>
    <w:rsid w:val="00F04900"/>
    <w:pPr>
      <w:spacing w:before="240" w:line="360" w:lineRule="auto"/>
    </w:pPr>
    <w:rPr>
      <w:i/>
      <w:lang w:val="en-GB" w:eastAsia="en-GB"/>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lang w:val="en-GB" w:eastAsia="en-GB"/>
    </w:rPr>
  </w:style>
  <w:style w:type="paragraph" w:customStyle="1" w:styleId="Keywords">
    <w:name w:val="Keywords"/>
    <w:basedOn w:val="Normal"/>
    <w:next w:val="Paragraph"/>
    <w:qFormat/>
    <w:rsid w:val="00BB1270"/>
    <w:pPr>
      <w:spacing w:before="240" w:after="240" w:line="360" w:lineRule="auto"/>
      <w:ind w:left="720" w:right="567"/>
    </w:pPr>
    <w:rPr>
      <w:sz w:val="22"/>
      <w:lang w:val="en-GB" w:eastAsia="en-GB"/>
    </w:rPr>
  </w:style>
  <w:style w:type="paragraph" w:customStyle="1" w:styleId="Correspondencedetails">
    <w:name w:val="Correspondence details"/>
    <w:basedOn w:val="Normal"/>
    <w:qFormat/>
    <w:rsid w:val="00F04900"/>
    <w:pPr>
      <w:spacing w:before="240" w:line="360" w:lineRule="auto"/>
    </w:pPr>
    <w:rPr>
      <w:lang w:val="en-GB" w:eastAsia="en-GB"/>
    </w:r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lang w:val="en-GB" w:eastAsia="en-GB"/>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line="480" w:lineRule="auto"/>
      <w:jc w:val="center"/>
    </w:pPr>
    <w:rPr>
      <w:lang w:val="en-GB" w:eastAsia="en-GB"/>
    </w:rPr>
  </w:style>
  <w:style w:type="paragraph" w:customStyle="1" w:styleId="Acknowledgements">
    <w:name w:val="Acknowledgements"/>
    <w:basedOn w:val="Normal"/>
    <w:next w:val="Normal"/>
    <w:qFormat/>
    <w:rsid w:val="00D379A3"/>
    <w:pPr>
      <w:spacing w:before="120" w:line="360" w:lineRule="auto"/>
    </w:pPr>
    <w:rPr>
      <w:sz w:val="22"/>
      <w:lang w:val="en-GB" w:eastAsia="en-GB"/>
    </w:rPr>
  </w:style>
  <w:style w:type="paragraph" w:customStyle="1" w:styleId="Tabletitle">
    <w:name w:val="Table title"/>
    <w:basedOn w:val="Normal"/>
    <w:next w:val="Normal"/>
    <w:qFormat/>
    <w:rsid w:val="0031686C"/>
    <w:pPr>
      <w:spacing w:before="240" w:line="360" w:lineRule="auto"/>
    </w:pPr>
    <w:rPr>
      <w:lang w:val="en-GB" w:eastAsia="en-GB"/>
    </w:rPr>
  </w:style>
  <w:style w:type="paragraph" w:customStyle="1" w:styleId="Figurecaption">
    <w:name w:val="Figure caption"/>
    <w:basedOn w:val="Normal"/>
    <w:next w:val="Normal"/>
    <w:qFormat/>
    <w:rsid w:val="0031686C"/>
    <w:pPr>
      <w:spacing w:before="240" w:line="360" w:lineRule="auto"/>
    </w:pPr>
    <w:rPr>
      <w:lang w:val="en-GB" w:eastAsia="en-GB"/>
    </w:rPr>
  </w:style>
  <w:style w:type="paragraph" w:customStyle="1" w:styleId="Footnotes">
    <w:name w:val="Footnotes"/>
    <w:basedOn w:val="Normal"/>
    <w:qFormat/>
    <w:rsid w:val="006C6936"/>
    <w:pPr>
      <w:spacing w:before="120" w:line="360" w:lineRule="auto"/>
      <w:ind w:left="482" w:hanging="482"/>
      <w:contextualSpacing/>
    </w:pPr>
    <w:rPr>
      <w:sz w:val="22"/>
      <w:lang w:val="en-GB" w:eastAsia="en-GB"/>
    </w:rPr>
  </w:style>
  <w:style w:type="paragraph" w:customStyle="1" w:styleId="Notesoncontributors">
    <w:name w:val="Notes on contributors"/>
    <w:basedOn w:val="Normal"/>
    <w:qFormat/>
    <w:rsid w:val="00F04900"/>
    <w:pPr>
      <w:spacing w:before="240" w:line="360" w:lineRule="auto"/>
    </w:pPr>
    <w:rPr>
      <w:sz w:val="22"/>
      <w:lang w:val="en-GB" w:eastAsia="en-GB"/>
    </w:rPr>
  </w:style>
  <w:style w:type="paragraph" w:customStyle="1" w:styleId="Normalparagraphstyle">
    <w:name w:val="Normal paragraph style"/>
    <w:basedOn w:val="Normal"/>
    <w:next w:val="Normal"/>
    <w:rsid w:val="00562DEF"/>
    <w:pPr>
      <w:spacing w:line="480" w:lineRule="auto"/>
    </w:pPr>
    <w:rPr>
      <w:lang w:val="en-GB" w:eastAsia="en-GB"/>
    </w:rPr>
  </w:style>
  <w:style w:type="paragraph" w:customStyle="1" w:styleId="Paragraph">
    <w:name w:val="Paragraph"/>
    <w:basedOn w:val="Normal"/>
    <w:next w:val="Newparagraph"/>
    <w:qFormat/>
    <w:rsid w:val="001B7681"/>
    <w:pPr>
      <w:widowControl w:val="0"/>
      <w:spacing w:before="240" w:line="480" w:lineRule="auto"/>
    </w:pPr>
    <w:rPr>
      <w:lang w:val="en-GB" w:eastAsia="en-GB"/>
    </w:rPr>
  </w:style>
  <w:style w:type="paragraph" w:customStyle="1" w:styleId="Newparagraph">
    <w:name w:val="New paragraph"/>
    <w:basedOn w:val="Normal"/>
    <w:qFormat/>
    <w:rsid w:val="00AE2F8D"/>
    <w:pPr>
      <w:spacing w:line="480" w:lineRule="auto"/>
      <w:ind w:firstLine="720"/>
    </w:pPr>
    <w:rPr>
      <w:lang w:val="en-GB" w:eastAsia="en-GB"/>
    </w:rPr>
  </w:style>
  <w:style w:type="paragraph" w:styleId="NormalIndent">
    <w:name w:val="Normal Indent"/>
    <w:basedOn w:val="Normal"/>
    <w:rsid w:val="00526454"/>
    <w:pPr>
      <w:spacing w:line="480" w:lineRule="auto"/>
      <w:ind w:left="720"/>
    </w:pPr>
    <w:rPr>
      <w:lang w:val="en-GB" w:eastAsia="en-GB"/>
    </w:rPr>
  </w:style>
  <w:style w:type="paragraph" w:customStyle="1" w:styleId="References">
    <w:name w:val="References"/>
    <w:basedOn w:val="Normal"/>
    <w:qFormat/>
    <w:rsid w:val="002C53EE"/>
    <w:pPr>
      <w:spacing w:before="120" w:line="360" w:lineRule="auto"/>
      <w:ind w:left="720" w:hanging="720"/>
      <w:contextualSpacing/>
    </w:pPr>
    <w:rPr>
      <w:lang w:val="en-GB" w:eastAsia="en-GB"/>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BC4DF6"/>
    <w:pPr>
      <w:spacing w:line="480" w:lineRule="auto"/>
    </w:pPr>
    <w:rPr>
      <w:sz w:val="22"/>
      <w:szCs w:val="20"/>
      <w:lang w:val="en-GB" w:eastAsia="en-GB"/>
    </w:rPr>
  </w:style>
  <w:style w:type="character" w:customStyle="1" w:styleId="FootnoteTextChar">
    <w:name w:val="Footnote Text Char"/>
    <w:basedOn w:val="DefaultParagraphFont"/>
    <w:link w:val="FootnoteText"/>
    <w:rsid w:val="00BC4DF6"/>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spacing w:line="480" w:lineRule="auto"/>
      <w:ind w:left="284" w:hanging="284"/>
    </w:pPr>
    <w:rPr>
      <w:sz w:val="22"/>
      <w:szCs w:val="20"/>
      <w:lang w:val="en-GB" w:eastAsia="en-GB"/>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contextualSpacing/>
    </w:pPr>
    <w:rPr>
      <w:lang w:val="en-GB" w:eastAsia="en-GB"/>
    </w:r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contextualSpacing/>
    </w:pPr>
    <w:rPr>
      <w:lang w:val="en-GB" w:eastAsia="en-GB"/>
    </w:r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nhideWhenUsed/>
    <w:rsid w:val="00937299"/>
    <w:rPr>
      <w:color w:val="0000FF" w:themeColor="hyperlink"/>
      <w:u w:val="single"/>
    </w:rPr>
  </w:style>
  <w:style w:type="character" w:styleId="UnresolvedMention">
    <w:name w:val="Unresolved Mention"/>
    <w:basedOn w:val="DefaultParagraphFont"/>
    <w:uiPriority w:val="99"/>
    <w:semiHidden/>
    <w:unhideWhenUsed/>
    <w:rsid w:val="00937299"/>
    <w:rPr>
      <w:color w:val="605E5C"/>
      <w:shd w:val="clear" w:color="auto" w:fill="E1DFDD"/>
    </w:rPr>
  </w:style>
  <w:style w:type="character" w:styleId="LineNumber">
    <w:name w:val="line number"/>
    <w:basedOn w:val="DefaultParagraphFont"/>
    <w:semiHidden/>
    <w:unhideWhenUsed/>
    <w:rsid w:val="006E7B9E"/>
  </w:style>
  <w:style w:type="character" w:styleId="PlaceholderText">
    <w:name w:val="Placeholder Text"/>
    <w:basedOn w:val="DefaultParagraphFont"/>
    <w:semiHidden/>
    <w:rsid w:val="00E73749"/>
    <w:rPr>
      <w:color w:val="808080"/>
    </w:rPr>
  </w:style>
  <w:style w:type="paragraph" w:styleId="ListParagraph">
    <w:name w:val="List Paragraph"/>
    <w:basedOn w:val="Normal"/>
    <w:uiPriority w:val="34"/>
    <w:qFormat/>
    <w:rsid w:val="006D4676"/>
    <w:pPr>
      <w:spacing w:line="480" w:lineRule="auto"/>
      <w:ind w:left="720"/>
      <w:contextualSpacing/>
    </w:pPr>
    <w:rPr>
      <w:lang w:val="en-GB" w:eastAsia="en-GB"/>
    </w:rPr>
  </w:style>
  <w:style w:type="character" w:styleId="CommentReference">
    <w:name w:val="annotation reference"/>
    <w:basedOn w:val="DefaultParagraphFont"/>
    <w:semiHidden/>
    <w:unhideWhenUsed/>
    <w:rsid w:val="00D43269"/>
    <w:rPr>
      <w:sz w:val="16"/>
      <w:szCs w:val="16"/>
    </w:rPr>
  </w:style>
  <w:style w:type="paragraph" w:styleId="CommentText">
    <w:name w:val="annotation text"/>
    <w:basedOn w:val="Normal"/>
    <w:link w:val="CommentTextChar"/>
    <w:unhideWhenUsed/>
    <w:rsid w:val="00D43269"/>
    <w:rPr>
      <w:sz w:val="20"/>
      <w:szCs w:val="20"/>
      <w:lang w:val="en-GB" w:eastAsia="en-GB"/>
    </w:rPr>
  </w:style>
  <w:style w:type="character" w:customStyle="1" w:styleId="CommentTextChar">
    <w:name w:val="Comment Text Char"/>
    <w:basedOn w:val="DefaultParagraphFont"/>
    <w:link w:val="CommentText"/>
    <w:rsid w:val="00D43269"/>
  </w:style>
  <w:style w:type="paragraph" w:styleId="CommentSubject">
    <w:name w:val="annotation subject"/>
    <w:basedOn w:val="CommentText"/>
    <w:next w:val="CommentText"/>
    <w:link w:val="CommentSubjectChar"/>
    <w:semiHidden/>
    <w:unhideWhenUsed/>
    <w:rsid w:val="00D43269"/>
    <w:rPr>
      <w:b/>
      <w:bCs/>
    </w:rPr>
  </w:style>
  <w:style w:type="character" w:customStyle="1" w:styleId="CommentSubjectChar">
    <w:name w:val="Comment Subject Char"/>
    <w:basedOn w:val="CommentTextChar"/>
    <w:link w:val="CommentSubject"/>
    <w:semiHidden/>
    <w:rsid w:val="00D43269"/>
    <w:rPr>
      <w:b/>
      <w:bCs/>
    </w:rPr>
  </w:style>
  <w:style w:type="paragraph" w:styleId="Revision">
    <w:name w:val="Revision"/>
    <w:hidden/>
    <w:semiHidden/>
    <w:rsid w:val="00603613"/>
    <w:rPr>
      <w:sz w:val="24"/>
      <w:szCs w:val="24"/>
    </w:rPr>
  </w:style>
  <w:style w:type="character" w:styleId="Strong">
    <w:name w:val="Strong"/>
    <w:basedOn w:val="DefaultParagraphFont"/>
    <w:uiPriority w:val="22"/>
    <w:qFormat/>
    <w:rsid w:val="00DE10A9"/>
    <w:rPr>
      <w:b/>
      <w:bCs/>
    </w:rPr>
  </w:style>
  <w:style w:type="character" w:customStyle="1" w:styleId="button-link-text">
    <w:name w:val="button-link-text"/>
    <w:basedOn w:val="DefaultParagraphFont"/>
    <w:rsid w:val="001A686D"/>
  </w:style>
  <w:style w:type="character" w:customStyle="1" w:styleId="react-xocs-alternative-link">
    <w:name w:val="react-xocs-alternative-link"/>
    <w:basedOn w:val="DefaultParagraphFont"/>
    <w:rsid w:val="001A686D"/>
  </w:style>
  <w:style w:type="character" w:customStyle="1" w:styleId="given-name">
    <w:name w:val="given-name"/>
    <w:basedOn w:val="DefaultParagraphFont"/>
    <w:rsid w:val="001A686D"/>
  </w:style>
  <w:style w:type="character" w:customStyle="1" w:styleId="text">
    <w:name w:val="text"/>
    <w:basedOn w:val="DefaultParagraphFont"/>
    <w:rsid w:val="001A686D"/>
  </w:style>
  <w:style w:type="character" w:customStyle="1" w:styleId="author-ref">
    <w:name w:val="author-ref"/>
    <w:basedOn w:val="DefaultParagraphFont"/>
    <w:rsid w:val="001A6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113">
      <w:bodyDiv w:val="1"/>
      <w:marLeft w:val="0"/>
      <w:marRight w:val="0"/>
      <w:marTop w:val="0"/>
      <w:marBottom w:val="0"/>
      <w:divBdr>
        <w:top w:val="none" w:sz="0" w:space="0" w:color="auto"/>
        <w:left w:val="none" w:sz="0" w:space="0" w:color="auto"/>
        <w:bottom w:val="none" w:sz="0" w:space="0" w:color="auto"/>
        <w:right w:val="none" w:sz="0" w:space="0" w:color="auto"/>
      </w:divBdr>
    </w:div>
    <w:div w:id="150367718">
      <w:bodyDiv w:val="1"/>
      <w:marLeft w:val="0"/>
      <w:marRight w:val="0"/>
      <w:marTop w:val="0"/>
      <w:marBottom w:val="0"/>
      <w:divBdr>
        <w:top w:val="none" w:sz="0" w:space="0" w:color="auto"/>
        <w:left w:val="none" w:sz="0" w:space="0" w:color="auto"/>
        <w:bottom w:val="none" w:sz="0" w:space="0" w:color="auto"/>
        <w:right w:val="none" w:sz="0" w:space="0" w:color="auto"/>
      </w:divBdr>
    </w:div>
    <w:div w:id="222837172">
      <w:bodyDiv w:val="1"/>
      <w:marLeft w:val="0"/>
      <w:marRight w:val="0"/>
      <w:marTop w:val="0"/>
      <w:marBottom w:val="0"/>
      <w:divBdr>
        <w:top w:val="none" w:sz="0" w:space="0" w:color="auto"/>
        <w:left w:val="none" w:sz="0" w:space="0" w:color="auto"/>
        <w:bottom w:val="none" w:sz="0" w:space="0" w:color="auto"/>
        <w:right w:val="none" w:sz="0" w:space="0" w:color="auto"/>
      </w:divBdr>
    </w:div>
    <w:div w:id="510873284">
      <w:bodyDiv w:val="1"/>
      <w:marLeft w:val="0"/>
      <w:marRight w:val="0"/>
      <w:marTop w:val="0"/>
      <w:marBottom w:val="0"/>
      <w:divBdr>
        <w:top w:val="none" w:sz="0" w:space="0" w:color="auto"/>
        <w:left w:val="none" w:sz="0" w:space="0" w:color="auto"/>
        <w:bottom w:val="none" w:sz="0" w:space="0" w:color="auto"/>
        <w:right w:val="none" w:sz="0" w:space="0" w:color="auto"/>
      </w:divBdr>
    </w:div>
    <w:div w:id="512840314">
      <w:bodyDiv w:val="1"/>
      <w:marLeft w:val="0"/>
      <w:marRight w:val="0"/>
      <w:marTop w:val="0"/>
      <w:marBottom w:val="0"/>
      <w:divBdr>
        <w:top w:val="none" w:sz="0" w:space="0" w:color="auto"/>
        <w:left w:val="none" w:sz="0" w:space="0" w:color="auto"/>
        <w:bottom w:val="none" w:sz="0" w:space="0" w:color="auto"/>
        <w:right w:val="none" w:sz="0" w:space="0" w:color="auto"/>
      </w:divBdr>
    </w:div>
    <w:div w:id="753356961">
      <w:bodyDiv w:val="1"/>
      <w:marLeft w:val="0"/>
      <w:marRight w:val="0"/>
      <w:marTop w:val="0"/>
      <w:marBottom w:val="0"/>
      <w:divBdr>
        <w:top w:val="none" w:sz="0" w:space="0" w:color="auto"/>
        <w:left w:val="none" w:sz="0" w:space="0" w:color="auto"/>
        <w:bottom w:val="none" w:sz="0" w:space="0" w:color="auto"/>
        <w:right w:val="none" w:sz="0" w:space="0" w:color="auto"/>
      </w:divBdr>
    </w:div>
    <w:div w:id="843784423">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40717740">
      <w:bodyDiv w:val="1"/>
      <w:marLeft w:val="0"/>
      <w:marRight w:val="0"/>
      <w:marTop w:val="0"/>
      <w:marBottom w:val="0"/>
      <w:divBdr>
        <w:top w:val="none" w:sz="0" w:space="0" w:color="auto"/>
        <w:left w:val="none" w:sz="0" w:space="0" w:color="auto"/>
        <w:bottom w:val="none" w:sz="0" w:space="0" w:color="auto"/>
        <w:right w:val="none" w:sz="0" w:space="0" w:color="auto"/>
      </w:divBdr>
    </w:div>
    <w:div w:id="941377805">
      <w:bodyDiv w:val="1"/>
      <w:marLeft w:val="0"/>
      <w:marRight w:val="0"/>
      <w:marTop w:val="0"/>
      <w:marBottom w:val="0"/>
      <w:divBdr>
        <w:top w:val="none" w:sz="0" w:space="0" w:color="auto"/>
        <w:left w:val="none" w:sz="0" w:space="0" w:color="auto"/>
        <w:bottom w:val="none" w:sz="0" w:space="0" w:color="auto"/>
        <w:right w:val="none" w:sz="0" w:space="0" w:color="auto"/>
      </w:divBdr>
    </w:div>
    <w:div w:id="1004630123">
      <w:bodyDiv w:val="1"/>
      <w:marLeft w:val="0"/>
      <w:marRight w:val="0"/>
      <w:marTop w:val="0"/>
      <w:marBottom w:val="0"/>
      <w:divBdr>
        <w:top w:val="none" w:sz="0" w:space="0" w:color="auto"/>
        <w:left w:val="none" w:sz="0" w:space="0" w:color="auto"/>
        <w:bottom w:val="none" w:sz="0" w:space="0" w:color="auto"/>
        <w:right w:val="none" w:sz="0" w:space="0" w:color="auto"/>
      </w:divBdr>
    </w:div>
    <w:div w:id="1138761030">
      <w:bodyDiv w:val="1"/>
      <w:marLeft w:val="0"/>
      <w:marRight w:val="0"/>
      <w:marTop w:val="0"/>
      <w:marBottom w:val="0"/>
      <w:divBdr>
        <w:top w:val="none" w:sz="0" w:space="0" w:color="auto"/>
        <w:left w:val="none" w:sz="0" w:space="0" w:color="auto"/>
        <w:bottom w:val="none" w:sz="0" w:space="0" w:color="auto"/>
        <w:right w:val="none" w:sz="0" w:space="0" w:color="auto"/>
      </w:divBdr>
      <w:divsChild>
        <w:div w:id="140540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345805">
      <w:bodyDiv w:val="1"/>
      <w:marLeft w:val="0"/>
      <w:marRight w:val="0"/>
      <w:marTop w:val="0"/>
      <w:marBottom w:val="0"/>
      <w:divBdr>
        <w:top w:val="none" w:sz="0" w:space="0" w:color="auto"/>
        <w:left w:val="none" w:sz="0" w:space="0" w:color="auto"/>
        <w:bottom w:val="none" w:sz="0" w:space="0" w:color="auto"/>
        <w:right w:val="none" w:sz="0" w:space="0" w:color="auto"/>
      </w:divBdr>
    </w:div>
    <w:div w:id="1356419874">
      <w:bodyDiv w:val="1"/>
      <w:marLeft w:val="0"/>
      <w:marRight w:val="0"/>
      <w:marTop w:val="0"/>
      <w:marBottom w:val="0"/>
      <w:divBdr>
        <w:top w:val="none" w:sz="0" w:space="0" w:color="auto"/>
        <w:left w:val="none" w:sz="0" w:space="0" w:color="auto"/>
        <w:bottom w:val="none" w:sz="0" w:space="0" w:color="auto"/>
        <w:right w:val="none" w:sz="0" w:space="0" w:color="auto"/>
      </w:divBdr>
    </w:div>
    <w:div w:id="1462722881">
      <w:bodyDiv w:val="1"/>
      <w:marLeft w:val="0"/>
      <w:marRight w:val="0"/>
      <w:marTop w:val="0"/>
      <w:marBottom w:val="0"/>
      <w:divBdr>
        <w:top w:val="none" w:sz="0" w:space="0" w:color="auto"/>
        <w:left w:val="none" w:sz="0" w:space="0" w:color="auto"/>
        <w:bottom w:val="none" w:sz="0" w:space="0" w:color="auto"/>
        <w:right w:val="none" w:sz="0" w:space="0" w:color="auto"/>
      </w:divBdr>
    </w:div>
    <w:div w:id="1480413770">
      <w:bodyDiv w:val="1"/>
      <w:marLeft w:val="0"/>
      <w:marRight w:val="0"/>
      <w:marTop w:val="0"/>
      <w:marBottom w:val="0"/>
      <w:divBdr>
        <w:top w:val="none" w:sz="0" w:space="0" w:color="auto"/>
        <w:left w:val="none" w:sz="0" w:space="0" w:color="auto"/>
        <w:bottom w:val="none" w:sz="0" w:space="0" w:color="auto"/>
        <w:right w:val="none" w:sz="0" w:space="0" w:color="auto"/>
      </w:divBdr>
    </w:div>
    <w:div w:id="1521120180">
      <w:bodyDiv w:val="1"/>
      <w:marLeft w:val="0"/>
      <w:marRight w:val="0"/>
      <w:marTop w:val="0"/>
      <w:marBottom w:val="0"/>
      <w:divBdr>
        <w:top w:val="none" w:sz="0" w:space="0" w:color="auto"/>
        <w:left w:val="none" w:sz="0" w:space="0" w:color="auto"/>
        <w:bottom w:val="none" w:sz="0" w:space="0" w:color="auto"/>
        <w:right w:val="none" w:sz="0" w:space="0" w:color="auto"/>
      </w:divBdr>
    </w:div>
    <w:div w:id="1537766634">
      <w:bodyDiv w:val="1"/>
      <w:marLeft w:val="0"/>
      <w:marRight w:val="0"/>
      <w:marTop w:val="0"/>
      <w:marBottom w:val="0"/>
      <w:divBdr>
        <w:top w:val="none" w:sz="0" w:space="0" w:color="auto"/>
        <w:left w:val="none" w:sz="0" w:space="0" w:color="auto"/>
        <w:bottom w:val="none" w:sz="0" w:space="0" w:color="auto"/>
        <w:right w:val="none" w:sz="0" w:space="0" w:color="auto"/>
      </w:divBdr>
    </w:div>
    <w:div w:id="1575354745">
      <w:bodyDiv w:val="1"/>
      <w:marLeft w:val="0"/>
      <w:marRight w:val="0"/>
      <w:marTop w:val="0"/>
      <w:marBottom w:val="0"/>
      <w:divBdr>
        <w:top w:val="none" w:sz="0" w:space="0" w:color="auto"/>
        <w:left w:val="none" w:sz="0" w:space="0" w:color="auto"/>
        <w:bottom w:val="none" w:sz="0" w:space="0" w:color="auto"/>
        <w:right w:val="none" w:sz="0" w:space="0" w:color="auto"/>
      </w:divBdr>
    </w:div>
    <w:div w:id="1624194527">
      <w:bodyDiv w:val="1"/>
      <w:marLeft w:val="0"/>
      <w:marRight w:val="0"/>
      <w:marTop w:val="0"/>
      <w:marBottom w:val="0"/>
      <w:divBdr>
        <w:top w:val="none" w:sz="0" w:space="0" w:color="auto"/>
        <w:left w:val="none" w:sz="0" w:space="0" w:color="auto"/>
        <w:bottom w:val="none" w:sz="0" w:space="0" w:color="auto"/>
        <w:right w:val="none" w:sz="0" w:space="0" w:color="auto"/>
      </w:divBdr>
    </w:div>
    <w:div w:id="1642926289">
      <w:bodyDiv w:val="1"/>
      <w:marLeft w:val="0"/>
      <w:marRight w:val="0"/>
      <w:marTop w:val="0"/>
      <w:marBottom w:val="0"/>
      <w:divBdr>
        <w:top w:val="none" w:sz="0" w:space="0" w:color="auto"/>
        <w:left w:val="none" w:sz="0" w:space="0" w:color="auto"/>
        <w:bottom w:val="none" w:sz="0" w:space="0" w:color="auto"/>
        <w:right w:val="none" w:sz="0" w:space="0" w:color="auto"/>
      </w:divBdr>
    </w:div>
    <w:div w:id="1663312622">
      <w:bodyDiv w:val="1"/>
      <w:marLeft w:val="0"/>
      <w:marRight w:val="0"/>
      <w:marTop w:val="0"/>
      <w:marBottom w:val="0"/>
      <w:divBdr>
        <w:top w:val="none" w:sz="0" w:space="0" w:color="auto"/>
        <w:left w:val="none" w:sz="0" w:space="0" w:color="auto"/>
        <w:bottom w:val="none" w:sz="0" w:space="0" w:color="auto"/>
        <w:right w:val="none" w:sz="0" w:space="0" w:color="auto"/>
      </w:divBdr>
    </w:div>
    <w:div w:id="1727340372">
      <w:bodyDiv w:val="1"/>
      <w:marLeft w:val="0"/>
      <w:marRight w:val="0"/>
      <w:marTop w:val="0"/>
      <w:marBottom w:val="0"/>
      <w:divBdr>
        <w:top w:val="none" w:sz="0" w:space="0" w:color="auto"/>
        <w:left w:val="none" w:sz="0" w:space="0" w:color="auto"/>
        <w:bottom w:val="none" w:sz="0" w:space="0" w:color="auto"/>
        <w:right w:val="none" w:sz="0" w:space="0" w:color="auto"/>
      </w:divBdr>
    </w:div>
    <w:div w:id="1737359566">
      <w:bodyDiv w:val="1"/>
      <w:marLeft w:val="0"/>
      <w:marRight w:val="0"/>
      <w:marTop w:val="0"/>
      <w:marBottom w:val="0"/>
      <w:divBdr>
        <w:top w:val="none" w:sz="0" w:space="0" w:color="auto"/>
        <w:left w:val="none" w:sz="0" w:space="0" w:color="auto"/>
        <w:bottom w:val="none" w:sz="0" w:space="0" w:color="auto"/>
        <w:right w:val="none" w:sz="0" w:space="0" w:color="auto"/>
      </w:divBdr>
    </w:div>
    <w:div w:id="1883440809">
      <w:bodyDiv w:val="1"/>
      <w:marLeft w:val="0"/>
      <w:marRight w:val="0"/>
      <w:marTop w:val="0"/>
      <w:marBottom w:val="0"/>
      <w:divBdr>
        <w:top w:val="none" w:sz="0" w:space="0" w:color="auto"/>
        <w:left w:val="none" w:sz="0" w:space="0" w:color="auto"/>
        <w:bottom w:val="none" w:sz="0" w:space="0" w:color="auto"/>
        <w:right w:val="none" w:sz="0" w:space="0" w:color="auto"/>
      </w:divBdr>
    </w:div>
    <w:div w:id="2005159557">
      <w:bodyDiv w:val="1"/>
      <w:marLeft w:val="0"/>
      <w:marRight w:val="0"/>
      <w:marTop w:val="0"/>
      <w:marBottom w:val="0"/>
      <w:divBdr>
        <w:top w:val="none" w:sz="0" w:space="0" w:color="auto"/>
        <w:left w:val="none" w:sz="0" w:space="0" w:color="auto"/>
        <w:bottom w:val="none" w:sz="0" w:space="0" w:color="auto"/>
        <w:right w:val="none" w:sz="0" w:space="0" w:color="auto"/>
      </w:divBdr>
    </w:div>
    <w:div w:id="2116048857">
      <w:bodyDiv w:val="1"/>
      <w:marLeft w:val="0"/>
      <w:marRight w:val="0"/>
      <w:marTop w:val="0"/>
      <w:marBottom w:val="0"/>
      <w:divBdr>
        <w:top w:val="none" w:sz="0" w:space="0" w:color="auto"/>
        <w:left w:val="none" w:sz="0" w:space="0" w:color="auto"/>
        <w:bottom w:val="none" w:sz="0" w:space="0" w:color="auto"/>
        <w:right w:val="none" w:sz="0" w:space="0" w:color="auto"/>
      </w:divBdr>
    </w:div>
    <w:div w:id="21378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ci\Downloads\TF_Template_Word_Windows_2016\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C:\Users\alici\Downloads\TF_Template_Word_Windows_2016\TF_Template_Word_Windows_2016.dotx</Template>
  <TotalTime>98</TotalTime>
  <Pages>53</Pages>
  <Words>12074</Words>
  <Characters>68827</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Manager/>
  <Company/>
  <LinksUpToDate>false</LinksUpToDate>
  <CharactersWithSpaces>80740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Brian Robinson</dc:creator>
  <cp:lastModifiedBy>Arif, Abeer M</cp:lastModifiedBy>
  <cp:revision>24</cp:revision>
  <cp:lastPrinted>2011-07-22T15:54:00Z</cp:lastPrinted>
  <dcterms:created xsi:type="dcterms:W3CDTF">2023-07-27T18:05:00Z</dcterms:created>
  <dcterms:modified xsi:type="dcterms:W3CDTF">2023-09-25T13:21:00Z</dcterms:modified>
</cp:coreProperties>
</file>